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4EDE0" w14:textId="3CDAAA3C" w:rsidR="00856C1A" w:rsidRPr="00B4448E" w:rsidRDefault="007776A9" w:rsidP="00856C1A">
      <w:pPr>
        <w:jc w:val="center"/>
        <w:rPr>
          <w:rFonts w:ascii="Times New Roman" w:eastAsia="SimSun" w:hAnsi="Times New Roman" w:cs="Times New Roman"/>
          <w:b/>
          <w:bCs/>
          <w:i/>
          <w:sz w:val="24"/>
          <w:szCs w:val="24"/>
          <w:lang w:val="en-GB"/>
        </w:rPr>
      </w:pPr>
      <w:r w:rsidRPr="00B4448E">
        <w:rPr>
          <w:rFonts w:ascii="Times New Roman" w:eastAsia="SimSun" w:hAnsi="Times New Roman" w:cs="Times New Roman"/>
          <w:b/>
          <w:bCs/>
          <w:sz w:val="24"/>
          <w:szCs w:val="24"/>
          <w:lang w:val="en-GB"/>
        </w:rPr>
        <w:t xml:space="preserve">A </w:t>
      </w:r>
      <w:r w:rsidR="00AA4E00" w:rsidRPr="00B4448E">
        <w:rPr>
          <w:rFonts w:ascii="Times New Roman" w:eastAsia="SimSun" w:hAnsi="Times New Roman" w:cs="Times New Roman"/>
          <w:b/>
          <w:bCs/>
          <w:sz w:val="24"/>
          <w:szCs w:val="24"/>
          <w:lang w:val="en-GB"/>
        </w:rPr>
        <w:t xml:space="preserve">Nonaqueous </w:t>
      </w:r>
      <w:r w:rsidR="00856C1A" w:rsidRPr="00B4448E">
        <w:rPr>
          <w:rFonts w:ascii="Times New Roman" w:eastAsia="SimSun" w:hAnsi="Times New Roman" w:cs="Times New Roman"/>
          <w:b/>
          <w:bCs/>
          <w:sz w:val="24"/>
          <w:szCs w:val="24"/>
          <w:lang w:val="en-GB"/>
        </w:rPr>
        <w:t>Organic Redox Flow Batter</w:t>
      </w:r>
      <w:r w:rsidRPr="00B4448E">
        <w:rPr>
          <w:rFonts w:ascii="Times New Roman" w:eastAsia="SimSun" w:hAnsi="Times New Roman" w:cs="Times New Roman"/>
          <w:b/>
          <w:bCs/>
          <w:sz w:val="24"/>
          <w:szCs w:val="24"/>
          <w:lang w:val="en-GB"/>
        </w:rPr>
        <w:t>y</w:t>
      </w:r>
      <w:r w:rsidR="00856C1A" w:rsidRPr="00B4448E">
        <w:rPr>
          <w:rFonts w:ascii="Times New Roman" w:eastAsia="SimSun" w:hAnsi="Times New Roman" w:cs="Times New Roman"/>
          <w:b/>
          <w:bCs/>
          <w:sz w:val="24"/>
          <w:szCs w:val="24"/>
          <w:lang w:val="en-GB"/>
        </w:rPr>
        <w:t xml:space="preserve"> Using Multi-electron Quinone Molecules</w:t>
      </w:r>
    </w:p>
    <w:p w14:paraId="47968184" w14:textId="6F3E9115" w:rsidR="00856C1A" w:rsidRPr="00B4448E" w:rsidRDefault="00856C1A" w:rsidP="00856C1A">
      <w:pPr>
        <w:widowControl w:val="0"/>
        <w:spacing w:after="0" w:line="480" w:lineRule="auto"/>
        <w:jc w:val="center"/>
        <w:rPr>
          <w:rFonts w:ascii="Times New Roman" w:eastAsia="Times New Roman" w:hAnsi="Times New Roman" w:cs="Times New Roman"/>
          <w:i/>
          <w:iCs/>
          <w:snapToGrid w:val="0"/>
          <w:sz w:val="24"/>
          <w:szCs w:val="24"/>
          <w:lang w:val="en-US"/>
        </w:rPr>
      </w:pPr>
      <w:r w:rsidRPr="00B4448E">
        <w:rPr>
          <w:rFonts w:ascii="Times New Roman" w:eastAsia="Times New Roman" w:hAnsi="Times New Roman" w:cs="Times New Roman"/>
          <w:i/>
          <w:iCs/>
          <w:snapToGrid w:val="0"/>
          <w:sz w:val="24"/>
          <w:szCs w:val="24"/>
          <w:lang w:val="en-US"/>
        </w:rPr>
        <w:t xml:space="preserve">Maedeh </w:t>
      </w:r>
      <w:proofErr w:type="spellStart"/>
      <w:r w:rsidRPr="00B4448E">
        <w:rPr>
          <w:rFonts w:ascii="Times New Roman" w:eastAsia="Times New Roman" w:hAnsi="Times New Roman" w:cs="Times New Roman"/>
          <w:i/>
          <w:iCs/>
          <w:snapToGrid w:val="0"/>
          <w:sz w:val="24"/>
          <w:szCs w:val="24"/>
          <w:lang w:val="en-US"/>
        </w:rPr>
        <w:t>Pahlevaninezhad</w:t>
      </w:r>
      <w:r w:rsidR="00C56BD0" w:rsidRPr="00B4448E">
        <w:rPr>
          <w:rFonts w:ascii="Times New Roman" w:eastAsia="Times New Roman" w:hAnsi="Times New Roman" w:cs="Times New Roman"/>
          <w:i/>
          <w:iCs/>
          <w:snapToGrid w:val="0"/>
          <w:sz w:val="24"/>
          <w:szCs w:val="24"/>
          <w:vertAlign w:val="superscript"/>
          <w:lang w:val="en-US"/>
        </w:rPr>
        <w:t>b</w:t>
      </w:r>
      <w:proofErr w:type="spellEnd"/>
      <w:r w:rsidRPr="00B4448E">
        <w:rPr>
          <w:rFonts w:ascii="Times New Roman" w:eastAsia="Times New Roman" w:hAnsi="Times New Roman" w:cs="Times New Roman"/>
          <w:i/>
          <w:iCs/>
          <w:snapToGrid w:val="0"/>
          <w:sz w:val="24"/>
          <w:szCs w:val="24"/>
          <w:lang w:val="en-US"/>
        </w:rPr>
        <w:t xml:space="preserve">, Puiki </w:t>
      </w:r>
      <w:proofErr w:type="spellStart"/>
      <w:proofErr w:type="gramStart"/>
      <w:r w:rsidRPr="00B4448E">
        <w:rPr>
          <w:rFonts w:ascii="Times New Roman" w:eastAsia="Times New Roman" w:hAnsi="Times New Roman" w:cs="Times New Roman"/>
          <w:i/>
          <w:iCs/>
          <w:snapToGrid w:val="0"/>
          <w:sz w:val="24"/>
          <w:szCs w:val="24"/>
          <w:lang w:val="en-US"/>
        </w:rPr>
        <w:t>Leung</w:t>
      </w:r>
      <w:r w:rsidR="00C56BD0" w:rsidRPr="00B4448E">
        <w:rPr>
          <w:rFonts w:ascii="Times New Roman" w:eastAsia="Times New Roman" w:hAnsi="Times New Roman" w:cs="Times New Roman"/>
          <w:i/>
          <w:iCs/>
          <w:snapToGrid w:val="0"/>
          <w:sz w:val="24"/>
          <w:szCs w:val="24"/>
          <w:vertAlign w:val="superscript"/>
          <w:lang w:val="en-US"/>
        </w:rPr>
        <w:t>a,c</w:t>
      </w:r>
      <w:proofErr w:type="spellEnd"/>
      <w:proofErr w:type="gramEnd"/>
      <w:r w:rsidR="00C56BD0" w:rsidRPr="00B4448E">
        <w:rPr>
          <w:rFonts w:ascii="Times New Roman" w:eastAsia="Times New Roman" w:hAnsi="Times New Roman" w:cs="Times New Roman"/>
          <w:i/>
          <w:iCs/>
          <w:snapToGrid w:val="0"/>
          <w:sz w:val="24"/>
          <w:szCs w:val="24"/>
          <w:vertAlign w:val="superscript"/>
          <w:lang w:val="en-US"/>
        </w:rPr>
        <w:t>, *</w:t>
      </w:r>
      <w:r w:rsidRPr="00B4448E">
        <w:rPr>
          <w:rFonts w:ascii="Times New Roman" w:eastAsia="Times New Roman" w:hAnsi="Times New Roman" w:cs="Times New Roman"/>
          <w:i/>
          <w:iCs/>
          <w:snapToGrid w:val="0"/>
          <w:sz w:val="24"/>
          <w:szCs w:val="24"/>
          <w:lang w:val="en-US"/>
        </w:rPr>
        <w:t xml:space="preserve">, Pablo Quijano </w:t>
      </w:r>
      <w:proofErr w:type="spellStart"/>
      <w:r w:rsidRPr="00B4448E">
        <w:rPr>
          <w:rFonts w:ascii="Times New Roman" w:eastAsia="Times New Roman" w:hAnsi="Times New Roman" w:cs="Times New Roman"/>
          <w:i/>
          <w:iCs/>
          <w:snapToGrid w:val="0"/>
          <w:sz w:val="24"/>
          <w:szCs w:val="24"/>
          <w:lang w:val="en-US"/>
        </w:rPr>
        <w:t>Velasco</w:t>
      </w:r>
      <w:r w:rsidR="00C56BD0" w:rsidRPr="00B4448E">
        <w:rPr>
          <w:rFonts w:ascii="Times New Roman" w:eastAsia="Times New Roman" w:hAnsi="Times New Roman" w:cs="Times New Roman"/>
          <w:i/>
          <w:iCs/>
          <w:snapToGrid w:val="0"/>
          <w:sz w:val="24"/>
          <w:szCs w:val="24"/>
          <w:vertAlign w:val="superscript"/>
          <w:lang w:val="en-US"/>
        </w:rPr>
        <w:t>d</w:t>
      </w:r>
      <w:proofErr w:type="spellEnd"/>
      <w:r w:rsidRPr="00B4448E">
        <w:rPr>
          <w:rFonts w:ascii="Times New Roman" w:eastAsia="Times New Roman" w:hAnsi="Times New Roman" w:cs="Times New Roman"/>
          <w:i/>
          <w:iCs/>
          <w:snapToGrid w:val="0"/>
          <w:sz w:val="24"/>
          <w:szCs w:val="24"/>
          <w:lang w:val="en-US"/>
        </w:rPr>
        <w:t xml:space="preserve">, Majid </w:t>
      </w:r>
      <w:proofErr w:type="spellStart"/>
      <w:r w:rsidRPr="00B4448E">
        <w:rPr>
          <w:rFonts w:ascii="Times New Roman" w:eastAsia="Times New Roman" w:hAnsi="Times New Roman" w:cs="Times New Roman"/>
          <w:i/>
          <w:iCs/>
          <w:snapToGrid w:val="0"/>
          <w:sz w:val="24"/>
          <w:szCs w:val="24"/>
          <w:lang w:val="en-US"/>
        </w:rPr>
        <w:t>Pahlevani</w:t>
      </w:r>
      <w:r w:rsidR="00C56BD0" w:rsidRPr="00B4448E">
        <w:rPr>
          <w:rFonts w:ascii="Times New Roman" w:eastAsia="Times New Roman" w:hAnsi="Times New Roman" w:cs="Times New Roman"/>
          <w:i/>
          <w:iCs/>
          <w:snapToGrid w:val="0"/>
          <w:sz w:val="24"/>
          <w:szCs w:val="24"/>
          <w:vertAlign w:val="superscript"/>
          <w:lang w:val="en-US"/>
        </w:rPr>
        <w:t>e</w:t>
      </w:r>
      <w:proofErr w:type="spellEnd"/>
      <w:r w:rsidRPr="00B4448E">
        <w:rPr>
          <w:rFonts w:ascii="Times New Roman" w:eastAsia="Times New Roman" w:hAnsi="Times New Roman" w:cs="Times New Roman"/>
          <w:i/>
          <w:iCs/>
          <w:snapToGrid w:val="0"/>
          <w:sz w:val="24"/>
          <w:szCs w:val="24"/>
          <w:lang w:val="en-US"/>
        </w:rPr>
        <w:t xml:space="preserve">, </w:t>
      </w:r>
    </w:p>
    <w:p w14:paraId="73F3884E" w14:textId="75AB63B5" w:rsidR="00856C1A" w:rsidRPr="00B4448E" w:rsidRDefault="00856C1A" w:rsidP="00856C1A">
      <w:pPr>
        <w:widowControl w:val="0"/>
        <w:spacing w:after="0" w:line="480" w:lineRule="auto"/>
        <w:jc w:val="center"/>
        <w:rPr>
          <w:rFonts w:ascii="Times New Roman" w:eastAsia="Times New Roman" w:hAnsi="Times New Roman" w:cs="Times New Roman"/>
          <w:b/>
          <w:bCs/>
          <w:i/>
          <w:iCs/>
          <w:snapToGrid w:val="0"/>
          <w:sz w:val="24"/>
          <w:szCs w:val="24"/>
          <w:lang w:val="en-GB"/>
        </w:rPr>
      </w:pPr>
      <w:r w:rsidRPr="00B4448E">
        <w:rPr>
          <w:rFonts w:ascii="Times New Roman" w:eastAsia="Times New Roman" w:hAnsi="Times New Roman" w:cs="Times New Roman"/>
          <w:i/>
          <w:iCs/>
          <w:snapToGrid w:val="0"/>
          <w:sz w:val="24"/>
          <w:szCs w:val="24"/>
          <w:lang w:val="en-US"/>
        </w:rPr>
        <w:t xml:space="preserve">Frank C </w:t>
      </w:r>
      <w:proofErr w:type="spellStart"/>
      <w:r w:rsidRPr="00B4448E">
        <w:rPr>
          <w:rFonts w:ascii="Times New Roman" w:eastAsia="Times New Roman" w:hAnsi="Times New Roman" w:cs="Times New Roman"/>
          <w:i/>
          <w:iCs/>
          <w:snapToGrid w:val="0"/>
          <w:sz w:val="24"/>
          <w:szCs w:val="24"/>
          <w:lang w:val="en-US"/>
        </w:rPr>
        <w:t>Walsh</w:t>
      </w:r>
      <w:r w:rsidR="00C56BD0" w:rsidRPr="00B4448E">
        <w:rPr>
          <w:rFonts w:ascii="Times New Roman" w:eastAsia="Times New Roman" w:hAnsi="Times New Roman" w:cs="Times New Roman"/>
          <w:i/>
          <w:iCs/>
          <w:snapToGrid w:val="0"/>
          <w:sz w:val="24"/>
          <w:szCs w:val="24"/>
          <w:vertAlign w:val="superscript"/>
          <w:lang w:val="en-US"/>
        </w:rPr>
        <w:t>c</w:t>
      </w:r>
      <w:proofErr w:type="spellEnd"/>
      <w:r w:rsidRPr="00B4448E">
        <w:rPr>
          <w:rFonts w:ascii="Times New Roman" w:eastAsia="Times New Roman" w:hAnsi="Times New Roman" w:cs="Times New Roman"/>
          <w:i/>
          <w:iCs/>
          <w:snapToGrid w:val="0"/>
          <w:sz w:val="24"/>
          <w:szCs w:val="24"/>
          <w:lang w:val="en-US"/>
        </w:rPr>
        <w:t xml:space="preserve">, Edward P.L. </w:t>
      </w:r>
      <w:proofErr w:type="spellStart"/>
      <w:proofErr w:type="gramStart"/>
      <w:r w:rsidRPr="00B4448E">
        <w:rPr>
          <w:rFonts w:ascii="Times New Roman" w:eastAsia="Times New Roman" w:hAnsi="Times New Roman" w:cs="Times New Roman"/>
          <w:i/>
          <w:iCs/>
          <w:snapToGrid w:val="0"/>
          <w:sz w:val="24"/>
          <w:szCs w:val="24"/>
          <w:lang w:val="en-US"/>
        </w:rPr>
        <w:t>Roberts</w:t>
      </w:r>
      <w:r w:rsidR="00C56BD0" w:rsidRPr="00B4448E">
        <w:rPr>
          <w:rFonts w:asciiTheme="minorEastAsia" w:eastAsiaTheme="minorEastAsia" w:hAnsiTheme="minorEastAsia" w:cs="Times New Roman"/>
          <w:i/>
          <w:iCs/>
          <w:snapToGrid w:val="0"/>
          <w:sz w:val="24"/>
          <w:szCs w:val="24"/>
          <w:vertAlign w:val="superscript"/>
          <w:lang w:val="en-US" w:eastAsia="zh-CN"/>
        </w:rPr>
        <w:t>b,c</w:t>
      </w:r>
      <w:proofErr w:type="spellEnd"/>
      <w:proofErr w:type="gramEnd"/>
      <w:r w:rsidRPr="00B4448E">
        <w:rPr>
          <w:rFonts w:ascii="Times New Roman" w:eastAsia="Times New Roman" w:hAnsi="Times New Roman" w:cs="Times New Roman"/>
          <w:i/>
          <w:iCs/>
          <w:snapToGrid w:val="0"/>
          <w:sz w:val="24"/>
          <w:szCs w:val="24"/>
          <w:lang w:val="en-US"/>
        </w:rPr>
        <w:t xml:space="preserve"> </w:t>
      </w:r>
      <w:r w:rsidRPr="00B4448E">
        <w:rPr>
          <w:rFonts w:ascii="Times New Roman" w:eastAsia="Times New Roman" w:hAnsi="Times New Roman" w:cs="Times New Roman"/>
          <w:i/>
          <w:iCs/>
          <w:snapToGrid w:val="0"/>
          <w:sz w:val="24"/>
          <w:szCs w:val="24"/>
          <w:lang w:val="en-GB"/>
        </w:rPr>
        <w:t xml:space="preserve">Carlos Ponce de </w:t>
      </w:r>
      <w:proofErr w:type="spellStart"/>
      <w:r w:rsidRPr="00B4448E">
        <w:rPr>
          <w:rFonts w:ascii="Times New Roman" w:eastAsia="Times New Roman" w:hAnsi="Times New Roman" w:cs="Times New Roman"/>
          <w:i/>
          <w:iCs/>
          <w:snapToGrid w:val="0"/>
          <w:sz w:val="24"/>
          <w:szCs w:val="24"/>
          <w:lang w:val="en-GB"/>
        </w:rPr>
        <w:t>León</w:t>
      </w:r>
      <w:r w:rsidR="00C56BD0" w:rsidRPr="00B4448E">
        <w:rPr>
          <w:rFonts w:ascii="Times New Roman" w:eastAsia="Times New Roman" w:hAnsi="Times New Roman" w:cs="Times New Roman"/>
          <w:i/>
          <w:iCs/>
          <w:snapToGrid w:val="0"/>
          <w:sz w:val="24"/>
          <w:szCs w:val="24"/>
          <w:vertAlign w:val="superscript"/>
          <w:lang w:val="en-GB"/>
        </w:rPr>
        <w:t>c</w:t>
      </w:r>
      <w:proofErr w:type="spellEnd"/>
      <w:r w:rsidR="00C56BD0" w:rsidRPr="00B4448E">
        <w:rPr>
          <w:rFonts w:ascii="Times New Roman" w:eastAsia="Times New Roman" w:hAnsi="Times New Roman" w:cs="Times New Roman"/>
          <w:i/>
          <w:iCs/>
          <w:snapToGrid w:val="0"/>
          <w:sz w:val="24"/>
          <w:szCs w:val="24"/>
          <w:vertAlign w:val="superscript"/>
          <w:lang w:val="en-GB"/>
        </w:rPr>
        <w:t>, *</w:t>
      </w:r>
    </w:p>
    <w:p w14:paraId="7A02FD2B" w14:textId="77777777" w:rsidR="00C56BD0" w:rsidRPr="00B4448E" w:rsidRDefault="00C56BD0" w:rsidP="00856C1A">
      <w:pPr>
        <w:widowControl w:val="0"/>
        <w:spacing w:after="0" w:line="480" w:lineRule="auto"/>
        <w:jc w:val="center"/>
        <w:rPr>
          <w:rFonts w:ascii="Times New Roman" w:eastAsia="Times New Roman" w:hAnsi="Times New Roman" w:cs="Times New Roman"/>
          <w:snapToGrid w:val="0"/>
          <w:sz w:val="20"/>
          <w:szCs w:val="20"/>
          <w:lang w:val="en-US"/>
        </w:rPr>
      </w:pPr>
    </w:p>
    <w:p w14:paraId="47BEF9F6" w14:textId="240BD041" w:rsidR="00C56BD0" w:rsidRPr="00B4448E" w:rsidRDefault="00C56BD0" w:rsidP="00C56BD0">
      <w:pPr>
        <w:widowControl w:val="0"/>
        <w:spacing w:after="0" w:line="480" w:lineRule="auto"/>
        <w:jc w:val="center"/>
        <w:rPr>
          <w:rFonts w:ascii="Times New Roman" w:eastAsia="Times New Roman" w:hAnsi="Times New Roman" w:cs="Times New Roman"/>
          <w:i/>
          <w:snapToGrid w:val="0"/>
          <w:sz w:val="20"/>
          <w:szCs w:val="20"/>
          <w:lang w:val="en-US"/>
        </w:rPr>
      </w:pPr>
      <w:proofErr w:type="spellStart"/>
      <w:r w:rsidRPr="00B4448E">
        <w:rPr>
          <w:rFonts w:ascii="Times New Roman" w:eastAsia="Times New Roman" w:hAnsi="Times New Roman" w:cs="Times New Roman"/>
          <w:i/>
          <w:snapToGrid w:val="0"/>
          <w:sz w:val="20"/>
          <w:szCs w:val="20"/>
          <w:vertAlign w:val="superscript"/>
          <w:lang w:val="en-US"/>
        </w:rPr>
        <w:t>a</w:t>
      </w:r>
      <w:r w:rsidRPr="00B4448E">
        <w:rPr>
          <w:rFonts w:ascii="Times New Roman" w:eastAsia="Times New Roman" w:hAnsi="Times New Roman" w:cs="Times New Roman"/>
          <w:i/>
          <w:snapToGrid w:val="0"/>
          <w:sz w:val="20"/>
          <w:szCs w:val="20"/>
          <w:lang w:val="en-US"/>
        </w:rPr>
        <w:t>Key</w:t>
      </w:r>
      <w:proofErr w:type="spellEnd"/>
      <w:r w:rsidRPr="00B4448E">
        <w:rPr>
          <w:rFonts w:ascii="Times New Roman" w:eastAsia="Times New Roman" w:hAnsi="Times New Roman" w:cs="Times New Roman"/>
          <w:i/>
          <w:snapToGrid w:val="0"/>
          <w:sz w:val="20"/>
          <w:szCs w:val="20"/>
          <w:lang w:val="en-US"/>
        </w:rPr>
        <w:t xml:space="preserve"> Laboratory of Low-grade Energy Utilization Technologies and Systems, MOE, Chongqing University, Chongqing 400030, China</w:t>
      </w:r>
    </w:p>
    <w:p w14:paraId="295CD9DF" w14:textId="7D99F81A" w:rsidR="00C56BD0" w:rsidRPr="00B4448E" w:rsidRDefault="00C56BD0" w:rsidP="00C56BD0">
      <w:pPr>
        <w:widowControl w:val="0"/>
        <w:spacing w:after="0" w:line="480" w:lineRule="auto"/>
        <w:jc w:val="center"/>
        <w:rPr>
          <w:rFonts w:ascii="Times New Roman" w:eastAsia="Times New Roman" w:hAnsi="Times New Roman" w:cs="Times New Roman"/>
          <w:i/>
          <w:snapToGrid w:val="0"/>
          <w:sz w:val="20"/>
          <w:szCs w:val="20"/>
          <w:lang w:val="en-US"/>
        </w:rPr>
      </w:pPr>
      <w:r w:rsidRPr="00B4448E">
        <w:rPr>
          <w:rFonts w:ascii="Times New Roman" w:eastAsia="Times New Roman" w:hAnsi="Times New Roman" w:cs="Times New Roman"/>
          <w:i/>
          <w:snapToGrid w:val="0"/>
          <w:sz w:val="20"/>
          <w:szCs w:val="20"/>
          <w:vertAlign w:val="superscript"/>
          <w:lang w:val="en-US"/>
        </w:rPr>
        <w:t>b</w:t>
      </w:r>
      <w:r w:rsidRPr="00B4448E">
        <w:rPr>
          <w:i/>
        </w:rPr>
        <w:t xml:space="preserve"> </w:t>
      </w:r>
      <w:r w:rsidRPr="00B4448E">
        <w:rPr>
          <w:rFonts w:ascii="Times New Roman" w:eastAsia="Times New Roman" w:hAnsi="Times New Roman" w:cs="Times New Roman"/>
          <w:i/>
          <w:snapToGrid w:val="0"/>
          <w:sz w:val="20"/>
          <w:szCs w:val="20"/>
          <w:lang w:val="en-US"/>
        </w:rPr>
        <w:t>Department of Chemical and Petroleum Engineering, University of Calgary, 2500 University Dr NW, Calgary, AB T2N 1N4, Canada</w:t>
      </w:r>
    </w:p>
    <w:p w14:paraId="49788063" w14:textId="0F954E34" w:rsidR="00C56BD0" w:rsidRPr="00B4448E" w:rsidRDefault="00C56BD0" w:rsidP="00856C1A">
      <w:pPr>
        <w:widowControl w:val="0"/>
        <w:spacing w:after="0" w:line="480" w:lineRule="auto"/>
        <w:jc w:val="center"/>
        <w:rPr>
          <w:rFonts w:ascii="Times New Roman" w:eastAsia="Times New Roman" w:hAnsi="Times New Roman" w:cs="Times New Roman"/>
          <w:i/>
          <w:snapToGrid w:val="0"/>
          <w:sz w:val="20"/>
          <w:szCs w:val="20"/>
          <w:lang w:val="en-US"/>
        </w:rPr>
      </w:pPr>
      <w:r w:rsidRPr="00B4448E">
        <w:rPr>
          <w:rFonts w:ascii="Times New Roman" w:eastAsia="Times New Roman" w:hAnsi="Times New Roman" w:cs="Times New Roman"/>
          <w:i/>
          <w:snapToGrid w:val="0"/>
          <w:sz w:val="20"/>
          <w:szCs w:val="20"/>
          <w:vertAlign w:val="superscript"/>
          <w:lang w:val="en-US"/>
        </w:rPr>
        <w:t>c</w:t>
      </w:r>
      <w:r w:rsidRPr="00B4448E">
        <w:rPr>
          <w:i/>
        </w:rPr>
        <w:t xml:space="preserve"> </w:t>
      </w:r>
      <w:r w:rsidRPr="00B4448E">
        <w:rPr>
          <w:rFonts w:ascii="Times New Roman" w:eastAsia="Times New Roman" w:hAnsi="Times New Roman" w:cs="Times New Roman"/>
          <w:i/>
          <w:snapToGrid w:val="0"/>
          <w:sz w:val="20"/>
          <w:szCs w:val="20"/>
          <w:lang w:val="en-US"/>
        </w:rPr>
        <w:t xml:space="preserve">Faculty of </w:t>
      </w:r>
      <w:proofErr w:type="spellStart"/>
      <w:r w:rsidRPr="00B4448E">
        <w:rPr>
          <w:rFonts w:ascii="Times New Roman" w:eastAsia="Times New Roman" w:hAnsi="Times New Roman" w:cs="Times New Roman"/>
          <w:i/>
          <w:snapToGrid w:val="0"/>
          <w:sz w:val="20"/>
          <w:szCs w:val="20"/>
          <w:lang w:val="en-US"/>
        </w:rPr>
        <w:t>Enngineering</w:t>
      </w:r>
      <w:proofErr w:type="spellEnd"/>
      <w:r w:rsidRPr="00B4448E">
        <w:rPr>
          <w:rFonts w:ascii="Times New Roman" w:eastAsia="Times New Roman" w:hAnsi="Times New Roman" w:cs="Times New Roman"/>
          <w:i/>
          <w:snapToGrid w:val="0"/>
          <w:sz w:val="20"/>
          <w:szCs w:val="20"/>
          <w:lang w:val="en-US"/>
        </w:rPr>
        <w:t xml:space="preserve"> and Physical Sciences, University of Southampton, Highfield, Southampton, SO17 1BJ, United Kingdom</w:t>
      </w:r>
    </w:p>
    <w:p w14:paraId="6DE5D9C2" w14:textId="03382DED" w:rsidR="00C56BD0" w:rsidRPr="00B4448E" w:rsidRDefault="00C56BD0" w:rsidP="00856C1A">
      <w:pPr>
        <w:widowControl w:val="0"/>
        <w:spacing w:after="0" w:line="480" w:lineRule="auto"/>
        <w:jc w:val="center"/>
        <w:rPr>
          <w:rFonts w:ascii="Times New Roman" w:eastAsia="Times New Roman" w:hAnsi="Times New Roman" w:cs="Times New Roman"/>
          <w:i/>
          <w:snapToGrid w:val="0"/>
          <w:sz w:val="20"/>
          <w:szCs w:val="20"/>
          <w:lang w:val="en-US"/>
        </w:rPr>
      </w:pPr>
      <w:proofErr w:type="spellStart"/>
      <w:r w:rsidRPr="00B4448E">
        <w:rPr>
          <w:rFonts w:ascii="Times New Roman" w:eastAsia="Times New Roman" w:hAnsi="Times New Roman" w:cs="Times New Roman"/>
          <w:i/>
          <w:snapToGrid w:val="0"/>
          <w:sz w:val="20"/>
          <w:szCs w:val="20"/>
          <w:vertAlign w:val="superscript"/>
          <w:lang w:val="en-US"/>
        </w:rPr>
        <w:t>d</w:t>
      </w:r>
      <w:r w:rsidRPr="00B4448E">
        <w:rPr>
          <w:rFonts w:ascii="Times New Roman" w:eastAsia="Times New Roman" w:hAnsi="Times New Roman" w:cs="Times New Roman"/>
          <w:i/>
          <w:snapToGrid w:val="0"/>
          <w:sz w:val="20"/>
          <w:szCs w:val="20"/>
          <w:lang w:val="en-US"/>
        </w:rPr>
        <w:t>Department</w:t>
      </w:r>
      <w:proofErr w:type="spellEnd"/>
      <w:r w:rsidRPr="00B4448E">
        <w:rPr>
          <w:rFonts w:ascii="Times New Roman" w:eastAsia="Times New Roman" w:hAnsi="Times New Roman" w:cs="Times New Roman"/>
          <w:i/>
          <w:snapToGrid w:val="0"/>
          <w:sz w:val="20"/>
          <w:szCs w:val="20"/>
          <w:lang w:val="en-US"/>
        </w:rPr>
        <w:t xml:space="preserve"> of Materials, University of Oxford, Parks Road, Oxford OX1 3PH, United Kingdom</w:t>
      </w:r>
    </w:p>
    <w:p w14:paraId="2DE6EC56" w14:textId="03A1A049" w:rsidR="00856C1A" w:rsidRPr="00B4448E" w:rsidRDefault="00C56BD0" w:rsidP="00856C1A">
      <w:pPr>
        <w:widowControl w:val="0"/>
        <w:spacing w:after="0" w:line="480" w:lineRule="auto"/>
        <w:jc w:val="center"/>
        <w:rPr>
          <w:rFonts w:ascii="Times New Roman" w:eastAsia="Times New Roman" w:hAnsi="Times New Roman" w:cs="Times New Roman"/>
          <w:i/>
          <w:snapToGrid w:val="0"/>
          <w:sz w:val="20"/>
          <w:szCs w:val="20"/>
          <w:lang w:val="en-US"/>
        </w:rPr>
      </w:pPr>
      <w:proofErr w:type="spellStart"/>
      <w:r w:rsidRPr="00B4448E">
        <w:rPr>
          <w:rFonts w:ascii="Times New Roman" w:eastAsia="Times New Roman" w:hAnsi="Times New Roman" w:cs="Times New Roman"/>
          <w:i/>
          <w:snapToGrid w:val="0"/>
          <w:sz w:val="20"/>
          <w:szCs w:val="20"/>
          <w:vertAlign w:val="superscript"/>
          <w:lang w:val="en-US"/>
        </w:rPr>
        <w:t>e</w:t>
      </w:r>
      <w:r w:rsidR="00856C1A" w:rsidRPr="00B4448E">
        <w:rPr>
          <w:rFonts w:ascii="Times New Roman" w:eastAsia="Times New Roman" w:hAnsi="Times New Roman" w:cs="Times New Roman"/>
          <w:i/>
          <w:snapToGrid w:val="0"/>
          <w:sz w:val="20"/>
          <w:szCs w:val="20"/>
          <w:lang w:val="en-US"/>
        </w:rPr>
        <w:t>Department</w:t>
      </w:r>
      <w:proofErr w:type="spellEnd"/>
      <w:r w:rsidR="00856C1A" w:rsidRPr="00B4448E">
        <w:rPr>
          <w:rFonts w:ascii="Times New Roman" w:eastAsia="Times New Roman" w:hAnsi="Times New Roman" w:cs="Times New Roman"/>
          <w:i/>
          <w:snapToGrid w:val="0"/>
          <w:sz w:val="20"/>
          <w:szCs w:val="20"/>
          <w:lang w:val="en-US"/>
        </w:rPr>
        <w:t xml:space="preserve"> of Electrical and Computer Engineering, Queen’s University, 99 University Avenue, Kingston, Ontario, K7L 3N6, Canada</w:t>
      </w:r>
    </w:p>
    <w:p w14:paraId="0F0564EE" w14:textId="77777777" w:rsidR="00856C1A" w:rsidRPr="00B4448E" w:rsidRDefault="00856C1A" w:rsidP="00856C1A">
      <w:pPr>
        <w:jc w:val="both"/>
        <w:rPr>
          <w:rFonts w:ascii="Times New Roman" w:eastAsia="SimSun" w:hAnsi="Times New Roman" w:cs="Times New Roman"/>
          <w:bCs/>
          <w:sz w:val="24"/>
          <w:szCs w:val="24"/>
          <w:lang w:val="en-US"/>
        </w:rPr>
      </w:pPr>
    </w:p>
    <w:p w14:paraId="601F62CC" w14:textId="2E72EBB5" w:rsidR="00C56BD0" w:rsidRPr="00B4448E" w:rsidRDefault="00C56BD0" w:rsidP="00856C1A">
      <w:pPr>
        <w:jc w:val="both"/>
        <w:rPr>
          <w:rFonts w:ascii="Times New Roman" w:eastAsia="SimSun" w:hAnsi="Times New Roman" w:cs="Times New Roman"/>
          <w:bCs/>
          <w:sz w:val="24"/>
          <w:szCs w:val="24"/>
          <w:lang w:val="en-GB" w:eastAsia="zh-CN"/>
        </w:rPr>
      </w:pPr>
      <w:r w:rsidRPr="00B4448E">
        <w:rPr>
          <w:rFonts w:ascii="Times New Roman" w:eastAsia="SimSun" w:hAnsi="Times New Roman" w:cs="Times New Roman"/>
          <w:bCs/>
          <w:sz w:val="24"/>
          <w:szCs w:val="24"/>
          <w:lang w:val="en-GB"/>
        </w:rPr>
        <w:t>Authors for correspondence</w:t>
      </w:r>
      <w:r w:rsidRPr="00B4448E">
        <w:rPr>
          <w:rFonts w:ascii="Times New Roman" w:eastAsia="SimSun" w:hAnsi="Times New Roman" w:cs="Times New Roman" w:hint="eastAsia"/>
          <w:bCs/>
          <w:sz w:val="24"/>
          <w:szCs w:val="24"/>
          <w:lang w:val="en-GB" w:eastAsia="zh-CN"/>
        </w:rPr>
        <w:t>:</w:t>
      </w:r>
    </w:p>
    <w:p w14:paraId="45A14D95" w14:textId="2BC1A5DA" w:rsidR="00856C1A" w:rsidRPr="00B4448E" w:rsidRDefault="00856C1A" w:rsidP="00856C1A">
      <w:pPr>
        <w:jc w:val="both"/>
        <w:rPr>
          <w:rFonts w:ascii="Times New Roman" w:eastAsia="SimSun" w:hAnsi="Times New Roman" w:cs="Times New Roman"/>
          <w:bCs/>
          <w:sz w:val="24"/>
          <w:szCs w:val="24"/>
          <w:lang w:val="en-GB"/>
        </w:rPr>
      </w:pPr>
      <w:r w:rsidRPr="00B4448E">
        <w:rPr>
          <w:rFonts w:ascii="Times New Roman" w:eastAsia="SimSun" w:hAnsi="Times New Roman" w:cs="Times New Roman"/>
          <w:bCs/>
          <w:sz w:val="24"/>
          <w:szCs w:val="24"/>
          <w:lang w:val="en-GB"/>
        </w:rPr>
        <w:t xml:space="preserve">Puiki Leung, </w:t>
      </w:r>
      <w:r w:rsidR="008810CB" w:rsidRPr="00B4448E">
        <w:rPr>
          <w:rFonts w:ascii="Times New Roman" w:eastAsia="SimSun" w:hAnsi="Times New Roman" w:cs="Times New Roman"/>
          <w:bCs/>
          <w:sz w:val="24"/>
          <w:szCs w:val="24"/>
          <w:lang w:val="en-GB"/>
        </w:rPr>
        <w:t>Chongqing University</w:t>
      </w:r>
    </w:p>
    <w:p w14:paraId="76A6E164" w14:textId="0D324B30" w:rsidR="00C56BD0" w:rsidRPr="00B4448E" w:rsidRDefault="00B4448E" w:rsidP="00856C1A">
      <w:pPr>
        <w:jc w:val="both"/>
        <w:rPr>
          <w:rFonts w:ascii="Times New Roman" w:eastAsia="SimSun" w:hAnsi="Times New Roman" w:cs="Times New Roman"/>
          <w:bCs/>
          <w:sz w:val="24"/>
          <w:szCs w:val="24"/>
          <w:lang w:val="en-GB" w:eastAsia="zh-CN"/>
        </w:rPr>
      </w:pPr>
      <w:hyperlink r:id="rId12" w:history="1">
        <w:r w:rsidR="00C56BD0" w:rsidRPr="00B4448E">
          <w:rPr>
            <w:rStyle w:val="Hyperlink"/>
            <w:rFonts w:ascii="Times New Roman" w:eastAsia="SimSun" w:hAnsi="Times New Roman" w:cs="Times New Roman"/>
            <w:bCs/>
            <w:sz w:val="24"/>
            <w:szCs w:val="24"/>
            <w:lang w:val="en-GB" w:eastAsia="zh-CN"/>
          </w:rPr>
          <w:t>P.leung@cqu.edu.cn</w:t>
        </w:r>
      </w:hyperlink>
    </w:p>
    <w:p w14:paraId="7937C90E" w14:textId="25B5F109" w:rsidR="00856C1A" w:rsidRPr="00B4448E" w:rsidRDefault="00856C1A" w:rsidP="00856C1A">
      <w:pPr>
        <w:widowControl w:val="0"/>
        <w:spacing w:after="0" w:line="360" w:lineRule="auto"/>
        <w:rPr>
          <w:rFonts w:ascii="Times New Roman" w:eastAsia="SimSun" w:hAnsi="Times New Roman" w:cs="Times New Roman"/>
          <w:bCs/>
          <w:sz w:val="24"/>
          <w:szCs w:val="24"/>
          <w:lang w:val="en-GB"/>
        </w:rPr>
      </w:pPr>
      <w:r w:rsidRPr="00B4448E">
        <w:rPr>
          <w:rFonts w:ascii="Times New Roman" w:eastAsia="Times New Roman" w:hAnsi="Times New Roman" w:cs="Times New Roman"/>
          <w:snapToGrid w:val="0"/>
          <w:sz w:val="24"/>
          <w:szCs w:val="24"/>
          <w:lang w:val="en-US"/>
        </w:rPr>
        <w:t>Edward P.L. Roberts,</w:t>
      </w:r>
      <w:r w:rsidRPr="00B4448E">
        <w:rPr>
          <w:rFonts w:ascii="Times New Roman" w:eastAsia="SimSun" w:hAnsi="Times New Roman" w:cs="Times New Roman"/>
          <w:bCs/>
          <w:sz w:val="24"/>
          <w:szCs w:val="24"/>
          <w:lang w:val="en-GB"/>
        </w:rPr>
        <w:t xml:space="preserve"> University of Calgary</w:t>
      </w:r>
    </w:p>
    <w:p w14:paraId="6C290DBA" w14:textId="77777777" w:rsidR="00856C1A" w:rsidRPr="00B4448E" w:rsidRDefault="00B4448E" w:rsidP="00856C1A">
      <w:pPr>
        <w:widowControl w:val="0"/>
        <w:spacing w:after="0" w:line="360" w:lineRule="auto"/>
        <w:rPr>
          <w:rFonts w:ascii="Times New Roman" w:eastAsia="Times New Roman" w:hAnsi="Times New Roman" w:cs="Times New Roman"/>
          <w:snapToGrid w:val="0"/>
          <w:color w:val="0070C0"/>
          <w:sz w:val="24"/>
          <w:szCs w:val="24"/>
          <w:lang w:val="es-MX"/>
        </w:rPr>
      </w:pPr>
      <w:r w:rsidRPr="00B4448E">
        <w:fldChar w:fldCharType="begin"/>
      </w:r>
      <w:r w:rsidRPr="00B4448E">
        <w:rPr>
          <w:lang w:val="es-ES"/>
        </w:rPr>
        <w:instrText xml:space="preserve"> HYPERLINK "mailto:Etprober@ucalgary.ca" </w:instrText>
      </w:r>
      <w:r w:rsidRPr="00B4448E">
        <w:fldChar w:fldCharType="separate"/>
      </w:r>
      <w:r w:rsidR="00856C1A" w:rsidRPr="00B4448E">
        <w:rPr>
          <w:rFonts w:ascii="Times New Roman" w:eastAsia="Times New Roman" w:hAnsi="Times New Roman" w:cs="Times New Roman"/>
          <w:snapToGrid w:val="0"/>
          <w:color w:val="0070C0"/>
          <w:sz w:val="24"/>
          <w:szCs w:val="24"/>
          <w:u w:val="single"/>
          <w:lang w:val="es-MX"/>
        </w:rPr>
        <w:t>Etprober@ucalgary.ca</w:t>
      </w:r>
      <w:r w:rsidRPr="00B4448E">
        <w:rPr>
          <w:rFonts w:ascii="Times New Roman" w:eastAsia="Times New Roman" w:hAnsi="Times New Roman" w:cs="Times New Roman"/>
          <w:snapToGrid w:val="0"/>
          <w:color w:val="0070C0"/>
          <w:sz w:val="24"/>
          <w:szCs w:val="24"/>
          <w:u w:val="single"/>
          <w:lang w:val="es-MX"/>
        </w:rPr>
        <w:fldChar w:fldCharType="end"/>
      </w:r>
      <w:r w:rsidR="00856C1A" w:rsidRPr="00B4448E">
        <w:rPr>
          <w:rFonts w:ascii="Times New Roman" w:eastAsia="Times New Roman" w:hAnsi="Times New Roman" w:cs="Times New Roman"/>
          <w:snapToGrid w:val="0"/>
          <w:color w:val="0070C0"/>
          <w:sz w:val="24"/>
          <w:szCs w:val="24"/>
          <w:lang w:val="es-MX"/>
        </w:rPr>
        <w:t xml:space="preserve"> </w:t>
      </w:r>
    </w:p>
    <w:p w14:paraId="7E008B48" w14:textId="4FECA4D6" w:rsidR="00856C1A" w:rsidRPr="00B4448E" w:rsidRDefault="00856C1A" w:rsidP="00856C1A">
      <w:pPr>
        <w:widowControl w:val="0"/>
        <w:spacing w:after="0" w:line="360" w:lineRule="auto"/>
        <w:rPr>
          <w:rFonts w:ascii="Times New Roman" w:eastAsia="Times New Roman" w:hAnsi="Times New Roman" w:cs="Times New Roman"/>
          <w:b/>
          <w:bCs/>
          <w:snapToGrid w:val="0"/>
          <w:sz w:val="24"/>
          <w:szCs w:val="24"/>
          <w:lang w:val="es-MX"/>
        </w:rPr>
      </w:pPr>
      <w:r w:rsidRPr="00B4448E">
        <w:rPr>
          <w:rFonts w:ascii="Times New Roman" w:eastAsia="Times New Roman" w:hAnsi="Times New Roman" w:cs="Times New Roman"/>
          <w:snapToGrid w:val="0"/>
          <w:sz w:val="24"/>
          <w:szCs w:val="24"/>
          <w:lang w:val="es-MX"/>
        </w:rPr>
        <w:t xml:space="preserve">Carlos Ponce de León, </w:t>
      </w:r>
      <w:r w:rsidRPr="00B4448E">
        <w:rPr>
          <w:rFonts w:ascii="Times New Roman" w:eastAsia="SimSun" w:hAnsi="Times New Roman" w:cs="Times New Roman"/>
          <w:bCs/>
          <w:sz w:val="24"/>
          <w:szCs w:val="24"/>
          <w:lang w:val="es-MX"/>
        </w:rPr>
        <w:t>University of Southampton</w:t>
      </w:r>
    </w:p>
    <w:p w14:paraId="75EC4CF4" w14:textId="2081E7D8" w:rsidR="00856C1A" w:rsidRPr="00B4448E" w:rsidRDefault="00B4448E" w:rsidP="00856C1A">
      <w:pPr>
        <w:spacing w:line="360" w:lineRule="auto"/>
        <w:jc w:val="both"/>
        <w:rPr>
          <w:rFonts w:ascii="Times New Roman" w:eastAsia="SimSun" w:hAnsi="Times New Roman" w:cs="Times New Roman"/>
          <w:bCs/>
          <w:color w:val="0070C0"/>
          <w:sz w:val="24"/>
          <w:szCs w:val="24"/>
          <w:lang w:val="es-MX"/>
        </w:rPr>
      </w:pPr>
      <w:r w:rsidRPr="00B4448E">
        <w:fldChar w:fldCharType="begin"/>
      </w:r>
      <w:r w:rsidRPr="00B4448E">
        <w:rPr>
          <w:lang w:val="es-ES"/>
        </w:rPr>
        <w:instrText xml:space="preserve"> HYPERLINK "mailto:capla@soton.ac.uk" </w:instrText>
      </w:r>
      <w:r w:rsidRPr="00B4448E">
        <w:fldChar w:fldCharType="separate"/>
      </w:r>
      <w:r w:rsidR="00051277" w:rsidRPr="00B4448E">
        <w:rPr>
          <w:rStyle w:val="Hyperlink"/>
          <w:rFonts w:ascii="Times New Roman" w:eastAsia="SimSun" w:hAnsi="Times New Roman" w:cs="Times New Roman"/>
          <w:bCs/>
          <w:sz w:val="24"/>
          <w:szCs w:val="24"/>
          <w:lang w:val="es-MX"/>
        </w:rPr>
        <w:t>capla@soton.ac.uk</w:t>
      </w:r>
      <w:r w:rsidRPr="00B4448E">
        <w:rPr>
          <w:rStyle w:val="Hyperlink"/>
          <w:rFonts w:ascii="Times New Roman" w:eastAsia="SimSun" w:hAnsi="Times New Roman" w:cs="Times New Roman"/>
          <w:bCs/>
          <w:sz w:val="24"/>
          <w:szCs w:val="24"/>
          <w:lang w:val="es-MX"/>
        </w:rPr>
        <w:fldChar w:fldCharType="end"/>
      </w:r>
      <w:r w:rsidR="00856C1A" w:rsidRPr="00B4448E">
        <w:rPr>
          <w:rFonts w:ascii="Times New Roman" w:eastAsia="SimSun" w:hAnsi="Times New Roman" w:cs="Times New Roman"/>
          <w:bCs/>
          <w:color w:val="0070C0"/>
          <w:sz w:val="24"/>
          <w:szCs w:val="24"/>
          <w:lang w:val="es-MX"/>
        </w:rPr>
        <w:t xml:space="preserve"> </w:t>
      </w:r>
    </w:p>
    <w:p w14:paraId="135DCCCF" w14:textId="77777777" w:rsidR="00856C1A" w:rsidRPr="00B4448E" w:rsidRDefault="00856C1A" w:rsidP="00720C8A">
      <w:pPr>
        <w:widowControl w:val="0"/>
        <w:spacing w:after="0" w:line="480" w:lineRule="auto"/>
        <w:jc w:val="both"/>
        <w:rPr>
          <w:rFonts w:ascii="Times New Roman" w:eastAsia="Times New Roman" w:hAnsi="Times New Roman" w:cs="Times New Roman"/>
          <w:b/>
          <w:bCs/>
          <w:iCs/>
          <w:snapToGrid w:val="0"/>
          <w:sz w:val="24"/>
          <w:szCs w:val="24"/>
          <w:lang w:val="es-MX"/>
        </w:rPr>
      </w:pPr>
    </w:p>
    <w:p w14:paraId="24AED3B6" w14:textId="1D67F389" w:rsidR="00845CFC" w:rsidRPr="00B4448E" w:rsidRDefault="00845CFC" w:rsidP="00720C8A">
      <w:pPr>
        <w:widowControl w:val="0"/>
        <w:spacing w:after="0" w:line="480" w:lineRule="auto"/>
        <w:jc w:val="both"/>
        <w:rPr>
          <w:rFonts w:ascii="Times New Roman" w:eastAsia="Times New Roman" w:hAnsi="Times New Roman" w:cs="Times New Roman"/>
          <w:b/>
          <w:bCs/>
          <w:iCs/>
          <w:snapToGrid w:val="0"/>
          <w:sz w:val="24"/>
          <w:szCs w:val="24"/>
          <w:lang w:val="en-GB"/>
        </w:rPr>
      </w:pPr>
      <w:r w:rsidRPr="00B4448E">
        <w:rPr>
          <w:rFonts w:ascii="Times New Roman" w:eastAsia="Times New Roman" w:hAnsi="Times New Roman" w:cs="Times New Roman"/>
          <w:b/>
          <w:bCs/>
          <w:iCs/>
          <w:snapToGrid w:val="0"/>
          <w:sz w:val="24"/>
          <w:szCs w:val="24"/>
          <w:lang w:val="en-GB"/>
        </w:rPr>
        <w:t>Abstract</w:t>
      </w:r>
    </w:p>
    <w:p w14:paraId="2B4E0426" w14:textId="0B8A63D0" w:rsidR="00242313" w:rsidRPr="00B4448E" w:rsidRDefault="00CC5FDC" w:rsidP="00165227">
      <w:pPr>
        <w:pStyle w:val="BGKeywords"/>
        <w:spacing w:after="0"/>
        <w:rPr>
          <w:rFonts w:ascii="Times New Roman" w:hAnsi="Times New Roman"/>
          <w:szCs w:val="24"/>
        </w:rPr>
      </w:pPr>
      <w:r w:rsidRPr="00B4448E">
        <w:rPr>
          <w:rFonts w:ascii="Times New Roman" w:hAnsi="Times New Roman"/>
          <w:szCs w:val="24"/>
        </w:rPr>
        <w:t xml:space="preserve">Organic redox flow batteries are promising </w:t>
      </w:r>
      <w:r w:rsidR="00FF0E13" w:rsidRPr="00B4448E">
        <w:rPr>
          <w:rFonts w:ascii="Times New Roman" w:hAnsi="Times New Roman"/>
          <w:szCs w:val="24"/>
        </w:rPr>
        <w:t>energy storage</w:t>
      </w:r>
      <w:r w:rsidR="003736C0" w:rsidRPr="00B4448E">
        <w:rPr>
          <w:rFonts w:ascii="Times New Roman" w:hAnsi="Times New Roman"/>
          <w:szCs w:val="24"/>
        </w:rPr>
        <w:t xml:space="preserve"> devices</w:t>
      </w:r>
      <w:r w:rsidR="00FF0E13" w:rsidRPr="00B4448E">
        <w:rPr>
          <w:rFonts w:ascii="Times New Roman" w:hAnsi="Times New Roman"/>
          <w:szCs w:val="24"/>
        </w:rPr>
        <w:t xml:space="preserve"> due to</w:t>
      </w:r>
      <w:r w:rsidR="006D239C" w:rsidRPr="00B4448E">
        <w:rPr>
          <w:rFonts w:ascii="Times New Roman" w:hAnsi="Times New Roman"/>
          <w:szCs w:val="24"/>
        </w:rPr>
        <w:t xml:space="preserve"> their moderately low-cost</w:t>
      </w:r>
      <w:r w:rsidR="00813F33" w:rsidRPr="00B4448E">
        <w:rPr>
          <w:rFonts w:ascii="Times New Roman" w:hAnsi="Times New Roman"/>
          <w:szCs w:val="24"/>
        </w:rPr>
        <w:t xml:space="preserve"> </w:t>
      </w:r>
      <w:r w:rsidR="006D239C" w:rsidRPr="00B4448E">
        <w:rPr>
          <w:rFonts w:ascii="Times New Roman" w:hAnsi="Times New Roman"/>
          <w:szCs w:val="24"/>
        </w:rPr>
        <w:t xml:space="preserve">and </w:t>
      </w:r>
      <w:r w:rsidR="00813F33" w:rsidRPr="00B4448E">
        <w:rPr>
          <w:rFonts w:ascii="Times New Roman" w:hAnsi="Times New Roman"/>
          <w:szCs w:val="24"/>
        </w:rPr>
        <w:t>scalability</w:t>
      </w:r>
      <w:r w:rsidR="00C630FC" w:rsidRPr="00B4448E">
        <w:rPr>
          <w:rFonts w:ascii="Times New Roman" w:hAnsi="Times New Roman"/>
          <w:szCs w:val="24"/>
        </w:rPr>
        <w:t>.</w:t>
      </w:r>
      <w:r w:rsidRPr="00B4448E">
        <w:rPr>
          <w:rFonts w:ascii="Times New Roman" w:hAnsi="Times New Roman"/>
          <w:szCs w:val="24"/>
        </w:rPr>
        <w:t xml:space="preserve"> </w:t>
      </w:r>
      <w:r w:rsidR="003736C0" w:rsidRPr="00B4448E">
        <w:rPr>
          <w:rFonts w:ascii="Times New Roman" w:hAnsi="Times New Roman"/>
          <w:szCs w:val="24"/>
        </w:rPr>
        <w:t>T</w:t>
      </w:r>
      <w:r w:rsidR="00866A1C" w:rsidRPr="00B4448E">
        <w:rPr>
          <w:rFonts w:ascii="Times New Roman" w:hAnsi="Times New Roman"/>
          <w:szCs w:val="24"/>
        </w:rPr>
        <w:t xml:space="preserve">his paper </w:t>
      </w:r>
      <w:r w:rsidRPr="00B4448E">
        <w:rPr>
          <w:rFonts w:ascii="Times New Roman" w:hAnsi="Times New Roman"/>
          <w:szCs w:val="24"/>
        </w:rPr>
        <w:t>introduce</w:t>
      </w:r>
      <w:r w:rsidR="00866A1C" w:rsidRPr="00B4448E">
        <w:rPr>
          <w:rFonts w:ascii="Times New Roman" w:hAnsi="Times New Roman"/>
          <w:szCs w:val="24"/>
        </w:rPr>
        <w:t>s</w:t>
      </w:r>
      <w:r w:rsidRPr="00B4448E">
        <w:rPr>
          <w:rFonts w:ascii="Times New Roman" w:hAnsi="Times New Roman"/>
          <w:szCs w:val="24"/>
        </w:rPr>
        <w:t xml:space="preserve"> a new multi-electron redox active material</w:t>
      </w:r>
      <w:r w:rsidRPr="00B4448E">
        <w:rPr>
          <w:rFonts w:ascii="Times New Roman" w:hAnsi="Times New Roman"/>
          <w:szCs w:val="24"/>
          <w:lang w:val="en-GB"/>
        </w:rPr>
        <w:t xml:space="preserve">, </w:t>
      </w:r>
      <w:r w:rsidRPr="00B4448E">
        <w:rPr>
          <w:rFonts w:ascii="Times New Roman" w:hAnsi="Times New Roman"/>
          <w:szCs w:val="24"/>
        </w:rPr>
        <w:t>tetra</w:t>
      </w:r>
      <w:r w:rsidR="00FE0510" w:rsidRPr="00B4448E">
        <w:rPr>
          <w:rFonts w:ascii="Times New Roman" w:hAnsi="Times New Roman"/>
          <w:szCs w:val="24"/>
        </w:rPr>
        <w:t>-</w:t>
      </w:r>
      <w:r w:rsidRPr="00B4448E">
        <w:rPr>
          <w:rFonts w:ascii="Times New Roman" w:hAnsi="Times New Roman"/>
          <w:szCs w:val="24"/>
        </w:rPr>
        <w:t>amino</w:t>
      </w:r>
      <w:hyperlink r:id="rId13" w:history="1">
        <w:r w:rsidRPr="00B4448E">
          <w:rPr>
            <w:rFonts w:ascii="Times New Roman" w:hAnsi="Times New Roman"/>
            <w:szCs w:val="24"/>
          </w:rPr>
          <w:t>anthraquinone</w:t>
        </w:r>
      </w:hyperlink>
      <w:r w:rsidR="00844A73" w:rsidRPr="00B4448E">
        <w:rPr>
          <w:rFonts w:ascii="Times New Roman" w:hAnsi="Times New Roman"/>
          <w:szCs w:val="24"/>
        </w:rPr>
        <w:t xml:space="preserve"> (DB-1</w:t>
      </w:r>
      <w:r w:rsidRPr="00B4448E">
        <w:rPr>
          <w:rFonts w:ascii="Times New Roman" w:hAnsi="Times New Roman"/>
          <w:szCs w:val="24"/>
        </w:rPr>
        <w:t>)</w:t>
      </w:r>
      <w:r w:rsidR="00FE0510" w:rsidRPr="00B4448E">
        <w:rPr>
          <w:rFonts w:ascii="Times New Roman" w:hAnsi="Times New Roman"/>
          <w:lang w:val="en-CA"/>
        </w:rPr>
        <w:t xml:space="preserve"> that is capable of forming cations with an oxidation state of 4+</w:t>
      </w:r>
      <w:r w:rsidR="00FE0510" w:rsidRPr="00B4448E">
        <w:rPr>
          <w:rFonts w:ascii="Times New Roman" w:hAnsi="Times New Roman"/>
          <w:szCs w:val="24"/>
          <w:lang w:val="en-CA"/>
        </w:rPr>
        <w:t xml:space="preserve">, yielding </w:t>
      </w:r>
      <w:r w:rsidR="00346D75" w:rsidRPr="00B4448E">
        <w:rPr>
          <w:rFonts w:ascii="Times New Roman" w:hAnsi="Times New Roman"/>
          <w:szCs w:val="24"/>
          <w:lang w:val="en-CA"/>
        </w:rPr>
        <w:t xml:space="preserve">one of the </w:t>
      </w:r>
      <w:r w:rsidR="00FE0510" w:rsidRPr="00B4448E">
        <w:rPr>
          <w:rFonts w:ascii="Times New Roman" w:hAnsi="Times New Roman"/>
          <w:szCs w:val="24"/>
          <w:lang w:val="en-CA"/>
        </w:rPr>
        <w:t>high</w:t>
      </w:r>
      <w:r w:rsidR="00346D75" w:rsidRPr="00B4448E">
        <w:rPr>
          <w:rFonts w:ascii="Times New Roman" w:hAnsi="Times New Roman"/>
          <w:szCs w:val="24"/>
          <w:lang w:val="en-CA"/>
        </w:rPr>
        <w:t xml:space="preserve">est </w:t>
      </w:r>
      <w:r w:rsidR="00FE0510" w:rsidRPr="00B4448E">
        <w:rPr>
          <w:rFonts w:ascii="Times New Roman" w:hAnsi="Times New Roman"/>
          <w:szCs w:val="24"/>
          <w:lang w:val="en-CA"/>
        </w:rPr>
        <w:t>electrode potential</w:t>
      </w:r>
      <w:r w:rsidR="006A122D" w:rsidRPr="00B4448E">
        <w:rPr>
          <w:rFonts w:ascii="Times New Roman" w:hAnsi="Times New Roman"/>
          <w:szCs w:val="24"/>
          <w:lang w:val="en-CA"/>
        </w:rPr>
        <w:t>s</w:t>
      </w:r>
      <w:r w:rsidR="00FE0510" w:rsidRPr="00B4448E">
        <w:rPr>
          <w:rFonts w:ascii="Times New Roman" w:hAnsi="Times New Roman"/>
          <w:szCs w:val="24"/>
          <w:lang w:val="en-CA"/>
        </w:rPr>
        <w:t xml:space="preserve"> </w:t>
      </w:r>
      <w:r w:rsidR="00FE0510" w:rsidRPr="00B4448E">
        <w:rPr>
          <w:rFonts w:ascii="Times New Roman" w:hAnsi="Times New Roman"/>
          <w:szCs w:val="24"/>
        </w:rPr>
        <w:t>(</w:t>
      </w:r>
      <w:r w:rsidR="00623D84" w:rsidRPr="00B4448E">
        <w:rPr>
          <w:rFonts w:ascii="Times New Roman" w:hAnsi="Times New Roman"/>
          <w:szCs w:val="24"/>
        </w:rPr>
        <w:t>up to</w:t>
      </w:r>
      <w:r w:rsidR="00FE0510" w:rsidRPr="00B4448E">
        <w:rPr>
          <w:rFonts w:ascii="Times New Roman" w:hAnsi="Times New Roman"/>
          <w:szCs w:val="24"/>
        </w:rPr>
        <w:t xml:space="preserve"> </w:t>
      </w:r>
      <w:r w:rsidR="004D0A21" w:rsidRPr="00B4448E">
        <w:rPr>
          <w:rFonts w:ascii="Times New Roman" w:hAnsi="Times New Roman"/>
          <w:szCs w:val="24"/>
        </w:rPr>
        <w:t>4.</w:t>
      </w:r>
      <w:r w:rsidR="004652C2" w:rsidRPr="00B4448E">
        <w:rPr>
          <w:rFonts w:ascii="Times New Roman" w:hAnsi="Times New Roman"/>
          <w:szCs w:val="24"/>
        </w:rPr>
        <w:t>4</w:t>
      </w:r>
      <w:r w:rsidR="00FE0510" w:rsidRPr="00B4448E">
        <w:rPr>
          <w:rFonts w:ascii="Times New Roman" w:hAnsi="Times New Roman"/>
          <w:szCs w:val="24"/>
        </w:rPr>
        <w:t xml:space="preserve"> V </w:t>
      </w:r>
      <w:r w:rsidR="00FE0510" w:rsidRPr="00B4448E">
        <w:rPr>
          <w:rFonts w:ascii="Times New Roman" w:hAnsi="Times New Roman"/>
          <w:i/>
          <w:szCs w:val="24"/>
        </w:rPr>
        <w:t>vs</w:t>
      </w:r>
      <w:r w:rsidR="00FE0510" w:rsidRPr="00B4448E">
        <w:rPr>
          <w:rFonts w:ascii="Times New Roman" w:hAnsi="Times New Roman"/>
          <w:szCs w:val="24"/>
        </w:rPr>
        <w:t>. Li) and</w:t>
      </w:r>
      <w:r w:rsidR="00346D75" w:rsidRPr="00B4448E">
        <w:rPr>
          <w:rFonts w:ascii="Times New Roman" w:hAnsi="Times New Roman"/>
          <w:szCs w:val="24"/>
        </w:rPr>
        <w:t xml:space="preserve"> the largest</w:t>
      </w:r>
      <w:r w:rsidR="00FE0510" w:rsidRPr="00B4448E">
        <w:rPr>
          <w:rFonts w:ascii="Times New Roman" w:hAnsi="Times New Roman"/>
          <w:szCs w:val="24"/>
        </w:rPr>
        <w:t xml:space="preserve"> multi-electron </w:t>
      </w:r>
      <w:r w:rsidR="00FE0510" w:rsidRPr="00B4448E">
        <w:rPr>
          <w:rFonts w:ascii="Times New Roman" w:hAnsi="Times New Roman"/>
          <w:szCs w:val="24"/>
        </w:rPr>
        <w:lastRenderedPageBreak/>
        <w:t>transfer</w:t>
      </w:r>
      <w:r w:rsidR="00B10A4D" w:rsidRPr="00B4448E">
        <w:rPr>
          <w:rFonts w:ascii="Times New Roman" w:hAnsi="Times New Roman"/>
          <w:szCs w:val="24"/>
        </w:rPr>
        <w:t xml:space="preserve"> (</w:t>
      </w:r>
      <w:r w:rsidR="00B70698" w:rsidRPr="00B4448E">
        <w:rPr>
          <w:rFonts w:ascii="Times New Roman" w:hAnsi="Times New Roman"/>
          <w:i/>
          <w:szCs w:val="24"/>
        </w:rPr>
        <w:t>ca.</w:t>
      </w:r>
      <w:r w:rsidR="00BF7F23" w:rsidRPr="00B4448E">
        <w:rPr>
          <w:rFonts w:ascii="Times New Roman" w:hAnsi="Times New Roman"/>
          <w:szCs w:val="24"/>
        </w:rPr>
        <w:t xml:space="preserve"> </w:t>
      </w:r>
      <w:r w:rsidR="00FE0510" w:rsidRPr="00B4448E">
        <w:rPr>
          <w:rFonts w:ascii="Times New Roman" w:hAnsi="Times New Roman"/>
          <w:szCs w:val="24"/>
        </w:rPr>
        <w:t>4</w:t>
      </w:r>
      <w:r w:rsidR="00556306" w:rsidRPr="00B4448E">
        <w:rPr>
          <w:rFonts w:ascii="Times New Roman" w:hAnsi="Times New Roman"/>
          <w:szCs w:val="24"/>
        </w:rPr>
        <w:t xml:space="preserve"> </w:t>
      </w:r>
      <w:r w:rsidR="00FE0510" w:rsidRPr="00B4448E">
        <w:rPr>
          <w:rFonts w:ascii="Times New Roman" w:hAnsi="Times New Roman"/>
          <w:szCs w:val="24"/>
        </w:rPr>
        <w:t>e</w:t>
      </w:r>
      <w:r w:rsidR="00FE0510" w:rsidRPr="00B4448E">
        <w:rPr>
          <w:rFonts w:ascii="Symbol" w:hAnsi="Symbol"/>
          <w:szCs w:val="24"/>
          <w:vertAlign w:val="superscript"/>
        </w:rPr>
        <w:t></w:t>
      </w:r>
      <w:r w:rsidR="00FE0510" w:rsidRPr="00B4448E">
        <w:rPr>
          <w:rFonts w:ascii="Times New Roman" w:hAnsi="Times New Roman"/>
          <w:szCs w:val="24"/>
        </w:rPr>
        <w:t>)</w:t>
      </w:r>
      <w:r w:rsidR="00FE0510" w:rsidRPr="00B4448E">
        <w:rPr>
          <w:rFonts w:ascii="Times New Roman" w:hAnsi="Times New Roman"/>
          <w:szCs w:val="24"/>
          <w:lang w:val="en-CA"/>
        </w:rPr>
        <w:t xml:space="preserve">. </w:t>
      </w:r>
      <w:r w:rsidR="00BC377D" w:rsidRPr="00B4448E">
        <w:rPr>
          <w:rFonts w:ascii="Times New Roman" w:hAnsi="Times New Roman"/>
          <w:szCs w:val="24"/>
          <w:lang w:val="en-CA"/>
        </w:rPr>
        <w:t>C</w:t>
      </w:r>
      <w:r w:rsidRPr="00B4448E">
        <w:rPr>
          <w:rFonts w:ascii="Times New Roman" w:hAnsi="Times New Roman"/>
          <w:szCs w:val="24"/>
          <w:lang w:val="en-CA"/>
        </w:rPr>
        <w:t>omputational calculations using density functional theory reveal that</w:t>
      </w:r>
      <w:r w:rsidR="00571305" w:rsidRPr="00B4448E">
        <w:rPr>
          <w:rFonts w:ascii="Times New Roman" w:hAnsi="Times New Roman"/>
          <w:szCs w:val="24"/>
          <w:lang w:val="en-CA"/>
        </w:rPr>
        <w:t xml:space="preserve"> the</w:t>
      </w:r>
      <w:r w:rsidRPr="00B4448E">
        <w:rPr>
          <w:rFonts w:ascii="Times New Roman" w:hAnsi="Times New Roman"/>
          <w:szCs w:val="24"/>
          <w:lang w:val="en-CA"/>
        </w:rPr>
        <w:t xml:space="preserve"> </w:t>
      </w:r>
      <w:r w:rsidR="0027666E" w:rsidRPr="00B4448E">
        <w:rPr>
          <w:rFonts w:ascii="Times New Roman" w:hAnsi="Times New Roman"/>
          <w:szCs w:val="24"/>
          <w:lang w:val="en-CA"/>
        </w:rPr>
        <w:t>DB</w:t>
      </w:r>
      <w:r w:rsidRPr="00B4448E">
        <w:rPr>
          <w:rFonts w:ascii="Times New Roman" w:hAnsi="Times New Roman"/>
          <w:szCs w:val="24"/>
          <w:lang w:val="en-CA"/>
        </w:rPr>
        <w:t>-1</w:t>
      </w:r>
      <w:r w:rsidR="00571305" w:rsidRPr="00B4448E">
        <w:rPr>
          <w:rFonts w:ascii="Times New Roman" w:hAnsi="Times New Roman"/>
          <w:szCs w:val="24"/>
          <w:lang w:val="en-CA"/>
        </w:rPr>
        <w:t xml:space="preserve"> molecule</w:t>
      </w:r>
      <w:r w:rsidRPr="00B4448E">
        <w:rPr>
          <w:rFonts w:ascii="Times New Roman" w:hAnsi="Times New Roman"/>
          <w:szCs w:val="24"/>
          <w:lang w:val="en-CA"/>
        </w:rPr>
        <w:t xml:space="preserve"> has </w:t>
      </w:r>
      <w:r w:rsidR="00FE0510" w:rsidRPr="00B4448E">
        <w:rPr>
          <w:rFonts w:ascii="Times New Roman" w:hAnsi="Times New Roman"/>
          <w:lang w:val="en-CA"/>
        </w:rPr>
        <w:t>narrower HOMO-LUMO band gaps (&lt;</w:t>
      </w:r>
      <w:r w:rsidR="00FE0510" w:rsidRPr="00B4448E">
        <w:rPr>
          <w:rFonts w:ascii="Times New Roman" w:hAnsi="Times New Roman"/>
          <w:lang w:val="en-GB"/>
        </w:rPr>
        <w:t xml:space="preserve"> </w:t>
      </w:r>
      <w:r w:rsidR="00FE0510" w:rsidRPr="00B4448E">
        <w:rPr>
          <w:rFonts w:ascii="Times New Roman" w:hAnsi="Times New Roman"/>
          <w:lang w:val="en-CA"/>
        </w:rPr>
        <w:t xml:space="preserve">3 eV) than similar molecules (&gt; 3.9 eV). </w:t>
      </w:r>
      <w:r w:rsidR="00AA10A6" w:rsidRPr="00B4448E">
        <w:rPr>
          <w:rFonts w:ascii="Times New Roman" w:hAnsi="Times New Roman"/>
          <w:lang w:val="en-CA"/>
        </w:rPr>
        <w:t>S</w:t>
      </w:r>
      <w:r w:rsidR="00FE0510" w:rsidRPr="00B4448E">
        <w:rPr>
          <w:rFonts w:ascii="Times New Roman" w:hAnsi="Times New Roman"/>
          <w:lang w:val="en-CA"/>
        </w:rPr>
        <w:t xml:space="preserve">table charge-discharge cycling performance </w:t>
      </w:r>
      <w:r w:rsidR="00AA10A6" w:rsidRPr="00B4448E">
        <w:rPr>
          <w:rFonts w:ascii="Times New Roman" w:hAnsi="Times New Roman"/>
          <w:lang w:val="en-CA"/>
        </w:rPr>
        <w:t xml:space="preserve">of this organic molecule </w:t>
      </w:r>
      <w:r w:rsidR="00FE0510" w:rsidRPr="00B4448E">
        <w:rPr>
          <w:rFonts w:ascii="Times New Roman" w:hAnsi="Times New Roman"/>
          <w:lang w:val="en-CA"/>
        </w:rPr>
        <w:t xml:space="preserve">is observed with </w:t>
      </w:r>
      <w:r w:rsidRPr="00B4448E">
        <w:rPr>
          <w:rFonts w:ascii="Times New Roman" w:hAnsi="Times New Roman"/>
          <w:szCs w:val="24"/>
        </w:rPr>
        <w:t xml:space="preserve">high energy </w:t>
      </w:r>
      <w:r w:rsidR="00571305" w:rsidRPr="00B4448E">
        <w:rPr>
          <w:rFonts w:ascii="Times New Roman" w:hAnsi="Times New Roman"/>
          <w:szCs w:val="24"/>
        </w:rPr>
        <w:t xml:space="preserve">efficiencies </w:t>
      </w:r>
      <w:r w:rsidRPr="00B4448E">
        <w:rPr>
          <w:rFonts w:ascii="Times New Roman" w:hAnsi="Times New Roman"/>
          <w:szCs w:val="24"/>
        </w:rPr>
        <w:t>(</w:t>
      </w:r>
      <w:r w:rsidR="00B70698" w:rsidRPr="00B4448E">
        <w:rPr>
          <w:rFonts w:ascii="Times New Roman" w:hAnsi="Times New Roman"/>
          <w:i/>
          <w:szCs w:val="24"/>
        </w:rPr>
        <w:t>ca.</w:t>
      </w:r>
      <w:r w:rsidR="003736C0" w:rsidRPr="00B4448E">
        <w:rPr>
          <w:rFonts w:ascii="Times New Roman" w:hAnsi="Times New Roman"/>
          <w:szCs w:val="24"/>
        </w:rPr>
        <w:t xml:space="preserve"> </w:t>
      </w:r>
      <w:r w:rsidR="00B642BB" w:rsidRPr="00B4448E">
        <w:rPr>
          <w:rFonts w:ascii="Times New Roman" w:hAnsi="Times New Roman"/>
          <w:szCs w:val="24"/>
        </w:rPr>
        <w:t xml:space="preserve">71 </w:t>
      </w:r>
      <w:r w:rsidRPr="00B4448E">
        <w:rPr>
          <w:rFonts w:ascii="Times New Roman" w:hAnsi="Times New Roman"/>
          <w:szCs w:val="24"/>
        </w:rPr>
        <w:t>%)</w:t>
      </w:r>
      <w:r w:rsidRPr="00B4448E">
        <w:rPr>
          <w:rFonts w:ascii="Times New Roman" w:hAnsi="Times New Roman"/>
          <w:szCs w:val="24"/>
          <w:lang w:val="en-CA"/>
        </w:rPr>
        <w:t xml:space="preserve"> at</w:t>
      </w:r>
      <w:r w:rsidR="002F51A9" w:rsidRPr="00B4448E">
        <w:rPr>
          <w:rFonts w:ascii="Times New Roman" w:hAnsi="Times New Roman"/>
          <w:szCs w:val="24"/>
          <w:lang w:val="en-CA"/>
        </w:rPr>
        <w:t xml:space="preserve"> a</w:t>
      </w:r>
      <w:r w:rsidR="00FF0E13" w:rsidRPr="00B4448E">
        <w:rPr>
          <w:rFonts w:ascii="Times New Roman" w:hAnsi="Times New Roman"/>
          <w:szCs w:val="24"/>
          <w:lang w:val="en-CA"/>
        </w:rPr>
        <w:t xml:space="preserve"> relatively</w:t>
      </w:r>
      <w:r w:rsidRPr="00B4448E">
        <w:rPr>
          <w:rFonts w:ascii="Times New Roman" w:hAnsi="Times New Roman"/>
          <w:szCs w:val="24"/>
          <w:lang w:val="en-CA"/>
        </w:rPr>
        <w:t xml:space="preserve"> high current density of </w:t>
      </w:r>
      <w:r w:rsidRPr="00B4448E">
        <w:rPr>
          <w:rFonts w:ascii="Times New Roman" w:hAnsi="Times New Roman"/>
          <w:szCs w:val="24"/>
        </w:rPr>
        <w:t>20 mA</w:t>
      </w:r>
      <w:r w:rsidR="00FF0E13" w:rsidRPr="00B4448E">
        <w:rPr>
          <w:rFonts w:ascii="Times New Roman" w:hAnsi="Times New Roman"/>
          <w:szCs w:val="24"/>
        </w:rPr>
        <w:t xml:space="preserve"> </w:t>
      </w:r>
      <w:r w:rsidRPr="00B4448E">
        <w:rPr>
          <w:rFonts w:ascii="Times New Roman" w:hAnsi="Times New Roman"/>
          <w:szCs w:val="24"/>
        </w:rPr>
        <w:t>cm</w:t>
      </w:r>
      <w:r w:rsidRPr="00B4448E">
        <w:rPr>
          <w:rFonts w:ascii="Symbol" w:hAnsi="Symbol"/>
          <w:szCs w:val="24"/>
          <w:vertAlign w:val="superscript"/>
        </w:rPr>
        <w:t></w:t>
      </w:r>
      <w:r w:rsidRPr="00B4448E">
        <w:rPr>
          <w:rFonts w:ascii="Times New Roman" w:hAnsi="Times New Roman"/>
          <w:szCs w:val="24"/>
          <w:vertAlign w:val="superscript"/>
        </w:rPr>
        <w:t>2</w:t>
      </w:r>
      <w:r w:rsidRPr="00B4448E">
        <w:rPr>
          <w:rFonts w:ascii="Times New Roman" w:hAnsi="Times New Roman"/>
          <w:szCs w:val="24"/>
        </w:rPr>
        <w:t xml:space="preserve"> over 50 cycles</w:t>
      </w:r>
      <w:r w:rsidR="00C630FC" w:rsidRPr="00B4448E">
        <w:rPr>
          <w:rFonts w:ascii="Times New Roman" w:hAnsi="Times New Roman"/>
          <w:szCs w:val="24"/>
        </w:rPr>
        <w:t>,</w:t>
      </w:r>
      <w:r w:rsidRPr="00B4448E">
        <w:rPr>
          <w:rFonts w:ascii="Times New Roman" w:hAnsi="Times New Roman"/>
          <w:szCs w:val="24"/>
        </w:rPr>
        <w:t xml:space="preserve"> </w:t>
      </w:r>
      <w:r w:rsidR="00C630FC" w:rsidRPr="00B4448E">
        <w:rPr>
          <w:rFonts w:ascii="Times New Roman" w:hAnsi="Times New Roman"/>
          <w:szCs w:val="24"/>
        </w:rPr>
        <w:t xml:space="preserve">demonstrating </w:t>
      </w:r>
      <w:r w:rsidR="00757746" w:rsidRPr="00B4448E">
        <w:rPr>
          <w:rFonts w:ascii="Times New Roman" w:hAnsi="Times New Roman"/>
          <w:szCs w:val="24"/>
        </w:rPr>
        <w:t xml:space="preserve">the </w:t>
      </w:r>
      <w:r w:rsidR="003736C0" w:rsidRPr="00B4448E">
        <w:rPr>
          <w:rFonts w:ascii="Times New Roman" w:hAnsi="Times New Roman"/>
          <w:szCs w:val="24"/>
        </w:rPr>
        <w:t xml:space="preserve">marked </w:t>
      </w:r>
      <w:r w:rsidR="00382563" w:rsidRPr="00B4448E">
        <w:rPr>
          <w:rFonts w:ascii="Times New Roman" w:hAnsi="Times New Roman"/>
          <w:szCs w:val="24"/>
        </w:rPr>
        <w:t xml:space="preserve">potential </w:t>
      </w:r>
      <w:r w:rsidRPr="00B4448E">
        <w:rPr>
          <w:rFonts w:ascii="Times New Roman" w:hAnsi="Times New Roman"/>
          <w:szCs w:val="24"/>
        </w:rPr>
        <w:t xml:space="preserve">of </w:t>
      </w:r>
      <w:r w:rsidR="0027666E" w:rsidRPr="00B4448E">
        <w:rPr>
          <w:rFonts w:ascii="Times New Roman" w:hAnsi="Times New Roman"/>
          <w:szCs w:val="24"/>
        </w:rPr>
        <w:t>DB-</w:t>
      </w:r>
      <w:r w:rsidRPr="00B4448E">
        <w:rPr>
          <w:rFonts w:ascii="Times New Roman" w:hAnsi="Times New Roman"/>
          <w:szCs w:val="24"/>
        </w:rPr>
        <w:t xml:space="preserve">1 for </w:t>
      </w:r>
      <w:r w:rsidR="002F51A9" w:rsidRPr="00B4448E">
        <w:rPr>
          <w:rFonts w:ascii="Times New Roman" w:hAnsi="Times New Roman"/>
          <w:szCs w:val="24"/>
        </w:rPr>
        <w:t xml:space="preserve">future </w:t>
      </w:r>
      <w:r w:rsidR="00FF0E13" w:rsidRPr="00B4448E">
        <w:rPr>
          <w:rFonts w:ascii="Times New Roman" w:hAnsi="Times New Roman"/>
          <w:szCs w:val="24"/>
        </w:rPr>
        <w:t>redox flow battery</w:t>
      </w:r>
      <w:r w:rsidRPr="00B4448E">
        <w:rPr>
          <w:rFonts w:ascii="Times New Roman" w:hAnsi="Times New Roman"/>
          <w:szCs w:val="24"/>
        </w:rPr>
        <w:t xml:space="preserve"> </w:t>
      </w:r>
      <w:r w:rsidR="0027666E" w:rsidRPr="00B4448E">
        <w:rPr>
          <w:rFonts w:ascii="Times New Roman" w:hAnsi="Times New Roman"/>
          <w:szCs w:val="24"/>
        </w:rPr>
        <w:t>applications</w:t>
      </w:r>
      <w:r w:rsidRPr="00B4448E">
        <w:rPr>
          <w:rFonts w:ascii="Times New Roman" w:hAnsi="Times New Roman"/>
          <w:szCs w:val="24"/>
        </w:rPr>
        <w:t>.</w:t>
      </w:r>
    </w:p>
    <w:p w14:paraId="61423FCE" w14:textId="77777777" w:rsidR="00C420DB" w:rsidRPr="00B4448E" w:rsidRDefault="00C420DB" w:rsidP="00165227">
      <w:pPr>
        <w:pStyle w:val="BGKeywords"/>
        <w:spacing w:after="0"/>
        <w:rPr>
          <w:rFonts w:ascii="Times New Roman" w:hAnsi="Times New Roman"/>
          <w:szCs w:val="24"/>
        </w:rPr>
      </w:pPr>
    </w:p>
    <w:p w14:paraId="611EE212" w14:textId="5208EF53" w:rsidR="00242313" w:rsidRPr="00B4448E" w:rsidRDefault="000302EF" w:rsidP="00E24153">
      <w:pPr>
        <w:pStyle w:val="BGKeywords"/>
        <w:spacing w:after="0"/>
        <w:rPr>
          <w:rFonts w:ascii="Times New Roman" w:hAnsi="Times New Roman"/>
          <w:szCs w:val="24"/>
        </w:rPr>
      </w:pPr>
      <w:r w:rsidRPr="00B4448E">
        <w:rPr>
          <w:rFonts w:ascii="Times New Roman" w:hAnsi="Times New Roman"/>
          <w:b/>
          <w:bCs/>
          <w:szCs w:val="24"/>
        </w:rPr>
        <w:t xml:space="preserve">Keywords: </w:t>
      </w:r>
      <w:r w:rsidR="004F46EE" w:rsidRPr="00B4448E">
        <w:rPr>
          <w:rFonts w:ascii="Times New Roman" w:hAnsi="Times New Roman"/>
          <w:szCs w:val="24"/>
        </w:rPr>
        <w:t>energy storage device; multi-electron quinone molecule; o</w:t>
      </w:r>
      <w:r w:rsidR="008D1494" w:rsidRPr="00B4448E">
        <w:rPr>
          <w:rFonts w:ascii="Times New Roman" w:hAnsi="Times New Roman"/>
          <w:szCs w:val="24"/>
        </w:rPr>
        <w:t>rganic redox flow batter</w:t>
      </w:r>
      <w:r w:rsidR="00BD12A1" w:rsidRPr="00B4448E">
        <w:rPr>
          <w:rFonts w:ascii="Times New Roman" w:hAnsi="Times New Roman"/>
          <w:szCs w:val="24"/>
        </w:rPr>
        <w:t>y</w:t>
      </w:r>
      <w:r w:rsidR="007776A9" w:rsidRPr="00B4448E">
        <w:rPr>
          <w:rFonts w:ascii="Times New Roman" w:hAnsi="Times New Roman"/>
          <w:szCs w:val="24"/>
        </w:rPr>
        <w:t>;</w:t>
      </w:r>
      <w:r w:rsidR="006F0338" w:rsidRPr="00B4448E">
        <w:t xml:space="preserve"> </w:t>
      </w:r>
      <w:r w:rsidR="007776A9" w:rsidRPr="00B4448E">
        <w:rPr>
          <w:rFonts w:ascii="Times New Roman" w:hAnsi="Times New Roman"/>
          <w:szCs w:val="24"/>
        </w:rPr>
        <w:t>n</w:t>
      </w:r>
      <w:r w:rsidR="006F0338" w:rsidRPr="00B4448E">
        <w:rPr>
          <w:rFonts w:ascii="Times New Roman" w:hAnsi="Times New Roman"/>
          <w:szCs w:val="24"/>
        </w:rPr>
        <w:t>onaqueous redox flow batter</w:t>
      </w:r>
      <w:r w:rsidR="007776A9" w:rsidRPr="00B4448E">
        <w:rPr>
          <w:rFonts w:ascii="Times New Roman" w:hAnsi="Times New Roman"/>
          <w:szCs w:val="24"/>
        </w:rPr>
        <w:t>y</w:t>
      </w:r>
    </w:p>
    <w:p w14:paraId="4596AEA2" w14:textId="77777777" w:rsidR="00C420DB" w:rsidRPr="00B4448E" w:rsidRDefault="00C420DB" w:rsidP="00E24153">
      <w:pPr>
        <w:pStyle w:val="BGKeywords"/>
        <w:spacing w:after="0"/>
        <w:rPr>
          <w:rFonts w:ascii="Times New Roman" w:hAnsi="Times New Roman"/>
          <w:b/>
          <w:bCs/>
          <w:szCs w:val="24"/>
        </w:rPr>
      </w:pPr>
    </w:p>
    <w:p w14:paraId="44DF03C3" w14:textId="5EE2BD07" w:rsidR="00242313" w:rsidRPr="00B4448E" w:rsidRDefault="00587F72" w:rsidP="00587F72">
      <w:pPr>
        <w:pStyle w:val="BGKeywords"/>
        <w:spacing w:after="0"/>
        <w:rPr>
          <w:rFonts w:ascii="Times New Roman" w:hAnsi="Times New Roman"/>
          <w:b/>
          <w:szCs w:val="24"/>
        </w:rPr>
      </w:pPr>
      <w:r w:rsidRPr="00B4448E">
        <w:rPr>
          <w:rFonts w:ascii="Times New Roman" w:hAnsi="Times New Roman"/>
          <w:b/>
          <w:szCs w:val="24"/>
        </w:rPr>
        <w:t>1. Introduction</w:t>
      </w:r>
    </w:p>
    <w:p w14:paraId="4574B24C" w14:textId="32740749" w:rsidR="0032746A" w:rsidRPr="00B4448E" w:rsidRDefault="00CC5FDC" w:rsidP="00352E41">
      <w:pPr>
        <w:pStyle w:val="BGKeywords"/>
        <w:spacing w:after="0"/>
        <w:rPr>
          <w:szCs w:val="18"/>
          <w:lang w:val="en-CA"/>
        </w:rPr>
      </w:pPr>
      <w:r w:rsidRPr="00B4448E">
        <w:rPr>
          <w:rFonts w:ascii="Times New Roman" w:hAnsi="Times New Roman"/>
          <w:sz w:val="28"/>
          <w:szCs w:val="22"/>
        </w:rPr>
        <w:t>R</w:t>
      </w:r>
      <w:r w:rsidRPr="00B4448E">
        <w:rPr>
          <w:rFonts w:ascii="Times New Roman" w:hAnsi="Times New Roman"/>
        </w:rPr>
        <w:t xml:space="preserve">enewable energy sources such as wind and solar are </w:t>
      </w:r>
      <w:r w:rsidR="007646C3" w:rsidRPr="00B4448E">
        <w:rPr>
          <w:rFonts w:ascii="Times New Roman" w:hAnsi="Times New Roman"/>
        </w:rPr>
        <w:t xml:space="preserve">gradually </w:t>
      </w:r>
      <w:r w:rsidRPr="00B4448E">
        <w:rPr>
          <w:rFonts w:ascii="Times New Roman" w:hAnsi="Times New Roman"/>
        </w:rPr>
        <w:t>replacing fossil fu</w:t>
      </w:r>
      <w:r w:rsidR="00B924F5" w:rsidRPr="00B4448E">
        <w:rPr>
          <w:rFonts w:ascii="Times New Roman" w:hAnsi="Times New Roman"/>
        </w:rPr>
        <w:t xml:space="preserve">els for electricity generation but </w:t>
      </w:r>
      <w:r w:rsidR="00382563" w:rsidRPr="00B4448E">
        <w:rPr>
          <w:rFonts w:ascii="Times New Roman" w:hAnsi="Times New Roman"/>
        </w:rPr>
        <w:t xml:space="preserve">the </w:t>
      </w:r>
      <w:r w:rsidRPr="00B4448E">
        <w:rPr>
          <w:rFonts w:ascii="Times New Roman" w:hAnsi="Times New Roman"/>
        </w:rPr>
        <w:t xml:space="preserve">intermittency of wind and solar </w:t>
      </w:r>
      <w:r w:rsidR="00FF0E13" w:rsidRPr="00B4448E">
        <w:rPr>
          <w:rFonts w:ascii="Times New Roman" w:hAnsi="Times New Roman"/>
        </w:rPr>
        <w:t xml:space="preserve">generation </w:t>
      </w:r>
      <w:r w:rsidRPr="00B4448E">
        <w:rPr>
          <w:rFonts w:ascii="Times New Roman" w:hAnsi="Times New Roman"/>
        </w:rPr>
        <w:t>limits the</w:t>
      </w:r>
      <w:r w:rsidR="002F51A9" w:rsidRPr="00B4448E">
        <w:rPr>
          <w:rFonts w:ascii="Times New Roman" w:hAnsi="Times New Roman"/>
        </w:rPr>
        <w:t xml:space="preserve"> mainstream</w:t>
      </w:r>
      <w:r w:rsidRPr="00B4448E">
        <w:rPr>
          <w:rFonts w:ascii="Times New Roman" w:hAnsi="Times New Roman"/>
        </w:rPr>
        <w:t xml:space="preserve"> </w:t>
      </w:r>
      <w:r w:rsidR="002F51A9" w:rsidRPr="00B4448E">
        <w:rPr>
          <w:rFonts w:ascii="Times New Roman" w:hAnsi="Times New Roman"/>
        </w:rPr>
        <w:t xml:space="preserve">adoption </w:t>
      </w:r>
      <w:r w:rsidRPr="00B4448E">
        <w:rPr>
          <w:rFonts w:ascii="Times New Roman" w:hAnsi="Times New Roman"/>
        </w:rPr>
        <w:t>of these energy sources</w:t>
      </w:r>
      <w:r w:rsidR="002F51A9" w:rsidRPr="00B4448E">
        <w:rPr>
          <w:rFonts w:ascii="Times New Roman" w:hAnsi="Times New Roman"/>
        </w:rPr>
        <w:t xml:space="preserve"> for power generation</w:t>
      </w:r>
      <w:r w:rsidR="0046525A" w:rsidRPr="00B4448E">
        <w:rPr>
          <w:rFonts w:ascii="Times New Roman" w:hAnsi="Times New Roman"/>
        </w:rPr>
        <w:t xml:space="preserve"> </w:t>
      </w:r>
      <w:r w:rsidRPr="00B4448E">
        <w:rPr>
          <w:rFonts w:ascii="Times New Roman" w:hAnsi="Times New Roman"/>
        </w:rPr>
        <w:fldChar w:fldCharType="begin" w:fldLock="1"/>
      </w:r>
      <w:r w:rsidR="00FA328E" w:rsidRPr="00B4448E">
        <w:rPr>
          <w:rFonts w:ascii="Times New Roman" w:hAnsi="Times New Roman"/>
        </w:rPr>
        <w:instrText>ADDIN CSL_CITATION {"citationItems":[{"id":"ITEM-1","itemData":{"DOI":"10.1039/c9ee00336c","ISSN":"17545706","abstract":"Organosulfides (R-Sn-R) exhibit a high theoretical capacity and low cost, but suffer from sluggish kinetics and poor reversibility. Here, we demonstrate an effective and universal strategy to improve their redox activity by replacing one organic functional group with an allyl (A) to form asymmetric allyl-substituted organosulfides (R-Sn-A). This promotes the cleavage of the A-S bond owing to facile generation of allyl radials, thereby improving the reduction kinetics and capacity. We verified the formation of asymmetric organosulfides by gas-chromatography-mass spectrometry and show that the allyl-activation strategy is universal to a series of functional groups. We successfully increased the discharge potential (up to 280 mV) and discharge capacity (up to 200%) of the organosulfide compared to its symmetric counterpart. A highly-concentrated liquid electrolyte (5 M) with a volumetric capacity of 224 A h L-1 was realized, demonstrating a substantial improvement in volumetric capacity compared to other reported liquid electrolytes to date. This strategy revitalizes organosulfides for high-energy and low-cost energy storage applications.","author":[{"dropping-particle":"","family":"Weng","given":"Guo Ming","non-dropping-particle":"","parse-names":false,"suffix":""},{"dropping-particle":"","family":"Yang","given":"Bin","non-dropping-particle":"","parse-names":false,"suffix":""},{"dropping-particle":"","family":"Liu","given":"Chi You","non-dropping-particle":"","parse-names":false,"suffix":""},{"dropping-particle":"","family":"Du","given":"Guan Ying","non-dropping-particle":"","parse-names":false,"suffix":""},{"dropping-particle":"","family":"Li","given":"Elise Y.","non-dropping-particle":"","parse-names":false,"suffix":""},{"dropping-particle":"","family":"Lu","given":"Yi Chun","non-dropping-particle":"","parse-names":false,"suffix":""}],"container-title":"Energy and Environmental Science","id":"ITEM-1","issue":"7","issued":{"date-parts":[["2019"]]},"page":"2244-2252","publisher":"Royal Society of Chemistry","title":"Asymmetric allyl-activation of organosulfides for high-energy reversible redox flow batteries","type":"article-journal","volume":"12"},"uris":["http://www.mendeley.com/documents/?uuid=09b87b35-5cc3-4260-b591-94fcb82d0e29"]},{"id":"ITEM-2","itemData":{"DOI":"10.1021/acsenergylett.7b00650","author":[{"dropping-particle":"","family":"Wei","given":"Xiaoliang","non-dropping-particle":"","parse-names":false,"suffix":""},{"dropping-particle":"","family":"Pan","given":"Wenxiao","non-dropping-particle":"","parse-names":false,"suffix":""},{"dropping-particle":"","family":"Duan","given":"Wentao","non-dropping-particle":"","parse-names":false,"suffix":""},{"dropping-particle":"","family":"Hollas","given":"Aaron","non-dropping-particle":"","parse-names":false,"suffix":""},{"dropping-particle":"","family":"Yang","given":"Zheng","non-dropping-particle":"","parse-names":false,"suffix":""},{"dropping-particle":"","family":"Li","given":"Bin","non-dropping-particle":"","parse-names":false,"suffix":""},{"dropping-particle":"","family":"Nie","given":"Zimin","non-dropping-particle":"","parse-names":false,"suffix":""},{"dropping-particle":"","family":"Liu","given":"Jun","non-dropping-particle":"","parse-names":false,"suffix":""},{"dropping-particle":"","family":"Reed","given":"David","non-dropping-particle":"","parse-names":false,"suffix":""},{"dropping-particle":"","family":"Wang","given":"Wei","non-dropping-particle":"","parse-names":false,"suffix":""},{"dropping-particle":"","family":"Sprenkle","given":"Vincent","non-dropping-particle":"","parse-names":false,"suffix":""}],"container-title":"ACS Energy Letters","id":"ITEM-2","issued":{"date-parts":[["2017"]]},"page":"2187-2204","title":"Materials and Systems for Organic Redox Flow Batteries: Status and Challenges","type":"article-journal","volume":"2"},"uris":["http://www.mendeley.com/documents/?uuid=50e6d164-b471-4402-a376-4a2560b27bbd"]},{"id":"ITEM-3","itemData":{"DOI":"10.1149/2.1001409jes","ISSN":"0013-4651","abstract":"We introduce a novel Organic Redox Flow Battery (ORBAT), for meeting the demanding requirements of cost, eco-friendliness, and durability for large-scale energy storage. ORBAT employs two different water-soluble organic redox couples on the positive and negative side of a flow battery. Redox couples such as quinones are particularly attractive for this application. No precious metal catalyst is needed because of the fast proton-coupled electron transfer processes. Furthermore, in acid media, the quinones exhibit good chemical stability. These properties render quinone-based redox couples very attractive for high-efficiency metal-free rechargeable batteries. We demonstrate the rechargeability of ORBAT with anthraquinone-2-sulfonic acid or anthraquinone-2,6-disulfonic acid on the negative side, and 1,2-dihydrobenzoquinone- 3,5-disulfonic acid on the positive side. The ORBAT cell uses a membrane-electrode assembly configuration similar to that used in polymer electrolyte fuel cells. Such a battery can be charged and discharged multiple times at high faradaic efficiency without any noticeable degradation of performance. We show that solubility and mass transport properties of the reactants and products are paramount to achieving high current densities and high efficiency. The ORBAT configuration presents a unique opportunity for developing an inexpensive and sustainable metal-free rechargeable battery for large-scale electrical energy storage.","author":[{"dropping-particle":"","family":"Yang","given":"Bo","non-dropping-particle":"","parse-names":false,"suffix":""},{"dropping-particle":"","family":"Hoober-Burkhardt","given":"Lena","non-dropping-particle":"","parse-names":false,"suffix":""},{"dropping-particle":"","family":"Wang","given":"Fang","non-dropping-particle":"","parse-names":false,"suffix":""},{"dropping-particle":"","family":"Surya Prakash","given":"G. K.","non-dropping-particle":"","parse-names":false,"suffix":""},{"dropping-particle":"","family":"Narayanan","given":"S. R.","non-dropping-particle":"","parse-names":false,"suffix":""}],"container-title":"Journal of The Electrochemical Society","id":"ITEM-3","issue":"9","issued":{"date-parts":[["2014"]]},"page":"A1371-A1380","title":"An Inexpensive Aqueous Flow Battery for Large-Scale Electrical Energy Storage Based on Water-Soluble Organic Redox Couples","type":"article-journal","volume":"161"},"uris":["http://www.mendeley.com/documents/?uuid=cb5c17f2-9e0b-4de1-8885-6f5229ddca04"]},{"id":"ITEM-4","itemData":{"DOI":"10.1021/acsenergylett.9b01332","author":[{"dropping-particle":"","family":"Luo","given":"Jian","non-dropping-particle":"","parse-names":false,"suffix":""},{"dropping-particle":"","family":"Hu","given":"Bo","non-dropping-particle":"","parse-names":false,"suffix":""},{"dropping-particle":"","family":"Hu","given":"Maowei","non-dropping-particle":"","parse-names":false,"suffix":""},{"dropping-particle":"","family":"Zhao","given":"Yu","non-dropping-particle":"","parse-names":false,"suffix":""},{"dropping-particle":"","family":"Liu","given":"Leo","non-dropping-particle":"","parse-names":false,"suffix":""}],"container-title":"ACS Energy Letters","id":"ITEM-4","issued":{"date-parts":[["2019"]]},"page":"2220-2240","title":"Status and Prospects of Organic Redox Flow Batteries toward Sustainable Energy Storage","type":"article-journal","volume":"4"},"uris":["http://www.mendeley.com/documents/?uuid=c865ae64-b2d4-4b98-90ae-d9825abfdd33"]},{"id":"ITEM-5","itemData":{"DOI":"10.1039/c6ee03554j","ISSN":"17545706","abstract":"Highly soluble iodide/triiodide (I-/I3-) couples are one of the most promising redox-active species for high-energy-density electrochemical energy storage applications. However, to ensure high reversibility, only two-thirds of the iodide capacity is accessed and one-third of the iodide ions act as a complexing agent to stabilize the iodine (I2), forming I3- (I2I-). Here, we exploit bromide ions (Br-) as a complexing agent to stabilize the iodine, forming iodine-bromide ions (I2Br-), which frees up iodide ions and increases the capacity. Applying this strategy, we demonstrate a novel zinc/iodine-bromide battery to achieve an energy density of 101 W h Lposolyte+negolyte-1 (or 202 W h Lposolyte-1), which is the highest energy density achieved for aqueous flow batteries to date. This strategy can be further generalized to nonaqueous iodide-based batteries (i.e. lithium/polyiodide battery), offering new opportunities to improve high-energy iodide-based energy storage technologies.","author":[{"dropping-particle":"","family":"Weng","given":"Guo Ming","non-dropping-particle":"","parse-names":false,"suffix":""},{"dropping-particle":"","family":"Li","given":"Zhejun","non-dropping-particle":"","parse-names":false,"suffix":""},{"dropping-particle":"","family":"Cong","given":"Guangtao","non-dropping-particle":"","parse-names":false,"suffix":""},{"dropping-particle":"","family":"Zhou","given":"Yucun","non-dropping-particle":"","parse-names":false,"suffix":""},{"dropping-particle":"","family":"Lu","given":"Yi Chun","non-dropping-particle":"","parse-names":false,"suffix":""}],"container-title":"Energy and Environmental Science","id":"ITEM-5","issue":"3","issued":{"date-parts":[["2017"]]},"page":"735-741","publisher":"Royal Society of Chemistry","title":"Unlocking the capacity of iodide for high-energy-density zinc/polyiodide and lithium/polyiodide redox flow batteries","type":"article-journal","volume":"10"},"uris":["http://www.mendeley.com/documents/?uuid=08bad74e-da5f-440d-affa-7695ea24a61e"]},{"id":"ITEM-6","itemData":{"DOI":"10.1021/jacs.6b10984","author":[{"dropping-particle":"","family":"Hu","given":"Bo","non-dropping-particle":"","parse-names":false,"suffix":""},{"dropping-particle":"","family":"Debruler","given":"Camden","non-dropping-particle":"","parse-names":false,"suffix":""},{"dropping-particle":"","family":"Rhodes","given":"Zayn","non-dropping-particle":"","parse-names":false,"suffix":""},{"dropping-particle":"","family":"Liu","given":"T Leo","non-dropping-particle":"","parse-names":false,"suffix":""}],"container-title":"Journal of the American Chemical Society","id":"ITEM-6","issued":{"date-parts":[["2017"]]},"page":"1207-1214","title":"Long-Cycling Aqueous Organic Redox Flow Battery (AORFB) toward Sustainable and Safe Energy Storage","type":"article-journal","volume":"139"},"uris":["http://www.mendeley.com/documents/?uuid=aa2a5a14-eb57-4505-86fd-c1dd2dc12789"]}],"mendeley":{"formattedCitation":"[1–6]","plainTextFormattedCitation":"[1–6]","previouslyFormattedCitation":"[1–6]"},"properties":{"noteIndex":0},"schema":"https://github.com/citation-style-language/schema/raw/master/csl-citation.json"}</w:instrText>
      </w:r>
      <w:r w:rsidRPr="00B4448E">
        <w:rPr>
          <w:rFonts w:ascii="Times New Roman" w:hAnsi="Times New Roman"/>
        </w:rPr>
        <w:fldChar w:fldCharType="separate"/>
      </w:r>
      <w:r w:rsidR="00B464FF" w:rsidRPr="00B4448E">
        <w:rPr>
          <w:rFonts w:ascii="Times New Roman" w:hAnsi="Times New Roman"/>
          <w:noProof/>
        </w:rPr>
        <w:t>[1–6]</w:t>
      </w:r>
      <w:r w:rsidRPr="00B4448E">
        <w:rPr>
          <w:rFonts w:ascii="Times New Roman" w:hAnsi="Times New Roman"/>
        </w:rPr>
        <w:fldChar w:fldCharType="end"/>
      </w:r>
      <w:r w:rsidR="0046525A" w:rsidRPr="00B4448E">
        <w:rPr>
          <w:rFonts w:ascii="Times New Roman" w:hAnsi="Times New Roman"/>
        </w:rPr>
        <w:t>.</w:t>
      </w:r>
      <w:r w:rsidRPr="00B4448E">
        <w:rPr>
          <w:rFonts w:ascii="Times New Roman" w:hAnsi="Times New Roman"/>
        </w:rPr>
        <w:t xml:space="preserve"> </w:t>
      </w:r>
      <w:r w:rsidR="002F51A9" w:rsidRPr="00B4448E">
        <w:rPr>
          <w:rFonts w:ascii="Times New Roman" w:hAnsi="Times New Roman"/>
        </w:rPr>
        <w:t xml:space="preserve">Redox flow batteries </w:t>
      </w:r>
      <w:r w:rsidR="006D239C" w:rsidRPr="00B4448E">
        <w:rPr>
          <w:rFonts w:ascii="Times New Roman" w:hAnsi="Times New Roman"/>
          <w:szCs w:val="24"/>
        </w:rPr>
        <w:t>are a promising</w:t>
      </w:r>
      <w:r w:rsidRPr="00B4448E">
        <w:rPr>
          <w:rFonts w:ascii="Times New Roman" w:hAnsi="Times New Roman"/>
          <w:szCs w:val="24"/>
        </w:rPr>
        <w:t xml:space="preserve"> techn</w:t>
      </w:r>
      <w:r w:rsidRPr="00B4448E">
        <w:rPr>
          <w:rFonts w:ascii="Times New Roman" w:hAnsi="Times New Roman"/>
        </w:rPr>
        <w:t xml:space="preserve">ology for grid scale </w:t>
      </w:r>
      <w:r w:rsidR="00744F5F" w:rsidRPr="00B4448E">
        <w:rPr>
          <w:rFonts w:ascii="Times New Roman" w:hAnsi="Times New Roman"/>
        </w:rPr>
        <w:t xml:space="preserve">stationary energy </w:t>
      </w:r>
      <w:r w:rsidRPr="00B4448E">
        <w:rPr>
          <w:rFonts w:ascii="Times New Roman" w:hAnsi="Times New Roman"/>
        </w:rPr>
        <w:t xml:space="preserve">storage </w:t>
      </w:r>
      <w:r w:rsidR="002F51A9" w:rsidRPr="00B4448E">
        <w:rPr>
          <w:rFonts w:ascii="Times New Roman" w:hAnsi="Times New Roman"/>
        </w:rPr>
        <w:t xml:space="preserve">to </w:t>
      </w:r>
      <w:r w:rsidR="00626EAF" w:rsidRPr="00B4448E">
        <w:rPr>
          <w:rFonts w:ascii="Times New Roman" w:hAnsi="Times New Roman"/>
          <w:szCs w:val="24"/>
        </w:rPr>
        <w:t xml:space="preserve">complement </w:t>
      </w:r>
      <w:r w:rsidRPr="00B4448E">
        <w:rPr>
          <w:rFonts w:ascii="Times New Roman" w:hAnsi="Times New Roman"/>
          <w:szCs w:val="24"/>
        </w:rPr>
        <w:t>renewable energy</w:t>
      </w:r>
      <w:r w:rsidR="002F51A9" w:rsidRPr="00B4448E">
        <w:rPr>
          <w:rFonts w:ascii="Times New Roman" w:hAnsi="Times New Roman"/>
          <w:szCs w:val="24"/>
        </w:rPr>
        <w:t xml:space="preserve"> systems</w:t>
      </w:r>
      <w:r w:rsidR="00626EAF" w:rsidRPr="00B4448E">
        <w:rPr>
          <w:rFonts w:ascii="Times New Roman" w:hAnsi="Times New Roman"/>
          <w:szCs w:val="24"/>
        </w:rPr>
        <w:t xml:space="preserve"> and have </w:t>
      </w:r>
      <w:r w:rsidR="00E223E6" w:rsidRPr="00B4448E">
        <w:rPr>
          <w:rFonts w:ascii="Times New Roman" w:hAnsi="Times New Roman"/>
          <w:szCs w:val="24"/>
        </w:rPr>
        <w:t>attracted interest from academic research and industrial development</w:t>
      </w:r>
      <w:r w:rsidRPr="00B4448E">
        <w:rPr>
          <w:rFonts w:ascii="Times New Roman" w:hAnsi="Times New Roman"/>
          <w:szCs w:val="24"/>
        </w:rPr>
        <w:t xml:space="preserve"> </w:t>
      </w:r>
      <w:r w:rsidRPr="00B4448E">
        <w:rPr>
          <w:rFonts w:ascii="Times New Roman" w:hAnsi="Times New Roman"/>
          <w:szCs w:val="24"/>
        </w:rPr>
        <w:fldChar w:fldCharType="begin" w:fldLock="1"/>
      </w:r>
      <w:r w:rsidR="00366A0B" w:rsidRPr="00B4448E">
        <w:rPr>
          <w:rFonts w:ascii="Times New Roman" w:hAnsi="Times New Roman"/>
        </w:rPr>
        <w:instrText>ADDIN CSL_CITATION {"citationItems":[{"id":"ITEM-1","itemData":{"DOI":"10.1021/acsenergylett.7b01302","author":[{"dropping-particle":"","family":"Debruler","given":"Camden","non-dropping-particle":"","parse-names":false,"suffix":""},{"dropping-particle":"","family":"Hu","given":"Bo","non-dropping-particle":"","parse-names":false,"suffix":""},{"dropping-particle":"","family":"Moss","given":"Jared","non-dropping-particle":"","parse-names":false,"suffix":""},{"dropping-particle":"","family":"Luo","given":"Jian","non-dropping-particle":"","parse-names":false,"suffix":""},{"dropping-particle":"","family":"Liu","given":"T Leo","non-dropping-particle":"","parse-names":false,"suffix":""}],"container-title":"ACS Energy Letters","id":"ITEM-1","issued":{"date-parts":[["2018"]]},"page":"663-668","title":"A Sulfonate-Functionalized Viologen Enabling Neutral Cation Exchange, Aqueous Organic Redox Flow Batteries toward Renewable Energy Storage","type":"article-journal","volume":"3"},"uris":["http://www.mendeley.com/documents/?uuid=8a971541-9e0d-4d07-9cf3-d6fe965336b6"]},{"id":"ITEM-2","itemData":{"DOI":"10.1038/nature15746","author":[{"dropping-particle":"","family":"Janoschka","given":"Tobias","non-dropping-particle":"","parse-names":false,"suffix":""},{"dropping-particle":"","family":"Martin","given":"Norbert","non-dropping-particle":"","parse-names":false,"suffix":""},{"dropping-particle":"","family":"Martin","given":"Udo","non-dropping-particle":"","parse-names":false,"suffix":""},{"dropping-particle":"","family":"Friebe","given":"Christian","non-dropping-particle":"","parse-names":false,"suffix":""},{"dropping-particle":"","family":"Morgenstern","given":"Sabine","non-dropping-particle":"","parse-names":false,"suffix":""},{"dropping-particle":"","family":"Hiller","given":"Hannes","non-dropping-particle":"","parse-names":false,"suffix":""},{"dropping-particle":"","family":"Hager","given":"Martin D","non-dropping-particle":"","parse-names":false,"suffix":""},{"dropping-particle":"","family":"Schubert","given":"Ulrich S","non-dropping-particle":"","parse-names":false,"suffix":""}],"container-title":"Nature","id":"ITEM-2","issue":"V","issued":{"date-parts":[["2015"]]},"page":"78-81","title":"An aqueous, polymer-based redox-flow battery using non-corrosive, safe, and low-cost materials","type":"article-journal","volume":"527"},"uris":["http://www.mendeley.com/documents/?uuid=406fd80f-1f38-4af7-ae9f-39f6fd00ae5c"]},{"id":"ITEM-3","itemData":{"DOI":"10.1038/NENERGY.2016.102","author":[{"dropping-particle":"","family":"Lin","given":"Kaixiang","non-dropping-particle":"","parse-names":false,"suffix":""},{"dropping-particle":"","family":"Gómez-bombarelli","given":"Rafael","non-dropping-particle":"","parse-names":false,"suffix":""},{"dropping-particle":"","family":"Beh","given":"Eugene S","non-dropping-particle":"","parse-names":false,"suffix":""},{"dropping-particle":"","family":"Tong","given":"Liuchuan","non-dropping-particle":"","parse-names":false,"suffix":""},{"dropping-particle":"","family":"Chen","given":"Qing","non-dropping-particle":"","parse-names":false,"suffix":""},{"dropping-particle":"","family":"Valle","given":"Alvaro","non-dropping-particle":"","parse-names":false,"suffix":""},{"dropping-particle":"","family":"Aspuru-guzik","given":"Alán","non-dropping-particle":"","parse-names":false,"suffix":""},{"dropping-particle":"","family":"Aziz","given":"Michael J","non-dropping-particle":"","parse-names":false,"suffix":""},{"dropping-particle":"","family":"Gordon","given":"Roy G","non-dropping-particle":"","parse-names":false,"suffix":""}],"container-title":"Nature Energy","id":"ITEM-3","issue":"July","issued":{"date-parts":[["2016"]]},"page":"1-8","title":"A redox-flow battery with an alloxazine-based organic electrolyte","type":"article-journal","volume":"1"},"uris":["http://www.mendeley.com/documents/?uuid=b0e640c2-8d34-49ae-a60f-775d2f349dba"]}],"mendeley":{"formattedCitation":"[7–9]","manualFormatting":"[7–9","plainTextFormattedCitation":"[7–9]","previouslyFormattedCitation":"[7–9]"},"properties":{"noteIndex":0},"schema":"https://github.com/citation-style-language/schema/raw/master/csl-citation.json"}</w:instrText>
      </w:r>
      <w:r w:rsidRPr="00B4448E">
        <w:rPr>
          <w:rFonts w:ascii="Times New Roman" w:hAnsi="Times New Roman"/>
          <w:szCs w:val="24"/>
        </w:rPr>
        <w:fldChar w:fldCharType="separate"/>
      </w:r>
      <w:r w:rsidR="00B464FF" w:rsidRPr="00B4448E">
        <w:rPr>
          <w:rFonts w:ascii="Times New Roman" w:hAnsi="Times New Roman"/>
          <w:noProof/>
        </w:rPr>
        <w:t>[7–9</w:t>
      </w:r>
      <w:r w:rsidRPr="00B4448E">
        <w:rPr>
          <w:rFonts w:ascii="Times New Roman" w:hAnsi="Times New Roman"/>
          <w:szCs w:val="24"/>
        </w:rPr>
        <w:fldChar w:fldCharType="end"/>
      </w:r>
      <w:r w:rsidRPr="00B4448E">
        <w:rPr>
          <w:rFonts w:ascii="Times New Roman" w:hAnsi="Times New Roman"/>
          <w:szCs w:val="24"/>
        </w:rPr>
        <w:fldChar w:fldCharType="begin" w:fldLock="1"/>
      </w:r>
      <w:r w:rsidR="005F759E" w:rsidRPr="00B4448E">
        <w:rPr>
          <w:rFonts w:ascii="Times New Roman" w:hAnsi="Times New Roman"/>
          <w:szCs w:val="24"/>
        </w:rPr>
        <w:instrText>ADDIN CSL_CITATION {"citationItems":[{"id":"ITEM-1","itemData":{"DOI":"10.1038/nature12909","author":[{"dropping-particle":"","family":"Huskinson","given":"Brian","non-dropping-particle":"","parse-names":false,"suffix":""},{"dropping-particle":"","family":"Marshak","given":"Michael P","non-dropping-particle":"","parse-names":false,"suffix":""},{"dropping-particle":"","family":"Suh","given":"Changwon","non-dropping-particle":"","parse-names":false,"suffix":""},{"dropping-particle":"","family":"Er","given":"S¨uleyman","non-dropping-particle":"","parse-names":false,"suffix":""},{"dropping-particle":"","family":"Gerhardt","given":"Michael R","non-dropping-particle":"","parse-names":false,"suffix":""},{"dropping-particle":"","family":"Galvin","given":"Cooper J","non-dropping-particle":"","parse-names":false,"suffix":""},{"dropping-particle":"","family":"Chen","given":"Xudong","non-dropping-particle":"","parse-names":false,"suffix":""},{"dropping-particle":"","family":"Aspuru-Guzik","given":"Ala´n","non-dropping-particle":"","parse-names":false,"suffix":""},{"dropping-particle":"","family":"Gordon","given":"Roy G.","non-dropping-particle":"","parse-names":false,"suffix":""},{"dropping-particle":"","family":"Aziz","given":"Michael J.","non-dropping-particle":"","parse-names":false,"suffix":""}],"container-title":"Nature","id":"ITEM-1","issued":{"date-parts":[["2014"]]},"page":"195-198","title":"A metal-free organic– inorganic aqueous flow battery","type":"article-journal","volume":"5 0 5"},"uris":["http://www.mendeley.com/documents/?uuid=89eb802f-7818-476d-87ae-120cb5c0a363"]}],"mendeley":{"formattedCitation":"[10]","manualFormatting":",10]","plainTextFormattedCitation":"[10]","previouslyFormattedCitation":"[10]"},"properties":{"noteIndex":0},"schema":"https://github.com/citation-style-language/schema/raw/master/csl-citation.json"}</w:instrText>
      </w:r>
      <w:r w:rsidRPr="00B4448E">
        <w:rPr>
          <w:rFonts w:ascii="Times New Roman" w:hAnsi="Times New Roman"/>
          <w:szCs w:val="24"/>
        </w:rPr>
        <w:fldChar w:fldCharType="separate"/>
      </w:r>
      <w:r w:rsidR="005F759E" w:rsidRPr="00B4448E">
        <w:rPr>
          <w:rFonts w:ascii="Times New Roman" w:hAnsi="Times New Roman"/>
          <w:noProof/>
          <w:szCs w:val="24"/>
        </w:rPr>
        <w:t>,10]</w:t>
      </w:r>
      <w:r w:rsidRPr="00B4448E">
        <w:rPr>
          <w:rFonts w:ascii="Times New Roman" w:hAnsi="Times New Roman"/>
          <w:szCs w:val="24"/>
        </w:rPr>
        <w:fldChar w:fldCharType="end"/>
      </w:r>
      <w:r w:rsidR="00366A0B" w:rsidRPr="00B4448E">
        <w:rPr>
          <w:rFonts w:ascii="Times New Roman" w:hAnsi="Times New Roman"/>
          <w:szCs w:val="24"/>
        </w:rPr>
        <w:t>.</w:t>
      </w:r>
      <w:r w:rsidRPr="00B4448E">
        <w:rPr>
          <w:rFonts w:ascii="Times New Roman" w:hAnsi="Times New Roman"/>
        </w:rPr>
        <w:t xml:space="preserve"> </w:t>
      </w:r>
      <w:r w:rsidR="00626EAF" w:rsidRPr="00B4448E">
        <w:rPr>
          <w:rFonts w:ascii="Times New Roman" w:hAnsi="Times New Roman"/>
        </w:rPr>
        <w:t>Unlike other energy storage technologies</w:t>
      </w:r>
      <w:r w:rsidR="002A4FD0" w:rsidRPr="00B4448E">
        <w:rPr>
          <w:rFonts w:ascii="Times New Roman" w:hAnsi="Times New Roman"/>
        </w:rPr>
        <w:t>,</w:t>
      </w:r>
      <w:r w:rsidR="00626EAF" w:rsidRPr="00B4448E">
        <w:rPr>
          <w:rFonts w:ascii="Times New Roman" w:hAnsi="Times New Roman"/>
        </w:rPr>
        <w:t xml:space="preserve"> </w:t>
      </w:r>
      <w:r w:rsidRPr="00B4448E">
        <w:rPr>
          <w:rFonts w:ascii="Times New Roman" w:hAnsi="Times New Roman"/>
        </w:rPr>
        <w:t xml:space="preserve">RFBs </w:t>
      </w:r>
      <w:r w:rsidR="00626EAF" w:rsidRPr="00B4448E">
        <w:rPr>
          <w:rFonts w:ascii="Times New Roman" w:hAnsi="Times New Roman"/>
        </w:rPr>
        <w:t>offer</w:t>
      </w:r>
      <w:r w:rsidRPr="00B4448E">
        <w:rPr>
          <w:rFonts w:ascii="Times New Roman" w:hAnsi="Times New Roman"/>
        </w:rPr>
        <w:t xml:space="preserve"> </w:t>
      </w:r>
      <w:r w:rsidR="00B924F5" w:rsidRPr="00B4448E">
        <w:rPr>
          <w:rFonts w:ascii="Times New Roman" w:hAnsi="Times New Roman"/>
        </w:rPr>
        <w:t xml:space="preserve">a </w:t>
      </w:r>
      <w:r w:rsidRPr="00B4448E">
        <w:rPr>
          <w:rFonts w:ascii="Times New Roman" w:hAnsi="Times New Roman"/>
        </w:rPr>
        <w:t>long life-time, decoupled energy (arbitrarily large storage volume and concentration) and power</w:t>
      </w:r>
      <w:r w:rsidRPr="00B4448E">
        <w:rPr>
          <w:rFonts w:ascii="Times New Roman" w:eastAsiaTheme="minorHAnsi" w:hAnsi="Times New Roman"/>
          <w:sz w:val="21"/>
          <w:szCs w:val="21"/>
          <w:lang w:val="en-CA"/>
        </w:rPr>
        <w:t xml:space="preserve"> </w:t>
      </w:r>
      <w:r w:rsidRPr="00B4448E">
        <w:rPr>
          <w:rFonts w:ascii="Times New Roman" w:hAnsi="Times New Roman"/>
          <w:lang w:val="en-CA"/>
        </w:rPr>
        <w:t>(electrode area)</w:t>
      </w:r>
      <w:r w:rsidRPr="00B4448E">
        <w:rPr>
          <w:rFonts w:ascii="Times New Roman" w:hAnsi="Times New Roman"/>
        </w:rPr>
        <w:t xml:space="preserve">, high round-trip efficiency, scalability and design flexibility, fast response, and low environmental impacts </w:t>
      </w:r>
      <w:r w:rsidRPr="00B4448E">
        <w:rPr>
          <w:rFonts w:ascii="Times New Roman" w:hAnsi="Times New Roman"/>
        </w:rPr>
        <w:fldChar w:fldCharType="begin" w:fldLock="1"/>
      </w:r>
      <w:r w:rsidR="00FA328E" w:rsidRPr="00B4448E">
        <w:rPr>
          <w:rFonts w:ascii="Times New Roman" w:hAnsi="Times New Roman"/>
        </w:rPr>
        <w:instrText>ADDIN CSL_CITATION {"citationItems":[{"id":"ITEM-1","itemData":{"DOI":"10.1016/j.ensm.2018.06.008","ISSN":"24058297","abstract":"As one of the most promising electrochemical energy storage systems, redox flow batteries (RFBs) have received increasing attention due to their attractive features for large-scale storage applications. However, their practical deployment in commerce and industry is still impeded by their relatively high cost and low energy density. Therefore, developments of the next-generation RFBs should address these challenges by exploring new redox-active electrolytes and novel membranes with higher ionic selectivity and conductivity, which help to achieve lower cost, longer life and higher energy and power density. In this review, we present a critical overview of the latest progress on the key components of RFBs, including redox species and membranes. Current progress on optimization strategies of the performance of RFB systems, computational modeling, prospects and opportunities in exploration of the advanced RFB systems are also summarized.","author":[{"dropping-particle":"","family":"Zhang","given":"Changkun","non-dropping-particle":"","parse-names":false,"suffix":""},{"dropping-particle":"","family":"Zhang","given":"Leyuan","non-dropping-particle":"","parse-names":false,"suffix":""},{"dropping-particle":"","family":"Ding","given":"Yu","non-dropping-particle":"","parse-names":false,"suffix":""},{"dropping-particle":"","family":"Peng","given":"Sangshan","non-dropping-particle":"","parse-names":false,"suffix":""},{"dropping-particle":"","family":"Guo","given":"Xuelin","non-dropping-particle":"","parse-names":false,"suffix":""},{"dropping-particle":"","family":"Zhao","given":"Yu","non-dropping-particle":"","parse-names":false,"suffix":""},{"dropping-particle":"","family":"He","given":"Gaohong","non-dropping-particle":"","parse-names":false,"suffix":""},{"dropping-particle":"","family":"Yu","given":"Guihua","non-dropping-particle":"","parse-names":false,"suffix":""}],"container-title":"Energy Storage Materials","id":"ITEM-1","issue":"June","issued":{"date-parts":[["2018"]]},"page":"324-350","publisher":"Elsevier B.V.","title":"Progress and prospects of next-generation redox flow batteries","type":"article-journal","volume":"15"},"uris":["http://www.mendeley.com/documents/?uuid=6afb9fcc-62a2-4a69-afac-8de3d31888a9"]},{"id":"ITEM-2","itemData":{"DOI":"10.1021/acsenergylett.6b00255","author":[{"dropping-particle":"","family":"Wei","given":"Xiaoliang","non-dropping-particle":"","parse-names":false,"suffix":""},{"dropping-particle":"","family":"Duan","given":"Wentao","non-dropping-particle":"","parse-names":false,"suffix":""},{"dropping-particle":"","family":"Huang","given":"Jinhua","non-dropping-particle":"","parse-names":false,"suffix":""},{"dropping-particle":"","family":"Zhang","given":"Lu","non-dropping-particle":"","parse-names":false,"suffix":""},{"dropping-particle":"","family":"Li","given":"Bin","non-dropping-particle":"","parse-names":false,"suffix":""},{"dropping-particle":"","family":"Reed","given":"David","non-dropping-particle":"","parse-names":false,"suffix":""},{"dropping-particle":"","family":"Xu","given":"Wu","non-dropping-particle":"","parse-names":false,"suffix":""},{"dropping-particle":"","family":"Sprenkle","given":"Vincent","non-dropping-particle":"","parse-names":false,"suffix":""},{"dropping-particle":"","family":"Wang","given":"Wei","non-dropping-particle":"","parse-names":false,"suffix":""}],"container-title":"ACS Energy Letters","id":"ITEM-2","issued":{"date-parts":[["2016"]]},"page":"705-711","title":"A High-Current, Stable Nonaqueous Organic Redox Flow Battery","type":"article-journal","volume":"1"},"uris":["http://www.mendeley.com/documents/?uuid=df04eccd-c14d-4222-af0a-7646aad75184"]},{"id":"ITEM-3","itemData":{"DOI":"10.1021/acsenergylett.7b00019","author":[{"dropping-particle":"","family":"Beh","given":"Eugene S","non-dropping-particle":"","parse-names":false,"suffix":""},{"dropping-particle":"De","family":"Porcellinis","given":"Diana","non-dropping-particle":"","parse-names":false,"suffix":""},{"dropping-particle":"","family":"Gracia","given":"Rebecca L","non-dropping-particle":"","parse-names":false,"suffix":""},{"dropping-particle":"","family":"Xia","given":"Kay T","non-dropping-particle":"","parse-names":false,"suffix":""},{"dropping-particle":"","family":"Gordon","given":"Roy G","non-dropping-particle":"","parse-names":false,"suffix":""},{"dropping-particle":"","family":"Aziz","given":"Michael J","non-dropping-particle":"","parse-names":false,"suffix":""}],"container-title":"ACS Energy Letters","id":"ITEM-3","issued":{"date-parts":[["2017"]]},"page":"639-644","title":"A Neutral pH Aqueous Organic − Organometallic Redox Flow Battery with Extremely High Capacity Retention","type":"article-journal","volume":"2"},"uris":["http://www.mendeley.com/documents/?uuid=7f867441-bad6-44fe-80af-5987dc32a61e"]},{"id":"ITEM-4","itemData":{"DOI":"10.1021/acsenergylett.9b01332","author":[{"dropping-particle":"","family":"Luo","given":"Jian","non-dropping-particle":"","parse-names":false,"suffix":""},{"dropping-particle":"","family":"Hu","given":"Bo","non-dropping-particle":"","parse-names":false,"suffix":""},{"dropping-particle":"","family":"Hu","given":"Maowei","non-dropping-particle":"","parse-names":false,"suffix":""},{"dropping-particle":"","family":"Zhao","given":"Yu","non-dropping-particle":"","parse-names":false,"suffix":""},{"dropping-particle":"","family":"Liu","given":"Leo","non-dropping-particle":"","parse-names":false,"suffix":""}],"container-title":"ACS Energy Letters","id":"ITEM-4","issued":{"date-parts":[["2019"]]},"page":"2220-2240","title":"Status and Prospects of Organic Redox Flow Batteries toward Sustainable Energy Storage","type":"article-journal","volume":"4"},"uris":["http://www.mendeley.com/documents/?uuid=c865ae64-b2d4-4b98-90ae-d9825abfdd33"]},{"id":"ITEM-5","itemData":{"DOI":"10.1002/aenm.201200322","author":[{"dropping-particle":"","family":"Brushett","given":"Fikile R","non-dropping-particle":"","parse-names":false,"suffix":""},{"dropping-particle":"","family":"Vaughey","given":"John T","non-dropping-particle":"","parse-names":false,"suffix":""},{"dropping-particle":"","family":"Jansen","given":"Andrew N","non-dropping-particle":"","parse-names":false,"suffix":""}],"container-title":"Advanced Energy Materials","id":"ITEM-5","issued":{"date-parts":[["2012"]]},"page":"1390-1396","title":"An All-Organic Non-aqueous Lithium-Ion Redox Flow Battery","type":"article-journal","volume":"2"},"uris":["http://www.mendeley.com/documents/?uuid=7a9a264d-25a8-42f5-b8f4-499f1eebf1bf"]},{"id":"ITEM-6","itemData":{"DOI":"10.1002/anie.201600705","author":[{"dropping-particle":"","family":"Ding","given":"Yu","non-dropping-particle":"","parse-names":false,"suffix":""},{"dropping-particle":"","family":"Yu","given":"Guihua","non-dropping-particle":"","parse-names":false,"suffix":""}],"container-title":"Angewandte Chemie","id":"ITEM-6","issued":{"date-parts":[["2016"]]},"page":"4772-4776","title":"A Bio-Inspired , Heavy-Metal-Free , Dual-Electrolyte Liquid Battery towards Sustainable Energy Storage","type":"article-journal","volume":"55"},"uris":["http://www.mendeley.com/documents/?uuid=ea24865b-566f-4176-bbab-d283aa1c2491"]},{"id":"ITEM-7","itemData":{"DOI":"10.1039/c6ee02057g","author":[{"dropping-particle":"","family":"Ding","given":"Yu","non-dropping-particle":"","parse-names":false,"suffix":""},{"dropping-particle":"","family":"Zhao","given":"Yu","non-dropping-particle":"","parse-names":false,"suffix":""},{"dropping-particle":"","family":"Li","given":"Yutao","non-dropping-particle":"","parse-names":false,"suffix":""},{"dropping-particle":"","family":"Goodenough","given":"John B","non-dropping-particle":"","parse-names":false,"suffix":""},{"dropping-particle":"","family":"Yu","given":"Guihua","non-dropping-particle":"","parse-names":false,"suffix":""}],"container-title":"Energy Environ. Sci.","id":"ITEM-7","issue":"2","issued":{"date-parts":[["2017"]]},"page":"491-497","publisher":"Royal Society of Chemistry","title":"A high-performance all-metallocene-based, non-aqueous redox flow battery","type":"article-journal","volume":"10"},"uris":["http://www.mendeley.com/documents/?uuid=10a84199-e721-4f55-b9c0-5a009aa05ceb"]},{"id":"ITEM-8","itemData":{"DOI":"10.1039/c8ee02825g","ISSN":"17545706","abstract":"A zinc-iodine single flow battery (ZISFB) with super high energy density, efficiency and stability was designed and presented for the first time. In this design, an electrolyte with very high concentration (7.5 M KI and 3.75 M ZnBr2) was sealed at the positive side. Thanks to the high solubility of KI, it fully meets the areal capacity of zinc deposition on the negative side. Most importantly, the ZISFB can be charged to nearly 100% state of charge (SOC) or I- can be fully charged to solid state I2 so as to get a maximum energy density. Besides, the blockage of the pump and pipelines on the positive side caused by solid I2 can be inhibited due to the avoidance of electrolyte circulation. Besides, the employment of a highly composite porous polyolefin ion conducting membrane with a super thin Nafion layer effectively improved the membrane selectivity. As a result, the ZISFB demonstrated a CE of 97% and an EE of 81% at a current density of 40 mA cm-2, and the battery could continuously run for more than 500 cycles. The battery demonstrated a high energy density of 205 W h L-1 (theoretical energy density is about 240 W h L-1) (7.5 M KI and 3.75 M ZnBr2 as the electrolyte), which is the highest cycling energy density ever reported. With super high energy density, long cycling life, and a simple structure, a ZISFB becomes a very promising candidate for large scale energy storage and even for power batteries.","author":[{"dropping-particle":"","family":"Xie","given":"Congxin","non-dropping-particle":"","parse-names":false,"suffix":""},{"dropping-particle":"","family":"Liu","given":"Yun","non-dropping-particle":"","parse-names":false,"suffix":""},{"dropping-particle":"","family":"Lu","given":"Wenjing","non-dropping-particle":"","parse-names":false,"suffix":""},{"dropping-particle":"","family":"Zhang","given":"Huamin","non-dropping-particle":"","parse-names":false,"suffix":""},{"dropping-particle":"","family":"Li","given":"Xianfeng","non-dropping-particle":"","parse-names":false,"suffix":""}],"container-title":"Energy and Environmental Science","id":"ITEM-8","issue":"6","issued":{"date-parts":[["2019"]]},"page":"1834-1839","publisher":"Royal Society of Chemistry","title":"Highly stable zinc-iodine single flow batteries with super high energy density for stationary energy storage","type":"article-journal","volume":"12"},"uris":["http://www.mendeley.com/documents/?uuid=bbfb903b-16e2-4f41-8c9c-e3a6ab000694"]},{"id":"ITEM-9","itemData":{"DOI":"10.1021/acsenergylett.0c00611","author":[{"dropping-particle":"","family":"Zhou","given":"Yucun","non-dropping-particle":"","parse-names":false,"suffix":""},{"dropping-particle":"","family":"Cong","given":"Guangtao","non-dropping-particle":"","parse-names":false,"suffix":""},{"dropping-particle":"","family":"Chen","given":"Hongning","non-dropping-particle":"","parse-names":false,"suffix":""},{"dropping-particle":"","family":"Lai","given":"Nien-chu","non-dropping-particle":"","parse-names":false,"suffix":""},{"dropping-particle":"","family":"Lu","given":"Yi-chun","non-dropping-particle":"","parse-names":false,"suffix":""}],"container-title":"ACS Energy Letters","id":"ITEM-9","issued":{"date-parts":[["2020"]]},"page":"1732-1740","title":"A Self-Mediating Redox Flow Battery : High-","type":"article-journal","volume":"5"},"uris":["http://www.mendeley.com/documents/?uuid=bd76a080-e1a6-41b7-b564-7e107c4acccb"]},{"id":"ITEM-10","itemData":{"DOI":"10.1016/j.est.2017.02.007","ISSN":"2352152X","abstract":"Despite many studies and several extensive reviews of redox flow batteries (RFBs) over the last three decades, information on engineering aspects is scarce, which hinders progress with scale-up and implementation of this energy storage technology. This review summarises cell design requirements then critically considers design, construction and cell features together with their benefits and problems, leading to good practice through improved cell performance, knowledge and experience. Techniques for the characterisation of the reaction environment are illustrated by measurements of mass transport to (and from) electrode surfaces as a function of flow conditions, as well as pressure drop and electrolyte flow dispersion. The influence of design features on performance is illustrated by the effect of process conditions on the components of cell potential. Adequate attention to engineering aspects is seen to be critical to the effective performance of RFBs, particularly during scale-up and long-term operation. Techniques for the characterisation of reaction environment are summarised and a list of essential design and construction factors is provided. Finally, critical areas needing research and development are highlighted.","author":[{"dropping-particle":"","family":"Arenas","given":"L. F.","non-dropping-particle":"","parse-names":false,"suffix":""},{"dropping-particle":"","family":"Ponce de León","given":"C.","non-dropping-particle":"","parse-names":false,"suffix":""},{"dropping-particle":"","family":"Walsh","given":"F. C.","non-dropping-particle":"","parse-names":false,"suffix":""}],"container-title":"Journal of Energy Storage","id":"ITEM-10","issued":{"date-parts":[["2017"]]},"page":"119-153","publisher":"Elsevier Ltd","title":"Engineering aspects of the design, construction and performance of modular redox flow batteries for energy storage","type":"article-journal","volume":"11"},"uris":["http://www.mendeley.com/documents/?uuid=e0e4e868-0465-4bd3-8203-36d905569a10"]}],"mendeley":{"formattedCitation":"[4,11–19]","plainTextFormattedCitation":"[4,11–19]","previouslyFormattedCitation":"[4,11–19]"},"properties":{"noteIndex":0},"schema":"https://github.com/citation-style-language/schema/raw/master/csl-citation.json"}</w:instrText>
      </w:r>
      <w:r w:rsidRPr="00B4448E">
        <w:rPr>
          <w:rFonts w:ascii="Times New Roman" w:hAnsi="Times New Roman"/>
        </w:rPr>
        <w:fldChar w:fldCharType="separate"/>
      </w:r>
      <w:r w:rsidR="00B464FF" w:rsidRPr="00B4448E">
        <w:rPr>
          <w:rFonts w:ascii="Times New Roman" w:hAnsi="Times New Roman"/>
          <w:noProof/>
        </w:rPr>
        <w:t>[4,11–19]</w:t>
      </w:r>
      <w:r w:rsidRPr="00B4448E">
        <w:rPr>
          <w:rFonts w:ascii="Times New Roman" w:hAnsi="Times New Roman"/>
        </w:rPr>
        <w:fldChar w:fldCharType="end"/>
      </w:r>
      <w:r w:rsidR="005F759E" w:rsidRPr="00B4448E">
        <w:rPr>
          <w:rFonts w:ascii="Times New Roman" w:hAnsi="Times New Roman"/>
        </w:rPr>
        <w:t>.</w:t>
      </w:r>
      <w:r w:rsidRPr="00B4448E">
        <w:rPr>
          <w:rFonts w:ascii="Times New Roman" w:hAnsi="Times New Roman"/>
        </w:rPr>
        <w:t xml:space="preserve"> </w:t>
      </w:r>
    </w:p>
    <w:p w14:paraId="0086EFAD" w14:textId="77777777" w:rsidR="00C35507" w:rsidRPr="00B4448E" w:rsidRDefault="00C35507" w:rsidP="00352E41">
      <w:pPr>
        <w:pStyle w:val="BGKeywords"/>
        <w:spacing w:after="0"/>
      </w:pPr>
    </w:p>
    <w:p w14:paraId="5F321479" w14:textId="63E94782" w:rsidR="00791F3C" w:rsidRPr="00B4448E" w:rsidRDefault="00C35507" w:rsidP="00352E41">
      <w:pPr>
        <w:pStyle w:val="BGKeywords"/>
        <w:spacing w:after="0"/>
      </w:pPr>
      <w:r w:rsidRPr="00B4448E">
        <w:rPr>
          <w:rFonts w:ascii="Times New Roman" w:hAnsi="Times New Roman"/>
        </w:rPr>
        <w:t xml:space="preserve">Since energy is stored </w:t>
      </w:r>
      <w:r w:rsidR="007E3893" w:rsidRPr="00B4448E">
        <w:rPr>
          <w:rFonts w:ascii="Times New Roman" w:hAnsi="Times New Roman"/>
        </w:rPr>
        <w:t>in the</w:t>
      </w:r>
      <w:r w:rsidRPr="00B4448E">
        <w:rPr>
          <w:rFonts w:ascii="Times New Roman" w:hAnsi="Times New Roman"/>
        </w:rPr>
        <w:t xml:space="preserve"> </w:t>
      </w:r>
      <w:r w:rsidR="00B924F5" w:rsidRPr="00B4448E">
        <w:rPr>
          <w:rFonts w:ascii="Times New Roman" w:hAnsi="Times New Roman"/>
        </w:rPr>
        <w:t xml:space="preserve">active </w:t>
      </w:r>
      <w:r w:rsidRPr="00B4448E">
        <w:rPr>
          <w:rFonts w:ascii="Times New Roman" w:hAnsi="Times New Roman"/>
        </w:rPr>
        <w:t xml:space="preserve">species </w:t>
      </w:r>
      <w:r w:rsidR="007E3893" w:rsidRPr="00B4448E">
        <w:rPr>
          <w:rFonts w:ascii="Times New Roman" w:hAnsi="Times New Roman"/>
        </w:rPr>
        <w:t xml:space="preserve">contained </w:t>
      </w:r>
      <w:r w:rsidRPr="00B4448E">
        <w:rPr>
          <w:rFonts w:ascii="Times New Roman" w:hAnsi="Times New Roman"/>
        </w:rPr>
        <w:t xml:space="preserve">in the electrolytes, the battery performance is </w:t>
      </w:r>
      <w:r w:rsidR="00382563" w:rsidRPr="00B4448E">
        <w:rPr>
          <w:rFonts w:ascii="Times New Roman" w:hAnsi="Times New Roman"/>
        </w:rPr>
        <w:t xml:space="preserve">strongly </w:t>
      </w:r>
      <w:r w:rsidRPr="00B4448E">
        <w:rPr>
          <w:rFonts w:ascii="Times New Roman" w:hAnsi="Times New Roman"/>
        </w:rPr>
        <w:t>influenced by</w:t>
      </w:r>
      <w:r w:rsidR="005515A5" w:rsidRPr="00B4448E">
        <w:rPr>
          <w:rFonts w:ascii="Times New Roman" w:hAnsi="Times New Roman"/>
        </w:rPr>
        <w:t xml:space="preserve"> the </w:t>
      </w:r>
      <w:r w:rsidR="00744F5F" w:rsidRPr="00B4448E">
        <w:rPr>
          <w:rFonts w:ascii="Times New Roman" w:hAnsi="Times New Roman"/>
        </w:rPr>
        <w:t>properties of the</w:t>
      </w:r>
      <w:r w:rsidR="007E3893" w:rsidRPr="00B4448E">
        <w:rPr>
          <w:rFonts w:ascii="Times New Roman" w:hAnsi="Times New Roman"/>
        </w:rPr>
        <w:t>se</w:t>
      </w:r>
      <w:r w:rsidR="00744F5F" w:rsidRPr="00B4448E">
        <w:rPr>
          <w:rFonts w:ascii="Times New Roman" w:hAnsi="Times New Roman"/>
        </w:rPr>
        <w:t xml:space="preserve"> </w:t>
      </w:r>
      <w:r w:rsidR="00CC5FDC" w:rsidRPr="00B4448E">
        <w:rPr>
          <w:rFonts w:ascii="Times New Roman" w:hAnsi="Times New Roman"/>
        </w:rPr>
        <w:t xml:space="preserve">redox-active </w:t>
      </w:r>
      <w:r w:rsidR="00744F5F" w:rsidRPr="00B4448E">
        <w:rPr>
          <w:rFonts w:ascii="Times New Roman" w:hAnsi="Times New Roman"/>
        </w:rPr>
        <w:t xml:space="preserve">components </w:t>
      </w:r>
      <w:r w:rsidR="00CC5FDC" w:rsidRPr="00B4448E">
        <w:rPr>
          <w:rFonts w:ascii="Times New Roman" w:hAnsi="Times New Roman"/>
        </w:rPr>
        <w:t xml:space="preserve">such as solubility, redox </w:t>
      </w:r>
      <w:r w:rsidR="00B924F5" w:rsidRPr="00B4448E">
        <w:rPr>
          <w:rFonts w:ascii="Times New Roman" w:hAnsi="Times New Roman"/>
        </w:rPr>
        <w:t>potential, chemical stability</w:t>
      </w:r>
      <w:r w:rsidR="00CC5FDC" w:rsidRPr="00B4448E">
        <w:rPr>
          <w:rFonts w:ascii="Times New Roman" w:hAnsi="Times New Roman"/>
        </w:rPr>
        <w:t xml:space="preserve"> and cost </w:t>
      </w:r>
      <w:r w:rsidR="00CC5FDC" w:rsidRPr="00B4448E">
        <w:rPr>
          <w:rFonts w:ascii="Times New Roman" w:hAnsi="Times New Roman"/>
        </w:rPr>
        <w:fldChar w:fldCharType="begin" w:fldLock="1"/>
      </w:r>
      <w:r w:rsidR="00FA328E" w:rsidRPr="00B4448E">
        <w:rPr>
          <w:rFonts w:ascii="Times New Roman" w:hAnsi="Times New Roman"/>
        </w:rPr>
        <w:instrText>ADDIN CSL_CITATION {"citationItems":[{"id":"ITEM-1","itemData":{"DOI":"10.1021/acsenergylett.7b00650","author":[{"dropping-particle":"","family":"Wei","given":"Xiaoliang","non-dropping-particle":"","parse-names":false,"suffix":""},{"dropping-particle":"","family":"Pan","given":"Wenxiao","non-dropping-particle":"","parse-names":false,"suffix":""},{"dropping-particle":"","family":"Duan","given":"Wentao","non-dropping-particle":"","parse-names":false,"suffix":""},{"dropping-particle":"","family":"Hollas","given":"Aaron","non-dropping-particle":"","parse-names":false,"suffix":""},{"dropping-particle":"","family":"Yang","given":"Zheng","non-dropping-particle":"","parse-names":false,"suffix":""},{"dropping-particle":"","family":"Li","given":"Bin","non-dropping-particle":"","parse-names":false,"suffix":""},{"dropping-particle":"","family":"Nie","given":"Zimin","non-dropping-particle":"","parse-names":false,"suffix":""},{"dropping-particle":"","family":"Liu","given":"Jun","non-dropping-particle":"","parse-names":false,"suffix":""},{"dropping-particle":"","family":"Reed","given":"David","non-dropping-particle":"","parse-names":false,"suffix":""},{"dropping-particle":"","family":"Wang","given":"Wei","non-dropping-particle":"","parse-names":false,"suffix":""},{"dropping-particle":"","family":"Sprenkle","given":"Vincent","non-dropping-particle":"","parse-names":false,"suffix":""}],"container-title":"ACS Energy Letters","id":"ITEM-1","issued":{"date-parts":[["2017"]]},"page":"2187-2204","title":"Materials and Systems for Organic Redox Flow Batteries: Status and Challenges","type":"article-journal","volume":"2"},"uris":["http://www.mendeley.com/documents/?uuid=50e6d164-b471-4402-a376-4a2560b27bbd"]},{"id":"ITEM-2","itemData":{"DOI":"10.1021/acsenergylett.9b00739","ISSN":"2380-8195","author":[{"dropping-particle":"","family":"Jin","given":"Shijian","non-dropping-particle":"","parse-names":false,"suffix":""},{"dropping-particle":"","family":"Jing","given":"Yan","non-dropping-particle":"","parse-names":false,"suffix":""},{"dropping-particle":"","family":"Kwabi","given":"David G","non-dropping-particle":"","parse-names":false,"suffix":""},{"dropping-particle":"","family":"Ji","given":"Yunlong","non-dropping-particle":"","parse-names":false,"suffix":""},{"dropping-particle":"","family":"Tong","given":"Liuchuan","non-dropping-particle":"","parse-names":false,"suffix":""},{"dropping-particle":"De","family":"Porcellinis","given":"Diana","non-dropping-particle":"","parse-names":false,"suffix":""},{"dropping-particle":"","family":"Goulet","given":"Marc-antoni","non-dropping-particle":"","parse-names":false,"suffix":""},{"dropping-particle":"","family":"Pollack","given":"Daniel A","non-dropping-particle":"","parse-names":false,"suffix":""},{"dropping-particle":"","family":"Gordon","given":"Roy G","non-dropping-particle":"","parse-names":false,"suffix":""},{"dropping-particle":"","family":"Aziz","given":"Michael J","non-dropping-particle":"","parse-names":false,"suffix":""}],"container-title":"ACS Energy Letters","genre":"rapid-communication","id":"ITEM-2","issued":{"date-parts":[["2019"]]},"page":"1342-1348","publisher":"American Chemical Society","title":"A Water-Miscible Quinone Flow Battery with High Volumetric Capacity and Energy Density","type":"article-journal","volume":"4"},"uris":["http://www.mendeley.com/documents/?uuid=54a200cb-d409-4923-8884-772325ce85f5"]}],"mendeley":{"formattedCitation":"[2,20]","plainTextFormattedCitation":"[2,20]","previouslyFormattedCitation":"[2,20]"},"properties":{"noteIndex":0},"schema":"https://github.com/citation-style-language/schema/raw/master/csl-citation.json"}</w:instrText>
      </w:r>
      <w:r w:rsidR="00CC5FDC" w:rsidRPr="00B4448E">
        <w:rPr>
          <w:rFonts w:ascii="Times New Roman" w:hAnsi="Times New Roman"/>
        </w:rPr>
        <w:fldChar w:fldCharType="separate"/>
      </w:r>
      <w:r w:rsidR="00B464FF" w:rsidRPr="00B4448E">
        <w:rPr>
          <w:rFonts w:ascii="Times New Roman" w:hAnsi="Times New Roman"/>
          <w:noProof/>
        </w:rPr>
        <w:t>[2,20]</w:t>
      </w:r>
      <w:r w:rsidR="00CC5FDC" w:rsidRPr="00B4448E">
        <w:rPr>
          <w:rFonts w:ascii="Times New Roman" w:hAnsi="Times New Roman"/>
        </w:rPr>
        <w:fldChar w:fldCharType="end"/>
      </w:r>
      <w:r w:rsidR="005F759E" w:rsidRPr="00B4448E">
        <w:rPr>
          <w:rFonts w:ascii="Times New Roman" w:hAnsi="Times New Roman"/>
        </w:rPr>
        <w:t>.</w:t>
      </w:r>
      <w:r w:rsidR="00CC5FDC" w:rsidRPr="00B4448E">
        <w:rPr>
          <w:rFonts w:ascii="Times New Roman" w:hAnsi="Times New Roman"/>
        </w:rPr>
        <w:t xml:space="preserve"> </w:t>
      </w:r>
      <w:r w:rsidR="00D168A8" w:rsidRPr="00B4448E">
        <w:rPr>
          <w:rFonts w:ascii="Times New Roman" w:hAnsi="Times New Roman"/>
        </w:rPr>
        <w:t xml:space="preserve">The electrolyte </w:t>
      </w:r>
      <w:r w:rsidR="00C6152F" w:rsidRPr="00B4448E">
        <w:rPr>
          <w:rFonts w:ascii="Times New Roman" w:hAnsi="Times New Roman"/>
        </w:rPr>
        <w:t xml:space="preserve">cost </w:t>
      </w:r>
      <w:r w:rsidR="00D168A8" w:rsidRPr="00B4448E">
        <w:rPr>
          <w:rFonts w:ascii="Times New Roman" w:hAnsi="Times New Roman"/>
        </w:rPr>
        <w:t xml:space="preserve">per </w:t>
      </w:r>
      <w:r w:rsidR="00382563" w:rsidRPr="00B4448E">
        <w:rPr>
          <w:rFonts w:ascii="Times New Roman" w:hAnsi="Times New Roman"/>
        </w:rPr>
        <w:t xml:space="preserve">unit </w:t>
      </w:r>
      <w:r w:rsidR="00D168A8" w:rsidRPr="00B4448E">
        <w:rPr>
          <w:rFonts w:ascii="Times New Roman" w:hAnsi="Times New Roman"/>
        </w:rPr>
        <w:t xml:space="preserve">energy </w:t>
      </w:r>
      <w:r w:rsidR="00382563" w:rsidRPr="00B4448E">
        <w:rPr>
          <w:rFonts w:ascii="Times New Roman" w:hAnsi="Times New Roman"/>
        </w:rPr>
        <w:t xml:space="preserve">stored </w:t>
      </w:r>
      <w:r w:rsidR="00D168A8" w:rsidRPr="00B4448E">
        <w:rPr>
          <w:rFonts w:ascii="Times New Roman" w:hAnsi="Times New Roman"/>
        </w:rPr>
        <w:t xml:space="preserve">can be </w:t>
      </w:r>
      <w:r w:rsidR="00382563" w:rsidRPr="00B4448E">
        <w:rPr>
          <w:rFonts w:ascii="Times New Roman" w:hAnsi="Times New Roman"/>
        </w:rPr>
        <w:t xml:space="preserve">enhanced </w:t>
      </w:r>
      <w:r w:rsidR="00D168A8" w:rsidRPr="00B4448E">
        <w:rPr>
          <w:rFonts w:ascii="Times New Roman" w:hAnsi="Times New Roman"/>
        </w:rPr>
        <w:t xml:space="preserve">by maximizing the number of electron-transfers per molecule, the open circuit </w:t>
      </w:r>
      <w:r w:rsidR="00813F33" w:rsidRPr="00B4448E">
        <w:rPr>
          <w:rFonts w:ascii="Times New Roman" w:hAnsi="Times New Roman"/>
        </w:rPr>
        <w:t xml:space="preserve">cell </w:t>
      </w:r>
      <w:r w:rsidR="00D168A8" w:rsidRPr="00B4448E">
        <w:rPr>
          <w:rFonts w:ascii="Times New Roman" w:hAnsi="Times New Roman"/>
        </w:rPr>
        <w:lastRenderedPageBreak/>
        <w:t xml:space="preserve">voltage (OCV), and the </w:t>
      </w:r>
      <w:r w:rsidR="003373A2" w:rsidRPr="00B4448E">
        <w:rPr>
          <w:rFonts w:ascii="Times New Roman" w:hAnsi="Times New Roman"/>
        </w:rPr>
        <w:t xml:space="preserve">concentration of </w:t>
      </w:r>
      <w:r w:rsidR="00D168A8" w:rsidRPr="00B4448E">
        <w:rPr>
          <w:rFonts w:ascii="Times New Roman" w:hAnsi="Times New Roman"/>
        </w:rPr>
        <w:t>red</w:t>
      </w:r>
      <w:r w:rsidR="003373A2" w:rsidRPr="00B4448E">
        <w:rPr>
          <w:rFonts w:ascii="Times New Roman" w:hAnsi="Times New Roman"/>
        </w:rPr>
        <w:t>ox active material</w:t>
      </w:r>
      <w:r w:rsidR="00D168A8" w:rsidRPr="00B4448E">
        <w:rPr>
          <w:rFonts w:ascii="Times New Roman" w:hAnsi="Times New Roman"/>
        </w:rPr>
        <w:t xml:space="preserve"> </w:t>
      </w:r>
      <w:r w:rsidR="00CC5FDC" w:rsidRPr="00B4448E">
        <w:rPr>
          <w:rFonts w:ascii="Times New Roman" w:hAnsi="Times New Roman"/>
        </w:rPr>
        <w:fldChar w:fldCharType="begin" w:fldLock="1"/>
      </w:r>
      <w:r w:rsidR="00FA328E" w:rsidRPr="00B4448E">
        <w:rPr>
          <w:rFonts w:ascii="Times New Roman" w:hAnsi="Times New Roman"/>
        </w:rPr>
        <w:instrText>ADDIN CSL_CITATION {"citationItems":[{"id":"ITEM-1","itemData":{"DOI":"10.1021/acsenergylett.6b00255","author":[{"dropping-particle":"","family":"Wei","given":"Xiaoliang","non-dropping-particle":"","parse-names":false,"suffix":""},{"dropping-particle":"","family":"Duan","given":"Wentao","non-dropping-particle":"","parse-names":false,"suffix":""},{"dropping-particle":"","family":"Huang","given":"Jinhua","non-dropping-particle":"","parse-names":false,"suffix":""},{"dropping-particle":"","family":"Zhang","given":"Lu","non-dropping-particle":"","parse-names":false,"suffix":""},{"dropping-particle":"","family":"Li","given":"Bin","non-dropping-particle":"","parse-names":false,"suffix":""},{"dropping-particle":"","family":"Reed","given":"David","non-dropping-particle":"","parse-names":false,"suffix":""},{"dropping-particle":"","family":"Xu","given":"Wu","non-dropping-particle":"","parse-names":false,"suffix":""},{"dropping-particle":"","family":"Sprenkle","given":"Vincent","non-dropping-particle":"","parse-names":false,"suffix":""},{"dropping-particle":"","family":"Wang","given":"Wei","non-dropping-particle":"","parse-names":false,"suffix":""}],"container-title":"ACS Energy Letters","id":"ITEM-1","issued":{"date-parts":[["2016"]]},"page":"705-711","title":"A High-Current, Stable Nonaqueous Organic Redox Flow Battery","type":"article-journal","volume":"1"},"uris":["http://www.mendeley.com/documents/?uuid=df04eccd-c14d-4222-af0a-7646aad75184"]},{"id":"ITEM-2","itemData":{"DOI":"10.1021/acsenergylett.7b00650","author":[{"dropping-particle":"","family":"Wei","given":"Xiaoliang","non-dropping-particle":"","parse-names":false,"suffix":""},{"dropping-particle":"","family":"Pan","given":"Wenxiao","non-dropping-particle":"","parse-names":false,"suffix":""},{"dropping-particle":"","family":"Duan","given":"Wentao","non-dropping-particle":"","parse-names":false,"suffix":""},{"dropping-particle":"","family":"Hollas","given":"Aaron","non-dropping-particle":"","parse-names":false,"suffix":""},{"dropping-particle":"","family":"Yang","given":"Zheng","non-dropping-particle":"","parse-names":false,"suffix":""},{"dropping-particle":"","family":"Li","given":"Bin","non-dropping-particle":"","parse-names":false,"suffix":""},{"dropping-particle":"","family":"Nie","given":"Zimin","non-dropping-particle":"","parse-names":false,"suffix":""},{"dropping-particle":"","family":"Liu","given":"Jun","non-dropping-particle":"","parse-names":false,"suffix":""},{"dropping-particle":"","family":"Reed","given":"David","non-dropping-particle":"","parse-names":false,"suffix":""},{"dropping-particle":"","family":"Wang","given":"Wei","non-dropping-particle":"","parse-names":false,"suffix":""},{"dropping-particle":"","family":"Sprenkle","given":"Vincent","non-dropping-particle":"","parse-names":false,"suffix":""}],"container-title":"ACS Energy Letters","id":"ITEM-2","issued":{"date-parts":[["2017"]]},"page":"2187-2204","title":"Materials and Systems for Organic Redox Flow Batteries: Status and Challenges","type":"article-journal","volume":"2"},"uris":["http://www.mendeley.com/documents/?uuid=50e6d164-b471-4402-a376-4a2560b27bbd"]},{"id":"ITEM-3","itemData":{"DOI":"10.1021/acsenergylett.7b00559","author":[{"dropping-particle":"","family":"Hendriks","given":"Koen H.","non-dropping-particle":"","parse-names":false,"suffix":""},{"dropping-particle":"","family":"Sevov","given":"Christo S.","non-dropping-particle":"","parse-names":false,"suffix":""},{"dropping-particle":"","family":"Cook","given":"Monique E.","non-dropping-particle":"","parse-names":false,"suffix":""},{"dropping-particle":"","family":"Sanford","given":"Melanie S.","non-dropping-particle":"","parse-names":false,"suffix":""}],"container-title":"ACS Energy Letters","id":"ITEM-3","issued":{"date-parts":[["2017"]]},"page":"2430-2435","title":"Multielectron Cycling of a Low-Potential Anolyte in Alkali Metal Electrolytes for Nonaqueous Redox Flow Batteries","type":"article-journal","volume":"2"},"uris":["http://www.mendeley.com/documents/?uuid=7f84c144-afb5-4d42-836d-46c6be0eda2b"]},{"id":"ITEM-4","itemData":{"DOI":"10.1038/nenergy.2017.74","author":[{"dropping-particle":"","family":"Peng","given":"Chengxin","non-dropping-particle":"","parse-names":false,"suffix":""},{"dropping-particle":"","family":"Ning","given":"Guo-hong","non-dropping-particle":"","parse-names":false,"suffix":""},{"dropping-particle":"","family":"Su","given":"Jie","non-dropping-particle":"","parse-names":false,"suffix":""},{"dropping-particle":"","family":"Zhong","given":"Guiming","non-dropping-particle":"","parse-names":false,"suffix":""},{"dropping-particle":"","family":"Tang","given":"Wei","non-dropping-particle":"","parse-names":false,"suffix":""},{"dropping-particle":"","family":"Tian","given":"Bingbing","non-dropping-particle":"","parse-names":false,"suffix":""},{"dropping-particle":"","family":"Su","given":"Chenliang","non-dropping-particle":"","parse-names":false,"suffix":""},{"dropping-particle":"","family":"Yu","given":"Dingyi","non-dropping-particle":"","parse-names":false,"suffix":""},{"dropping-particle":"","family":"Zu","given":"Lianhai","non-dropping-particle":"","parse-names":false,"suffix":""},{"dropping-particle":"","family":"Yang","given":"Jinhu","non-dropping-particle":"","parse-names":false,"suffix":""},{"dropping-particle":"","family":"Ng","given":"Man-fai","non-dropping-particle":"","parse-names":false,"suffix":""},{"dropping-particle":"","family":"Hu","given":"Yong-sheng","non-dropping-particle":"","parse-names":false,"suffix":""},{"dropping-particle":"","family":"Yang","given":"Yong","non-dropping-particle":"","parse-names":false,"suffix":""},{"dropping-particle":"","family":"Armand","given":"Michel","non-dropping-particle":"","parse-names":false,"suffix":""},{"dropping-particle":"","family":"Loh","given":"Kian Ping","non-dropping-particle":"","parse-names":false,"suffix":""}],"container-title":"Nature Energy","id":"ITEM-4","issue":"May","issued":{"date-parts":[["2017"]]},"page":"1-9","title":"Reversible multi-electron redox chemistry of -conjugated N-containing heteroaromatic molecule-based organic cathodes","type":"article-journal","volume":"17074"},"uris":["http://www.mendeley.com/documents/?uuid=0b84e281-b369-48c9-a89e-886ed3f8ae1f"]}],"mendeley":{"formattedCitation":"[2,12,21,22]","plainTextFormattedCitation":"[2,12,21,22]","previouslyFormattedCitation":"[2,12,21,22]"},"properties":{"noteIndex":0},"schema":"https://github.com/citation-style-language/schema/raw/master/csl-citation.json"}</w:instrText>
      </w:r>
      <w:r w:rsidR="00CC5FDC" w:rsidRPr="00B4448E">
        <w:rPr>
          <w:rFonts w:ascii="Times New Roman" w:hAnsi="Times New Roman"/>
        </w:rPr>
        <w:fldChar w:fldCharType="separate"/>
      </w:r>
      <w:r w:rsidR="00B464FF" w:rsidRPr="00B4448E">
        <w:rPr>
          <w:rFonts w:ascii="Times New Roman" w:hAnsi="Times New Roman"/>
          <w:noProof/>
        </w:rPr>
        <w:t>[2,12,21,22]</w:t>
      </w:r>
      <w:r w:rsidR="00CC5FDC" w:rsidRPr="00B4448E">
        <w:rPr>
          <w:rFonts w:ascii="Times New Roman" w:hAnsi="Times New Roman"/>
        </w:rPr>
        <w:fldChar w:fldCharType="end"/>
      </w:r>
      <w:r w:rsidR="0046525A" w:rsidRPr="00B4448E">
        <w:rPr>
          <w:rFonts w:ascii="Times New Roman" w:hAnsi="Times New Roman"/>
        </w:rPr>
        <w:t>.</w:t>
      </w:r>
      <w:r w:rsidR="00CC5FDC" w:rsidRPr="00B4448E">
        <w:rPr>
          <w:rFonts w:ascii="Times New Roman" w:hAnsi="Times New Roman"/>
        </w:rPr>
        <w:t xml:space="preserve"> </w:t>
      </w:r>
      <w:r w:rsidR="003373A2" w:rsidRPr="00B4448E">
        <w:rPr>
          <w:rFonts w:ascii="Times New Roman" w:hAnsi="Times New Roman"/>
          <w:lang w:val="en-CA"/>
        </w:rPr>
        <w:t>N</w:t>
      </w:r>
      <w:r w:rsidR="00CC5FDC" w:rsidRPr="00B4448E">
        <w:rPr>
          <w:rFonts w:ascii="Times New Roman" w:hAnsi="Times New Roman"/>
          <w:lang w:val="en-CA"/>
        </w:rPr>
        <w:t xml:space="preserve">ew </w:t>
      </w:r>
      <w:r w:rsidR="003373A2" w:rsidRPr="00B4448E">
        <w:rPr>
          <w:rFonts w:ascii="Times New Roman" w:hAnsi="Times New Roman"/>
          <w:lang w:val="en-CA"/>
        </w:rPr>
        <w:t xml:space="preserve">redox </w:t>
      </w:r>
      <w:r w:rsidR="00B924F5" w:rsidRPr="00B4448E">
        <w:rPr>
          <w:rFonts w:ascii="Times New Roman" w:hAnsi="Times New Roman"/>
          <w:lang w:val="en-CA"/>
        </w:rPr>
        <w:t>species, having</w:t>
      </w:r>
      <w:r w:rsidR="00CC5FDC" w:rsidRPr="00B4448E">
        <w:rPr>
          <w:rFonts w:ascii="Times New Roman" w:hAnsi="Times New Roman"/>
          <w:lang w:val="en-CA"/>
        </w:rPr>
        <w:t xml:space="preserve"> </w:t>
      </w:r>
      <w:r w:rsidR="003373A2" w:rsidRPr="00B4448E">
        <w:rPr>
          <w:rFonts w:ascii="Times New Roman" w:hAnsi="Times New Roman"/>
          <w:lang w:val="en-CA"/>
        </w:rPr>
        <w:t xml:space="preserve">a </w:t>
      </w:r>
      <w:r w:rsidR="00CC5FDC" w:rsidRPr="00B4448E">
        <w:rPr>
          <w:rFonts w:ascii="Times New Roman" w:hAnsi="Times New Roman"/>
          <w:lang w:val="en-CA"/>
        </w:rPr>
        <w:t>high</w:t>
      </w:r>
      <w:r w:rsidR="005515A5" w:rsidRPr="00B4448E">
        <w:rPr>
          <w:rFonts w:ascii="Times New Roman" w:hAnsi="Times New Roman"/>
          <w:lang w:val="en-CA"/>
        </w:rPr>
        <w:t>er</w:t>
      </w:r>
      <w:r w:rsidR="00CC5FDC" w:rsidRPr="00B4448E">
        <w:rPr>
          <w:rFonts w:ascii="Times New Roman" w:hAnsi="Times New Roman"/>
          <w:lang w:val="en-CA"/>
        </w:rPr>
        <w:t xml:space="preserve"> solubility and </w:t>
      </w:r>
      <w:r w:rsidR="005515A5" w:rsidRPr="00B4448E">
        <w:rPr>
          <w:rFonts w:ascii="Times New Roman" w:hAnsi="Times New Roman"/>
          <w:lang w:val="en-CA"/>
        </w:rPr>
        <w:t xml:space="preserve">electrode </w:t>
      </w:r>
      <w:r w:rsidR="00CC5FDC" w:rsidRPr="00B4448E">
        <w:rPr>
          <w:rFonts w:ascii="Times New Roman" w:hAnsi="Times New Roman"/>
          <w:lang w:val="en-CA"/>
        </w:rPr>
        <w:t>potential</w:t>
      </w:r>
      <w:r w:rsidR="00B924F5" w:rsidRPr="00B4448E">
        <w:rPr>
          <w:rFonts w:ascii="Times New Roman" w:hAnsi="Times New Roman"/>
          <w:lang w:val="en-CA"/>
        </w:rPr>
        <w:t xml:space="preserve"> are being explored</w:t>
      </w:r>
      <w:r w:rsidR="005515A5" w:rsidRPr="00B4448E">
        <w:rPr>
          <w:rFonts w:ascii="Times New Roman" w:hAnsi="Times New Roman"/>
          <w:lang w:val="en-CA"/>
        </w:rPr>
        <w:t xml:space="preserve">, </w:t>
      </w:r>
      <w:r w:rsidR="00B924F5" w:rsidRPr="00B4448E">
        <w:rPr>
          <w:rFonts w:ascii="Times New Roman" w:hAnsi="Times New Roman"/>
          <w:lang w:val="en-CA"/>
        </w:rPr>
        <w:t>but some are</w:t>
      </w:r>
      <w:r w:rsidR="005515A5" w:rsidRPr="00B4448E">
        <w:rPr>
          <w:rFonts w:ascii="Times New Roman" w:hAnsi="Times New Roman"/>
          <w:lang w:val="en-CA"/>
        </w:rPr>
        <w:t xml:space="preserve"> restricted </w:t>
      </w:r>
      <w:r w:rsidR="00B924F5" w:rsidRPr="00B4448E">
        <w:rPr>
          <w:rFonts w:ascii="Times New Roman" w:hAnsi="Times New Roman"/>
          <w:lang w:val="en-CA"/>
        </w:rPr>
        <w:t>in</w:t>
      </w:r>
      <w:r w:rsidR="005515A5" w:rsidRPr="00B4448E">
        <w:rPr>
          <w:rFonts w:ascii="Times New Roman" w:hAnsi="Times New Roman"/>
          <w:lang w:val="en-CA"/>
        </w:rPr>
        <w:t xml:space="preserve"> aqueous electrolytes</w:t>
      </w:r>
      <w:r w:rsidR="002C0865" w:rsidRPr="00B4448E">
        <w:rPr>
          <w:rFonts w:ascii="Times New Roman" w:hAnsi="Times New Roman"/>
          <w:lang w:val="en-CA"/>
        </w:rPr>
        <w:t xml:space="preserve"> due to the electrolysis of water</w:t>
      </w:r>
      <w:r w:rsidR="005F759E" w:rsidRPr="00B4448E">
        <w:rPr>
          <w:rFonts w:ascii="Times New Roman" w:hAnsi="Times New Roman"/>
          <w:lang w:val="en-CA"/>
        </w:rPr>
        <w:t xml:space="preserve"> </w:t>
      </w:r>
      <w:r w:rsidR="00761D89" w:rsidRPr="00B4448E">
        <w:rPr>
          <w:rFonts w:ascii="Times New Roman" w:hAnsi="Times New Roman"/>
          <w:lang w:val="en-CA"/>
        </w:rPr>
        <w:fldChar w:fldCharType="begin" w:fldLock="1"/>
      </w:r>
      <w:r w:rsidR="00FA328E" w:rsidRPr="00B4448E">
        <w:rPr>
          <w:rFonts w:ascii="Times New Roman" w:hAnsi="Times New Roman"/>
          <w:lang w:val="en-CA"/>
        </w:rPr>
        <w:instrText>ADDIN CSL_CITATION {"citationItems":[{"id":"ITEM-1","itemData":{"DOI":"10.1021/acsenergylett.0c00140","ISSN":"23808195","author":[{"dropping-particle":"","family":"Brushett","given":"Fikile R.","non-dropping-particle":"","parse-names":false,"suffix":""},{"dropping-particle":"","family":"Aziz","given":"Michael J.","non-dropping-particle":"","parse-names":false,"suffix":""},{"dropping-particle":"","family":"Rodby","given":"Kara E.","non-dropping-particle":"","parse-names":false,"suffix":""}],"container-title":"ACS Energy Letters","id":"ITEM-1","issue":"3","issued":{"date-parts":[["2020"]]},"page":"879-884","title":"On Lifetime and Cost of Redox-Active Organics for Aqueous Flow Batteries","type":"article-journal","volume":"5"},"uris":["http://www.mendeley.com/documents/?uuid=77b4a885-421a-41ea-a5d8-b8aec6d33a29"]},{"id":"ITEM-2","itemData":{"DOI":"10.1016/j.jpowsour.2017.05.057","ISSN":"03787753","abstract":"Redox flow batteries (RFBs) have emerged as prime candidates for energy storage on the medium and large scales, particularly at the grid scale. The demand for versatile energy storage continues to increase as more electrical energy is generated from intermittent renewable sources. A major barrier in the way of broad deployment and deep market penetration is the use of expensive metals as the active species in the electrolytes. The use of organic redox couples in aqueous or non-aqueous electrolytes is a promising approach to reducing the overall cost in long-term, since these materials can be low-cost and abundant. The performance of such redox couples can be tuned by modifying their chemical structure. In recent years, significant developments in organic redox flow batteries has taken place, with the introduction of new groups of highly soluble organic molecules, capable of providing a cell voltage and charge capacity comparable to conventional metal-based systems. This review summarises the fundamental developments and characterization of organic redox flow batteries from both the chemistry and materials perspectives. The latest advances, future challenges and opportunities for further development are discussed.","author":[{"dropping-particle":"","family":"Leung","given":"P.","non-dropping-particle":"","parse-names":false,"suffix":""},{"dropping-particle":"","family":"Shah","given":"A. A.","non-dropping-particle":"","parse-names":false,"suffix":""},{"dropping-particle":"","family":"Sanz","given":"L.","non-dropping-particle":"","parse-names":false,"suffix":""},{"dropping-particle":"","family":"Flox","given":"C.","non-dropping-particle":"","parse-names":false,"suffix":""},{"dropping-particle":"","family":"Morante","given":"J. R.","non-dropping-particle":"","parse-names":false,"suffix":""},{"dropping-particle":"","family":"Xu","given":"Q.","non-dropping-particle":"","parse-names":false,"suffix":""},{"dropping-particle":"","family":"Mohamed","given":"M. R.","non-dropping-particle":"","parse-names":false,"suffix":""},{"dropping-particle":"","family":"Ponce de León","given":"C.","non-dropping-particle":"","parse-names":false,"suffix":""},{"dropping-particle":"","family":"Walsh","given":"F. C.","non-dropping-particle":"","parse-names":false,"suffix":""}],"container-title":"Journal of Power Sources","id":"ITEM-2","issued":{"date-parts":[["2017"]]},"page":"243-283","title":"Recent developments in organic redox flow batteries: A critical review","type":"article-journal","volume":"360"},"uris":["http://www.mendeley.com/documents/?uuid=0209b81c-0cc2-43e6-88f3-756fa6e3c580"]}],"mendeley":{"formattedCitation":"[23,24]","plainTextFormattedCitation":"[23,24]","previouslyFormattedCitation":"[23,24]"},"properties":{"noteIndex":0},"schema":"https://github.com/citation-style-language/schema/raw/master/csl-citation.json"}</w:instrText>
      </w:r>
      <w:r w:rsidR="00761D89" w:rsidRPr="00B4448E">
        <w:rPr>
          <w:rFonts w:ascii="Times New Roman" w:hAnsi="Times New Roman"/>
          <w:lang w:val="en-CA"/>
        </w:rPr>
        <w:fldChar w:fldCharType="separate"/>
      </w:r>
      <w:r w:rsidR="00B464FF" w:rsidRPr="00B4448E">
        <w:rPr>
          <w:rFonts w:ascii="Times New Roman" w:hAnsi="Times New Roman"/>
          <w:noProof/>
          <w:lang w:val="en-CA"/>
        </w:rPr>
        <w:t>[23,24]</w:t>
      </w:r>
      <w:r w:rsidR="00761D89" w:rsidRPr="00B4448E">
        <w:rPr>
          <w:rFonts w:ascii="Times New Roman" w:hAnsi="Times New Roman"/>
          <w:lang w:val="en-CA"/>
        </w:rPr>
        <w:fldChar w:fldCharType="end"/>
      </w:r>
      <w:r w:rsidR="005F759E" w:rsidRPr="00B4448E">
        <w:rPr>
          <w:rFonts w:ascii="Times New Roman" w:hAnsi="Times New Roman"/>
          <w:lang w:val="en-CA"/>
        </w:rPr>
        <w:t>.</w:t>
      </w:r>
      <w:r w:rsidR="005515A5" w:rsidRPr="00B4448E">
        <w:rPr>
          <w:rFonts w:ascii="Times New Roman" w:hAnsi="Times New Roman"/>
          <w:lang w:val="en-CA"/>
        </w:rPr>
        <w:t xml:space="preserve"> In contrast, non-aqueous electroly</w:t>
      </w:r>
      <w:r w:rsidR="00C1550F" w:rsidRPr="00B4448E">
        <w:rPr>
          <w:rFonts w:ascii="Times New Roman" w:hAnsi="Times New Roman"/>
          <w:lang w:val="en-CA"/>
        </w:rPr>
        <w:t xml:space="preserve">tes enable higher </w:t>
      </w:r>
      <w:r w:rsidR="002A4FD0" w:rsidRPr="00B4448E">
        <w:rPr>
          <w:rFonts w:ascii="Times New Roman" w:hAnsi="Times New Roman"/>
          <w:lang w:val="en-CA"/>
        </w:rPr>
        <w:t xml:space="preserve">energy </w:t>
      </w:r>
      <w:r w:rsidR="00C1550F" w:rsidRPr="00B4448E">
        <w:rPr>
          <w:rFonts w:ascii="Times New Roman" w:hAnsi="Times New Roman"/>
          <w:lang w:val="en-CA"/>
        </w:rPr>
        <w:t xml:space="preserve">density batteries by offering </w:t>
      </w:r>
      <w:r w:rsidR="003373A2" w:rsidRPr="00B4448E">
        <w:rPr>
          <w:rFonts w:ascii="Times New Roman" w:hAnsi="Times New Roman"/>
          <w:lang w:val="en-CA"/>
        </w:rPr>
        <w:t xml:space="preserve">a </w:t>
      </w:r>
      <w:r w:rsidR="00C1550F" w:rsidRPr="00B4448E">
        <w:rPr>
          <w:rFonts w:ascii="Times New Roman" w:hAnsi="Times New Roman"/>
          <w:lang w:val="en-CA"/>
        </w:rPr>
        <w:t xml:space="preserve">wider </w:t>
      </w:r>
      <w:r w:rsidR="00B924F5" w:rsidRPr="00B4448E">
        <w:rPr>
          <w:rFonts w:ascii="Times New Roman" w:hAnsi="Times New Roman"/>
          <w:lang w:val="en-CA"/>
        </w:rPr>
        <w:t xml:space="preserve">potential </w:t>
      </w:r>
      <w:r w:rsidR="00EF1D39" w:rsidRPr="00B4448E">
        <w:rPr>
          <w:rFonts w:ascii="Times New Roman" w:hAnsi="Times New Roman"/>
          <w:lang w:val="en-CA"/>
        </w:rPr>
        <w:t>window</w:t>
      </w:r>
      <w:r w:rsidR="00C1550F" w:rsidRPr="00B4448E">
        <w:rPr>
          <w:rFonts w:ascii="Times New Roman" w:hAnsi="Times New Roman"/>
          <w:lang w:val="en-CA"/>
        </w:rPr>
        <w:t xml:space="preserve">. </w:t>
      </w:r>
      <w:r w:rsidR="00382563" w:rsidRPr="00B4448E">
        <w:rPr>
          <w:rFonts w:ascii="Times New Roman" w:hAnsi="Times New Roman"/>
          <w:lang w:val="en-CA"/>
        </w:rPr>
        <w:t>S</w:t>
      </w:r>
      <w:r w:rsidR="00C1550F" w:rsidRPr="00B4448E">
        <w:rPr>
          <w:rFonts w:ascii="Times New Roman" w:hAnsi="Times New Roman"/>
          <w:lang w:val="en-CA"/>
        </w:rPr>
        <w:t>ide reactions caus</w:t>
      </w:r>
      <w:r w:rsidR="003373A2" w:rsidRPr="00B4448E">
        <w:rPr>
          <w:rFonts w:ascii="Times New Roman" w:hAnsi="Times New Roman"/>
          <w:lang w:val="en-CA"/>
        </w:rPr>
        <w:t>ed by electrolyte decomposition</w:t>
      </w:r>
      <w:r w:rsidR="00C1550F" w:rsidRPr="00B4448E">
        <w:rPr>
          <w:rFonts w:ascii="Times New Roman" w:hAnsi="Times New Roman"/>
          <w:lang w:val="en-CA"/>
        </w:rPr>
        <w:t xml:space="preserve"> </w:t>
      </w:r>
      <w:r w:rsidR="00791F3C" w:rsidRPr="00B4448E">
        <w:rPr>
          <w:rFonts w:ascii="Times New Roman" w:hAnsi="Times New Roman"/>
          <w:lang w:val="en-CA"/>
        </w:rPr>
        <w:t>can be</w:t>
      </w:r>
      <w:r w:rsidR="00C1550F" w:rsidRPr="00B4448E">
        <w:rPr>
          <w:rFonts w:ascii="Times New Roman" w:hAnsi="Times New Roman"/>
          <w:lang w:val="en-CA"/>
        </w:rPr>
        <w:t xml:space="preserve"> minimized and the use of </w:t>
      </w:r>
      <w:r w:rsidR="00242313" w:rsidRPr="00B4448E">
        <w:rPr>
          <w:rFonts w:ascii="Times New Roman" w:hAnsi="Times New Roman"/>
          <w:lang w:val="en-CA"/>
        </w:rPr>
        <w:t xml:space="preserve">high-energy </w:t>
      </w:r>
      <w:r w:rsidR="0057785F" w:rsidRPr="00B4448E">
        <w:rPr>
          <w:rFonts w:ascii="Times New Roman" w:hAnsi="Times New Roman"/>
          <w:lang w:val="en-CA"/>
        </w:rPr>
        <w:t xml:space="preserve">active </w:t>
      </w:r>
      <w:r w:rsidR="00242313" w:rsidRPr="00B4448E">
        <w:rPr>
          <w:rFonts w:ascii="Times New Roman" w:hAnsi="Times New Roman"/>
          <w:lang w:val="en-CA"/>
        </w:rPr>
        <w:t>materials (</w:t>
      </w:r>
      <w:r w:rsidR="00067BE2" w:rsidRPr="00B4448E">
        <w:rPr>
          <w:rFonts w:ascii="Times New Roman" w:hAnsi="Times New Roman"/>
          <w:lang w:val="en-CA"/>
        </w:rPr>
        <w:t>e.g.</w:t>
      </w:r>
      <w:r w:rsidR="00242313" w:rsidRPr="00B4448E">
        <w:rPr>
          <w:rFonts w:ascii="Times New Roman" w:hAnsi="Times New Roman"/>
          <w:lang w:val="en-CA"/>
        </w:rPr>
        <w:t xml:space="preserve"> metallic lithium) </w:t>
      </w:r>
      <w:r w:rsidR="003373A2" w:rsidRPr="00B4448E">
        <w:rPr>
          <w:rFonts w:ascii="Times New Roman" w:hAnsi="Times New Roman"/>
          <w:lang w:val="en-CA"/>
        </w:rPr>
        <w:t xml:space="preserve">becomes possible </w:t>
      </w:r>
      <w:r w:rsidR="00242313" w:rsidRPr="00B4448E">
        <w:rPr>
          <w:rFonts w:ascii="Times New Roman" w:hAnsi="Times New Roman"/>
          <w:lang w:val="en-CA"/>
        </w:rPr>
        <w:t xml:space="preserve">for </w:t>
      </w:r>
      <w:r w:rsidR="0057785F" w:rsidRPr="00B4448E">
        <w:rPr>
          <w:rFonts w:ascii="Times New Roman" w:hAnsi="Times New Roman"/>
          <w:lang w:val="en-CA"/>
        </w:rPr>
        <w:t xml:space="preserve">both </w:t>
      </w:r>
      <w:r w:rsidR="00242313" w:rsidRPr="00B4448E">
        <w:rPr>
          <w:rFonts w:ascii="Times New Roman" w:hAnsi="Times New Roman"/>
          <w:lang w:val="en-CA"/>
        </w:rPr>
        <w:t>electrode reactions.</w:t>
      </w:r>
      <w:r w:rsidR="00791F3C" w:rsidRPr="00B4448E">
        <w:rPr>
          <w:rFonts w:ascii="Times New Roman" w:hAnsi="Times New Roman"/>
          <w:lang w:val="en-CA"/>
        </w:rPr>
        <w:t xml:space="preserve"> Replacing water with non-aqueous solvents may </w:t>
      </w:r>
      <w:r w:rsidR="00382563" w:rsidRPr="00B4448E">
        <w:rPr>
          <w:rFonts w:ascii="Times New Roman" w:hAnsi="Times New Roman"/>
          <w:lang w:val="en-CA"/>
        </w:rPr>
        <w:t xml:space="preserve">also </w:t>
      </w:r>
      <w:r w:rsidR="00791F3C" w:rsidRPr="00B4448E">
        <w:rPr>
          <w:rFonts w:ascii="Times New Roman" w:hAnsi="Times New Roman"/>
          <w:lang w:val="en-CA"/>
        </w:rPr>
        <w:t xml:space="preserve">improve the solubility of active materials and </w:t>
      </w:r>
      <w:r w:rsidR="00382563" w:rsidRPr="00B4448E">
        <w:rPr>
          <w:rFonts w:ascii="Times New Roman" w:hAnsi="Times New Roman"/>
          <w:lang w:val="en-CA"/>
        </w:rPr>
        <w:t xml:space="preserve">enable </w:t>
      </w:r>
      <w:r w:rsidR="00791F3C" w:rsidRPr="00B4448E">
        <w:rPr>
          <w:rFonts w:ascii="Times New Roman" w:hAnsi="Times New Roman"/>
          <w:lang w:val="en-CA"/>
        </w:rPr>
        <w:t xml:space="preserve">reactions </w:t>
      </w:r>
      <w:r w:rsidR="00E22A7B" w:rsidRPr="00B4448E">
        <w:rPr>
          <w:rFonts w:ascii="Times New Roman" w:hAnsi="Times New Roman"/>
          <w:lang w:val="en-CA"/>
        </w:rPr>
        <w:t xml:space="preserve">with </w:t>
      </w:r>
      <w:r w:rsidR="00382563" w:rsidRPr="00B4448E">
        <w:rPr>
          <w:rFonts w:ascii="Times New Roman" w:hAnsi="Times New Roman"/>
          <w:lang w:val="en-CA"/>
        </w:rPr>
        <w:t xml:space="preserve">a </w:t>
      </w:r>
      <w:r w:rsidR="00472EAE" w:rsidRPr="00B4448E">
        <w:rPr>
          <w:rFonts w:ascii="Times New Roman" w:hAnsi="Times New Roman"/>
          <w:lang w:val="en-CA"/>
        </w:rPr>
        <w:t xml:space="preserve">higher </w:t>
      </w:r>
      <w:r w:rsidR="00302A1D" w:rsidRPr="00B4448E">
        <w:rPr>
          <w:rFonts w:ascii="Times New Roman" w:hAnsi="Times New Roman"/>
          <w:lang w:val="en-CA"/>
        </w:rPr>
        <w:t xml:space="preserve">number of </w:t>
      </w:r>
      <w:r w:rsidR="00791F3C" w:rsidRPr="00B4448E">
        <w:rPr>
          <w:rFonts w:ascii="Times New Roman" w:hAnsi="Times New Roman"/>
          <w:lang w:val="en-CA"/>
        </w:rPr>
        <w:t xml:space="preserve">electron-transfers </w:t>
      </w:r>
      <w:r w:rsidR="00791F3C" w:rsidRPr="00B4448E">
        <w:rPr>
          <w:rFonts w:ascii="Times New Roman" w:hAnsi="Times New Roman"/>
          <w:szCs w:val="24"/>
        </w:rPr>
        <w:fldChar w:fldCharType="begin" w:fldLock="1"/>
      </w:r>
      <w:r w:rsidR="00FA328E" w:rsidRPr="00B4448E">
        <w:rPr>
          <w:rFonts w:ascii="Times New Roman" w:hAnsi="Times New Roman"/>
          <w:szCs w:val="24"/>
        </w:rPr>
        <w:instrText>ADDIN CSL_CITATION {"citationItems":[{"id":"ITEM-1","itemData":{"DOI":"10.1021/acsenergylett.6b00413","author":[{"dropping-particle":"","family":"Winsberg","given":"Jan","non-dropping-particle":"","parse-names":false,"suffix":""},{"dropping-particle":"","family":"Stolze","given":"Christian","non-dropping-particle":"","parse-names":false,"suffix":""},{"dropping-particle":"","family":"Muench","given":"Simon","non-dropping-particle":"","parse-names":false,"suffix":""},{"dropping-particle":"","family":"Liedl","given":"Ferenc","non-dropping-particle":"","parse-names":false,"suffix":""},{"dropping-particle":"","family":"Hager","given":"Martin D.","non-dropping-particle":"","parse-names":false,"suffix":""},{"dropping-particle":"","family":"Schubert","given":"Ulrich S","non-dropping-particle":"","parse-names":false,"suffix":""}],"container-title":"ACS Energy Letters","id":"ITEM-1","issued":{"date-parts":[["2016"]]},"page":"976-980","title":"TEMPO/Phenazine Combi-Molecule: A Redox- Active Material for Symmetric Aqueous Redox- Flow Batteries","type":"article-journal","volume":"1"},"uris":["http://www.mendeley.com/documents/?uuid=9270401f-8ba2-459a-8d13-854d28cfbdf6"]},{"id":"ITEM-2","itemData":{"DOI":"10.1021/acsenergylett.9b01332","author":[{"dropping-particle":"","family":"Luo","given":"Jian","non-dropping-particle":"","parse-names":false,"suffix":""},{"dropping-particle":"","family":"Hu","given":"Bo","non-dropping-particle":"","parse-names":false,"suffix":""},{"dropping-particle":"","family":"Hu","given":"Maowei","non-dropping-particle":"","parse-names":false,"suffix":""},{"dropping-particle":"","family":"Zhao","given":"Yu","non-dropping-particle":"","parse-names":false,"suffix":""},{"dropping-particle":"","family":"Liu","given":"Leo","non-dropping-particle":"","parse-names":false,"suffix":""}],"container-title":"ACS Energy Letters","id":"ITEM-2","issued":{"date-parts":[["2019"]]},"page":"2220-2240","title":"Status and Prospects of Organic Redox Flow Batteries toward Sustainable Energy Storage","type":"article-journal","volume":"4"},"uris":["http://www.mendeley.com/documents/?uuid=c865ae64-b2d4-4b98-90ae-d9825abfdd33"]},{"id":"ITEM-3","itemData":{"DOI":"10.1002/aenm.201200322","author":[{"dropping-particle":"","family":"Brushett","given":"Fikile R","non-dropping-particle":"","parse-names":false,"suffix":""},{"dropping-particle":"","family":"Vaughey","given":"John T","non-dropping-particle":"","parse-names":false,"suffix":""},{"dropping-particle":"","family":"Jansen","given":"Andrew N","non-dropping-particle":"","parse-names":false,"suffix":""}],"container-title":"Advanced Energy Materials","id":"ITEM-3","issued":{"date-parts":[["2012"]]},"page":"1390-1396","title":"An All-Organic Non-aqueous Lithium-Ion Redox Flow Battery","type":"article-journal","volume":"2"},"uris":["http://www.mendeley.com/documents/?uuid=7a9a264d-25a8-42f5-b8f4-499f1eebf1bf"]},{"id":"ITEM-4","itemData":{"DOI":"10.1039/c5ee02341f","author":[{"dropping-particle":"","family":"Gong","given":"Ke","non-dropping-particle":"","parse-names":false,"suffix":""},{"dropping-particle":"","family":"Fang","given":"Qianrong","non-dropping-particle":"","parse-names":false,"suffix":""},{"dropping-particle":"","family":"Gu","given":"Shuang","non-dropping-particle":"","parse-names":false,"suffix":""},{"dropping-particle":"","family":"Fong","given":"Sam","non-dropping-particle":"","parse-names":false,"suffix":""},{"dropping-particle":"","family":"Li","given":"Yau","non-dropping-particle":"","parse-names":false,"suffix":""},{"dropping-particle":"","family":"Yan","given":"Yushan","non-dropping-particle":"","parse-names":false,"suffix":""}],"container-title":"Energy Environ. Sci.","id":"ITEM-4","issued":{"date-parts":[["2015"]]},"page":"3515-3530","publisher":"Royal Society of Chemistry","title":"Nonaqueous redox-flow batteries: organic solvents , supporting electrolytes , and redox pairs","type":"article-journal","volume":"8"},"uris":["http://www.mendeley.com/documents/?uuid=8a4c994b-2345-41f6-89a3-a1a422063b3b"]},{"id":"ITEM-5","itemData":{"DOI":"10.1002/cplu.201402099","author":[{"dropping-particle":"","family":"Huang","given":"Qizhao","non-dropping-particle":"","parse-names":false,"suffix":""},{"dropping-particle":"","family":"Wang","given":"Qing","non-dropping-particle":"","parse-names":false,"suffix":""}],"container-title":"ChemPubSoc","id":"ITEM-5","issued":{"date-parts":[["2015"]]},"page":"312-322","title":"Next-Generation , High-Energy-Density Redox Flow Batteries","type":"article-journal","volume":"80"},"uris":["http://www.mendeley.com/documents/?uuid=6d3f4f78-8537-46b6-b73e-7c688a8343b7"]},{"id":"ITEM-6","itemData":{"DOI":"10.1038/s41467-018-05752-x","ISBN":"4146701805752","author":[{"dropping-particle":"","family":"Tung","given":"Siu","non-dropping-particle":"","parse-names":false,"suffix":""},{"dropping-particle":"","family":"Fisher","given":"Sydney L","non-dropping-particle":"","parse-names":false,"suffix":""},{"dropping-particle":"","family":"Kotov","given":"Nicholas A","non-dropping-particle":"","parse-names":false,"suffix":""},{"dropping-particle":"","family":"Thompson","given":"Levi T.","non-dropping-particle":"","parse-names":false,"suffix":""}],"container-title":"Nature Communications","id":"ITEM-6","issue":"4193","issued":{"date-parts":[["2018"]]},"page":"1-9","title":"Nanoporous aramid nanofibre separators for nonaqueous redox flow batteries","type":"article-journal","volume":"9"},"uris":["http://www.mendeley.com/documents/?uuid=3071b546-fd8d-4e92-be34-3890c65073ef"]},{"id":"ITEM-7","itemData":{"DOI":"10.1002/aenm.201400678","author":[{"dropping-particle":"","family":"Wei","given":"Xiaoliang","non-dropping-particle":"","parse-names":false,"suffix":""},{"dropping-particle":"","family":"Cosimbescu","given":"Lelia","non-dropping-particle":"","parse-names":false,"suffix":""},{"dropping-particle":"","family":"Xu","given":"Wu","non-dropping-particle":"","parse-names":false,"suffix":""},{"dropping-particle":"","family":"Hu","given":"Jian Zhi","non-dropping-particle":"","parse-names":false,"suffix":""},{"dropping-particle":"","family":"Vijayakumar","given":"M","non-dropping-particle":"","parse-names":false,"suffix":""},{"dropping-particle":"","family":"Feng","given":"Ju","non-dropping-particle":"","parse-names":false,"suffix":""},{"dropping-particle":"","family":"Hu","given":"Mary Y","non-dropping-particle":"","parse-names":false,"suffix":""},{"dropping-particle":"","family":"Deng","given":"Xuchu","non-dropping-particle":"","parse-names":false,"suffix":""},{"dropping-particle":"","family":"Xiao","given":"Jie","non-dropping-particle":"","parse-names":false,"suffix":""},{"dropping-particle":"","family":"Liu","given":"Jun","non-dropping-particle":"","parse-names":false,"suffix":""},{"dropping-particle":"","family":"Sprenkle","given":"Vincent","non-dropping-particle":"","parse-names":false,"suffix":""},{"dropping-particle":"","family":"Wang","given":"Wei","non-dropping-particle":"","parse-names":false,"suffix":""}],"container-title":"Advanced Energy Materials","id":"ITEM-7","issue":"1400678","issued":{"date-parts":[["2015"]]},"page":"1-7","title":"Towards High-Performance Nonaqueous Redox Flow Electrolyte Via Ionic Modifi cation of Active Species","type":"article-journal","volume":"5"},"uris":["http://www.mendeley.com/documents/?uuid=f3022542-9339-4e05-ab1c-030668079975"]}],"mendeley":{"formattedCitation":"[4,14,25–29]","plainTextFormattedCitation":"[4,14,25–29]","previouslyFormattedCitation":"[4,14,25–29]"},"properties":{"noteIndex":0},"schema":"https://github.com/citation-style-language/schema/raw/master/csl-citation.json"}</w:instrText>
      </w:r>
      <w:r w:rsidR="00791F3C" w:rsidRPr="00B4448E">
        <w:rPr>
          <w:rFonts w:ascii="Times New Roman" w:hAnsi="Times New Roman"/>
          <w:szCs w:val="24"/>
        </w:rPr>
        <w:fldChar w:fldCharType="separate"/>
      </w:r>
      <w:r w:rsidR="00B464FF" w:rsidRPr="00B4448E">
        <w:rPr>
          <w:rFonts w:ascii="Times New Roman" w:hAnsi="Times New Roman"/>
          <w:noProof/>
          <w:szCs w:val="24"/>
        </w:rPr>
        <w:t>[4,14,25–29]</w:t>
      </w:r>
      <w:r w:rsidR="00791F3C" w:rsidRPr="00B4448E">
        <w:rPr>
          <w:rFonts w:ascii="Times New Roman" w:hAnsi="Times New Roman"/>
          <w:szCs w:val="24"/>
        </w:rPr>
        <w:fldChar w:fldCharType="end"/>
      </w:r>
      <w:r w:rsidR="005F759E" w:rsidRPr="00B4448E">
        <w:rPr>
          <w:rFonts w:ascii="Times New Roman" w:hAnsi="Times New Roman"/>
          <w:szCs w:val="24"/>
        </w:rPr>
        <w:t>.</w:t>
      </w:r>
    </w:p>
    <w:p w14:paraId="0409BE27" w14:textId="185DDA1F" w:rsidR="006E0CD3" w:rsidRPr="00B4448E" w:rsidRDefault="00302A1D" w:rsidP="006A457B">
      <w:pPr>
        <w:pStyle w:val="BGKeywords"/>
        <w:spacing w:after="0"/>
        <w:rPr>
          <w:rFonts w:ascii="Times New Roman" w:hAnsi="Times New Roman"/>
          <w:szCs w:val="18"/>
        </w:rPr>
      </w:pPr>
      <w:r w:rsidRPr="00B4448E">
        <w:rPr>
          <w:rFonts w:ascii="Times New Roman" w:hAnsi="Times New Roman"/>
          <w:lang w:val="en-CA"/>
        </w:rPr>
        <w:t xml:space="preserve">In recent years, </w:t>
      </w:r>
      <w:r w:rsidRPr="00B4448E">
        <w:rPr>
          <w:rFonts w:ascii="Times New Roman" w:hAnsi="Times New Roman"/>
        </w:rPr>
        <w:t>organic redox-active materials have received significant attention as</w:t>
      </w:r>
      <w:r w:rsidR="006C7AFD" w:rsidRPr="00B4448E">
        <w:rPr>
          <w:rFonts w:ascii="Times New Roman" w:hAnsi="Times New Roman"/>
        </w:rPr>
        <w:t xml:space="preserve"> </w:t>
      </w:r>
      <w:r w:rsidRPr="00B4448E">
        <w:rPr>
          <w:rFonts w:ascii="Times New Roman" w:hAnsi="Times New Roman"/>
        </w:rPr>
        <w:t>they are abundant in nature, environmentally friendly</w:t>
      </w:r>
      <w:r w:rsidR="003373A2" w:rsidRPr="00B4448E">
        <w:rPr>
          <w:rFonts w:ascii="Times New Roman" w:hAnsi="Times New Roman"/>
        </w:rPr>
        <w:t xml:space="preserve">, may offer the possibility of </w:t>
      </w:r>
      <w:r w:rsidR="00472EAE" w:rsidRPr="00B4448E">
        <w:rPr>
          <w:rFonts w:ascii="Times New Roman" w:hAnsi="Times New Roman"/>
        </w:rPr>
        <w:t>recycl</w:t>
      </w:r>
      <w:r w:rsidR="003373A2" w:rsidRPr="00B4448E">
        <w:rPr>
          <w:rFonts w:ascii="Times New Roman" w:hAnsi="Times New Roman"/>
        </w:rPr>
        <w:t>ing</w:t>
      </w:r>
      <w:r w:rsidR="00B94A4D" w:rsidRPr="00B4448E">
        <w:rPr>
          <w:rFonts w:ascii="Times New Roman" w:hAnsi="Times New Roman"/>
        </w:rPr>
        <w:t>,</w:t>
      </w:r>
      <w:r w:rsidR="00472EAE" w:rsidRPr="00B4448E">
        <w:rPr>
          <w:rFonts w:ascii="Times New Roman" w:hAnsi="Times New Roman"/>
        </w:rPr>
        <w:t xml:space="preserve"> </w:t>
      </w:r>
      <w:r w:rsidRPr="00B4448E">
        <w:rPr>
          <w:rFonts w:ascii="Times New Roman" w:hAnsi="Times New Roman"/>
        </w:rPr>
        <w:t xml:space="preserve">and </w:t>
      </w:r>
      <w:r w:rsidR="00472EAE" w:rsidRPr="00B4448E">
        <w:rPr>
          <w:rFonts w:ascii="Times New Roman" w:hAnsi="Times New Roman"/>
        </w:rPr>
        <w:t xml:space="preserve">can </w:t>
      </w:r>
      <w:r w:rsidRPr="00B4448E">
        <w:rPr>
          <w:rFonts w:ascii="Times New Roman" w:hAnsi="Times New Roman"/>
        </w:rPr>
        <w:t>offer competitive electrochemical characteristics</w:t>
      </w:r>
      <w:r w:rsidR="009E6994" w:rsidRPr="00B4448E">
        <w:rPr>
          <w:rFonts w:ascii="Times New Roman" w:hAnsi="Times New Roman"/>
        </w:rPr>
        <w:t xml:space="preserve"> </w:t>
      </w:r>
      <w:r w:rsidRPr="00B4448E">
        <w:rPr>
          <w:rFonts w:ascii="Times New Roman" w:hAnsi="Times New Roman"/>
        </w:rPr>
        <w:fldChar w:fldCharType="begin" w:fldLock="1"/>
      </w:r>
      <w:r w:rsidR="00FA328E" w:rsidRPr="00B4448E">
        <w:rPr>
          <w:rFonts w:ascii="Times New Roman" w:hAnsi="Times New Roman"/>
        </w:rPr>
        <w:instrText>ADDIN CSL_CITATION {"citationItems":[{"id":"ITEM-1","itemData":{"DOI":"10.1021/acsenergylett.7b00650","author":[{"dropping-particle":"","family":"Wei","given":"Xiaoliang","non-dropping-particle":"","parse-names":false,"suffix":""},{"dropping-particle":"","family":"Pan","given":"Wenxiao","non-dropping-particle":"","parse-names":false,"suffix":""},{"dropping-particle":"","family":"Duan","given":"Wentao","non-dropping-particle":"","parse-names":false,"suffix":""},{"dropping-particle":"","family":"Hollas","given":"Aaron","non-dropping-particle":"","parse-names":false,"suffix":""},{"dropping-particle":"","family":"Yang","given":"Zheng","non-dropping-particle":"","parse-names":false,"suffix":""},{"dropping-particle":"","family":"Li","given":"Bin","non-dropping-particle":"","parse-names":false,"suffix":""},{"dropping-particle":"","family":"Nie","given":"Zimin","non-dropping-particle":"","parse-names":false,"suffix":""},{"dropping-particle":"","family":"Liu","given":"Jun","non-dropping-particle":"","parse-names":false,"suffix":""},{"dropping-particle":"","family":"Reed","given":"David","non-dropping-particle":"","parse-names":false,"suffix":""},{"dropping-particle":"","family":"Wang","given":"Wei","non-dropping-particle":"","parse-names":false,"suffix":""},{"dropping-particle":"","family":"Sprenkle","given":"Vincent","non-dropping-particle":"","parse-names":false,"suffix":""}],"container-title":"ACS Energy Letters","id":"ITEM-1","issued":{"date-parts":[["2017"]]},"page":"2187-2204","title":"Materials and Systems for Organic Redox Flow Batteries: Status and Challenges","type":"article-journal","volume":"2"},"uris":["http://www.mendeley.com/documents/?uuid=50e6d164-b471-4402-a376-4a2560b27bbd"]},{"id":"ITEM-2","itemData":{"DOI":"10.1021/acsenergylett.9b01744","ISSN":"2380-8195","author":[{"dropping-particle":"","family":"Self","given":"Ethan C","non-dropping-particle":"","parse-names":false,"suffix":""},{"dropping-particle":"","family":"Delnick","given":"Frank M","non-dropping-particle":"","parse-names":false,"suffix":""},{"dropping-particle":"","family":"Ruther","given":"Rose E","non-dropping-particle":"","parse-names":false,"suffix":""},{"dropping-particle":"","family":"Allu","given":"Srikanth","non-dropping-particle":"","parse-names":false,"suffix":""},{"dropping-particle":"","family":"Nanda","given":"Jagjit","non-dropping-particle":"","parse-names":false,"suffix":""}],"container-title":"ACS Energy Letters","genre":"rapid-communication","id":"ITEM-2","issued":{"date-parts":[["2019"]]},"page":"2593-2600","publisher":"American Chemical Society","title":"High-Capacity Organic Radical Mediated Phosphorus Anode for Sodium-Based Redox Flow Batteries","type":"article-journal","volume":"4"},"uris":["http://www.mendeley.com/documents/?uuid=004c82fc-c40c-4283-b4cf-e8c4016245e8"]},{"id":"ITEM-3","itemData":{"DOI":"10.1039/c5ee02341f","author":[{"dropping-particle":"","family":"Gong","given":"Ke","non-dropping-particle":"","parse-names":false,"suffix":""},{"dropping-particle":"","family":"Fang","given":"Qianrong","non-dropping-particle":"","parse-names":false,"suffix":""},{"dropping-particle":"","family":"Gu","given":"Shuang","non-dropping-particle":"","parse-names":false,"suffix":""},{"dropping-particle":"","family":"Fong","given":"Sam","non-dropping-particle":"","parse-names":false,"suffix":""},{"dropping-particle":"","family":"Li","given":"Yau","non-dropping-particle":"","parse-names":false,"suffix":""},{"dropping-particle":"","family":"Yan","given":"Yushan","non-dropping-particle":"","parse-names":false,"suffix":""}],"container-title":"Energy Environ. Sci.","id":"ITEM-3","issued":{"date-parts":[["2015"]]},"page":"3515-3530","publisher":"Royal Society of Chemistry","title":"Nonaqueous redox-flow batteries: organic solvents , supporting electrolytes , and redox pairs","type":"article-journal","volume":"8"},"uris":["http://www.mendeley.com/documents/?uuid=8a4c994b-2345-41f6-89a3-a1a422063b3b"]},{"id":"ITEM-4","itemData":{"DOI":"10.1016/j.electacta.2018.01.010","ISSN":"00134686","abstract":"The use of anion-inserting organic electrode materials represents an interesting opportunity for developing ‘metal-free’ rechargeable batteries. Recently, crystallized conjugated diamines have emerged as new host materials able to accommodate anions upon oxidation at potentials higher than 3 V vs. Li+/Li0 in carbonate-based battery electrolytes. To further investigate the electrochemical behavior of such promising systems, comparison with electroanalytical data of soluble forms of conjugated diamines measured in battery grade electrolytes appeared quite useful. However, the literature on the topic is generally poor since such electrolyte media are not common in molecular electrochemistry. This contribution aims at providing relevant data on the characterization by cyclic voltammetry of unsubstituted, diphenyl-substituted and tetramethyl-substituted p-phenylenediamines. Basically, these three molecules revealed two reversible one-electron reaction upon oxidation corresponding to the electrogenerated radical cation and dication, respectively, combined with the association of electrolyte anions (i.e., PF6−, ClO4− and TfO−). The nature of the counter-anion did not show much influence on the electrochemical activity, which remained governed by the solvation process in high-polarity solvents (i.e., PC- or EC-based battery electrolytes). However, in presence of PF6−, the emergence of a pre-peak prior to the second oxidation step was observed when labile protons exist in the radical cation state. This contribution is attributed to a deprotonation reaction of the radical cation induced by the catalytic decomposition of PF6− in presence of H+, which supports well the few other experimental data reported on the decomposition issues of LiPF6. In addition, substitution of the amine redox centers with appropriate functional groups (that increase the molecule π-delocalization) allowed to reach higher formal potentials without impacting the bi-electronic behavior and the reversibility of the processes.","author":[{"dropping-particle":"","family":"Deunf","given":"Elise","non-dropping-particle":"","parse-names":false,"suffix":""},{"dropping-particle":"","family":"Dolhem","given":"Franck","non-dropping-particle":"","parse-names":false,"suffix":""},{"dropping-particle":"","family":"Guyomard","given":"Dominique","non-dropping-particle":"","parse-names":false,"suffix":""},{"dropping-particle":"","family":"Simonet","given":"Jacques","non-dropping-particle":"","parse-names":false,"suffix":""},{"dropping-particle":"","family":"Poizot","given":"Philippe","non-dropping-particle":"","parse-names":false,"suffix":""}],"container-title":"Electrochimica Acta","id":"ITEM-4","issued":{"date-parts":[["2018"]]},"page":"276-281","publisher":"Elsevier Ltd","title":"Anodic oxidation of p-phenylenediamines in battery grade electrolytes","type":"article-journal","volume":"262"},"uris":["http://www.mendeley.com/documents/?uuid=08b54eb0-4649-4787-8ed3-e9f86ade2532"]},{"id":"ITEM-5","itemData":{"DOI":"10.1039/c8ta04720k","author":[{"dropping-particle":"","family":"Shin","given":"Dong-seon","non-dropping-particle":"","parse-names":false,"suffix":""},{"dropping-particle":"","family":"Park","given":"Minjoon","non-dropping-particle":"","parse-names":false,"suffix":""},{"dropping-particle":"","family":"Ryu","given":"Jaechan","non-dropping-particle":"","parse-names":false,"suffix":""},{"dropping-particle":"","family":"Hwang","given":"Inchan","non-dropping-particle":"","parse-names":false,"suffix":""},{"dropping-particle":"","family":"Seo","given":"Jeong Kon","non-dropping-particle":"","parse-names":false,"suffix":""},{"dropping-particle":"","family":"Seo","given":"Kwanyong","non-dropping-particle":"","parse-names":false,"suffix":""},{"dropping-particle":"","family":"Cho","given":"Jaephil","non-dropping-particle":"","parse-names":false,"suffix":""},{"dropping-particle":"","family":"Hong","given":"Sung You","non-dropping-particle":"","parse-names":false,"suffix":""}],"container-title":"J. Mater. Chem. A","id":"ITEM-5","issued":{"date-parts":[["2018"]]},"page":"14761-14768","publisher":"Royal Society of Chemistry","title":"Nonaqueous arylated quinone catholytes for lithium – organic flow batteries","type":"article-journal","volume":"6"},"uris":["http://www.mendeley.com/documents/?uuid=09667aff-d6d9-4a83-a514-f26ca6519b81"]},{"id":"ITEM-6","itemData":{"DOI":"10.1021/jacs.6b10984","author":[{"dropping-particle":"","family":"Hu","given":"Bo","non-dropping-particle":"","parse-names":false,"suffix":""},{"dropping-particle":"","family":"Debruler","given":"Camden","non-dropping-particle":"","parse-names":false,"suffix":""},{"dropping-particle":"","family":"Rhodes","given":"Zayn","non-dropping-particle":"","parse-names":false,"suffix":""},{"dropping-particle":"","family":"Liu","given":"T Leo","non-dropping-particle":"","parse-names":false,"suffix":""}],"container-title":"Journal of the American Chemical Society","id":"ITEM-6","issued":{"date-parts":[["2017"]]},"page":"1207-1214","title":"Long-Cycling Aqueous Organic Redox Flow Battery (AORFB) toward Sustainable and Safe Energy Storage","type":"article-journal","volume":"139"},"uris":["http://www.mendeley.com/documents/?uuid=aa2a5a14-eb57-4505-86fd-c1dd2dc12789"]},{"id":"ITEM-7","itemData":{"DOI":"10.1021/jacs.7b00159","author":[{"dropping-particle":"","family":"Emanuelsson","given":"Rikard","non-dropping-particle":"","parse-names":false,"suffix":""},{"dropping-particle":"","family":"Sterby","given":"Mia","non-dropping-particle":"","parse-names":false,"suffix":""},{"dropping-particle":"","family":"Strømme","given":"Maria","non-dropping-particle":"","parse-names":false,"suffix":""},{"dropping-particle":"","family":"Sjodin","given":"Martin","non-dropping-particle":"","parse-names":false,"suffix":""}],"container-title":"Journal of the American Chemical Society","id":"ITEM-7","issued":{"date-parts":[["2017"]]},"page":"4828-4834","title":"An All-Organic Proton Battery","type":"article-journal","volume":"139"},"uris":["http://www.mendeley.com/documents/?uuid=a38137bb-b437-4cc6-bd56-93b6620706a2"]}],"mendeley":{"formattedCitation":"[2,6,26,30–33]","plainTextFormattedCitation":"[2,6,26,30–33]","previouslyFormattedCitation":"[2,6,26,30–33]"},"properties":{"noteIndex":0},"schema":"https://github.com/citation-style-language/schema/raw/master/csl-citation.json"}</w:instrText>
      </w:r>
      <w:r w:rsidRPr="00B4448E">
        <w:rPr>
          <w:rFonts w:ascii="Times New Roman" w:hAnsi="Times New Roman"/>
        </w:rPr>
        <w:fldChar w:fldCharType="separate"/>
      </w:r>
      <w:r w:rsidR="00B464FF" w:rsidRPr="00B4448E">
        <w:rPr>
          <w:rFonts w:ascii="Times New Roman" w:hAnsi="Times New Roman"/>
          <w:noProof/>
        </w:rPr>
        <w:t>[2,6,26,30–33]</w:t>
      </w:r>
      <w:r w:rsidRPr="00B4448E">
        <w:rPr>
          <w:rFonts w:ascii="Times New Roman" w:hAnsi="Times New Roman"/>
        </w:rPr>
        <w:fldChar w:fldCharType="end"/>
      </w:r>
      <w:r w:rsidR="00FD4232" w:rsidRPr="00B4448E">
        <w:rPr>
          <w:rFonts w:ascii="Times New Roman" w:hAnsi="Times New Roman"/>
        </w:rPr>
        <w:t>.</w:t>
      </w:r>
      <w:r w:rsidR="00C7607B" w:rsidRPr="00B4448E">
        <w:rPr>
          <w:rFonts w:ascii="Times New Roman" w:hAnsi="Times New Roman"/>
        </w:rPr>
        <w:t xml:space="preserve"> Quinones are </w:t>
      </w:r>
      <w:r w:rsidR="00472EAE" w:rsidRPr="00B4448E">
        <w:rPr>
          <w:rFonts w:ascii="Times New Roman" w:hAnsi="Times New Roman"/>
        </w:rPr>
        <w:t xml:space="preserve">among </w:t>
      </w:r>
      <w:r w:rsidR="00C7607B" w:rsidRPr="00B4448E">
        <w:rPr>
          <w:rFonts w:ascii="Times New Roman" w:hAnsi="Times New Roman"/>
        </w:rPr>
        <w:t>the most studied m</w:t>
      </w:r>
      <w:r w:rsidR="00FE54C9" w:rsidRPr="00B4448E">
        <w:rPr>
          <w:rFonts w:ascii="Times New Roman" w:hAnsi="Times New Roman"/>
        </w:rPr>
        <w:t xml:space="preserve">olecules in non-aqueous systems and </w:t>
      </w:r>
      <w:r w:rsidR="00D5048F" w:rsidRPr="00B4448E">
        <w:rPr>
          <w:rFonts w:ascii="Times New Roman" w:hAnsi="Times New Roman"/>
        </w:rPr>
        <w:t xml:space="preserve">several </w:t>
      </w:r>
      <w:r w:rsidR="003373A2" w:rsidRPr="00B4448E">
        <w:rPr>
          <w:rFonts w:ascii="Times New Roman" w:hAnsi="Times New Roman"/>
        </w:rPr>
        <w:t>have been synthesized</w:t>
      </w:r>
      <w:r w:rsidR="00FD4232" w:rsidRPr="00B4448E">
        <w:rPr>
          <w:rFonts w:ascii="Times New Roman" w:hAnsi="Times New Roman"/>
        </w:rPr>
        <w:t xml:space="preserve"> </w:t>
      </w:r>
      <w:r w:rsidR="00FE54C9" w:rsidRPr="00B4448E">
        <w:rPr>
          <w:rFonts w:ascii="Times New Roman" w:hAnsi="Times New Roman"/>
          <w:szCs w:val="18"/>
        </w:rPr>
        <w:fldChar w:fldCharType="begin" w:fldLock="1"/>
      </w:r>
      <w:r w:rsidR="00FA328E" w:rsidRPr="00B4448E">
        <w:rPr>
          <w:rFonts w:ascii="Times New Roman" w:hAnsi="Times New Roman"/>
          <w:szCs w:val="18"/>
        </w:rPr>
        <w:instrText>ADDIN CSL_CITATION {"citationItems":[{"id":"ITEM-1","itemData":{"DOI":"10.1016/j.joule.2017.10.013","ISSN":"25424351","abstract":"To meet the ever-increasing energy demands and sustainability requirements, next-generation battery systems must provide superior energy densities while employing eco-friendly components. Transition metal oxide-based materials have served as important high-energy-density battery electrodes over the past few decades; however, their further development is challenging as we approach the theoretical limits arising from their crystal structures and constituting elements. Exploiting materials from biological systems, or bio-inspiration, offers an alternative strategy to overcome the conventional energy storage mechanism through the chemical diversity, highly efficient biochemistry, sustainability, and natural abundance provided by these materials. Here, we overview recent progress in biomimetic research focused on novel electrode material design for rechargeable batteries, exploiting redox-active molecules involved in the biometabolism and diverse bioderived materials with various morphologies. Successful demonstrations of energy storage using biomimetic materials that simultaneously exhibit outstanding performance and sustainability would provide insight toward the development of an eco-friendly and high-efficiency energy storage system. Conventional battery electrodes, which mainly consist of heavy transition metal oxide materials, are believed to soon reach their limitations. In an effort to develop future battery electrodes, exploiting biological knowledge is considered a promising approach. Bio-organisms have evolved over a long period of time in the pursuit of optimal systems; thus, taking advantage of their functions including energy transduction reaction and morphological evolution can offer a new insight into the design of electrode materials for energy storage. While the exploration of biomimetic materials and their applications to energy storage is in its infancy, numerous materials remain to be investigated due to the diversity of biological systems. The discovery of new redox-active molecules can trigger the synthetic efforts of related organic electrodes with optimization processes, leading to a new group of active electrode materials beyond conventional electrodes. The exploration of new hierarchical structures in biosystems can inspire cost-effective and highly efficient electrode fabrication on the nano- and microscale. We believe that learning lessons from biological systems for advanced electrode materials and structures will offer a new pe…","author":[{"dropping-particle":"","family":"Lee","given":"Byungju","non-dropping-particle":"","parse-names":false,"suffix":""},{"dropping-particle":"","family":"Ko","given":"Youngmin","non-dropping-particle":"","parse-names":false,"suffix":""},{"dropping-particle":"","family":"Kwon","given":"Giyun","non-dropping-particle":"","parse-names":false,"suffix":""},{"dropping-particle":"","family":"Lee","given":"Sechan","non-dropping-particle":"","parse-names":false,"suffix":""},{"dropping-particle":"","family":"Ku","given":"Kyojin","non-dropping-particle":"","parse-names":false,"suffix":""},{"dropping-particle":"","family":"Kim","given":"Jihyeon","non-dropping-particle":"","parse-names":false,"suffix":""},{"dropping-particle":"","family":"Kang","given":"Kisuk","non-dropping-particle":"","parse-names":false,"suffix":""}],"container-title":"Joule","id":"ITEM-1","issue":"1","issued":{"date-parts":[["2018"]]},"page":"61-75","publisher":"Elsevier Inc.","title":"Exploiting Biological Systems: Toward Eco-Friendly and High-Efficiency Rechargeable Batteries","type":"article-journal","volume":"2"},"uris":["http://www.mendeley.com/documents/?uuid=8f3b288a-5142-4423-9f70-67156859a24e"]},{"id":"ITEM-2","itemData":{"DOI":"10.1016/j.joule.2018.05.014","ISSN":"25424351","abstract":"Redox flow batteries (RFBs) are some of the most promising energy storage systems because of their design flexibility; however, their low energy density is a major drawback limiting widespread application. Most conventional approaches to increase the energy density have involved exploiting high-concentration electrolytes. However, this approach results in many technical issues, such as sluggish kinetics. We propose a strategy of boosting the energy density by exploiting a multi-redox phenazine molecule (5,10-dihydro-5,10-dimethyl phenazine [DMPZ]). DMPZ exhibits double-redox activity at −0.15 and 0.61 V versus Ag/Ag+ with remarkable kinetics and chemical stability. Coupled with 9-fluorenone (FL), the DMPZ/FL flow cell can provide the highest energy density per mole (≈85 W hr mol−1) ever reported for RFBs. Furthermore, the marked color change of DMPZ enables the state of charge to be precisely visualized. This novel strategy for a multi-redox material can provide a potential pathway toward high-energy-density RFBs. Redox flow batteries (RFBs) are some of the most promising systems for large-scale energy storage because of their great scalability and design flexibility. Even though high-energy-density RFBs are required for practically feasible applications, critical bottlenecks still remain, such as increased electrolyte viscosity resulting from the use of highly concentrated electrolyte. Herein, we propose a novel strategy of boosting the energy density by utilizing a multi-redox phenazine molecule (5,10-dihydro-5,10-dimethyl phenazine [DMPZ]). DMPZ can be used as a positive electrode material because of its double-redox reactions at high redox potentials with fast mass- and charge-transfer kinetics. Coupled with benchmarked negative electrode material (9-fluorenone [FL]), DMPZ/FL redox couple shows stable cell performance and the highest energy density among reported RFBs. These findings might shed light on the development of high-energy-density RFBs. A multi-redox phenazine molecule (5,10-dihydro-5,10-dimethyl phenazine or DMPZ) is used as a positive electrode material for redox flow batteries to boost energy density. Its redox mechanism and chemical stability are investigated. The marked color change during redox reaction can be utilized for the estimation of the state of charge.","author":[{"dropping-particle":"","family":"Kwon","given":"Giyun","non-dropping-particle":"","parse-names":false,"suffix":""},{"dropping-particle":"","family":"Lee","given":"Sechan","non-dropping-particle":"","parse-names":false,"suffix":""},{"dropping-particle":"","family":"Hwang","given":"Jinyeon","non-dropping-particle":"","parse-names":false,"suffix":""},{"dropping-particle":"","family":"Shim","given":"Hyun Soo","non-dropping-particle":"","parse-names":false,"suffix":""},{"dropping-particle":"","family":"Lee","given":"Byungju","non-dropping-particle":"","parse-names":false,"suffix":""},{"dropping-particle":"","family":"Lee","given":"Myeong Hwan","non-dropping-particle":"","parse-names":false,"suffix":""},{"dropping-particle":"","family":"Ko","given":"Youngmin","non-dropping-particle":"","parse-names":false,"suffix":""},{"dropping-particle":"","family":"Jung","given":"Sung Kyun","non-dropping-particle":"","parse-names":false,"suffix":""},{"dropping-particle":"","family":"Ku","given":"Kyojin","non-dropping-particle":"","parse-names":false,"suffix":""},{"dropping-particle":"","family":"Hong","given":"Jihyun","non-dropping-particle":"","parse-names":false,"suffix":""},{"dropping-particle":"","family":"Kang","given":"Kisuk","non-dropping-particle":"","parse-names":false,"suffix":""}],"container-title":"Joule","id":"ITEM-2","issue":"9","issued":{"date-parts":[["2018"]]},"page":"1771-1782","publisher":"Elsevier Inc.","title":"Multi-redox Molecule for High-Energy Redox Flow Batteries","type":"article-journal","volume":"2"},"uris":["http://www.mendeley.com/documents/?uuid=93ae6b43-2df4-4f48-acf5-0e9ba4f0947e"]},{"id":"ITEM-3","itemData":{"DOI":"10.1002/aenm.201200322","author":[{"dropping-particle":"","family":"Brushett","given":"Fikile R","non-dropping-particle":"","parse-names":false,"suffix":""},{"dropping-particle":"","family":"Vaughey","given":"John T","non-dropping-particle":"","parse-names":false,"suffix":""},{"dropping-particle":"","family":"Jansen","given":"Andrew N","non-dropping-particle":"","parse-names":false,"suffix":""}],"container-title":"Advanced Energy Materials","id":"ITEM-3","issued":{"date-parts":[["2012"]]},"page":"1390-1396","title":"An All-Organic Non-aqueous Lithium-Ion Redox Flow Battery","type":"article-journal","volume":"2"},"uris":["http://www.mendeley.com/documents/?uuid=7a9a264d-25a8-42f5-b8f4-499f1eebf1bf"]},{"id":"ITEM-4","itemData":{"DOI":"10.1039/c4sc03030c","author":[{"dropping-particle":"","family":"S¨uleyman Er","given":"","non-dropping-particle":"","parse-names":false,"suffix":""},{"dropping-particle":"","family":"Changwon Suh","given":"","non-dropping-particle":"","parse-names":false,"suffix":""},{"dropping-particle":"","family":"Michael P. Marshak","given":"","non-dropping-particle":"","parse-names":false,"suffix":""},{"dropping-particle":"","family":"Aspuru-guzik","given":"Alán","non-dropping-particle":"","parse-names":false,"suffix":""}],"container-title":"Chem. Sci.","id":"ITEM-4","issue":"2","issued":{"date-parts":[["2015"]]},"page":"845–1592","title":"Computational design of molecules for an all-quinone redox flow battery","type":"article-journal","volume":"6"},"uris":["http://www.mendeley.com/documents/?uuid=dfb6d924-2c25-4e53-b084-9f5af4b4599e"]},{"id":"ITEM-5","itemData":{"DOI":"10.1039/c7cs00569e","ISSN":"14604744","abstract":"With high scalability and independent control over energy and power, redox flow batteries (RFBs) stand out as an important large-scale energy storage system. However, the widespread application of conventional RFBs is limited by the uncompetitive performance, as well as the high cost and environmental concerns associated with the use of metal-based redox species. In consideration of advantageous features such as potentially low cost, vast molecular diversity, and highly tailorable properties, organic and organometallic molecules emerge as promising alternative electroactive species for building sustainable RFBs. This review presents a systematic molecular engineering scheme for designing these novel redox species. We provide detailed synthetic strategies for modifying the organic and organometallic redox species in terms of solubility, redox potential, and molecular size. Recent advances are then introduced covering the reaction mechanisms, specific functionalization methods, and electrochemical performances of redox species classified by their molecular structures. Finally, we conclude with an analysis of the current challenges and perspectives on future directions in this emerging research field.","author":[{"dropping-particle":"","family":"Ding","given":"Yu","non-dropping-particle":"","parse-names":false,"suffix":""},{"dropping-particle":"","family":"Zhang","given":"Changkun","non-dropping-particle":"","parse-names":false,"suffix":""},{"dropping-particle":"","family":"Zhang","given":"Leyuan","non-dropping-particle":"","parse-names":false,"suffix":""},{"dropping-particle":"","family":"Zhou","given":"Yangen","non-dropping-particle":"","parse-names":false,"suffix":""},{"dropping-particle":"","family":"Yu","given":"Guihua","non-dropping-particle":"","parse-names":false,"suffix":""}],"container-title":"Chemical Society Reviews","id":"ITEM-5","issue":"1","issued":{"date-parts":[["2018"]]},"page":"69-103","publisher":"Royal Society of Chemistry","title":"Molecular engineering of organic electroactive materials for redox flow batteries","type":"article-journal","volume":"47"},"uris":["http://www.mendeley.com/documents/?uuid=b5af650b-2b34-4268-9d38-a5cf84f6d167"]},{"id":"ITEM-6","itemData":{"DOI":"10.1039/c8ta04720k","author":[{"dropping-particle":"","family":"Shin","given":"Dong-seon","non-dropping-particle":"","parse-names":false,"suffix":""},{"dropping-particle":"","family":"Park","given":"Minjoon","non-dropping-particle":"","parse-names":false,"suffix":""},{"dropping-particle":"","family":"Ryu","given":"Jaechan","non-dropping-particle":"","parse-names":false,"suffix":""},{"dropping-particle":"","family":"Hwang","given":"Inchan","non-dropping-particle":"","parse-names":false,"suffix":""},{"dropping-particle":"","family":"Seo","given":"Jeong Kon","non-dropping-particle":"","parse-names":false,"suffix":""},{"dropping-particle":"","family":"Seo","given":"Kwanyong","non-dropping-particle":"","parse-names":false,"suffix":""},{"dropping-particle":"","family":"Cho","given":"Jaephil","non-dropping-particle":"","parse-names":false,"suffix":""},{"dropping-particle":"","family":"Hong","given":"Sung You","non-dropping-particle":"","parse-names":false,"suffix":""}],"container-title":"J. Mater. Chem. A","id":"ITEM-6","issued":{"date-parts":[["2018"]]},"page":"14761-14768","publisher":"Royal Society of Chemistry","title":"Nonaqueous arylated quinone catholytes for lithium – organic flow batteries","type":"article-journal","volume":"6"},"uris":["http://www.mendeley.com/documents/?uuid=09667aff-d6d9-4a83-a514-f26ca6519b81"]},{"id":"ITEM-7","itemData":{"DOI":"10.1002/anie.201600705","author":[{"dropping-particle":"","family":"Ding","given":"Yu","non-dropping-particle":"","parse-names":false,"suffix":""},{"dropping-particle":"","family":"Yu","given":"Guihua","non-dropping-particle":"","parse-names":false,"suffix":""}],"container-title":"Angewandte Chemie","id":"ITEM-7","issued":{"date-parts":[["2016"]]},"page":"4772-4776","title":"A Bio-Inspired , Heavy-Metal-Free , Dual-Electrolyte Liquid Battery towards Sustainable Energy Storage","type":"article-journal","volume":"55"},"uris":["http://www.mendeley.com/documents/?uuid=ea24865b-566f-4176-bbab-d283aa1c2491"]},{"id":"ITEM-8","itemData":{"DOI":"10.1038/nature12909","author":[{"dropping-particle":"","family":"Huskinson","given":"Brian","non-dropping-particle":"","parse-names":false,"suffix":""},{"dropping-particle":"","family":"Marshak","given":"Michael P","non-dropping-particle":"","parse-names":false,"suffix":""},{"dropping-particle":"","family":"Suh","given":"Changwon","non-dropping-particle":"","parse-names":false,"suffix":""},{"dropping-particle":"","family":"Er","given":"S¨uleyman","non-dropping-particle":"","parse-names":false,"suffix":""},{"dropping-particle":"","family":"Gerhardt","given":"Michael R","non-dropping-particle":"","parse-names":false,"suffix":""},{"dropping-particle":"","family":"Galvin","given":"Cooper J","non-dropping-particle":"","parse-names":false,"suffix":""},{"dropping-particle":"","family":"Chen","given":"Xudong","non-dropping-particle":"","parse-names":false,"suffix":""},{"dropping-particle":"","family":"Aspuru-Guzik","given":"Ala´n","non-dropping-particle":"","parse-names":false,"suffix":""},{"dropping-particle":"","family":"Gordon","given":"Roy G.","non-dropping-particle":"","parse-names":false,"suffix":""},{"dropping-particle":"","family":"Aziz","given":"Michael J.","non-dropping-particle":"","parse-names":false,"suffix":""}],"container-title":"Nature","id":"ITEM-8","issued":{"date-parts":[["2014"]]},"page":"195-198","title":"A metal-free organic– inorganic aqueous flow battery","type":"article-journal","volume":"5 0 5"},"uris":["http://www.mendeley.com/documents/?uuid=89eb802f-7818-476d-87ae-120cb5c0a363"]},{"id":"ITEM-9","itemData":{"DOI":"10.1002/ange.201907934","ISSN":"0044-8249","author":[{"dropping-particle":"","family":"Hu","given":"Bo","non-dropping-particle":"","parse-names":false,"suffix":""},{"dropping-particle":"","family":"Luo","given":"Jian","non-dropping-particle":"","parse-names":false,"suffix":""},{"dropping-particle":"","family":"Hu","given":"Maowei","non-dropping-particle":"","parse-names":false,"suffix":""},{"dropping-particle":"","family":"Yuan","given":"Bing","non-dropping-particle":"","parse-names":false,"suffix":""},{"dropping-particle":"","family":"Liu","given":"T. Leo","non-dropping-particle":"","parse-names":false,"suffix":""}],"container-title":"Angewandte Chemie","id":"ITEM-9","issued":{"date-parts":[["2019"]]},"page":"16782-16789","title":"A pH‐Neutral, Metal‐Free Aqueous Organic Redox Flow Battery Employing an Ammonium Anthraquinone Anolyte","type":"article-journal","volume":"131"},"uris":["http://www.mendeley.com/documents/?uuid=97137705-de38-4745-bb6d-4d2af6f9adf1"]},{"id":"ITEM-10","itemData":{"DOI":"10.1021/acsaem.9b00691","ISSN":"25740962","abstract":"Here we report a symmetric all-quinone aqueous battery based entirely on earth-abundant elements that uses a naturally occurring dye as the redox-active material in both positive and negative electrodes. We demonstrated a symmetric all-quinone cell with 1.04 V of open circuit voltage, 163 mAh/g of capacity, and 100 cycles at 10C with 100% of depth of discharge. The use of the same quinone in a symmetric setup expands the repertoire of inexpensive redox-active materials for aqueous rechargeable batteries, and the simple cell design will enable optimizations toward safe, cheap, light-weight, and flexible electronics in future.","author":[{"dropping-particle":"","family":"Tong","given":"Liuchuan","non-dropping-particle":"","parse-names":false,"suffix":""},{"dropping-particle":"","family":"Jing","given":"Yan","non-dropping-particle":"","parse-names":false,"suffix":""},{"dropping-particle":"","family":"Gordon","given":"Roy G.","non-dropping-particle":"","parse-names":false,"suffix":""},{"dropping-particle":"","family":"Aziz","given":"Michael J.","non-dropping-particle":"","parse-names":false,"suffix":""}],"container-title":"ACS Applied Energy Materials","genre":"rapid-communication","id":"ITEM-10","issue":"6","issued":{"date-parts":[["2019"]]},"page":"4016-4021","publisher":"American Chemical Society","title":"Symmetric All-Quinone Aqueous Battery","type":"article-journal","volume":"2"},"uris":["http://www.mendeley.com/documents/?uuid=09f1f5ff-299a-45f2-83e8-6b0f04d59018"]}],"mendeley":{"formattedCitation":"[10,14,15,32,34–39]","plainTextFormattedCitation":"[10,14,15,32,34–39]","previouslyFormattedCitation":"[10,14,15,32,34–39]"},"properties":{"noteIndex":0},"schema":"https://github.com/citation-style-language/schema/raw/master/csl-citation.json"}</w:instrText>
      </w:r>
      <w:r w:rsidR="00FE54C9" w:rsidRPr="00B4448E">
        <w:rPr>
          <w:rFonts w:ascii="Times New Roman" w:hAnsi="Times New Roman"/>
          <w:szCs w:val="18"/>
        </w:rPr>
        <w:fldChar w:fldCharType="separate"/>
      </w:r>
      <w:r w:rsidR="00B464FF" w:rsidRPr="00B4448E">
        <w:rPr>
          <w:rFonts w:ascii="Times New Roman" w:hAnsi="Times New Roman"/>
          <w:noProof/>
          <w:szCs w:val="18"/>
        </w:rPr>
        <w:t>[10,14,15,32,34–39]</w:t>
      </w:r>
      <w:r w:rsidR="00FE54C9" w:rsidRPr="00B4448E">
        <w:rPr>
          <w:rFonts w:ascii="Times New Roman" w:hAnsi="Times New Roman"/>
          <w:szCs w:val="18"/>
        </w:rPr>
        <w:fldChar w:fldCharType="end"/>
      </w:r>
      <w:r w:rsidR="00FD4232" w:rsidRPr="00B4448E">
        <w:rPr>
          <w:rFonts w:ascii="Times New Roman" w:hAnsi="Times New Roman"/>
          <w:szCs w:val="18"/>
        </w:rPr>
        <w:t>.</w:t>
      </w:r>
      <w:r w:rsidR="00FE54C9" w:rsidRPr="00B4448E">
        <w:rPr>
          <w:rFonts w:ascii="Times New Roman" w:hAnsi="Times New Roman"/>
          <w:szCs w:val="18"/>
        </w:rPr>
        <w:t xml:space="preserve"> The</w:t>
      </w:r>
      <w:r w:rsidR="00AC27C8" w:rsidRPr="00B4448E">
        <w:rPr>
          <w:rFonts w:ascii="Times New Roman" w:hAnsi="Times New Roman"/>
          <w:szCs w:val="18"/>
        </w:rPr>
        <w:t xml:space="preserve">ir </w:t>
      </w:r>
      <w:r w:rsidR="003373A2" w:rsidRPr="00B4448E">
        <w:rPr>
          <w:rFonts w:ascii="Times New Roman" w:hAnsi="Times New Roman"/>
          <w:szCs w:val="18"/>
        </w:rPr>
        <w:t>use</w:t>
      </w:r>
      <w:r w:rsidR="00AC27C8" w:rsidRPr="00B4448E">
        <w:rPr>
          <w:rFonts w:ascii="Times New Roman" w:hAnsi="Times New Roman"/>
          <w:szCs w:val="18"/>
        </w:rPr>
        <w:t xml:space="preserve"> in </w:t>
      </w:r>
      <w:r w:rsidR="00D5048F" w:rsidRPr="00B4448E">
        <w:rPr>
          <w:rFonts w:ascii="Times New Roman" w:hAnsi="Times New Roman"/>
          <w:szCs w:val="18"/>
        </w:rPr>
        <w:t>batter</w:t>
      </w:r>
      <w:r w:rsidR="00EF1D39" w:rsidRPr="00B4448E">
        <w:rPr>
          <w:rFonts w:ascii="Times New Roman" w:hAnsi="Times New Roman"/>
          <w:szCs w:val="18"/>
        </w:rPr>
        <w:t>y electrolytes</w:t>
      </w:r>
      <w:r w:rsidR="00D5048F" w:rsidRPr="00B4448E">
        <w:rPr>
          <w:rFonts w:ascii="Times New Roman" w:hAnsi="Times New Roman"/>
          <w:szCs w:val="18"/>
        </w:rPr>
        <w:t xml:space="preserve"> has focused </w:t>
      </w:r>
      <w:r w:rsidR="00550544" w:rsidRPr="00B4448E">
        <w:rPr>
          <w:rFonts w:ascii="Times New Roman" w:hAnsi="Times New Roman"/>
          <w:szCs w:val="18"/>
        </w:rPr>
        <w:t xml:space="preserve">on </w:t>
      </w:r>
      <w:r w:rsidR="00D5048F" w:rsidRPr="00B4448E">
        <w:rPr>
          <w:rFonts w:ascii="Times New Roman" w:hAnsi="Times New Roman"/>
          <w:szCs w:val="18"/>
        </w:rPr>
        <w:t xml:space="preserve">achieving </w:t>
      </w:r>
      <w:r w:rsidR="003373A2" w:rsidRPr="00B4448E">
        <w:rPr>
          <w:rFonts w:ascii="Times New Roman" w:hAnsi="Times New Roman"/>
          <w:szCs w:val="18"/>
        </w:rPr>
        <w:t xml:space="preserve">a </w:t>
      </w:r>
      <w:r w:rsidR="00D5048F" w:rsidRPr="00B4448E">
        <w:rPr>
          <w:rFonts w:ascii="Times New Roman" w:hAnsi="Times New Roman"/>
          <w:szCs w:val="18"/>
        </w:rPr>
        <w:t xml:space="preserve">high </w:t>
      </w:r>
      <w:r w:rsidR="00AC27C8" w:rsidRPr="00B4448E">
        <w:rPr>
          <w:rFonts w:ascii="Times New Roman" w:hAnsi="Times New Roman"/>
          <w:szCs w:val="18"/>
        </w:rPr>
        <w:t xml:space="preserve">electrode potential and </w:t>
      </w:r>
      <w:r w:rsidR="003373A2" w:rsidRPr="00B4448E">
        <w:rPr>
          <w:rFonts w:ascii="Times New Roman" w:hAnsi="Times New Roman"/>
          <w:szCs w:val="18"/>
        </w:rPr>
        <w:t xml:space="preserve">good </w:t>
      </w:r>
      <w:r w:rsidR="00AC27C8" w:rsidRPr="00B4448E">
        <w:rPr>
          <w:rFonts w:ascii="Times New Roman" w:hAnsi="Times New Roman"/>
          <w:szCs w:val="18"/>
        </w:rPr>
        <w:t>solubility</w:t>
      </w:r>
      <w:r w:rsidR="00B7047D" w:rsidRPr="00B4448E">
        <w:rPr>
          <w:rFonts w:ascii="Times New Roman" w:hAnsi="Times New Roman"/>
          <w:szCs w:val="18"/>
        </w:rPr>
        <w:t xml:space="preserve"> </w:t>
      </w:r>
      <w:r w:rsidR="00C37A6C" w:rsidRPr="00B4448E">
        <w:rPr>
          <w:rFonts w:ascii="Times New Roman" w:hAnsi="Times New Roman"/>
          <w:szCs w:val="18"/>
        </w:rPr>
        <w:fldChar w:fldCharType="begin" w:fldLock="1"/>
      </w:r>
      <w:r w:rsidR="00FA328E" w:rsidRPr="00B4448E">
        <w:rPr>
          <w:rFonts w:ascii="Times New Roman" w:hAnsi="Times New Roman"/>
          <w:szCs w:val="18"/>
        </w:rPr>
        <w:instrText>ADDIN CSL_CITATION {"citationItems":[{"id":"ITEM-1","itemData":{"DOI":"10.1039/c5ee02341f","author":[{"dropping-particle":"","family":"Gong","given":"Ke","non-dropping-particle":"","parse-names":false,"suffix":""},{"dropping-particle":"","family":"Fang","given":"Qianrong","non-dropping-particle":"","parse-names":false,"suffix":""},{"dropping-particle":"","family":"Gu","given":"Shuang","non-dropping-particle":"","parse-names":false,"suffix":""},{"dropping-particle":"","family":"Fong","given":"Sam","non-dropping-particle":"","parse-names":false,"suffix":""},{"dropping-particle":"","family":"Li","given":"Yau","non-dropping-particle":"","parse-names":false,"suffix":""},{"dropping-particle":"","family":"Yan","given":"Yushan","non-dropping-particle":"","parse-names":false,"suffix":""}],"container-title":"Energy Environ. Sci.","id":"ITEM-1","issued":{"date-parts":[["2015"]]},"page":"3515-3530","publisher":"Royal Society of Chemistry","title":"Nonaqueous redox-flow batteries: organic solvents , supporting electrolytes , and redox pairs","type":"article-journal","volume":"8"},"uris":["http://www.mendeley.com/documents/?uuid=8a4c994b-2345-41f6-89a3-a1a422063b3b"]},{"id":"ITEM-2","itemData":{"DOI":"10.1021/jacs.7b00159","author":[{"dropping-particle":"","family":"Emanuelsson","given":"Rikard","non-dropping-particle":"","parse-names":false,"suffix":""},{"dropping-particle":"","family":"Sterby","given":"Mia","non-dropping-particle":"","parse-names":false,"suffix":""},{"dropping-particle":"","family":"Strømme","given":"Maria","non-dropping-particle":"","parse-names":false,"suffix":""},{"dropping-particle":"","family":"Sjodin","given":"Martin","non-dropping-particle":"","parse-names":false,"suffix":""}],"container-title":"Journal of the American Chemical Society","id":"ITEM-2","issued":{"date-parts":[["2017"]]},"page":"4828-4834","title":"An All-Organic Proton Battery","type":"article-journal","volume":"139"},"uris":["http://www.mendeley.com/documents/?uuid=a38137bb-b437-4cc6-bd56-93b6620706a2"]},{"id":"ITEM-3","itemData":{"DOI":"10.1039/c4sc03030c","author":[{"dropping-particle":"","family":"S¨uleyman Er","given":"","non-dropping-particle":"","parse-names":false,"suffix":""},{"dropping-particle":"","family":"Changwon Suh","given":"","non-dropping-particle":"","parse-names":false,"suffix":""},{"dropping-particle":"","family":"Michael P. Marshak","given":"","non-dropping-particle":"","parse-names":false,"suffix":""},{"dropping-particle":"","family":"Aspuru-guzik","given":"Alán","non-dropping-particle":"","parse-names":false,"suffix":""}],"container-title":"Chem. Sci.","id":"ITEM-3","issue":"2","issued":{"date-parts":[["2015"]]},"page":"845–1592","title":"Computational design of molecules for an all-quinone redox flow battery","type":"article-journal","volume":"6"},"uris":["http://www.mendeley.com/documents/?uuid=dfb6d924-2c25-4e53-b084-9f5af4b4599e"]}],"mendeley":{"formattedCitation":"[26,33,36]","plainTextFormattedCitation":"[26,33,36]","previouslyFormattedCitation":"[26,33,36]"},"properties":{"noteIndex":0},"schema":"https://github.com/citation-style-language/schema/raw/master/csl-citation.json"}</w:instrText>
      </w:r>
      <w:r w:rsidR="00C37A6C" w:rsidRPr="00B4448E">
        <w:rPr>
          <w:rFonts w:ascii="Times New Roman" w:hAnsi="Times New Roman"/>
          <w:szCs w:val="18"/>
        </w:rPr>
        <w:fldChar w:fldCharType="separate"/>
      </w:r>
      <w:r w:rsidR="00B464FF" w:rsidRPr="00B4448E">
        <w:rPr>
          <w:rFonts w:ascii="Times New Roman" w:hAnsi="Times New Roman"/>
          <w:noProof/>
          <w:szCs w:val="18"/>
        </w:rPr>
        <w:t>[26,33,36]</w:t>
      </w:r>
      <w:r w:rsidR="00C37A6C" w:rsidRPr="00B4448E">
        <w:rPr>
          <w:rFonts w:ascii="Times New Roman" w:hAnsi="Times New Roman"/>
          <w:szCs w:val="18"/>
        </w:rPr>
        <w:fldChar w:fldCharType="end"/>
      </w:r>
      <w:r w:rsidR="00FD4232" w:rsidRPr="00B4448E">
        <w:rPr>
          <w:rFonts w:ascii="Times New Roman" w:hAnsi="Times New Roman"/>
          <w:szCs w:val="18"/>
        </w:rPr>
        <w:t>.</w:t>
      </w:r>
      <w:r w:rsidR="00FD1598" w:rsidRPr="00B4448E">
        <w:rPr>
          <w:rFonts w:ascii="Times New Roman" w:hAnsi="Times New Roman"/>
          <w:sz w:val="22"/>
          <w:szCs w:val="22"/>
          <w:lang w:val="en-CA"/>
        </w:rPr>
        <w:t xml:space="preserve"> </w:t>
      </w:r>
      <w:r w:rsidR="006E0CD3" w:rsidRPr="00B4448E">
        <w:rPr>
          <w:rFonts w:ascii="Times New Roman" w:hAnsi="Times New Roman"/>
          <w:szCs w:val="18"/>
        </w:rPr>
        <w:t>M</w:t>
      </w:r>
      <w:r w:rsidR="00550544" w:rsidRPr="00B4448E">
        <w:rPr>
          <w:rFonts w:ascii="Times New Roman" w:hAnsi="Times New Roman"/>
          <w:szCs w:val="18"/>
        </w:rPr>
        <w:t xml:space="preserve">ost quinones undergo </w:t>
      </w:r>
      <w:r w:rsidR="003373A2" w:rsidRPr="00B4448E">
        <w:rPr>
          <w:rFonts w:ascii="Times New Roman" w:hAnsi="Times New Roman"/>
          <w:szCs w:val="18"/>
        </w:rPr>
        <w:t xml:space="preserve">a </w:t>
      </w:r>
      <w:r w:rsidR="00550544" w:rsidRPr="00B4448E">
        <w:rPr>
          <w:rFonts w:ascii="Times New Roman" w:hAnsi="Times New Roman"/>
          <w:szCs w:val="18"/>
        </w:rPr>
        <w:t>2e</w:t>
      </w:r>
      <w:r w:rsidR="00550544" w:rsidRPr="00B4448E">
        <w:rPr>
          <w:rFonts w:ascii="Symbol" w:hAnsi="Symbol"/>
          <w:szCs w:val="18"/>
          <w:vertAlign w:val="superscript"/>
        </w:rPr>
        <w:t></w:t>
      </w:r>
      <w:r w:rsidR="00550544" w:rsidRPr="00B4448E">
        <w:rPr>
          <w:rFonts w:ascii="Times New Roman" w:hAnsi="Times New Roman"/>
          <w:szCs w:val="18"/>
        </w:rPr>
        <w:t xml:space="preserve"> reduction to form anions</w:t>
      </w:r>
      <w:r w:rsidR="000D5F90" w:rsidRPr="00B4448E">
        <w:rPr>
          <w:rFonts w:ascii="Times New Roman" w:hAnsi="Times New Roman"/>
          <w:szCs w:val="18"/>
        </w:rPr>
        <w:t xml:space="preserve"> (</w:t>
      </w:r>
      <w:r w:rsidR="000D5F90" w:rsidRPr="00B4448E">
        <w:rPr>
          <w:rFonts w:ascii="Times New Roman" w:hAnsi="Times New Roman"/>
          <w:szCs w:val="24"/>
          <w:lang w:val="en-CA"/>
        </w:rPr>
        <w:t>Scheme I</w:t>
      </w:r>
      <w:r w:rsidR="007D2506" w:rsidRPr="00B4448E">
        <w:rPr>
          <w:rFonts w:ascii="Times New Roman" w:hAnsi="Times New Roman"/>
          <w:szCs w:val="24"/>
          <w:lang w:val="en-CA"/>
        </w:rPr>
        <w:t>I</w:t>
      </w:r>
      <w:r w:rsidR="000D5F90" w:rsidRPr="00B4448E">
        <w:rPr>
          <w:rFonts w:ascii="Times New Roman" w:hAnsi="Times New Roman"/>
          <w:szCs w:val="18"/>
        </w:rPr>
        <w:t>)</w:t>
      </w:r>
      <w:r w:rsidR="00550544" w:rsidRPr="00B4448E">
        <w:rPr>
          <w:rFonts w:ascii="Times New Roman" w:hAnsi="Times New Roman"/>
          <w:szCs w:val="18"/>
        </w:rPr>
        <w:t xml:space="preserve"> </w:t>
      </w:r>
      <w:r w:rsidR="000A3FFD" w:rsidRPr="00B4448E">
        <w:rPr>
          <w:rFonts w:ascii="Times New Roman" w:hAnsi="Times New Roman"/>
          <w:szCs w:val="18"/>
        </w:rPr>
        <w:t>and</w:t>
      </w:r>
      <w:r w:rsidR="00382563" w:rsidRPr="00B4448E">
        <w:rPr>
          <w:rFonts w:ascii="Times New Roman" w:hAnsi="Times New Roman"/>
          <w:szCs w:val="18"/>
        </w:rPr>
        <w:t xml:space="preserve"> </w:t>
      </w:r>
      <w:r w:rsidR="00550544" w:rsidRPr="00B4448E">
        <w:rPr>
          <w:rFonts w:ascii="Times New Roman" w:hAnsi="Times New Roman"/>
          <w:szCs w:val="18"/>
        </w:rPr>
        <w:t>the</w:t>
      </w:r>
      <w:r w:rsidR="003373A2" w:rsidRPr="00B4448E">
        <w:rPr>
          <w:rFonts w:ascii="Times New Roman" w:hAnsi="Times New Roman"/>
          <w:szCs w:val="18"/>
        </w:rPr>
        <w:t xml:space="preserve"> reduction route</w:t>
      </w:r>
      <w:r w:rsidR="006E0CD3" w:rsidRPr="00B4448E">
        <w:rPr>
          <w:rFonts w:ascii="Times New Roman" w:hAnsi="Times New Roman"/>
          <w:szCs w:val="18"/>
        </w:rPr>
        <w:t xml:space="preserve"> limit</w:t>
      </w:r>
      <w:r w:rsidR="00382563" w:rsidRPr="00B4448E">
        <w:rPr>
          <w:rFonts w:ascii="Times New Roman" w:hAnsi="Times New Roman"/>
          <w:szCs w:val="18"/>
        </w:rPr>
        <w:t>s</w:t>
      </w:r>
      <w:r w:rsidR="006E0CD3" w:rsidRPr="00B4448E">
        <w:rPr>
          <w:rFonts w:ascii="Times New Roman" w:hAnsi="Times New Roman"/>
          <w:szCs w:val="18"/>
        </w:rPr>
        <w:t xml:space="preserve"> the</w:t>
      </w:r>
      <w:r w:rsidR="00550544" w:rsidRPr="00B4448E">
        <w:rPr>
          <w:rFonts w:ascii="Times New Roman" w:hAnsi="Times New Roman"/>
          <w:szCs w:val="18"/>
        </w:rPr>
        <w:t xml:space="preserve"> electrode potentials </w:t>
      </w:r>
      <w:r w:rsidR="006E0CD3" w:rsidRPr="00B4448E">
        <w:rPr>
          <w:rFonts w:ascii="Times New Roman" w:hAnsi="Times New Roman"/>
          <w:szCs w:val="18"/>
        </w:rPr>
        <w:t>to less than 3.0</w:t>
      </w:r>
      <w:r w:rsidR="00550544" w:rsidRPr="00B4448E">
        <w:rPr>
          <w:rFonts w:ascii="Times New Roman" w:hAnsi="Times New Roman"/>
          <w:szCs w:val="18"/>
        </w:rPr>
        <w:t xml:space="preserve"> V </w:t>
      </w:r>
      <w:r w:rsidR="00550544" w:rsidRPr="00B4448E">
        <w:rPr>
          <w:rFonts w:ascii="Times New Roman" w:hAnsi="Times New Roman"/>
          <w:i/>
          <w:szCs w:val="18"/>
        </w:rPr>
        <w:t>vs</w:t>
      </w:r>
      <w:r w:rsidR="006E0CD3" w:rsidRPr="00B4448E">
        <w:rPr>
          <w:rFonts w:ascii="Times New Roman" w:hAnsi="Times New Roman"/>
          <w:szCs w:val="18"/>
        </w:rPr>
        <w:t xml:space="preserve">. Li in non-aqueous electrolytes </w:t>
      </w:r>
      <w:r w:rsidR="009C7D7F" w:rsidRPr="00B4448E">
        <w:rPr>
          <w:rFonts w:ascii="Times New Roman" w:hAnsi="Times New Roman"/>
          <w:szCs w:val="18"/>
        </w:rPr>
        <w:fldChar w:fldCharType="begin" w:fldLock="1"/>
      </w:r>
      <w:r w:rsidR="00FA328E" w:rsidRPr="00B4448E">
        <w:rPr>
          <w:rFonts w:ascii="Times New Roman" w:hAnsi="Times New Roman"/>
          <w:szCs w:val="18"/>
        </w:rPr>
        <w:instrText>ADDIN CSL_CITATION {"citationItems":[{"id":"ITEM-1","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-1","issue":"5","issued":{"date-parts":[["2016"]]},"page":"790-801","publisher":"Elsevier Inc.","title":"Exploring Bio-inspired Quinone-Based Organic Redox Flow Batteries : A Combined Experimental and Computational Study","type":"article-journal","volume":"1"},"uris":["http://www.mendeley.com/documents/?uuid=bb4f639b-539b-4605-b575-1e1c574d0113"]},{"id":"ITEM-2","itemData":{"DOI":"10.1021/jacs.7b00159","author":[{"dropping-particle":"","family":"Emanuelsson","given":"Rikard","non-dropping-particle":"","parse-names":false,"suffix":""},{"dropping-particle":"","family":"Sterby","given":"Mia","non-dropping-particle":"","parse-names":false,"suffix":""},{"dropping-particle":"","family":"Strømme","given":"Maria","non-dropping-particle":"","parse-names":false,"suffix":""},{"dropping-particle":"","family":"Sjodin","given":"Martin","non-dropping-particle":"","parse-names":false,"suffix":""}],"container-title":"Journal of the American Chemical Society","id":"ITEM-2","issued":{"date-parts":[["2017"]]},"page":"4828-4834","title":"An All-Organic Proton Battery","type":"article-journal","volume":"139"},"uris":["http://www.mendeley.com/documents/?uuid=a38137bb-b437-4cc6-bd56-93b6620706a2"]},{"id":"ITEM-3","itemData":{"DOI":"10.1039/c8cc04099k","author":[{"dropping-particle":"","family":"Xie","given":"Congxin","non-dropping-particle":"","parse-names":false,"suffix":""},{"dropping-particle":"","family":"Xu","given":"Wenbin","non-dropping-particle":"","parse-names":false,"suffix":""},{"dropping-particle":"","family":"Zhang","given":"Huamin","non-dropping-particle":"","parse-names":false,"suffix":""},{"dropping-particle":"","family":"Hu","given":"Xiangping","non-dropping-particle":"","parse-names":false,"suffix":""},{"dropping-particle":"","family":"Li","given":"Xianfeng","non-dropping-particle":"","parse-names":false,"suffix":""}],"container-title":"ChemComm","id":"ITEM-3","issued":{"date-parts":[["2018"]]},"page":"8419-8422","publisher":"Royal Society of Chemistry","title":"A multi-electron transfer ferrocene derivative positive redox moiety with improved solubility and potential †","type":"article-journal","volume":"54"},"uris":["http://www.mendeley.com/documents/?uuid=63b1348f-30d5-4f69-a527-cc613f2aa224"]},{"id":"ITEM-4","itemData":{"DOI":"10.1038/nenergy.2017.74","ISSN":"20587546","abstract":"Even though organic molecules with well-designed functional groups can be programmed to have high electron density per unit mass, their poor electrical conductivity and low cycle stability limit their applications in batteries. Here we report a facile synthesis of π-conjugated quinoxaline-based heteroaromatic molecules (3Q) by condensation of cyclic carbonyl molecules with o-phenylenediamine. 3Q features a number of electron-deficient pyrazine sites, where multiple redox reactions take place. When hybridized with graphene and coupled with an ether-based electrolyte, an organic cathode based on 3Q molecules displays a discharge capacity of 395 mAh g-1 at 400 mA g-1 (1C) in the voltage range of 1.2-3.9 V and a nearly 70% capacity retention after 10,000 cycles at 8 A g-1. It also exhibits a capacity of 222 mAh g-1 at 20C, which corresponds to 60% of the initial specific capacity. Our results offer evidence that heteroaromatic molecules with multiple redox sites are promising in developing high-energy-density, long-cycle-life organic rechargeable batteries.","author":[{"dropping-particle":"","family":"Peng","given":"Chengxin","non-dropping-particle":"","parse-names":false,"suffix":""},{"dropping-particle":"","family":"Ning","given":"Guo Hong","non-dropping-particle":"","parse-names":false,"suffix":""},{"dropping-particle":"","family":"Su","given":"Jie","non-dropping-particle":"","parse-names":false,"suffix":""},{"dropping-particle":"","family":"Zhong","given":"Guiming","non-dropping-particle":"","parse-names":false,"suffix":""},{"dropping-particle":"","family":"Tang","given":"Wei","non-dropping-particle":"","parse-names":false,"suffix":""},{"dropping-particle":"","family":"Tian","given":"Bingbing","non-dropping-particle":"","parse-names":false,"suffix":""},{"dropping-particle":"","family":"Su","given":"Chenliang","non-dropping-particle":"","parse-names":false,"suffix":""},{"dropping-particle":"","family":"Yu","given":"DIngyi","non-dropping-particle":"","parse-names":false,"suffix":""},{"dropping-particle":"","family":"Zu","given":"Lianhai","non-dropping-particle":"","parse-names":false,"suffix":""},{"dropping-particle":"","family":"Yang","given":"Jinhu","non-dropping-particle":"","parse-names":false,"suffix":""},{"dropping-particle":"","family":"Ng","given":"Man Fai","non-dropping-particle":"","parse-names":false,"suffix":""},{"dropping-particle":"","family":"Hu","given":"Yong Sheng","non-dropping-particle":"","parse-names":false,"suffix":""},{"dropping-particle":"","family":"Yang","given":"Yong","non-dropping-particle":"","parse-names":false,"suffix":""},{"dropping-particle":"","family":"Armand","given":"Michel","non-dropping-particle":"","parse-names":false,"suffix":""},{"dropping-particle":"","family":"Loh","given":"Kian Ping","non-dropping-particle":"","parse-names":false,"suffix":""}],"container-title":"Nature Energy","id":"ITEM-4","issue":"17074","issued":{"date-parts":[["2017"]]},"page":"1-9","title":"Reversible multi-electron redox chemistry of π-conjugated N-containing heteroaromatic molecule-based organic cathodes","type":"article-journal","volume":"2"},"uris":["http://www.mendeley.com/documents/?uuid=b5871143-5008-4db7-a2db-9a2df92b36cb"]}],"mendeley":{"formattedCitation":"[33,40–42]","plainTextFormattedCitation":"[33,40–42]","previouslyFormattedCitation":"[33,40–42]"},"properties":{"noteIndex":0},"schema":"https://github.com/citation-style-language/schema/raw/master/csl-citation.json"}</w:instrText>
      </w:r>
      <w:r w:rsidR="009C7D7F" w:rsidRPr="00B4448E">
        <w:rPr>
          <w:rFonts w:ascii="Times New Roman" w:hAnsi="Times New Roman"/>
          <w:szCs w:val="18"/>
        </w:rPr>
        <w:fldChar w:fldCharType="separate"/>
      </w:r>
      <w:r w:rsidR="00B464FF" w:rsidRPr="00B4448E">
        <w:rPr>
          <w:rFonts w:ascii="Times New Roman" w:hAnsi="Times New Roman"/>
          <w:noProof/>
          <w:szCs w:val="18"/>
        </w:rPr>
        <w:t>[33,40–42]</w:t>
      </w:r>
      <w:r w:rsidR="009C7D7F" w:rsidRPr="00B4448E">
        <w:rPr>
          <w:rFonts w:ascii="Times New Roman" w:hAnsi="Times New Roman"/>
          <w:szCs w:val="18"/>
        </w:rPr>
        <w:fldChar w:fldCharType="end"/>
      </w:r>
      <w:r w:rsidR="00A16739" w:rsidRPr="00B4448E">
        <w:rPr>
          <w:rFonts w:ascii="Times New Roman" w:hAnsi="Times New Roman"/>
          <w:szCs w:val="18"/>
        </w:rPr>
        <w:t>.</w:t>
      </w:r>
    </w:p>
    <w:p w14:paraId="535FB76F" w14:textId="5D75DF50" w:rsidR="00806F07" w:rsidRPr="00B4448E" w:rsidRDefault="00C736D6" w:rsidP="00E961AA">
      <w:pPr>
        <w:pStyle w:val="BGKeywords"/>
        <w:spacing w:after="0"/>
        <w:rPr>
          <w:rFonts w:ascii="Times New Roman" w:hAnsi="Times New Roman"/>
          <w:szCs w:val="24"/>
          <w:lang w:val="en-CA"/>
        </w:rPr>
      </w:pPr>
      <w:r w:rsidRPr="00B4448E">
        <w:rPr>
          <w:rFonts w:ascii="Times New Roman" w:hAnsi="Times New Roman"/>
          <w:szCs w:val="18"/>
        </w:rPr>
        <w:t>Here, w</w:t>
      </w:r>
      <w:r w:rsidR="00F90BE7" w:rsidRPr="00B4448E">
        <w:rPr>
          <w:rFonts w:ascii="Times New Roman" w:hAnsi="Times New Roman"/>
          <w:lang w:val="en-CA"/>
        </w:rPr>
        <w:t xml:space="preserve">e </w:t>
      </w:r>
      <w:r w:rsidR="00CB6570" w:rsidRPr="00B4448E">
        <w:rPr>
          <w:rFonts w:ascii="Times New Roman" w:hAnsi="Times New Roman"/>
          <w:lang w:val="en-CA"/>
        </w:rPr>
        <w:t>introduce</w:t>
      </w:r>
      <w:r w:rsidR="00F90BE7" w:rsidRPr="00B4448E">
        <w:rPr>
          <w:rFonts w:ascii="Times New Roman" w:hAnsi="Times New Roman"/>
          <w:lang w:val="en-CA"/>
        </w:rPr>
        <w:t xml:space="preserve"> a quinone </w:t>
      </w:r>
      <w:r w:rsidR="00910EEE" w:rsidRPr="00B4448E">
        <w:rPr>
          <w:rFonts w:ascii="Times New Roman" w:hAnsi="Times New Roman"/>
          <w:lang w:val="en-CA"/>
        </w:rPr>
        <w:t>molecule</w:t>
      </w:r>
      <w:r w:rsidR="00F90BE7" w:rsidRPr="00B4448E">
        <w:rPr>
          <w:rFonts w:ascii="Times New Roman" w:hAnsi="Times New Roman"/>
          <w:lang w:val="en-CA"/>
        </w:rPr>
        <w:t xml:space="preserve"> for RFBs that present</w:t>
      </w:r>
      <w:r w:rsidR="00CB6570" w:rsidRPr="00B4448E">
        <w:rPr>
          <w:rFonts w:ascii="Times New Roman" w:hAnsi="Times New Roman"/>
          <w:lang w:val="en-CA"/>
        </w:rPr>
        <w:t>s</w:t>
      </w:r>
      <w:r w:rsidR="00F90BE7" w:rsidRPr="00B4448E">
        <w:rPr>
          <w:rFonts w:ascii="Times New Roman" w:hAnsi="Times New Roman"/>
          <w:lang w:val="en-CA"/>
        </w:rPr>
        <w:t xml:space="preserve"> multi-electron reactions at high</w:t>
      </w:r>
      <w:r w:rsidR="00DD5D6B" w:rsidRPr="00B4448E">
        <w:rPr>
          <w:rFonts w:ascii="Times New Roman" w:hAnsi="Times New Roman"/>
          <w:lang w:val="en-CA"/>
        </w:rPr>
        <w:t>ly positive</w:t>
      </w:r>
      <w:r w:rsidR="00F90BE7" w:rsidRPr="00B4448E">
        <w:rPr>
          <w:rFonts w:ascii="Times New Roman" w:hAnsi="Times New Roman"/>
          <w:lang w:val="en-CA"/>
        </w:rPr>
        <w:t xml:space="preserve"> </w:t>
      </w:r>
      <w:r w:rsidR="00910EEE" w:rsidRPr="00B4448E">
        <w:rPr>
          <w:rFonts w:ascii="Times New Roman" w:hAnsi="Times New Roman"/>
          <w:lang w:val="en-CA"/>
        </w:rPr>
        <w:t>electrode potentials</w:t>
      </w:r>
      <w:r w:rsidR="00CB6570" w:rsidRPr="00B4448E">
        <w:rPr>
          <w:rFonts w:ascii="Times New Roman" w:hAnsi="Times New Roman"/>
          <w:lang w:val="en-CA"/>
        </w:rPr>
        <w:t xml:space="preserve"> (&gt; </w:t>
      </w:r>
      <w:r w:rsidR="00CB6570" w:rsidRPr="00B4448E">
        <w:rPr>
          <w:rFonts w:ascii="Times New Roman" w:hAnsi="Times New Roman"/>
          <w:szCs w:val="18"/>
        </w:rPr>
        <w:t xml:space="preserve">3.0 V </w:t>
      </w:r>
      <w:r w:rsidR="00CB6570" w:rsidRPr="00B4448E">
        <w:rPr>
          <w:rFonts w:ascii="Times New Roman" w:hAnsi="Times New Roman"/>
          <w:i/>
          <w:szCs w:val="18"/>
        </w:rPr>
        <w:t>vs</w:t>
      </w:r>
      <w:r w:rsidR="00CB6570" w:rsidRPr="00B4448E">
        <w:rPr>
          <w:rFonts w:ascii="Times New Roman" w:hAnsi="Times New Roman"/>
          <w:szCs w:val="18"/>
        </w:rPr>
        <w:t>. Li</w:t>
      </w:r>
      <w:r w:rsidR="00CB6570" w:rsidRPr="00B4448E">
        <w:rPr>
          <w:rFonts w:ascii="Times New Roman" w:hAnsi="Times New Roman"/>
          <w:lang w:val="en-CA"/>
        </w:rPr>
        <w:t>)</w:t>
      </w:r>
      <w:r w:rsidR="00F90BE7" w:rsidRPr="00B4448E">
        <w:rPr>
          <w:rFonts w:ascii="Times New Roman" w:hAnsi="Times New Roman"/>
          <w:lang w:val="en-CA"/>
        </w:rPr>
        <w:t>.</w:t>
      </w:r>
      <w:r w:rsidR="00F05993" w:rsidRPr="00B4448E">
        <w:rPr>
          <w:rFonts w:ascii="Times New Roman" w:hAnsi="Times New Roman"/>
          <w:lang w:val="en-CA"/>
        </w:rPr>
        <w:t xml:space="preserve"> Unlike typical quinone molecules, </w:t>
      </w:r>
      <w:r w:rsidR="0034534D" w:rsidRPr="00B4448E">
        <w:rPr>
          <w:rFonts w:ascii="Times New Roman" w:hAnsi="Times New Roman"/>
          <w:lang w:val="en-CA"/>
        </w:rPr>
        <w:t>the proposed aminoanthraquinone dye (Disperse Blue 1 (DB</w:t>
      </w:r>
      <w:r w:rsidR="00221F85" w:rsidRPr="00B4448E">
        <w:rPr>
          <w:rFonts w:ascii="Times New Roman" w:hAnsi="Times New Roman"/>
          <w:lang w:val="en-CA"/>
        </w:rPr>
        <w:t>-</w:t>
      </w:r>
      <w:r w:rsidR="0034534D" w:rsidRPr="00B4448E">
        <w:rPr>
          <w:rFonts w:ascii="Times New Roman" w:hAnsi="Times New Roman"/>
          <w:lang w:val="en-CA"/>
        </w:rPr>
        <w:t>1)) contain</w:t>
      </w:r>
      <w:r w:rsidR="00382563" w:rsidRPr="00B4448E">
        <w:rPr>
          <w:rFonts w:ascii="Times New Roman" w:hAnsi="Times New Roman"/>
          <w:lang w:val="en-CA"/>
        </w:rPr>
        <w:t>s</w:t>
      </w:r>
      <w:r w:rsidR="0034534D" w:rsidRPr="00B4448E">
        <w:rPr>
          <w:rFonts w:ascii="Times New Roman" w:hAnsi="Times New Roman"/>
          <w:lang w:val="en-CA"/>
        </w:rPr>
        <w:t xml:space="preserve"> 4 amine group</w:t>
      </w:r>
      <w:r w:rsidR="00BF6BA8" w:rsidRPr="00B4448E">
        <w:rPr>
          <w:rFonts w:ascii="Times New Roman" w:hAnsi="Times New Roman"/>
          <w:lang w:val="en-CA"/>
        </w:rPr>
        <w:t>s in the side rings that enable</w:t>
      </w:r>
      <w:r w:rsidR="0034534D" w:rsidRPr="00B4448E">
        <w:rPr>
          <w:rFonts w:ascii="Times New Roman" w:hAnsi="Times New Roman"/>
          <w:lang w:val="en-CA"/>
        </w:rPr>
        <w:t xml:space="preserve"> the molecule to be positively charged by</w:t>
      </w:r>
      <w:r w:rsidR="00A46CD8" w:rsidRPr="00B4448E">
        <w:rPr>
          <w:rFonts w:ascii="Times New Roman" w:hAnsi="Times New Roman"/>
          <w:lang w:val="en-CA"/>
        </w:rPr>
        <w:t xml:space="preserve"> forming cations</w:t>
      </w:r>
      <w:r w:rsidR="00EF5AD7" w:rsidRPr="00B4448E">
        <w:rPr>
          <w:rFonts w:ascii="Times New Roman" w:hAnsi="Times New Roman"/>
          <w:lang w:val="en-CA"/>
        </w:rPr>
        <w:t xml:space="preserve"> with an oxidation state of up to 4+</w:t>
      </w:r>
      <w:r w:rsidR="0038401F" w:rsidRPr="00B4448E">
        <w:rPr>
          <w:rFonts w:ascii="Times New Roman" w:hAnsi="Times New Roman"/>
          <w:szCs w:val="24"/>
          <w:lang w:val="en-CA"/>
        </w:rPr>
        <w:t xml:space="preserve"> </w:t>
      </w:r>
      <w:r w:rsidR="0038401F" w:rsidRPr="00B4448E">
        <w:rPr>
          <w:rFonts w:ascii="Times New Roman" w:hAnsi="Times New Roman"/>
          <w:szCs w:val="24"/>
          <w:lang w:val="en-CA"/>
        </w:rPr>
        <w:fldChar w:fldCharType="begin" w:fldLock="1"/>
      </w:r>
      <w:r w:rsidR="00FA328E" w:rsidRPr="00B4448E">
        <w:rPr>
          <w:rFonts w:ascii="Times New Roman" w:hAnsi="Times New Roman"/>
          <w:szCs w:val="24"/>
          <w:lang w:val="en-CA"/>
        </w:rPr>
        <w:instrText>ADDIN CSL_CITATION {"citationItems":[{"id":"ITEM-1","itemData":{"DOI":"10.1021/jacs.5b13279","author":[{"dropping-particle":"","family":"Kim","given":"Ki Chul","non-dropping-particle":"","parse-names":false,"suffix":""},{"dropping-particle":"","family":"Liu","given":"Tianyuan","non-dropping-particle":"","parse-names":false,"suffix":""},{"dropping-particle":"","family":"Lee","given":"Seung Woo","non-dropping-particle":"","parse-names":false,"suffix":""},{"dropping-particle":"","family":"Jang","given":"Seung Soon","non-dropping-particle":"","parse-names":false,"suffix":""}],"container-title":"Journal of the American Chemical Society","id":"ITEM-1","issued":{"date-parts":[["2016"]]},"page":"2374−2382","title":"First-Principles Density Functional Theory Modeling of Li Binding : Thermodynamics and Redox Properties of Quinone Derivatives for Lithium-Ion Batteries","type":"article-journal","volume":"138"},"uris":["http://www.mendeley.com/documents/?uuid=421776d1-aec3-42bf-a9e8-19de1a790675"]}],"mendeley":{"formattedCitation":"[43]","plainTextFormattedCitation":"[43]","previouslyFormattedCitation":"[43]"},"properties":{"noteIndex":0},"schema":"https://github.com/citation-style-language/schema/raw/master/csl-citation.json"}</w:instrText>
      </w:r>
      <w:r w:rsidR="0038401F" w:rsidRPr="00B4448E">
        <w:rPr>
          <w:rFonts w:ascii="Times New Roman" w:hAnsi="Times New Roman"/>
          <w:szCs w:val="24"/>
          <w:lang w:val="en-CA"/>
        </w:rPr>
        <w:fldChar w:fldCharType="separate"/>
      </w:r>
      <w:r w:rsidR="00B464FF" w:rsidRPr="00B4448E">
        <w:rPr>
          <w:rFonts w:ascii="Times New Roman" w:hAnsi="Times New Roman"/>
          <w:noProof/>
          <w:szCs w:val="24"/>
          <w:lang w:val="en-CA"/>
        </w:rPr>
        <w:t>[43]</w:t>
      </w:r>
      <w:r w:rsidR="0038401F" w:rsidRPr="00B4448E">
        <w:rPr>
          <w:rFonts w:ascii="Times New Roman" w:hAnsi="Times New Roman"/>
          <w:szCs w:val="24"/>
          <w:lang w:val="en-CA"/>
        </w:rPr>
        <w:fldChar w:fldCharType="end"/>
      </w:r>
      <w:r w:rsidR="00D95381" w:rsidRPr="00B4448E">
        <w:rPr>
          <w:rFonts w:ascii="Times New Roman" w:hAnsi="Times New Roman"/>
          <w:szCs w:val="24"/>
          <w:lang w:val="en-CA"/>
        </w:rPr>
        <w:t xml:space="preserve">. </w:t>
      </w:r>
      <w:r w:rsidR="00E961AA" w:rsidRPr="00B4448E">
        <w:rPr>
          <w:lang w:val="en-CA"/>
        </w:rPr>
        <w:t xml:space="preserve">Density functional theory (DFT) calculations were used to better understand the electrochemical behavior of the active quinone molecules at different oxidation states. </w:t>
      </w:r>
      <w:proofErr w:type="spellStart"/>
      <w:r w:rsidR="00E961AA" w:rsidRPr="00B4448E">
        <w:rPr>
          <w:lang w:val="en-CA"/>
        </w:rPr>
        <w:t>Voltammetric</w:t>
      </w:r>
      <w:proofErr w:type="spellEnd"/>
      <w:r w:rsidR="00E961AA" w:rsidRPr="00B4448E">
        <w:rPr>
          <w:lang w:val="en-CA"/>
        </w:rPr>
        <w:t xml:space="preserve"> studies and DFT calculations demonstrated that this molecule was capable of </w:t>
      </w:r>
      <w:r w:rsidR="00E961AA" w:rsidRPr="00B4448E">
        <w:rPr>
          <w:lang w:val="en-CA"/>
        </w:rPr>
        <w:lastRenderedPageBreak/>
        <w:t xml:space="preserve">forming both anions and cations at electrode potentials ranging from 1.7 to 4.4 V </w:t>
      </w:r>
      <w:r w:rsidR="00E961AA" w:rsidRPr="00B4448E">
        <w:rPr>
          <w:i/>
          <w:lang w:val="en-CA"/>
        </w:rPr>
        <w:t>vs</w:t>
      </w:r>
      <w:r w:rsidR="00E961AA" w:rsidRPr="00B4448E">
        <w:rPr>
          <w:lang w:val="en-CA"/>
        </w:rPr>
        <w:t xml:space="preserve">. Li, involving up to 6 electron-transfers. The proposed </w:t>
      </w:r>
      <w:r w:rsidR="002F19BC" w:rsidRPr="00B4448E">
        <w:rPr>
          <w:lang w:val="en-CA"/>
        </w:rPr>
        <w:t xml:space="preserve">quinone </w:t>
      </w:r>
      <w:r w:rsidR="00E961AA" w:rsidRPr="00B4448E">
        <w:rPr>
          <w:lang w:val="en-CA"/>
        </w:rPr>
        <w:t xml:space="preserve">chemistry in this work showed high energy efficiency (ca. </w:t>
      </w:r>
      <w:r w:rsidR="00ED0AAB" w:rsidRPr="00B4448E">
        <w:rPr>
          <w:lang w:val="en-CA"/>
        </w:rPr>
        <w:t>71</w:t>
      </w:r>
      <w:r w:rsidR="00E961AA" w:rsidRPr="00B4448E">
        <w:rPr>
          <w:lang w:val="en-CA"/>
        </w:rPr>
        <w:t xml:space="preserve"> %) at high current density (20 mA cm</w:t>
      </w:r>
      <w:r w:rsidR="00E961AA" w:rsidRPr="00B4448E">
        <w:rPr>
          <w:vertAlign w:val="superscript"/>
          <w:lang w:val="en-CA"/>
        </w:rPr>
        <w:t>-2</w:t>
      </w:r>
      <w:r w:rsidR="00E961AA" w:rsidRPr="00B4448E">
        <w:rPr>
          <w:lang w:val="en-CA"/>
        </w:rPr>
        <w:t xml:space="preserve">) with nearly 100% capacity retention. </w:t>
      </w:r>
    </w:p>
    <w:p w14:paraId="2621C444" w14:textId="77777777" w:rsidR="000326D8" w:rsidRPr="00B4448E" w:rsidRDefault="000326D8" w:rsidP="00352E41">
      <w:pPr>
        <w:pStyle w:val="BGKeywords"/>
        <w:spacing w:after="0"/>
        <w:rPr>
          <w:rFonts w:ascii="Times New Roman" w:hAnsi="Times New Roman"/>
          <w:lang w:val="en-CA"/>
        </w:rPr>
      </w:pPr>
    </w:p>
    <w:p w14:paraId="313E1CF3" w14:textId="77777777" w:rsidR="00E21735" w:rsidRPr="00B4448E" w:rsidRDefault="00E21735" w:rsidP="00E21735">
      <w:pPr>
        <w:pStyle w:val="BGKeywords"/>
        <w:spacing w:after="0"/>
        <w:rPr>
          <w:rFonts w:ascii="Times New Roman" w:hAnsi="Times New Roman"/>
          <w:b/>
          <w:bCs/>
          <w:lang w:val="en-CA"/>
        </w:rPr>
      </w:pPr>
      <w:r w:rsidRPr="00B4448E">
        <w:rPr>
          <w:rFonts w:ascii="Times New Roman" w:hAnsi="Times New Roman"/>
          <w:b/>
          <w:bCs/>
          <w:lang w:val="en-CA"/>
        </w:rPr>
        <w:t>2. Materials and methods</w:t>
      </w:r>
    </w:p>
    <w:p w14:paraId="36E975D0" w14:textId="77777777" w:rsidR="00E21735" w:rsidRPr="00B4448E" w:rsidRDefault="00E21735" w:rsidP="00E21735">
      <w:pPr>
        <w:spacing w:line="480" w:lineRule="auto"/>
        <w:jc w:val="both"/>
        <w:rPr>
          <w:rFonts w:ascii="Times New Roman" w:hAnsi="Times New Roman" w:cs="Times New Roman"/>
          <w:sz w:val="24"/>
          <w:szCs w:val="24"/>
          <w:lang w:val="en-US"/>
        </w:rPr>
      </w:pPr>
      <w:r w:rsidRPr="00B4448E">
        <w:rPr>
          <w:rFonts w:ascii="Times New Roman" w:hAnsi="Times New Roman" w:cs="Times New Roman"/>
          <w:b/>
          <w:bCs/>
          <w:sz w:val="24"/>
          <w:szCs w:val="24"/>
          <w:lang w:val="en-US"/>
        </w:rPr>
        <w:t>2.1. Materials</w:t>
      </w:r>
      <w:r w:rsidRPr="00B4448E">
        <w:rPr>
          <w:rFonts w:ascii="Times New Roman" w:hAnsi="Times New Roman" w:cs="Times New Roman"/>
          <w:sz w:val="24"/>
          <w:szCs w:val="24"/>
          <w:lang w:val="en-US"/>
        </w:rPr>
        <w:t xml:space="preserve"> </w:t>
      </w:r>
    </w:p>
    <w:p w14:paraId="355976BE" w14:textId="5DCEF958" w:rsidR="00E21735" w:rsidRPr="00B4448E" w:rsidRDefault="00E21735" w:rsidP="00E21735">
      <w:pPr>
        <w:spacing w:line="480" w:lineRule="auto"/>
        <w:jc w:val="both"/>
        <w:rPr>
          <w:rFonts w:ascii="Times New Roman" w:hAnsi="Times New Roman" w:cs="Times New Roman"/>
          <w:sz w:val="24"/>
          <w:szCs w:val="24"/>
          <w:lang w:val="en-US"/>
        </w:rPr>
      </w:pPr>
      <w:r w:rsidRPr="00B4448E">
        <w:rPr>
          <w:rFonts w:ascii="Times New Roman" w:hAnsi="Times New Roman" w:cs="Times New Roman"/>
          <w:sz w:val="24"/>
          <w:szCs w:val="24"/>
          <w:lang w:val="en-US"/>
        </w:rPr>
        <w:t>Disperse blue-1 (DB-1</w:t>
      </w:r>
      <w:r w:rsidRPr="00B4448E">
        <w:rPr>
          <w:rFonts w:ascii="Times New Roman" w:hAnsi="Times New Roman" w:cs="Times New Roman"/>
          <w:sz w:val="24"/>
          <w:szCs w:val="24"/>
        </w:rPr>
        <w:t>)</w:t>
      </w:r>
      <w:r w:rsidRPr="00B4448E">
        <w:rPr>
          <w:rFonts w:ascii="Times New Roman" w:hAnsi="Times New Roman" w:cs="Times New Roman"/>
          <w:sz w:val="24"/>
          <w:szCs w:val="24"/>
          <w:lang w:val="en-US"/>
        </w:rPr>
        <w:t xml:space="preserve"> (Mw: 268.27 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lang w:val="en-US"/>
        </w:rPr>
        <w:t xml:space="preserve">), </w:t>
      </w:r>
      <w:r w:rsidRPr="00B4448E">
        <w:rPr>
          <w:rFonts w:ascii="Times New Roman" w:eastAsia="Times New Roman" w:hAnsi="Times New Roman" w:cs="Times New Roman"/>
          <w:sz w:val="24"/>
          <w:szCs w:val="20"/>
        </w:rPr>
        <w:t>Bis(</w:t>
      </w:r>
      <w:proofErr w:type="spellStart"/>
      <w:r w:rsidRPr="00B4448E">
        <w:rPr>
          <w:rFonts w:ascii="Times New Roman" w:eastAsia="Times New Roman" w:hAnsi="Times New Roman" w:cs="Times New Roman"/>
          <w:sz w:val="24"/>
          <w:szCs w:val="20"/>
        </w:rPr>
        <w:t>trifluoromethane</w:t>
      </w:r>
      <w:proofErr w:type="spellEnd"/>
      <w:r w:rsidRPr="00B4448E">
        <w:rPr>
          <w:rFonts w:ascii="Times New Roman" w:eastAsia="Times New Roman" w:hAnsi="Times New Roman" w:cs="Times New Roman"/>
          <w:sz w:val="24"/>
          <w:szCs w:val="20"/>
        </w:rPr>
        <w:t xml:space="preserve">) </w:t>
      </w:r>
      <w:proofErr w:type="spellStart"/>
      <w:r w:rsidRPr="00B4448E">
        <w:rPr>
          <w:rFonts w:ascii="Times New Roman" w:eastAsia="Times New Roman" w:hAnsi="Times New Roman" w:cs="Times New Roman"/>
          <w:sz w:val="24"/>
          <w:szCs w:val="20"/>
        </w:rPr>
        <w:t>sulfonimide</w:t>
      </w:r>
      <w:proofErr w:type="spellEnd"/>
      <w:r w:rsidRPr="00B4448E">
        <w:rPr>
          <w:rFonts w:ascii="Times New Roman" w:eastAsia="Times New Roman" w:hAnsi="Times New Roman" w:cs="Times New Roman"/>
          <w:sz w:val="24"/>
          <w:szCs w:val="20"/>
        </w:rPr>
        <w:t xml:space="preserve"> lithium</w:t>
      </w:r>
      <w:r w:rsidRPr="00B4448E">
        <w:rPr>
          <w:rFonts w:ascii="Times New Roman" w:hAnsi="Times New Roman" w:cs="Times New Roman"/>
          <w:sz w:val="24"/>
          <w:szCs w:val="24"/>
          <w:lang w:val="en-US"/>
        </w:rPr>
        <w:t xml:space="preserve"> (</w:t>
      </w:r>
      <w:proofErr w:type="spellStart"/>
      <w:r w:rsidRPr="00B4448E">
        <w:rPr>
          <w:rFonts w:ascii="Times New Roman" w:hAnsi="Times New Roman" w:cs="Times New Roman"/>
          <w:sz w:val="24"/>
          <w:szCs w:val="24"/>
          <w:lang w:val="en-US"/>
        </w:rPr>
        <w:t>LiTFSI</w:t>
      </w:r>
      <w:proofErr w:type="spellEnd"/>
      <w:r w:rsidRPr="00B4448E">
        <w:rPr>
          <w:rFonts w:ascii="Times New Roman" w:hAnsi="Times New Roman" w:cs="Times New Roman"/>
          <w:sz w:val="24"/>
          <w:szCs w:val="24"/>
          <w:lang w:val="en-US"/>
        </w:rPr>
        <w:t>) (Mw: 287.1 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lang w:val="en-US"/>
        </w:rPr>
        <w:t xml:space="preserve">), </w:t>
      </w:r>
      <w:r w:rsidRPr="00B4448E">
        <w:rPr>
          <w:rFonts w:ascii="Times New Roman" w:hAnsi="Times New Roman" w:cs="Times New Roman"/>
          <w:sz w:val="24"/>
          <w:szCs w:val="24"/>
        </w:rPr>
        <w:t>b</w:t>
      </w:r>
      <w:hyperlink r:id="rId14" w:history="1">
        <w:r w:rsidRPr="00B4448E">
          <w:rPr>
            <w:rStyle w:val="Hyperlink"/>
            <w:rFonts w:ascii="Times New Roman" w:hAnsi="Times New Roman" w:cs="Times New Roman"/>
            <w:color w:val="auto"/>
            <w:sz w:val="24"/>
            <w:szCs w:val="24"/>
            <w:u w:val="none"/>
          </w:rPr>
          <w:t>enzoquinone</w:t>
        </w:r>
      </w:hyperlink>
      <w:r w:rsidRPr="00B4448E">
        <w:rPr>
          <w:rFonts w:ascii="Times New Roman" w:hAnsi="Times New Roman" w:cs="Times New Roman"/>
          <w:sz w:val="24"/>
          <w:szCs w:val="24"/>
        </w:rPr>
        <w:t xml:space="preserve"> (BQ) (Mw: 108.09</w:t>
      </w:r>
      <w:r w:rsidRPr="00B4448E">
        <w:rPr>
          <w:rFonts w:ascii="Times New Roman" w:hAnsi="Times New Roman" w:cs="Times New Roman"/>
          <w:sz w:val="24"/>
          <w:szCs w:val="24"/>
          <w:lang w:val="en-US"/>
        </w:rPr>
        <w:t xml:space="preserve"> 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rPr>
        <w:t xml:space="preserve">), </w:t>
      </w:r>
      <w:hyperlink r:id="rId15" w:history="1">
        <w:r w:rsidRPr="00B4448E">
          <w:rPr>
            <w:rStyle w:val="Hyperlink"/>
            <w:rFonts w:ascii="Times New Roman" w:hAnsi="Times New Roman" w:cs="Times New Roman"/>
            <w:color w:val="auto"/>
            <w:sz w:val="24"/>
            <w:szCs w:val="24"/>
            <w:u w:val="none"/>
          </w:rPr>
          <w:t>naphthoquinone</w:t>
        </w:r>
      </w:hyperlink>
      <w:r w:rsidRPr="00B4448E">
        <w:rPr>
          <w:rFonts w:ascii="Times New Roman" w:hAnsi="Times New Roman" w:cs="Times New Roman"/>
          <w:sz w:val="24"/>
          <w:szCs w:val="24"/>
        </w:rPr>
        <w:t xml:space="preserve"> (NQ) (Mw: 158.15</w:t>
      </w:r>
      <w:r w:rsidRPr="00B4448E">
        <w:rPr>
          <w:rFonts w:ascii="Times New Roman" w:hAnsi="Times New Roman" w:cs="Times New Roman"/>
          <w:sz w:val="24"/>
          <w:szCs w:val="24"/>
          <w:lang w:val="en-US"/>
        </w:rPr>
        <w:t xml:space="preserve"> 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rPr>
        <w:t xml:space="preserve">), </w:t>
      </w:r>
      <w:hyperlink r:id="rId16" w:history="1">
        <w:r w:rsidRPr="00B4448E">
          <w:rPr>
            <w:rStyle w:val="Hyperlink"/>
            <w:rFonts w:ascii="Times New Roman" w:hAnsi="Times New Roman" w:cs="Times New Roman"/>
            <w:color w:val="auto"/>
            <w:sz w:val="24"/>
            <w:szCs w:val="24"/>
            <w:u w:val="none"/>
            <w:lang w:val="en-US"/>
          </w:rPr>
          <w:t>anthraquinone</w:t>
        </w:r>
      </w:hyperlink>
      <w:r w:rsidRPr="00B4448E">
        <w:rPr>
          <w:rFonts w:ascii="Times New Roman" w:hAnsi="Times New Roman" w:cs="Times New Roman"/>
          <w:sz w:val="24"/>
          <w:szCs w:val="24"/>
          <w:lang w:val="en-US"/>
        </w:rPr>
        <w:t xml:space="preserve"> (AQ) </w:t>
      </w:r>
      <w:r w:rsidRPr="00B4448E">
        <w:rPr>
          <w:rFonts w:ascii="Times New Roman" w:hAnsi="Times New Roman" w:cs="Times New Roman"/>
          <w:sz w:val="24"/>
          <w:szCs w:val="24"/>
        </w:rPr>
        <w:t>(Mw: 208.22</w:t>
      </w:r>
      <w:r w:rsidRPr="00B4448E">
        <w:rPr>
          <w:rFonts w:ascii="Times New Roman" w:hAnsi="Times New Roman" w:cs="Times New Roman"/>
          <w:sz w:val="24"/>
          <w:szCs w:val="24"/>
          <w:lang w:val="en-US"/>
        </w:rPr>
        <w:t xml:space="preserve"> 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rPr>
        <w:t xml:space="preserve">), tetramethyl </w:t>
      </w:r>
      <w:proofErr w:type="spellStart"/>
      <w:r w:rsidRPr="00B4448E">
        <w:rPr>
          <w:rFonts w:ascii="Times New Roman" w:hAnsi="Times New Roman" w:cs="Times New Roman"/>
          <w:sz w:val="24"/>
          <w:szCs w:val="24"/>
        </w:rPr>
        <w:t>piperidinyloxyl</w:t>
      </w:r>
      <w:proofErr w:type="spellEnd"/>
      <w:r w:rsidRPr="00B4448E">
        <w:rPr>
          <w:rFonts w:ascii="Times New Roman" w:hAnsi="Times New Roman" w:cs="Times New Roman"/>
          <w:sz w:val="24"/>
          <w:szCs w:val="24"/>
        </w:rPr>
        <w:t xml:space="preserve"> (TEMPO) (Mw: 156.25</w:t>
      </w:r>
      <w:r w:rsidRPr="00B4448E">
        <w:rPr>
          <w:rFonts w:ascii="Times New Roman" w:hAnsi="Times New Roman" w:cs="Times New Roman"/>
          <w:sz w:val="24"/>
          <w:szCs w:val="24"/>
          <w:lang w:val="en-US"/>
        </w:rPr>
        <w:t xml:space="preserve"> 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rPr>
        <w:t>), phenylenediamine (PD) (Mw: 108.14</w:t>
      </w:r>
      <w:r w:rsidRPr="00B4448E">
        <w:rPr>
          <w:rFonts w:ascii="Times New Roman" w:hAnsi="Times New Roman" w:cs="Times New Roman"/>
          <w:sz w:val="24"/>
          <w:szCs w:val="24"/>
          <w:lang w:val="en-US"/>
        </w:rPr>
        <w:t xml:space="preserve"> 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rPr>
        <w:t>),</w:t>
      </w:r>
      <w:r w:rsidRPr="00B4448E">
        <w:rPr>
          <w:rFonts w:ascii="Times New Roman" w:hAnsi="Times New Roman"/>
          <w:szCs w:val="24"/>
        </w:rPr>
        <w:t xml:space="preserve"> dimethyl sulfoxide</w:t>
      </w:r>
      <w:r w:rsidRPr="00B4448E">
        <w:rPr>
          <w:rFonts w:ascii="Times New Roman" w:hAnsi="Times New Roman" w:cs="Times New Roman"/>
          <w:sz w:val="24"/>
          <w:szCs w:val="24"/>
        </w:rPr>
        <w:t xml:space="preserve"> (DMSO) (Mw: 78.13</w:t>
      </w:r>
      <w:r w:rsidRPr="00B4448E">
        <w:rPr>
          <w:rFonts w:ascii="Times New Roman" w:hAnsi="Times New Roman" w:cs="Times New Roman"/>
          <w:sz w:val="24"/>
          <w:szCs w:val="24"/>
          <w:lang w:val="en-US"/>
        </w:rPr>
        <w:t xml:space="preserve"> 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rPr>
        <w:t xml:space="preserve">) and acetonitrile (Mw: 41.05 </w:t>
      </w:r>
      <w:r w:rsidRPr="00B4448E">
        <w:rPr>
          <w:rFonts w:ascii="Times New Roman" w:hAnsi="Times New Roman" w:cs="Times New Roman"/>
          <w:sz w:val="24"/>
          <w:szCs w:val="24"/>
          <w:lang w:val="en-US"/>
        </w:rPr>
        <w:t>g mol</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sz w:val="24"/>
          <w:szCs w:val="24"/>
        </w:rPr>
        <w:t xml:space="preserve">) </w:t>
      </w:r>
      <w:r w:rsidRPr="00B4448E">
        <w:rPr>
          <w:rFonts w:ascii="Times New Roman" w:hAnsi="Times New Roman" w:cs="Times New Roman"/>
          <w:sz w:val="24"/>
          <w:szCs w:val="24"/>
          <w:lang w:val="en-US"/>
        </w:rPr>
        <w:t xml:space="preserve">were supplied by Sigma Aldrich. Deionized (DI) water was obtained from a </w:t>
      </w:r>
      <w:proofErr w:type="spellStart"/>
      <w:r w:rsidR="004F46EE" w:rsidRPr="00B4448E">
        <w:rPr>
          <w:rFonts w:ascii="Times New Roman" w:hAnsi="Times New Roman" w:cs="Times New Roman"/>
          <w:sz w:val="24"/>
          <w:szCs w:val="24"/>
          <w:lang w:val="en-US"/>
        </w:rPr>
        <w:t>Zuez</w:t>
      </w:r>
      <w:proofErr w:type="spellEnd"/>
      <w:r w:rsidR="004F46EE" w:rsidRPr="00B4448E">
        <w:rPr>
          <w:rFonts w:ascii="Times New Roman" w:hAnsi="Times New Roman" w:cs="Times New Roman"/>
          <w:sz w:val="24"/>
          <w:szCs w:val="24"/>
          <w:lang w:val="en-US"/>
        </w:rPr>
        <w:t xml:space="preserve"> </w:t>
      </w:r>
      <w:r w:rsidRPr="00B4448E">
        <w:rPr>
          <w:rFonts w:ascii="Times New Roman" w:hAnsi="Times New Roman" w:cs="Times New Roman"/>
          <w:sz w:val="24"/>
          <w:szCs w:val="24"/>
          <w:lang w:val="en-US"/>
        </w:rPr>
        <w:t>water purification system</w:t>
      </w:r>
      <w:r w:rsidR="004F46EE" w:rsidRPr="00B4448E">
        <w:rPr>
          <w:rFonts w:ascii="Times New Roman" w:hAnsi="Times New Roman" w:cs="Times New Roman"/>
          <w:sz w:val="24"/>
          <w:szCs w:val="24"/>
          <w:lang w:val="en-US"/>
        </w:rPr>
        <w:t xml:space="preserve"> (specific resistance, 18.2 MΩ-cm)</w:t>
      </w:r>
      <w:r w:rsidRPr="00B4448E">
        <w:rPr>
          <w:rFonts w:ascii="Times New Roman" w:hAnsi="Times New Roman" w:cs="Times New Roman"/>
          <w:sz w:val="24"/>
          <w:szCs w:val="24"/>
          <w:lang w:val="en-US"/>
        </w:rPr>
        <w:t>.</w:t>
      </w:r>
    </w:p>
    <w:p w14:paraId="442D2A1E" w14:textId="77777777" w:rsidR="00E21735" w:rsidRPr="00B4448E" w:rsidRDefault="00E21735" w:rsidP="00E21735">
      <w:pPr>
        <w:spacing w:line="480" w:lineRule="auto"/>
        <w:rPr>
          <w:rFonts w:ascii="Times New Roman" w:hAnsi="Times New Roman" w:cs="Times New Roman"/>
          <w:b/>
          <w:bCs/>
          <w:sz w:val="24"/>
          <w:szCs w:val="24"/>
          <w:lang w:val="en-US"/>
        </w:rPr>
      </w:pPr>
      <w:r w:rsidRPr="00B4448E">
        <w:rPr>
          <w:rFonts w:ascii="Times New Roman" w:hAnsi="Times New Roman" w:cs="Times New Roman"/>
          <w:b/>
          <w:bCs/>
          <w:sz w:val="24"/>
          <w:szCs w:val="24"/>
          <w:lang w:val="en-US"/>
        </w:rPr>
        <w:t>2.2. Density functional theory (DFT) calculations</w:t>
      </w:r>
    </w:p>
    <w:p w14:paraId="13B5AB99" w14:textId="7690A1FC" w:rsidR="00E21735" w:rsidRPr="00B4448E" w:rsidRDefault="00E21735" w:rsidP="00E21735">
      <w:pPr>
        <w:spacing w:line="480" w:lineRule="auto"/>
        <w:jc w:val="both"/>
        <w:rPr>
          <w:rFonts w:ascii="Times New Roman" w:hAnsi="Times New Roman" w:cs="Times New Roman"/>
          <w:sz w:val="24"/>
          <w:szCs w:val="24"/>
          <w:lang w:val="en-US"/>
        </w:rPr>
      </w:pPr>
      <w:r w:rsidRPr="00B4448E">
        <w:rPr>
          <w:rFonts w:ascii="Times New Roman" w:hAnsi="Times New Roman" w:cs="Times New Roman"/>
          <w:sz w:val="24"/>
          <w:szCs w:val="24"/>
          <w:lang w:val="en-US"/>
        </w:rPr>
        <w:t xml:space="preserve">The molecular geometry optimization and excited state determination (reduced/oxidized) for various quinone-type molecules were performed by means of DFT calculations incorporating the </w:t>
      </w:r>
      <w:proofErr w:type="spellStart"/>
      <w:r w:rsidRPr="00B4448E">
        <w:rPr>
          <w:rFonts w:ascii="Times New Roman" w:hAnsi="Times New Roman" w:cs="Times New Roman"/>
          <w:sz w:val="24"/>
          <w:szCs w:val="24"/>
          <w:lang w:val="en-US"/>
        </w:rPr>
        <w:t>Becke</w:t>
      </w:r>
      <w:proofErr w:type="spellEnd"/>
      <w:r w:rsidRPr="00B4448E">
        <w:rPr>
          <w:rFonts w:ascii="Times New Roman" w:hAnsi="Times New Roman" w:cs="Times New Roman"/>
          <w:sz w:val="24"/>
          <w:szCs w:val="24"/>
          <w:lang w:val="en-US"/>
        </w:rPr>
        <w:t xml:space="preserve"> three-parameter Lee–Yang–Parr exchange correlation (B3LYP), hybrid functional and the 6-31+ G (d, p) basis set [43]</w:t>
      </w:r>
      <w:r w:rsidRPr="00B4448E">
        <w:rPr>
          <w:rFonts w:ascii="Times New Roman" w:hAnsi="Times New Roman" w:cs="Times New Roman"/>
          <w:color w:val="FF0000"/>
          <w:sz w:val="24"/>
          <w:szCs w:val="24"/>
          <w:lang w:val="en-US"/>
        </w:rPr>
        <w:t xml:space="preserve"> </w:t>
      </w:r>
      <w:r w:rsidRPr="00B4448E">
        <w:rPr>
          <w:rFonts w:ascii="Times New Roman" w:hAnsi="Times New Roman" w:cs="Times New Roman"/>
          <w:sz w:val="24"/>
          <w:szCs w:val="24"/>
          <w:lang w:val="en-US"/>
        </w:rPr>
        <w:t>in DMSO solvent. All DFT calculations were performed with the Gaussian</w:t>
      </w:r>
      <w:r w:rsidRPr="00B4448E">
        <w:rPr>
          <w:rFonts w:ascii="Times New Roman" w:hAnsi="Times New Roman" w:cs="Times New Roman"/>
          <w:sz w:val="24"/>
          <w:szCs w:val="24"/>
          <w:vertAlign w:val="superscript"/>
          <w:lang w:val="en-US"/>
        </w:rPr>
        <w:t>09</w:t>
      </w:r>
      <w:r w:rsidRPr="00B4448E">
        <w:rPr>
          <w:rFonts w:ascii="Times New Roman" w:hAnsi="Times New Roman" w:cs="Times New Roman"/>
          <w:sz w:val="24"/>
          <w:szCs w:val="24"/>
          <w:lang w:val="en-US"/>
        </w:rPr>
        <w:t xml:space="preserve">. </w:t>
      </w:r>
    </w:p>
    <w:p w14:paraId="3B84D93C" w14:textId="77777777" w:rsidR="00E21735" w:rsidRPr="00B4448E" w:rsidRDefault="00E21735" w:rsidP="00E21735">
      <w:pPr>
        <w:spacing w:line="480" w:lineRule="auto"/>
        <w:rPr>
          <w:rFonts w:ascii="Times New Roman" w:hAnsi="Times New Roman" w:cs="Times New Roman"/>
          <w:b/>
          <w:bCs/>
          <w:sz w:val="24"/>
          <w:szCs w:val="24"/>
          <w:lang w:val="en-US"/>
        </w:rPr>
      </w:pPr>
      <w:r w:rsidRPr="00B4448E">
        <w:rPr>
          <w:rFonts w:ascii="Times New Roman" w:hAnsi="Times New Roman" w:cs="Times New Roman"/>
          <w:b/>
          <w:bCs/>
          <w:sz w:val="24"/>
          <w:szCs w:val="24"/>
          <w:lang w:val="en-US"/>
        </w:rPr>
        <w:t>2.3. Electrochemical characterizations</w:t>
      </w:r>
    </w:p>
    <w:p w14:paraId="728EA5AA" w14:textId="77777777" w:rsidR="00E21735" w:rsidRPr="00B4448E" w:rsidRDefault="00E21735" w:rsidP="00E21735">
      <w:pPr>
        <w:spacing w:line="480" w:lineRule="auto"/>
        <w:jc w:val="both"/>
        <w:rPr>
          <w:rFonts w:ascii="Times New Roman" w:hAnsi="Times New Roman" w:cs="Times New Roman"/>
          <w:bCs/>
          <w:sz w:val="24"/>
          <w:szCs w:val="24"/>
          <w:lang w:val="en-US"/>
        </w:rPr>
      </w:pPr>
      <w:r w:rsidRPr="00B4448E">
        <w:rPr>
          <w:rFonts w:ascii="Times New Roman" w:hAnsi="Times New Roman" w:cs="Times New Roman"/>
          <w:bCs/>
          <w:sz w:val="24"/>
          <w:szCs w:val="24"/>
          <w:lang w:val="en-US"/>
        </w:rPr>
        <w:t xml:space="preserve">Cyclic voltammetry was used to evaluate the electrochemical behavior of soluble active molecules in different electrolytes (DMSO and acetonitrile) using a </w:t>
      </w:r>
      <w:proofErr w:type="spellStart"/>
      <w:r w:rsidRPr="00B4448E">
        <w:rPr>
          <w:rFonts w:ascii="Times New Roman" w:hAnsi="Times New Roman" w:cs="Times New Roman"/>
          <w:bCs/>
          <w:sz w:val="24"/>
          <w:szCs w:val="24"/>
          <w:lang w:val="en-US"/>
        </w:rPr>
        <w:t>potentiostat</w:t>
      </w:r>
      <w:proofErr w:type="spellEnd"/>
      <w:r w:rsidRPr="00B4448E">
        <w:rPr>
          <w:rFonts w:ascii="Times New Roman" w:hAnsi="Times New Roman" w:cs="Times New Roman"/>
          <w:bCs/>
          <w:sz w:val="24"/>
          <w:szCs w:val="24"/>
          <w:lang w:val="en-US"/>
        </w:rPr>
        <w:t xml:space="preserve"> (</w:t>
      </w:r>
      <w:r w:rsidRPr="00B4448E">
        <w:rPr>
          <w:rFonts w:ascii="Times New Roman" w:hAnsi="Times New Roman" w:cs="Times New Roman"/>
          <w:sz w:val="24"/>
          <w:szCs w:val="24"/>
          <w:lang w:val="en-US"/>
        </w:rPr>
        <w:t xml:space="preserve">PGSTAT302N, Metrohm </w:t>
      </w:r>
      <w:r w:rsidRPr="00B4448E">
        <w:rPr>
          <w:rFonts w:ascii="Times New Roman" w:hAnsi="Times New Roman" w:cs="Times New Roman"/>
          <w:sz w:val="24"/>
          <w:szCs w:val="24"/>
          <w:lang w:val="en-US"/>
        </w:rPr>
        <w:lastRenderedPageBreak/>
        <w:t>AG</w:t>
      </w:r>
      <w:r w:rsidRPr="00B4448E">
        <w:rPr>
          <w:rFonts w:ascii="Times New Roman" w:hAnsi="Times New Roman" w:cs="Times New Roman"/>
          <w:bCs/>
          <w:sz w:val="24"/>
          <w:szCs w:val="24"/>
          <w:lang w:val="en-US"/>
        </w:rPr>
        <w:t>) at potential sweep rates between 50 and 700 mV s</w:t>
      </w:r>
      <w:r w:rsidRPr="00B4448E">
        <w:rPr>
          <w:rFonts w:ascii="Times New Roman" w:hAnsi="Times New Roman" w:cs="Times New Roman"/>
          <w:bCs/>
          <w:sz w:val="24"/>
          <w:szCs w:val="24"/>
          <w:vertAlign w:val="superscript"/>
          <w:lang w:val="en-US"/>
        </w:rPr>
        <w:t>-1</w:t>
      </w:r>
      <w:r w:rsidRPr="00B4448E">
        <w:rPr>
          <w:rFonts w:ascii="Times New Roman" w:hAnsi="Times New Roman" w:cs="Times New Roman"/>
          <w:bCs/>
          <w:sz w:val="24"/>
          <w:szCs w:val="24"/>
          <w:lang w:val="en-US"/>
        </w:rPr>
        <w:t>. A three-electrode glass cell with 20 mL volume was used, where working electrodes were either platinum or glassy carbon. Counter and reference electrodes were platinum and silver, respectively. Potential measurements were transformed relative to the lithium electrode potential by adding 3.2 V to the reference electrode readings. This conversion was determined experimentally in DMSO solvent.</w:t>
      </w:r>
    </w:p>
    <w:p w14:paraId="657666E9" w14:textId="77777777" w:rsidR="00E21735" w:rsidRPr="00B4448E" w:rsidRDefault="00E21735" w:rsidP="00E21735">
      <w:pPr>
        <w:spacing w:line="480" w:lineRule="auto"/>
        <w:rPr>
          <w:rFonts w:ascii="Times New Roman" w:hAnsi="Times New Roman" w:cs="Times New Roman"/>
          <w:b/>
          <w:bCs/>
          <w:sz w:val="24"/>
          <w:szCs w:val="24"/>
          <w:lang w:val="en-US"/>
        </w:rPr>
      </w:pPr>
      <w:r w:rsidRPr="00B4448E">
        <w:rPr>
          <w:rFonts w:ascii="Times New Roman" w:hAnsi="Times New Roman" w:cs="Times New Roman"/>
          <w:b/>
          <w:bCs/>
          <w:sz w:val="24"/>
          <w:szCs w:val="24"/>
          <w:lang w:val="en-US"/>
        </w:rPr>
        <w:t>2.4. Flow-cell charge-discharge experiments</w:t>
      </w:r>
    </w:p>
    <w:p w14:paraId="0A56F81A" w14:textId="64D337FF" w:rsidR="00E21735" w:rsidRPr="00B4448E" w:rsidRDefault="00E21735" w:rsidP="00E21735">
      <w:pPr>
        <w:pStyle w:val="BGKeywords"/>
        <w:spacing w:after="0"/>
        <w:rPr>
          <w:rFonts w:ascii="Times New Roman" w:hAnsi="Times New Roman"/>
          <w:szCs w:val="24"/>
        </w:rPr>
      </w:pPr>
      <w:r w:rsidRPr="00B4448E">
        <w:rPr>
          <w:rFonts w:ascii="Times New Roman" w:hAnsi="Times New Roman"/>
          <w:szCs w:val="24"/>
        </w:rPr>
        <w:t xml:space="preserve">Acetonitrile and DMSO were evaluated as solvent for DB-1 based on the solubility and electrochemical properties. The solubility of DB-1 in DMSO was found </w:t>
      </w:r>
      <w:r w:rsidR="00031E8C" w:rsidRPr="00B4448E">
        <w:rPr>
          <w:rFonts w:ascii="Times New Roman" w:hAnsi="Times New Roman"/>
          <w:szCs w:val="24"/>
        </w:rPr>
        <w:t xml:space="preserve">to be </w:t>
      </w:r>
      <w:r w:rsidRPr="00B4448E">
        <w:rPr>
          <w:rFonts w:ascii="Times New Roman" w:hAnsi="Times New Roman"/>
          <w:szCs w:val="24"/>
        </w:rPr>
        <w:t>around 1 M</w:t>
      </w:r>
      <w:r w:rsidR="00031E8C" w:rsidRPr="00B4448E">
        <w:rPr>
          <w:rFonts w:ascii="Times New Roman" w:hAnsi="Times New Roman"/>
          <w:szCs w:val="24"/>
        </w:rPr>
        <w:t>, however further work is needed to determine the solubility of the oxidized forms of DB-1</w:t>
      </w:r>
      <w:r w:rsidRPr="00B4448E">
        <w:rPr>
          <w:rFonts w:ascii="Times New Roman" w:hAnsi="Times New Roman"/>
          <w:szCs w:val="24"/>
        </w:rPr>
        <w:t xml:space="preserve">. </w:t>
      </w:r>
      <w:proofErr w:type="spellStart"/>
      <w:r w:rsidR="00031E8C" w:rsidRPr="00B4448E">
        <w:rPr>
          <w:rFonts w:ascii="Times New Roman" w:hAnsi="Times New Roman"/>
          <w:szCs w:val="24"/>
        </w:rPr>
        <w:t>Qiao</w:t>
      </w:r>
      <w:proofErr w:type="spellEnd"/>
      <w:r w:rsidR="00031E8C" w:rsidRPr="00B4448E">
        <w:rPr>
          <w:rFonts w:ascii="Times New Roman" w:hAnsi="Times New Roman"/>
          <w:szCs w:val="24"/>
        </w:rPr>
        <w:t xml:space="preserve"> </w:t>
      </w:r>
      <w:r w:rsidR="00031E8C" w:rsidRPr="00B4448E">
        <w:rPr>
          <w:rFonts w:ascii="Times New Roman" w:hAnsi="Times New Roman"/>
          <w:i/>
          <w:szCs w:val="24"/>
        </w:rPr>
        <w:t>et al.</w:t>
      </w:r>
      <w:r w:rsidR="00031E8C" w:rsidRPr="00B4448E">
        <w:rPr>
          <w:rFonts w:ascii="Times New Roman" w:hAnsi="Times New Roman"/>
          <w:szCs w:val="24"/>
        </w:rPr>
        <w:t xml:space="preserve"> </w:t>
      </w:r>
      <w:r w:rsidR="00D75310" w:rsidRPr="00B4448E">
        <w:rPr>
          <w:rFonts w:ascii="Times New Roman" w:hAnsi="Times New Roman"/>
          <w:szCs w:val="24"/>
        </w:rPr>
        <w:fldChar w:fldCharType="begin" w:fldLock="1"/>
      </w:r>
      <w:r w:rsidR="00D75310" w:rsidRPr="00B4448E">
        <w:rPr>
          <w:rFonts w:ascii="Times New Roman" w:hAnsi="Times New Roman"/>
          <w:szCs w:val="24"/>
        </w:rPr>
        <w:instrText>ADDIN CSL_CITATION {"citationItems":[{"id":"ITEM-1","itemData":{"DOI":"10.1039/c7ee03341a","ISSN":"17545706","abstract":"Owing to the exceptionally high energy potential of lithium-oxygen chemistry, lithium-air batteries have received much attention as appealing alternatives to current state-of-art lithium ion batteries. However, owing to the presence of non-O2 components in ambient air, the practical performance of Li-air batteries is limited to only a few cycles with low energy efficiency. In particular, when CO2 is incorporated into the battery system, Li2CO3 is formed during discharging, which results in serious climbing of the charge potential and subsequent decomposition of the cell components. Herein, by introducing an appropriate electrolyte into an aggregated contact ion pair (CIP) structure, we demonstrate a Li-O2/CO2 battery, via formation of stabilized peroxodicarbonate (C2O62-) rather than Li2CO3 in the electrolyte, that operates with a very low charge potential (3.5 V). We anticipate that this discovery will provide a rational design strategy for modifying the reaction pathway of Li-O2/CO2 battery and accelerating the evolution of Li-O2 batteries to Li-air batteries.","author":[{"dropping-particle":"","family":"Qiao","given":"Yu","non-dropping-particle":"","parse-names":false,"suffix":""},{"dropping-particle":"","family":"Yi","given":"Jin","non-dropping-particle":"","parse-names":false,"suffix":""},{"dropping-particle":"","family":"Guo","given":"Shaohua","non-dropping-particle":"","parse-names":false,"suffix":""},{"dropping-particle":"","family":"Sun","given":"Yang","non-dropping-particle":"","parse-names":false,"suffix":""},{"dropping-particle":"","family":"Wu","given":"Shichao","non-dropping-particle":"","parse-names":false,"suffix":""},{"dropping-particle":"","family":"Liu","given":"Xizheng","non-dropping-particle":"","parse-names":false,"suffix":""},{"dropping-particle":"","family":"Yang","given":"Sixie","non-dropping-particle":"","parse-names":false,"suffix":""},{"dropping-particle":"","family":"He","given":"Ping","non-dropping-particle":"","parse-names":false,"suffix":""},{"dropping-particle":"","family":"Zhou","given":"Haoshen","non-dropping-particle":"","parse-names":false,"suffix":""}],"container-title":"Energy and Environmental Science","id":"ITEM-1","issue":"5","issued":{"date-parts":[["2018"]]},"page":"1211-1217","publisher":"Royal Society of Chemistry","title":"Li2CO3-free Li-O2/CO2 battery with peroxide discharge product","type":"article-journal","volume":"11"},"uris":["http://www.mendeley.com/documents/?uuid=4232046d-07e2-466c-aa9d-126b5b257fc8"]}],"mendeley":{"formattedCitation":"[44]","plainTextFormattedCitation":"[44]"},"properties":{"noteIndex":0},"schema":"https://github.com/citation-style-language/schema/raw/master/csl-citation.json"}</w:instrText>
      </w:r>
      <w:r w:rsidR="00D75310" w:rsidRPr="00B4448E">
        <w:rPr>
          <w:rFonts w:ascii="Times New Roman" w:hAnsi="Times New Roman"/>
          <w:szCs w:val="24"/>
        </w:rPr>
        <w:fldChar w:fldCharType="separate"/>
      </w:r>
      <w:r w:rsidR="00D75310" w:rsidRPr="00B4448E">
        <w:rPr>
          <w:rFonts w:ascii="Times New Roman" w:hAnsi="Times New Roman"/>
          <w:noProof/>
          <w:szCs w:val="24"/>
        </w:rPr>
        <w:t>[44]</w:t>
      </w:r>
      <w:r w:rsidR="00D75310" w:rsidRPr="00B4448E">
        <w:rPr>
          <w:rFonts w:ascii="Times New Roman" w:hAnsi="Times New Roman"/>
          <w:szCs w:val="24"/>
        </w:rPr>
        <w:fldChar w:fldCharType="end"/>
      </w:r>
      <w:r w:rsidR="00D75310" w:rsidRPr="00B4448E">
        <w:rPr>
          <w:rFonts w:ascii="Times New Roman" w:hAnsi="Times New Roman"/>
          <w:szCs w:val="24"/>
        </w:rPr>
        <w:t xml:space="preserve"> </w:t>
      </w:r>
      <w:r w:rsidR="00031E8C" w:rsidRPr="00B4448E">
        <w:rPr>
          <w:rFonts w:ascii="Times New Roman" w:hAnsi="Times New Roman"/>
          <w:szCs w:val="24"/>
        </w:rPr>
        <w:t xml:space="preserve">have been reported that </w:t>
      </w:r>
      <w:r w:rsidR="00031E8C" w:rsidRPr="00B4448E">
        <w:rPr>
          <w:rFonts w:ascii="Times New Roman" w:hAnsi="Times New Roman"/>
          <w:i/>
          <w:szCs w:val="24"/>
        </w:rPr>
        <w:t>ca</w:t>
      </w:r>
      <w:r w:rsidR="00031E8C" w:rsidRPr="00B4448E">
        <w:rPr>
          <w:rFonts w:ascii="Times New Roman" w:hAnsi="Times New Roman"/>
          <w:szCs w:val="24"/>
        </w:rPr>
        <w:t xml:space="preserve">. 3.9 M of the </w:t>
      </w:r>
      <w:proofErr w:type="spellStart"/>
      <w:r w:rsidR="00031E8C" w:rsidRPr="00B4448E">
        <w:rPr>
          <w:rFonts w:ascii="Times New Roman" w:hAnsi="Times New Roman"/>
          <w:szCs w:val="24"/>
        </w:rPr>
        <w:t>LiTFSI</w:t>
      </w:r>
      <w:proofErr w:type="spellEnd"/>
      <w:r w:rsidR="00031E8C" w:rsidRPr="00B4448E">
        <w:rPr>
          <w:rFonts w:ascii="Times New Roman" w:hAnsi="Times New Roman"/>
          <w:szCs w:val="24"/>
        </w:rPr>
        <w:t xml:space="preserve"> salt can be dissolved in DMSO, close to the 4 M that would be required i</w:t>
      </w:r>
      <w:r w:rsidR="00F906C0" w:rsidRPr="00B4448E">
        <w:rPr>
          <w:rFonts w:ascii="Times New Roman" w:hAnsi="Times New Roman"/>
          <w:szCs w:val="24"/>
        </w:rPr>
        <w:t xml:space="preserve">n order to achieve </w:t>
      </w:r>
      <w:r w:rsidR="00031E8C" w:rsidRPr="00B4448E">
        <w:rPr>
          <w:rFonts w:ascii="Times New Roman" w:hAnsi="Times New Roman"/>
          <w:szCs w:val="24"/>
        </w:rPr>
        <w:t>full</w:t>
      </w:r>
      <w:r w:rsidR="002F19BC" w:rsidRPr="00B4448E">
        <w:rPr>
          <w:rFonts w:ascii="Times New Roman" w:hAnsi="Times New Roman"/>
          <w:szCs w:val="24"/>
        </w:rPr>
        <w:t xml:space="preserve"> </w:t>
      </w:r>
      <w:r w:rsidR="00F906C0" w:rsidRPr="00B4448E">
        <w:rPr>
          <w:rFonts w:ascii="Times New Roman" w:hAnsi="Times New Roman"/>
          <w:szCs w:val="24"/>
        </w:rPr>
        <w:t>4</w:t>
      </w:r>
      <w:r w:rsidR="002F19BC" w:rsidRPr="00B4448E">
        <w:rPr>
          <w:rFonts w:ascii="Times New Roman" w:hAnsi="Times New Roman"/>
          <w:szCs w:val="24"/>
        </w:rPr>
        <w:t>-</w:t>
      </w:r>
      <w:r w:rsidR="00F906C0" w:rsidRPr="00B4448E">
        <w:rPr>
          <w:rFonts w:ascii="Times New Roman" w:hAnsi="Times New Roman"/>
          <w:szCs w:val="24"/>
        </w:rPr>
        <w:t xml:space="preserve">electron charging </w:t>
      </w:r>
      <w:r w:rsidR="00031E8C" w:rsidRPr="00B4448E">
        <w:rPr>
          <w:rFonts w:ascii="Times New Roman" w:hAnsi="Times New Roman"/>
          <w:szCs w:val="24"/>
        </w:rPr>
        <w:t>of 1 M DB-1</w:t>
      </w:r>
      <w:r w:rsidR="00F906C0" w:rsidRPr="00B4448E">
        <w:rPr>
          <w:rFonts w:ascii="Times New Roman" w:hAnsi="Times New Roman"/>
          <w:szCs w:val="24"/>
        </w:rPr>
        <w:t xml:space="preserve">. </w:t>
      </w:r>
      <w:r w:rsidRPr="00B4448E">
        <w:rPr>
          <w:rFonts w:ascii="Times New Roman" w:hAnsi="Times New Roman"/>
          <w:szCs w:val="24"/>
        </w:rPr>
        <w:t xml:space="preserve">In addition, DMSO is more stable than acetonitrile in the voltage window of CV experiments, as shown in Figures S5 and S6. For battery experiments (Figure S13), the cell was assembled in an </w:t>
      </w:r>
      <w:proofErr w:type="spellStart"/>
      <w:r w:rsidRPr="00B4448E">
        <w:rPr>
          <w:rFonts w:ascii="Times New Roman" w:hAnsi="Times New Roman"/>
          <w:szCs w:val="24"/>
        </w:rPr>
        <w:t>Ar</w:t>
      </w:r>
      <w:proofErr w:type="spellEnd"/>
      <w:r w:rsidRPr="00B4448E">
        <w:rPr>
          <w:rFonts w:ascii="Times New Roman" w:hAnsi="Times New Roman"/>
          <w:szCs w:val="24"/>
        </w:rPr>
        <w:t xml:space="preserve">-filled glovebox. Two platinized titanium plates (Ti-shop Ltd., UK) were used as current collector. Graphite felt and Li foil (0.6 mm thickness, MTI, USA) were used as the working and counter electrodes, respectively, with a </w:t>
      </w:r>
      <w:proofErr w:type="spellStart"/>
      <w:r w:rsidRPr="00B4448E">
        <w:rPr>
          <w:rFonts w:ascii="Times New Roman" w:hAnsi="Times New Roman"/>
          <w:szCs w:val="24"/>
        </w:rPr>
        <w:t>Nafion</w:t>
      </w:r>
      <w:proofErr w:type="spellEnd"/>
      <w:r w:rsidRPr="00B4448E">
        <w:rPr>
          <w:rFonts w:ascii="Times New Roman" w:hAnsi="Times New Roman"/>
          <w:szCs w:val="24"/>
        </w:rPr>
        <w:t xml:space="preserve"> 115 membrane. </w:t>
      </w:r>
      <w:r w:rsidR="006B2065" w:rsidRPr="00B4448E">
        <w:rPr>
          <w:rFonts w:ascii="Times New Roman" w:hAnsi="Times New Roman"/>
          <w:szCs w:val="24"/>
        </w:rPr>
        <w:t xml:space="preserve">A separated lithium foil was used as the reference electrode for the potential measurements of the half-cell. </w:t>
      </w:r>
      <w:r w:rsidRPr="00B4448E">
        <w:rPr>
          <w:rFonts w:ascii="Times New Roman" w:hAnsi="Times New Roman"/>
          <w:szCs w:val="24"/>
        </w:rPr>
        <w:t xml:space="preserve">The battery was </w:t>
      </w:r>
      <w:proofErr w:type="spellStart"/>
      <w:r w:rsidRPr="00B4448E">
        <w:rPr>
          <w:rFonts w:ascii="Times New Roman" w:hAnsi="Times New Roman"/>
          <w:szCs w:val="24"/>
        </w:rPr>
        <w:t>galvanostatically</w:t>
      </w:r>
      <w:proofErr w:type="spellEnd"/>
      <w:r w:rsidRPr="00B4448E">
        <w:rPr>
          <w:rFonts w:ascii="Times New Roman" w:hAnsi="Times New Roman"/>
          <w:szCs w:val="24"/>
        </w:rPr>
        <w:t xml:space="preserve"> charged and discharged at a current density of 20 mA cm</w:t>
      </w:r>
      <w:r w:rsidRPr="00B4448E">
        <w:rPr>
          <w:rFonts w:ascii="Symbol" w:hAnsi="Symbol"/>
          <w:szCs w:val="24"/>
          <w:vertAlign w:val="superscript"/>
        </w:rPr>
        <w:t></w:t>
      </w:r>
      <w:r w:rsidRPr="00B4448E">
        <w:rPr>
          <w:rFonts w:ascii="Times New Roman" w:hAnsi="Times New Roman"/>
          <w:szCs w:val="24"/>
          <w:vertAlign w:val="superscript"/>
        </w:rPr>
        <w:t>2</w:t>
      </w:r>
      <w:r w:rsidRPr="00B4448E">
        <w:rPr>
          <w:rFonts w:ascii="Times New Roman" w:hAnsi="Times New Roman"/>
          <w:szCs w:val="24"/>
        </w:rPr>
        <w:t xml:space="preserve"> (2.5 cm</w:t>
      </w:r>
      <w:r w:rsidRPr="00B4448E">
        <w:rPr>
          <w:rFonts w:ascii="Times New Roman" w:hAnsi="Times New Roman"/>
          <w:szCs w:val="24"/>
          <w:vertAlign w:val="superscript"/>
        </w:rPr>
        <w:t>2</w:t>
      </w:r>
      <w:r w:rsidRPr="00B4448E">
        <w:rPr>
          <w:rFonts w:ascii="Times New Roman" w:hAnsi="Times New Roman"/>
          <w:szCs w:val="24"/>
        </w:rPr>
        <w:t xml:space="preserve">) at room temperature (22±1 </w:t>
      </w:r>
      <w:proofErr w:type="spellStart"/>
      <w:r w:rsidRPr="00B4448E">
        <w:rPr>
          <w:rFonts w:ascii="Times New Roman" w:hAnsi="Times New Roman"/>
          <w:szCs w:val="24"/>
          <w:vertAlign w:val="superscript"/>
        </w:rPr>
        <w:t>o</w:t>
      </w:r>
      <w:r w:rsidRPr="00B4448E">
        <w:rPr>
          <w:rFonts w:ascii="Times New Roman" w:hAnsi="Times New Roman"/>
          <w:szCs w:val="24"/>
        </w:rPr>
        <w:t>C</w:t>
      </w:r>
      <w:proofErr w:type="spellEnd"/>
      <w:r w:rsidRPr="00B4448E">
        <w:rPr>
          <w:rFonts w:ascii="Times New Roman" w:hAnsi="Times New Roman"/>
          <w:szCs w:val="24"/>
        </w:rPr>
        <w:t xml:space="preserve">) using a </w:t>
      </w:r>
      <w:proofErr w:type="spellStart"/>
      <w:r w:rsidRPr="00B4448E">
        <w:rPr>
          <w:rFonts w:ascii="Times New Roman" w:hAnsi="Times New Roman"/>
          <w:szCs w:val="24"/>
        </w:rPr>
        <w:t>potentiostat</w:t>
      </w:r>
      <w:proofErr w:type="spellEnd"/>
      <w:r w:rsidRPr="00B4448E">
        <w:rPr>
          <w:rFonts w:ascii="Times New Roman" w:hAnsi="Times New Roman"/>
          <w:szCs w:val="24"/>
        </w:rPr>
        <w:t xml:space="preserve"> (PGSTAT302N, Metrohm AG). The oxidized structure of the DB-1 molecule in the electrolyte were confirmed by nuclear magnetic resonance spectra (</w:t>
      </w:r>
      <w:r w:rsidRPr="00B4448E">
        <w:rPr>
          <w:rFonts w:ascii="Times New Roman" w:hAnsi="Times New Roman"/>
          <w:szCs w:val="24"/>
          <w:vertAlign w:val="superscript"/>
        </w:rPr>
        <w:t>1</w:t>
      </w:r>
      <w:r w:rsidRPr="00B4448E">
        <w:rPr>
          <w:rFonts w:ascii="Times New Roman" w:hAnsi="Times New Roman"/>
          <w:szCs w:val="24"/>
        </w:rPr>
        <w:t>H NMR) using a Bruker AVANCE 400 MHz spectrometer by dissolved the dried powders (vacuum-drying of charged electrolytes) in deuterated acetone. The N</w:t>
      </w:r>
      <w:r w:rsidRPr="00B4448E">
        <w:rPr>
          <w:rFonts w:ascii="Times New Roman" w:hAnsi="Times New Roman"/>
          <w:szCs w:val="24"/>
          <w:vertAlign w:val="superscript"/>
        </w:rPr>
        <w:t>+</w:t>
      </w:r>
      <w:r w:rsidRPr="00B4448E">
        <w:rPr>
          <w:rFonts w:ascii="Times New Roman" w:hAnsi="Times New Roman"/>
          <w:szCs w:val="24"/>
        </w:rPr>
        <w:t xml:space="preserve">= bond was determined by FTIR spectra using </w:t>
      </w:r>
      <w:proofErr w:type="gramStart"/>
      <w:r w:rsidRPr="00B4448E">
        <w:rPr>
          <w:rFonts w:ascii="Times New Roman" w:hAnsi="Times New Roman"/>
          <w:szCs w:val="24"/>
        </w:rPr>
        <w:t>a</w:t>
      </w:r>
      <w:proofErr w:type="gramEnd"/>
      <w:r w:rsidRPr="00B4448E">
        <w:rPr>
          <w:rFonts w:ascii="Times New Roman" w:hAnsi="Times New Roman"/>
          <w:szCs w:val="24"/>
        </w:rPr>
        <w:t xml:space="preserve"> FTS 3500 spectrometer.</w:t>
      </w:r>
    </w:p>
    <w:p w14:paraId="22B2860F" w14:textId="77777777" w:rsidR="00B23CBC" w:rsidRPr="00B4448E" w:rsidRDefault="00B23CBC" w:rsidP="001E186A">
      <w:pPr>
        <w:pStyle w:val="BGKeywords"/>
        <w:spacing w:after="0"/>
        <w:rPr>
          <w:rFonts w:ascii="Times New Roman" w:hAnsi="Times New Roman"/>
          <w:lang w:val="en-CA"/>
        </w:rPr>
      </w:pPr>
    </w:p>
    <w:p w14:paraId="7E8836BF" w14:textId="58ECF4C1" w:rsidR="00223837" w:rsidRPr="00B4448E" w:rsidRDefault="00223837" w:rsidP="00352E41">
      <w:pPr>
        <w:pStyle w:val="BGKeywords"/>
        <w:spacing w:after="0"/>
        <w:rPr>
          <w:rFonts w:ascii="Times New Roman" w:hAnsi="Times New Roman"/>
          <w:b/>
          <w:bCs/>
          <w:lang w:val="en-CA"/>
        </w:rPr>
      </w:pPr>
      <w:r w:rsidRPr="00B4448E">
        <w:rPr>
          <w:rFonts w:ascii="Times New Roman" w:hAnsi="Times New Roman"/>
          <w:b/>
          <w:bCs/>
          <w:lang w:val="en-CA"/>
        </w:rPr>
        <w:t>3. Results and discussion</w:t>
      </w:r>
    </w:p>
    <w:p w14:paraId="54604D71" w14:textId="47655C8F" w:rsidR="00B56B8A" w:rsidRPr="00B4448E" w:rsidRDefault="004F4D75" w:rsidP="00352E41">
      <w:pPr>
        <w:pStyle w:val="BGKeywords"/>
        <w:spacing w:after="0"/>
        <w:rPr>
          <w:rFonts w:ascii="Times New Roman" w:hAnsi="Times New Roman"/>
          <w:szCs w:val="18"/>
        </w:rPr>
      </w:pPr>
      <w:r w:rsidRPr="00B4448E">
        <w:rPr>
          <w:rFonts w:ascii="Times New Roman" w:hAnsi="Times New Roman"/>
          <w:szCs w:val="18"/>
        </w:rPr>
        <w:t>The oxidation route</w:t>
      </w:r>
      <w:r w:rsidR="002940E1" w:rsidRPr="00B4448E">
        <w:rPr>
          <w:rFonts w:ascii="Times New Roman" w:hAnsi="Times New Roman"/>
          <w:szCs w:val="18"/>
        </w:rPr>
        <w:t>s</w:t>
      </w:r>
      <w:r w:rsidRPr="00B4448E">
        <w:rPr>
          <w:rFonts w:ascii="Times New Roman" w:hAnsi="Times New Roman"/>
          <w:szCs w:val="18"/>
        </w:rPr>
        <w:t xml:space="preserve"> of aminoanthraquinones </w:t>
      </w:r>
      <w:r w:rsidR="00BF6BA8" w:rsidRPr="00B4448E">
        <w:rPr>
          <w:rFonts w:ascii="Times New Roman" w:hAnsi="Times New Roman"/>
          <w:szCs w:val="18"/>
        </w:rPr>
        <w:t>(2e</w:t>
      </w:r>
      <w:r w:rsidR="00BF6BA8" w:rsidRPr="00B4448E">
        <w:rPr>
          <w:rFonts w:ascii="Symbol" w:hAnsi="Symbol"/>
          <w:szCs w:val="18"/>
          <w:vertAlign w:val="superscript"/>
        </w:rPr>
        <w:t></w:t>
      </w:r>
      <w:r w:rsidR="00BF6BA8" w:rsidRPr="00B4448E">
        <w:rPr>
          <w:rFonts w:ascii="Times New Roman" w:hAnsi="Times New Roman"/>
          <w:szCs w:val="18"/>
        </w:rPr>
        <w:t xml:space="preserve">) </w:t>
      </w:r>
      <w:r w:rsidR="002940E1" w:rsidRPr="00B4448E">
        <w:rPr>
          <w:rFonts w:ascii="Times New Roman" w:hAnsi="Times New Roman"/>
          <w:szCs w:val="18"/>
        </w:rPr>
        <w:t>have</w:t>
      </w:r>
      <w:r w:rsidRPr="00B4448E">
        <w:rPr>
          <w:rFonts w:ascii="Times New Roman" w:hAnsi="Times New Roman"/>
          <w:szCs w:val="18"/>
        </w:rPr>
        <w:t xml:space="preserve"> been demonstrated </w:t>
      </w:r>
      <w:r w:rsidR="0038401F" w:rsidRPr="00B4448E">
        <w:rPr>
          <w:rFonts w:ascii="Times New Roman" w:hAnsi="Times New Roman"/>
          <w:szCs w:val="18"/>
        </w:rPr>
        <w:t>elsewhere</w:t>
      </w:r>
      <w:r w:rsidR="0038401F" w:rsidRPr="00B4448E">
        <w:rPr>
          <w:rFonts w:ascii="Times New Roman" w:hAnsi="Times New Roman"/>
          <w:i/>
          <w:szCs w:val="18"/>
        </w:rPr>
        <w:t xml:space="preserve"> </w:t>
      </w:r>
      <w:r w:rsidR="0038401F" w:rsidRPr="00B4448E">
        <w:rPr>
          <w:rFonts w:ascii="Times New Roman" w:hAnsi="Times New Roman"/>
          <w:szCs w:val="18"/>
        </w:rPr>
        <w:t>(i.e. Disper</w:t>
      </w:r>
      <w:r w:rsidR="00440B02" w:rsidRPr="00B4448E">
        <w:rPr>
          <w:rFonts w:ascii="Times New Roman" w:hAnsi="Times New Roman"/>
          <w:szCs w:val="18"/>
        </w:rPr>
        <w:t>se Violet-1</w:t>
      </w:r>
      <w:r w:rsidR="00A91588" w:rsidRPr="00B4448E">
        <w:rPr>
          <w:rFonts w:ascii="Times New Roman" w:hAnsi="Times New Roman"/>
          <w:szCs w:val="18"/>
        </w:rPr>
        <w:t xml:space="preserve"> (DV-1)</w:t>
      </w:r>
      <w:r w:rsidR="009E1B0B" w:rsidRPr="00B4448E">
        <w:rPr>
          <w:rFonts w:ascii="Times New Roman" w:hAnsi="Times New Roman"/>
          <w:szCs w:val="18"/>
        </w:rPr>
        <w:t xml:space="preserve"> </w:t>
      </w:r>
      <w:r w:rsidR="00733964" w:rsidRPr="00B4448E">
        <w:rPr>
          <w:rFonts w:ascii="Times New Roman" w:hAnsi="Times New Roman"/>
          <w:szCs w:val="18"/>
        </w:rPr>
        <w:fldChar w:fldCharType="begin" w:fldLock="1"/>
      </w:r>
      <w:r w:rsidR="00D75310" w:rsidRPr="00B4448E">
        <w:rPr>
          <w:rFonts w:ascii="Times New Roman" w:hAnsi="Times New Roman"/>
          <w:szCs w:val="18"/>
        </w:rPr>
        <w:instrText>ADDIN CSL_CITATION {"citationItems":[{"id":"ITEM-1","itemData":{"author":[{"dropping-particle":"","family":"Vattanen","given":"Virpi","non-dropping-particle":"","parse-names":false,"suffix":""},{"dropping-particle":"","family":"Pedersen","given":"Jens A.","non-dropping-particle":"","parse-names":false,"suffix":""}],"container-title":"Chem. Soc.","id":"ITEM-1","issued":{"date-parts":[["1996"]]},"page":"2207-2212","title":"Electron paramagnetic resonance and cyclic voltammetry studies of the cations and anions of a-aminoanthraquinones obtained by electrochemical oxidatiod/reduction","type":"article-journal","volume":"2"},"uris":["http://www.mendeley.com/documents/?uuid=c64db650-3be6-497d-a241-274706464fc6"]}],"mendeley":{"formattedCitation":"[45]","plainTextFormattedCitation":"[45]","previouslyFormattedCitation":"[44]"},"properties":{"noteIndex":0},"schema":"https://github.com/citation-style-language/schema/raw/master/csl-citation.json"}</w:instrText>
      </w:r>
      <w:r w:rsidR="00733964" w:rsidRPr="00B4448E">
        <w:rPr>
          <w:rFonts w:ascii="Times New Roman" w:hAnsi="Times New Roman"/>
          <w:szCs w:val="18"/>
        </w:rPr>
        <w:fldChar w:fldCharType="separate"/>
      </w:r>
      <w:r w:rsidR="00D75310" w:rsidRPr="00B4448E">
        <w:rPr>
          <w:rFonts w:ascii="Times New Roman" w:hAnsi="Times New Roman"/>
          <w:noProof/>
          <w:szCs w:val="18"/>
        </w:rPr>
        <w:t>[45]</w:t>
      </w:r>
      <w:r w:rsidR="00733964" w:rsidRPr="00B4448E">
        <w:rPr>
          <w:rFonts w:ascii="Times New Roman" w:hAnsi="Times New Roman"/>
          <w:szCs w:val="18"/>
        </w:rPr>
        <w:fldChar w:fldCharType="end"/>
      </w:r>
      <w:r w:rsidR="00440B02" w:rsidRPr="00B4448E">
        <w:rPr>
          <w:rFonts w:ascii="Times New Roman" w:hAnsi="Times New Roman"/>
          <w:szCs w:val="18"/>
        </w:rPr>
        <w:t>, Disperse Blue-134</w:t>
      </w:r>
      <w:r w:rsidR="00A91588" w:rsidRPr="00B4448E">
        <w:rPr>
          <w:rFonts w:ascii="Times New Roman" w:hAnsi="Times New Roman"/>
          <w:szCs w:val="18"/>
        </w:rPr>
        <w:t xml:space="preserve"> (DB-134)</w:t>
      </w:r>
      <w:r w:rsidR="009E1B0B" w:rsidRPr="00B4448E">
        <w:rPr>
          <w:rFonts w:ascii="Times New Roman" w:hAnsi="Times New Roman"/>
          <w:szCs w:val="18"/>
        </w:rPr>
        <w:t xml:space="preserve"> </w:t>
      </w:r>
      <w:r w:rsidR="001F6480" w:rsidRPr="00B4448E">
        <w:rPr>
          <w:rFonts w:ascii="Times New Roman" w:hAnsi="Times New Roman"/>
          <w:szCs w:val="18"/>
        </w:rPr>
        <w:fldChar w:fldCharType="begin" w:fldLock="1"/>
      </w:r>
      <w:r w:rsidR="00D75310" w:rsidRPr="00B4448E">
        <w:rPr>
          <w:rFonts w:ascii="Times New Roman" w:hAnsi="Times New Roman"/>
          <w:szCs w:val="18"/>
        </w:rPr>
        <w:instrText>ADDIN CSL_CITATION {"citationItems":[{"id":"ITEM-1","itemData":{"DOI":"10.1002/aenm.201901418","author":[{"dropping-particle":"","family":"Leung","given":"Puiki","non-dropping-particle":"","parse-names":false,"suffix":""},{"dropping-particle":"","family":"Bu","given":"Junfu","non-dropping-particle":"","parse-names":false,"suffix":""},{"dropping-particle":"","family":"Velasco","given":"Pablo Quijano","non-dropping-particle":"","parse-names":false,"suffix":""},{"dropping-particle":"","family":"Roberts","given":"Matthew R","non-dropping-particle":"","parse-names":false,"suffix":""},{"dropping-particle":"","family":"Grobert","given":"Nicole","non-dropping-particle":"","parse-names":false,"suffix":""},{"dropping-particle":"","family":"Grant","given":"Patrick S","non-dropping-particle":"","parse-names":false,"suffix":""}],"container-title":"Advanced Energy Materials","id":"ITEM-1","issued":{"date-parts":[["2019"]]},"title":"Single-Step Spray Printing of Symmetric All-Organic Solid- State Batteries Based on Porous Textile Dye Electrodes","type":"article-journal","volume":"1901418"},"uris":["http://www.mendeley.com/documents/?uuid=cc12287b-2f7b-4587-823c-59464ef5f7a9"]},{"id":"ITEM-2","itemData":{"DOI":"10.1149/2.0971602jes","ISSN":"0013-4651","abstract":"Redox flow batteries (RFBs) are of interest for large-scale energy storage, but implementation has been challenged by their low energy density, high complexity, high cost, and insufficient lifetime due to several types of irreversible losses in the electrolyte. To address the issue of system complexity and irreversible losses, we have undertaken a detailed analysis of the concept of the symmetric redox flow battery, or SRFB, which relies on a single parent molecule as the charge storage species in both the positive and negative electrode reactions. Herein we elaborate on the operating principles and advantages of a SRFB and report the salient electrochemical properties of a class of organic molecules, diaminoanthraquinones (DAAQs) as promising candidates for use in SRFB redox electrolytes. Modeling of various modes of operation for SRFBs are presented along with an example of an operational, lab-scale SRFB based on a DAAQ system.","author":[{"dropping-particle":"","family":"Potash","given":"Rebecca A.","non-dropping-particle":"","parse-names":false,"suffix":""},{"dropping-particle":"","family":"McKone","given":"James R.","non-dropping-particle":"","parse-names":false,"suffix":""},{"dropping-particle":"","family":"Conte","given":"Sean","non-dropping-particle":"","parse-names":false,"suffix":""},{"dropping-particle":"","family":"Abruña","given":"Héctor D.","non-dropping-particle":"","parse-names":false,"suffix":""}],"container-title":"Journal of The Electrochemical Society","id":"ITEM-2","issue":"3","issued":{"date-parts":[["2016"]]},"page":"A338-A344","title":"On the Benefits of a Symmetric Redox Flow Battery","type":"article-journal","volume":"163"},"uris":["http://www.mendeley.com/documents/?uuid=9540c1fe-86ae-44f7-b50a-816e5f7a0a77"]}],"mendeley":{"formattedCitation":"[46,47]","plainTextFormattedCitation":"[46,47]","previouslyFormattedCitation":"[45,46]"},"properties":{"noteIndex":0},"schema":"https://github.com/citation-style-language/schema/raw/master/csl-citation.json"}</w:instrText>
      </w:r>
      <w:r w:rsidR="001F6480" w:rsidRPr="00B4448E">
        <w:rPr>
          <w:rFonts w:ascii="Times New Roman" w:hAnsi="Times New Roman"/>
          <w:szCs w:val="18"/>
        </w:rPr>
        <w:fldChar w:fldCharType="separate"/>
      </w:r>
      <w:r w:rsidR="00D75310" w:rsidRPr="00B4448E">
        <w:rPr>
          <w:rFonts w:ascii="Times New Roman" w:hAnsi="Times New Roman"/>
          <w:noProof/>
          <w:szCs w:val="18"/>
        </w:rPr>
        <w:t>[46,47]</w:t>
      </w:r>
      <w:r w:rsidR="001F6480" w:rsidRPr="00B4448E">
        <w:rPr>
          <w:rFonts w:ascii="Times New Roman" w:hAnsi="Times New Roman"/>
          <w:szCs w:val="18"/>
        </w:rPr>
        <w:fldChar w:fldCharType="end"/>
      </w:r>
      <w:r w:rsidR="00440B02" w:rsidRPr="00B4448E">
        <w:rPr>
          <w:rFonts w:ascii="Times New Roman" w:hAnsi="Times New Roman"/>
          <w:szCs w:val="18"/>
        </w:rPr>
        <w:t xml:space="preserve">) </w:t>
      </w:r>
      <w:r w:rsidRPr="00B4448E">
        <w:rPr>
          <w:rFonts w:ascii="Times New Roman" w:hAnsi="Times New Roman"/>
          <w:szCs w:val="18"/>
        </w:rPr>
        <w:t>and show</w:t>
      </w:r>
      <w:r w:rsidR="00EE5EA5" w:rsidRPr="00B4448E">
        <w:rPr>
          <w:rFonts w:ascii="Times New Roman" w:hAnsi="Times New Roman"/>
          <w:szCs w:val="18"/>
        </w:rPr>
        <w:t>n</w:t>
      </w:r>
      <w:r w:rsidRPr="00B4448E">
        <w:rPr>
          <w:rFonts w:ascii="Times New Roman" w:hAnsi="Times New Roman"/>
          <w:szCs w:val="18"/>
        </w:rPr>
        <w:t xml:space="preserve"> </w:t>
      </w:r>
      <w:r w:rsidR="00C1385D" w:rsidRPr="00B4448E">
        <w:rPr>
          <w:rFonts w:ascii="Times New Roman" w:hAnsi="Times New Roman"/>
          <w:szCs w:val="18"/>
        </w:rPr>
        <w:t>more positive</w:t>
      </w:r>
      <w:r w:rsidRPr="00B4448E">
        <w:rPr>
          <w:rFonts w:ascii="Times New Roman" w:hAnsi="Times New Roman"/>
          <w:szCs w:val="18"/>
        </w:rPr>
        <w:t xml:space="preserve"> electrode potentials (&gt; 3.5 V </w:t>
      </w:r>
      <w:r w:rsidRPr="00B4448E">
        <w:rPr>
          <w:rFonts w:ascii="Times New Roman" w:hAnsi="Times New Roman"/>
          <w:i/>
          <w:szCs w:val="18"/>
        </w:rPr>
        <w:t>vs</w:t>
      </w:r>
      <w:r w:rsidRPr="00B4448E">
        <w:rPr>
          <w:rFonts w:ascii="Times New Roman" w:hAnsi="Times New Roman"/>
          <w:szCs w:val="18"/>
        </w:rPr>
        <w:t>.</w:t>
      </w:r>
      <w:r w:rsidR="00EE5EA5" w:rsidRPr="00B4448E">
        <w:rPr>
          <w:rFonts w:ascii="Times New Roman" w:hAnsi="Times New Roman"/>
          <w:szCs w:val="18"/>
        </w:rPr>
        <w:t xml:space="preserve"> Li) than most quinone molecules. </w:t>
      </w:r>
      <w:r w:rsidR="00EF5AD7" w:rsidRPr="00B4448E">
        <w:rPr>
          <w:rFonts w:ascii="Times New Roman" w:hAnsi="Times New Roman"/>
          <w:szCs w:val="18"/>
        </w:rPr>
        <w:t>When the 4e</w:t>
      </w:r>
      <w:r w:rsidR="00EF5AD7" w:rsidRPr="00B4448E">
        <w:rPr>
          <w:rFonts w:ascii="Symbol" w:hAnsi="Symbol"/>
          <w:szCs w:val="18"/>
          <w:vertAlign w:val="superscript"/>
        </w:rPr>
        <w:t></w:t>
      </w:r>
      <w:r w:rsidR="00EF5AD7" w:rsidRPr="00B4448E">
        <w:rPr>
          <w:rFonts w:ascii="Times New Roman" w:hAnsi="Times New Roman"/>
          <w:szCs w:val="18"/>
        </w:rPr>
        <w:t xml:space="preserve"> oxidation processes (Q → Q</w:t>
      </w:r>
      <w:r w:rsidR="00EF5AD7" w:rsidRPr="00B4448E">
        <w:rPr>
          <w:rFonts w:ascii="Times New Roman" w:hAnsi="Times New Roman"/>
          <w:szCs w:val="18"/>
          <w:vertAlign w:val="superscript"/>
        </w:rPr>
        <w:t>4+</w:t>
      </w:r>
      <w:r w:rsidR="006B2065" w:rsidRPr="00B4448E">
        <w:rPr>
          <w:rFonts w:ascii="Times New Roman" w:hAnsi="Times New Roman"/>
          <w:szCs w:val="18"/>
        </w:rPr>
        <w:t xml:space="preserve">, Scheme I) </w:t>
      </w:r>
      <w:r w:rsidR="00EF5AD7" w:rsidRPr="00B4448E">
        <w:rPr>
          <w:rFonts w:ascii="Times New Roman" w:hAnsi="Times New Roman"/>
          <w:szCs w:val="18"/>
        </w:rPr>
        <w:t xml:space="preserve"> are considered, the proposed molecule has one of the </w:t>
      </w:r>
      <w:r w:rsidR="00C1385D" w:rsidRPr="00B4448E">
        <w:rPr>
          <w:rFonts w:ascii="Times New Roman" w:hAnsi="Times New Roman"/>
          <w:szCs w:val="18"/>
        </w:rPr>
        <w:t>most positive</w:t>
      </w:r>
      <w:r w:rsidR="00EF5AD7" w:rsidRPr="00B4448E">
        <w:rPr>
          <w:rFonts w:ascii="Times New Roman" w:hAnsi="Times New Roman"/>
          <w:szCs w:val="18"/>
        </w:rPr>
        <w:t xml:space="preserve"> electrode </w:t>
      </w:r>
      <w:r w:rsidR="00D6136A" w:rsidRPr="00B4448E">
        <w:rPr>
          <w:rFonts w:ascii="Times New Roman" w:hAnsi="Times New Roman"/>
          <w:szCs w:val="18"/>
        </w:rPr>
        <w:t>potentials</w:t>
      </w:r>
      <w:r w:rsidR="00EF5AD7" w:rsidRPr="00B4448E">
        <w:rPr>
          <w:rFonts w:ascii="Times New Roman" w:hAnsi="Times New Roman"/>
          <w:szCs w:val="18"/>
        </w:rPr>
        <w:t xml:space="preserve"> (</w:t>
      </w:r>
      <w:r w:rsidR="00EF5AD7" w:rsidRPr="00B4448E">
        <w:rPr>
          <w:rFonts w:ascii="Times New Roman" w:hAnsi="Times New Roman"/>
          <w:i/>
          <w:szCs w:val="18"/>
        </w:rPr>
        <w:t>ca.</w:t>
      </w:r>
      <w:r w:rsidR="00EF5AD7" w:rsidRPr="00B4448E">
        <w:rPr>
          <w:rFonts w:ascii="Times New Roman" w:hAnsi="Times New Roman"/>
          <w:szCs w:val="18"/>
        </w:rPr>
        <w:t xml:space="preserve"> </w:t>
      </w:r>
      <w:r w:rsidR="00107321" w:rsidRPr="00B4448E">
        <w:rPr>
          <w:rFonts w:ascii="Times New Roman" w:hAnsi="Times New Roman"/>
          <w:szCs w:val="18"/>
        </w:rPr>
        <w:t>4.</w:t>
      </w:r>
      <w:r w:rsidR="002F19BC" w:rsidRPr="00B4448E">
        <w:rPr>
          <w:rFonts w:ascii="Times New Roman" w:hAnsi="Times New Roman"/>
          <w:szCs w:val="18"/>
        </w:rPr>
        <w:t xml:space="preserve">0 </w:t>
      </w:r>
      <w:r w:rsidR="00EF5AD7" w:rsidRPr="00B4448E">
        <w:rPr>
          <w:rFonts w:ascii="Times New Roman" w:hAnsi="Times New Roman"/>
          <w:szCs w:val="18"/>
        </w:rPr>
        <w:t>V</w:t>
      </w:r>
      <w:r w:rsidR="002F19BC" w:rsidRPr="00B4448E">
        <w:rPr>
          <w:rFonts w:ascii="Times New Roman" w:hAnsi="Times New Roman"/>
          <w:szCs w:val="18"/>
        </w:rPr>
        <w:t xml:space="preserve"> </w:t>
      </w:r>
      <w:r w:rsidR="002F19BC" w:rsidRPr="00B4448E">
        <w:rPr>
          <w:rFonts w:ascii="Times New Roman" w:hAnsi="Times New Roman"/>
          <w:i/>
          <w:szCs w:val="18"/>
        </w:rPr>
        <w:t>vs</w:t>
      </w:r>
      <w:r w:rsidR="002F19BC" w:rsidRPr="00B4448E">
        <w:rPr>
          <w:rFonts w:ascii="Times New Roman" w:hAnsi="Times New Roman"/>
          <w:szCs w:val="18"/>
        </w:rPr>
        <w:t>. Li</w:t>
      </w:r>
      <w:r w:rsidR="00EF5AD7" w:rsidRPr="00B4448E">
        <w:rPr>
          <w:rFonts w:ascii="Times New Roman" w:hAnsi="Times New Roman"/>
          <w:szCs w:val="18"/>
        </w:rPr>
        <w:t xml:space="preserve">) and theoretical </w:t>
      </w:r>
      <w:r w:rsidR="003373A2" w:rsidRPr="00B4448E">
        <w:rPr>
          <w:rFonts w:ascii="Times New Roman" w:hAnsi="Times New Roman"/>
          <w:szCs w:val="18"/>
        </w:rPr>
        <w:t xml:space="preserve">charge </w:t>
      </w:r>
      <w:r w:rsidR="00EF5AD7" w:rsidRPr="00B4448E">
        <w:rPr>
          <w:rFonts w:ascii="Times New Roman" w:hAnsi="Times New Roman"/>
          <w:szCs w:val="18"/>
        </w:rPr>
        <w:t>capacit</w:t>
      </w:r>
      <w:r w:rsidR="00C1385D" w:rsidRPr="00B4448E">
        <w:rPr>
          <w:rFonts w:ascii="Times New Roman" w:hAnsi="Times New Roman"/>
          <w:szCs w:val="18"/>
        </w:rPr>
        <w:t>y</w:t>
      </w:r>
      <w:r w:rsidR="00EF5AD7" w:rsidRPr="00B4448E">
        <w:rPr>
          <w:rFonts w:ascii="Times New Roman" w:hAnsi="Times New Roman"/>
          <w:szCs w:val="18"/>
        </w:rPr>
        <w:t xml:space="preserve"> (</w:t>
      </w:r>
      <w:r w:rsidR="00EF5AD7" w:rsidRPr="00B4448E">
        <w:rPr>
          <w:rFonts w:ascii="Times New Roman" w:hAnsi="Times New Roman"/>
          <w:i/>
          <w:szCs w:val="18"/>
        </w:rPr>
        <w:t>ca.</w:t>
      </w:r>
      <w:r w:rsidR="00EF5AD7" w:rsidRPr="00B4448E">
        <w:rPr>
          <w:rFonts w:ascii="Times New Roman" w:hAnsi="Times New Roman"/>
          <w:szCs w:val="18"/>
        </w:rPr>
        <w:t xml:space="preserve"> 399</w:t>
      </w:r>
      <w:r w:rsidR="00C52313" w:rsidRPr="00B4448E">
        <w:rPr>
          <w:rFonts w:ascii="Times New Roman" w:hAnsi="Times New Roman"/>
          <w:szCs w:val="18"/>
        </w:rPr>
        <w:t>.6</w:t>
      </w:r>
      <w:r w:rsidR="00EF5AD7" w:rsidRPr="00B4448E">
        <w:rPr>
          <w:rFonts w:ascii="Times New Roman" w:hAnsi="Times New Roman"/>
          <w:szCs w:val="18"/>
        </w:rPr>
        <w:t xml:space="preserve"> mA h g</w:t>
      </w:r>
      <w:r w:rsidR="00EF5AD7" w:rsidRPr="00B4448E">
        <w:rPr>
          <w:rFonts w:ascii="Symbol" w:hAnsi="Symbol"/>
          <w:szCs w:val="18"/>
          <w:vertAlign w:val="superscript"/>
        </w:rPr>
        <w:t></w:t>
      </w:r>
      <w:r w:rsidR="00EF5AD7" w:rsidRPr="00B4448E">
        <w:rPr>
          <w:rFonts w:ascii="Times New Roman" w:hAnsi="Times New Roman"/>
          <w:szCs w:val="18"/>
          <w:vertAlign w:val="superscript"/>
        </w:rPr>
        <w:t>1</w:t>
      </w:r>
      <w:r w:rsidR="00EF5AD7" w:rsidRPr="00B4448E">
        <w:rPr>
          <w:rFonts w:ascii="Times New Roman" w:hAnsi="Times New Roman"/>
          <w:szCs w:val="18"/>
        </w:rPr>
        <w:t xml:space="preserve">) reported </w:t>
      </w:r>
      <w:r w:rsidR="00382563" w:rsidRPr="00B4448E">
        <w:rPr>
          <w:rFonts w:ascii="Times New Roman" w:hAnsi="Times New Roman"/>
          <w:szCs w:val="18"/>
        </w:rPr>
        <w:t xml:space="preserve">to date </w:t>
      </w:r>
      <w:r w:rsidR="00F028EF" w:rsidRPr="00B4448E">
        <w:rPr>
          <w:rFonts w:ascii="Times New Roman" w:hAnsi="Times New Roman"/>
          <w:szCs w:val="18"/>
        </w:rPr>
        <w:t>(Figure 1a)</w:t>
      </w:r>
      <w:r w:rsidR="00EF5AD7" w:rsidRPr="00B4448E">
        <w:rPr>
          <w:rFonts w:ascii="Times New Roman" w:hAnsi="Times New Roman"/>
          <w:szCs w:val="18"/>
        </w:rPr>
        <w:t xml:space="preserve">. </w:t>
      </w:r>
      <w:r w:rsidR="0077734C" w:rsidRPr="00B4448E">
        <w:rPr>
          <w:rFonts w:ascii="Times New Roman" w:hAnsi="Times New Roman"/>
          <w:szCs w:val="18"/>
        </w:rPr>
        <w:t>Together with the</w:t>
      </w:r>
      <w:r w:rsidR="00EF5AD7" w:rsidRPr="00B4448E">
        <w:rPr>
          <w:rFonts w:ascii="Times New Roman" w:hAnsi="Times New Roman"/>
          <w:szCs w:val="18"/>
        </w:rPr>
        <w:t xml:space="preserve"> typical</w:t>
      </w:r>
      <w:r w:rsidR="00BF6BA8" w:rsidRPr="00B4448E">
        <w:rPr>
          <w:rFonts w:ascii="Times New Roman" w:hAnsi="Times New Roman"/>
          <w:szCs w:val="18"/>
        </w:rPr>
        <w:t xml:space="preserve"> </w:t>
      </w:r>
      <w:r w:rsidR="0077734C" w:rsidRPr="00B4448E">
        <w:rPr>
          <w:rFonts w:ascii="Times New Roman" w:hAnsi="Times New Roman"/>
          <w:szCs w:val="18"/>
        </w:rPr>
        <w:t>2e</w:t>
      </w:r>
      <w:r w:rsidR="0077734C" w:rsidRPr="00B4448E">
        <w:rPr>
          <w:rFonts w:ascii="Symbol" w:hAnsi="Symbol"/>
          <w:szCs w:val="18"/>
          <w:vertAlign w:val="superscript"/>
        </w:rPr>
        <w:t></w:t>
      </w:r>
      <w:r w:rsidR="00BF6BA8" w:rsidRPr="00B4448E">
        <w:rPr>
          <w:rFonts w:ascii="Times New Roman" w:hAnsi="Times New Roman"/>
          <w:szCs w:val="18"/>
        </w:rPr>
        <w:t xml:space="preserve"> </w:t>
      </w:r>
      <w:r w:rsidR="00D55454" w:rsidRPr="00B4448E">
        <w:rPr>
          <w:rFonts w:ascii="Times New Roman" w:hAnsi="Times New Roman"/>
          <w:szCs w:val="18"/>
        </w:rPr>
        <w:t xml:space="preserve">carbonyl </w:t>
      </w:r>
      <w:r w:rsidR="00BF6BA8" w:rsidRPr="00B4448E">
        <w:rPr>
          <w:rFonts w:ascii="Times New Roman" w:hAnsi="Times New Roman"/>
          <w:szCs w:val="18"/>
        </w:rPr>
        <w:t>reduction</w:t>
      </w:r>
      <w:r w:rsidR="002F19BC" w:rsidRPr="00B4448E">
        <w:rPr>
          <w:rFonts w:ascii="Times New Roman" w:hAnsi="Times New Roman"/>
          <w:szCs w:val="18"/>
        </w:rPr>
        <w:t xml:space="preserve"> route</w:t>
      </w:r>
      <w:r w:rsidR="003373A2" w:rsidRPr="00B4448E">
        <w:rPr>
          <w:rFonts w:ascii="Times New Roman" w:hAnsi="Times New Roman"/>
          <w:szCs w:val="18"/>
        </w:rPr>
        <w:t xml:space="preserve"> </w:t>
      </w:r>
      <w:r w:rsidR="00EF5AD7" w:rsidRPr="00B4448E">
        <w:rPr>
          <w:rFonts w:ascii="Times New Roman" w:hAnsi="Times New Roman"/>
          <w:szCs w:val="18"/>
        </w:rPr>
        <w:t>of quinones (Q → Q</w:t>
      </w:r>
      <w:r w:rsidR="00EF5AD7" w:rsidRPr="00B4448E">
        <w:rPr>
          <w:rFonts w:ascii="Times New Roman" w:hAnsi="Times New Roman"/>
          <w:szCs w:val="18"/>
          <w:vertAlign w:val="superscript"/>
        </w:rPr>
        <w:t>2</w:t>
      </w:r>
      <w:r w:rsidR="00EF5AD7" w:rsidRPr="00B4448E">
        <w:rPr>
          <w:rFonts w:ascii="Symbol" w:hAnsi="Symbol"/>
          <w:szCs w:val="18"/>
          <w:vertAlign w:val="superscript"/>
        </w:rPr>
        <w:t></w:t>
      </w:r>
      <w:r w:rsidR="006B2065" w:rsidRPr="00B4448E">
        <w:rPr>
          <w:rFonts w:ascii="Times New Roman" w:hAnsi="Times New Roman"/>
          <w:szCs w:val="18"/>
        </w:rPr>
        <w:t xml:space="preserve"> , Scheme II)</w:t>
      </w:r>
      <w:r w:rsidR="004E4362" w:rsidRPr="00B4448E">
        <w:rPr>
          <w:rFonts w:ascii="Times New Roman" w:hAnsi="Times New Roman"/>
          <w:szCs w:val="18"/>
        </w:rPr>
        <w:t xml:space="preserve">, </w:t>
      </w:r>
      <w:r w:rsidR="00BF6BA8" w:rsidRPr="00B4448E">
        <w:rPr>
          <w:rFonts w:ascii="Times New Roman" w:hAnsi="Times New Roman"/>
          <w:szCs w:val="18"/>
        </w:rPr>
        <w:t xml:space="preserve">the </w:t>
      </w:r>
      <w:r w:rsidR="00B56B8A" w:rsidRPr="00B4448E">
        <w:rPr>
          <w:rFonts w:ascii="Times New Roman" w:hAnsi="Times New Roman"/>
          <w:szCs w:val="18"/>
        </w:rPr>
        <w:t>DB</w:t>
      </w:r>
      <w:r w:rsidR="00A91588" w:rsidRPr="00B4448E">
        <w:rPr>
          <w:rFonts w:ascii="Times New Roman" w:hAnsi="Times New Roman"/>
          <w:szCs w:val="18"/>
        </w:rPr>
        <w:t>-</w:t>
      </w:r>
      <w:r w:rsidR="00B56B8A" w:rsidRPr="00B4448E">
        <w:rPr>
          <w:rFonts w:ascii="Times New Roman" w:hAnsi="Times New Roman"/>
          <w:szCs w:val="18"/>
        </w:rPr>
        <w:t>1</w:t>
      </w:r>
      <w:r w:rsidR="00BF6BA8" w:rsidRPr="00B4448E">
        <w:rPr>
          <w:rFonts w:ascii="Times New Roman" w:hAnsi="Times New Roman"/>
          <w:szCs w:val="18"/>
        </w:rPr>
        <w:t xml:space="preserve"> </w:t>
      </w:r>
      <w:r w:rsidR="00716192" w:rsidRPr="00B4448E">
        <w:rPr>
          <w:rFonts w:ascii="Times New Roman" w:hAnsi="Times New Roman"/>
          <w:szCs w:val="18"/>
        </w:rPr>
        <w:t>molecule could involve up to 6</w:t>
      </w:r>
      <w:r w:rsidR="00EF5AD7" w:rsidRPr="00B4448E">
        <w:rPr>
          <w:rFonts w:ascii="Times New Roman" w:hAnsi="Times New Roman"/>
          <w:szCs w:val="18"/>
        </w:rPr>
        <w:t>e</w:t>
      </w:r>
      <w:r w:rsidR="00EF5AD7" w:rsidRPr="00B4448E">
        <w:rPr>
          <w:rFonts w:ascii="Symbol" w:hAnsi="Symbol"/>
          <w:szCs w:val="18"/>
          <w:vertAlign w:val="superscript"/>
        </w:rPr>
        <w:t></w:t>
      </w:r>
      <w:r w:rsidR="00EF5AD7" w:rsidRPr="00B4448E">
        <w:rPr>
          <w:rFonts w:ascii="Times New Roman" w:hAnsi="Times New Roman"/>
          <w:szCs w:val="18"/>
        </w:rPr>
        <w:t xml:space="preserve"> </w:t>
      </w:r>
      <w:r w:rsidR="00716192" w:rsidRPr="00B4448E">
        <w:rPr>
          <w:rFonts w:ascii="Times New Roman" w:hAnsi="Times New Roman"/>
          <w:szCs w:val="18"/>
        </w:rPr>
        <w:t>transfers</w:t>
      </w:r>
      <w:r w:rsidR="0038401F" w:rsidRPr="00B4448E">
        <w:rPr>
          <w:rFonts w:ascii="Times New Roman" w:hAnsi="Times New Roman"/>
          <w:szCs w:val="18"/>
        </w:rPr>
        <w:t xml:space="preserve"> (</w:t>
      </w:r>
      <w:r w:rsidR="00A57837" w:rsidRPr="00B4448E">
        <w:rPr>
          <w:rFonts w:ascii="Times New Roman" w:hAnsi="Times New Roman"/>
          <w:szCs w:val="24"/>
          <w:lang w:val="en-CA"/>
        </w:rPr>
        <w:t xml:space="preserve">proposed as </w:t>
      </w:r>
      <w:r w:rsidR="0038401F" w:rsidRPr="00B4448E">
        <w:rPr>
          <w:rFonts w:ascii="Times New Roman" w:hAnsi="Times New Roman"/>
          <w:szCs w:val="18"/>
        </w:rPr>
        <w:t>Scheme I</w:t>
      </w:r>
      <w:r w:rsidR="001A5C26" w:rsidRPr="00B4448E">
        <w:rPr>
          <w:rFonts w:ascii="Times New Roman" w:hAnsi="Times New Roman"/>
          <w:szCs w:val="18"/>
        </w:rPr>
        <w:t xml:space="preserve"> and II</w:t>
      </w:r>
      <w:r w:rsidR="001A5C26" w:rsidRPr="00B4448E">
        <w:rPr>
          <w:rFonts w:ascii="Times New Roman" w:hAnsi="Times New Roman"/>
          <w:szCs w:val="24"/>
          <w:lang w:val="en-CA"/>
        </w:rPr>
        <w:t>, detailed version available in Figure S1</w:t>
      </w:r>
      <w:r w:rsidR="0038401F" w:rsidRPr="00B4448E">
        <w:rPr>
          <w:rFonts w:ascii="Times New Roman" w:hAnsi="Times New Roman"/>
          <w:szCs w:val="18"/>
        </w:rPr>
        <w:t>)</w:t>
      </w:r>
      <w:r w:rsidR="00485165" w:rsidRPr="00B4448E">
        <w:rPr>
          <w:rFonts w:ascii="Times New Roman" w:hAnsi="Times New Roman"/>
          <w:szCs w:val="18"/>
        </w:rPr>
        <w:t xml:space="preserve"> </w:t>
      </w:r>
      <w:r w:rsidR="0079480F" w:rsidRPr="00B4448E">
        <w:rPr>
          <w:rFonts w:ascii="Times New Roman" w:hAnsi="Times New Roman"/>
          <w:szCs w:val="18"/>
        </w:rPr>
        <w:t>resulting</w:t>
      </w:r>
      <w:r w:rsidR="00485165" w:rsidRPr="00B4448E">
        <w:rPr>
          <w:rFonts w:ascii="Times New Roman" w:hAnsi="Times New Roman"/>
          <w:szCs w:val="18"/>
        </w:rPr>
        <w:t xml:space="preserve"> in </w:t>
      </w:r>
      <w:r w:rsidR="003373A2" w:rsidRPr="00B4448E">
        <w:rPr>
          <w:rFonts w:ascii="Times New Roman" w:hAnsi="Times New Roman"/>
          <w:szCs w:val="18"/>
        </w:rPr>
        <w:t>a very</w:t>
      </w:r>
      <w:r w:rsidR="00D5048F" w:rsidRPr="00B4448E">
        <w:rPr>
          <w:rFonts w:ascii="Times New Roman" w:hAnsi="Times New Roman"/>
          <w:szCs w:val="18"/>
        </w:rPr>
        <w:t xml:space="preserve"> </w:t>
      </w:r>
      <w:r w:rsidR="00485165" w:rsidRPr="00B4448E">
        <w:rPr>
          <w:rFonts w:ascii="Times New Roman" w:hAnsi="Times New Roman"/>
          <w:szCs w:val="18"/>
        </w:rPr>
        <w:t>high</w:t>
      </w:r>
      <w:r w:rsidR="00D5048F" w:rsidRPr="00B4448E">
        <w:rPr>
          <w:rFonts w:ascii="Times New Roman" w:hAnsi="Times New Roman"/>
          <w:szCs w:val="18"/>
        </w:rPr>
        <w:t xml:space="preserve"> </w:t>
      </w:r>
      <w:r w:rsidR="00485165" w:rsidRPr="00B4448E">
        <w:rPr>
          <w:rFonts w:ascii="Times New Roman" w:hAnsi="Times New Roman"/>
          <w:szCs w:val="18"/>
        </w:rPr>
        <w:t xml:space="preserve">theoretical specific capacity </w:t>
      </w:r>
      <w:r w:rsidR="00D5048F" w:rsidRPr="00B4448E">
        <w:rPr>
          <w:rFonts w:ascii="Times New Roman" w:hAnsi="Times New Roman"/>
          <w:szCs w:val="18"/>
        </w:rPr>
        <w:t xml:space="preserve">of </w:t>
      </w:r>
      <w:r w:rsidR="00433A27" w:rsidRPr="00B4448E">
        <w:rPr>
          <w:rFonts w:ascii="Times New Roman" w:hAnsi="Times New Roman"/>
          <w:i/>
          <w:szCs w:val="18"/>
        </w:rPr>
        <w:t>c</w:t>
      </w:r>
      <w:r w:rsidR="00485165" w:rsidRPr="00B4448E">
        <w:rPr>
          <w:rFonts w:ascii="Times New Roman" w:hAnsi="Times New Roman"/>
          <w:i/>
          <w:szCs w:val="18"/>
        </w:rPr>
        <w:t>a.</w:t>
      </w:r>
      <w:r w:rsidR="00485165" w:rsidRPr="00B4448E">
        <w:rPr>
          <w:rFonts w:ascii="Times New Roman" w:hAnsi="Times New Roman"/>
          <w:szCs w:val="18"/>
        </w:rPr>
        <w:t xml:space="preserve"> 599 mA</w:t>
      </w:r>
      <w:r w:rsidR="003373A2" w:rsidRPr="00B4448E">
        <w:rPr>
          <w:rFonts w:ascii="Times New Roman" w:hAnsi="Times New Roman"/>
          <w:szCs w:val="18"/>
        </w:rPr>
        <w:t xml:space="preserve"> </w:t>
      </w:r>
      <w:r w:rsidR="00485165" w:rsidRPr="00B4448E">
        <w:rPr>
          <w:rFonts w:ascii="Times New Roman" w:hAnsi="Times New Roman"/>
          <w:szCs w:val="18"/>
        </w:rPr>
        <w:t>h g</w:t>
      </w:r>
      <w:r w:rsidR="001828FA" w:rsidRPr="00B4448E">
        <w:rPr>
          <w:rFonts w:ascii="Symbol" w:hAnsi="Symbol"/>
          <w:szCs w:val="18"/>
          <w:vertAlign w:val="superscript"/>
        </w:rPr>
        <w:t></w:t>
      </w:r>
      <w:r w:rsidR="00485165" w:rsidRPr="00B4448E">
        <w:rPr>
          <w:rFonts w:ascii="Times New Roman" w:hAnsi="Times New Roman"/>
          <w:szCs w:val="18"/>
          <w:vertAlign w:val="superscript"/>
        </w:rPr>
        <w:t>1</w:t>
      </w:r>
      <w:r w:rsidR="00CB5E4E" w:rsidRPr="00B4448E">
        <w:rPr>
          <w:rFonts w:ascii="Times New Roman" w:hAnsi="Times New Roman"/>
          <w:szCs w:val="18"/>
        </w:rPr>
        <w:t xml:space="preserve">. </w:t>
      </w:r>
    </w:p>
    <w:p w14:paraId="59E60FA3" w14:textId="77777777" w:rsidR="002F19BC" w:rsidRPr="00B4448E" w:rsidRDefault="002F19BC" w:rsidP="002F19BC">
      <w:pPr>
        <w:pStyle w:val="BGKeywords"/>
        <w:spacing w:after="0" w:line="240" w:lineRule="auto"/>
        <w:jc w:val="center"/>
        <w:rPr>
          <w:color w:val="002060"/>
          <w:sz w:val="22"/>
          <w:szCs w:val="22"/>
          <w:lang w:val="en-CA"/>
        </w:rPr>
      </w:pPr>
      <w:r w:rsidRPr="00B4448E">
        <w:rPr>
          <w:noProof/>
          <w:color w:val="002060"/>
          <w:sz w:val="22"/>
          <w:szCs w:val="22"/>
          <w:lang w:val="en-GB" w:eastAsia="en-GB"/>
        </w:rPr>
        <w:drawing>
          <wp:inline distT="0" distB="0" distL="0" distR="0" wp14:anchorId="21092F0D" wp14:editId="785ED046">
            <wp:extent cx="5760000" cy="3409325"/>
            <wp:effectExtent l="0" t="0" r="0" b="635"/>
            <wp:docPr id="1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itive side D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409325"/>
                    </a:xfrm>
                    <a:prstGeom prst="rect">
                      <a:avLst/>
                    </a:prstGeom>
                  </pic:spPr>
                </pic:pic>
              </a:graphicData>
            </a:graphic>
          </wp:inline>
        </w:drawing>
      </w:r>
    </w:p>
    <w:p w14:paraId="69F2C1FE" w14:textId="6869035D" w:rsidR="002F19BC" w:rsidRPr="00B4448E" w:rsidRDefault="002F19BC" w:rsidP="002F19BC">
      <w:pPr>
        <w:pStyle w:val="BGKeywords"/>
        <w:spacing w:after="0"/>
        <w:rPr>
          <w:rFonts w:ascii="Times New Roman" w:hAnsi="Times New Roman"/>
          <w:szCs w:val="24"/>
          <w:lang w:val="en-CA"/>
        </w:rPr>
      </w:pPr>
      <w:r w:rsidRPr="00B4448E">
        <w:rPr>
          <w:rFonts w:ascii="Times New Roman" w:hAnsi="Times New Roman"/>
          <w:szCs w:val="24"/>
          <w:lang w:val="en-CA"/>
        </w:rPr>
        <w:t>Scheme I.</w:t>
      </w:r>
      <w:r w:rsidRPr="00B4448E">
        <w:rPr>
          <w:rFonts w:ascii="Times New Roman" w:hAnsi="Times New Roman"/>
          <w:sz w:val="28"/>
          <w:szCs w:val="22"/>
        </w:rPr>
        <w:t xml:space="preserve"> </w:t>
      </w:r>
      <w:r w:rsidRPr="00B4448E">
        <w:rPr>
          <w:rFonts w:ascii="Times New Roman" w:hAnsi="Times New Roman"/>
          <w:szCs w:val="24"/>
          <w:lang w:val="en-CA"/>
        </w:rPr>
        <w:t xml:space="preserve">The </w:t>
      </w:r>
      <w:r w:rsidRPr="00B4448E">
        <w:rPr>
          <w:rFonts w:ascii="Times New Roman" w:hAnsi="Times New Roman"/>
          <w:lang w:val="en-CA"/>
        </w:rPr>
        <w:t>oxidation of DB-1: Formation of a radical cation and divalent cation through the oxidation of the DB-1.</w:t>
      </w:r>
    </w:p>
    <w:p w14:paraId="6AE11CBC" w14:textId="77777777" w:rsidR="00EB36DA" w:rsidRPr="00B4448E" w:rsidRDefault="00EB36DA" w:rsidP="00562B41">
      <w:pPr>
        <w:pStyle w:val="BGKeywords"/>
        <w:spacing w:after="0" w:line="360" w:lineRule="auto"/>
        <w:rPr>
          <w:lang w:val="en-CA"/>
        </w:rPr>
      </w:pPr>
    </w:p>
    <w:p w14:paraId="2246D7F1" w14:textId="77777777" w:rsidR="00C202E2" w:rsidRPr="00B4448E" w:rsidRDefault="00C202E2" w:rsidP="00C202E2">
      <w:pPr>
        <w:pStyle w:val="BGKeywords"/>
        <w:spacing w:after="0" w:line="360" w:lineRule="auto"/>
        <w:jc w:val="center"/>
        <w:rPr>
          <w:rFonts w:ascii="Times New Roman" w:hAnsi="Times New Roman"/>
          <w:szCs w:val="18"/>
        </w:rPr>
      </w:pPr>
      <w:r w:rsidRPr="00B4448E">
        <w:rPr>
          <w:rFonts w:ascii="Times New Roman" w:hAnsi="Times New Roman"/>
          <w:noProof/>
          <w:szCs w:val="18"/>
          <w:lang w:val="en-GB" w:eastAsia="en-GB"/>
        </w:rPr>
        <w:drawing>
          <wp:inline distT="0" distB="0" distL="0" distR="0" wp14:anchorId="5E488AC0" wp14:editId="1FFFD73F">
            <wp:extent cx="5760000" cy="1514959"/>
            <wp:effectExtent l="0" t="0" r="0" b="9525"/>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me1.tif"/>
                    <pic:cNvPicPr/>
                  </pic:nvPicPr>
                  <pic:blipFill rotWithShape="1">
                    <a:blip r:embed="rId18">
                      <a:extLst>
                        <a:ext uri="{28A0092B-C50C-407E-A947-70E740481C1C}">
                          <a14:useLocalDpi xmlns:a14="http://schemas.microsoft.com/office/drawing/2010/main" val="0"/>
                        </a:ext>
                      </a:extLst>
                    </a:blip>
                    <a:srcRect l="20833" t="36468" r="20673" b="36182"/>
                    <a:stretch/>
                  </pic:blipFill>
                  <pic:spPr bwMode="auto">
                    <a:xfrm>
                      <a:off x="0" y="0"/>
                      <a:ext cx="5760000" cy="1514959"/>
                    </a:xfrm>
                    <a:prstGeom prst="rect">
                      <a:avLst/>
                    </a:prstGeom>
                    <a:ln>
                      <a:noFill/>
                    </a:ln>
                    <a:extLst>
                      <a:ext uri="{53640926-AAD7-44D8-BBD7-CCE9431645EC}">
                        <a14:shadowObscured xmlns:a14="http://schemas.microsoft.com/office/drawing/2010/main"/>
                      </a:ext>
                    </a:extLst>
                  </pic:spPr>
                </pic:pic>
              </a:graphicData>
            </a:graphic>
          </wp:inline>
        </w:drawing>
      </w:r>
    </w:p>
    <w:p w14:paraId="12D70787" w14:textId="63893F89" w:rsidR="00C202E2" w:rsidRPr="00B4448E" w:rsidRDefault="00C202E2" w:rsidP="00FE757D">
      <w:pPr>
        <w:pStyle w:val="BGKeywords"/>
        <w:spacing w:after="0"/>
        <w:rPr>
          <w:rFonts w:ascii="Times New Roman" w:hAnsi="Times New Roman"/>
          <w:lang w:val="en-CA"/>
        </w:rPr>
      </w:pPr>
      <w:r w:rsidRPr="00B4448E">
        <w:rPr>
          <w:rFonts w:ascii="Times New Roman" w:hAnsi="Times New Roman"/>
          <w:szCs w:val="24"/>
          <w:lang w:val="en-CA"/>
        </w:rPr>
        <w:t>Scheme I</w:t>
      </w:r>
      <w:r w:rsidR="002F19BC" w:rsidRPr="00B4448E">
        <w:rPr>
          <w:rFonts w:ascii="Times New Roman" w:hAnsi="Times New Roman"/>
          <w:szCs w:val="24"/>
          <w:lang w:val="en-CA"/>
        </w:rPr>
        <w:t>I</w:t>
      </w:r>
      <w:r w:rsidRPr="00B4448E">
        <w:rPr>
          <w:rFonts w:ascii="Times New Roman" w:hAnsi="Times New Roman"/>
          <w:szCs w:val="24"/>
          <w:lang w:val="en-CA"/>
        </w:rPr>
        <w:t xml:space="preserve">. The </w:t>
      </w:r>
      <w:r w:rsidRPr="00B4448E">
        <w:rPr>
          <w:rFonts w:ascii="Times New Roman" w:hAnsi="Times New Roman"/>
          <w:lang w:val="en-CA"/>
        </w:rPr>
        <w:t>reduction of DB-1: formation of a radical anion and divalent ani</w:t>
      </w:r>
      <w:r w:rsidR="00C1385D" w:rsidRPr="00B4448E">
        <w:rPr>
          <w:rFonts w:ascii="Times New Roman" w:hAnsi="Times New Roman"/>
          <w:lang w:val="en-CA"/>
        </w:rPr>
        <w:t xml:space="preserve">on through the reduction of </w:t>
      </w:r>
      <w:r w:rsidRPr="00B4448E">
        <w:rPr>
          <w:rFonts w:ascii="Times New Roman" w:hAnsi="Times New Roman"/>
          <w:lang w:val="en-CA"/>
        </w:rPr>
        <w:t>DB-1.</w:t>
      </w:r>
    </w:p>
    <w:p w14:paraId="1DC193FC" w14:textId="77777777" w:rsidR="00F12EBF" w:rsidRPr="00B4448E" w:rsidRDefault="00F12EBF" w:rsidP="00CC26E5">
      <w:pPr>
        <w:pStyle w:val="BGKeywords"/>
        <w:spacing w:after="0" w:line="360" w:lineRule="auto"/>
        <w:rPr>
          <w:rFonts w:ascii="Times New Roman" w:hAnsi="Times New Roman"/>
          <w:szCs w:val="18"/>
        </w:rPr>
      </w:pPr>
    </w:p>
    <w:p w14:paraId="48D91E98" w14:textId="01606D06" w:rsidR="00B42BBA" w:rsidRPr="00B4448E" w:rsidRDefault="000078E3" w:rsidP="00067B71">
      <w:pPr>
        <w:pStyle w:val="BGKeywords"/>
        <w:spacing w:after="0"/>
        <w:rPr>
          <w:rFonts w:ascii="Times New Roman" w:hAnsi="Times New Roman"/>
          <w:szCs w:val="18"/>
        </w:rPr>
      </w:pPr>
      <w:r w:rsidRPr="00B4448E">
        <w:rPr>
          <w:rFonts w:ascii="Times New Roman" w:hAnsi="Times New Roman"/>
          <w:szCs w:val="18"/>
        </w:rPr>
        <w:t>Since</w:t>
      </w:r>
      <w:r w:rsidR="007531D6" w:rsidRPr="00B4448E">
        <w:rPr>
          <w:rFonts w:ascii="Times New Roman" w:hAnsi="Times New Roman"/>
          <w:szCs w:val="18"/>
        </w:rPr>
        <w:t xml:space="preserve"> </w:t>
      </w:r>
      <w:r w:rsidRPr="00B4448E">
        <w:rPr>
          <w:rFonts w:ascii="Times New Roman" w:hAnsi="Times New Roman"/>
          <w:szCs w:val="18"/>
        </w:rPr>
        <w:t xml:space="preserve">metallic lithium has the </w:t>
      </w:r>
      <w:r w:rsidR="00F46B5F" w:rsidRPr="00B4448E">
        <w:rPr>
          <w:rFonts w:ascii="Times New Roman" w:hAnsi="Times New Roman"/>
          <w:szCs w:val="18"/>
        </w:rPr>
        <w:t xml:space="preserve">most negative electrode potential (−3.0 V </w:t>
      </w:r>
      <w:r w:rsidR="00F46B5F" w:rsidRPr="00B4448E">
        <w:rPr>
          <w:rFonts w:ascii="Times New Roman" w:hAnsi="Times New Roman"/>
          <w:i/>
          <w:szCs w:val="18"/>
        </w:rPr>
        <w:t>vs</w:t>
      </w:r>
      <w:r w:rsidR="00F46B5F" w:rsidRPr="00B4448E">
        <w:rPr>
          <w:rFonts w:ascii="Times New Roman" w:hAnsi="Times New Roman"/>
          <w:szCs w:val="18"/>
        </w:rPr>
        <w:t xml:space="preserve">. SHE) and the </w:t>
      </w:r>
      <w:r w:rsidRPr="00B4448E">
        <w:rPr>
          <w:rFonts w:ascii="Times New Roman" w:hAnsi="Times New Roman"/>
          <w:szCs w:val="18"/>
        </w:rPr>
        <w:t>highest specific capacity (</w:t>
      </w:r>
      <w:r w:rsidRPr="00B4448E">
        <w:rPr>
          <w:rFonts w:ascii="Times New Roman" w:hAnsi="Times New Roman"/>
          <w:i/>
          <w:szCs w:val="18"/>
        </w:rPr>
        <w:t>ca.</w:t>
      </w:r>
      <w:r w:rsidRPr="00B4448E">
        <w:rPr>
          <w:rFonts w:ascii="Times New Roman" w:hAnsi="Times New Roman"/>
          <w:szCs w:val="18"/>
        </w:rPr>
        <w:t xml:space="preserve"> 3,842 mA</w:t>
      </w:r>
      <w:r w:rsidR="009E3422" w:rsidRPr="00B4448E">
        <w:rPr>
          <w:rFonts w:ascii="Times New Roman" w:hAnsi="Times New Roman"/>
          <w:szCs w:val="18"/>
        </w:rPr>
        <w:t xml:space="preserve"> </w:t>
      </w:r>
      <w:r w:rsidRPr="00B4448E">
        <w:rPr>
          <w:rFonts w:ascii="Times New Roman" w:hAnsi="Times New Roman"/>
          <w:szCs w:val="18"/>
        </w:rPr>
        <w:t>h g</w:t>
      </w:r>
      <w:r w:rsidRPr="00B4448E">
        <w:rPr>
          <w:rFonts w:ascii="Symbol" w:hAnsi="Symbol"/>
          <w:szCs w:val="18"/>
          <w:vertAlign w:val="superscript"/>
        </w:rPr>
        <w:t></w:t>
      </w:r>
      <w:r w:rsidRPr="00B4448E">
        <w:rPr>
          <w:rFonts w:ascii="Times New Roman" w:hAnsi="Times New Roman"/>
          <w:szCs w:val="18"/>
          <w:vertAlign w:val="superscript"/>
        </w:rPr>
        <w:t>1</w:t>
      </w:r>
      <w:r w:rsidR="002940E1" w:rsidRPr="00B4448E">
        <w:rPr>
          <w:rFonts w:ascii="Times New Roman" w:hAnsi="Times New Roman"/>
          <w:szCs w:val="18"/>
        </w:rPr>
        <w:t>)</w:t>
      </w:r>
      <w:r w:rsidRPr="00B4448E">
        <w:rPr>
          <w:rFonts w:ascii="Times New Roman" w:hAnsi="Times New Roman"/>
          <w:szCs w:val="18"/>
        </w:rPr>
        <w:t xml:space="preserve">, </w:t>
      </w:r>
      <w:r w:rsidR="005A6110" w:rsidRPr="00B4448E">
        <w:rPr>
          <w:rFonts w:ascii="Times New Roman" w:hAnsi="Times New Roman"/>
          <w:szCs w:val="18"/>
        </w:rPr>
        <w:t xml:space="preserve">it would be advantageous to combine </w:t>
      </w:r>
      <w:r w:rsidR="005D51EA" w:rsidRPr="00B4448E">
        <w:rPr>
          <w:rFonts w:ascii="Times New Roman" w:hAnsi="Times New Roman"/>
          <w:szCs w:val="18"/>
        </w:rPr>
        <w:t>these</w:t>
      </w:r>
      <w:r w:rsidR="005A6110" w:rsidRPr="00B4448E">
        <w:rPr>
          <w:rFonts w:ascii="Times New Roman" w:hAnsi="Times New Roman"/>
          <w:szCs w:val="18"/>
        </w:rPr>
        <w:t xml:space="preserve"> high-energy </w:t>
      </w:r>
      <w:r w:rsidR="00F46B5F" w:rsidRPr="00B4448E">
        <w:rPr>
          <w:rFonts w:ascii="Times New Roman" w:hAnsi="Times New Roman"/>
          <w:szCs w:val="18"/>
        </w:rPr>
        <w:t xml:space="preserve">electrode reactions together </w:t>
      </w:r>
      <w:r w:rsidR="003E571B" w:rsidRPr="00B4448E">
        <w:rPr>
          <w:rFonts w:ascii="Times New Roman" w:hAnsi="Times New Roman"/>
          <w:szCs w:val="18"/>
        </w:rPr>
        <w:t xml:space="preserve">to form a lithium-organic </w:t>
      </w:r>
      <w:r w:rsidR="00F46B5F" w:rsidRPr="00B4448E">
        <w:rPr>
          <w:rFonts w:ascii="Times New Roman" w:hAnsi="Times New Roman"/>
          <w:szCs w:val="18"/>
        </w:rPr>
        <w:t>hybrid flow battery</w:t>
      </w:r>
      <w:r w:rsidR="001643F4" w:rsidRPr="00B4448E">
        <w:rPr>
          <w:rFonts w:ascii="Times New Roman" w:hAnsi="Times New Roman"/>
          <w:szCs w:val="18"/>
        </w:rPr>
        <w:t xml:space="preserve">. </w:t>
      </w:r>
      <w:r w:rsidR="00D5048F" w:rsidRPr="00B4448E">
        <w:rPr>
          <w:rFonts w:ascii="Times New Roman" w:hAnsi="Times New Roman"/>
          <w:szCs w:val="18"/>
        </w:rPr>
        <w:t>This battery concept</w:t>
      </w:r>
      <w:r w:rsidR="001643F4" w:rsidRPr="00B4448E">
        <w:rPr>
          <w:rFonts w:ascii="Times New Roman" w:hAnsi="Times New Roman"/>
          <w:szCs w:val="18"/>
        </w:rPr>
        <w:t xml:space="preserve"> take</w:t>
      </w:r>
      <w:r w:rsidR="00D5048F" w:rsidRPr="00B4448E">
        <w:rPr>
          <w:rFonts w:ascii="Times New Roman" w:hAnsi="Times New Roman"/>
          <w:szCs w:val="18"/>
        </w:rPr>
        <w:t>s</w:t>
      </w:r>
      <w:r w:rsidR="001643F4" w:rsidRPr="00B4448E">
        <w:rPr>
          <w:rFonts w:ascii="Times New Roman" w:hAnsi="Times New Roman"/>
          <w:szCs w:val="18"/>
        </w:rPr>
        <w:t xml:space="preserve"> </w:t>
      </w:r>
      <w:r w:rsidR="001643F4" w:rsidRPr="00B4448E">
        <w:rPr>
          <w:rFonts w:ascii="Times New Roman" w:hAnsi="Times New Roman"/>
        </w:rPr>
        <w:t xml:space="preserve">advantage of </w:t>
      </w:r>
      <w:r w:rsidR="001643F4" w:rsidRPr="00B4448E">
        <w:rPr>
          <w:rFonts w:ascii="Times New Roman" w:hAnsi="Times New Roman"/>
          <w:lang w:val="en-GB"/>
        </w:rPr>
        <w:t xml:space="preserve">the scale-up characteristics of RFBs and </w:t>
      </w:r>
      <w:r w:rsidR="005D51EA" w:rsidRPr="00B4448E">
        <w:rPr>
          <w:rFonts w:ascii="Times New Roman" w:hAnsi="Times New Roman"/>
          <w:lang w:val="en-GB"/>
        </w:rPr>
        <w:t xml:space="preserve">the </w:t>
      </w:r>
      <w:r w:rsidR="001643F4" w:rsidRPr="00B4448E">
        <w:rPr>
          <w:rFonts w:ascii="Times New Roman" w:hAnsi="Times New Roman"/>
          <w:lang w:val="en-GB"/>
        </w:rPr>
        <w:t xml:space="preserve">high energy density of Li-ion batteries </w:t>
      </w:r>
      <w:r w:rsidR="001643F4" w:rsidRPr="00B4448E">
        <w:rPr>
          <w:rFonts w:ascii="Times New Roman" w:hAnsi="Times New Roman"/>
        </w:rPr>
        <w:fldChar w:fldCharType="begin" w:fldLock="1"/>
      </w:r>
      <w:r w:rsidR="00D75310" w:rsidRPr="00B4448E">
        <w:rPr>
          <w:rFonts w:ascii="Times New Roman" w:hAnsi="Times New Roman"/>
        </w:rPr>
        <w:instrText>ADDIN CSL_CITATION {"citationItems":[{"id":"ITEM-1","itemData":{"DOI":"10.1021/acsenergylett.8b01257","ISSN":"2380-8195","author":[{"dropping-particle":"","family":"Chen","given":"Hongning","non-dropping-particle":"","parse-names":false,"suffix":""},{"dropping-particle":"","family":"Zhou","given":"Yucun","non-dropping-particle":"","parse-names":false,"suffix":""},{"dropping-particle":"","family":"Lu","given":"Yi-chun","non-dropping-particle":"","parse-names":false,"suffix":""}],"container-title":"ACS Energy Letters","genre":"rapid-communication","id":"ITEM-1","issued":{"date-parts":[["2018"]]},"page":"1991-1997","publisher":"American Chemical Society","title":"Lithium − Organic Nanocomposite Suspension for High-Energy-Density Redox Flow Batteries","type":"article-journal","volume":"3"},"uris":["http://www.mendeley.com/documents/?uuid=496e0618-32b3-41e3-9264-47eebfd8b33e"]},{"id":"ITEM-2","itemData":{"DOI":"10.1039/c5ee03764f","author":[{"dropping-particle":"","family":"Huang","given":"Qizhao","non-dropping-particle":"","parse-names":false,"suffix":""},{"dropping-particle":"","family":"Yang","given":"Jing","non-dropping-particle":"","parse-names":false,"suffix":""},{"dropping-particle":"","family":"Ng","given":"Chee Boon","non-dropping-particle":"","parse-names":false,"suffix":""},{"dropping-particle":"","family":"Jia","given":"Chuankun","non-dropping-particle":"","parse-names":false,"suffix":""},{"dropping-particle":"","family":"Wang","given":"Qing","non-dropping-particle":"","parse-names":false,"suffix":""}],"container-title":"Energy Environ. Sci.","id":"ITEM-2","issued":{"date-parts":[["2016"]]},"page":"917-921","publisher":"Royal Society of Chemistry","title":"A redox flow lithium battery based on the redox targeting reactions between LiFePO4 and iodide","type":"article-journal","volume":"9"},"uris":["http://www.mendeley.com/documents/?uuid=4a7020b5-8ad6-48c5-bf66-fa13181cbf9a"]},{"id":"ITEM-3","itemData":{"DOI":"10.1039/c8ta04720k","author":[{"dropping-particle":"","family":"Shin","given":"Dong-seon","non-dropping-particle":"","parse-names":false,"suffix":""},{"dropping-particle":"","family":"Park","given":"Minjoon","non-dropping-particle":"","parse-names":false,"suffix":""},{"dropping-particle":"","family":"Ryu","given":"Jaechan","non-dropping-particle":"","parse-names":false,"suffix":""},{"dropping-particle":"","family":"Hwang","given":"Inchan","non-dropping-particle":"","parse-names":false,"suffix":""},{"dropping-particle":"","family":"Seo","given":"Jeong Kon","non-dropping-particle":"","parse-names":false,"suffix":""},{"dropping-particle":"","family":"Seo","given":"Kwanyong","non-dropping-particle":"","parse-names":false,"suffix":""},{"dropping-particle":"","family":"Cho","given":"Jaephil","non-dropping-particle":"","parse-names":false,"suffix":""},{"dropping-particle":"","family":"Hong","given":"Sung You","non-dropping-particle":"","parse-names":false,"suffix":""}],"container-title":"J. Mater. Chem. A","id":"ITEM-3","issued":{"date-parts":[["2018"]]},"page":"14761-14768","publisher":"Royal Society of Chemistry","title":"Nonaqueous arylated quinone catholytes for lithium – organic flow batteries","type":"article-journal","volume":"6"},"uris":["http://www.mendeley.com/documents/?uuid=09667aff-d6d9-4a83-a514-f26ca6519b81"]},{"id":"ITEM-4","itemData":{"DOI":"10.1038/srep32102","author":[{"dropping-particle":"","family":"Huang","given":"Jinhua","non-dropping-particle":"","parse-names":false,"suffix":""},{"dropping-particle":"","family":"Pan","given":"Baofei","non-dropping-particle":"","parse-names":false,"suffix":""},{"dropping-particle":"","family":"Duan","given":"Wentao","non-dropping-particle":"","parse-names":false,"suffix":""},{"dropping-particle":"","family":"Wei","given":"Xiaoliang","non-dropping-particle":"","parse-names":false,"suffix":""},{"dropping-particle":"","family":"Assary","given":"Rajeev S","non-dropping-particle":"","parse-names":false,"suffix":""},{"dropping-particle":"","family":"Su","given":"Liang","non-dropping-particle":"","parse-names":false,"suffix":""},{"dropping-particle":"","family":"Brushett","given":"Fikile R","non-dropping-particle":"","parse-names":false,"suffix":""},{"dropping-particle":"","family":"Cheng","given":"Lei","non-dropping-particle":"","parse-names":false,"suffix":""},{"dropping-particle":"","family":"Liao","given":"Chen","non-dropping-particle":"","parse-names":false,"suffix":""},{"dropping-particle":"","family":"Ferrandon","given":"Magali S","non-dropping-particle":"","parse-names":false,"suffix":""},{"dropping-particle":"","family":"Wang","given":"Wei","non-dropping-particle":"","parse-names":false,"suffix":""},{"dropping-particle":"","family":"Zhang","given":"Zhengcheng","non-dropping-particle":"","parse-names":false,"suffix":""},{"dropping-particle":"","family":"Burrell","given":"Anthony K","non-dropping-particle":"","parse-names":false,"suffix":""},{"dropping-particle":"","family":"Curtiss","given":"Larry A","non-dropping-particle":"","parse-names":false,"suffix":""},{"dropping-particle":"","family":"Shkrob","given":"Ilya A","non-dropping-particle":"","parse-names":false,"suffix":""},{"dropping-particle":"","family":"Moore","given":"Jeffrey S","non-dropping-particle":"","parse-names":false,"suffix":""},{"dropping-particle":"","family":"Zhang","given":"Lu","non-dropping-particle":"","parse-names":false,"suffix":""}],"container-title":"Nature Group Publication","id":"ITEM-4","issue":"32102","issued":{"date-parts":[["2016"]]},"page":"1-9","publisher":"Nature Publishing Group","title":"The lightest organic radical cation for charge storage in redox flow batteries","type":"article-journal","volume":"6"},"uris":["http://www.mendeley.com/documents/?uuid=99e21189-26e4-4811-b302-74dd31d766fa"]},{"id":"ITEM-5","itemData":{"DOI":"10.1002/adma.201403746","ISSN":"15214095","abstract":"(Figure Presented) A TEMPO-based non-aqueous electrolyte with the TEMPO concentration as high as 2.0 m is demonstrated as a high-energy-density catholyte for redox flow battery applications. With a hybrid anode, Li|TEMPO flow cells using this electrolyte deliver an energy efficiency of ca. 70% and an impressively high energy density of 126 W h L-1.","author":[{"dropping-particle":"","family":"Wei","given":"Xiaoliang","non-dropping-particle":"","parse-names":false,"suffix":""},{"dropping-particle":"","family":"Xu","given":"Wu","non-dropping-particle":"","parse-names":false,"suffix":""},{"dropping-particle":"","family":"Vijayakumar","given":"Murugesan","non-dropping-particle":"","parse-names":false,"suffix":""},{"dropping-particle":"","family":"Cosimbescu","given":"Lelia","non-dropping-particle":"","parse-names":false,"suffix":""},{"dropping-particle":"","family":"Liu","given":"Tianbiao","non-dropping-particle":"","parse-names":false,"suffix":""},{"dropping-particle":"","family":"Sprenkle","given":"Vincent","non-dropping-particle":"","parse-names":false,"suffix":""},{"dropping-particle":"","family":"Wang","given":"Wei","non-dropping-particle":"","parse-names":false,"suffix":""}],"container-title":"Advanced Materials","id":"ITEM-5","issue":"45","issued":{"date-parts":[["2014"]]},"page":"7649-7653","title":"TEMPO-based catholyte for high-energy density nonaqueous redox flow batteries","type":"article-journal","volume":"26"},"uris":["http://www.mendeley.com/documents/?uuid=e33ec577-1cd4-4d35-a405-3ecb4b206ab4"]}],"mendeley":{"formattedCitation":"[32,48–51]","plainTextFormattedCitation":"[32,48–51]","previouslyFormattedCitation":"[32,47–50]"},"properties":{"noteIndex":0},"schema":"https://github.com/citation-style-language/schema/raw/master/csl-citation.json"}</w:instrText>
      </w:r>
      <w:r w:rsidR="001643F4" w:rsidRPr="00B4448E">
        <w:rPr>
          <w:rFonts w:ascii="Times New Roman" w:hAnsi="Times New Roman"/>
        </w:rPr>
        <w:fldChar w:fldCharType="separate"/>
      </w:r>
      <w:r w:rsidR="00D75310" w:rsidRPr="00B4448E">
        <w:rPr>
          <w:rFonts w:ascii="Times New Roman" w:hAnsi="Times New Roman"/>
          <w:noProof/>
        </w:rPr>
        <w:t>[32,48–51]</w:t>
      </w:r>
      <w:r w:rsidR="001643F4" w:rsidRPr="00B4448E">
        <w:rPr>
          <w:rFonts w:ascii="Times New Roman" w:hAnsi="Times New Roman"/>
        </w:rPr>
        <w:fldChar w:fldCharType="end"/>
      </w:r>
      <w:r w:rsidR="001643F4" w:rsidRPr="00B4448E">
        <w:rPr>
          <w:rFonts w:ascii="Times New Roman" w:hAnsi="Times New Roman"/>
          <w:vertAlign w:val="superscript"/>
        </w:rPr>
        <w:t>,</w:t>
      </w:r>
      <w:r w:rsidR="001643F4" w:rsidRPr="00B4448E">
        <w:rPr>
          <w:rFonts w:ascii="Times New Roman" w:hAnsi="Times New Roman"/>
        </w:rPr>
        <w:fldChar w:fldCharType="begin" w:fldLock="1"/>
      </w:r>
      <w:r w:rsidR="00D75310" w:rsidRPr="00B4448E">
        <w:rPr>
          <w:rFonts w:ascii="Times New Roman" w:hAnsi="Times New Roman"/>
        </w:rPr>
        <w:instrText>ADDIN CSL_CITATION {"citationItems":[{"id":"ITEM-1","itemData":{"DOI":"10.1021/acsenergylett.7b00115","ISSN":"23808195","abstract":"Nonaqueous redox flow batteries (NRFBs) exhibit a wide potential window (&gt;3.0 V) but have been limited by the low solubility of the active materials. Here, we propose and demonstrate a high-energy-density nonaqueous redox flow battery based on a lowmelting- point (37-40 °C) ferrocene derivative, 1,1-dimethylferrocene (DMFc), operated at its liquid state. The liquid redox-active DMFc not only contributes to high capacity but also acts as a solvating medium to the ion-conducting salts. Taking advantage of DMFc's high concentration (3 M), superior stability, and fast kinetics, the lithium/DMFc battery achieves a high volumetric density (~68 Ah L-1 catholyte) with a high Coulombic efficiency (&gt;95%) and high cycling stability. Our work demonstrates that exploiting a low-meltingpoint redox-active species at its melting state is a promising direction for developing high-energy-density NRFBs for next-generation energy storage technologies.","author":[{"dropping-particle":"","family":"Cong","given":"Guangtao","non-dropping-particle":"","parse-names":false,"suffix":""},{"dropping-particle":"","family":"Zhou","given":"Yucun","non-dropping-particle":"","parse-names":false,"suffix":""},{"dropping-particle":"","family":"Li","given":"Zhejun","non-dropping-particle":"","parse-names":false,"suffix":""},{"dropping-particle":"","family":"Lu","given":"Yi Chun","non-dropping-particle":"","parse-names":false,"suffix":""}],"container-title":"ACS Energy Letters","id":"ITEM-1","issue":"4","issued":{"date-parts":[["2017"]]},"page":"869-875","title":"A highly concentrated catholyte enabled by a low-melting-point ferrocene derivative","type":"article-journal","volume":"2"},"uris":["http://www.mendeley.com/documents/?uuid=1f1a1995-9cad-4d25-b0dd-c4f0925744c3"]}],"mendeley":{"formattedCitation":"[52]","plainTextFormattedCitation":"[52]","previouslyFormattedCitation":"[51]"},"properties":{"noteIndex":0},"schema":"https://github.com/citation-style-language/schema/raw/master/csl-citation.json"}</w:instrText>
      </w:r>
      <w:r w:rsidR="001643F4" w:rsidRPr="00B4448E">
        <w:rPr>
          <w:rFonts w:ascii="Times New Roman" w:hAnsi="Times New Roman"/>
        </w:rPr>
        <w:fldChar w:fldCharType="separate"/>
      </w:r>
      <w:r w:rsidR="00D75310" w:rsidRPr="00B4448E">
        <w:rPr>
          <w:rFonts w:ascii="Times New Roman" w:hAnsi="Times New Roman"/>
          <w:noProof/>
        </w:rPr>
        <w:t>[52]</w:t>
      </w:r>
      <w:r w:rsidR="001643F4" w:rsidRPr="00B4448E">
        <w:rPr>
          <w:rFonts w:ascii="Times New Roman" w:hAnsi="Times New Roman"/>
        </w:rPr>
        <w:fldChar w:fldCharType="end"/>
      </w:r>
      <w:r w:rsidR="00D10E53" w:rsidRPr="00B4448E">
        <w:rPr>
          <w:rFonts w:ascii="Times New Roman" w:hAnsi="Times New Roman"/>
        </w:rPr>
        <w:t>.</w:t>
      </w:r>
      <w:r w:rsidR="001643F4" w:rsidRPr="00B4448E">
        <w:rPr>
          <w:rFonts w:ascii="Times New Roman" w:hAnsi="Times New Roman"/>
          <w:szCs w:val="18"/>
        </w:rPr>
        <w:t xml:space="preserve"> </w:t>
      </w:r>
      <w:r w:rsidR="00CC26E5" w:rsidRPr="00B4448E">
        <w:rPr>
          <w:rFonts w:ascii="Times New Roman" w:hAnsi="Times New Roman"/>
          <w:szCs w:val="18"/>
        </w:rPr>
        <w:t xml:space="preserve">In reported </w:t>
      </w:r>
      <w:r w:rsidR="001643F4" w:rsidRPr="00B4448E">
        <w:rPr>
          <w:rFonts w:ascii="Times New Roman" w:hAnsi="Times New Roman"/>
          <w:szCs w:val="18"/>
        </w:rPr>
        <w:t xml:space="preserve">hybrid </w:t>
      </w:r>
      <w:r w:rsidR="00CC26E5" w:rsidRPr="00B4448E">
        <w:rPr>
          <w:rFonts w:ascii="Times New Roman" w:hAnsi="Times New Roman"/>
          <w:szCs w:val="18"/>
        </w:rPr>
        <w:t>system</w:t>
      </w:r>
      <w:r w:rsidR="001643F4" w:rsidRPr="00B4448E">
        <w:rPr>
          <w:rFonts w:ascii="Times New Roman" w:hAnsi="Times New Roman"/>
          <w:szCs w:val="18"/>
        </w:rPr>
        <w:t>s</w:t>
      </w:r>
      <w:r w:rsidR="00D5048F" w:rsidRPr="00B4448E">
        <w:rPr>
          <w:rFonts w:ascii="Times New Roman" w:hAnsi="Times New Roman"/>
          <w:szCs w:val="18"/>
        </w:rPr>
        <w:t xml:space="preserve"> of this type</w:t>
      </w:r>
      <w:r w:rsidR="00CC26E5" w:rsidRPr="00B4448E">
        <w:rPr>
          <w:rFonts w:ascii="Times New Roman" w:hAnsi="Times New Roman"/>
          <w:szCs w:val="18"/>
        </w:rPr>
        <w:t xml:space="preserve">, </w:t>
      </w:r>
      <w:r w:rsidR="001643F4" w:rsidRPr="00B4448E">
        <w:rPr>
          <w:rFonts w:ascii="Times New Roman" w:hAnsi="Times New Roman"/>
          <w:szCs w:val="18"/>
        </w:rPr>
        <w:t xml:space="preserve">excess lithium metal </w:t>
      </w:r>
      <w:r w:rsidR="00D5048F" w:rsidRPr="00B4448E">
        <w:rPr>
          <w:rFonts w:ascii="Times New Roman" w:hAnsi="Times New Roman"/>
          <w:szCs w:val="18"/>
        </w:rPr>
        <w:t xml:space="preserve">was </w:t>
      </w:r>
      <w:r w:rsidR="001643F4" w:rsidRPr="00B4448E">
        <w:rPr>
          <w:rFonts w:ascii="Times New Roman" w:hAnsi="Times New Roman"/>
          <w:szCs w:val="18"/>
        </w:rPr>
        <w:t>often used and underwent lithium electrodeposition-dissolution, while liquid phase</w:t>
      </w:r>
      <w:r w:rsidR="00BF7F23" w:rsidRPr="00B4448E">
        <w:rPr>
          <w:rFonts w:ascii="Times New Roman" w:hAnsi="Times New Roman"/>
          <w:szCs w:val="18"/>
        </w:rPr>
        <w:t xml:space="preserve"> </w:t>
      </w:r>
      <w:r w:rsidR="008623EA" w:rsidRPr="00B4448E">
        <w:rPr>
          <w:rFonts w:ascii="Times New Roman" w:hAnsi="Times New Roman"/>
          <w:szCs w:val="18"/>
        </w:rPr>
        <w:t xml:space="preserve">(or sometimes semi-solid) </w:t>
      </w:r>
      <w:r w:rsidR="00BF7F23" w:rsidRPr="00B4448E">
        <w:rPr>
          <w:rFonts w:ascii="Times New Roman" w:hAnsi="Times New Roman"/>
          <w:szCs w:val="18"/>
        </w:rPr>
        <w:t>active</w:t>
      </w:r>
      <w:r w:rsidR="001643F4" w:rsidRPr="00B4448E">
        <w:rPr>
          <w:rFonts w:ascii="Times New Roman" w:hAnsi="Times New Roman"/>
          <w:szCs w:val="18"/>
        </w:rPr>
        <w:t xml:space="preserve"> </w:t>
      </w:r>
      <w:r w:rsidR="00B42BBA" w:rsidRPr="00B4448E">
        <w:rPr>
          <w:rFonts w:ascii="Times New Roman" w:hAnsi="Times New Roman"/>
          <w:szCs w:val="18"/>
        </w:rPr>
        <w:t>electrolytes</w:t>
      </w:r>
      <w:r w:rsidR="001643F4" w:rsidRPr="00B4448E">
        <w:rPr>
          <w:rFonts w:ascii="Times New Roman" w:hAnsi="Times New Roman"/>
          <w:szCs w:val="18"/>
        </w:rPr>
        <w:t xml:space="preserve"> based on organic species were used as the positive elec</w:t>
      </w:r>
      <w:r w:rsidR="00B42BBA" w:rsidRPr="00B4448E">
        <w:rPr>
          <w:rFonts w:ascii="Times New Roman" w:hAnsi="Times New Roman"/>
          <w:szCs w:val="18"/>
        </w:rPr>
        <w:t>trode reactions</w:t>
      </w:r>
      <w:r w:rsidR="002F23E8" w:rsidRPr="00B4448E">
        <w:rPr>
          <w:rFonts w:ascii="Times New Roman" w:hAnsi="Times New Roman"/>
          <w:szCs w:val="18"/>
        </w:rPr>
        <w:t xml:space="preserve"> </w:t>
      </w:r>
      <w:r w:rsidR="002F23E8" w:rsidRPr="00B4448E">
        <w:rPr>
          <w:rFonts w:ascii="Times New Roman" w:hAnsi="Times New Roman"/>
          <w:szCs w:val="18"/>
        </w:rPr>
        <w:fldChar w:fldCharType="begin" w:fldLock="1"/>
      </w:r>
      <w:r w:rsidR="00D75310" w:rsidRPr="00B4448E">
        <w:rPr>
          <w:rFonts w:ascii="Times New Roman" w:hAnsi="Times New Roman"/>
          <w:szCs w:val="18"/>
        </w:rPr>
        <w:instrText>ADDIN CSL_CITATION {"citationItems":[{"id":"ITEM-1","itemData":{"DOI":"10.1021/acsenergylett.8b01257","ISSN":"2380-8195","author":[{"dropping-particle":"","family":"Chen","given":"Hongning","non-dropping-particle":"","parse-names":false,"suffix":""},{"dropping-particle":"","family":"Zhou","given":"Yucun","non-dropping-particle":"","parse-names":false,"suffix":""},{"dropping-particle":"","family":"Lu","given":"Yi-chun","non-dropping-particle":"","parse-names":false,"suffix":""}],"container-title":"ACS Energy Letters","genre":"rapid-communication","id":"ITEM-1","issued":{"date-parts":[["2018"]]},"page":"1991-1997","publisher":"American Chemical Society","title":"Lithium − Organic Nanocomposite Suspension for High-Energy-Density Redox Flow Batteries","type":"article-journal","volume":"3"},"uris":["http://www.mendeley.com/documents/?uuid=496e0618-32b3-41e3-9264-47eebfd8b33e"]},{"id":"ITEM-2","itemData":{"DOI":"10.1039/c8ta04720k","author":[{"dropping-particle":"","family":"Shin","given":"Dong-seon","non-dropping-particle":"","parse-names":false,"suffix":""},{"dropping-particle":"","family":"Park","given":"Minjoon","non-dropping-particle":"","parse-names":false,"suffix":""},{"dropping-particle":"","family":"Ryu","given":"Jaechan","non-dropping-particle":"","parse-names":false,"suffix":""},{"dropping-particle":"","family":"Hwang","given":"Inchan","non-dropping-particle":"","parse-names":false,"suffix":""},{"dropping-particle":"","family":"Seo","given":"Jeong Kon","non-dropping-particle":"","parse-names":false,"suffix":""},{"dropping-particle":"","family":"Seo","given":"Kwanyong","non-dropping-particle":"","parse-names":false,"suffix":""},{"dropping-particle":"","family":"Cho","given":"Jaephil","non-dropping-particle":"","parse-names":false,"suffix":""},{"dropping-particle":"","family":"Hong","given":"Sung You","non-dropping-particle":"","parse-names":false,"suffix":""}],"container-title":"J. Mater. Chem. A","id":"ITEM-2","issued":{"date-parts":[["2018"]]},"page":"14761-14768","publisher":"Royal Society of Chemistry","title":"Nonaqueous arylated quinone catholytes for lithium – organic flow batteries","type":"article-journal","volume":"6"},"uris":["http://www.mendeley.com/documents/?uuid=09667aff-d6d9-4a83-a514-f26ca6519b81"]},{"id":"ITEM-3","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-3","issue":"5","issued":{"date-parts":[["2016"]]},"page":"790-801","publisher":"Elsevier Inc.","title":"Exploring Bio-inspired Quinone-Based Organic Redox Flow Batteries : A Combined Experimental and Computational Study","type":"article-journal","volume":"1"},"uris":["http://www.mendeley.com/documents/?uuid=bb4f639b-539b-4605-b575-1e1c574d0113"]},{"id":"ITEM-4","itemData":{"DOI":"10.1002/adma.201403746","ISSN":"15214095","abstract":"(Figure Presented) A TEMPO-based non-aqueous electrolyte with the TEMPO concentration as high as 2.0 m is demonstrated as a high-energy-density catholyte for redox flow battery applications. With a hybrid anode, Li|TEMPO flow cells using this electrolyte deliver an energy efficiency of ca. 70% and an impressively high energy density of 126 W h L-1.","author":[{"dropping-particle":"","family":"Wei","given":"Xiaoliang","non-dropping-particle":"","parse-names":false,"suffix":""},{"dropping-particle":"","family":"Xu","given":"Wu","non-dropping-particle":"","parse-names":false,"suffix":""},{"dropping-particle":"","family":"Vijayakumar","given":"Murugesan","non-dropping-particle":"","parse-names":false,"suffix":""},{"dropping-particle":"","family":"Cosimbescu","given":"Lelia","non-dropping-particle":"","parse-names":false,"suffix":""},{"dropping-particle":"","family":"Liu","given":"Tianbiao","non-dropping-particle":"","parse-names":false,"suffix":""},{"dropping-particle":"","family":"Sprenkle","given":"Vincent","non-dropping-particle":"","parse-names":false,"suffix":""},{"dropping-particle":"","family":"Wang","given":"Wei","non-dropping-particle":"","parse-names":false,"suffix":""}],"container-title":"Advanced Materials","id":"ITEM-4","issue":"45","issued":{"date-parts":[["2014"]]},"page":"7649-7653","title":"TEMPO-based catholyte for high-energy density nonaqueous redox flow batteries","type":"article-journal","volume":"26"},"uris":["http://www.mendeley.com/documents/?uuid=e33ec577-1cd4-4d35-a405-3ecb4b206ab4"]}],"mendeley":{"formattedCitation":"[32,40,48,51]","plainTextFormattedCitation":"[32,40,48,51]","previouslyFormattedCitation":"[32,40,47,50]"},"properties":{"noteIndex":0},"schema":"https://github.com/citation-style-language/schema/raw/master/csl-citation.json"}</w:instrText>
      </w:r>
      <w:r w:rsidR="002F23E8" w:rsidRPr="00B4448E">
        <w:rPr>
          <w:rFonts w:ascii="Times New Roman" w:hAnsi="Times New Roman"/>
          <w:szCs w:val="18"/>
        </w:rPr>
        <w:fldChar w:fldCharType="separate"/>
      </w:r>
      <w:r w:rsidR="00D75310" w:rsidRPr="00B4448E">
        <w:rPr>
          <w:rFonts w:ascii="Times New Roman" w:hAnsi="Times New Roman"/>
          <w:noProof/>
          <w:szCs w:val="18"/>
        </w:rPr>
        <w:t>[32,40,48,51]</w:t>
      </w:r>
      <w:r w:rsidR="002F23E8" w:rsidRPr="00B4448E">
        <w:rPr>
          <w:rFonts w:ascii="Times New Roman" w:hAnsi="Times New Roman"/>
          <w:szCs w:val="18"/>
        </w:rPr>
        <w:fldChar w:fldCharType="end"/>
      </w:r>
      <w:r w:rsidR="00013318" w:rsidRPr="00B4448E">
        <w:rPr>
          <w:rFonts w:ascii="Times New Roman" w:hAnsi="Times New Roman"/>
          <w:szCs w:val="18"/>
        </w:rPr>
        <w:t>.</w:t>
      </w:r>
      <w:r w:rsidR="00B42BBA" w:rsidRPr="00B4448E">
        <w:rPr>
          <w:rFonts w:ascii="Times New Roman" w:hAnsi="Times New Roman"/>
          <w:szCs w:val="18"/>
        </w:rPr>
        <w:t xml:space="preserve"> </w:t>
      </w:r>
    </w:p>
    <w:p w14:paraId="1BFCB549" w14:textId="12E70625" w:rsidR="00B42BBA" w:rsidRPr="00B4448E" w:rsidRDefault="00B42BBA" w:rsidP="00067B71">
      <w:pPr>
        <w:pStyle w:val="BGKeywords"/>
        <w:spacing w:after="0"/>
        <w:rPr>
          <w:rFonts w:ascii="Times New Roman" w:hAnsi="Times New Roman"/>
          <w:szCs w:val="18"/>
        </w:rPr>
      </w:pPr>
    </w:p>
    <w:p w14:paraId="2B62237F" w14:textId="5A601C33" w:rsidR="0027666E" w:rsidRPr="00B4448E" w:rsidRDefault="00B42BBA" w:rsidP="00067B71">
      <w:pPr>
        <w:pStyle w:val="BGKeywords"/>
        <w:spacing w:after="0"/>
        <w:rPr>
          <w:rFonts w:ascii="Times New Roman" w:hAnsi="Times New Roman"/>
          <w:szCs w:val="24"/>
          <w:lang w:val="en-CA"/>
        </w:rPr>
      </w:pPr>
      <w:r w:rsidRPr="00B4448E">
        <w:rPr>
          <w:rFonts w:ascii="Times New Roman" w:hAnsi="Times New Roman"/>
          <w:szCs w:val="18"/>
        </w:rPr>
        <w:t>The electrochemical properties and feasibilit</w:t>
      </w:r>
      <w:r w:rsidR="00E37BC2" w:rsidRPr="00B4448E">
        <w:rPr>
          <w:rFonts w:ascii="Times New Roman" w:hAnsi="Times New Roman"/>
          <w:szCs w:val="18"/>
        </w:rPr>
        <w:t>y</w:t>
      </w:r>
      <w:r w:rsidRPr="00B4448E">
        <w:rPr>
          <w:rFonts w:ascii="Times New Roman" w:hAnsi="Times New Roman"/>
          <w:szCs w:val="18"/>
        </w:rPr>
        <w:t xml:space="preserve"> of </w:t>
      </w:r>
      <w:r w:rsidR="00A36318" w:rsidRPr="00B4448E">
        <w:rPr>
          <w:rFonts w:ascii="Times New Roman" w:hAnsi="Times New Roman"/>
          <w:szCs w:val="18"/>
        </w:rPr>
        <w:t>DB</w:t>
      </w:r>
      <w:r w:rsidR="00221F85" w:rsidRPr="00B4448E">
        <w:rPr>
          <w:rFonts w:ascii="Times New Roman" w:hAnsi="Times New Roman"/>
          <w:szCs w:val="18"/>
        </w:rPr>
        <w:t>-</w:t>
      </w:r>
      <w:r w:rsidR="00A36318" w:rsidRPr="00B4448E">
        <w:rPr>
          <w:rFonts w:ascii="Times New Roman" w:hAnsi="Times New Roman"/>
          <w:szCs w:val="18"/>
        </w:rPr>
        <w:t xml:space="preserve">1 at several oxidation states were evaluated using </w:t>
      </w:r>
      <w:r w:rsidR="00A534A9" w:rsidRPr="00B4448E">
        <w:rPr>
          <w:rFonts w:ascii="Times New Roman" w:hAnsi="Times New Roman"/>
          <w:szCs w:val="18"/>
        </w:rPr>
        <w:t xml:space="preserve">DFT </w:t>
      </w:r>
      <w:r w:rsidR="00A36318" w:rsidRPr="00B4448E">
        <w:rPr>
          <w:rFonts w:ascii="Times New Roman" w:hAnsi="Times New Roman"/>
          <w:szCs w:val="18"/>
        </w:rPr>
        <w:t xml:space="preserve">calculations and compared with </w:t>
      </w:r>
      <w:r w:rsidR="00CC5FDC" w:rsidRPr="00B4448E">
        <w:rPr>
          <w:rFonts w:ascii="Times New Roman" w:hAnsi="Times New Roman"/>
          <w:szCs w:val="24"/>
          <w:lang w:val="en-CA"/>
        </w:rPr>
        <w:t>other similar organic molecules</w:t>
      </w:r>
      <w:r w:rsidR="00A36318" w:rsidRPr="00B4448E">
        <w:rPr>
          <w:rFonts w:ascii="Times New Roman" w:hAnsi="Times New Roman"/>
          <w:szCs w:val="24"/>
          <w:lang w:val="en-CA"/>
        </w:rPr>
        <w:t>,</w:t>
      </w:r>
      <w:r w:rsidR="00CC5FDC" w:rsidRPr="00B4448E">
        <w:rPr>
          <w:rFonts w:ascii="Times New Roman" w:hAnsi="Times New Roman"/>
          <w:szCs w:val="24"/>
          <w:lang w:val="en-CA"/>
        </w:rPr>
        <w:t xml:space="preserve"> </w:t>
      </w:r>
      <w:r w:rsidR="00A36318" w:rsidRPr="00B4448E">
        <w:rPr>
          <w:rFonts w:ascii="Times New Roman" w:hAnsi="Times New Roman"/>
          <w:szCs w:val="24"/>
          <w:lang w:val="en-CA"/>
        </w:rPr>
        <w:t>such as</w:t>
      </w:r>
      <w:r w:rsidR="00A36318" w:rsidRPr="00B4448E">
        <w:rPr>
          <w:rFonts w:ascii="Times New Roman" w:hAnsi="Times New Roman"/>
          <w:lang w:val="en-CA"/>
        </w:rPr>
        <w:t xml:space="preserve"> </w:t>
      </w:r>
      <w:r w:rsidR="00CC5FDC" w:rsidRPr="00B4448E">
        <w:rPr>
          <w:rFonts w:ascii="Times New Roman" w:hAnsi="Times New Roman"/>
          <w:lang w:val="en-CA"/>
        </w:rPr>
        <w:t xml:space="preserve">BQ, NQ, </w:t>
      </w:r>
      <w:r w:rsidR="00CC5FDC" w:rsidRPr="00B4448E">
        <w:rPr>
          <w:rFonts w:ascii="Times New Roman" w:hAnsi="Times New Roman"/>
        </w:rPr>
        <w:t>AQ</w:t>
      </w:r>
      <w:r w:rsidR="00CC5FDC" w:rsidRPr="00B4448E">
        <w:rPr>
          <w:rFonts w:ascii="Times New Roman" w:hAnsi="Times New Roman"/>
          <w:lang w:val="en-CA"/>
        </w:rPr>
        <w:t xml:space="preserve">, </w:t>
      </w:r>
      <w:r w:rsidR="00A057A4" w:rsidRPr="00B4448E">
        <w:rPr>
          <w:rFonts w:ascii="Times New Roman" w:hAnsi="Times New Roman"/>
          <w:lang w:val="en-CA"/>
        </w:rPr>
        <w:t>TEMPO</w:t>
      </w:r>
      <w:r w:rsidR="003A6E39" w:rsidRPr="00B4448E">
        <w:rPr>
          <w:rFonts w:ascii="Times New Roman" w:hAnsi="Times New Roman"/>
          <w:lang w:val="en-CA"/>
        </w:rPr>
        <w:t>,</w:t>
      </w:r>
      <w:r w:rsidR="00CC5FDC" w:rsidRPr="00B4448E">
        <w:rPr>
          <w:rFonts w:ascii="Times New Roman" w:hAnsi="Times New Roman"/>
          <w:lang w:val="en-CA"/>
        </w:rPr>
        <w:t xml:space="preserve"> and PD</w:t>
      </w:r>
      <w:r w:rsidR="00A36318" w:rsidRPr="00B4448E">
        <w:rPr>
          <w:rFonts w:ascii="Times New Roman" w:hAnsi="Times New Roman"/>
          <w:szCs w:val="24"/>
          <w:lang w:val="en-CA"/>
        </w:rPr>
        <w:t xml:space="preserve">. </w:t>
      </w:r>
      <w:r w:rsidR="001E63BC" w:rsidRPr="00B4448E">
        <w:rPr>
          <w:rFonts w:ascii="Times New Roman" w:hAnsi="Times New Roman"/>
          <w:szCs w:val="24"/>
          <w:lang w:val="en-CA"/>
        </w:rPr>
        <w:t>For both experiments</w:t>
      </w:r>
      <w:r w:rsidR="0038443E" w:rsidRPr="00B4448E">
        <w:rPr>
          <w:rFonts w:ascii="Times New Roman" w:hAnsi="Times New Roman"/>
          <w:szCs w:val="24"/>
          <w:lang w:val="en-CA"/>
        </w:rPr>
        <w:t xml:space="preserve"> and mathematical calculations,</w:t>
      </w:r>
      <w:r w:rsidR="00C64962" w:rsidRPr="00B4448E">
        <w:rPr>
          <w:rFonts w:ascii="Times New Roman" w:hAnsi="Times New Roman"/>
          <w:szCs w:val="24"/>
          <w:lang w:val="en-CA"/>
        </w:rPr>
        <w:t xml:space="preserve"> DMSO was selected as a solvent due to its relatively high dielectric constant (</w:t>
      </w:r>
      <w:proofErr w:type="spellStart"/>
      <w:r w:rsidR="00C64962" w:rsidRPr="00B4448E">
        <w:rPr>
          <w:rFonts w:ascii="Times New Roman" w:hAnsi="Times New Roman"/>
          <w:i/>
          <w:szCs w:val="24"/>
          <w:lang w:val="en-CA"/>
        </w:rPr>
        <w:t>ε</w:t>
      </w:r>
      <w:r w:rsidR="001E63BC" w:rsidRPr="00B4448E">
        <w:rPr>
          <w:rFonts w:ascii="Times New Roman" w:hAnsi="Times New Roman"/>
          <w:i/>
          <w:szCs w:val="24"/>
          <w:vertAlign w:val="subscript"/>
          <w:lang w:val="en-CA"/>
        </w:rPr>
        <w:t>r</w:t>
      </w:r>
      <w:proofErr w:type="spellEnd"/>
      <w:r w:rsidR="003E4788" w:rsidRPr="00B4448E">
        <w:rPr>
          <w:rFonts w:ascii="Times New Roman" w:hAnsi="Times New Roman"/>
          <w:szCs w:val="24"/>
          <w:lang w:val="en-CA"/>
        </w:rPr>
        <w:t xml:space="preserve"> = </w:t>
      </w:r>
      <w:r w:rsidR="001E63BC" w:rsidRPr="00B4448E">
        <w:rPr>
          <w:rFonts w:ascii="Times New Roman" w:hAnsi="Times New Roman"/>
          <w:szCs w:val="24"/>
          <w:lang w:val="en-CA"/>
        </w:rPr>
        <w:t>46.7)</w:t>
      </w:r>
      <w:r w:rsidR="000C3544" w:rsidRPr="00B4448E">
        <w:rPr>
          <w:rFonts w:ascii="Times New Roman" w:hAnsi="Times New Roman"/>
          <w:szCs w:val="24"/>
          <w:lang w:val="en-CA"/>
        </w:rPr>
        <w:t>,</w:t>
      </w:r>
      <w:r w:rsidR="001E63BC" w:rsidRPr="00B4448E">
        <w:rPr>
          <w:rFonts w:ascii="Times New Roman" w:hAnsi="Times New Roman"/>
          <w:szCs w:val="24"/>
          <w:lang w:val="en-CA"/>
        </w:rPr>
        <w:t xml:space="preserve"> </w:t>
      </w:r>
      <w:r w:rsidR="000C3544" w:rsidRPr="00B4448E">
        <w:rPr>
          <w:rFonts w:ascii="Times New Roman" w:hAnsi="Times New Roman"/>
          <w:szCs w:val="24"/>
          <w:lang w:val="en-CA"/>
        </w:rPr>
        <w:t xml:space="preserve">which is beneficial </w:t>
      </w:r>
      <w:r w:rsidR="007265BC" w:rsidRPr="00B4448E">
        <w:rPr>
          <w:rFonts w:ascii="Times New Roman" w:hAnsi="Times New Roman"/>
          <w:szCs w:val="24"/>
          <w:lang w:val="en-CA"/>
        </w:rPr>
        <w:t>to</w:t>
      </w:r>
      <w:r w:rsidR="000C3544" w:rsidRPr="00B4448E">
        <w:rPr>
          <w:rFonts w:ascii="Times New Roman" w:hAnsi="Times New Roman"/>
          <w:szCs w:val="24"/>
          <w:lang w:val="en-CA"/>
        </w:rPr>
        <w:t xml:space="preserve"> both </w:t>
      </w:r>
      <w:r w:rsidR="001E63BC" w:rsidRPr="00B4448E">
        <w:rPr>
          <w:rFonts w:ascii="Times New Roman" w:hAnsi="Times New Roman"/>
          <w:szCs w:val="24"/>
          <w:lang w:val="en-CA"/>
        </w:rPr>
        <w:t xml:space="preserve">solubility </w:t>
      </w:r>
      <w:r w:rsidR="007265BC" w:rsidRPr="00B4448E">
        <w:rPr>
          <w:rFonts w:ascii="Times New Roman" w:hAnsi="Times New Roman"/>
          <w:szCs w:val="24"/>
          <w:lang w:val="en-CA"/>
        </w:rPr>
        <w:t xml:space="preserve">of the redox species </w:t>
      </w:r>
      <w:r w:rsidR="001E63BC" w:rsidRPr="00B4448E">
        <w:rPr>
          <w:rFonts w:ascii="Times New Roman" w:hAnsi="Times New Roman"/>
          <w:szCs w:val="24"/>
          <w:lang w:val="en-CA"/>
        </w:rPr>
        <w:t>and ionic conductivity of the electrolyte.</w:t>
      </w:r>
      <w:r w:rsidR="0027666E" w:rsidRPr="00B4448E">
        <w:rPr>
          <w:rFonts w:ascii="Times New Roman" w:hAnsi="Times New Roman"/>
          <w:szCs w:val="24"/>
          <w:lang w:val="en-CA"/>
        </w:rPr>
        <w:t xml:space="preserve"> </w:t>
      </w:r>
      <w:r w:rsidR="008D440F" w:rsidRPr="00B4448E">
        <w:rPr>
          <w:rFonts w:ascii="Times New Roman" w:hAnsi="Times New Roman"/>
          <w:szCs w:val="24"/>
          <w:lang w:val="en-CA"/>
        </w:rPr>
        <w:t>Higher concentrations of DB-1 (</w:t>
      </w:r>
      <w:r w:rsidR="00B70698" w:rsidRPr="00B4448E">
        <w:rPr>
          <w:rFonts w:ascii="Times New Roman" w:hAnsi="Times New Roman"/>
          <w:i/>
          <w:szCs w:val="24"/>
          <w:lang w:val="en-CA"/>
        </w:rPr>
        <w:t>ca.</w:t>
      </w:r>
      <w:r w:rsidR="008D440F" w:rsidRPr="00B4448E">
        <w:rPr>
          <w:rFonts w:ascii="Times New Roman" w:hAnsi="Times New Roman"/>
          <w:szCs w:val="24"/>
          <w:lang w:val="en-CA"/>
        </w:rPr>
        <w:t xml:space="preserve"> </w:t>
      </w:r>
      <w:r w:rsidR="00AC0FED" w:rsidRPr="00B4448E">
        <w:rPr>
          <w:rFonts w:ascii="Times New Roman" w:hAnsi="Times New Roman"/>
          <w:szCs w:val="24"/>
          <w:lang w:val="en-CA"/>
        </w:rPr>
        <w:t>1.0</w:t>
      </w:r>
      <w:r w:rsidR="008D440F" w:rsidRPr="00B4448E">
        <w:rPr>
          <w:rFonts w:ascii="Times New Roman" w:hAnsi="Times New Roman"/>
          <w:szCs w:val="24"/>
          <w:lang w:val="en-CA"/>
        </w:rPr>
        <w:t xml:space="preserve"> M) </w:t>
      </w:r>
      <w:r w:rsidR="000C3544" w:rsidRPr="00B4448E">
        <w:rPr>
          <w:rFonts w:ascii="Times New Roman" w:hAnsi="Times New Roman"/>
          <w:szCs w:val="24"/>
          <w:lang w:val="en-CA"/>
        </w:rPr>
        <w:t xml:space="preserve">could be </w:t>
      </w:r>
      <w:r w:rsidR="008D440F" w:rsidRPr="00B4448E">
        <w:rPr>
          <w:rFonts w:ascii="Times New Roman" w:hAnsi="Times New Roman"/>
          <w:szCs w:val="24"/>
          <w:lang w:val="en-CA"/>
        </w:rPr>
        <w:t xml:space="preserve">dissolved in DMSO </w:t>
      </w:r>
      <w:r w:rsidR="000C3544" w:rsidRPr="00B4448E">
        <w:rPr>
          <w:rFonts w:ascii="Times New Roman" w:hAnsi="Times New Roman"/>
          <w:szCs w:val="24"/>
          <w:lang w:val="en-CA"/>
        </w:rPr>
        <w:t xml:space="preserve">compared to </w:t>
      </w:r>
      <w:r w:rsidR="008D440F" w:rsidRPr="00B4448E">
        <w:rPr>
          <w:rFonts w:ascii="Times New Roman" w:hAnsi="Times New Roman"/>
          <w:szCs w:val="24"/>
          <w:lang w:val="en-CA"/>
        </w:rPr>
        <w:t>other non-aqueous solvents (e.</w:t>
      </w:r>
      <w:r w:rsidR="000C3544" w:rsidRPr="00B4448E">
        <w:rPr>
          <w:rFonts w:ascii="Times New Roman" w:hAnsi="Times New Roman"/>
          <w:szCs w:val="24"/>
          <w:lang w:val="en-CA"/>
        </w:rPr>
        <w:t>g.</w:t>
      </w:r>
      <w:r w:rsidR="008D440F" w:rsidRPr="00B4448E">
        <w:rPr>
          <w:rFonts w:ascii="Times New Roman" w:hAnsi="Times New Roman"/>
          <w:szCs w:val="24"/>
          <w:lang w:val="en-CA"/>
        </w:rPr>
        <w:t xml:space="preserve"> acetonitrile: &lt; </w:t>
      </w:r>
      <w:r w:rsidR="00C501AB" w:rsidRPr="00B4448E">
        <w:rPr>
          <w:rFonts w:ascii="Times New Roman" w:hAnsi="Times New Roman"/>
          <w:szCs w:val="24"/>
          <w:lang w:val="en-CA"/>
        </w:rPr>
        <w:lastRenderedPageBreak/>
        <w:t>0.1</w:t>
      </w:r>
      <w:r w:rsidR="008D440F" w:rsidRPr="00B4448E">
        <w:rPr>
          <w:rFonts w:ascii="Times New Roman" w:hAnsi="Times New Roman"/>
          <w:szCs w:val="24"/>
          <w:lang w:val="en-CA"/>
        </w:rPr>
        <w:t xml:space="preserve"> M). In </w:t>
      </w:r>
      <w:r w:rsidR="0027666E" w:rsidRPr="00B4448E">
        <w:rPr>
          <w:rFonts w:ascii="Times New Roman" w:hAnsi="Times New Roman"/>
          <w:szCs w:val="24"/>
          <w:lang w:val="en-CA"/>
        </w:rPr>
        <w:t xml:space="preserve">the recent work of </w:t>
      </w:r>
      <w:proofErr w:type="spellStart"/>
      <w:r w:rsidR="0027666E" w:rsidRPr="00B4448E">
        <w:rPr>
          <w:rFonts w:ascii="Times New Roman" w:hAnsi="Times New Roman"/>
          <w:szCs w:val="24"/>
          <w:lang w:val="en-CA"/>
        </w:rPr>
        <w:t>Brushett</w:t>
      </w:r>
      <w:proofErr w:type="spellEnd"/>
      <w:r w:rsidR="0027666E" w:rsidRPr="00B4448E">
        <w:rPr>
          <w:rFonts w:ascii="Times New Roman" w:hAnsi="Times New Roman"/>
          <w:szCs w:val="24"/>
          <w:lang w:val="en-CA"/>
        </w:rPr>
        <w:t xml:space="preserve"> and co-workers</w:t>
      </w:r>
      <w:r w:rsidR="000D6187" w:rsidRPr="00B4448E">
        <w:rPr>
          <w:rFonts w:ascii="Times New Roman" w:hAnsi="Times New Roman"/>
          <w:szCs w:val="24"/>
          <w:lang w:val="en-CA"/>
        </w:rPr>
        <w:fldChar w:fldCharType="begin" w:fldLock="1"/>
      </w:r>
      <w:r w:rsidR="00FA328E" w:rsidRPr="00B4448E">
        <w:rPr>
          <w:rFonts w:ascii="Times New Roman" w:hAnsi="Times New Roman"/>
          <w:szCs w:val="24"/>
          <w:lang w:val="en-CA"/>
        </w:rPr>
        <w:instrText>ADDIN CSL_CITATION {"citationItems":[{"id":"ITEM-1","itemData":{"DOI":"10.1002/aenm.201200322","author":[{"dropping-particle":"","family":"Brushett","given":"Fikile R","non-dropping-particle":"","parse-names":false,"suffix":""},{"dropping-particle":"","family":"Vaughey","given":"John T","non-dropping-particle":"","parse-names":false,"suffix":""},{"dropping-particle":"","family":"Jansen","given":"Andrew N","non-dropping-particle":"","parse-names":false,"suffix":""}],"container-title":"Advanced Energy Materials","id":"ITEM-1","issued":{"date-parts":[["2012"]]},"page":"1390-1396","title":"An All-Organic Non-aqueous Lithium-Ion Redox Flow Battery","type":"article-journal","volume":"2"},"uris":["http://www.mendeley.com/documents/?uuid=7a9a264d-25a8-42f5-b8f4-499f1eebf1bf"]}],"mendeley":{"formattedCitation":"[14]","plainTextFormattedCitation":"[14]","previouslyFormattedCitation":"[14]"},"properties":{"noteIndex":0},"schema":"https://github.com/citation-style-language/schema/raw/master/csl-citation.json"}</w:instrText>
      </w:r>
      <w:r w:rsidR="000D6187" w:rsidRPr="00B4448E">
        <w:rPr>
          <w:rFonts w:ascii="Times New Roman" w:hAnsi="Times New Roman"/>
          <w:szCs w:val="24"/>
          <w:lang w:val="en-CA"/>
        </w:rPr>
        <w:fldChar w:fldCharType="separate"/>
      </w:r>
      <w:r w:rsidR="00B464FF" w:rsidRPr="00B4448E">
        <w:rPr>
          <w:rFonts w:ascii="Times New Roman" w:hAnsi="Times New Roman"/>
          <w:noProof/>
          <w:szCs w:val="24"/>
          <w:lang w:val="en-CA"/>
        </w:rPr>
        <w:t>[14]</w:t>
      </w:r>
      <w:r w:rsidR="000D6187" w:rsidRPr="00B4448E">
        <w:rPr>
          <w:rFonts w:ascii="Times New Roman" w:hAnsi="Times New Roman"/>
          <w:szCs w:val="24"/>
          <w:lang w:val="en-CA"/>
        </w:rPr>
        <w:fldChar w:fldCharType="end"/>
      </w:r>
      <w:r w:rsidR="0027666E" w:rsidRPr="00B4448E">
        <w:rPr>
          <w:rFonts w:ascii="Times New Roman" w:hAnsi="Times New Roman"/>
          <w:szCs w:val="24"/>
          <w:lang w:val="en-CA"/>
        </w:rPr>
        <w:t>, DMSO was reported to have superior ionic conductivities to conventional carbonate electrolytes (</w:t>
      </w:r>
      <w:r w:rsidR="000C3544" w:rsidRPr="00B4448E">
        <w:rPr>
          <w:rFonts w:ascii="Times New Roman" w:hAnsi="Times New Roman"/>
          <w:szCs w:val="24"/>
          <w:lang w:val="en-CA"/>
        </w:rPr>
        <w:t>e.g.</w:t>
      </w:r>
      <w:r w:rsidR="0027666E" w:rsidRPr="00B4448E">
        <w:rPr>
          <w:rFonts w:ascii="Times New Roman" w:hAnsi="Times New Roman"/>
          <w:szCs w:val="24"/>
          <w:lang w:val="en-CA"/>
        </w:rPr>
        <w:t xml:space="preserve"> propylene carbonate)</w:t>
      </w:r>
      <w:r w:rsidR="000C3544" w:rsidRPr="00B4448E">
        <w:rPr>
          <w:rFonts w:ascii="Times New Roman" w:hAnsi="Times New Roman"/>
          <w:szCs w:val="24"/>
          <w:lang w:val="en-CA"/>
        </w:rPr>
        <w:t>,</w:t>
      </w:r>
      <w:r w:rsidR="0027666E" w:rsidRPr="00B4448E">
        <w:rPr>
          <w:rFonts w:ascii="Times New Roman" w:hAnsi="Times New Roman"/>
          <w:szCs w:val="24"/>
          <w:lang w:val="en-CA"/>
        </w:rPr>
        <w:t xml:space="preserve"> </w:t>
      </w:r>
      <w:r w:rsidR="000C3544" w:rsidRPr="00B4448E">
        <w:rPr>
          <w:rFonts w:ascii="Times New Roman" w:hAnsi="Times New Roman"/>
          <w:szCs w:val="24"/>
          <w:lang w:val="en-CA"/>
        </w:rPr>
        <w:t xml:space="preserve">including </w:t>
      </w:r>
      <w:r w:rsidR="0027666E" w:rsidRPr="00B4448E">
        <w:rPr>
          <w:rFonts w:ascii="Times New Roman" w:hAnsi="Times New Roman"/>
          <w:szCs w:val="24"/>
          <w:lang w:val="en-CA"/>
        </w:rPr>
        <w:t xml:space="preserve">both supporting </w:t>
      </w:r>
      <w:r w:rsidR="000C3544" w:rsidRPr="00B4448E">
        <w:rPr>
          <w:rFonts w:ascii="Times New Roman" w:hAnsi="Times New Roman"/>
          <w:szCs w:val="24"/>
          <w:lang w:val="en-CA"/>
        </w:rPr>
        <w:t xml:space="preserve">liquid </w:t>
      </w:r>
      <w:r w:rsidR="0027666E" w:rsidRPr="00B4448E">
        <w:rPr>
          <w:rFonts w:ascii="Times New Roman" w:hAnsi="Times New Roman"/>
          <w:szCs w:val="24"/>
          <w:lang w:val="en-CA"/>
        </w:rPr>
        <w:t>electrolyte</w:t>
      </w:r>
      <w:r w:rsidR="000C3544" w:rsidRPr="00B4448E">
        <w:rPr>
          <w:rFonts w:ascii="Times New Roman" w:hAnsi="Times New Roman"/>
          <w:szCs w:val="24"/>
          <w:lang w:val="en-CA"/>
        </w:rPr>
        <w:t>s</w:t>
      </w:r>
      <w:r w:rsidR="0027666E" w:rsidRPr="00B4448E">
        <w:rPr>
          <w:rFonts w:ascii="Times New Roman" w:hAnsi="Times New Roman"/>
          <w:szCs w:val="24"/>
          <w:lang w:val="en-CA"/>
        </w:rPr>
        <w:t xml:space="preserve"> and ion-exchange membranes.</w:t>
      </w:r>
    </w:p>
    <w:p w14:paraId="6D316DFB" w14:textId="7FE53628" w:rsidR="001A5B6E" w:rsidRPr="00B4448E" w:rsidRDefault="001A5B6E" w:rsidP="00067B71">
      <w:pPr>
        <w:pStyle w:val="BGKeywords"/>
        <w:spacing w:after="0"/>
        <w:rPr>
          <w:rFonts w:ascii="Times New Roman" w:hAnsi="Times New Roman"/>
          <w:szCs w:val="24"/>
          <w:lang w:val="en-CA"/>
        </w:rPr>
      </w:pPr>
    </w:p>
    <w:p w14:paraId="1B2F8947" w14:textId="7DDCC5F4" w:rsidR="008708A9" w:rsidRPr="00B4448E" w:rsidRDefault="001A5B6E" w:rsidP="00067B71">
      <w:pPr>
        <w:pStyle w:val="BGKeywords"/>
        <w:spacing w:after="0"/>
        <w:rPr>
          <w:rFonts w:ascii="Times New Roman" w:hAnsi="Times New Roman"/>
          <w:lang w:val="en-CA"/>
        </w:rPr>
      </w:pPr>
      <w:r w:rsidRPr="00B4448E">
        <w:rPr>
          <w:rFonts w:ascii="Times New Roman" w:hAnsi="Times New Roman"/>
          <w:lang w:val="en-CA"/>
        </w:rPr>
        <w:t>T</w:t>
      </w:r>
      <w:r w:rsidR="00A534A9" w:rsidRPr="00B4448E">
        <w:rPr>
          <w:rFonts w:ascii="Times New Roman" w:hAnsi="Times New Roman"/>
          <w:lang w:val="en-CA"/>
        </w:rPr>
        <w:t>hrough DFT</w:t>
      </w:r>
      <w:r w:rsidR="009C265D" w:rsidRPr="00B4448E">
        <w:rPr>
          <w:rFonts w:ascii="Times New Roman" w:hAnsi="Times New Roman"/>
          <w:lang w:val="en-CA"/>
        </w:rPr>
        <w:t xml:space="preserve"> calculations</w:t>
      </w:r>
      <w:r w:rsidR="00A534A9" w:rsidRPr="00B4448E">
        <w:rPr>
          <w:rFonts w:ascii="Times New Roman" w:hAnsi="Times New Roman"/>
          <w:lang w:val="en-CA"/>
        </w:rPr>
        <w:t>, t</w:t>
      </w:r>
      <w:r w:rsidRPr="00B4448E">
        <w:rPr>
          <w:rFonts w:ascii="Times New Roman" w:hAnsi="Times New Roman"/>
          <w:lang w:val="en-CA"/>
        </w:rPr>
        <w:t xml:space="preserve">he highest occupied molecular orbitals (HOMO) and the lowest unoccupied molecular orbitals (LUMO) of the </w:t>
      </w:r>
      <w:r w:rsidR="00825799" w:rsidRPr="00B4448E">
        <w:rPr>
          <w:rFonts w:ascii="Times New Roman" w:hAnsi="Times New Roman"/>
          <w:lang w:val="en-CA"/>
        </w:rPr>
        <w:t>above</w:t>
      </w:r>
      <w:r w:rsidRPr="00B4448E">
        <w:rPr>
          <w:rFonts w:ascii="Times New Roman" w:hAnsi="Times New Roman"/>
          <w:lang w:val="en-CA"/>
        </w:rPr>
        <w:t xml:space="preserve"> molecules were calculated </w:t>
      </w:r>
      <w:r w:rsidR="00877FA0" w:rsidRPr="00B4448E">
        <w:rPr>
          <w:rFonts w:ascii="Times New Roman" w:hAnsi="Times New Roman"/>
          <w:lang w:val="en-CA"/>
        </w:rPr>
        <w:t>in DMSO</w:t>
      </w:r>
      <w:r w:rsidR="00825799" w:rsidRPr="00B4448E">
        <w:rPr>
          <w:rFonts w:ascii="Times New Roman" w:hAnsi="Times New Roman"/>
          <w:lang w:val="en-CA"/>
        </w:rPr>
        <w:t>,</w:t>
      </w:r>
      <w:r w:rsidR="00877FA0" w:rsidRPr="00B4448E">
        <w:rPr>
          <w:rFonts w:ascii="Times New Roman" w:hAnsi="Times New Roman"/>
          <w:lang w:val="en-CA"/>
        </w:rPr>
        <w:t xml:space="preserve"> </w:t>
      </w:r>
      <w:r w:rsidRPr="00B4448E">
        <w:rPr>
          <w:rFonts w:ascii="Times New Roman" w:hAnsi="Times New Roman"/>
          <w:lang w:val="en-CA"/>
        </w:rPr>
        <w:t xml:space="preserve">as shown in Figure </w:t>
      </w:r>
      <w:r w:rsidR="00904422" w:rsidRPr="00B4448E">
        <w:rPr>
          <w:rFonts w:ascii="Times New Roman" w:hAnsi="Times New Roman"/>
          <w:lang w:val="en-CA"/>
        </w:rPr>
        <w:t>1</w:t>
      </w:r>
      <w:r w:rsidR="00D21C00" w:rsidRPr="00B4448E">
        <w:rPr>
          <w:rFonts w:ascii="Times New Roman" w:hAnsi="Times New Roman"/>
          <w:lang w:val="en-CA"/>
        </w:rPr>
        <w:t>b</w:t>
      </w:r>
      <w:r w:rsidRPr="00B4448E">
        <w:rPr>
          <w:rFonts w:ascii="Times New Roman" w:hAnsi="Times New Roman"/>
          <w:lang w:val="en-CA"/>
        </w:rPr>
        <w:t>.</w:t>
      </w:r>
      <w:r w:rsidR="00877FA0" w:rsidRPr="00B4448E">
        <w:rPr>
          <w:rFonts w:ascii="Times New Roman" w:hAnsi="Times New Roman"/>
          <w:lang w:val="en-CA"/>
        </w:rPr>
        <w:t xml:space="preserve"> </w:t>
      </w:r>
      <w:r w:rsidR="003E1648" w:rsidRPr="00B4448E">
        <w:rPr>
          <w:rFonts w:ascii="Times New Roman" w:hAnsi="Times New Roman"/>
          <w:lang w:val="en-CA"/>
        </w:rPr>
        <w:t xml:space="preserve">The energy values of these orbitals </w:t>
      </w:r>
      <w:r w:rsidR="000C3544" w:rsidRPr="00B4448E">
        <w:rPr>
          <w:rFonts w:ascii="Times New Roman" w:hAnsi="Times New Roman"/>
          <w:lang w:val="en-CA"/>
        </w:rPr>
        <w:t xml:space="preserve">calculated for </w:t>
      </w:r>
      <w:r w:rsidR="003E1648" w:rsidRPr="00B4448E">
        <w:rPr>
          <w:rFonts w:ascii="Times New Roman" w:hAnsi="Times New Roman"/>
          <w:lang w:val="en-CA"/>
        </w:rPr>
        <w:t xml:space="preserve">other organic molecules are similar to those reported in the literature </w:t>
      </w:r>
      <w:r w:rsidR="003E1648" w:rsidRPr="00B4448E">
        <w:rPr>
          <w:rFonts w:ascii="Times New Roman" w:hAnsi="Times New Roman"/>
          <w:lang w:val="en-CA"/>
        </w:rPr>
        <w:fldChar w:fldCharType="begin" w:fldLock="1"/>
      </w:r>
      <w:r w:rsidR="00D75310" w:rsidRPr="00B4448E">
        <w:rPr>
          <w:rFonts w:ascii="Times New Roman" w:hAnsi="Times New Roman"/>
          <w:lang w:val="en-CA"/>
        </w:rPr>
        <w:instrText>ADDIN CSL_CITATION {"citationItems":[{"id":"ITEM-1","itemData":{"DOI":"10.1002/aenm.201901418","author":[{"dropping-particle":"","family":"Leung","given":"Puiki","non-dropping-particle":"","parse-names":false,"suffix":""},{"dropping-particle":"","family":"Bu","given":"Junfu","non-dropping-particle":"","parse-names":false,"suffix":""},{"dropping-particle":"","family":"Velasco","given":"Pablo Quijano","non-dropping-particle":"","parse-names":false,"suffix":""},{"dropping-particle":"","family":"Roberts","given":"Matthew R","non-dropping-particle":"","parse-names":false,"suffix":""},{"dropping-particle":"","family":"Grobert","given":"Nicole","non-dropping-particle":"","parse-names":false,"suffix":""},{"dropping-particle":"","family":"Grant","given":"Patrick S","non-dropping-particle":"","parse-names":false,"suffix":""}],"container-title":"Advanced Energy Materials","id":"ITEM-1","issued":{"date-parts":[["2019"]]},"title":"Single-Step Spray Printing of Symmetric All-Organic Solid- State Batteries Based on Porous Textile Dye Electrodes","type":"article-journal","volume":"1901418"},"uris":["http://www.mendeley.com/documents/?uuid=cc12287b-2f7b-4587-823c-59464ef5f7a9"]},{"id":"ITEM-2","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-2","issue":"5","issued":{"date-parts":[["2016"]]},"page":"790-801","publisher":"Elsevier Inc.","title":"Exploring Bio-inspired Quinone-Based Organic Redox Flow Batteries : A Combined Experimental and Computational Study","type":"article-journal","volume":"1"},"uris":["http://www.mendeley.com/documents/?uuid=bb4f639b-539b-4605-b575-1e1c574d0113"]},{"id":"ITEM-3","itemData":{"DOI":"10.1021/acs.chemmater.6b00624","ISSN":"15205002","abstract":"We report the facile synthesis of new naphthoquinone (NQ) derivatives for use in lithium-organic batteries to improve performance. The rational design of these NQ derivatives is based on theoretical calculations. Our lithium-organic batteries demonstrate remarkable charge-discharge properties, for example, a high discharge capacity of 250 mAh g-1 (363 mAh cm-3), discharge potential plateaus in the range of 2.3-2.5 V, and 99% capacity retention after 500 cycles at 0.2C. In particular, the batteries had excellent rate performance up to 50C with reversible redox behavior, unlike most other organic cathode materials. The key to success was a simple molecular substitution, addition of amino groups at the 2- and 3- positions of the NQ ring, yielding 2,3-diamino-1,4-naphthoquinone (DANQ). DANQ has an exceptionally low band gap of 2.7 eV and greater than 20-fold enhancement in the lithium diffusion rate compared to unmodified NQ. The fundamental shortcoming of the organic molecules, i.e., their solubility in the electrolyte, was resolved by covalent linking of the amino groups to the surfaces of the cathode framework. The cyclization of amino groups in DANQ yielded 1H-naphtho[2,3-d]imidazole-4,9-dione (IMNQ), enabled us to achieve a 0.15 V enhancement in the redox potential owing to the delocalized electron distribution in the heteroaromatic ring. Our work suggests that NQ derivatives with modulated charge/ion transport properties are a viable alternative to the more widely studied lithium metal oxides.","author":[{"dropping-particle":"","family":"Lee","given":"Joungphil","non-dropping-particle":"","parse-names":false,"suffix":""},{"dropping-particle":"","family":"Kim","given":"Hoon","non-dropping-particle":"","parse-names":false,"suffix":""},{"dropping-particle":"","family":"Park","given":"Moon Jeong","non-dropping-particle":"","parse-names":false,"suffix":""}],"container-title":"Chemistry of Materials","id":"ITEM-3","issue":"7","issued":{"date-parts":[["2016"]]},"page":"2408-2416","title":"Long-Life, High-Rate Lithium-Organic Batteries Based on Naphthoquinone Derivatives","type":"article-journal","volume":"28"},"uris":["http://www.mendeley.com/documents/?uuid=cea97798-7a81-41b9-8d5f-70578aae671a"]}],"mendeley":{"formattedCitation":"[40,46,53]","plainTextFormattedCitation":"[40,46,53]","previouslyFormattedCitation":"[40,45,52]"},"properties":{"noteIndex":0},"schema":"https://github.com/citation-style-language/schema/raw/master/csl-citation.json"}</w:instrText>
      </w:r>
      <w:r w:rsidR="003E1648" w:rsidRPr="00B4448E">
        <w:rPr>
          <w:rFonts w:ascii="Times New Roman" w:hAnsi="Times New Roman"/>
          <w:lang w:val="en-CA"/>
        </w:rPr>
        <w:fldChar w:fldCharType="separate"/>
      </w:r>
      <w:r w:rsidR="00D75310" w:rsidRPr="00B4448E">
        <w:rPr>
          <w:rFonts w:ascii="Times New Roman" w:hAnsi="Times New Roman"/>
          <w:noProof/>
          <w:lang w:val="en-CA"/>
        </w:rPr>
        <w:t>[40,46,53]</w:t>
      </w:r>
      <w:r w:rsidR="003E1648" w:rsidRPr="00B4448E">
        <w:rPr>
          <w:rFonts w:ascii="Times New Roman" w:hAnsi="Times New Roman"/>
          <w:lang w:val="en-CA"/>
        </w:rPr>
        <w:fldChar w:fldCharType="end"/>
      </w:r>
      <w:r w:rsidR="00013318" w:rsidRPr="00B4448E">
        <w:rPr>
          <w:rFonts w:ascii="Times New Roman" w:hAnsi="Times New Roman"/>
          <w:lang w:val="en-CA"/>
        </w:rPr>
        <w:t>.</w:t>
      </w:r>
      <w:r w:rsidR="003E1648" w:rsidRPr="00B4448E">
        <w:rPr>
          <w:rFonts w:ascii="Times New Roman" w:hAnsi="Times New Roman"/>
          <w:lang w:val="en-CA"/>
        </w:rPr>
        <w:t xml:space="preserve"> </w:t>
      </w:r>
      <w:r w:rsidR="00877FA0" w:rsidRPr="00B4448E">
        <w:rPr>
          <w:rFonts w:ascii="Times New Roman" w:hAnsi="Times New Roman"/>
          <w:lang w:val="en-CA"/>
        </w:rPr>
        <w:t xml:space="preserve">These HOMO and LUMO contours </w:t>
      </w:r>
      <w:r w:rsidR="0027666E" w:rsidRPr="00B4448E">
        <w:rPr>
          <w:rFonts w:ascii="Times New Roman" w:hAnsi="Times New Roman"/>
          <w:lang w:val="en-CA"/>
        </w:rPr>
        <w:t>predict</w:t>
      </w:r>
      <w:r w:rsidR="00877FA0" w:rsidRPr="00B4448E">
        <w:rPr>
          <w:rFonts w:ascii="Times New Roman" w:hAnsi="Times New Roman"/>
          <w:lang w:val="en-CA"/>
        </w:rPr>
        <w:t xml:space="preserve"> the favoured oxidation and reduction sites </w:t>
      </w:r>
      <w:r w:rsidR="0027666E" w:rsidRPr="00B4448E">
        <w:rPr>
          <w:rFonts w:ascii="Times New Roman" w:hAnsi="Times New Roman"/>
          <w:lang w:val="en-CA"/>
        </w:rPr>
        <w:t>within the molecular structures</w:t>
      </w:r>
      <w:r w:rsidR="009D6A79" w:rsidRPr="00B4448E">
        <w:rPr>
          <w:rFonts w:ascii="Times New Roman" w:hAnsi="Times New Roman"/>
          <w:lang w:val="en-CA"/>
        </w:rPr>
        <w:t xml:space="preserve">, </w:t>
      </w:r>
      <w:r w:rsidR="00251AA1" w:rsidRPr="00B4448E">
        <w:rPr>
          <w:rFonts w:ascii="Times New Roman" w:hAnsi="Times New Roman"/>
          <w:lang w:val="en-CA"/>
        </w:rPr>
        <w:t>respectively</w:t>
      </w:r>
      <w:r w:rsidR="0027666E" w:rsidRPr="00B4448E">
        <w:rPr>
          <w:rFonts w:ascii="Times New Roman" w:hAnsi="Times New Roman"/>
          <w:lang w:val="en-CA"/>
        </w:rPr>
        <w:t>. It can be seen that</w:t>
      </w:r>
      <w:r w:rsidR="00221F85" w:rsidRPr="00B4448E">
        <w:rPr>
          <w:rFonts w:ascii="Times New Roman" w:hAnsi="Times New Roman"/>
          <w:lang w:val="en-CA"/>
        </w:rPr>
        <w:t xml:space="preserve"> DB-1 remained stable</w:t>
      </w:r>
      <w:r w:rsidR="00830E49" w:rsidRPr="00B4448E">
        <w:rPr>
          <w:rFonts w:ascii="Times New Roman" w:hAnsi="Times New Roman"/>
          <w:lang w:val="en-CA"/>
        </w:rPr>
        <w:t xml:space="preserve"> </w:t>
      </w:r>
      <w:r w:rsidR="003E1648" w:rsidRPr="00B4448E">
        <w:rPr>
          <w:rFonts w:ascii="Times New Roman" w:hAnsi="Times New Roman"/>
          <w:lang w:val="en-CA"/>
        </w:rPr>
        <w:t>at oxidation state</w:t>
      </w:r>
      <w:r w:rsidR="000C3544" w:rsidRPr="00B4448E">
        <w:rPr>
          <w:rFonts w:ascii="Times New Roman" w:hAnsi="Times New Roman"/>
          <w:lang w:val="en-CA"/>
        </w:rPr>
        <w:t>s</w:t>
      </w:r>
      <w:r w:rsidR="003E1648" w:rsidRPr="00B4448E">
        <w:rPr>
          <w:rFonts w:ascii="Times New Roman" w:hAnsi="Times New Roman"/>
          <w:lang w:val="en-CA"/>
        </w:rPr>
        <w:t xml:space="preserve"> of up to 4+ before further oxidation is expected </w:t>
      </w:r>
      <w:r w:rsidR="00825799" w:rsidRPr="00B4448E">
        <w:rPr>
          <w:rFonts w:ascii="Times New Roman" w:hAnsi="Times New Roman"/>
          <w:lang w:val="en-CA"/>
        </w:rPr>
        <w:t>on</w:t>
      </w:r>
      <w:r w:rsidR="003E1648" w:rsidRPr="00B4448E">
        <w:rPr>
          <w:rFonts w:ascii="Times New Roman" w:hAnsi="Times New Roman"/>
          <w:lang w:val="en-CA"/>
        </w:rPr>
        <w:t xml:space="preserve"> the peripheral amino substituents. </w:t>
      </w:r>
      <w:r w:rsidR="00CC5FDC" w:rsidRPr="00B4448E">
        <w:rPr>
          <w:rFonts w:ascii="Times New Roman" w:hAnsi="Times New Roman"/>
          <w:lang w:val="en-CA"/>
        </w:rPr>
        <w:t xml:space="preserve">A small HOMO-LUMO gap reveals a </w:t>
      </w:r>
      <w:r w:rsidR="006E1699" w:rsidRPr="00B4448E">
        <w:rPr>
          <w:rFonts w:ascii="Times New Roman" w:hAnsi="Times New Roman"/>
          <w:lang w:val="en-CA"/>
        </w:rPr>
        <w:t>smaller energy</w:t>
      </w:r>
      <w:r w:rsidR="00CC5FDC" w:rsidRPr="00B4448E">
        <w:rPr>
          <w:rFonts w:ascii="Times New Roman" w:hAnsi="Times New Roman"/>
          <w:lang w:val="en-CA"/>
        </w:rPr>
        <w:t xml:space="preserve"> required for the oxidation and reduction processes, </w:t>
      </w:r>
      <w:r w:rsidR="006E1699" w:rsidRPr="00B4448E">
        <w:rPr>
          <w:rFonts w:ascii="Times New Roman" w:hAnsi="Times New Roman"/>
          <w:lang w:val="en-CA"/>
        </w:rPr>
        <w:t xml:space="preserve">which are often associated with faster reaction kinetics </w:t>
      </w:r>
      <w:r w:rsidR="000C3544" w:rsidRPr="00B4448E">
        <w:rPr>
          <w:rFonts w:ascii="Times New Roman" w:hAnsi="Times New Roman"/>
          <w:lang w:val="en-CA"/>
        </w:rPr>
        <w:t xml:space="preserve">and thus </w:t>
      </w:r>
      <w:r w:rsidR="006E1699" w:rsidRPr="00B4448E">
        <w:rPr>
          <w:rFonts w:ascii="Times New Roman" w:hAnsi="Times New Roman"/>
          <w:lang w:val="en-CA"/>
        </w:rPr>
        <w:t xml:space="preserve">smaller electrode overpotentials. At </w:t>
      </w:r>
      <w:r w:rsidR="00825799" w:rsidRPr="00B4448E">
        <w:rPr>
          <w:rFonts w:ascii="Times New Roman" w:hAnsi="Times New Roman"/>
          <w:lang w:val="en-CA"/>
        </w:rPr>
        <w:t>various</w:t>
      </w:r>
      <w:r w:rsidR="006E1699" w:rsidRPr="00B4448E">
        <w:rPr>
          <w:rFonts w:ascii="Times New Roman" w:hAnsi="Times New Roman"/>
          <w:lang w:val="en-CA"/>
        </w:rPr>
        <w:t xml:space="preserve"> oxidation states, </w:t>
      </w:r>
      <w:r w:rsidR="00825799" w:rsidRPr="00B4448E">
        <w:rPr>
          <w:rFonts w:ascii="Times New Roman" w:hAnsi="Times New Roman"/>
          <w:lang w:val="en-CA"/>
        </w:rPr>
        <w:t>DB-1 shows a</w:t>
      </w:r>
      <w:r w:rsidR="005B6E27" w:rsidRPr="00B4448E">
        <w:rPr>
          <w:rFonts w:ascii="Times New Roman" w:hAnsi="Times New Roman"/>
          <w:lang w:val="en-CA"/>
        </w:rPr>
        <w:t xml:space="preserve"> </w:t>
      </w:r>
      <w:r w:rsidR="00CC5FDC" w:rsidRPr="00B4448E">
        <w:rPr>
          <w:rFonts w:ascii="Times New Roman" w:hAnsi="Times New Roman"/>
          <w:lang w:val="en-CA"/>
        </w:rPr>
        <w:t xml:space="preserve">narrower </w:t>
      </w:r>
      <w:r w:rsidR="003014FA" w:rsidRPr="00B4448E">
        <w:rPr>
          <w:rFonts w:ascii="Times New Roman" w:hAnsi="Times New Roman"/>
          <w:lang w:val="en-CA"/>
        </w:rPr>
        <w:t>HOMO-LUMO gap</w:t>
      </w:r>
      <w:r w:rsidR="00CC5FDC" w:rsidRPr="00B4448E">
        <w:rPr>
          <w:rFonts w:ascii="Times New Roman" w:hAnsi="Times New Roman"/>
          <w:lang w:val="en-CA"/>
        </w:rPr>
        <w:t xml:space="preserve"> (&lt;</w:t>
      </w:r>
      <w:r w:rsidR="00CC5FDC" w:rsidRPr="00B4448E">
        <w:rPr>
          <w:rFonts w:ascii="Times New Roman" w:hAnsi="Times New Roman"/>
          <w:lang w:val="en-GB"/>
        </w:rPr>
        <w:t xml:space="preserve"> </w:t>
      </w:r>
      <w:r w:rsidR="00CC5FDC" w:rsidRPr="00B4448E">
        <w:rPr>
          <w:rFonts w:ascii="Times New Roman" w:hAnsi="Times New Roman"/>
          <w:lang w:val="en-CA"/>
        </w:rPr>
        <w:t xml:space="preserve">3 eV) than other </w:t>
      </w:r>
      <w:r w:rsidR="006E1699" w:rsidRPr="00B4448E">
        <w:rPr>
          <w:rFonts w:ascii="Times New Roman" w:hAnsi="Times New Roman"/>
          <w:lang w:val="en-CA"/>
        </w:rPr>
        <w:t xml:space="preserve">similar </w:t>
      </w:r>
      <w:r w:rsidR="00CC5FDC" w:rsidRPr="00B4448E">
        <w:rPr>
          <w:rFonts w:ascii="Times New Roman" w:hAnsi="Times New Roman"/>
          <w:lang w:val="en-CA"/>
        </w:rPr>
        <w:t>molecule</w:t>
      </w:r>
      <w:r w:rsidR="006E1699" w:rsidRPr="00B4448E">
        <w:rPr>
          <w:rFonts w:ascii="Times New Roman" w:hAnsi="Times New Roman"/>
          <w:lang w:val="en-CA"/>
        </w:rPr>
        <w:t>s</w:t>
      </w:r>
      <w:r w:rsidR="00CC5FDC" w:rsidRPr="00B4448E">
        <w:rPr>
          <w:rFonts w:ascii="Times New Roman" w:hAnsi="Times New Roman"/>
          <w:lang w:val="en-CA"/>
        </w:rPr>
        <w:t xml:space="preserve"> (&gt; 3.9 eV), </w:t>
      </w:r>
      <w:r w:rsidR="000C3544" w:rsidRPr="00B4448E">
        <w:rPr>
          <w:rFonts w:ascii="Times New Roman" w:hAnsi="Times New Roman"/>
          <w:lang w:val="en-CA"/>
        </w:rPr>
        <w:t xml:space="preserve">indicating </w:t>
      </w:r>
      <w:r w:rsidR="008708A9" w:rsidRPr="00B4448E">
        <w:rPr>
          <w:rFonts w:ascii="Times New Roman" w:hAnsi="Times New Roman"/>
          <w:lang w:val="en-CA"/>
        </w:rPr>
        <w:t xml:space="preserve">its suitability </w:t>
      </w:r>
      <w:r w:rsidR="003014FA" w:rsidRPr="00B4448E">
        <w:rPr>
          <w:rFonts w:ascii="Times New Roman" w:hAnsi="Times New Roman"/>
          <w:lang w:val="en-CA"/>
        </w:rPr>
        <w:t>for use</w:t>
      </w:r>
      <w:r w:rsidR="008708A9" w:rsidRPr="00B4448E">
        <w:rPr>
          <w:rFonts w:ascii="Times New Roman" w:hAnsi="Times New Roman"/>
          <w:lang w:val="en-CA"/>
        </w:rPr>
        <w:t xml:space="preserve"> as </w:t>
      </w:r>
      <w:r w:rsidR="003014FA" w:rsidRPr="00B4448E">
        <w:rPr>
          <w:rFonts w:ascii="Times New Roman" w:hAnsi="Times New Roman"/>
          <w:lang w:val="en-CA"/>
        </w:rPr>
        <w:t xml:space="preserve">an </w:t>
      </w:r>
      <w:r w:rsidR="00CD358A" w:rsidRPr="00B4448E">
        <w:rPr>
          <w:rFonts w:ascii="Times New Roman" w:hAnsi="Times New Roman"/>
          <w:lang w:val="en-CA"/>
        </w:rPr>
        <w:t>active material</w:t>
      </w:r>
      <w:r w:rsidR="008708A9" w:rsidRPr="00B4448E">
        <w:rPr>
          <w:rFonts w:ascii="Times New Roman" w:hAnsi="Times New Roman"/>
          <w:lang w:val="en-CA"/>
        </w:rPr>
        <w:t xml:space="preserve"> for battery applications.</w:t>
      </w:r>
    </w:p>
    <w:p w14:paraId="146EB61A" w14:textId="7893A795" w:rsidR="001452A8" w:rsidRPr="00B4448E" w:rsidRDefault="001452A8" w:rsidP="00067B71">
      <w:pPr>
        <w:pStyle w:val="BGKeywords"/>
        <w:spacing w:after="0"/>
        <w:rPr>
          <w:rFonts w:ascii="Times New Roman" w:hAnsi="Times New Roman"/>
          <w:lang w:val="en-CA"/>
        </w:rPr>
      </w:pPr>
    </w:p>
    <w:p w14:paraId="060F989B" w14:textId="6B085A90" w:rsidR="006E4D1A" w:rsidRPr="00B4448E" w:rsidRDefault="004711EF" w:rsidP="00067B71">
      <w:pPr>
        <w:pStyle w:val="BGKeywords"/>
        <w:spacing w:after="0"/>
        <w:rPr>
          <w:rFonts w:ascii="Times New Roman" w:hAnsi="Times New Roman"/>
          <w:szCs w:val="18"/>
        </w:rPr>
      </w:pPr>
      <w:r w:rsidRPr="00B4448E">
        <w:rPr>
          <w:rFonts w:ascii="Times New Roman" w:hAnsi="Times New Roman"/>
          <w:lang w:val="en-CA"/>
        </w:rPr>
        <w:t>The e</w:t>
      </w:r>
      <w:r w:rsidR="001452A8" w:rsidRPr="00B4448E">
        <w:rPr>
          <w:rFonts w:ascii="Times New Roman" w:hAnsi="Times New Roman"/>
          <w:lang w:val="en-CA"/>
        </w:rPr>
        <w:t xml:space="preserve">lectrode potentials </w:t>
      </w:r>
      <w:r w:rsidR="002E732C" w:rsidRPr="00B4448E">
        <w:rPr>
          <w:rFonts w:ascii="Times New Roman" w:hAnsi="Times New Roman"/>
          <w:lang w:val="en-CA"/>
        </w:rPr>
        <w:t xml:space="preserve">of these molecules </w:t>
      </w:r>
      <w:r w:rsidR="001452A8" w:rsidRPr="00B4448E">
        <w:rPr>
          <w:rFonts w:ascii="Times New Roman" w:hAnsi="Times New Roman"/>
          <w:lang w:val="en-CA"/>
        </w:rPr>
        <w:t xml:space="preserve">can be </w:t>
      </w:r>
      <w:r w:rsidR="002E732C" w:rsidRPr="00B4448E">
        <w:rPr>
          <w:rFonts w:ascii="Times New Roman" w:hAnsi="Times New Roman"/>
          <w:lang w:val="en-CA"/>
        </w:rPr>
        <w:t>further validated</w:t>
      </w:r>
      <w:r w:rsidR="001452A8" w:rsidRPr="00B4448E">
        <w:rPr>
          <w:rFonts w:ascii="Times New Roman" w:hAnsi="Times New Roman"/>
          <w:lang w:val="en-CA"/>
        </w:rPr>
        <w:t xml:space="preserve"> with the LUMO energy </w:t>
      </w:r>
      <w:r w:rsidR="000C3544" w:rsidRPr="00B4448E">
        <w:rPr>
          <w:rFonts w:ascii="Times New Roman" w:hAnsi="Times New Roman"/>
          <w:lang w:val="en-CA"/>
        </w:rPr>
        <w:t>levels</w:t>
      </w:r>
      <w:r w:rsidR="002E732C" w:rsidRPr="00B4448E">
        <w:rPr>
          <w:rFonts w:ascii="Times New Roman" w:hAnsi="Times New Roman"/>
          <w:lang w:val="en-CA"/>
        </w:rPr>
        <w:t xml:space="preserve">, which </w:t>
      </w:r>
      <w:r w:rsidR="005E509F" w:rsidRPr="00B4448E">
        <w:rPr>
          <w:rFonts w:ascii="Times New Roman" w:hAnsi="Times New Roman"/>
          <w:lang w:val="en-CA"/>
        </w:rPr>
        <w:t xml:space="preserve">have </w:t>
      </w:r>
      <w:r w:rsidR="000C3544" w:rsidRPr="00B4448E">
        <w:rPr>
          <w:rFonts w:ascii="Times New Roman" w:hAnsi="Times New Roman"/>
          <w:lang w:val="en-CA"/>
        </w:rPr>
        <w:t xml:space="preserve">been shown to have a </w:t>
      </w:r>
      <w:r w:rsidR="005E509F" w:rsidRPr="00B4448E">
        <w:rPr>
          <w:rFonts w:ascii="Times New Roman" w:hAnsi="Times New Roman"/>
          <w:lang w:val="en-CA"/>
        </w:rPr>
        <w:t>linear correlation</w:t>
      </w:r>
      <w:r w:rsidR="000C3544" w:rsidRPr="00B4448E">
        <w:rPr>
          <w:rFonts w:ascii="Times New Roman" w:hAnsi="Times New Roman"/>
          <w:lang w:val="en-CA"/>
        </w:rPr>
        <w:t xml:space="preserve"> with electrode potential for</w:t>
      </w:r>
      <w:r w:rsidR="005E509F" w:rsidRPr="00B4448E">
        <w:rPr>
          <w:rFonts w:ascii="Times New Roman" w:hAnsi="Times New Roman"/>
          <w:lang w:val="en-CA"/>
        </w:rPr>
        <w:t xml:space="preserve"> molecules </w:t>
      </w:r>
      <w:r w:rsidR="000C3544" w:rsidRPr="00B4448E">
        <w:rPr>
          <w:rFonts w:ascii="Times New Roman" w:hAnsi="Times New Roman"/>
          <w:lang w:val="en-CA"/>
        </w:rPr>
        <w:t xml:space="preserve">with </w:t>
      </w:r>
      <w:r w:rsidR="005E509F" w:rsidRPr="00B4448E">
        <w:rPr>
          <w:rFonts w:ascii="Times New Roman" w:hAnsi="Times New Roman"/>
          <w:lang w:val="en-CA"/>
        </w:rPr>
        <w:t>similar reaction mechanisms</w:t>
      </w:r>
      <w:r w:rsidR="00F04524" w:rsidRPr="00B4448E">
        <w:rPr>
          <w:rFonts w:ascii="Times New Roman" w:hAnsi="Times New Roman"/>
          <w:lang w:val="en-CA"/>
        </w:rPr>
        <w:t xml:space="preserve"> (</w:t>
      </w:r>
      <w:r w:rsidR="00F04524" w:rsidRPr="00B4448E">
        <w:rPr>
          <w:rFonts w:ascii="Times New Roman" w:hAnsi="Times New Roman"/>
          <w:szCs w:val="24"/>
          <w:lang w:val="en-CA"/>
        </w:rPr>
        <w:t xml:space="preserve">Figure </w:t>
      </w:r>
      <w:r w:rsidR="00BC7B77" w:rsidRPr="00B4448E">
        <w:rPr>
          <w:rFonts w:ascii="Times New Roman" w:hAnsi="Times New Roman"/>
          <w:szCs w:val="24"/>
          <w:lang w:val="en-CA"/>
        </w:rPr>
        <w:t>1c</w:t>
      </w:r>
      <w:r w:rsidR="00F04524" w:rsidRPr="00B4448E">
        <w:rPr>
          <w:rFonts w:ascii="Times New Roman" w:hAnsi="Times New Roman"/>
          <w:lang w:val="en-CA"/>
        </w:rPr>
        <w:t>)</w:t>
      </w:r>
      <w:r w:rsidR="00013318" w:rsidRPr="00B4448E">
        <w:rPr>
          <w:rFonts w:ascii="Times New Roman" w:hAnsi="Times New Roman"/>
          <w:lang w:val="en-CA"/>
        </w:rPr>
        <w:t xml:space="preserve"> </w:t>
      </w:r>
      <w:r w:rsidR="0017098B" w:rsidRPr="00B4448E">
        <w:rPr>
          <w:rFonts w:ascii="Times New Roman" w:hAnsi="Times New Roman"/>
          <w:lang w:val="en-CA"/>
        </w:rPr>
        <w:fldChar w:fldCharType="begin" w:fldLock="1"/>
      </w:r>
      <w:r w:rsidR="00D75310" w:rsidRPr="00B4448E">
        <w:rPr>
          <w:rFonts w:ascii="Times New Roman" w:hAnsi="Times New Roman"/>
          <w:lang w:val="en-CA"/>
        </w:rPr>
        <w:instrText>ADDIN CSL_CITATION {"citationItems":[{"id":"ITEM-1","itemData":{"DOI":"10.1002/aenm.201901418","author":[{"dropping-particle":"","family":"Leung","given":"Puiki","non-dropping-particle":"","parse-names":false,"suffix":""},{"dropping-particle":"","family":"Bu","given":"Junfu","non-dropping-particle":"","parse-names":false,"suffix":""},{"dropping-particle":"","family":"Velasco","given":"Pablo Quijano","non-dropping-particle":"","parse-names":false,"suffix":""},{"dropping-particle":"","family":"Roberts","given":"Matthew R","non-dropping-particle":"","parse-names":false,"suffix":""},{"dropping-particle":"","family":"Grobert","given":"Nicole","non-dropping-particle":"","parse-names":false,"suffix":""},{"dropping-particle":"","family":"Grant","given":"Patrick S","non-dropping-particle":"","parse-names":false,"suffix":""}],"container-title":"Advanced Energy Materials","id":"ITEM-1","issued":{"date-parts":[["2019"]]},"title":"Single-Step Spray Printing of Symmetric All-Organic Solid- State Batteries Based on Porous Textile Dye Electrodes","type":"article-journal","volume":"1901418"},"uris":["http://www.mendeley.com/documents/?uuid=cc12287b-2f7b-4587-823c-59464ef5f7a9"]},{"id":"ITEM-2","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-2","issue":"5","issued":{"date-parts":[["2016"]]},"page":"790-801","publisher":"Elsevier Inc.","title":"Exploring Bio-inspired Quinone-Based Organic Redox Flow Batteries : A Combined Experimental and Computational Study","type":"article-journal","volume":"1"},"uris":["http://www.mendeley.com/documents/?uuid=bb4f639b-539b-4605-b575-1e1c574d0113"]}],"mendeley":{"formattedCitation":"[40,46]","plainTextFormattedCitation":"[40,46]","previouslyFormattedCitation":"[40,45]"},"properties":{"noteIndex":0},"schema":"https://github.com/citation-style-language/schema/raw/master/csl-citation.json"}</w:instrText>
      </w:r>
      <w:r w:rsidR="0017098B" w:rsidRPr="00B4448E">
        <w:rPr>
          <w:rFonts w:ascii="Times New Roman" w:hAnsi="Times New Roman"/>
          <w:lang w:val="en-CA"/>
        </w:rPr>
        <w:fldChar w:fldCharType="separate"/>
      </w:r>
      <w:r w:rsidR="00D75310" w:rsidRPr="00B4448E">
        <w:rPr>
          <w:rFonts w:ascii="Times New Roman" w:hAnsi="Times New Roman"/>
          <w:noProof/>
          <w:lang w:val="en-CA"/>
        </w:rPr>
        <w:t>[40,46]</w:t>
      </w:r>
      <w:r w:rsidR="0017098B" w:rsidRPr="00B4448E">
        <w:rPr>
          <w:rFonts w:ascii="Times New Roman" w:hAnsi="Times New Roman"/>
          <w:lang w:val="en-CA"/>
        </w:rPr>
        <w:fldChar w:fldCharType="end"/>
      </w:r>
      <w:r w:rsidR="00013318" w:rsidRPr="00B4448E">
        <w:rPr>
          <w:rFonts w:ascii="Times New Roman" w:hAnsi="Times New Roman"/>
          <w:lang w:val="en-CA"/>
        </w:rPr>
        <w:t>.</w:t>
      </w:r>
      <w:r w:rsidR="0017098B" w:rsidRPr="00B4448E">
        <w:rPr>
          <w:rFonts w:ascii="Times New Roman" w:hAnsi="Times New Roman"/>
          <w:szCs w:val="18"/>
          <w:vertAlign w:val="superscript"/>
        </w:rPr>
        <w:t xml:space="preserve"> </w:t>
      </w:r>
      <w:r w:rsidR="005F3F25" w:rsidRPr="00B4448E">
        <w:rPr>
          <w:rFonts w:ascii="Times New Roman" w:hAnsi="Times New Roman"/>
          <w:lang w:val="en-CA"/>
        </w:rPr>
        <w:t>T</w:t>
      </w:r>
      <w:r w:rsidR="00BC377D" w:rsidRPr="00B4448E">
        <w:rPr>
          <w:rFonts w:ascii="Times New Roman" w:hAnsi="Times New Roman"/>
          <w:lang w:val="en-CA"/>
        </w:rPr>
        <w:t xml:space="preserve">he electrode potential of </w:t>
      </w:r>
      <w:r w:rsidRPr="00B4448E">
        <w:rPr>
          <w:rFonts w:ascii="Times New Roman" w:hAnsi="Times New Roman"/>
          <w:lang w:val="en-CA"/>
        </w:rPr>
        <w:t xml:space="preserve">the </w:t>
      </w:r>
      <w:r w:rsidR="00BC377D" w:rsidRPr="00B4448E">
        <w:rPr>
          <w:rFonts w:ascii="Times New Roman" w:hAnsi="Times New Roman"/>
          <w:lang w:val="en-CA"/>
        </w:rPr>
        <w:t>DB</w:t>
      </w:r>
      <w:r w:rsidR="0022507E" w:rsidRPr="00B4448E">
        <w:rPr>
          <w:rFonts w:ascii="Times New Roman" w:hAnsi="Times New Roman"/>
          <w:lang w:val="en-CA"/>
        </w:rPr>
        <w:t>-1</w:t>
      </w:r>
      <w:r w:rsidR="00BC377D" w:rsidRPr="00B4448E">
        <w:rPr>
          <w:rFonts w:ascii="Times New Roman" w:hAnsi="Times New Roman"/>
          <w:vertAlign w:val="superscript"/>
          <w:lang w:val="en-CA"/>
        </w:rPr>
        <w:t>4+</w:t>
      </w:r>
      <w:r w:rsidR="00BC377D" w:rsidRPr="00B4448E">
        <w:rPr>
          <w:rFonts w:ascii="Times New Roman" w:hAnsi="Times New Roman"/>
          <w:lang w:val="en-CA"/>
        </w:rPr>
        <w:t>/DB</w:t>
      </w:r>
      <w:r w:rsidR="0022507E" w:rsidRPr="00B4448E">
        <w:rPr>
          <w:rFonts w:ascii="Times New Roman" w:hAnsi="Times New Roman"/>
          <w:lang w:val="en-CA"/>
        </w:rPr>
        <w:t>-1</w:t>
      </w:r>
      <w:r w:rsidR="00BC377D" w:rsidRPr="00B4448E">
        <w:rPr>
          <w:rFonts w:ascii="Times New Roman" w:hAnsi="Times New Roman"/>
          <w:vertAlign w:val="superscript"/>
          <w:lang w:val="en-CA"/>
        </w:rPr>
        <w:t>2+</w:t>
      </w:r>
      <w:r w:rsidR="00440B02" w:rsidRPr="00B4448E">
        <w:rPr>
          <w:rFonts w:ascii="Times New Roman" w:hAnsi="Times New Roman"/>
          <w:lang w:val="en-CA"/>
        </w:rPr>
        <w:t xml:space="preserve"> </w:t>
      </w:r>
      <w:r w:rsidR="00825799" w:rsidRPr="00B4448E">
        <w:rPr>
          <w:rFonts w:ascii="Times New Roman" w:hAnsi="Times New Roman"/>
          <w:lang w:val="en-CA"/>
        </w:rPr>
        <w:t xml:space="preserve">redox couple </w:t>
      </w:r>
      <w:r w:rsidR="000C3544" w:rsidRPr="00B4448E">
        <w:rPr>
          <w:rFonts w:ascii="Times New Roman" w:hAnsi="Times New Roman"/>
          <w:lang w:val="en-CA"/>
        </w:rPr>
        <w:t xml:space="preserve">was calculated to be </w:t>
      </w:r>
      <w:r w:rsidR="00D06069" w:rsidRPr="00B4448E">
        <w:rPr>
          <w:rFonts w:ascii="Times New Roman" w:hAnsi="Times New Roman"/>
          <w:lang w:val="en-CA"/>
        </w:rPr>
        <w:t>4.4</w:t>
      </w:r>
      <w:r w:rsidR="00CA4B69" w:rsidRPr="00B4448E">
        <w:rPr>
          <w:rFonts w:ascii="Times New Roman" w:hAnsi="Times New Roman"/>
          <w:lang w:val="en-CA"/>
        </w:rPr>
        <w:t xml:space="preserve"> V </w:t>
      </w:r>
      <w:r w:rsidR="00CA4B69" w:rsidRPr="00B4448E">
        <w:rPr>
          <w:rFonts w:ascii="Times New Roman" w:hAnsi="Times New Roman"/>
          <w:i/>
          <w:lang w:val="en-CA"/>
        </w:rPr>
        <w:t>vs</w:t>
      </w:r>
      <w:r w:rsidR="00CA4B69" w:rsidRPr="00B4448E">
        <w:rPr>
          <w:rFonts w:ascii="Times New Roman" w:hAnsi="Times New Roman"/>
          <w:lang w:val="en-CA"/>
        </w:rPr>
        <w:t>. Li</w:t>
      </w:r>
      <w:r w:rsidR="00440B02" w:rsidRPr="00B4448E">
        <w:rPr>
          <w:rFonts w:ascii="Times New Roman" w:hAnsi="Times New Roman"/>
          <w:lang w:val="en-CA"/>
        </w:rPr>
        <w:t xml:space="preserve"> </w:t>
      </w:r>
      <w:r w:rsidR="005F3F25" w:rsidRPr="00B4448E">
        <w:rPr>
          <w:rFonts w:ascii="Times New Roman" w:hAnsi="Times New Roman"/>
          <w:lang w:val="en-CA"/>
        </w:rPr>
        <w:t xml:space="preserve">(Figure </w:t>
      </w:r>
      <w:r w:rsidR="001A6ACA" w:rsidRPr="00B4448E">
        <w:rPr>
          <w:rFonts w:ascii="Times New Roman" w:hAnsi="Times New Roman"/>
          <w:lang w:val="en-CA"/>
        </w:rPr>
        <w:t>1c</w:t>
      </w:r>
      <w:r w:rsidR="005F3F25" w:rsidRPr="00B4448E">
        <w:rPr>
          <w:rFonts w:ascii="Times New Roman" w:hAnsi="Times New Roman"/>
          <w:lang w:val="en-CA"/>
        </w:rPr>
        <w:t>)</w:t>
      </w:r>
      <w:r w:rsidR="000C3544" w:rsidRPr="00B4448E">
        <w:rPr>
          <w:rFonts w:ascii="Times New Roman" w:hAnsi="Times New Roman"/>
          <w:lang w:val="en-CA"/>
        </w:rPr>
        <w:t>, which</w:t>
      </w:r>
      <w:r w:rsidR="005F3F25" w:rsidRPr="00B4448E">
        <w:rPr>
          <w:rFonts w:ascii="Times New Roman" w:hAnsi="Times New Roman"/>
          <w:lang w:val="en-CA"/>
        </w:rPr>
        <w:t xml:space="preserve"> </w:t>
      </w:r>
      <w:r w:rsidRPr="00B4448E">
        <w:rPr>
          <w:rFonts w:ascii="Times New Roman" w:hAnsi="Times New Roman"/>
          <w:lang w:val="en-CA"/>
        </w:rPr>
        <w:t>is</w:t>
      </w:r>
      <w:r w:rsidR="00440B02" w:rsidRPr="00B4448E">
        <w:rPr>
          <w:rFonts w:ascii="Times New Roman" w:hAnsi="Times New Roman"/>
          <w:lang w:val="en-CA"/>
        </w:rPr>
        <w:t xml:space="preserve"> even more positive than those </w:t>
      </w:r>
      <w:r w:rsidR="005F3F25" w:rsidRPr="00B4448E">
        <w:rPr>
          <w:rFonts w:ascii="Times New Roman" w:hAnsi="Times New Roman"/>
          <w:lang w:val="en-CA"/>
        </w:rPr>
        <w:t xml:space="preserve">for </w:t>
      </w:r>
      <w:r w:rsidRPr="00B4448E">
        <w:rPr>
          <w:rFonts w:ascii="Times New Roman" w:hAnsi="Times New Roman"/>
          <w:lang w:val="en-CA"/>
        </w:rPr>
        <w:t xml:space="preserve">molecules containing </w:t>
      </w:r>
      <w:r w:rsidR="00440B02" w:rsidRPr="00B4448E">
        <w:rPr>
          <w:rFonts w:ascii="Times New Roman" w:hAnsi="Times New Roman"/>
          <w:lang w:val="en-CA"/>
        </w:rPr>
        <w:t>electroposit</w:t>
      </w:r>
      <w:r w:rsidR="00202AFF" w:rsidRPr="00B4448E">
        <w:rPr>
          <w:rFonts w:ascii="Times New Roman" w:hAnsi="Times New Roman"/>
          <w:lang w:val="en-CA"/>
        </w:rPr>
        <w:t>ive nitrogen centre cations, e.g</w:t>
      </w:r>
      <w:r w:rsidR="00440B02" w:rsidRPr="00B4448E">
        <w:rPr>
          <w:rFonts w:ascii="Times New Roman" w:hAnsi="Times New Roman"/>
          <w:lang w:val="en-CA"/>
        </w:rPr>
        <w:t>. TEMPO</w:t>
      </w:r>
      <w:r w:rsidR="00440B02" w:rsidRPr="00B4448E">
        <w:rPr>
          <w:rFonts w:ascii="Times New Roman" w:hAnsi="Times New Roman"/>
          <w:vertAlign w:val="superscript"/>
          <w:lang w:val="en-CA"/>
        </w:rPr>
        <w:t>+</w:t>
      </w:r>
      <w:r w:rsidR="00440B02" w:rsidRPr="00B4448E">
        <w:rPr>
          <w:rFonts w:ascii="Times New Roman" w:hAnsi="Times New Roman"/>
          <w:lang w:val="en-CA"/>
        </w:rPr>
        <w:t xml:space="preserve"> and PD</w:t>
      </w:r>
      <w:r w:rsidR="00440B02" w:rsidRPr="00B4448E">
        <w:rPr>
          <w:rFonts w:ascii="Times New Roman" w:hAnsi="Times New Roman"/>
          <w:vertAlign w:val="superscript"/>
          <w:lang w:val="en-CA"/>
        </w:rPr>
        <w:t>2+</w:t>
      </w:r>
      <w:r w:rsidR="00440B02" w:rsidRPr="00B4448E">
        <w:rPr>
          <w:rFonts w:ascii="Times New Roman" w:hAnsi="Times New Roman"/>
          <w:lang w:val="en-CA"/>
        </w:rPr>
        <w:t>.</w:t>
      </w:r>
      <w:r w:rsidR="00CA4B69" w:rsidRPr="00B4448E">
        <w:rPr>
          <w:rFonts w:ascii="Times New Roman" w:hAnsi="Times New Roman"/>
          <w:lang w:val="en-CA"/>
        </w:rPr>
        <w:t xml:space="preserve"> </w:t>
      </w:r>
      <w:r w:rsidR="0022507E" w:rsidRPr="00B4448E">
        <w:rPr>
          <w:rFonts w:ascii="Times New Roman" w:hAnsi="Times New Roman"/>
          <w:lang w:val="en-CA"/>
        </w:rPr>
        <w:t xml:space="preserve">The typical </w:t>
      </w:r>
      <w:r w:rsidR="001B20E3" w:rsidRPr="00B4448E">
        <w:rPr>
          <w:rFonts w:ascii="Times New Roman" w:hAnsi="Times New Roman"/>
          <w:lang w:val="en-CA"/>
        </w:rPr>
        <w:t>electrode potential</w:t>
      </w:r>
      <w:r w:rsidR="00B925E7" w:rsidRPr="00B4448E">
        <w:rPr>
          <w:rFonts w:ascii="Times New Roman" w:hAnsi="Times New Roman"/>
          <w:lang w:val="en-CA"/>
        </w:rPr>
        <w:t xml:space="preserve"> </w:t>
      </w:r>
      <w:r w:rsidR="00766457" w:rsidRPr="00B4448E">
        <w:rPr>
          <w:rFonts w:ascii="Times New Roman" w:hAnsi="Times New Roman"/>
          <w:lang w:val="en-CA"/>
        </w:rPr>
        <w:t xml:space="preserve">of </w:t>
      </w:r>
      <w:r w:rsidR="0022507E" w:rsidRPr="00B4448E">
        <w:rPr>
          <w:rFonts w:ascii="Times New Roman" w:hAnsi="Times New Roman"/>
          <w:lang w:val="en-CA"/>
        </w:rPr>
        <w:t>‘quinone’ reaction of DB-1/DB-1</w:t>
      </w:r>
      <w:r w:rsidR="0022507E" w:rsidRPr="00B4448E">
        <w:rPr>
          <w:rFonts w:ascii="Times New Roman" w:hAnsi="Times New Roman"/>
          <w:vertAlign w:val="superscript"/>
          <w:lang w:val="en-CA"/>
        </w:rPr>
        <w:t>2</w:t>
      </w:r>
      <w:r w:rsidR="0022507E" w:rsidRPr="00B4448E">
        <w:rPr>
          <w:rFonts w:ascii="Symbol" w:hAnsi="Symbol"/>
          <w:vertAlign w:val="superscript"/>
          <w:lang w:val="en-CA"/>
        </w:rPr>
        <w:t></w:t>
      </w:r>
      <w:r w:rsidR="0022507E" w:rsidRPr="00B4448E">
        <w:rPr>
          <w:rFonts w:ascii="Times New Roman" w:hAnsi="Times New Roman"/>
          <w:lang w:val="en-CA"/>
        </w:rPr>
        <w:t xml:space="preserve"> was more negative than most </w:t>
      </w:r>
      <w:r w:rsidR="0022507E" w:rsidRPr="00B4448E">
        <w:rPr>
          <w:rFonts w:ascii="Times New Roman" w:hAnsi="Times New Roman"/>
          <w:lang w:val="en-CA"/>
        </w:rPr>
        <w:lastRenderedPageBreak/>
        <w:t>quinone molecules, i.e. BQ, NQ and AQ, due to the incorporation</w:t>
      </w:r>
      <w:r w:rsidR="00E50B54" w:rsidRPr="00B4448E">
        <w:rPr>
          <w:rFonts w:ascii="Times New Roman" w:hAnsi="Times New Roman"/>
          <w:lang w:val="en-CA"/>
        </w:rPr>
        <w:t>s</w:t>
      </w:r>
      <w:r w:rsidR="0022507E" w:rsidRPr="00B4448E">
        <w:rPr>
          <w:rFonts w:ascii="Times New Roman" w:hAnsi="Times New Roman"/>
          <w:lang w:val="en-CA"/>
        </w:rPr>
        <w:t xml:space="preserve"> of amino groups and </w:t>
      </w:r>
      <w:r w:rsidR="00BC2399" w:rsidRPr="00B4448E">
        <w:rPr>
          <w:rFonts w:ascii="Times New Roman" w:hAnsi="Times New Roman"/>
          <w:lang w:val="en-CA"/>
        </w:rPr>
        <w:t>the</w:t>
      </w:r>
      <w:r w:rsidR="0022507E" w:rsidRPr="00B4448E">
        <w:rPr>
          <w:rFonts w:ascii="Times New Roman" w:hAnsi="Times New Roman"/>
          <w:lang w:val="en-CA"/>
        </w:rPr>
        <w:t xml:space="preserve"> high degree of aromaticity</w:t>
      </w:r>
      <w:r w:rsidR="00013318" w:rsidRPr="00B4448E">
        <w:rPr>
          <w:rFonts w:ascii="Times New Roman" w:hAnsi="Times New Roman"/>
          <w:lang w:val="en-CA"/>
        </w:rPr>
        <w:t xml:space="preserve"> </w:t>
      </w:r>
      <w:r w:rsidR="006B76BA" w:rsidRPr="00B4448E">
        <w:rPr>
          <w:rFonts w:ascii="Times New Roman" w:hAnsi="Times New Roman"/>
          <w:lang w:val="en-CA"/>
        </w:rPr>
        <w:fldChar w:fldCharType="begin" w:fldLock="1"/>
      </w:r>
      <w:r w:rsidR="00D75310" w:rsidRPr="00B4448E">
        <w:rPr>
          <w:rFonts w:ascii="Times New Roman" w:hAnsi="Times New Roman"/>
          <w:lang w:val="en-CA"/>
        </w:rPr>
        <w:instrText>ADDIN CSL_CITATION {"citationItems":[{"id":"ITEM-1","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-1","issue":"5","issued":{"date-parts":[["2016"]]},"page":"790-801","publisher":"Elsevier Inc.","title":"Exploring Bio-inspired Quinone-Based Organic Redox Flow Batteries : A Combined Experimental and Computational Study","type":"article-journal","volume":"1"},"uris":["http://www.mendeley.com/documents/?uuid=bb4f639b-539b-4605-b575-1e1c574d0113"]},{"id":"ITEM-2","itemData":{"DOI":"10.1021/jacs.5b13279","author":[{"dropping-particle":"","family":"Kim","given":"Ki Chul","non-dropping-particle":"","parse-names":false,"suffix":""},{"dropping-particle":"","family":"Liu","given":"Tianyuan","non-dropping-particle":"","parse-names":false,"suffix":""},{"dropping-particle":"","family":"Lee","given":"Seung Woo","non-dropping-particle":"","parse-names":false,"suffix":""},{"dropping-particle":"","family":"Jang","given":"Seung Soon","non-dropping-particle":"","parse-names":false,"suffix":""}],"container-title":"Journal of the American Chemical Society","id":"ITEM-2","issued":{"date-parts":[["2016"]]},"page":"2374−2382","title":"First-Principles Density Functional Theory Modeling of Li Binding : Thermodynamics and Redox Properties of Quinone Derivatives for Lithium-Ion Batteries","type":"article-journal","volume":"138"},"uris":["http://www.mendeley.com/documents/?uuid=421776d1-aec3-42bf-a9e8-19de1a790675"]},{"id":"ITEM-3","itemData":{"DOI":"10.1002/aenm.201901418","author":[{"dropping-particle":"","family":"Leung","given":"Puiki","non-dropping-particle":"","parse-names":false,"suffix":""},{"dropping-particle":"","family":"Bu","given":"Junfu","non-dropping-particle":"","parse-names":false,"suffix":""},{"dropping-particle":"","family":"Velasco","given":"Pablo Quijano","non-dropping-particle":"","parse-names":false,"suffix":""},{"dropping-particle":"","family":"Roberts","given":"Matthew R","non-dropping-particle":"","parse-names":false,"suffix":""},{"dropping-particle":"","family":"Grobert","given":"Nicole","non-dropping-particle":"","parse-names":false,"suffix":""},{"dropping-particle":"","family":"Grant","given":"Patrick S","non-dropping-particle":"","parse-names":false,"suffix":""}],"container-title":"Advanced Energy Materials","id":"ITEM-3","issued":{"date-parts":[["2019"]]},"title":"Single-Step Spray Printing of Symmetric All-Organic Solid- State Batteries Based on Porous Textile Dye Electrodes","type":"article-journal","volume":"1901418"},"uris":["http://www.mendeley.com/documents/?uuid=cc12287b-2f7b-4587-823c-59464ef5f7a9"]}],"mendeley":{"formattedCitation":"[40,43,46]","manualFormatting":"[40,43,45","plainTextFormattedCitation":"[40,43,46]","previouslyFormattedCitation":"[40,43,45]"},"properties":{"noteIndex":0},"schema":"https://github.com/citation-style-language/schema/raw/master/csl-citation.json"}</w:instrText>
      </w:r>
      <w:r w:rsidR="006B76BA" w:rsidRPr="00B4448E">
        <w:rPr>
          <w:rFonts w:ascii="Times New Roman" w:hAnsi="Times New Roman"/>
          <w:lang w:val="en-CA"/>
        </w:rPr>
        <w:fldChar w:fldCharType="separate"/>
      </w:r>
      <w:r w:rsidR="00B464FF" w:rsidRPr="00B4448E">
        <w:rPr>
          <w:rFonts w:ascii="Times New Roman" w:hAnsi="Times New Roman"/>
          <w:noProof/>
          <w:lang w:val="en-CA"/>
        </w:rPr>
        <w:t>[40,43,45</w:t>
      </w:r>
      <w:r w:rsidR="006B76BA" w:rsidRPr="00B4448E">
        <w:rPr>
          <w:rFonts w:ascii="Times New Roman" w:hAnsi="Times New Roman"/>
          <w:lang w:val="en-CA"/>
        </w:rPr>
        <w:fldChar w:fldCharType="end"/>
      </w:r>
      <w:r w:rsidR="008E0C47" w:rsidRPr="00B4448E">
        <w:rPr>
          <w:rFonts w:ascii="Times New Roman" w:hAnsi="Times New Roman"/>
          <w:szCs w:val="18"/>
        </w:rPr>
        <w:t>,</w:t>
      </w:r>
      <w:r w:rsidR="008E0C47" w:rsidRPr="00B4448E">
        <w:rPr>
          <w:rFonts w:ascii="Times New Roman" w:hAnsi="Times New Roman"/>
          <w:szCs w:val="18"/>
          <w:vertAlign w:val="superscript"/>
        </w:rPr>
        <w:fldChar w:fldCharType="begin" w:fldLock="1"/>
      </w:r>
      <w:r w:rsidR="00D75310" w:rsidRPr="00B4448E">
        <w:rPr>
          <w:rFonts w:ascii="Times New Roman" w:hAnsi="Times New Roman"/>
          <w:szCs w:val="18"/>
          <w:vertAlign w:val="superscript"/>
        </w:rPr>
        <w:instrText>ADDIN CSL_CITATION {"citationItems":[{"id":"ITEM-1","itemData":{"DOI":"10.1016/j.cplett.2004.08.089","ISSN":"00092614","abstract":"Electrode potentials are computed theoretically for quinones in aqueous solution by using density functional theory. The calculations are carried out at the DFT-B3LYP level with the inclusion of entropic and thermochemical corrections to yield free energies of redox reactions. The Polarizable Continuum Model is used to describe the solvent. The average error of calculation of electrode potentials is less than 0.05 V and is decreased compared to the average error of methods previously presented. Such first principles predictions of electrode potentials should be useful for predicting and interpreting electrode potentials for other systems. © 2004 Published by Elsevier B.V.","author":[{"dropping-particle":"","family":"Namazian","given":"Mansoor","non-dropping-particle":"","parse-names":false,"suffix":""},{"dropping-particle":"","family":"Almodarresieh","given":"Hora A.","non-dropping-particle":"","parse-names":false,"suffix":""},{"dropping-particle":"","family":"Noorbala","given":"Mohammad R.","non-dropping-particle":"","parse-names":false,"suffix":""},{"dropping-particle":"","family":"Zare","given":"Hamid R.","non-dropping-particle":"","parse-names":false,"suffix":""}],"container-title":"Chemical Physics Letters","id":"ITEM-1","issue":"4-6","issued":{"date-parts":[["2004"]]},"page":"424-428","title":"DFT calculation of electrode potentials for substituted quinones in aqueous solution","type":"article-journal","volume":"396"},"uris":["http://www.mendeley.com/documents/?uuid=0aba6cba-6a7b-4dbf-a4e0-da1085bf6c76"]}],"mendeley":{"formattedCitation":"[54]","manualFormatting":"52]","plainTextFormattedCitation":"[54]","previouslyFormattedCitation":"[53]"},"properties":{"noteIndex":0},"schema":"https://github.com/citation-style-language/schema/raw/master/csl-citation.json"}</w:instrText>
      </w:r>
      <w:r w:rsidR="008E0C47" w:rsidRPr="00B4448E">
        <w:rPr>
          <w:rFonts w:ascii="Times New Roman" w:hAnsi="Times New Roman"/>
          <w:szCs w:val="18"/>
          <w:vertAlign w:val="superscript"/>
        </w:rPr>
        <w:fldChar w:fldCharType="separate"/>
      </w:r>
      <w:r w:rsidR="00B464FF" w:rsidRPr="00B4448E">
        <w:rPr>
          <w:rFonts w:ascii="Times New Roman" w:hAnsi="Times New Roman"/>
          <w:noProof/>
          <w:szCs w:val="18"/>
        </w:rPr>
        <w:t>52]</w:t>
      </w:r>
      <w:r w:rsidR="008E0C47" w:rsidRPr="00B4448E">
        <w:rPr>
          <w:rFonts w:ascii="Times New Roman" w:hAnsi="Times New Roman"/>
          <w:szCs w:val="18"/>
          <w:vertAlign w:val="superscript"/>
        </w:rPr>
        <w:fldChar w:fldCharType="end"/>
      </w:r>
      <w:r w:rsidR="00013318" w:rsidRPr="00B4448E">
        <w:rPr>
          <w:rFonts w:ascii="Times New Roman" w:hAnsi="Times New Roman"/>
          <w:szCs w:val="18"/>
        </w:rPr>
        <w:t>.</w:t>
      </w:r>
    </w:p>
    <w:p w14:paraId="632DEF18" w14:textId="77777777" w:rsidR="001A0E16" w:rsidRPr="00B4448E" w:rsidRDefault="001A0E16" w:rsidP="00B22127">
      <w:pPr>
        <w:pStyle w:val="BGKeywords"/>
        <w:spacing w:after="0" w:line="360" w:lineRule="auto"/>
        <w:jc w:val="center"/>
        <w:rPr>
          <w:rFonts w:ascii="Times New Roman" w:hAnsi="Times New Roman"/>
          <w:szCs w:val="18"/>
        </w:rPr>
      </w:pPr>
    </w:p>
    <w:p w14:paraId="6AB5FFA3" w14:textId="23FAAF90" w:rsidR="00D33160" w:rsidRPr="00B4448E" w:rsidRDefault="00B22127" w:rsidP="00B22127">
      <w:pPr>
        <w:pStyle w:val="BGKeywords"/>
        <w:spacing w:after="0" w:line="360" w:lineRule="auto"/>
        <w:jc w:val="center"/>
        <w:rPr>
          <w:rFonts w:ascii="Times New Roman" w:hAnsi="Times New Roman"/>
          <w:szCs w:val="18"/>
        </w:rPr>
      </w:pPr>
      <w:r w:rsidRPr="00B4448E">
        <w:rPr>
          <w:rFonts w:ascii="Times New Roman" w:hAnsi="Times New Roman"/>
          <w:noProof/>
          <w:szCs w:val="18"/>
          <w:lang w:val="en-GB" w:eastAsia="en-GB"/>
        </w:rPr>
        <w:drawing>
          <wp:inline distT="0" distB="0" distL="0" distR="0" wp14:anchorId="180F008B" wp14:editId="299B0DCB">
            <wp:extent cx="2988000" cy="2655664"/>
            <wp:effectExtent l="0" t="0" r="3175"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conversion rate.tif"/>
                    <pic:cNvPicPr/>
                  </pic:nvPicPr>
                  <pic:blipFill rotWithShape="1">
                    <a:blip r:embed="rId19" cstate="print">
                      <a:extLst>
                        <a:ext uri="{28A0092B-C50C-407E-A947-70E740481C1C}">
                          <a14:useLocalDpi xmlns:a14="http://schemas.microsoft.com/office/drawing/2010/main" val="0"/>
                        </a:ext>
                      </a:extLst>
                    </a:blip>
                    <a:srcRect l="11859" r="24840"/>
                    <a:stretch/>
                  </pic:blipFill>
                  <pic:spPr bwMode="auto">
                    <a:xfrm>
                      <a:off x="0" y="0"/>
                      <a:ext cx="2988000" cy="2655664"/>
                    </a:xfrm>
                    <a:prstGeom prst="rect">
                      <a:avLst/>
                    </a:prstGeom>
                    <a:ln>
                      <a:noFill/>
                    </a:ln>
                    <a:extLst>
                      <a:ext uri="{53640926-AAD7-44D8-BBD7-CCE9431645EC}">
                        <a14:shadowObscured xmlns:a14="http://schemas.microsoft.com/office/drawing/2010/main"/>
                      </a:ext>
                    </a:extLst>
                  </pic:spPr>
                </pic:pic>
              </a:graphicData>
            </a:graphic>
          </wp:inline>
        </w:drawing>
      </w:r>
    </w:p>
    <w:p w14:paraId="16988CE9" w14:textId="0513AE4E" w:rsidR="005747C3" w:rsidRPr="00B4448E" w:rsidRDefault="00A527DD" w:rsidP="00A527DD">
      <w:pPr>
        <w:pStyle w:val="BGKeywords"/>
        <w:spacing w:after="0" w:line="360" w:lineRule="auto"/>
        <w:jc w:val="center"/>
        <w:rPr>
          <w:rFonts w:ascii="Times New Roman" w:hAnsi="Times New Roman"/>
          <w:szCs w:val="18"/>
        </w:rPr>
      </w:pPr>
      <w:r w:rsidRPr="00B4448E">
        <w:rPr>
          <w:rFonts w:ascii="Times New Roman" w:hAnsi="Times New Roman"/>
          <w:noProof/>
          <w:color w:val="FF0000"/>
          <w:szCs w:val="18"/>
          <w:lang w:val="en-GB" w:eastAsia="en-GB"/>
        </w:rPr>
        <w:drawing>
          <wp:inline distT="0" distB="0" distL="0" distR="0" wp14:anchorId="628A365B" wp14:editId="4EBF44C8">
            <wp:extent cx="2988000" cy="2355337"/>
            <wp:effectExtent l="0" t="0" r="3175" b="698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bsquare.tif"/>
                    <pic:cNvPicPr/>
                  </pic:nvPicPr>
                  <pic:blipFill rotWithShape="1">
                    <a:blip r:embed="rId20" cstate="print">
                      <a:extLst>
                        <a:ext uri="{28A0092B-C50C-407E-A947-70E740481C1C}">
                          <a14:useLocalDpi xmlns:a14="http://schemas.microsoft.com/office/drawing/2010/main" val="0"/>
                        </a:ext>
                      </a:extLst>
                    </a:blip>
                    <a:srcRect l="17948" t="5983" r="19231" b="5983"/>
                    <a:stretch/>
                  </pic:blipFill>
                  <pic:spPr bwMode="auto">
                    <a:xfrm>
                      <a:off x="0" y="0"/>
                      <a:ext cx="2988000" cy="2355337"/>
                    </a:xfrm>
                    <a:prstGeom prst="rect">
                      <a:avLst/>
                    </a:prstGeom>
                    <a:ln>
                      <a:noFill/>
                    </a:ln>
                    <a:extLst>
                      <a:ext uri="{53640926-AAD7-44D8-BBD7-CCE9431645EC}">
                        <a14:shadowObscured xmlns:a14="http://schemas.microsoft.com/office/drawing/2010/main"/>
                      </a:ext>
                    </a:extLst>
                  </pic:spPr>
                </pic:pic>
              </a:graphicData>
            </a:graphic>
          </wp:inline>
        </w:drawing>
      </w:r>
    </w:p>
    <w:p w14:paraId="5F12886D" w14:textId="77777777" w:rsidR="00C77681" w:rsidRPr="00B4448E" w:rsidRDefault="00C77681" w:rsidP="00A527DD">
      <w:pPr>
        <w:pStyle w:val="BGKeywords"/>
        <w:spacing w:after="0" w:line="360" w:lineRule="auto"/>
        <w:jc w:val="center"/>
        <w:rPr>
          <w:rFonts w:ascii="Times New Roman" w:hAnsi="Times New Roman"/>
          <w:szCs w:val="18"/>
        </w:rPr>
      </w:pPr>
    </w:p>
    <w:p w14:paraId="11CB3505" w14:textId="77777777" w:rsidR="0084267F" w:rsidRPr="00B4448E" w:rsidRDefault="005A29FA" w:rsidP="00602CA8">
      <w:pPr>
        <w:pStyle w:val="BGKeywords"/>
        <w:spacing w:after="0" w:line="360" w:lineRule="auto"/>
        <w:jc w:val="center"/>
        <w:rPr>
          <w:rFonts w:ascii="Times New Roman" w:hAnsi="Times New Roman"/>
          <w:szCs w:val="18"/>
        </w:rPr>
      </w:pPr>
      <w:r w:rsidRPr="00B4448E">
        <w:rPr>
          <w:rFonts w:ascii="Times New Roman" w:hAnsi="Times New Roman"/>
          <w:noProof/>
          <w:color w:val="FF0000"/>
          <w:szCs w:val="18"/>
          <w:lang w:val="en-GB" w:eastAsia="en-GB"/>
        </w:rPr>
        <w:lastRenderedPageBreak/>
        <w:drawing>
          <wp:inline distT="0" distB="0" distL="0" distR="0" wp14:anchorId="3FEA09DF" wp14:editId="14D6CB43">
            <wp:extent cx="2988000" cy="2624794"/>
            <wp:effectExtent l="0" t="0" r="3175" b="444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g1c new.tif"/>
                    <pic:cNvPicPr/>
                  </pic:nvPicPr>
                  <pic:blipFill rotWithShape="1">
                    <a:blip r:embed="rId21" cstate="print">
                      <a:extLst>
                        <a:ext uri="{28A0092B-C50C-407E-A947-70E740481C1C}">
                          <a14:useLocalDpi xmlns:a14="http://schemas.microsoft.com/office/drawing/2010/main" val="0"/>
                        </a:ext>
                      </a:extLst>
                    </a:blip>
                    <a:srcRect l="4327" t="5698" r="33654"/>
                    <a:stretch/>
                  </pic:blipFill>
                  <pic:spPr bwMode="auto">
                    <a:xfrm>
                      <a:off x="0" y="0"/>
                      <a:ext cx="2988000" cy="2624794"/>
                    </a:xfrm>
                    <a:prstGeom prst="rect">
                      <a:avLst/>
                    </a:prstGeom>
                    <a:ln>
                      <a:noFill/>
                    </a:ln>
                    <a:extLst>
                      <a:ext uri="{53640926-AAD7-44D8-BBD7-CCE9431645EC}">
                        <a14:shadowObscured xmlns:a14="http://schemas.microsoft.com/office/drawing/2010/main"/>
                      </a:ext>
                    </a:extLst>
                  </pic:spPr>
                </pic:pic>
              </a:graphicData>
            </a:graphic>
          </wp:inline>
        </w:drawing>
      </w:r>
    </w:p>
    <w:p w14:paraId="3ACAEC1A" w14:textId="77777777" w:rsidR="0084267F" w:rsidRPr="00B4448E" w:rsidRDefault="0084267F" w:rsidP="00602CA8">
      <w:pPr>
        <w:pStyle w:val="BGKeywords"/>
        <w:spacing w:after="0" w:line="360" w:lineRule="auto"/>
        <w:jc w:val="center"/>
        <w:rPr>
          <w:rFonts w:ascii="Times New Roman" w:hAnsi="Times New Roman"/>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21"/>
      </w:tblGrid>
      <w:tr w:rsidR="0084267F" w:rsidRPr="00B4448E" w14:paraId="7715FBD5" w14:textId="77777777" w:rsidTr="004D4944">
        <w:tc>
          <w:tcPr>
            <w:tcW w:w="1129" w:type="dxa"/>
          </w:tcPr>
          <w:p w14:paraId="15D083C1" w14:textId="4D9CBBFB" w:rsidR="0084267F" w:rsidRPr="00B4448E" w:rsidRDefault="0084267F" w:rsidP="00704C7F">
            <w:pPr>
              <w:pStyle w:val="BGKeywords"/>
              <w:spacing w:after="0" w:line="360" w:lineRule="auto"/>
              <w:rPr>
                <w:rFonts w:asciiTheme="majorBidi" w:hAnsiTheme="majorBidi" w:cstheme="majorBidi"/>
                <w:szCs w:val="24"/>
                <w:lang w:val="en-GB"/>
              </w:rPr>
            </w:pPr>
            <w:r w:rsidRPr="00B4448E">
              <w:rPr>
                <w:rFonts w:ascii="Times New Roman" w:hAnsi="Times New Roman"/>
              </w:rPr>
              <w:t xml:space="preserve">Figure </w:t>
            </w:r>
            <w:r w:rsidR="00704C7F" w:rsidRPr="00B4448E">
              <w:rPr>
                <w:rFonts w:ascii="Times New Roman" w:hAnsi="Times New Roman"/>
              </w:rPr>
              <w:t>1</w:t>
            </w:r>
            <w:r w:rsidRPr="00B4448E">
              <w:rPr>
                <w:rFonts w:ascii="Times New Roman" w:hAnsi="Times New Roman"/>
              </w:rPr>
              <w:t>.</w:t>
            </w:r>
          </w:p>
        </w:tc>
        <w:tc>
          <w:tcPr>
            <w:tcW w:w="8221" w:type="dxa"/>
          </w:tcPr>
          <w:p w14:paraId="7B5B4293" w14:textId="118BC382" w:rsidR="0084267F" w:rsidRPr="00B4448E" w:rsidRDefault="0084267F" w:rsidP="004D4944">
            <w:pPr>
              <w:autoSpaceDE w:val="0"/>
              <w:autoSpaceDN w:val="0"/>
              <w:adjustRightInd w:val="0"/>
              <w:spacing w:line="240" w:lineRule="auto"/>
              <w:jc w:val="both"/>
              <w:rPr>
                <w:rFonts w:ascii="Times New Roman" w:eastAsia="Times New Roman" w:hAnsi="Times New Roman" w:cs="Times New Roman"/>
                <w:sz w:val="24"/>
                <w:szCs w:val="20"/>
              </w:rPr>
            </w:pPr>
            <w:r w:rsidRPr="00B4448E">
              <w:rPr>
                <w:rFonts w:ascii="Times New Roman" w:eastAsia="Times New Roman" w:hAnsi="Times New Roman" w:cs="Times New Roman"/>
                <w:sz w:val="24"/>
                <w:szCs w:val="20"/>
              </w:rPr>
              <w:t>a) Comparison of the upper potential limit of redox active materials versus theoretical capacity (Ah/kg) for reported organic batteries (RFBs and Li-ion batteries). The molecular orbital energy levels of DB-1 and other similar organic molecules obtained by DFT calculations in DMSO solvent; b) HOMO and LUMO energy levels; c) LUMO energy as a function of the electrode potential for molecules (Q</w:t>
            </w:r>
            <w:r w:rsidRPr="00B4448E">
              <w:rPr>
                <w:rFonts w:ascii="Times New Roman" w:eastAsia="Times New Roman" w:hAnsi="Times New Roman" w:cs="Times New Roman"/>
                <w:sz w:val="24"/>
                <w:szCs w:val="20"/>
                <w:vertAlign w:val="superscript"/>
              </w:rPr>
              <w:t>n-2</w:t>
            </w:r>
            <w:r w:rsidRPr="00B4448E">
              <w:rPr>
                <w:rFonts w:ascii="Times New Roman" w:eastAsia="Times New Roman" w:hAnsi="Times New Roman" w:cs="Times New Roman"/>
                <w:sz w:val="24"/>
                <w:szCs w:val="20"/>
              </w:rPr>
              <w:t xml:space="preserve">/ </w:t>
            </w:r>
            <w:proofErr w:type="spellStart"/>
            <w:r w:rsidRPr="00B4448E">
              <w:rPr>
                <w:rFonts w:ascii="Times New Roman" w:eastAsia="Times New Roman" w:hAnsi="Times New Roman" w:cs="Times New Roman"/>
                <w:sz w:val="24"/>
                <w:szCs w:val="20"/>
              </w:rPr>
              <w:t>Q</w:t>
            </w:r>
            <w:r w:rsidRPr="00B4448E">
              <w:rPr>
                <w:rFonts w:ascii="Times New Roman" w:eastAsia="Times New Roman" w:hAnsi="Times New Roman" w:cs="Times New Roman"/>
                <w:sz w:val="24"/>
                <w:szCs w:val="20"/>
                <w:vertAlign w:val="superscript"/>
              </w:rPr>
              <w:t>n</w:t>
            </w:r>
            <w:proofErr w:type="spellEnd"/>
            <w:r w:rsidRPr="00B4448E">
              <w:rPr>
                <w:rFonts w:ascii="Times New Roman" w:eastAsia="Times New Roman" w:hAnsi="Times New Roman" w:cs="Times New Roman"/>
                <w:sz w:val="24"/>
                <w:szCs w:val="20"/>
              </w:rPr>
              <w:t xml:space="preserve">, </w:t>
            </w:r>
            <w:r w:rsidR="00704C7F" w:rsidRPr="00B4448E">
              <w:rPr>
                <w:rFonts w:ascii="Times New Roman" w:eastAsia="Times New Roman" w:hAnsi="Times New Roman" w:cs="Times New Roman"/>
                <w:sz w:val="24"/>
                <w:szCs w:val="20"/>
              </w:rPr>
              <w:t xml:space="preserve">0 ≤ </w:t>
            </w:r>
            <w:r w:rsidRPr="00B4448E">
              <w:rPr>
                <w:rFonts w:ascii="Times New Roman" w:eastAsia="Times New Roman" w:hAnsi="Times New Roman" w:cs="Times New Roman"/>
                <w:sz w:val="24"/>
                <w:szCs w:val="20"/>
              </w:rPr>
              <w:t>n ≤ 4) where reduction is occurring on O= or N</w:t>
            </w:r>
            <w:r w:rsidRPr="00B4448E">
              <w:rPr>
                <w:rFonts w:ascii="Times New Roman" w:eastAsia="Times New Roman" w:hAnsi="Times New Roman" w:cs="Times New Roman"/>
                <w:sz w:val="24"/>
                <w:szCs w:val="20"/>
                <w:vertAlign w:val="superscript"/>
              </w:rPr>
              <w:t>+</w:t>
            </w:r>
            <w:r w:rsidRPr="00B4448E">
              <w:rPr>
                <w:rFonts w:ascii="Times New Roman" w:eastAsia="Times New Roman" w:hAnsi="Times New Roman" w:cs="Times New Roman"/>
                <w:sz w:val="24"/>
                <w:szCs w:val="20"/>
              </w:rPr>
              <w:t>= groups. HOMO and LUMO distributions of DB-1 for the oxidation and reduction sites are available in Figure S2.</w:t>
            </w:r>
          </w:p>
        </w:tc>
      </w:tr>
    </w:tbl>
    <w:p w14:paraId="0750E158" w14:textId="3AED405C" w:rsidR="006837A8" w:rsidRPr="00B4448E" w:rsidRDefault="006837A8" w:rsidP="00602CA8">
      <w:pPr>
        <w:pStyle w:val="BGKeywords"/>
        <w:spacing w:after="0" w:line="360" w:lineRule="auto"/>
        <w:jc w:val="center"/>
        <w:rPr>
          <w:rFonts w:ascii="Times New Roman" w:hAnsi="Times New Roman"/>
          <w:szCs w:val="18"/>
        </w:rPr>
      </w:pPr>
    </w:p>
    <w:p w14:paraId="174CDC98" w14:textId="36AF9E91" w:rsidR="00B866A7" w:rsidRPr="00B4448E" w:rsidRDefault="00C8437B" w:rsidP="00067B71">
      <w:pPr>
        <w:pStyle w:val="BGKeywords"/>
        <w:spacing w:after="0"/>
        <w:rPr>
          <w:rFonts w:ascii="Times New Roman" w:hAnsi="Times New Roman"/>
          <w:szCs w:val="18"/>
          <w:vertAlign w:val="superscript"/>
        </w:rPr>
      </w:pPr>
      <w:r w:rsidRPr="00B4448E">
        <w:rPr>
          <w:rFonts w:ascii="Times New Roman" w:hAnsi="Times New Roman"/>
          <w:lang w:val="en-CA"/>
        </w:rPr>
        <w:t>In general,</w:t>
      </w:r>
      <w:r w:rsidR="00BE222A" w:rsidRPr="00B4448E">
        <w:rPr>
          <w:rFonts w:ascii="Times New Roman" w:hAnsi="Times New Roman"/>
          <w:lang w:val="en-CA"/>
        </w:rPr>
        <w:t xml:space="preserve"> the</w:t>
      </w:r>
      <w:r w:rsidRPr="00B4448E">
        <w:rPr>
          <w:rFonts w:ascii="Times New Roman" w:hAnsi="Times New Roman"/>
          <w:lang w:val="en-CA"/>
        </w:rPr>
        <w:t xml:space="preserve"> electrode potentials of DB-1 (or other molecules) tended to increase with its </w:t>
      </w:r>
      <w:r w:rsidR="00BD3AF0" w:rsidRPr="00B4448E">
        <w:rPr>
          <w:rFonts w:ascii="Times New Roman" w:hAnsi="Times New Roman"/>
          <w:lang w:val="en-CA"/>
        </w:rPr>
        <w:t xml:space="preserve">(or their) </w:t>
      </w:r>
      <w:r w:rsidRPr="00B4448E">
        <w:rPr>
          <w:rFonts w:ascii="Times New Roman" w:hAnsi="Times New Roman"/>
          <w:lang w:val="en-CA"/>
        </w:rPr>
        <w:t>oxidation state</w:t>
      </w:r>
      <w:r w:rsidR="00BD3AF0" w:rsidRPr="00B4448E">
        <w:rPr>
          <w:rFonts w:ascii="Times New Roman" w:hAnsi="Times New Roman"/>
          <w:lang w:val="en-CA"/>
        </w:rPr>
        <w:t xml:space="preserve">s. The total charge of these atoms </w:t>
      </w:r>
      <w:r w:rsidR="00EF7F74" w:rsidRPr="00B4448E">
        <w:rPr>
          <w:rFonts w:ascii="Times New Roman" w:hAnsi="Times New Roman"/>
          <w:lang w:val="en-CA"/>
        </w:rPr>
        <w:t>was</w:t>
      </w:r>
      <w:r w:rsidR="00BD3AF0" w:rsidRPr="00B4448E">
        <w:rPr>
          <w:rFonts w:ascii="Times New Roman" w:hAnsi="Times New Roman"/>
          <w:lang w:val="en-CA"/>
        </w:rPr>
        <w:t xml:space="preserve"> equal to the overall oxidation state of the molecule or ion. The charge distributions (</w:t>
      </w:r>
      <w:proofErr w:type="spellStart"/>
      <w:r w:rsidR="00BD3AF0" w:rsidRPr="00B4448E">
        <w:rPr>
          <w:rFonts w:ascii="Times New Roman" w:hAnsi="Times New Roman"/>
          <w:lang w:val="en-CA"/>
        </w:rPr>
        <w:t>Mulliken</w:t>
      </w:r>
      <w:proofErr w:type="spellEnd"/>
      <w:r w:rsidR="00BD3AF0" w:rsidRPr="00B4448E">
        <w:rPr>
          <w:rFonts w:ascii="Times New Roman" w:hAnsi="Times New Roman"/>
          <w:lang w:val="en-CA"/>
        </w:rPr>
        <w:t xml:space="preserve"> calculations) of DB-1 molecules at oxidation states</w:t>
      </w:r>
      <w:r w:rsidR="0063106D" w:rsidRPr="00B4448E">
        <w:rPr>
          <w:rFonts w:ascii="Times New Roman" w:hAnsi="Times New Roman"/>
          <w:lang w:val="en-CA"/>
        </w:rPr>
        <w:t xml:space="preserve"> from 2− </w:t>
      </w:r>
      <w:r w:rsidR="00CC512C" w:rsidRPr="00B4448E">
        <w:rPr>
          <w:rFonts w:ascii="Times New Roman" w:hAnsi="Times New Roman"/>
          <w:lang w:val="en-CA"/>
        </w:rPr>
        <w:t>to 4+</w:t>
      </w:r>
      <w:r w:rsidR="00494207" w:rsidRPr="00B4448E">
        <w:rPr>
          <w:rFonts w:ascii="Times New Roman" w:hAnsi="Times New Roman"/>
          <w:lang w:val="en-CA"/>
        </w:rPr>
        <w:t xml:space="preserve"> </w:t>
      </w:r>
      <w:r w:rsidR="00BA2EE2" w:rsidRPr="00B4448E">
        <w:rPr>
          <w:rFonts w:ascii="Times New Roman" w:hAnsi="Times New Roman"/>
          <w:lang w:val="en-CA"/>
        </w:rPr>
        <w:t xml:space="preserve">are </w:t>
      </w:r>
      <w:r w:rsidR="00BD3AF0" w:rsidRPr="00B4448E">
        <w:rPr>
          <w:rFonts w:ascii="Times New Roman" w:hAnsi="Times New Roman"/>
          <w:lang w:val="en-CA"/>
        </w:rPr>
        <w:t xml:space="preserve">presented </w:t>
      </w:r>
      <w:r w:rsidR="00494207" w:rsidRPr="00B4448E">
        <w:rPr>
          <w:rFonts w:ascii="Times New Roman" w:hAnsi="Times New Roman"/>
          <w:lang w:val="en-CA"/>
        </w:rPr>
        <w:t xml:space="preserve">in Figure </w:t>
      </w:r>
      <w:r w:rsidR="0016470E" w:rsidRPr="00B4448E">
        <w:rPr>
          <w:rFonts w:ascii="Times New Roman" w:hAnsi="Times New Roman"/>
          <w:lang w:val="en-CA"/>
        </w:rPr>
        <w:t>2</w:t>
      </w:r>
      <w:r w:rsidR="00494207" w:rsidRPr="00B4448E">
        <w:rPr>
          <w:rFonts w:ascii="Times New Roman" w:hAnsi="Times New Roman"/>
          <w:lang w:val="en-CA"/>
        </w:rPr>
        <w:t>a.</w:t>
      </w:r>
      <w:r w:rsidR="00FE25B5" w:rsidRPr="00B4448E">
        <w:rPr>
          <w:rFonts w:ascii="Times New Roman" w:hAnsi="Times New Roman"/>
          <w:lang w:val="en-CA"/>
        </w:rPr>
        <w:t xml:space="preserve"> When the </w:t>
      </w:r>
      <w:r w:rsidR="00163E52" w:rsidRPr="00B4448E">
        <w:rPr>
          <w:rFonts w:ascii="Times New Roman" w:hAnsi="Times New Roman"/>
          <w:lang w:val="en-CA"/>
        </w:rPr>
        <w:t>DB-1</w:t>
      </w:r>
      <w:r w:rsidR="00FE25B5" w:rsidRPr="00B4448E">
        <w:rPr>
          <w:rFonts w:ascii="Times New Roman" w:hAnsi="Times New Roman"/>
          <w:lang w:val="en-CA"/>
        </w:rPr>
        <w:t xml:space="preserve"> was oxidized</w:t>
      </w:r>
      <w:r w:rsidR="00BA2EE2" w:rsidRPr="00B4448E">
        <w:rPr>
          <w:rFonts w:ascii="Times New Roman" w:hAnsi="Times New Roman"/>
          <w:lang w:val="en-CA"/>
        </w:rPr>
        <w:t xml:space="preserve"> to cationic forms</w:t>
      </w:r>
      <w:r w:rsidR="00163E52" w:rsidRPr="00B4448E">
        <w:rPr>
          <w:rFonts w:ascii="Times New Roman" w:hAnsi="Times New Roman"/>
          <w:lang w:val="en-CA"/>
        </w:rPr>
        <w:t xml:space="preserve">, the highest positive charge density </w:t>
      </w:r>
      <w:r w:rsidR="009B54A2" w:rsidRPr="00B4448E">
        <w:rPr>
          <w:rFonts w:ascii="Times New Roman" w:hAnsi="Times New Roman"/>
          <w:lang w:val="en-CA"/>
        </w:rPr>
        <w:t xml:space="preserve">is </w:t>
      </w:r>
      <w:r w:rsidR="00D969E8" w:rsidRPr="00B4448E">
        <w:rPr>
          <w:rFonts w:ascii="Times New Roman" w:hAnsi="Times New Roman"/>
          <w:lang w:val="en-CA"/>
        </w:rPr>
        <w:t>concentrated</w:t>
      </w:r>
      <w:r w:rsidR="00163E52" w:rsidRPr="00B4448E">
        <w:rPr>
          <w:rFonts w:ascii="Times New Roman" w:hAnsi="Times New Roman"/>
          <w:lang w:val="en-CA"/>
        </w:rPr>
        <w:t xml:space="preserve"> in the carbon atoms of the central ring, rather than </w:t>
      </w:r>
      <w:r w:rsidR="00D969E8" w:rsidRPr="00B4448E">
        <w:rPr>
          <w:rFonts w:ascii="Times New Roman" w:hAnsi="Times New Roman"/>
          <w:lang w:val="en-CA"/>
        </w:rPr>
        <w:t>those adjacent to the nitrogen atom as reported in DB-134</w:t>
      </w:r>
      <w:r w:rsidR="00F26202" w:rsidRPr="00B4448E">
        <w:rPr>
          <w:rFonts w:ascii="Times New Roman" w:hAnsi="Times New Roman"/>
          <w:lang w:val="en-CA"/>
        </w:rPr>
        <w:t xml:space="preserve"> </w:t>
      </w:r>
      <w:r w:rsidR="00D93D28" w:rsidRPr="00B4448E">
        <w:rPr>
          <w:rFonts w:ascii="Times New Roman" w:hAnsi="Times New Roman"/>
          <w:lang w:val="en-CA"/>
        </w:rPr>
        <w:fldChar w:fldCharType="begin" w:fldLock="1"/>
      </w:r>
      <w:r w:rsidR="00D75310" w:rsidRPr="00B4448E">
        <w:rPr>
          <w:rFonts w:ascii="Times New Roman" w:hAnsi="Times New Roman"/>
          <w:lang w:val="en-CA"/>
        </w:rPr>
        <w:instrText>ADDIN CSL_CITATION {"citationItems":[{"id":"ITEM-1","itemData":{"DOI":"10.1002/aenm.201901418","author":[{"dropping-particle":"","family":"Leung","given":"Puiki","non-dropping-particle":"","parse-names":false,"suffix":""},{"dropping-particle":"","family":"Bu","given":"Junfu","non-dropping-particle":"","parse-names":false,"suffix":""},{"dropping-particle":"","family":"Velasco","given":"Pablo Quijano","non-dropping-particle":"","parse-names":false,"suffix":""},{"dropping-particle":"","family":"Roberts","given":"Matthew R","non-dropping-particle":"","parse-names":false,"suffix":""},{"dropping-particle":"","family":"Grobert","given":"Nicole","non-dropping-particle":"","parse-names":false,"suffix":""},{"dropping-particle":"","family":"Grant","given":"Patrick S","non-dropping-particle":"","parse-names":false,"suffix":""}],"container-title":"Advanced Energy Materials","id":"ITEM-1","issued":{"date-parts":[["2019"]]},"title":"Single-Step Spray Printing of Symmetric All-Organic Solid- State Batteries Based on Porous Textile Dye Electrodes","type":"article-journal","volume":"1901418"},"uris":["http://www.mendeley.com/documents/?uuid=cc12287b-2f7b-4587-823c-59464ef5f7a9"]}],"mendeley":{"formattedCitation":"[46]","plainTextFormattedCitation":"[46]","previouslyFormattedCitation":"[45]"},"properties":{"noteIndex":0},"schema":"https://github.com/citation-style-language/schema/raw/master/csl-citation.json"}</w:instrText>
      </w:r>
      <w:r w:rsidR="00D93D28" w:rsidRPr="00B4448E">
        <w:rPr>
          <w:rFonts w:ascii="Times New Roman" w:hAnsi="Times New Roman"/>
          <w:lang w:val="en-CA"/>
        </w:rPr>
        <w:fldChar w:fldCharType="separate"/>
      </w:r>
      <w:r w:rsidR="00D75310" w:rsidRPr="00B4448E">
        <w:rPr>
          <w:rFonts w:ascii="Times New Roman" w:hAnsi="Times New Roman"/>
          <w:noProof/>
          <w:lang w:val="en-CA"/>
        </w:rPr>
        <w:t>[46]</w:t>
      </w:r>
      <w:r w:rsidR="00D93D28" w:rsidRPr="00B4448E">
        <w:rPr>
          <w:rFonts w:ascii="Times New Roman" w:hAnsi="Times New Roman"/>
          <w:lang w:val="en-CA"/>
        </w:rPr>
        <w:fldChar w:fldCharType="end"/>
      </w:r>
      <w:r w:rsidR="00F26202" w:rsidRPr="00B4448E">
        <w:rPr>
          <w:rFonts w:ascii="Times New Roman" w:hAnsi="Times New Roman"/>
          <w:lang w:val="en-CA"/>
        </w:rPr>
        <w:t>.</w:t>
      </w:r>
      <w:r w:rsidR="00F331B5" w:rsidRPr="00B4448E">
        <w:rPr>
          <w:rFonts w:ascii="Times New Roman" w:hAnsi="Times New Roman"/>
          <w:lang w:val="en-CA"/>
        </w:rPr>
        <w:t xml:space="preserve"> </w:t>
      </w:r>
      <w:r w:rsidR="00516BB7" w:rsidRPr="00B4448E">
        <w:rPr>
          <w:rFonts w:ascii="Times New Roman" w:hAnsi="Times New Roman"/>
          <w:lang w:val="en-CA"/>
        </w:rPr>
        <w:t>T</w:t>
      </w:r>
      <w:r w:rsidR="006876D4" w:rsidRPr="00B4448E">
        <w:rPr>
          <w:rFonts w:ascii="Times New Roman" w:hAnsi="Times New Roman"/>
          <w:lang w:val="en-CA"/>
        </w:rPr>
        <w:t xml:space="preserve">he other atoms were </w:t>
      </w:r>
      <w:r w:rsidR="00BA2EE2" w:rsidRPr="00B4448E">
        <w:rPr>
          <w:rFonts w:ascii="Times New Roman" w:hAnsi="Times New Roman"/>
          <w:lang w:val="en-CA"/>
        </w:rPr>
        <w:t xml:space="preserve">only </w:t>
      </w:r>
      <w:r w:rsidR="00516BB7" w:rsidRPr="00B4448E">
        <w:rPr>
          <w:rFonts w:ascii="Times New Roman" w:hAnsi="Times New Roman"/>
          <w:lang w:val="en-CA"/>
        </w:rPr>
        <w:t>slightly</w:t>
      </w:r>
      <w:r w:rsidR="006876D4" w:rsidRPr="00B4448E">
        <w:rPr>
          <w:rFonts w:ascii="Times New Roman" w:hAnsi="Times New Roman"/>
          <w:lang w:val="en-CA"/>
        </w:rPr>
        <w:t xml:space="preserve"> more positive than those at </w:t>
      </w:r>
      <w:r w:rsidR="00FC0E0B" w:rsidRPr="00B4448E">
        <w:rPr>
          <w:rFonts w:ascii="Times New Roman" w:hAnsi="Times New Roman"/>
          <w:lang w:val="en-CA"/>
        </w:rPr>
        <w:t>lower oxidation states</w:t>
      </w:r>
      <w:r w:rsidR="00516BB7" w:rsidRPr="00B4448E">
        <w:rPr>
          <w:rFonts w:ascii="Times New Roman" w:hAnsi="Times New Roman"/>
          <w:lang w:val="en-CA"/>
        </w:rPr>
        <w:t>.</w:t>
      </w:r>
    </w:p>
    <w:p w14:paraId="6D4F79C4" w14:textId="04A2B231" w:rsidR="00B866A7" w:rsidRPr="00B4448E" w:rsidRDefault="00B866A7" w:rsidP="00067B71">
      <w:pPr>
        <w:pStyle w:val="BGKeywords"/>
        <w:spacing w:after="0"/>
        <w:rPr>
          <w:rFonts w:ascii="Times New Roman" w:hAnsi="Times New Roman"/>
          <w:lang w:val="en-CA"/>
        </w:rPr>
      </w:pPr>
    </w:p>
    <w:p w14:paraId="09543FEB" w14:textId="01CC6D19" w:rsidR="0073171D" w:rsidRPr="00B4448E" w:rsidRDefault="00B866A7" w:rsidP="00067B71">
      <w:pPr>
        <w:pStyle w:val="BGKeywords"/>
        <w:spacing w:after="0"/>
        <w:rPr>
          <w:rFonts w:ascii="Times New Roman" w:hAnsi="Times New Roman"/>
          <w:lang w:val="en-CA"/>
        </w:rPr>
      </w:pPr>
      <w:r w:rsidRPr="00B4448E">
        <w:rPr>
          <w:rFonts w:ascii="Times New Roman" w:hAnsi="Times New Roman"/>
          <w:szCs w:val="24"/>
          <w:lang w:val="en-CA"/>
        </w:rPr>
        <w:t xml:space="preserve">Electrostatic potential (ESP) was used to </w:t>
      </w:r>
      <w:r w:rsidR="00FC0E0B" w:rsidRPr="00B4448E">
        <w:rPr>
          <w:rFonts w:ascii="Times New Roman" w:hAnsi="Times New Roman"/>
          <w:szCs w:val="24"/>
          <w:lang w:val="en-CA"/>
        </w:rPr>
        <w:t>rationalize</w:t>
      </w:r>
      <w:r w:rsidRPr="00B4448E">
        <w:rPr>
          <w:rFonts w:ascii="Times New Roman" w:hAnsi="Times New Roman"/>
          <w:szCs w:val="24"/>
          <w:lang w:val="en-CA"/>
        </w:rPr>
        <w:t xml:space="preserve"> the likely interactions of the DB</w:t>
      </w:r>
      <w:r w:rsidR="005F3F25" w:rsidRPr="00B4448E">
        <w:rPr>
          <w:rFonts w:ascii="Times New Roman" w:hAnsi="Times New Roman"/>
          <w:szCs w:val="24"/>
          <w:lang w:val="en-CA"/>
        </w:rPr>
        <w:t>-1</w:t>
      </w:r>
      <w:r w:rsidRPr="00B4448E">
        <w:rPr>
          <w:rFonts w:ascii="Times New Roman" w:hAnsi="Times New Roman"/>
          <w:szCs w:val="24"/>
          <w:lang w:val="en-CA"/>
        </w:rPr>
        <w:t xml:space="preserve"> molecule with the</w:t>
      </w:r>
      <w:r w:rsidR="00A15A46" w:rsidRPr="00B4448E">
        <w:rPr>
          <w:rFonts w:ascii="Times New Roman" w:hAnsi="Times New Roman"/>
          <w:szCs w:val="24"/>
          <w:lang w:val="en-CA"/>
        </w:rPr>
        <w:t xml:space="preserve"> </w:t>
      </w:r>
      <w:r w:rsidR="00CE361E" w:rsidRPr="00B4448E">
        <w:rPr>
          <w:rFonts w:ascii="Times New Roman" w:hAnsi="Times New Roman"/>
          <w:szCs w:val="24"/>
          <w:lang w:val="en-CA"/>
        </w:rPr>
        <w:t xml:space="preserve">electrolyte </w:t>
      </w:r>
      <w:r w:rsidR="00A15A46" w:rsidRPr="00B4448E">
        <w:rPr>
          <w:rFonts w:ascii="Times New Roman" w:hAnsi="Times New Roman"/>
          <w:szCs w:val="24"/>
          <w:lang w:val="en-CA"/>
        </w:rPr>
        <w:t>counter</w:t>
      </w:r>
      <w:r w:rsidRPr="00B4448E">
        <w:rPr>
          <w:rFonts w:ascii="Times New Roman" w:hAnsi="Times New Roman"/>
          <w:szCs w:val="24"/>
          <w:lang w:val="en-CA"/>
        </w:rPr>
        <w:t xml:space="preserve"> ions in the oxidation </w:t>
      </w:r>
      <w:r w:rsidR="00AA10A6" w:rsidRPr="00B4448E">
        <w:rPr>
          <w:rFonts w:ascii="Times New Roman" w:hAnsi="Times New Roman"/>
          <w:szCs w:val="24"/>
          <w:lang w:val="en-CA"/>
        </w:rPr>
        <w:t>(TFSI</w:t>
      </w:r>
      <w:r w:rsidR="00AA10A6" w:rsidRPr="00B4448E">
        <w:rPr>
          <w:rFonts w:ascii="Symbol" w:hAnsi="Symbol"/>
          <w:szCs w:val="24"/>
          <w:vertAlign w:val="superscript"/>
          <w:lang w:val="en-CA"/>
        </w:rPr>
        <w:t></w:t>
      </w:r>
      <w:r w:rsidR="00AA10A6" w:rsidRPr="00B4448E">
        <w:rPr>
          <w:rFonts w:ascii="Times New Roman" w:hAnsi="Times New Roman"/>
          <w:szCs w:val="24"/>
          <w:lang w:val="en-CA"/>
        </w:rPr>
        <w:t xml:space="preserve">) </w:t>
      </w:r>
      <w:r w:rsidRPr="00B4448E">
        <w:rPr>
          <w:rFonts w:ascii="Times New Roman" w:hAnsi="Times New Roman"/>
          <w:szCs w:val="24"/>
          <w:lang w:val="en-CA"/>
        </w:rPr>
        <w:t xml:space="preserve">or reduction </w:t>
      </w:r>
      <w:r w:rsidR="00AA10A6" w:rsidRPr="00B4448E">
        <w:rPr>
          <w:rFonts w:ascii="Times New Roman" w:hAnsi="Times New Roman"/>
          <w:szCs w:val="24"/>
          <w:lang w:val="en-CA"/>
        </w:rPr>
        <w:t>(Li</w:t>
      </w:r>
      <w:r w:rsidR="00AA10A6" w:rsidRPr="00B4448E">
        <w:rPr>
          <w:rFonts w:ascii="Times New Roman" w:hAnsi="Times New Roman"/>
          <w:szCs w:val="24"/>
          <w:vertAlign w:val="superscript"/>
          <w:lang w:val="en-CA"/>
        </w:rPr>
        <w:t>+</w:t>
      </w:r>
      <w:r w:rsidR="00AA10A6" w:rsidRPr="00B4448E">
        <w:rPr>
          <w:rFonts w:ascii="Times New Roman" w:hAnsi="Times New Roman"/>
          <w:szCs w:val="24"/>
          <w:lang w:val="en-CA"/>
        </w:rPr>
        <w:t xml:space="preserve">) </w:t>
      </w:r>
      <w:r w:rsidRPr="00B4448E">
        <w:rPr>
          <w:rFonts w:ascii="Times New Roman" w:hAnsi="Times New Roman"/>
          <w:szCs w:val="24"/>
          <w:lang w:val="en-CA"/>
        </w:rPr>
        <w:t xml:space="preserve">processes. ESP itself </w:t>
      </w:r>
      <w:r w:rsidRPr="00B4448E">
        <w:rPr>
          <w:rFonts w:ascii="Times New Roman" w:hAnsi="Times New Roman"/>
          <w:szCs w:val="24"/>
          <w:lang w:val="en-CA"/>
        </w:rPr>
        <w:lastRenderedPageBreak/>
        <w:t>corresponds to the attraction /</w:t>
      </w:r>
      <w:r w:rsidR="00CE361E" w:rsidRPr="00B4448E">
        <w:rPr>
          <w:rFonts w:ascii="Times New Roman" w:hAnsi="Times New Roman"/>
          <w:szCs w:val="24"/>
          <w:lang w:val="en-CA"/>
        </w:rPr>
        <w:t xml:space="preserve"> </w:t>
      </w:r>
      <w:r w:rsidRPr="00B4448E">
        <w:rPr>
          <w:rFonts w:ascii="Times New Roman" w:hAnsi="Times New Roman"/>
          <w:szCs w:val="24"/>
          <w:lang w:val="en-CA"/>
        </w:rPr>
        <w:t>repulsion of proton</w:t>
      </w:r>
      <w:r w:rsidR="00B9727F" w:rsidRPr="00B4448E">
        <w:rPr>
          <w:rFonts w:ascii="Times New Roman" w:hAnsi="Times New Roman"/>
          <w:szCs w:val="24"/>
          <w:lang w:val="en-CA"/>
        </w:rPr>
        <w:t>s</w:t>
      </w:r>
      <w:r w:rsidRPr="00B4448E">
        <w:rPr>
          <w:rFonts w:ascii="Times New Roman" w:hAnsi="Times New Roman"/>
          <w:szCs w:val="24"/>
          <w:lang w:val="en-CA"/>
        </w:rPr>
        <w:t xml:space="preserve"> by the concentrated electro</w:t>
      </w:r>
      <w:r w:rsidR="00CB1152" w:rsidRPr="00B4448E">
        <w:rPr>
          <w:rFonts w:ascii="Times New Roman" w:hAnsi="Times New Roman"/>
          <w:szCs w:val="24"/>
          <w:lang w:val="en-CA"/>
        </w:rPr>
        <w:t>n</w:t>
      </w:r>
      <w:r w:rsidRPr="00B4448E">
        <w:rPr>
          <w:rFonts w:ascii="Times New Roman" w:hAnsi="Times New Roman"/>
          <w:szCs w:val="24"/>
          <w:lang w:val="en-CA"/>
        </w:rPr>
        <w:t xml:space="preserve"> density in the molecules.</w:t>
      </w:r>
      <w:r w:rsidR="00521F43" w:rsidRPr="00B4448E">
        <w:rPr>
          <w:rFonts w:ascii="Times New Roman" w:hAnsi="Times New Roman"/>
          <w:szCs w:val="24"/>
          <w:lang w:val="en-CA"/>
        </w:rPr>
        <w:t xml:space="preserve"> </w:t>
      </w:r>
      <w:r w:rsidR="00FC0E0B" w:rsidRPr="00B4448E">
        <w:rPr>
          <w:rFonts w:ascii="Times New Roman" w:hAnsi="Times New Roman"/>
          <w:szCs w:val="24"/>
          <w:lang w:val="en-CA"/>
        </w:rPr>
        <w:t xml:space="preserve">Consistent with </w:t>
      </w:r>
      <w:proofErr w:type="spellStart"/>
      <w:r w:rsidR="0073171D" w:rsidRPr="00B4448E">
        <w:rPr>
          <w:rFonts w:ascii="Times New Roman" w:hAnsi="Times New Roman"/>
          <w:szCs w:val="24"/>
          <w:lang w:val="en-CA"/>
        </w:rPr>
        <w:t>Mulliken</w:t>
      </w:r>
      <w:proofErr w:type="spellEnd"/>
      <w:r w:rsidR="0073171D" w:rsidRPr="00B4448E">
        <w:rPr>
          <w:rFonts w:ascii="Times New Roman" w:hAnsi="Times New Roman"/>
          <w:szCs w:val="24"/>
          <w:lang w:val="en-CA"/>
        </w:rPr>
        <w:t xml:space="preserve"> </w:t>
      </w:r>
      <w:r w:rsidR="00FC0E0B" w:rsidRPr="00B4448E">
        <w:rPr>
          <w:rFonts w:ascii="Times New Roman" w:hAnsi="Times New Roman"/>
          <w:szCs w:val="24"/>
          <w:lang w:val="en-CA"/>
        </w:rPr>
        <w:t>charge distribution, t</w:t>
      </w:r>
      <w:r w:rsidR="00521F43" w:rsidRPr="00B4448E">
        <w:rPr>
          <w:rFonts w:ascii="Times New Roman" w:hAnsi="Times New Roman"/>
          <w:szCs w:val="24"/>
          <w:lang w:val="en-CA"/>
        </w:rPr>
        <w:t xml:space="preserve">he ESP </w:t>
      </w:r>
      <w:r w:rsidR="00FC0E0B" w:rsidRPr="00B4448E">
        <w:rPr>
          <w:rFonts w:ascii="Times New Roman" w:hAnsi="Times New Roman"/>
          <w:szCs w:val="24"/>
          <w:lang w:val="en-CA"/>
        </w:rPr>
        <w:t xml:space="preserve">contour mapping (Figure </w:t>
      </w:r>
      <w:r w:rsidR="006F1F9C" w:rsidRPr="00B4448E">
        <w:rPr>
          <w:rFonts w:ascii="Times New Roman" w:hAnsi="Times New Roman"/>
          <w:szCs w:val="24"/>
          <w:lang w:val="en-CA"/>
        </w:rPr>
        <w:t>2</w:t>
      </w:r>
      <w:r w:rsidR="00FC0E0B" w:rsidRPr="00B4448E">
        <w:rPr>
          <w:rFonts w:ascii="Times New Roman" w:hAnsi="Times New Roman"/>
          <w:szCs w:val="24"/>
          <w:lang w:val="en-CA"/>
        </w:rPr>
        <w:t>b) showed that the regions close to the centre of the molecule had more negative and positive ESPs</w:t>
      </w:r>
      <w:r w:rsidR="001608EA" w:rsidRPr="00B4448E">
        <w:rPr>
          <w:rFonts w:ascii="Times New Roman" w:hAnsi="Times New Roman"/>
          <w:szCs w:val="24"/>
          <w:lang w:val="en-CA"/>
        </w:rPr>
        <w:t xml:space="preserve"> </w:t>
      </w:r>
      <w:r w:rsidR="0073171D" w:rsidRPr="00B4448E">
        <w:rPr>
          <w:rFonts w:ascii="Times New Roman" w:hAnsi="Times New Roman"/>
          <w:szCs w:val="24"/>
          <w:lang w:val="en-CA"/>
        </w:rPr>
        <w:t xml:space="preserve">upon reduction and oxidation, respectively. </w:t>
      </w:r>
      <w:r w:rsidR="00BC5D58" w:rsidRPr="00B4448E">
        <w:rPr>
          <w:rFonts w:ascii="Times New Roman" w:hAnsi="Times New Roman"/>
          <w:szCs w:val="24"/>
          <w:lang w:val="en-CA"/>
        </w:rPr>
        <w:t xml:space="preserve">The </w:t>
      </w:r>
      <w:r w:rsidR="00CE7637" w:rsidRPr="00B4448E">
        <w:rPr>
          <w:rFonts w:ascii="Times New Roman" w:hAnsi="Times New Roman"/>
          <w:szCs w:val="24"/>
          <w:lang w:val="en-CA"/>
        </w:rPr>
        <w:t xml:space="preserve">calculated </w:t>
      </w:r>
      <w:r w:rsidR="00BC5D58" w:rsidRPr="00B4448E">
        <w:rPr>
          <w:rFonts w:ascii="Times New Roman" w:hAnsi="Times New Roman"/>
          <w:szCs w:val="24"/>
          <w:lang w:val="en-CA"/>
        </w:rPr>
        <w:t xml:space="preserve">charge </w:t>
      </w:r>
      <w:r w:rsidR="00CE7637" w:rsidRPr="00B4448E">
        <w:rPr>
          <w:rFonts w:ascii="Times New Roman" w:hAnsi="Times New Roman"/>
          <w:szCs w:val="24"/>
          <w:lang w:val="en-CA"/>
        </w:rPr>
        <w:t>and</w:t>
      </w:r>
      <w:r w:rsidR="00BC5D58" w:rsidRPr="00B4448E">
        <w:rPr>
          <w:rFonts w:ascii="Times New Roman" w:hAnsi="Times New Roman"/>
          <w:szCs w:val="24"/>
          <w:lang w:val="en-CA"/>
        </w:rPr>
        <w:t xml:space="preserve"> ESP </w:t>
      </w:r>
      <w:r w:rsidR="00CE7637" w:rsidRPr="00B4448E">
        <w:rPr>
          <w:rFonts w:ascii="Times New Roman" w:hAnsi="Times New Roman"/>
          <w:szCs w:val="24"/>
          <w:lang w:val="en-CA"/>
        </w:rPr>
        <w:t xml:space="preserve">were even more positive than those regions </w:t>
      </w:r>
      <w:r w:rsidR="009960A5" w:rsidRPr="00B4448E">
        <w:rPr>
          <w:rFonts w:ascii="Times New Roman" w:hAnsi="Times New Roman"/>
          <w:szCs w:val="24"/>
          <w:lang w:val="en-CA"/>
        </w:rPr>
        <w:t>adjacent</w:t>
      </w:r>
      <w:r w:rsidR="00CE7637" w:rsidRPr="00B4448E">
        <w:rPr>
          <w:rFonts w:ascii="Times New Roman" w:hAnsi="Times New Roman"/>
          <w:szCs w:val="24"/>
          <w:lang w:val="en-CA"/>
        </w:rPr>
        <w:t xml:space="preserve"> to the </w:t>
      </w:r>
      <w:r w:rsidR="009960A5" w:rsidRPr="00B4448E">
        <w:rPr>
          <w:rFonts w:ascii="Times New Roman" w:hAnsi="Times New Roman"/>
          <w:szCs w:val="24"/>
          <w:lang w:val="en-CA"/>
        </w:rPr>
        <w:t>N</w:t>
      </w:r>
      <w:r w:rsidR="009960A5" w:rsidRPr="00B4448E">
        <w:rPr>
          <w:rFonts w:ascii="Times New Roman" w:hAnsi="Times New Roman"/>
          <w:szCs w:val="24"/>
          <w:vertAlign w:val="superscript"/>
          <w:lang w:val="en-CA"/>
        </w:rPr>
        <w:t>+</w:t>
      </w:r>
      <w:r w:rsidR="00CE7637" w:rsidRPr="00B4448E">
        <w:rPr>
          <w:rFonts w:ascii="Times New Roman" w:hAnsi="Times New Roman"/>
          <w:szCs w:val="24"/>
          <w:lang w:val="en-CA"/>
        </w:rPr>
        <w:t xml:space="preserve"> atoms </w:t>
      </w:r>
      <w:r w:rsidR="00ED4C0D" w:rsidRPr="00B4448E">
        <w:rPr>
          <w:rFonts w:ascii="Times New Roman" w:hAnsi="Times New Roman"/>
          <w:szCs w:val="24"/>
          <w:lang w:val="en-CA"/>
        </w:rPr>
        <w:t>in</w:t>
      </w:r>
      <w:r w:rsidR="00E50B54" w:rsidRPr="00B4448E">
        <w:rPr>
          <w:rFonts w:ascii="Times New Roman" w:hAnsi="Times New Roman"/>
          <w:szCs w:val="24"/>
          <w:lang w:val="en-CA"/>
        </w:rPr>
        <w:t xml:space="preserve"> the oxidation </w:t>
      </w:r>
      <w:proofErr w:type="gramStart"/>
      <w:r w:rsidR="00E50B54" w:rsidRPr="00B4448E">
        <w:rPr>
          <w:rFonts w:ascii="Times New Roman" w:hAnsi="Times New Roman"/>
          <w:szCs w:val="24"/>
          <w:lang w:val="en-CA"/>
        </w:rPr>
        <w:t xml:space="preserve">reaction </w:t>
      </w:r>
      <w:r w:rsidR="00ED4C0D" w:rsidRPr="00B4448E">
        <w:rPr>
          <w:rFonts w:ascii="Times New Roman" w:hAnsi="Times New Roman"/>
          <w:szCs w:val="24"/>
          <w:lang w:val="en-CA"/>
        </w:rPr>
        <w:t xml:space="preserve"> </w:t>
      </w:r>
      <w:r w:rsidR="00E50B54" w:rsidRPr="00B4448E">
        <w:rPr>
          <w:rFonts w:ascii="Times New Roman" w:hAnsi="Times New Roman"/>
          <w:szCs w:val="24"/>
          <w:lang w:val="en-CA"/>
        </w:rPr>
        <w:t>(</w:t>
      </w:r>
      <w:proofErr w:type="gramEnd"/>
      <w:r w:rsidR="00ED4C0D" w:rsidRPr="00B4448E">
        <w:rPr>
          <w:rFonts w:ascii="Times New Roman" w:hAnsi="Times New Roman"/>
          <w:szCs w:val="24"/>
          <w:lang w:val="en-CA"/>
        </w:rPr>
        <w:t>scheme I</w:t>
      </w:r>
      <w:r w:rsidR="00E50B54" w:rsidRPr="00B4448E">
        <w:rPr>
          <w:rFonts w:ascii="Times New Roman" w:hAnsi="Times New Roman"/>
          <w:szCs w:val="24"/>
          <w:lang w:val="en-CA"/>
        </w:rPr>
        <w:t>)</w:t>
      </w:r>
      <w:r w:rsidR="00ED4C0D" w:rsidRPr="00B4448E">
        <w:rPr>
          <w:rFonts w:ascii="Times New Roman" w:hAnsi="Times New Roman"/>
          <w:szCs w:val="24"/>
          <w:lang w:val="en-CA"/>
        </w:rPr>
        <w:t>. The positive</w:t>
      </w:r>
      <w:r w:rsidR="00680399" w:rsidRPr="00B4448E">
        <w:rPr>
          <w:rFonts w:ascii="Times New Roman" w:hAnsi="Times New Roman"/>
          <w:szCs w:val="24"/>
          <w:lang w:val="en-CA"/>
        </w:rPr>
        <w:t xml:space="preserve"> region</w:t>
      </w:r>
      <w:r w:rsidR="00ED4C0D" w:rsidRPr="00B4448E">
        <w:rPr>
          <w:rFonts w:ascii="Times New Roman" w:hAnsi="Times New Roman"/>
          <w:szCs w:val="24"/>
          <w:lang w:val="en-CA"/>
        </w:rPr>
        <w:t>s</w:t>
      </w:r>
      <w:r w:rsidR="00680399" w:rsidRPr="00B4448E">
        <w:rPr>
          <w:rFonts w:ascii="Times New Roman" w:hAnsi="Times New Roman"/>
          <w:szCs w:val="24"/>
          <w:lang w:val="en-CA"/>
        </w:rPr>
        <w:t xml:space="preserve"> </w:t>
      </w:r>
      <w:r w:rsidR="00C927E5" w:rsidRPr="00B4448E">
        <w:rPr>
          <w:rFonts w:ascii="Times New Roman" w:hAnsi="Times New Roman"/>
          <w:szCs w:val="24"/>
          <w:lang w:val="en-CA"/>
        </w:rPr>
        <w:t>(surface) tended</w:t>
      </w:r>
      <w:r w:rsidR="0073171D" w:rsidRPr="00B4448E">
        <w:rPr>
          <w:rFonts w:ascii="Times New Roman" w:hAnsi="Times New Roman"/>
          <w:szCs w:val="24"/>
          <w:lang w:val="en-CA"/>
        </w:rPr>
        <w:t xml:space="preserve"> to interact with Li</w:t>
      </w:r>
      <w:r w:rsidR="0073171D" w:rsidRPr="00B4448E">
        <w:rPr>
          <w:rFonts w:ascii="Times New Roman" w:hAnsi="Times New Roman"/>
          <w:szCs w:val="24"/>
          <w:vertAlign w:val="superscript"/>
          <w:lang w:val="en-CA"/>
        </w:rPr>
        <w:t>+</w:t>
      </w:r>
      <w:r w:rsidR="0073171D" w:rsidRPr="00B4448E">
        <w:rPr>
          <w:rFonts w:ascii="Times New Roman" w:hAnsi="Times New Roman"/>
          <w:szCs w:val="24"/>
          <w:lang w:val="en-CA"/>
        </w:rPr>
        <w:t xml:space="preserve"> and</w:t>
      </w:r>
      <w:r w:rsidR="00C7373B" w:rsidRPr="00B4448E">
        <w:rPr>
          <w:rFonts w:ascii="Times New Roman" w:hAnsi="Times New Roman"/>
          <w:szCs w:val="24"/>
          <w:lang w:val="en-CA"/>
        </w:rPr>
        <w:t xml:space="preserve"> </w:t>
      </w:r>
      <w:r w:rsidR="00414B47" w:rsidRPr="00B4448E">
        <w:rPr>
          <w:rFonts w:ascii="Times New Roman" w:hAnsi="Times New Roman"/>
          <w:szCs w:val="24"/>
        </w:rPr>
        <w:t>b</w:t>
      </w:r>
      <w:r w:rsidR="00C7373B" w:rsidRPr="00B4448E">
        <w:rPr>
          <w:rFonts w:ascii="Times New Roman" w:hAnsi="Times New Roman"/>
          <w:szCs w:val="24"/>
        </w:rPr>
        <w:t>is(</w:t>
      </w:r>
      <w:proofErr w:type="spellStart"/>
      <w:r w:rsidR="00C7373B" w:rsidRPr="00B4448E">
        <w:rPr>
          <w:rFonts w:ascii="Times New Roman" w:hAnsi="Times New Roman"/>
          <w:szCs w:val="24"/>
        </w:rPr>
        <w:t>trifluoromethane</w:t>
      </w:r>
      <w:proofErr w:type="spellEnd"/>
      <w:r w:rsidR="00C7373B" w:rsidRPr="00B4448E">
        <w:rPr>
          <w:rFonts w:ascii="Times New Roman" w:hAnsi="Times New Roman"/>
          <w:szCs w:val="24"/>
        </w:rPr>
        <w:t xml:space="preserve">) </w:t>
      </w:r>
      <w:proofErr w:type="spellStart"/>
      <w:r w:rsidR="00C7373B" w:rsidRPr="00B4448E">
        <w:rPr>
          <w:rFonts w:ascii="Times New Roman" w:hAnsi="Times New Roman"/>
          <w:szCs w:val="24"/>
        </w:rPr>
        <w:t>sulfonimide</w:t>
      </w:r>
      <w:proofErr w:type="spellEnd"/>
      <w:r w:rsidR="00C7373B" w:rsidRPr="00B4448E">
        <w:rPr>
          <w:rFonts w:ascii="Times New Roman" w:hAnsi="Times New Roman"/>
          <w:szCs w:val="24"/>
        </w:rPr>
        <w:t xml:space="preserve"> (TFSI</w:t>
      </w:r>
      <w:r w:rsidR="00BA68AF" w:rsidRPr="00B4448E">
        <w:rPr>
          <w:rFonts w:ascii="Symbol" w:hAnsi="Symbol"/>
          <w:vertAlign w:val="superscript"/>
          <w:lang w:val="en-CA"/>
        </w:rPr>
        <w:t></w:t>
      </w:r>
      <w:r w:rsidR="00C7373B" w:rsidRPr="00B4448E">
        <w:rPr>
          <w:rFonts w:ascii="Times New Roman" w:hAnsi="Times New Roman"/>
          <w:szCs w:val="18"/>
        </w:rPr>
        <w:t>)</w:t>
      </w:r>
      <w:r w:rsidR="0073171D" w:rsidRPr="00B4448E">
        <w:rPr>
          <w:rFonts w:ascii="Times New Roman" w:hAnsi="Times New Roman"/>
          <w:lang w:val="en-CA"/>
        </w:rPr>
        <w:t xml:space="preserve"> ions in the DMSO electrolyte</w:t>
      </w:r>
      <w:r w:rsidR="00B63F92" w:rsidRPr="00B4448E">
        <w:rPr>
          <w:rFonts w:ascii="Times New Roman" w:hAnsi="Times New Roman"/>
          <w:lang w:val="en-CA"/>
        </w:rPr>
        <w:t>. T</w:t>
      </w:r>
      <w:r w:rsidR="0073171D" w:rsidRPr="00B4448E">
        <w:rPr>
          <w:rFonts w:ascii="Times New Roman" w:hAnsi="Times New Roman"/>
          <w:lang w:val="en-CA"/>
        </w:rPr>
        <w:t xml:space="preserve">he magnitudes of these </w:t>
      </w:r>
      <w:r w:rsidR="00CC512C" w:rsidRPr="00B4448E">
        <w:rPr>
          <w:rFonts w:ascii="Times New Roman" w:hAnsi="Times New Roman"/>
          <w:lang w:val="en-CA"/>
        </w:rPr>
        <w:t>intermolecular attractive forces</w:t>
      </w:r>
      <w:r w:rsidR="0073171D" w:rsidRPr="00B4448E">
        <w:rPr>
          <w:rFonts w:ascii="Times New Roman" w:hAnsi="Times New Roman"/>
          <w:lang w:val="en-CA"/>
        </w:rPr>
        <w:t xml:space="preserve"> increased significantly</w:t>
      </w:r>
      <w:r w:rsidR="003D48F4" w:rsidRPr="00B4448E">
        <w:rPr>
          <w:rFonts w:ascii="Times New Roman" w:hAnsi="Times New Roman"/>
          <w:lang w:val="en-CA"/>
        </w:rPr>
        <w:t xml:space="preserve"> </w:t>
      </w:r>
      <w:r w:rsidR="00CC512C" w:rsidRPr="00B4448E">
        <w:rPr>
          <w:rFonts w:ascii="Times New Roman" w:hAnsi="Times New Roman"/>
          <w:lang w:val="en-CA"/>
        </w:rPr>
        <w:t>with the</w:t>
      </w:r>
      <w:r w:rsidR="0063106D" w:rsidRPr="00B4448E">
        <w:rPr>
          <w:rFonts w:ascii="Times New Roman" w:hAnsi="Times New Roman"/>
          <w:lang w:val="en-CA"/>
        </w:rPr>
        <w:t xml:space="preserve"> oxidation state</w:t>
      </w:r>
      <w:r w:rsidR="00C927E5" w:rsidRPr="00B4448E">
        <w:rPr>
          <w:rFonts w:ascii="Times New Roman" w:hAnsi="Times New Roman"/>
          <w:lang w:val="en-CA"/>
        </w:rPr>
        <w:t>,</w:t>
      </w:r>
      <w:r w:rsidR="00D979DF" w:rsidRPr="00B4448E">
        <w:rPr>
          <w:rFonts w:ascii="Times New Roman" w:hAnsi="Times New Roman"/>
          <w:lang w:val="en-CA"/>
        </w:rPr>
        <w:t xml:space="preserve"> and</w:t>
      </w:r>
      <w:r w:rsidR="00C927E5" w:rsidRPr="00B4448E">
        <w:rPr>
          <w:rFonts w:ascii="Times New Roman" w:hAnsi="Times New Roman"/>
          <w:lang w:val="en-CA"/>
        </w:rPr>
        <w:t xml:space="preserve"> eventually</w:t>
      </w:r>
      <w:r w:rsidR="00D979DF" w:rsidRPr="00B4448E">
        <w:rPr>
          <w:rFonts w:ascii="Times New Roman" w:hAnsi="Times New Roman"/>
          <w:lang w:val="en-CA"/>
        </w:rPr>
        <w:t xml:space="preserve"> reached up to </w:t>
      </w:r>
      <w:r w:rsidR="00E37BC2" w:rsidRPr="00B4448E">
        <w:rPr>
          <w:rFonts w:ascii="Times New Roman" w:hAnsi="Times New Roman"/>
          <w:lang w:val="en-CA"/>
        </w:rPr>
        <w:t>+</w:t>
      </w:r>
      <w:r w:rsidR="00D979DF" w:rsidRPr="00B4448E">
        <w:rPr>
          <w:rFonts w:ascii="Times New Roman" w:hAnsi="Times New Roman"/>
          <w:lang w:val="en-CA"/>
        </w:rPr>
        <w:t xml:space="preserve">0.55 </w:t>
      </w:r>
      <w:proofErr w:type="spellStart"/>
      <w:r w:rsidR="00D979DF" w:rsidRPr="00B4448E">
        <w:rPr>
          <w:rFonts w:ascii="Times New Roman" w:hAnsi="Times New Roman"/>
          <w:lang w:val="en-CA"/>
        </w:rPr>
        <w:t>a.u</w:t>
      </w:r>
      <w:proofErr w:type="spellEnd"/>
      <w:r w:rsidR="00D979DF" w:rsidRPr="00B4448E">
        <w:rPr>
          <w:rFonts w:ascii="Times New Roman" w:hAnsi="Times New Roman"/>
          <w:lang w:val="en-CA"/>
        </w:rPr>
        <w:t xml:space="preserve">. at the oxidation state of 4+. The </w:t>
      </w:r>
      <w:r w:rsidR="00987733" w:rsidRPr="00B4448E">
        <w:rPr>
          <w:rFonts w:ascii="Times New Roman" w:hAnsi="Times New Roman"/>
          <w:lang w:val="en-CA"/>
        </w:rPr>
        <w:t>resulting</w:t>
      </w:r>
      <w:r w:rsidR="008D440F" w:rsidRPr="00B4448E">
        <w:rPr>
          <w:rFonts w:ascii="Times New Roman" w:hAnsi="Times New Roman"/>
          <w:lang w:val="en-CA"/>
        </w:rPr>
        <w:t xml:space="preserve"> structure of the</w:t>
      </w:r>
      <w:r w:rsidR="00987733" w:rsidRPr="00B4448E">
        <w:rPr>
          <w:rFonts w:ascii="Times New Roman" w:hAnsi="Times New Roman"/>
          <w:lang w:val="en-CA"/>
        </w:rPr>
        <w:t xml:space="preserve"> </w:t>
      </w:r>
      <w:r w:rsidR="00D979DF" w:rsidRPr="00B4448E">
        <w:rPr>
          <w:rFonts w:ascii="Times New Roman" w:hAnsi="Times New Roman"/>
          <w:lang w:val="en-CA"/>
        </w:rPr>
        <w:t>oxidized DB</w:t>
      </w:r>
      <w:r w:rsidR="00CB1152" w:rsidRPr="00B4448E">
        <w:rPr>
          <w:rFonts w:ascii="Times New Roman" w:hAnsi="Times New Roman"/>
          <w:lang w:val="en-CA"/>
        </w:rPr>
        <w:t>-1</w:t>
      </w:r>
      <w:r w:rsidR="00D979DF" w:rsidRPr="00B4448E">
        <w:rPr>
          <w:rFonts w:ascii="Times New Roman" w:hAnsi="Times New Roman"/>
          <w:lang w:val="en-CA"/>
        </w:rPr>
        <w:t xml:space="preserve"> molecule</w:t>
      </w:r>
      <w:r w:rsidR="007570F7" w:rsidRPr="00B4448E">
        <w:rPr>
          <w:rFonts w:ascii="Times New Roman" w:hAnsi="Times New Roman"/>
          <w:lang w:val="en-CA"/>
        </w:rPr>
        <w:t xml:space="preserve"> </w:t>
      </w:r>
      <w:r w:rsidR="00987733" w:rsidRPr="00B4448E">
        <w:rPr>
          <w:rFonts w:ascii="Times New Roman" w:hAnsi="Times New Roman"/>
          <w:lang w:val="en-CA"/>
        </w:rPr>
        <w:t xml:space="preserve">with </w:t>
      </w:r>
      <w:r w:rsidR="007570F7" w:rsidRPr="00B4448E">
        <w:rPr>
          <w:rFonts w:ascii="Times New Roman" w:hAnsi="Times New Roman"/>
          <w:lang w:val="en-CA"/>
        </w:rPr>
        <w:t>TFSI</w:t>
      </w:r>
      <w:r w:rsidR="001B3C12" w:rsidRPr="00B4448E">
        <w:rPr>
          <w:rFonts w:ascii="Symbol" w:hAnsi="Symbol"/>
          <w:vertAlign w:val="superscript"/>
          <w:lang w:val="en-CA"/>
        </w:rPr>
        <w:t></w:t>
      </w:r>
      <w:r w:rsidR="007570F7" w:rsidRPr="00B4448E">
        <w:rPr>
          <w:rFonts w:ascii="Times New Roman" w:hAnsi="Times New Roman"/>
          <w:lang w:val="en-CA"/>
        </w:rPr>
        <w:t xml:space="preserve"> salt</w:t>
      </w:r>
      <w:r w:rsidR="00D979DF" w:rsidRPr="00B4448E">
        <w:rPr>
          <w:rFonts w:ascii="Times New Roman" w:hAnsi="Times New Roman"/>
          <w:lang w:val="en-CA"/>
        </w:rPr>
        <w:t xml:space="preserve"> was </w:t>
      </w:r>
      <w:r w:rsidR="00987733" w:rsidRPr="00B4448E">
        <w:rPr>
          <w:rFonts w:ascii="Times New Roman" w:hAnsi="Times New Roman"/>
          <w:lang w:val="en-CA"/>
        </w:rPr>
        <w:t xml:space="preserve">confirmed experimentally </w:t>
      </w:r>
      <w:r w:rsidR="00D979DF" w:rsidRPr="00B4448E">
        <w:rPr>
          <w:rFonts w:ascii="Times New Roman" w:hAnsi="Times New Roman"/>
          <w:lang w:val="en-CA"/>
        </w:rPr>
        <w:t xml:space="preserve">by </w:t>
      </w:r>
      <w:r w:rsidR="00D979DF" w:rsidRPr="00B4448E">
        <w:rPr>
          <w:rFonts w:ascii="Times New Roman" w:hAnsi="Times New Roman"/>
          <w:szCs w:val="24"/>
          <w:vertAlign w:val="superscript"/>
        </w:rPr>
        <w:t>1</w:t>
      </w:r>
      <w:r w:rsidR="00D979DF" w:rsidRPr="00B4448E">
        <w:rPr>
          <w:rFonts w:ascii="Times New Roman" w:hAnsi="Times New Roman"/>
          <w:szCs w:val="24"/>
        </w:rPr>
        <w:t>H NMR spectroscopy in deuterated acetone</w:t>
      </w:r>
      <w:r w:rsidR="00987733" w:rsidRPr="00B4448E">
        <w:rPr>
          <w:rFonts w:ascii="Times New Roman" w:hAnsi="Times New Roman"/>
          <w:szCs w:val="24"/>
        </w:rPr>
        <w:t xml:space="preserve"> (</w:t>
      </w:r>
      <w:r w:rsidR="005470B7" w:rsidRPr="00B4448E">
        <w:rPr>
          <w:rFonts w:ascii="Times New Roman" w:hAnsi="Times New Roman"/>
          <w:szCs w:val="24"/>
        </w:rPr>
        <w:t xml:space="preserve">Figure </w:t>
      </w:r>
      <w:r w:rsidR="006F1F9C" w:rsidRPr="00B4448E">
        <w:rPr>
          <w:rFonts w:ascii="Times New Roman" w:hAnsi="Times New Roman"/>
          <w:szCs w:val="24"/>
        </w:rPr>
        <w:t>2</w:t>
      </w:r>
      <w:r w:rsidR="00987733" w:rsidRPr="00B4448E">
        <w:rPr>
          <w:rFonts w:ascii="Times New Roman" w:hAnsi="Times New Roman"/>
          <w:szCs w:val="24"/>
        </w:rPr>
        <w:t>c)</w:t>
      </w:r>
      <w:r w:rsidR="00D979DF" w:rsidRPr="00B4448E">
        <w:rPr>
          <w:rFonts w:ascii="Times New Roman" w:hAnsi="Times New Roman"/>
          <w:szCs w:val="24"/>
        </w:rPr>
        <w:t>.</w:t>
      </w:r>
      <w:r w:rsidR="00987733" w:rsidRPr="00B4448E">
        <w:rPr>
          <w:rFonts w:ascii="Times New Roman" w:hAnsi="Times New Roman"/>
          <w:szCs w:val="24"/>
        </w:rPr>
        <w:t xml:space="preserve"> The chemical shift of</w:t>
      </w:r>
      <w:r w:rsidR="009E45E4" w:rsidRPr="00B4448E">
        <w:rPr>
          <w:rFonts w:ascii="Times New Roman" w:hAnsi="Times New Roman"/>
          <w:szCs w:val="24"/>
        </w:rPr>
        <w:t xml:space="preserve"> </w:t>
      </w:r>
      <w:r w:rsidR="00987733" w:rsidRPr="00B4448E">
        <w:rPr>
          <w:rFonts w:ascii="Times New Roman" w:hAnsi="Times New Roman"/>
          <w:szCs w:val="24"/>
        </w:rPr>
        <w:t xml:space="preserve">protons </w:t>
      </w:r>
      <w:r w:rsidR="009C265D" w:rsidRPr="00B4448E">
        <w:rPr>
          <w:rFonts w:ascii="Times New Roman" w:hAnsi="Times New Roman"/>
          <w:szCs w:val="24"/>
        </w:rPr>
        <w:t>within the</w:t>
      </w:r>
      <w:r w:rsidR="00987733" w:rsidRPr="00B4448E">
        <w:rPr>
          <w:rFonts w:ascii="Times New Roman" w:hAnsi="Times New Roman"/>
          <w:szCs w:val="24"/>
        </w:rPr>
        <w:t xml:space="preserve"> amine groups (</w:t>
      </w:r>
      <w:r w:rsidR="009E45E4" w:rsidRPr="00B4448E">
        <w:rPr>
          <w:rFonts w:ascii="Times New Roman" w:hAnsi="Times New Roman"/>
          <w:szCs w:val="24"/>
        </w:rPr>
        <w:t xml:space="preserve">from </w:t>
      </w:r>
      <w:r w:rsidR="003A6727" w:rsidRPr="00B4448E">
        <w:rPr>
          <w:rFonts w:ascii="Times New Roman" w:hAnsi="Times New Roman"/>
          <w:szCs w:val="24"/>
        </w:rPr>
        <w:t>2.</w:t>
      </w:r>
      <w:r w:rsidR="00F5371F" w:rsidRPr="00B4448E">
        <w:rPr>
          <w:rFonts w:ascii="Times New Roman" w:hAnsi="Times New Roman"/>
          <w:szCs w:val="24"/>
        </w:rPr>
        <w:t xml:space="preserve">68 </w:t>
      </w:r>
      <w:r w:rsidR="009E45E4" w:rsidRPr="00B4448E">
        <w:rPr>
          <w:rFonts w:ascii="Times New Roman" w:hAnsi="Times New Roman"/>
          <w:szCs w:val="24"/>
        </w:rPr>
        <w:t xml:space="preserve">to </w:t>
      </w:r>
      <w:r w:rsidR="00F5371F" w:rsidRPr="00B4448E">
        <w:rPr>
          <w:rFonts w:ascii="Times New Roman" w:hAnsi="Times New Roman"/>
          <w:szCs w:val="24"/>
        </w:rPr>
        <w:t>3.21</w:t>
      </w:r>
      <w:r w:rsidR="00987733" w:rsidRPr="00B4448E">
        <w:rPr>
          <w:rFonts w:ascii="Times New Roman" w:hAnsi="Times New Roman"/>
          <w:szCs w:val="24"/>
        </w:rPr>
        <w:t xml:space="preserve"> ppm)</w:t>
      </w:r>
      <w:r w:rsidR="005470B7" w:rsidRPr="00B4448E">
        <w:rPr>
          <w:rFonts w:ascii="Times New Roman" w:hAnsi="Times New Roman"/>
          <w:szCs w:val="24"/>
        </w:rPr>
        <w:t xml:space="preserve"> indicate</w:t>
      </w:r>
      <w:r w:rsidR="009C265D" w:rsidRPr="00B4448E">
        <w:rPr>
          <w:rFonts w:ascii="Times New Roman" w:hAnsi="Times New Roman"/>
          <w:szCs w:val="24"/>
        </w:rPr>
        <w:t>d the</w:t>
      </w:r>
      <w:r w:rsidR="005470B7" w:rsidRPr="00B4448E">
        <w:rPr>
          <w:rFonts w:ascii="Times New Roman" w:hAnsi="Times New Roman"/>
          <w:szCs w:val="24"/>
        </w:rPr>
        <w:t xml:space="preserve"> reduced electron density in the hydrogen orbital, suggesting more positive charges in those regions. The formation of </w:t>
      </w:r>
      <w:r w:rsidR="00CB1152" w:rsidRPr="00B4448E">
        <w:rPr>
          <w:rFonts w:ascii="Times New Roman" w:hAnsi="Times New Roman"/>
          <w:szCs w:val="24"/>
        </w:rPr>
        <w:t xml:space="preserve">the </w:t>
      </w:r>
      <w:r w:rsidR="005470B7" w:rsidRPr="00B4448E">
        <w:rPr>
          <w:rFonts w:ascii="Times New Roman" w:hAnsi="Times New Roman"/>
          <w:szCs w:val="24"/>
        </w:rPr>
        <w:t xml:space="preserve">N= group of the oxidized molecule was also </w:t>
      </w:r>
      <w:r w:rsidR="00CB1152" w:rsidRPr="00B4448E">
        <w:rPr>
          <w:rFonts w:ascii="Times New Roman" w:hAnsi="Times New Roman"/>
          <w:szCs w:val="24"/>
        </w:rPr>
        <w:t xml:space="preserve">confirmed </w:t>
      </w:r>
      <w:r w:rsidR="005470B7" w:rsidRPr="00B4448E">
        <w:rPr>
          <w:rFonts w:ascii="Times New Roman" w:hAnsi="Times New Roman"/>
          <w:szCs w:val="24"/>
        </w:rPr>
        <w:t>by Fourier transform infrared (FT-IR) spectra</w:t>
      </w:r>
      <w:r w:rsidR="00CB1152" w:rsidRPr="00B4448E">
        <w:rPr>
          <w:rFonts w:ascii="Times New Roman" w:hAnsi="Times New Roman"/>
          <w:szCs w:val="24"/>
        </w:rPr>
        <w:t>, with an</w:t>
      </w:r>
      <w:r w:rsidR="005470B7" w:rsidRPr="00B4448E">
        <w:rPr>
          <w:rFonts w:ascii="Times New Roman" w:hAnsi="Times New Roman"/>
          <w:szCs w:val="24"/>
        </w:rPr>
        <w:t xml:space="preserve"> adsorption band </w:t>
      </w:r>
      <w:r w:rsidR="00CB1152" w:rsidRPr="00B4448E">
        <w:rPr>
          <w:rFonts w:ascii="Times New Roman" w:hAnsi="Times New Roman"/>
          <w:szCs w:val="24"/>
        </w:rPr>
        <w:t xml:space="preserve">at </w:t>
      </w:r>
      <w:r w:rsidR="00B70698" w:rsidRPr="00B4448E">
        <w:rPr>
          <w:rFonts w:ascii="Times New Roman" w:hAnsi="Times New Roman"/>
          <w:i/>
          <w:iCs/>
          <w:szCs w:val="24"/>
          <w:lang w:val="en-GB"/>
        </w:rPr>
        <w:t>ca.</w:t>
      </w:r>
      <w:r w:rsidR="005470B7" w:rsidRPr="00B4448E">
        <w:rPr>
          <w:rFonts w:ascii="Times New Roman" w:hAnsi="Times New Roman"/>
          <w:szCs w:val="24"/>
          <w:lang w:val="en-GB"/>
        </w:rPr>
        <w:t xml:space="preserve"> </w:t>
      </w:r>
      <w:r w:rsidR="005470B7" w:rsidRPr="00B4448E">
        <w:rPr>
          <w:rFonts w:ascii="Times New Roman" w:hAnsi="Times New Roman"/>
          <w:szCs w:val="24"/>
        </w:rPr>
        <w:t>1690 cm</w:t>
      </w:r>
      <w:r w:rsidR="005470B7" w:rsidRPr="00B4448E">
        <w:rPr>
          <w:rFonts w:ascii="Times New Roman" w:hAnsi="Times New Roman"/>
          <w:szCs w:val="24"/>
          <w:vertAlign w:val="superscript"/>
        </w:rPr>
        <w:t xml:space="preserve">−1 </w:t>
      </w:r>
      <w:r w:rsidR="005470B7" w:rsidRPr="00B4448E">
        <w:rPr>
          <w:rFonts w:ascii="Times New Roman" w:hAnsi="Times New Roman"/>
          <w:lang w:val="en-CA"/>
        </w:rPr>
        <w:t>(Figure S</w:t>
      </w:r>
      <w:r w:rsidR="008677A0" w:rsidRPr="00B4448E">
        <w:rPr>
          <w:rFonts w:ascii="Times New Roman" w:hAnsi="Times New Roman"/>
          <w:lang w:val="en-CA"/>
        </w:rPr>
        <w:t>15</w:t>
      </w:r>
      <w:r w:rsidR="005470B7" w:rsidRPr="00B4448E">
        <w:rPr>
          <w:rFonts w:ascii="Times New Roman" w:hAnsi="Times New Roman"/>
          <w:lang w:val="en-CA"/>
        </w:rPr>
        <w:t>).</w:t>
      </w:r>
    </w:p>
    <w:p w14:paraId="030B8E11" w14:textId="77777777" w:rsidR="00024072" w:rsidRPr="00B4448E" w:rsidRDefault="00024072" w:rsidP="00067B71">
      <w:pPr>
        <w:pStyle w:val="BGKeywords"/>
        <w:spacing w:after="0"/>
        <w:rPr>
          <w:rFonts w:ascii="Times New Roman" w:hAnsi="Times New Roman"/>
          <w:szCs w:val="24"/>
          <w:lang w:val="en-CA"/>
        </w:rPr>
      </w:pPr>
    </w:p>
    <w:p w14:paraId="1D78BA7A" w14:textId="77777777" w:rsidR="00F15C44" w:rsidRPr="00B4448E" w:rsidRDefault="009E2F78" w:rsidP="00BC2399">
      <w:pPr>
        <w:pStyle w:val="BGKeywords"/>
        <w:spacing w:after="0" w:line="360" w:lineRule="auto"/>
        <w:rPr>
          <w:lang w:val="en-CA"/>
        </w:rPr>
      </w:pPr>
      <w:r w:rsidRPr="00B4448E">
        <w:rPr>
          <w:noProof/>
          <w:lang w:val="en-GB" w:eastAsia="en-GB"/>
        </w:rPr>
        <w:lastRenderedPageBreak/>
        <w:drawing>
          <wp:inline distT="0" distB="0" distL="0" distR="0" wp14:anchorId="25C00513" wp14:editId="76900AF7">
            <wp:extent cx="6156000" cy="3893254"/>
            <wp:effectExtent l="0" t="0" r="0" b="0"/>
            <wp:docPr id="6" name="Picture 6" descr="A picture containing object,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ge distribution new.tif"/>
                    <pic:cNvPicPr/>
                  </pic:nvPicPr>
                  <pic:blipFill rotWithShape="1">
                    <a:blip r:embed="rId22">
                      <a:extLst>
                        <a:ext uri="{28A0092B-C50C-407E-A947-70E740481C1C}">
                          <a14:useLocalDpi xmlns:a14="http://schemas.microsoft.com/office/drawing/2010/main" val="0"/>
                        </a:ext>
                      </a:extLst>
                    </a:blip>
                    <a:srcRect r="11057"/>
                    <a:stretch/>
                  </pic:blipFill>
                  <pic:spPr bwMode="auto">
                    <a:xfrm>
                      <a:off x="0" y="0"/>
                      <a:ext cx="6156000" cy="3893254"/>
                    </a:xfrm>
                    <a:prstGeom prst="rect">
                      <a:avLst/>
                    </a:prstGeom>
                    <a:ln>
                      <a:noFill/>
                    </a:ln>
                    <a:extLst>
                      <a:ext uri="{53640926-AAD7-44D8-BBD7-CCE9431645EC}">
                        <a14:shadowObscured xmlns:a14="http://schemas.microsoft.com/office/drawing/2010/main"/>
                      </a:ext>
                    </a:extLst>
                  </pic:spPr>
                </pic:pic>
              </a:graphicData>
            </a:graphic>
          </wp:inline>
        </w:drawing>
      </w:r>
    </w:p>
    <w:p w14:paraId="55F52DE1" w14:textId="1743C211" w:rsidR="006B1AB9" w:rsidRPr="00B4448E" w:rsidRDefault="0087526D" w:rsidP="00BC2399">
      <w:pPr>
        <w:pStyle w:val="BGKeywords"/>
        <w:spacing w:after="0" w:line="360" w:lineRule="auto"/>
        <w:rPr>
          <w:lang w:val="en-CA"/>
        </w:rPr>
      </w:pPr>
      <w:r w:rsidRPr="00B4448E">
        <w:rPr>
          <w:noProof/>
          <w:lang w:val="en-GB" w:eastAsia="en-GB"/>
        </w:rPr>
        <w:drawing>
          <wp:inline distT="0" distB="0" distL="0" distR="0" wp14:anchorId="1BB36854" wp14:editId="1FDCB652">
            <wp:extent cx="6156000" cy="3907748"/>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ge distribution d.tif"/>
                    <pic:cNvPicPr/>
                  </pic:nvPicPr>
                  <pic:blipFill rotWithShape="1">
                    <a:blip r:embed="rId23">
                      <a:extLst>
                        <a:ext uri="{28A0092B-C50C-407E-A947-70E740481C1C}">
                          <a14:useLocalDpi xmlns:a14="http://schemas.microsoft.com/office/drawing/2010/main" val="0"/>
                        </a:ext>
                      </a:extLst>
                    </a:blip>
                    <a:srcRect r="13622" b="1139"/>
                    <a:stretch/>
                  </pic:blipFill>
                  <pic:spPr bwMode="auto">
                    <a:xfrm>
                      <a:off x="0" y="0"/>
                      <a:ext cx="6156000" cy="3907748"/>
                    </a:xfrm>
                    <a:prstGeom prst="rect">
                      <a:avLst/>
                    </a:prstGeom>
                    <a:ln>
                      <a:noFill/>
                    </a:ln>
                    <a:extLst>
                      <a:ext uri="{53640926-AAD7-44D8-BBD7-CCE9431645EC}">
                        <a14:shadowObscured xmlns:a14="http://schemas.microsoft.com/office/drawing/2010/main"/>
                      </a:ext>
                    </a:extLst>
                  </pic:spPr>
                </pic:pic>
              </a:graphicData>
            </a:graphic>
          </wp:inline>
        </w:drawing>
      </w:r>
    </w:p>
    <w:p w14:paraId="178629B2" w14:textId="1A821A52" w:rsidR="00334D82" w:rsidRPr="00B4448E" w:rsidRDefault="00921EC9" w:rsidP="005E3CC9">
      <w:pPr>
        <w:pStyle w:val="BGKeywords"/>
        <w:spacing w:after="0" w:line="360" w:lineRule="auto"/>
        <w:jc w:val="center"/>
        <w:rPr>
          <w:lang w:val="en-CA"/>
        </w:rPr>
      </w:pPr>
      <w:r w:rsidRPr="00B4448E">
        <w:rPr>
          <w:noProof/>
        </w:rPr>
        <w:lastRenderedPageBreak/>
        <w:drawing>
          <wp:inline distT="0" distB="0" distL="0" distR="0" wp14:anchorId="30273125" wp14:editId="6AC50388">
            <wp:extent cx="5899868" cy="406320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697" r="9565"/>
                    <a:stretch/>
                  </pic:blipFill>
                  <pic:spPr bwMode="auto">
                    <a:xfrm>
                      <a:off x="0" y="0"/>
                      <a:ext cx="5916003" cy="407431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21"/>
      </w:tblGrid>
      <w:tr w:rsidR="0084267F" w:rsidRPr="00B4448E" w14:paraId="09AD0B6A" w14:textId="77777777" w:rsidTr="004D4944">
        <w:tc>
          <w:tcPr>
            <w:tcW w:w="1129" w:type="dxa"/>
          </w:tcPr>
          <w:p w14:paraId="20803B2D" w14:textId="7DB105E2" w:rsidR="0084267F" w:rsidRPr="00B4448E" w:rsidRDefault="0084267F" w:rsidP="0084267F">
            <w:pPr>
              <w:pStyle w:val="BGKeywords"/>
              <w:spacing w:after="0" w:line="360" w:lineRule="auto"/>
              <w:rPr>
                <w:rFonts w:asciiTheme="majorBidi" w:hAnsiTheme="majorBidi" w:cstheme="majorBidi"/>
                <w:szCs w:val="24"/>
                <w:lang w:val="en-GB"/>
              </w:rPr>
            </w:pPr>
            <w:r w:rsidRPr="00B4448E">
              <w:rPr>
                <w:rFonts w:ascii="Times New Roman" w:hAnsi="Times New Roman"/>
              </w:rPr>
              <w:t>Figure 2.</w:t>
            </w:r>
          </w:p>
        </w:tc>
        <w:tc>
          <w:tcPr>
            <w:tcW w:w="8221" w:type="dxa"/>
          </w:tcPr>
          <w:p w14:paraId="726AE3AB" w14:textId="37D09161" w:rsidR="0084267F" w:rsidRPr="00B4448E" w:rsidRDefault="0084267F" w:rsidP="004D4944">
            <w:pPr>
              <w:autoSpaceDE w:val="0"/>
              <w:autoSpaceDN w:val="0"/>
              <w:adjustRightInd w:val="0"/>
              <w:spacing w:line="240" w:lineRule="auto"/>
              <w:jc w:val="both"/>
              <w:rPr>
                <w:rFonts w:ascii="Times New Roman" w:eastAsia="Times New Roman" w:hAnsi="Times New Roman" w:cs="Times New Roman"/>
                <w:sz w:val="24"/>
                <w:szCs w:val="20"/>
              </w:rPr>
            </w:pPr>
            <w:r w:rsidRPr="00B4448E">
              <w:rPr>
                <w:rFonts w:ascii="Times New Roman" w:eastAsia="Times New Roman" w:hAnsi="Times New Roman" w:cs="Times New Roman"/>
                <w:sz w:val="24"/>
                <w:szCs w:val="20"/>
              </w:rPr>
              <w:t xml:space="preserve">a) </w:t>
            </w:r>
            <w:proofErr w:type="spellStart"/>
            <w:r w:rsidRPr="00B4448E">
              <w:rPr>
                <w:rFonts w:ascii="Times New Roman" w:eastAsia="Times New Roman" w:hAnsi="Times New Roman" w:cs="Times New Roman"/>
                <w:sz w:val="24"/>
                <w:szCs w:val="20"/>
              </w:rPr>
              <w:t>Mulliken</w:t>
            </w:r>
            <w:proofErr w:type="spellEnd"/>
            <w:r w:rsidRPr="00B4448E">
              <w:rPr>
                <w:rFonts w:ascii="Times New Roman" w:eastAsia="Times New Roman" w:hAnsi="Times New Roman" w:cs="Times New Roman"/>
                <w:sz w:val="24"/>
                <w:szCs w:val="20"/>
              </w:rPr>
              <w:t xml:space="preserve"> charge distribution and b) Electrostatic potential (ESP) distribution for the DB-1 molecule in the reduced, neutral, and oxidized states obtained by DFT calculations in DMSO. Enlarged figures of </w:t>
            </w:r>
            <w:proofErr w:type="spellStart"/>
            <w:r w:rsidRPr="00B4448E">
              <w:rPr>
                <w:rFonts w:ascii="Times New Roman" w:eastAsia="Times New Roman" w:hAnsi="Times New Roman" w:cs="Times New Roman"/>
                <w:sz w:val="24"/>
                <w:szCs w:val="20"/>
              </w:rPr>
              <w:t>Mulliken</w:t>
            </w:r>
            <w:proofErr w:type="spellEnd"/>
            <w:r w:rsidRPr="00B4448E">
              <w:rPr>
                <w:rFonts w:ascii="Times New Roman" w:eastAsia="Times New Roman" w:hAnsi="Times New Roman" w:cs="Times New Roman"/>
                <w:sz w:val="24"/>
                <w:szCs w:val="20"/>
              </w:rPr>
              <w:t xml:space="preserve"> charge distribution of DB-1 are available in Figure S14. c) 1H NMR spectra of the neutral DB-1 and the oxidized DB dissolved in deuterated acetone with </w:t>
            </w:r>
            <w:proofErr w:type="spellStart"/>
            <w:r w:rsidRPr="00B4448E">
              <w:rPr>
                <w:rFonts w:ascii="Times New Roman" w:eastAsia="Times New Roman" w:hAnsi="Times New Roman" w:cs="Times New Roman"/>
                <w:sz w:val="24"/>
                <w:szCs w:val="20"/>
              </w:rPr>
              <w:t>LiTFSI</w:t>
            </w:r>
            <w:proofErr w:type="spellEnd"/>
            <w:r w:rsidRPr="00B4448E">
              <w:rPr>
                <w:rFonts w:ascii="Times New Roman" w:eastAsia="Times New Roman" w:hAnsi="Times New Roman" w:cs="Times New Roman"/>
                <w:sz w:val="24"/>
                <w:szCs w:val="20"/>
              </w:rPr>
              <w:t xml:space="preserve"> salt.</w:t>
            </w:r>
          </w:p>
        </w:tc>
      </w:tr>
    </w:tbl>
    <w:p w14:paraId="0A047591" w14:textId="4FB17C0F" w:rsidR="009E2F78" w:rsidRPr="00B4448E" w:rsidRDefault="009E2F78" w:rsidP="000767AD">
      <w:pPr>
        <w:pStyle w:val="BGKeywords"/>
        <w:spacing w:after="0"/>
        <w:rPr>
          <w:rFonts w:ascii="Times New Roman" w:hAnsi="Times New Roman"/>
          <w:lang w:val="en-CA"/>
        </w:rPr>
      </w:pPr>
    </w:p>
    <w:p w14:paraId="756C383E" w14:textId="701DF8E7" w:rsidR="00810B56" w:rsidRPr="00B4448E" w:rsidRDefault="00E37BC2" w:rsidP="000767AD">
      <w:pPr>
        <w:pStyle w:val="BGKeywords"/>
        <w:spacing w:after="0"/>
        <w:rPr>
          <w:rFonts w:ascii="Times New Roman" w:hAnsi="Times New Roman"/>
          <w:szCs w:val="24"/>
        </w:rPr>
      </w:pPr>
      <w:r w:rsidRPr="00B4448E">
        <w:rPr>
          <w:rFonts w:ascii="Times New Roman" w:hAnsi="Times New Roman"/>
          <w:lang w:val="en-CA"/>
        </w:rPr>
        <w:t>Once the oxidation route of the DB-1 molecule</w:t>
      </w:r>
      <w:r w:rsidR="00B67E0E" w:rsidRPr="00B4448E">
        <w:rPr>
          <w:rFonts w:ascii="Times New Roman" w:hAnsi="Times New Roman"/>
          <w:lang w:val="en-CA"/>
        </w:rPr>
        <w:t xml:space="preserve"> </w:t>
      </w:r>
      <w:r w:rsidR="00C927E5" w:rsidRPr="00B4448E">
        <w:rPr>
          <w:rFonts w:ascii="Times New Roman" w:hAnsi="Times New Roman"/>
          <w:szCs w:val="24"/>
          <w:lang w:val="en-GB"/>
        </w:rPr>
        <w:t>(</w:t>
      </w:r>
      <w:r w:rsidR="00C927E5" w:rsidRPr="00B4448E">
        <w:rPr>
          <w:rFonts w:ascii="Times New Roman" w:hAnsi="Times New Roman"/>
          <w:szCs w:val="18"/>
        </w:rPr>
        <w:t>Q → Q</w:t>
      </w:r>
      <w:r w:rsidR="00C927E5" w:rsidRPr="00B4448E">
        <w:rPr>
          <w:rFonts w:ascii="Times New Roman" w:hAnsi="Times New Roman"/>
          <w:szCs w:val="18"/>
          <w:vertAlign w:val="superscript"/>
        </w:rPr>
        <w:t>4+</w:t>
      </w:r>
      <w:r w:rsidR="00C927E5" w:rsidRPr="00B4448E">
        <w:rPr>
          <w:rFonts w:ascii="Times New Roman" w:hAnsi="Times New Roman"/>
          <w:szCs w:val="18"/>
        </w:rPr>
        <w:t xml:space="preserve">) </w:t>
      </w:r>
      <w:r w:rsidR="00CB1152" w:rsidRPr="00B4448E">
        <w:rPr>
          <w:rFonts w:ascii="Times New Roman" w:hAnsi="Times New Roman"/>
          <w:szCs w:val="18"/>
        </w:rPr>
        <w:t xml:space="preserve">had been confirmed </w:t>
      </w:r>
      <w:r w:rsidR="002A4DA7" w:rsidRPr="00B4448E">
        <w:rPr>
          <w:rFonts w:ascii="Times New Roman" w:hAnsi="Times New Roman"/>
          <w:lang w:val="en-CA"/>
        </w:rPr>
        <w:t>by</w:t>
      </w:r>
      <w:r w:rsidR="00B67E0E" w:rsidRPr="00B4448E">
        <w:rPr>
          <w:rFonts w:ascii="Times New Roman" w:hAnsi="Times New Roman"/>
          <w:lang w:val="en-CA"/>
        </w:rPr>
        <w:t xml:space="preserve"> </w:t>
      </w:r>
      <w:r w:rsidR="00924DCE" w:rsidRPr="00B4448E">
        <w:rPr>
          <w:rFonts w:ascii="Times New Roman" w:hAnsi="Times New Roman"/>
          <w:lang w:val="en-CA"/>
        </w:rPr>
        <w:t xml:space="preserve">the </w:t>
      </w:r>
      <w:r w:rsidR="00B67E0E" w:rsidRPr="00B4448E">
        <w:rPr>
          <w:rFonts w:ascii="Times New Roman" w:hAnsi="Times New Roman"/>
          <w:lang w:val="en-CA"/>
        </w:rPr>
        <w:t xml:space="preserve">mathematical </w:t>
      </w:r>
      <w:r w:rsidR="00ED4C0D" w:rsidRPr="00B4448E">
        <w:rPr>
          <w:rFonts w:ascii="Times New Roman" w:hAnsi="Times New Roman"/>
          <w:lang w:val="en-CA"/>
        </w:rPr>
        <w:t>DFT calculations (Table S1)</w:t>
      </w:r>
      <w:r w:rsidRPr="00B4448E">
        <w:rPr>
          <w:rFonts w:ascii="Times New Roman" w:hAnsi="Times New Roman"/>
          <w:lang w:val="en-CA"/>
        </w:rPr>
        <w:t xml:space="preserve">, the electrochemical properties </w:t>
      </w:r>
      <w:r w:rsidR="00ED4C0D" w:rsidRPr="00B4448E">
        <w:rPr>
          <w:rFonts w:ascii="Times New Roman" w:hAnsi="Times New Roman"/>
          <w:lang w:val="en-CA"/>
        </w:rPr>
        <w:t>of DB</w:t>
      </w:r>
      <w:r w:rsidR="00C64E61" w:rsidRPr="00B4448E">
        <w:rPr>
          <w:rFonts w:ascii="Times New Roman" w:hAnsi="Times New Roman"/>
          <w:lang w:val="en-CA"/>
        </w:rPr>
        <w:t>-</w:t>
      </w:r>
      <w:r w:rsidR="00ED4C0D" w:rsidRPr="00B4448E">
        <w:rPr>
          <w:rFonts w:ascii="Times New Roman" w:hAnsi="Times New Roman"/>
          <w:lang w:val="en-CA"/>
        </w:rPr>
        <w:t xml:space="preserve">1 </w:t>
      </w:r>
      <w:r w:rsidRPr="00B4448E">
        <w:rPr>
          <w:rFonts w:ascii="Times New Roman" w:hAnsi="Times New Roman"/>
          <w:lang w:val="en-CA"/>
        </w:rPr>
        <w:t xml:space="preserve">were </w:t>
      </w:r>
      <w:r w:rsidR="000A4052" w:rsidRPr="00B4448E">
        <w:rPr>
          <w:rFonts w:ascii="Times New Roman" w:hAnsi="Times New Roman"/>
          <w:lang w:val="en-CA"/>
        </w:rPr>
        <w:t>evaluated by cyclic voltammetry</w:t>
      </w:r>
      <w:r w:rsidR="00ED4C0D" w:rsidRPr="00B4448E">
        <w:rPr>
          <w:rFonts w:ascii="Times New Roman" w:hAnsi="Times New Roman"/>
          <w:lang w:val="en-CA"/>
        </w:rPr>
        <w:t xml:space="preserve"> and</w:t>
      </w:r>
      <w:r w:rsidRPr="00B4448E">
        <w:rPr>
          <w:rFonts w:ascii="Times New Roman" w:hAnsi="Times New Roman"/>
          <w:lang w:val="en-CA"/>
        </w:rPr>
        <w:t xml:space="preserve"> compared with other organic molecules </w:t>
      </w:r>
      <w:r w:rsidR="00585F65" w:rsidRPr="00B4448E">
        <w:rPr>
          <w:rFonts w:ascii="Times New Roman" w:hAnsi="Times New Roman"/>
          <w:lang w:val="en-CA"/>
        </w:rPr>
        <w:t xml:space="preserve">in DMSO </w:t>
      </w:r>
      <w:r w:rsidRPr="00B4448E">
        <w:rPr>
          <w:rFonts w:ascii="Times New Roman" w:hAnsi="Times New Roman"/>
          <w:szCs w:val="24"/>
        </w:rPr>
        <w:t xml:space="preserve">(Figure </w:t>
      </w:r>
      <w:r w:rsidR="00FA0093" w:rsidRPr="00B4448E">
        <w:rPr>
          <w:rFonts w:ascii="Times New Roman" w:hAnsi="Times New Roman"/>
          <w:szCs w:val="24"/>
        </w:rPr>
        <w:t>3</w:t>
      </w:r>
      <w:r w:rsidRPr="00B4448E">
        <w:rPr>
          <w:rFonts w:ascii="Times New Roman" w:hAnsi="Times New Roman"/>
          <w:szCs w:val="24"/>
        </w:rPr>
        <w:t>a)</w:t>
      </w:r>
      <w:r w:rsidRPr="00B4448E">
        <w:rPr>
          <w:rFonts w:ascii="Times New Roman" w:hAnsi="Times New Roman"/>
          <w:lang w:val="en-CA"/>
        </w:rPr>
        <w:t>.</w:t>
      </w:r>
      <w:r w:rsidR="00C8101E" w:rsidRPr="00B4448E">
        <w:rPr>
          <w:rFonts w:ascii="Times New Roman" w:hAnsi="Times New Roman"/>
          <w:lang w:val="en-CA"/>
        </w:rPr>
        <w:t xml:space="preserve"> </w:t>
      </w:r>
      <w:r w:rsidR="00E50B54" w:rsidRPr="00B4448E">
        <w:rPr>
          <w:rFonts w:ascii="Times New Roman" w:hAnsi="Times New Roman"/>
          <w:lang w:val="en-CA"/>
        </w:rPr>
        <w:t>For</w:t>
      </w:r>
      <w:r w:rsidR="00C8101E" w:rsidRPr="00B4448E">
        <w:rPr>
          <w:rFonts w:ascii="Times New Roman" w:hAnsi="Times New Roman"/>
          <w:lang w:val="en-CA"/>
        </w:rPr>
        <w:t xml:space="preserve"> the typical 2</w:t>
      </w:r>
      <w:r w:rsidR="00C8101E" w:rsidRPr="00B4448E">
        <w:rPr>
          <w:rFonts w:ascii="Times New Roman" w:hAnsi="Times New Roman"/>
          <w:szCs w:val="18"/>
        </w:rPr>
        <w:t>e</w:t>
      </w:r>
      <w:r w:rsidR="00C8101E" w:rsidRPr="00B4448E">
        <w:rPr>
          <w:rFonts w:ascii="Symbol" w:hAnsi="Symbol"/>
          <w:szCs w:val="18"/>
          <w:vertAlign w:val="superscript"/>
        </w:rPr>
        <w:t></w:t>
      </w:r>
      <w:r w:rsidR="00C8101E" w:rsidRPr="00B4448E">
        <w:rPr>
          <w:rFonts w:ascii="Times New Roman" w:hAnsi="Times New Roman"/>
          <w:szCs w:val="18"/>
        </w:rPr>
        <w:t xml:space="preserve"> reduction processes (Q → Q</w:t>
      </w:r>
      <w:r w:rsidR="00C8101E" w:rsidRPr="00B4448E">
        <w:rPr>
          <w:rFonts w:ascii="Times New Roman" w:hAnsi="Times New Roman"/>
          <w:szCs w:val="18"/>
          <w:vertAlign w:val="superscript"/>
        </w:rPr>
        <w:t>2-</w:t>
      </w:r>
      <w:r w:rsidR="00C8101E" w:rsidRPr="00B4448E">
        <w:rPr>
          <w:rFonts w:ascii="Times New Roman" w:hAnsi="Times New Roman"/>
          <w:szCs w:val="18"/>
        </w:rPr>
        <w:t>)</w:t>
      </w:r>
      <w:r w:rsidR="0027003E" w:rsidRPr="00B4448E">
        <w:rPr>
          <w:rFonts w:ascii="Times New Roman" w:hAnsi="Times New Roman"/>
          <w:szCs w:val="18"/>
        </w:rPr>
        <w:t xml:space="preserve"> </w:t>
      </w:r>
      <w:r w:rsidR="0027003E" w:rsidRPr="00B4448E">
        <w:rPr>
          <w:rFonts w:ascii="Times New Roman" w:hAnsi="Times New Roman"/>
          <w:szCs w:val="24"/>
        </w:rPr>
        <w:t xml:space="preserve">attributed to </w:t>
      </w:r>
      <w:r w:rsidR="0027003E" w:rsidRPr="00B4448E">
        <w:rPr>
          <w:rFonts w:ascii="Times New Roman" w:hAnsi="Times New Roman"/>
          <w:szCs w:val="24"/>
          <w:lang w:val="en-GB"/>
        </w:rPr>
        <w:t>the</w:t>
      </w:r>
      <w:r w:rsidR="00E50B54" w:rsidRPr="00B4448E">
        <w:rPr>
          <w:rFonts w:ascii="Times New Roman" w:hAnsi="Times New Roman"/>
          <w:szCs w:val="24"/>
        </w:rPr>
        <w:t xml:space="preserve"> two carbonyl groups, two quasi-reversible peaks were observed. </w:t>
      </w:r>
      <w:r w:rsidR="0027003E" w:rsidRPr="00B4448E">
        <w:rPr>
          <w:rFonts w:ascii="Times New Roman" w:hAnsi="Times New Roman"/>
          <w:szCs w:val="24"/>
        </w:rPr>
        <w:t>The electrode potentials shifted towards</w:t>
      </w:r>
      <w:r w:rsidR="00F7308B" w:rsidRPr="00B4448E">
        <w:rPr>
          <w:rFonts w:ascii="Times New Roman" w:hAnsi="Times New Roman"/>
          <w:szCs w:val="24"/>
        </w:rPr>
        <w:t xml:space="preserve"> more</w:t>
      </w:r>
      <w:r w:rsidR="0027003E" w:rsidRPr="00B4448E">
        <w:rPr>
          <w:rFonts w:ascii="Times New Roman" w:hAnsi="Times New Roman"/>
          <w:szCs w:val="24"/>
        </w:rPr>
        <w:t xml:space="preserve"> negative values with the number of aromatic ring</w:t>
      </w:r>
      <w:r w:rsidR="00CB1152" w:rsidRPr="00B4448E">
        <w:rPr>
          <w:rFonts w:ascii="Times New Roman" w:hAnsi="Times New Roman"/>
          <w:szCs w:val="24"/>
        </w:rPr>
        <w:t>s</w:t>
      </w:r>
      <w:r w:rsidR="0027003E" w:rsidRPr="00B4448E">
        <w:rPr>
          <w:rFonts w:ascii="Times New Roman" w:hAnsi="Times New Roman"/>
          <w:szCs w:val="24"/>
        </w:rPr>
        <w:t xml:space="preserve"> </w:t>
      </w:r>
      <w:r w:rsidR="000846E9" w:rsidRPr="00B4448E">
        <w:rPr>
          <w:rFonts w:ascii="Times New Roman" w:hAnsi="Times New Roman"/>
          <w:szCs w:val="24"/>
        </w:rPr>
        <w:t xml:space="preserve">(from BQ to AQ) </w:t>
      </w:r>
      <w:r w:rsidR="0027003E" w:rsidRPr="00B4448E">
        <w:rPr>
          <w:rFonts w:ascii="Times New Roman" w:hAnsi="Times New Roman"/>
          <w:szCs w:val="24"/>
        </w:rPr>
        <w:t>and the incorporation of amine groups</w:t>
      </w:r>
      <w:r w:rsidR="00F26202" w:rsidRPr="00B4448E">
        <w:rPr>
          <w:rFonts w:ascii="Times New Roman" w:hAnsi="Times New Roman"/>
          <w:szCs w:val="24"/>
        </w:rPr>
        <w:t xml:space="preserve"> </w:t>
      </w:r>
      <w:r w:rsidR="00CD358A" w:rsidRPr="00B4448E">
        <w:rPr>
          <w:rFonts w:ascii="Times New Roman" w:hAnsi="Times New Roman"/>
          <w:szCs w:val="24"/>
        </w:rPr>
        <w:fldChar w:fldCharType="begin" w:fldLock="1"/>
      </w:r>
      <w:r w:rsidR="00D75310" w:rsidRPr="00B4448E">
        <w:rPr>
          <w:rFonts w:ascii="Times New Roman" w:hAnsi="Times New Roman"/>
          <w:szCs w:val="24"/>
        </w:rPr>
        <w:instrText>ADDIN CSL_CITATION {"citationItems":[{"id":"ITEM-1","itemData":{"DOI":"10.1021/jacs.5b13279","author":[{"dropping-particle":"","family":"Kim","given":"Ki Chul","non-dropping-particle":"","parse-names":false,"suffix":""},{"dropping-particle":"","family":"Liu","given":"Tianyuan","non-dropping-particle":"","parse-names":false,"suffix":""},{"dropping-particle":"","family":"Lee","given":"Seung Woo","non-dropping-particle":"","parse-names":false,"suffix":""},{"dropping-particle":"","family":"Jang","given":"Seung Soon","non-dropping-particle":"","parse-names":false,"suffix":""}],"container-title":"Journal of the American Chemical Society","id":"ITEM-1","issued":{"date-parts":[["2016"]]},"page":"2374−2382","title":"First-Principles Density Functional Theory Modeling of Li Binding : Thermodynamics and Redox Properties of Quinone Derivatives for Lithium-Ion Batteries","type":"article-journal","volume":"138"},"uris":["http://www.mendeley.com/documents/?uuid=421776d1-aec3-42bf-a9e8-19de1a790675"]},{"id":"ITEM-2","itemData":{"DOI":"10.1002/aenm.201901418","author":[{"dropping-particle":"","family":"Leung","given":"Puiki","non-dropping-particle":"","parse-names":false,"suffix":""},{"dropping-particle":"","family":"Bu","given":"Junfu","non-dropping-particle":"","parse-names":false,"suffix":""},{"dropping-particle":"","family":"Velasco","given":"Pablo Quijano","non-dropping-particle":"","parse-names":false,"suffix":""},{"dropping-particle":"","family":"Roberts","given":"Matthew R","non-dropping-particle":"","parse-names":false,"suffix":""},{"dropping-particle":"","family":"Grobert","given":"Nicole","non-dropping-particle":"","parse-names":false,"suffix":""},{"dropping-particle":"","family":"Grant","given":"Patrick S","non-dropping-particle":"","parse-names":false,"suffix":""}],"container-title":"Advanced Energy Materials","id":"ITEM-2","issued":{"date-parts":[["2019"]]},"title":"Single-Step Spray Printing of Symmetric All-Organic Solid- State Batteries Based on Porous Textile Dye Electrodes","type":"article-journal","volume":"1901418"},"uris":["http://www.mendeley.com/documents/?uuid=cc12287b-2f7b-4587-823c-59464ef5f7a9"]},{"id":"ITEM-3","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-3","issue":"5","issued":{"date-parts":[["2016"]]},"page":"790-801","publisher":"Elsevier Inc.","title":"Exploring Bio-inspired Quinone-Based Organic Redox Flow Batteries : A Combined Experimental and Computational Study","type":"article-journal","volume":"1"},"uris":["http://www.mendeley.com/documents/?uuid=bb4f639b-539b-4605-b575-1e1c574d0113"]}],"mendeley":{"formattedCitation":"[40,43,46]","plainTextFormattedCitation":"[40,43,46]","previouslyFormattedCitation":"[40,43,45]"},"properties":{"noteIndex":0},"schema":"https://github.com/citation-style-language/schema/raw/master/csl-citation.json"}</w:instrText>
      </w:r>
      <w:r w:rsidR="00CD358A" w:rsidRPr="00B4448E">
        <w:rPr>
          <w:rFonts w:ascii="Times New Roman" w:hAnsi="Times New Roman"/>
          <w:szCs w:val="24"/>
        </w:rPr>
        <w:fldChar w:fldCharType="separate"/>
      </w:r>
      <w:r w:rsidR="00D75310" w:rsidRPr="00B4448E">
        <w:rPr>
          <w:rFonts w:ascii="Times New Roman" w:hAnsi="Times New Roman"/>
          <w:noProof/>
          <w:szCs w:val="24"/>
        </w:rPr>
        <w:t>[40,43,46]</w:t>
      </w:r>
      <w:r w:rsidR="00CD358A" w:rsidRPr="00B4448E">
        <w:rPr>
          <w:rFonts w:ascii="Times New Roman" w:hAnsi="Times New Roman"/>
          <w:szCs w:val="24"/>
        </w:rPr>
        <w:fldChar w:fldCharType="end"/>
      </w:r>
      <w:r w:rsidR="00F26202" w:rsidRPr="00B4448E">
        <w:rPr>
          <w:rFonts w:ascii="Times New Roman" w:hAnsi="Times New Roman"/>
          <w:szCs w:val="24"/>
        </w:rPr>
        <w:t>,</w:t>
      </w:r>
      <w:r w:rsidR="00087AF2" w:rsidRPr="00B4448E">
        <w:rPr>
          <w:rFonts w:ascii="Times New Roman" w:hAnsi="Times New Roman"/>
          <w:szCs w:val="24"/>
        </w:rPr>
        <w:t xml:space="preserve"> </w:t>
      </w:r>
      <w:r w:rsidR="00CD358A" w:rsidRPr="00B4448E">
        <w:rPr>
          <w:rFonts w:ascii="Times New Roman" w:hAnsi="Times New Roman"/>
          <w:szCs w:val="24"/>
        </w:rPr>
        <w:t>as discussed earlier in the DFT study</w:t>
      </w:r>
      <w:r w:rsidR="0027003E" w:rsidRPr="00B4448E">
        <w:rPr>
          <w:rFonts w:ascii="Times New Roman" w:hAnsi="Times New Roman"/>
          <w:szCs w:val="24"/>
        </w:rPr>
        <w:t xml:space="preserve">. </w:t>
      </w:r>
      <w:r w:rsidR="00CC5FDC" w:rsidRPr="00B4448E">
        <w:rPr>
          <w:rFonts w:ascii="Times New Roman" w:hAnsi="Times New Roman"/>
          <w:szCs w:val="24"/>
          <w:lang w:val="en-GB"/>
        </w:rPr>
        <w:t xml:space="preserve">However, the amine group </w:t>
      </w:r>
      <w:r w:rsidR="00BC2399" w:rsidRPr="00B4448E">
        <w:rPr>
          <w:rFonts w:ascii="Times New Roman" w:hAnsi="Times New Roman"/>
          <w:szCs w:val="24"/>
          <w:lang w:val="en-GB"/>
        </w:rPr>
        <w:t xml:space="preserve">containing </w:t>
      </w:r>
      <w:r w:rsidR="009A28B1" w:rsidRPr="00B4448E">
        <w:rPr>
          <w:rFonts w:ascii="Times New Roman" w:hAnsi="Times New Roman"/>
          <w:szCs w:val="24"/>
          <w:lang w:val="en-GB"/>
        </w:rPr>
        <w:t xml:space="preserve">a </w:t>
      </w:r>
      <w:r w:rsidR="009F2DBC" w:rsidRPr="00B4448E">
        <w:rPr>
          <w:rFonts w:ascii="Times New Roman" w:hAnsi="Times New Roman"/>
          <w:szCs w:val="24"/>
          <w:lang w:val="en-GB"/>
        </w:rPr>
        <w:t xml:space="preserve">nitrogen </w:t>
      </w:r>
      <w:r w:rsidR="00CC5FDC" w:rsidRPr="00B4448E">
        <w:rPr>
          <w:rFonts w:ascii="Times New Roman" w:hAnsi="Times New Roman"/>
          <w:szCs w:val="24"/>
          <w:lang w:val="en-GB"/>
        </w:rPr>
        <w:t xml:space="preserve">atom </w:t>
      </w:r>
      <w:r w:rsidR="00CB1152" w:rsidRPr="00B4448E">
        <w:rPr>
          <w:rFonts w:ascii="Times New Roman" w:hAnsi="Times New Roman"/>
          <w:szCs w:val="24"/>
          <w:lang w:val="en-GB"/>
        </w:rPr>
        <w:t xml:space="preserve">also </w:t>
      </w:r>
      <w:r w:rsidR="00F7308B" w:rsidRPr="00B4448E">
        <w:rPr>
          <w:rFonts w:ascii="Times New Roman" w:hAnsi="Times New Roman"/>
          <w:szCs w:val="24"/>
          <w:lang w:val="en-GB"/>
        </w:rPr>
        <w:t>enable</w:t>
      </w:r>
      <w:r w:rsidR="005E4ED3" w:rsidRPr="00B4448E">
        <w:rPr>
          <w:rFonts w:ascii="Times New Roman" w:hAnsi="Times New Roman"/>
          <w:szCs w:val="24"/>
          <w:lang w:val="en-GB"/>
        </w:rPr>
        <w:t>s</w:t>
      </w:r>
      <w:r w:rsidR="00CC5FDC" w:rsidRPr="00B4448E">
        <w:rPr>
          <w:rFonts w:ascii="Times New Roman" w:hAnsi="Times New Roman"/>
          <w:szCs w:val="24"/>
          <w:lang w:val="en-GB"/>
        </w:rPr>
        <w:t xml:space="preserve"> the molecule to be </w:t>
      </w:r>
      <w:r w:rsidR="009A28B1" w:rsidRPr="00B4448E">
        <w:rPr>
          <w:rFonts w:ascii="Times New Roman" w:hAnsi="Times New Roman"/>
          <w:szCs w:val="24"/>
          <w:lang w:val="en-GB"/>
        </w:rPr>
        <w:t>oxidi</w:t>
      </w:r>
      <w:r w:rsidR="00F7308B" w:rsidRPr="00B4448E">
        <w:rPr>
          <w:rFonts w:ascii="Times New Roman" w:hAnsi="Times New Roman"/>
          <w:szCs w:val="24"/>
          <w:lang w:val="en-GB"/>
        </w:rPr>
        <w:t>z</w:t>
      </w:r>
      <w:r w:rsidR="009A28B1" w:rsidRPr="00B4448E">
        <w:rPr>
          <w:rFonts w:ascii="Times New Roman" w:hAnsi="Times New Roman"/>
          <w:szCs w:val="24"/>
          <w:lang w:val="en-GB"/>
        </w:rPr>
        <w:t>ed</w:t>
      </w:r>
      <w:r w:rsidR="002A4DA7" w:rsidRPr="00B4448E">
        <w:rPr>
          <w:rFonts w:ascii="Times New Roman" w:hAnsi="Times New Roman"/>
          <w:szCs w:val="24"/>
          <w:lang w:val="en-GB"/>
        </w:rPr>
        <w:t>, providing</w:t>
      </w:r>
      <w:r w:rsidR="009A28B1" w:rsidRPr="00B4448E">
        <w:rPr>
          <w:rFonts w:ascii="Times New Roman" w:hAnsi="Times New Roman"/>
          <w:szCs w:val="24"/>
          <w:lang w:val="en-GB"/>
        </w:rPr>
        <w:t xml:space="preserve"> a </w:t>
      </w:r>
      <w:r w:rsidR="00CC5FDC" w:rsidRPr="00B4448E">
        <w:rPr>
          <w:rFonts w:ascii="Times New Roman" w:hAnsi="Times New Roman"/>
          <w:szCs w:val="24"/>
          <w:lang w:val="en-GB"/>
        </w:rPr>
        <w:t>pos</w:t>
      </w:r>
      <w:r w:rsidR="00532765" w:rsidRPr="00B4448E">
        <w:rPr>
          <w:rFonts w:ascii="Times New Roman" w:hAnsi="Times New Roman"/>
          <w:szCs w:val="24"/>
          <w:lang w:val="en-GB"/>
        </w:rPr>
        <w:t>i</w:t>
      </w:r>
      <w:r w:rsidR="00CC5FDC" w:rsidRPr="00B4448E">
        <w:rPr>
          <w:rFonts w:ascii="Times New Roman" w:hAnsi="Times New Roman"/>
          <w:szCs w:val="24"/>
          <w:lang w:val="en-GB"/>
        </w:rPr>
        <w:t>tive charge</w:t>
      </w:r>
      <w:r w:rsidR="00F7308B" w:rsidRPr="00B4448E">
        <w:rPr>
          <w:rFonts w:ascii="Times New Roman" w:hAnsi="Times New Roman"/>
          <w:szCs w:val="24"/>
          <w:lang w:val="en-GB"/>
        </w:rPr>
        <w:t xml:space="preserve">. As shown in Figure </w:t>
      </w:r>
      <w:r w:rsidR="00FA0093" w:rsidRPr="00B4448E">
        <w:rPr>
          <w:rFonts w:ascii="Times New Roman" w:hAnsi="Times New Roman"/>
          <w:szCs w:val="24"/>
          <w:lang w:val="en-GB"/>
        </w:rPr>
        <w:t>3</w:t>
      </w:r>
      <w:r w:rsidR="00F7308B" w:rsidRPr="00B4448E">
        <w:rPr>
          <w:rFonts w:ascii="Times New Roman" w:hAnsi="Times New Roman"/>
          <w:szCs w:val="24"/>
          <w:lang w:val="en-GB"/>
        </w:rPr>
        <w:t xml:space="preserve">b, the </w:t>
      </w:r>
      <w:r w:rsidR="00F7308B" w:rsidRPr="00B4448E">
        <w:rPr>
          <w:rFonts w:ascii="Times New Roman" w:hAnsi="Times New Roman"/>
          <w:szCs w:val="24"/>
          <w:lang w:val="en-GB"/>
        </w:rPr>
        <w:lastRenderedPageBreak/>
        <w:t xml:space="preserve">number of quasi-reversible peaks </w:t>
      </w:r>
      <w:r w:rsidR="005C260C" w:rsidRPr="00B4448E">
        <w:rPr>
          <w:rFonts w:ascii="Times New Roman" w:hAnsi="Times New Roman"/>
          <w:szCs w:val="24"/>
          <w:lang w:val="en-GB"/>
        </w:rPr>
        <w:t xml:space="preserve">observed at more positive electrode potentials </w:t>
      </w:r>
      <w:r w:rsidR="005C260C" w:rsidRPr="00B4448E">
        <w:rPr>
          <w:rFonts w:ascii="Times New Roman" w:hAnsi="Times New Roman"/>
          <w:lang w:val="en-CA"/>
        </w:rPr>
        <w:t>(&gt; 3.</w:t>
      </w:r>
      <w:r w:rsidR="00120F6B" w:rsidRPr="00B4448E">
        <w:rPr>
          <w:rFonts w:ascii="Times New Roman" w:hAnsi="Times New Roman"/>
          <w:lang w:val="en-CA"/>
        </w:rPr>
        <w:t>2</w:t>
      </w:r>
      <w:r w:rsidR="005C260C" w:rsidRPr="00B4448E">
        <w:rPr>
          <w:rFonts w:ascii="Times New Roman" w:hAnsi="Times New Roman"/>
          <w:lang w:val="en-CA"/>
        </w:rPr>
        <w:t xml:space="preserve"> V </w:t>
      </w:r>
      <w:r w:rsidR="005C260C" w:rsidRPr="00B4448E">
        <w:rPr>
          <w:rFonts w:ascii="Times New Roman" w:hAnsi="Times New Roman"/>
          <w:i/>
          <w:lang w:val="en-CA"/>
        </w:rPr>
        <w:t>vs</w:t>
      </w:r>
      <w:r w:rsidR="005C260C" w:rsidRPr="00B4448E">
        <w:rPr>
          <w:rFonts w:ascii="Times New Roman" w:hAnsi="Times New Roman"/>
          <w:lang w:val="en-CA"/>
        </w:rPr>
        <w:t xml:space="preserve">. Li) </w:t>
      </w:r>
      <w:r w:rsidR="005C260C" w:rsidRPr="00B4448E">
        <w:rPr>
          <w:rFonts w:ascii="Times New Roman" w:hAnsi="Times New Roman"/>
          <w:szCs w:val="24"/>
          <w:lang w:val="en-GB"/>
        </w:rPr>
        <w:t>w</w:t>
      </w:r>
      <w:r w:rsidR="002A4DA7" w:rsidRPr="00B4448E">
        <w:rPr>
          <w:rFonts w:ascii="Times New Roman" w:hAnsi="Times New Roman"/>
          <w:szCs w:val="24"/>
          <w:lang w:val="en-GB"/>
        </w:rPr>
        <w:t>as</w:t>
      </w:r>
      <w:r w:rsidR="005C260C" w:rsidRPr="00B4448E">
        <w:rPr>
          <w:rFonts w:ascii="Times New Roman" w:hAnsi="Times New Roman"/>
          <w:szCs w:val="24"/>
          <w:lang w:val="en-GB"/>
        </w:rPr>
        <w:t xml:space="preserve"> related to the number of nitrogen atom within the selected molecules (TEMPO and PD)</w:t>
      </w:r>
      <w:r w:rsidR="00F26202" w:rsidRPr="00B4448E">
        <w:rPr>
          <w:rFonts w:ascii="Times New Roman" w:hAnsi="Times New Roman"/>
          <w:szCs w:val="24"/>
          <w:lang w:val="en-GB"/>
        </w:rPr>
        <w:t xml:space="preserve"> </w:t>
      </w:r>
      <w:r w:rsidR="00B67E0E" w:rsidRPr="00B4448E">
        <w:rPr>
          <w:rFonts w:ascii="Times New Roman" w:hAnsi="Times New Roman"/>
          <w:szCs w:val="24"/>
        </w:rPr>
        <w:fldChar w:fldCharType="begin" w:fldLock="1"/>
      </w:r>
      <w:r w:rsidR="00D75310" w:rsidRPr="00B4448E">
        <w:rPr>
          <w:rFonts w:ascii="Times New Roman" w:hAnsi="Times New Roman"/>
          <w:szCs w:val="24"/>
        </w:rPr>
        <w:instrText>ADDIN CSL_CITATION {"citationItems":[{"id":"ITEM-1","itemData":{"DOI":"10.1002/aenm.201901418","author":[{"dropping-particle":"","family":"Leung","given":"Puiki","non-dropping-particle":"","parse-names":false,"suffix":""},{"dropping-particle":"","family":"Bu","given":"Junfu","non-dropping-particle":"","parse-names":false,"suffix":""},{"dropping-particle":"","family":"Velasco","given":"Pablo Quijano","non-dropping-particle":"","parse-names":false,"suffix":""},{"dropping-particle":"","family":"Roberts","given":"Matthew R","non-dropping-particle":"","parse-names":false,"suffix":""},{"dropping-particle":"","family":"Grobert","given":"Nicole","non-dropping-particle":"","parse-names":false,"suffix":""},{"dropping-particle":"","family":"Grant","given":"Patrick S","non-dropping-particle":"","parse-names":false,"suffix":""}],"container-title":"Advanced Energy Materials","id":"ITEM-1","issued":{"date-parts":[["2019"]]},"title":"Single-Step Spray Printing of Symmetric All-Organic Solid- State Batteries Based on Porous Textile Dye Electrodes","type":"article-journal","volume":"1901418"},"uris":["http://www.mendeley.com/documents/?uuid=cc12287b-2f7b-4587-823c-59464ef5f7a9"]},{"id":"ITEM-2","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-2","issue":"5","issued":{"date-parts":[["2016"]]},"page":"790-801","publisher":"Elsevier Inc.","title":"Exploring Bio-inspired Quinone-Based Organic Redox Flow Batteries : A Combined Experimental and Computational Study","type":"article-journal","volume":"1"},"uris":["http://www.mendeley.com/documents/?uuid=bb4f639b-539b-4605-b575-1e1c574d0113"]},{"id":"ITEM-3","itemData":{"author":[{"dropping-particle":"","family":"Vattanen","given":"Virpi","non-dropping-particle":"","parse-names":false,"suffix":""},{"dropping-particle":"","family":"Pedersen","given":"Jens A.","non-dropping-particle":"","parse-names":false,"suffix":""}],"container-title":"Chem. Soc.","id":"ITEM-3","issued":{"date-parts":[["1996"]]},"page":"2207-2212","title":"Electron paramagnetic resonance and cyclic voltammetry studies of the cations and anions of a-aminoanthraquinones obtained by electrochemical oxidatiod/reduction","type":"article-journal","volume":"2"},"uris":["http://www.mendeley.com/documents/?uuid=c64db650-3be6-497d-a241-274706464fc6"]}],"mendeley":{"formattedCitation":"[40,45,46]","plainTextFormattedCitation":"[40,45,46]","previouslyFormattedCitation":"[40,44,45]"},"properties":{"noteIndex":0},"schema":"https://github.com/citation-style-language/schema/raw/master/csl-citation.json"}</w:instrText>
      </w:r>
      <w:r w:rsidR="00B67E0E" w:rsidRPr="00B4448E">
        <w:rPr>
          <w:rFonts w:ascii="Times New Roman" w:hAnsi="Times New Roman"/>
          <w:szCs w:val="24"/>
        </w:rPr>
        <w:fldChar w:fldCharType="separate"/>
      </w:r>
      <w:r w:rsidR="00D75310" w:rsidRPr="00B4448E">
        <w:rPr>
          <w:rFonts w:ascii="Times New Roman" w:hAnsi="Times New Roman"/>
          <w:noProof/>
          <w:szCs w:val="24"/>
        </w:rPr>
        <w:t>[40,45,46]</w:t>
      </w:r>
      <w:r w:rsidR="00B67E0E" w:rsidRPr="00B4448E">
        <w:rPr>
          <w:rFonts w:ascii="Times New Roman" w:hAnsi="Times New Roman"/>
          <w:szCs w:val="24"/>
        </w:rPr>
        <w:fldChar w:fldCharType="end"/>
      </w:r>
      <w:r w:rsidR="00F26202" w:rsidRPr="00B4448E">
        <w:rPr>
          <w:rFonts w:ascii="Times New Roman" w:hAnsi="Times New Roman"/>
          <w:szCs w:val="24"/>
        </w:rPr>
        <w:t>.</w:t>
      </w:r>
      <w:r w:rsidR="00B67E0E" w:rsidRPr="00B4448E">
        <w:rPr>
          <w:rFonts w:ascii="Times New Roman" w:hAnsi="Times New Roman"/>
          <w:szCs w:val="24"/>
        </w:rPr>
        <w:t xml:space="preserve"> </w:t>
      </w:r>
      <w:r w:rsidR="005C260C" w:rsidRPr="00B4448E">
        <w:rPr>
          <w:rFonts w:ascii="Times New Roman" w:hAnsi="Times New Roman"/>
          <w:szCs w:val="24"/>
          <w:lang w:val="en-GB"/>
        </w:rPr>
        <w:t>For the</w:t>
      </w:r>
      <w:r w:rsidR="0084267F" w:rsidRPr="00B4448E">
        <w:rPr>
          <w:rFonts w:ascii="Times New Roman" w:hAnsi="Times New Roman"/>
          <w:szCs w:val="24"/>
          <w:lang w:val="en-GB"/>
        </w:rPr>
        <w:t xml:space="preserve"> hypothesized </w:t>
      </w:r>
      <w:r w:rsidR="00B67E0E" w:rsidRPr="00B4448E">
        <w:rPr>
          <w:rFonts w:ascii="Times New Roman" w:hAnsi="Times New Roman"/>
          <w:szCs w:val="24"/>
          <w:lang w:val="en-GB"/>
        </w:rPr>
        <w:t xml:space="preserve">oxidation route </w:t>
      </w:r>
      <w:r w:rsidR="005C260C" w:rsidRPr="00B4448E">
        <w:rPr>
          <w:rFonts w:ascii="Times New Roman" w:hAnsi="Times New Roman"/>
          <w:szCs w:val="24"/>
          <w:lang w:val="en-GB"/>
        </w:rPr>
        <w:t>of</w:t>
      </w:r>
      <w:r w:rsidR="00B67E0E" w:rsidRPr="00B4448E">
        <w:rPr>
          <w:rFonts w:ascii="Times New Roman" w:hAnsi="Times New Roman"/>
          <w:szCs w:val="24"/>
          <w:lang w:val="en-GB"/>
        </w:rPr>
        <w:t xml:space="preserve"> the</w:t>
      </w:r>
      <w:r w:rsidR="005C260C" w:rsidRPr="00B4448E">
        <w:rPr>
          <w:rFonts w:ascii="Times New Roman" w:hAnsi="Times New Roman"/>
          <w:szCs w:val="24"/>
          <w:lang w:val="en-GB"/>
        </w:rPr>
        <w:t xml:space="preserve"> DB-1</w:t>
      </w:r>
      <w:r w:rsidR="00B67E0E" w:rsidRPr="00B4448E">
        <w:rPr>
          <w:rFonts w:ascii="Times New Roman" w:hAnsi="Times New Roman"/>
          <w:szCs w:val="24"/>
          <w:lang w:val="en-GB"/>
        </w:rPr>
        <w:t xml:space="preserve"> molecule</w:t>
      </w:r>
      <w:r w:rsidR="00D520A5" w:rsidRPr="00B4448E">
        <w:rPr>
          <w:rFonts w:ascii="Times New Roman" w:hAnsi="Times New Roman"/>
          <w:szCs w:val="24"/>
          <w:lang w:val="en-GB"/>
        </w:rPr>
        <w:t xml:space="preserve"> (</w:t>
      </w:r>
      <w:r w:rsidR="00D520A5" w:rsidRPr="00B4448E">
        <w:rPr>
          <w:rFonts w:ascii="Times New Roman" w:hAnsi="Times New Roman"/>
          <w:szCs w:val="18"/>
        </w:rPr>
        <w:t>Q → Q</w:t>
      </w:r>
      <w:r w:rsidR="00D520A5" w:rsidRPr="00B4448E">
        <w:rPr>
          <w:rFonts w:ascii="Times New Roman" w:hAnsi="Times New Roman"/>
          <w:szCs w:val="18"/>
          <w:vertAlign w:val="superscript"/>
        </w:rPr>
        <w:t>2+</w:t>
      </w:r>
      <w:r w:rsidR="00D520A5" w:rsidRPr="00B4448E">
        <w:rPr>
          <w:rFonts w:ascii="Times New Roman" w:hAnsi="Times New Roman"/>
          <w:szCs w:val="18"/>
        </w:rPr>
        <w:t>→ Q</w:t>
      </w:r>
      <w:r w:rsidR="00D520A5" w:rsidRPr="00B4448E">
        <w:rPr>
          <w:rFonts w:ascii="Times New Roman" w:hAnsi="Times New Roman"/>
          <w:szCs w:val="18"/>
          <w:vertAlign w:val="superscript"/>
        </w:rPr>
        <w:t>4+</w:t>
      </w:r>
      <w:r w:rsidR="00D520A5" w:rsidRPr="00B4448E">
        <w:rPr>
          <w:rFonts w:ascii="Times New Roman" w:hAnsi="Times New Roman"/>
          <w:szCs w:val="18"/>
        </w:rPr>
        <w:t>)</w:t>
      </w:r>
      <w:r w:rsidR="005C260C" w:rsidRPr="00B4448E">
        <w:rPr>
          <w:rFonts w:ascii="Times New Roman" w:hAnsi="Times New Roman"/>
          <w:szCs w:val="24"/>
          <w:lang w:val="en-GB"/>
        </w:rPr>
        <w:t xml:space="preserve">, </w:t>
      </w:r>
      <w:r w:rsidR="00B67E0E" w:rsidRPr="00B4448E">
        <w:rPr>
          <w:rFonts w:ascii="Times New Roman" w:hAnsi="Times New Roman"/>
          <w:szCs w:val="24"/>
          <w:lang w:val="en-GB"/>
        </w:rPr>
        <w:t xml:space="preserve">a number of </w:t>
      </w:r>
      <w:r w:rsidR="00CB1152" w:rsidRPr="00B4448E">
        <w:rPr>
          <w:rFonts w:ascii="Times New Roman" w:hAnsi="Times New Roman"/>
          <w:szCs w:val="24"/>
          <w:lang w:val="en-GB"/>
        </w:rPr>
        <w:t xml:space="preserve">overlapping </w:t>
      </w:r>
      <w:r w:rsidR="005D51EA" w:rsidRPr="00B4448E">
        <w:rPr>
          <w:rFonts w:ascii="Times New Roman" w:hAnsi="Times New Roman"/>
          <w:szCs w:val="24"/>
          <w:lang w:val="en-GB"/>
        </w:rPr>
        <w:t xml:space="preserve">quasi-reversible </w:t>
      </w:r>
      <w:r w:rsidR="00B67E0E" w:rsidRPr="00B4448E">
        <w:rPr>
          <w:rFonts w:ascii="Times New Roman" w:hAnsi="Times New Roman"/>
          <w:szCs w:val="24"/>
          <w:lang w:val="en-GB"/>
        </w:rPr>
        <w:t>peaks were observed, indicating multi-electron transfers</w:t>
      </w:r>
      <w:r w:rsidR="00585F65" w:rsidRPr="00B4448E">
        <w:rPr>
          <w:rFonts w:ascii="Times New Roman" w:hAnsi="Times New Roman"/>
          <w:szCs w:val="24"/>
          <w:lang w:val="en-GB"/>
        </w:rPr>
        <w:t xml:space="preserve"> </w:t>
      </w:r>
      <w:r w:rsidR="0084267F" w:rsidRPr="00B4448E">
        <w:rPr>
          <w:rFonts w:ascii="Times New Roman" w:hAnsi="Times New Roman"/>
          <w:szCs w:val="24"/>
          <w:lang w:val="en-GB"/>
        </w:rPr>
        <w:t>of at least</w:t>
      </w:r>
      <w:r w:rsidR="00585F65" w:rsidRPr="00B4448E">
        <w:rPr>
          <w:rFonts w:ascii="Times New Roman" w:hAnsi="Times New Roman"/>
          <w:szCs w:val="24"/>
          <w:lang w:val="en-GB"/>
        </w:rPr>
        <w:t xml:space="preserve"> 3 </w:t>
      </w:r>
      <w:r w:rsidR="0084267F" w:rsidRPr="00B4448E">
        <w:rPr>
          <w:rFonts w:ascii="Times New Roman" w:hAnsi="Times New Roman"/>
          <w:szCs w:val="24"/>
          <w:lang w:val="en-GB"/>
        </w:rPr>
        <w:t xml:space="preserve">electron-transfers </w:t>
      </w:r>
      <w:r w:rsidR="00B67E0E" w:rsidRPr="00B4448E">
        <w:rPr>
          <w:rFonts w:ascii="Times New Roman" w:hAnsi="Times New Roman"/>
          <w:szCs w:val="24"/>
          <w:lang w:val="en-GB"/>
        </w:rPr>
        <w:t xml:space="preserve"> at highly positive electrode potentials </w:t>
      </w:r>
      <w:r w:rsidR="00E50B54" w:rsidRPr="00B4448E">
        <w:rPr>
          <w:rFonts w:ascii="Times New Roman" w:hAnsi="Times New Roman"/>
          <w:lang w:val="en-CA"/>
        </w:rPr>
        <w:t>from 3.2</w:t>
      </w:r>
      <w:r w:rsidR="001149B3" w:rsidRPr="00B4448E">
        <w:rPr>
          <w:rFonts w:ascii="Times New Roman" w:hAnsi="Times New Roman"/>
          <w:lang w:val="en-CA"/>
        </w:rPr>
        <w:t xml:space="preserve"> </w:t>
      </w:r>
      <w:r w:rsidR="00B67E0E" w:rsidRPr="00B4448E">
        <w:rPr>
          <w:rFonts w:ascii="Times New Roman" w:hAnsi="Times New Roman"/>
          <w:lang w:val="en-CA"/>
        </w:rPr>
        <w:t>up to 4.</w:t>
      </w:r>
      <w:r w:rsidR="00120F6B" w:rsidRPr="00B4448E">
        <w:rPr>
          <w:rFonts w:ascii="Times New Roman" w:hAnsi="Times New Roman"/>
          <w:lang w:val="en-CA"/>
        </w:rPr>
        <w:t>4</w:t>
      </w:r>
      <w:r w:rsidR="00B67E0E" w:rsidRPr="00B4448E">
        <w:rPr>
          <w:rFonts w:ascii="Times New Roman" w:hAnsi="Times New Roman"/>
          <w:lang w:val="en-CA"/>
        </w:rPr>
        <w:t xml:space="preserve"> V </w:t>
      </w:r>
      <w:r w:rsidR="00B67E0E" w:rsidRPr="00B4448E">
        <w:rPr>
          <w:rFonts w:ascii="Times New Roman" w:hAnsi="Times New Roman"/>
          <w:i/>
          <w:lang w:val="en-CA"/>
        </w:rPr>
        <w:t>vs</w:t>
      </w:r>
      <w:r w:rsidR="00B67E0E" w:rsidRPr="00B4448E">
        <w:rPr>
          <w:rFonts w:ascii="Times New Roman" w:hAnsi="Times New Roman"/>
          <w:lang w:val="en-CA"/>
        </w:rPr>
        <w:t>. Li</w:t>
      </w:r>
      <w:r w:rsidR="001149B3" w:rsidRPr="00B4448E">
        <w:rPr>
          <w:rFonts w:ascii="Times New Roman" w:hAnsi="Times New Roman"/>
          <w:szCs w:val="24"/>
          <w:lang w:val="en-GB"/>
        </w:rPr>
        <w:t>.</w:t>
      </w:r>
    </w:p>
    <w:p w14:paraId="2B9F26A5" w14:textId="139A4742" w:rsidR="00641E23" w:rsidRPr="00B4448E" w:rsidRDefault="00641E23" w:rsidP="00067B71">
      <w:pPr>
        <w:pStyle w:val="BGKeywords"/>
        <w:spacing w:after="0"/>
        <w:rPr>
          <w:rFonts w:asciiTheme="majorBidi" w:hAnsiTheme="majorBidi" w:cstheme="majorBidi"/>
          <w:szCs w:val="24"/>
          <w:lang w:val="en-GB"/>
        </w:rPr>
      </w:pPr>
    </w:p>
    <w:p w14:paraId="4E5E739E" w14:textId="3233484E" w:rsidR="00466B54" w:rsidRPr="00B4448E" w:rsidRDefault="00641E23" w:rsidP="00067B71">
      <w:pPr>
        <w:pStyle w:val="BGKeywords"/>
        <w:spacing w:after="0"/>
        <w:rPr>
          <w:rFonts w:asciiTheme="majorBidi" w:hAnsiTheme="majorBidi" w:cstheme="majorBidi"/>
          <w:szCs w:val="24"/>
          <w:lang w:val="en-GB"/>
        </w:rPr>
      </w:pPr>
      <w:r w:rsidRPr="00B4448E">
        <w:rPr>
          <w:rFonts w:asciiTheme="majorBidi" w:hAnsiTheme="majorBidi" w:cstheme="majorBidi"/>
          <w:szCs w:val="24"/>
          <w:lang w:val="en-GB"/>
        </w:rPr>
        <w:t>In these potential regions, the reduction and oxidation process</w:t>
      </w:r>
      <w:r w:rsidR="00B3099C" w:rsidRPr="00B4448E">
        <w:rPr>
          <w:rFonts w:asciiTheme="majorBidi" w:hAnsiTheme="majorBidi" w:cstheme="majorBidi"/>
          <w:szCs w:val="24"/>
          <w:lang w:val="en-GB"/>
        </w:rPr>
        <w:t>es</w:t>
      </w:r>
      <w:r w:rsidRPr="00B4448E">
        <w:rPr>
          <w:rFonts w:asciiTheme="majorBidi" w:hAnsiTheme="majorBidi" w:cstheme="majorBidi"/>
          <w:szCs w:val="24"/>
          <w:lang w:val="en-GB"/>
        </w:rPr>
        <w:t xml:space="preserve"> of the DB-1 molecule were </w:t>
      </w:r>
      <w:r w:rsidR="00CD358A" w:rsidRPr="00B4448E">
        <w:rPr>
          <w:rFonts w:asciiTheme="majorBidi" w:hAnsiTheme="majorBidi" w:cstheme="majorBidi"/>
          <w:szCs w:val="24"/>
          <w:lang w:val="en-GB"/>
        </w:rPr>
        <w:t xml:space="preserve">also </w:t>
      </w:r>
      <w:r w:rsidRPr="00B4448E">
        <w:rPr>
          <w:rFonts w:asciiTheme="majorBidi" w:hAnsiTheme="majorBidi" w:cstheme="majorBidi"/>
          <w:szCs w:val="24"/>
          <w:lang w:val="en-GB"/>
        </w:rPr>
        <w:t xml:space="preserve">evaluated </w:t>
      </w:r>
      <w:r w:rsidR="00924DCE" w:rsidRPr="00B4448E">
        <w:rPr>
          <w:rFonts w:asciiTheme="majorBidi" w:hAnsiTheme="majorBidi" w:cstheme="majorBidi"/>
          <w:szCs w:val="24"/>
          <w:lang w:val="en-GB"/>
        </w:rPr>
        <w:t xml:space="preserve">individually </w:t>
      </w:r>
      <w:r w:rsidRPr="00B4448E">
        <w:rPr>
          <w:rFonts w:asciiTheme="majorBidi" w:hAnsiTheme="majorBidi" w:cstheme="majorBidi"/>
          <w:szCs w:val="24"/>
          <w:lang w:val="en-GB"/>
        </w:rPr>
        <w:t xml:space="preserve">at </w:t>
      </w:r>
      <w:r w:rsidR="00CD358A" w:rsidRPr="00B4448E">
        <w:rPr>
          <w:rFonts w:asciiTheme="majorBidi" w:hAnsiTheme="majorBidi" w:cstheme="majorBidi"/>
          <w:szCs w:val="24"/>
          <w:lang w:val="en-GB"/>
        </w:rPr>
        <w:t>various</w:t>
      </w:r>
      <w:r w:rsidRPr="00B4448E">
        <w:rPr>
          <w:rFonts w:asciiTheme="majorBidi" w:hAnsiTheme="majorBidi" w:cstheme="majorBidi"/>
          <w:szCs w:val="24"/>
          <w:lang w:val="en-GB"/>
        </w:rPr>
        <w:t xml:space="preserve"> scan rates between 5</w:t>
      </w:r>
      <w:r w:rsidR="00F547A8" w:rsidRPr="00B4448E">
        <w:rPr>
          <w:rFonts w:asciiTheme="majorBidi" w:hAnsiTheme="majorBidi" w:cstheme="majorBidi"/>
          <w:szCs w:val="24"/>
          <w:lang w:val="en-GB"/>
        </w:rPr>
        <w:t>0</w:t>
      </w:r>
      <w:r w:rsidRPr="00B4448E">
        <w:rPr>
          <w:rFonts w:asciiTheme="majorBidi" w:hAnsiTheme="majorBidi" w:cstheme="majorBidi"/>
          <w:szCs w:val="24"/>
          <w:lang w:val="en-GB"/>
        </w:rPr>
        <w:t xml:space="preserve"> and 700 mV s</w:t>
      </w:r>
      <w:r w:rsidRPr="00B4448E">
        <w:rPr>
          <w:rFonts w:ascii="Symbol" w:hAnsi="Symbol" w:cstheme="majorBidi"/>
          <w:szCs w:val="24"/>
          <w:vertAlign w:val="superscript"/>
          <w:lang w:val="en-GB"/>
        </w:rPr>
        <w:t></w:t>
      </w:r>
      <w:r w:rsidRPr="00B4448E">
        <w:rPr>
          <w:rFonts w:asciiTheme="majorBidi" w:hAnsiTheme="majorBidi" w:cstheme="majorBidi"/>
          <w:szCs w:val="24"/>
          <w:vertAlign w:val="superscript"/>
          <w:lang w:val="en-GB"/>
        </w:rPr>
        <w:t>1</w:t>
      </w:r>
      <w:r w:rsidRPr="00B4448E">
        <w:rPr>
          <w:rFonts w:asciiTheme="majorBidi" w:hAnsiTheme="majorBidi" w:cstheme="majorBidi"/>
          <w:szCs w:val="24"/>
          <w:lang w:val="en-GB"/>
        </w:rPr>
        <w:t xml:space="preserve">, as shown in Figure </w:t>
      </w:r>
      <w:r w:rsidR="00FA0093" w:rsidRPr="00B4448E">
        <w:rPr>
          <w:rFonts w:asciiTheme="majorBidi" w:hAnsiTheme="majorBidi" w:cstheme="majorBidi"/>
          <w:szCs w:val="24"/>
          <w:lang w:val="en-GB"/>
        </w:rPr>
        <w:t>3</w:t>
      </w:r>
      <w:r w:rsidRPr="00B4448E">
        <w:rPr>
          <w:rFonts w:asciiTheme="majorBidi" w:hAnsiTheme="majorBidi" w:cstheme="majorBidi"/>
          <w:szCs w:val="24"/>
          <w:lang w:val="en-GB"/>
        </w:rPr>
        <w:t xml:space="preserve">c. From this data, linear relationships between the peak current and the square root of the scan rate </w:t>
      </w:r>
      <w:r w:rsidRPr="00B4448E">
        <w:rPr>
          <w:rFonts w:asciiTheme="majorBidi" w:hAnsiTheme="majorBidi" w:cstheme="majorBidi"/>
          <w:szCs w:val="24"/>
        </w:rPr>
        <w:t>were observed</w:t>
      </w:r>
      <w:r w:rsidR="00CB1152" w:rsidRPr="00B4448E">
        <w:rPr>
          <w:rFonts w:asciiTheme="majorBidi" w:hAnsiTheme="majorBidi" w:cstheme="majorBidi"/>
          <w:szCs w:val="24"/>
        </w:rPr>
        <w:t xml:space="preserve"> (Figures S3 and S4)</w:t>
      </w:r>
      <w:r w:rsidRPr="00B4448E">
        <w:rPr>
          <w:rFonts w:asciiTheme="majorBidi" w:hAnsiTheme="majorBidi" w:cstheme="majorBidi"/>
          <w:szCs w:val="24"/>
        </w:rPr>
        <w:t xml:space="preserve">, indicating that reactions </w:t>
      </w:r>
      <w:r w:rsidR="0084267F" w:rsidRPr="00B4448E">
        <w:rPr>
          <w:rFonts w:asciiTheme="majorBidi" w:hAnsiTheme="majorBidi" w:cstheme="majorBidi"/>
          <w:szCs w:val="24"/>
        </w:rPr>
        <w:t>were</w:t>
      </w:r>
      <w:r w:rsidRPr="00B4448E">
        <w:rPr>
          <w:rFonts w:asciiTheme="majorBidi" w:hAnsiTheme="majorBidi" w:cstheme="majorBidi"/>
          <w:szCs w:val="24"/>
        </w:rPr>
        <w:t xml:space="preserve"> controlled by the diffusion of D</w:t>
      </w:r>
      <w:r w:rsidR="00A534A9" w:rsidRPr="00B4448E">
        <w:rPr>
          <w:rFonts w:asciiTheme="majorBidi" w:hAnsiTheme="majorBidi" w:cstheme="majorBidi"/>
          <w:szCs w:val="24"/>
        </w:rPr>
        <w:t>B-1 molecule in the electrolyte</w:t>
      </w:r>
      <w:r w:rsidR="00CB1152" w:rsidRPr="00B4448E">
        <w:rPr>
          <w:rFonts w:asciiTheme="majorBidi" w:hAnsiTheme="majorBidi" w:cstheme="majorBidi"/>
          <w:szCs w:val="24"/>
        </w:rPr>
        <w:t xml:space="preserve"> </w:t>
      </w:r>
      <w:r w:rsidRPr="00B4448E">
        <w:rPr>
          <w:rFonts w:asciiTheme="majorBidi" w:hAnsiTheme="majorBidi" w:cstheme="majorBidi"/>
          <w:szCs w:val="24"/>
        </w:rPr>
        <w:fldChar w:fldCharType="begin" w:fldLock="1"/>
      </w:r>
      <w:r w:rsidR="00D75310" w:rsidRPr="00B4448E">
        <w:rPr>
          <w:rFonts w:asciiTheme="majorBidi" w:hAnsiTheme="majorBidi" w:cstheme="majorBidi"/>
          <w:szCs w:val="24"/>
        </w:rPr>
        <w:instrText>ADDIN CSL_CITATION {"citationItems":[{"id":"ITEM-1","itemData":{"DOI":"10.1002/aenm.201901418","author":[{"dropping-particle":"","family":"Leung","given":"Puiki","non-dropping-particle":"","parse-names":false,"suffix":""},{"dropping-particle":"","family":"Bu","given":"Junfu","non-dropping-particle":"","parse-names":false,"suffix":""},{"dropping-particle":"","family":"Velasco","given":"Pablo Quijano","non-dropping-particle":"","parse-names":false,"suffix":""},{"dropping-particle":"","family":"Roberts","given":"Matthew R","non-dropping-particle":"","parse-names":false,"suffix":""},{"dropping-particle":"","family":"Grobert","given":"Nicole","non-dropping-particle":"","parse-names":false,"suffix":""},{"dropping-particle":"","family":"Grant","given":"Patrick S","non-dropping-particle":"","parse-names":false,"suffix":""}],"container-title":"Advanced Energy Materials","id":"ITEM-1","issued":{"date-parts":[["2019"]]},"title":"Single-Step Spray Printing of Symmetric All-Organic Solid- State Batteries Based on Porous Textile Dye Electrodes","type":"article-journal","volume":"1901418"},"uris":["http://www.mendeley.com/documents/?uuid=cc12287b-2f7b-4587-823c-59464ef5f7a9"]},{"id":"ITEM-2","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-2","issue":"5","issued":{"date-parts":[["2016"]]},"page":"790-801","publisher":"Elsevier Inc.","title":"Exploring Bio-inspired Quinone-Based Organic Redox Flow Batteries : A Combined Experimental and Computational Study","type":"article-journal","volume":"1"},"uris":["http://www.mendeley.com/documents/?uuid=bb4f639b-539b-4605-b575-1e1c574d0113"]}],"mendeley":{"formattedCitation":"[40,46]","plainTextFormattedCitation":"[40,46]","previouslyFormattedCitation":"[40,45]"},"properties":{"noteIndex":0},"schema":"https://github.com/citation-style-language/schema/raw/master/csl-citation.json"}</w:instrText>
      </w:r>
      <w:r w:rsidRPr="00B4448E">
        <w:rPr>
          <w:rFonts w:asciiTheme="majorBidi" w:hAnsiTheme="majorBidi" w:cstheme="majorBidi"/>
          <w:szCs w:val="24"/>
        </w:rPr>
        <w:fldChar w:fldCharType="separate"/>
      </w:r>
      <w:r w:rsidR="00D75310" w:rsidRPr="00B4448E">
        <w:rPr>
          <w:rFonts w:asciiTheme="majorBidi" w:hAnsiTheme="majorBidi" w:cstheme="majorBidi"/>
          <w:noProof/>
          <w:szCs w:val="24"/>
        </w:rPr>
        <w:t>[40,46]</w:t>
      </w:r>
      <w:r w:rsidRPr="00B4448E">
        <w:rPr>
          <w:rFonts w:asciiTheme="majorBidi" w:hAnsiTheme="majorBidi" w:cstheme="majorBidi"/>
          <w:szCs w:val="24"/>
        </w:rPr>
        <w:fldChar w:fldCharType="end"/>
      </w:r>
      <w:r w:rsidR="00F26202" w:rsidRPr="00B4448E">
        <w:rPr>
          <w:rFonts w:asciiTheme="majorBidi" w:hAnsiTheme="majorBidi" w:cstheme="majorBidi"/>
          <w:szCs w:val="24"/>
        </w:rPr>
        <w:t>.</w:t>
      </w:r>
      <w:r w:rsidR="00A534A9" w:rsidRPr="00B4448E">
        <w:rPr>
          <w:rFonts w:asciiTheme="majorBidi" w:hAnsiTheme="majorBidi" w:cstheme="majorBidi"/>
          <w:szCs w:val="24"/>
          <w:lang w:val="en-GB"/>
        </w:rPr>
        <w:t xml:space="preserve"> </w:t>
      </w:r>
      <w:r w:rsidR="00CB1152" w:rsidRPr="00B4448E">
        <w:rPr>
          <w:rFonts w:asciiTheme="majorBidi" w:hAnsiTheme="majorBidi" w:cstheme="majorBidi"/>
          <w:szCs w:val="24"/>
          <w:lang w:val="en-GB"/>
        </w:rPr>
        <w:t>T</w:t>
      </w:r>
      <w:r w:rsidR="00215BF9" w:rsidRPr="00B4448E">
        <w:rPr>
          <w:rFonts w:asciiTheme="majorBidi" w:hAnsiTheme="majorBidi" w:cstheme="majorBidi"/>
          <w:szCs w:val="24"/>
          <w:lang w:val="en-GB"/>
        </w:rPr>
        <w:t>he</w:t>
      </w:r>
      <w:r w:rsidR="00B3099C" w:rsidRPr="00B4448E">
        <w:rPr>
          <w:rFonts w:asciiTheme="majorBidi" w:hAnsiTheme="majorBidi" w:cstheme="majorBidi"/>
          <w:szCs w:val="24"/>
          <w:lang w:val="en-GB"/>
        </w:rPr>
        <w:t xml:space="preserve"> </w:t>
      </w:r>
      <w:r w:rsidR="00FE1EE1" w:rsidRPr="00B4448E">
        <w:rPr>
          <w:rFonts w:asciiTheme="majorBidi" w:hAnsiTheme="majorBidi" w:cstheme="majorBidi"/>
          <w:szCs w:val="24"/>
          <w:lang w:val="en-GB"/>
        </w:rPr>
        <w:t xml:space="preserve">proposed </w:t>
      </w:r>
      <w:r w:rsidR="00CB1152" w:rsidRPr="00B4448E">
        <w:rPr>
          <w:rFonts w:asciiTheme="majorBidi" w:hAnsiTheme="majorBidi" w:cstheme="majorBidi"/>
          <w:szCs w:val="24"/>
          <w:lang w:val="en-GB"/>
        </w:rPr>
        <w:t xml:space="preserve">multiple oxidation states of the </w:t>
      </w:r>
      <w:r w:rsidR="00FE1EE1" w:rsidRPr="00B4448E">
        <w:rPr>
          <w:rFonts w:asciiTheme="majorBidi" w:hAnsiTheme="majorBidi" w:cstheme="majorBidi"/>
          <w:szCs w:val="24"/>
          <w:lang w:val="en-GB"/>
        </w:rPr>
        <w:t xml:space="preserve">DB-1 molecule </w:t>
      </w:r>
      <w:r w:rsidR="002A4DA7" w:rsidRPr="00B4448E">
        <w:rPr>
          <w:rFonts w:asciiTheme="majorBidi" w:hAnsiTheme="majorBidi" w:cstheme="majorBidi"/>
          <w:szCs w:val="24"/>
          <w:lang w:val="en-GB"/>
        </w:rPr>
        <w:t>were</w:t>
      </w:r>
      <w:r w:rsidR="00FE1EE1" w:rsidRPr="00B4448E">
        <w:rPr>
          <w:rFonts w:asciiTheme="majorBidi" w:hAnsiTheme="majorBidi" w:cstheme="majorBidi"/>
          <w:szCs w:val="24"/>
          <w:lang w:val="en-GB"/>
        </w:rPr>
        <w:t xml:space="preserve"> </w:t>
      </w:r>
      <w:r w:rsidR="001149B3" w:rsidRPr="00B4448E">
        <w:rPr>
          <w:rFonts w:asciiTheme="majorBidi" w:hAnsiTheme="majorBidi" w:cstheme="majorBidi"/>
          <w:szCs w:val="24"/>
          <w:lang w:val="en-GB"/>
        </w:rPr>
        <w:t>further demonstrated by sweeping the electrode potentials from the open-circuit potential (</w:t>
      </w:r>
      <w:r w:rsidR="0092152C" w:rsidRPr="00B4448E">
        <w:rPr>
          <w:rFonts w:asciiTheme="majorBidi" w:hAnsiTheme="majorBidi" w:cstheme="majorBidi"/>
          <w:szCs w:val="24"/>
          <w:lang w:val="en-GB"/>
        </w:rPr>
        <w:t>3.</w:t>
      </w:r>
      <w:r w:rsidR="005F4B5C" w:rsidRPr="00B4448E">
        <w:rPr>
          <w:rFonts w:asciiTheme="majorBidi" w:hAnsiTheme="majorBidi" w:cstheme="majorBidi"/>
          <w:szCs w:val="24"/>
          <w:lang w:val="en-GB"/>
        </w:rPr>
        <w:t>5</w:t>
      </w:r>
      <w:r w:rsidR="001149B3" w:rsidRPr="00B4448E">
        <w:rPr>
          <w:rFonts w:asciiTheme="majorBidi" w:hAnsiTheme="majorBidi" w:cstheme="majorBidi"/>
          <w:szCs w:val="24"/>
          <w:lang w:val="en-GB"/>
        </w:rPr>
        <w:t xml:space="preserve"> V </w:t>
      </w:r>
      <w:r w:rsidR="001149B3" w:rsidRPr="00B4448E">
        <w:rPr>
          <w:rFonts w:asciiTheme="majorBidi" w:hAnsiTheme="majorBidi" w:cstheme="majorBidi"/>
          <w:i/>
          <w:iCs/>
          <w:szCs w:val="24"/>
          <w:lang w:val="en-GB"/>
        </w:rPr>
        <w:t>vs</w:t>
      </w:r>
      <w:r w:rsidR="001149B3" w:rsidRPr="00B4448E">
        <w:rPr>
          <w:rFonts w:asciiTheme="majorBidi" w:hAnsiTheme="majorBidi" w:cstheme="majorBidi"/>
          <w:szCs w:val="24"/>
          <w:lang w:val="en-GB"/>
        </w:rPr>
        <w:t>. Li) t</w:t>
      </w:r>
      <w:r w:rsidR="00CB1152" w:rsidRPr="00B4448E">
        <w:rPr>
          <w:rFonts w:asciiTheme="majorBidi" w:hAnsiTheme="majorBidi" w:cstheme="majorBidi"/>
          <w:szCs w:val="24"/>
          <w:lang w:val="en-GB"/>
        </w:rPr>
        <w:t>o</w:t>
      </w:r>
      <w:r w:rsidR="001149B3" w:rsidRPr="00B4448E">
        <w:rPr>
          <w:rFonts w:asciiTheme="majorBidi" w:hAnsiTheme="majorBidi" w:cstheme="majorBidi"/>
          <w:szCs w:val="24"/>
          <w:lang w:val="en-GB"/>
        </w:rPr>
        <w:t xml:space="preserve"> a wide range of </w:t>
      </w:r>
      <w:r w:rsidR="00215BF9" w:rsidRPr="00B4448E">
        <w:rPr>
          <w:rFonts w:asciiTheme="majorBidi" w:hAnsiTheme="majorBidi" w:cstheme="majorBidi"/>
          <w:szCs w:val="24"/>
          <w:lang w:val="en-GB"/>
        </w:rPr>
        <w:t xml:space="preserve">electrode </w:t>
      </w:r>
      <w:r w:rsidR="001149B3" w:rsidRPr="00B4448E">
        <w:rPr>
          <w:rFonts w:asciiTheme="majorBidi" w:hAnsiTheme="majorBidi" w:cstheme="majorBidi"/>
          <w:szCs w:val="24"/>
          <w:lang w:val="en-GB"/>
        </w:rPr>
        <w:t>potentials (</w:t>
      </w:r>
      <w:r w:rsidR="008228A6" w:rsidRPr="00B4448E">
        <w:rPr>
          <w:rFonts w:asciiTheme="majorBidi" w:hAnsiTheme="majorBidi" w:cstheme="majorBidi"/>
          <w:szCs w:val="24"/>
          <w:lang w:val="en-GB"/>
        </w:rPr>
        <w:t>1.7</w:t>
      </w:r>
      <w:r w:rsidR="001149B3" w:rsidRPr="00B4448E">
        <w:rPr>
          <w:rFonts w:asciiTheme="majorBidi" w:hAnsiTheme="majorBidi" w:cstheme="majorBidi"/>
          <w:szCs w:val="24"/>
          <w:lang w:val="en-GB"/>
        </w:rPr>
        <w:t xml:space="preserve"> to </w:t>
      </w:r>
      <w:r w:rsidR="008228A6" w:rsidRPr="00B4448E">
        <w:rPr>
          <w:rFonts w:asciiTheme="majorBidi" w:hAnsiTheme="majorBidi" w:cstheme="majorBidi"/>
          <w:szCs w:val="24"/>
          <w:lang w:val="en-GB"/>
        </w:rPr>
        <w:t>4.7</w:t>
      </w:r>
      <w:r w:rsidR="001149B3" w:rsidRPr="00B4448E">
        <w:rPr>
          <w:rFonts w:asciiTheme="majorBidi" w:hAnsiTheme="majorBidi" w:cstheme="majorBidi"/>
          <w:szCs w:val="24"/>
          <w:lang w:val="en-GB"/>
        </w:rPr>
        <w:t xml:space="preserve"> V </w:t>
      </w:r>
      <w:r w:rsidR="001149B3" w:rsidRPr="00B4448E">
        <w:rPr>
          <w:rFonts w:asciiTheme="majorBidi" w:hAnsiTheme="majorBidi" w:cstheme="majorBidi"/>
          <w:i/>
          <w:iCs/>
          <w:szCs w:val="24"/>
          <w:lang w:val="en-GB"/>
        </w:rPr>
        <w:t>vs</w:t>
      </w:r>
      <w:r w:rsidR="001149B3" w:rsidRPr="00B4448E">
        <w:rPr>
          <w:rFonts w:asciiTheme="majorBidi" w:hAnsiTheme="majorBidi" w:cstheme="majorBidi"/>
          <w:szCs w:val="24"/>
          <w:lang w:val="en-GB"/>
        </w:rPr>
        <w:t>. Li) span</w:t>
      </w:r>
      <w:r w:rsidR="00CB1152" w:rsidRPr="00B4448E">
        <w:rPr>
          <w:rFonts w:asciiTheme="majorBidi" w:hAnsiTheme="majorBidi" w:cstheme="majorBidi"/>
          <w:szCs w:val="24"/>
          <w:lang w:val="en-GB"/>
        </w:rPr>
        <w:t>ning</w:t>
      </w:r>
      <w:r w:rsidR="001149B3" w:rsidRPr="00B4448E">
        <w:rPr>
          <w:rFonts w:asciiTheme="majorBidi" w:hAnsiTheme="majorBidi" w:cstheme="majorBidi"/>
          <w:szCs w:val="24"/>
          <w:lang w:val="en-GB"/>
        </w:rPr>
        <w:t xml:space="preserve"> the</w:t>
      </w:r>
      <w:r w:rsidR="00CA047C" w:rsidRPr="00B4448E">
        <w:rPr>
          <w:rFonts w:asciiTheme="majorBidi" w:hAnsiTheme="majorBidi" w:cstheme="majorBidi"/>
          <w:szCs w:val="24"/>
          <w:lang w:val="en-GB"/>
        </w:rPr>
        <w:t xml:space="preserve"> </w:t>
      </w:r>
      <w:r w:rsidR="001149B3" w:rsidRPr="00B4448E">
        <w:rPr>
          <w:rFonts w:asciiTheme="majorBidi" w:hAnsiTheme="majorBidi" w:cstheme="majorBidi"/>
          <w:szCs w:val="24"/>
          <w:lang w:val="en-GB"/>
        </w:rPr>
        <w:t>reduction and oxidation</w:t>
      </w:r>
      <w:r w:rsidR="00CA047C" w:rsidRPr="00B4448E">
        <w:rPr>
          <w:rFonts w:asciiTheme="majorBidi" w:hAnsiTheme="majorBidi" w:cstheme="majorBidi"/>
          <w:szCs w:val="24"/>
          <w:lang w:val="en-GB"/>
        </w:rPr>
        <w:t xml:space="preserve"> processes. It can be seen that the DB-1 molecule exhibited more than 5 electron-transfers as characterized by a number of distinct peaks observed in Figure 4c, consistent with our hypothesis (Scheme I) and </w:t>
      </w:r>
      <w:r w:rsidR="003D5C1D" w:rsidRPr="00B4448E">
        <w:rPr>
          <w:rFonts w:asciiTheme="majorBidi" w:hAnsiTheme="majorBidi" w:cstheme="majorBidi"/>
          <w:szCs w:val="24"/>
          <w:lang w:val="en-GB"/>
        </w:rPr>
        <w:t>the DFT</w:t>
      </w:r>
      <w:r w:rsidR="00CA047C" w:rsidRPr="00B4448E">
        <w:rPr>
          <w:rFonts w:asciiTheme="majorBidi" w:hAnsiTheme="majorBidi" w:cstheme="majorBidi"/>
          <w:szCs w:val="24"/>
          <w:lang w:val="en-GB"/>
        </w:rPr>
        <w:t xml:space="preserve"> </w:t>
      </w:r>
      <w:r w:rsidR="00B70698" w:rsidRPr="00B4448E">
        <w:rPr>
          <w:rFonts w:asciiTheme="majorBidi" w:hAnsiTheme="majorBidi" w:cstheme="majorBidi"/>
          <w:szCs w:val="24"/>
          <w:lang w:val="en-GB"/>
        </w:rPr>
        <w:t>calculations</w:t>
      </w:r>
      <w:r w:rsidR="00CA047C" w:rsidRPr="00B4448E">
        <w:rPr>
          <w:rFonts w:asciiTheme="majorBidi" w:hAnsiTheme="majorBidi" w:cstheme="majorBidi"/>
          <w:szCs w:val="24"/>
          <w:lang w:val="en-GB"/>
        </w:rPr>
        <w:t>.</w:t>
      </w:r>
      <w:r w:rsidR="00B52643" w:rsidRPr="00B4448E">
        <w:rPr>
          <w:rFonts w:asciiTheme="majorBidi" w:hAnsiTheme="majorBidi" w:cstheme="majorBidi"/>
          <w:szCs w:val="24"/>
          <w:lang w:val="en-GB"/>
        </w:rPr>
        <w:t xml:space="preserve"> This voltammogram </w:t>
      </w:r>
      <w:r w:rsidR="00B70698" w:rsidRPr="00B4448E">
        <w:rPr>
          <w:rFonts w:asciiTheme="majorBidi" w:hAnsiTheme="majorBidi" w:cstheme="majorBidi"/>
          <w:szCs w:val="24"/>
          <w:lang w:val="en-GB"/>
        </w:rPr>
        <w:t xml:space="preserve">obtained </w:t>
      </w:r>
      <w:r w:rsidR="00B67228" w:rsidRPr="00B4448E">
        <w:rPr>
          <w:rFonts w:asciiTheme="majorBidi" w:hAnsiTheme="majorBidi" w:cstheme="majorBidi"/>
          <w:szCs w:val="24"/>
          <w:lang w:val="en-GB"/>
        </w:rPr>
        <w:t>using</w:t>
      </w:r>
      <w:r w:rsidR="00B52643" w:rsidRPr="00B4448E">
        <w:rPr>
          <w:rFonts w:asciiTheme="majorBidi" w:hAnsiTheme="majorBidi" w:cstheme="majorBidi"/>
          <w:szCs w:val="24"/>
          <w:lang w:val="en-GB"/>
        </w:rPr>
        <w:t xml:space="preserve"> </w:t>
      </w:r>
      <w:r w:rsidR="00B70698" w:rsidRPr="00B4448E">
        <w:rPr>
          <w:rFonts w:asciiTheme="majorBidi" w:hAnsiTheme="majorBidi" w:cstheme="majorBidi"/>
          <w:szCs w:val="24"/>
          <w:lang w:val="en-GB"/>
        </w:rPr>
        <w:t xml:space="preserve">a </w:t>
      </w:r>
      <w:r w:rsidR="008E3A05" w:rsidRPr="00B4448E">
        <w:rPr>
          <w:rFonts w:asciiTheme="majorBidi" w:hAnsiTheme="majorBidi" w:cstheme="majorBidi"/>
          <w:szCs w:val="24"/>
          <w:lang w:val="en-GB"/>
        </w:rPr>
        <w:t xml:space="preserve">DMSO </w:t>
      </w:r>
      <w:r w:rsidR="00B70698" w:rsidRPr="00B4448E">
        <w:rPr>
          <w:rFonts w:asciiTheme="majorBidi" w:hAnsiTheme="majorBidi" w:cstheme="majorBidi"/>
          <w:szCs w:val="24"/>
          <w:lang w:val="en-GB"/>
        </w:rPr>
        <w:t xml:space="preserve">solvent </w:t>
      </w:r>
      <w:r w:rsidR="008E3A05" w:rsidRPr="00B4448E">
        <w:rPr>
          <w:rFonts w:asciiTheme="majorBidi" w:hAnsiTheme="majorBidi" w:cstheme="majorBidi"/>
          <w:szCs w:val="24"/>
          <w:lang w:val="en-GB"/>
        </w:rPr>
        <w:t>and glassy carbon electrode</w:t>
      </w:r>
      <w:r w:rsidR="00B52643" w:rsidRPr="00B4448E">
        <w:rPr>
          <w:rFonts w:asciiTheme="majorBidi" w:hAnsiTheme="majorBidi" w:cstheme="majorBidi"/>
          <w:szCs w:val="24"/>
          <w:lang w:val="en-GB"/>
        </w:rPr>
        <w:t xml:space="preserve"> </w:t>
      </w:r>
      <w:r w:rsidR="00467115" w:rsidRPr="00B4448E">
        <w:rPr>
          <w:rFonts w:asciiTheme="majorBidi" w:hAnsiTheme="majorBidi" w:cstheme="majorBidi"/>
          <w:szCs w:val="24"/>
          <w:lang w:val="en-GB"/>
        </w:rPr>
        <w:t>had superior</w:t>
      </w:r>
      <w:r w:rsidR="00B67228" w:rsidRPr="00B4448E">
        <w:rPr>
          <w:rFonts w:asciiTheme="majorBidi" w:hAnsiTheme="majorBidi" w:cstheme="majorBidi"/>
          <w:szCs w:val="24"/>
          <w:lang w:val="en-GB"/>
        </w:rPr>
        <w:t xml:space="preserve"> electrochemical behaviour to those using </w:t>
      </w:r>
      <w:r w:rsidR="00E45DEB" w:rsidRPr="00B4448E">
        <w:rPr>
          <w:rFonts w:asciiTheme="majorBidi" w:hAnsiTheme="majorBidi" w:cstheme="majorBidi"/>
          <w:szCs w:val="24"/>
          <w:lang w:val="en-GB"/>
        </w:rPr>
        <w:t>acetonitrile</w:t>
      </w:r>
      <w:r w:rsidR="00B67228" w:rsidRPr="00B4448E">
        <w:rPr>
          <w:rFonts w:asciiTheme="majorBidi" w:hAnsiTheme="majorBidi" w:cstheme="majorBidi"/>
          <w:szCs w:val="24"/>
          <w:lang w:val="en-GB"/>
        </w:rPr>
        <w:t xml:space="preserve"> (Figure S</w:t>
      </w:r>
      <w:r w:rsidR="00731FB4" w:rsidRPr="00B4448E">
        <w:rPr>
          <w:rFonts w:asciiTheme="majorBidi" w:hAnsiTheme="majorBidi" w:cstheme="majorBidi"/>
          <w:szCs w:val="24"/>
          <w:lang w:val="en-GB"/>
        </w:rPr>
        <w:t>6</w:t>
      </w:r>
      <w:r w:rsidR="00B67228" w:rsidRPr="00B4448E">
        <w:rPr>
          <w:rFonts w:asciiTheme="majorBidi" w:hAnsiTheme="majorBidi" w:cstheme="majorBidi"/>
          <w:szCs w:val="24"/>
          <w:lang w:val="en-GB"/>
        </w:rPr>
        <w:t xml:space="preserve">) and </w:t>
      </w:r>
      <w:r w:rsidR="00B70698" w:rsidRPr="00B4448E">
        <w:rPr>
          <w:rFonts w:asciiTheme="majorBidi" w:hAnsiTheme="majorBidi" w:cstheme="majorBidi"/>
          <w:szCs w:val="24"/>
          <w:lang w:val="en-GB"/>
        </w:rPr>
        <w:t xml:space="preserve">a </w:t>
      </w:r>
      <w:r w:rsidR="00E45DEB" w:rsidRPr="00B4448E">
        <w:rPr>
          <w:rFonts w:asciiTheme="majorBidi" w:hAnsiTheme="majorBidi" w:cstheme="majorBidi"/>
          <w:szCs w:val="24"/>
          <w:lang w:val="en-GB"/>
        </w:rPr>
        <w:t>platinum</w:t>
      </w:r>
      <w:r w:rsidR="00B67228" w:rsidRPr="00B4448E">
        <w:rPr>
          <w:rFonts w:asciiTheme="majorBidi" w:hAnsiTheme="majorBidi" w:cstheme="majorBidi"/>
          <w:szCs w:val="24"/>
          <w:lang w:val="en-GB"/>
        </w:rPr>
        <w:t xml:space="preserve"> </w:t>
      </w:r>
      <w:r w:rsidR="00367EE3" w:rsidRPr="00B4448E">
        <w:rPr>
          <w:rFonts w:asciiTheme="majorBidi" w:hAnsiTheme="majorBidi" w:cstheme="majorBidi"/>
          <w:szCs w:val="24"/>
          <w:lang w:val="en-GB"/>
        </w:rPr>
        <w:t>electrode</w:t>
      </w:r>
      <w:r w:rsidR="00B67228" w:rsidRPr="00B4448E">
        <w:rPr>
          <w:rFonts w:asciiTheme="majorBidi" w:hAnsiTheme="majorBidi" w:cstheme="majorBidi"/>
          <w:szCs w:val="24"/>
          <w:lang w:val="en-GB"/>
        </w:rPr>
        <w:t xml:space="preserve"> (Figure S</w:t>
      </w:r>
      <w:r w:rsidR="00731FB4" w:rsidRPr="00B4448E">
        <w:rPr>
          <w:rFonts w:asciiTheme="majorBidi" w:hAnsiTheme="majorBidi" w:cstheme="majorBidi"/>
          <w:szCs w:val="24"/>
          <w:lang w:val="en-GB"/>
        </w:rPr>
        <w:t>7</w:t>
      </w:r>
      <w:r w:rsidR="00B67228" w:rsidRPr="00B4448E">
        <w:rPr>
          <w:rFonts w:asciiTheme="majorBidi" w:hAnsiTheme="majorBidi" w:cstheme="majorBidi"/>
          <w:szCs w:val="24"/>
          <w:lang w:val="en-GB"/>
        </w:rPr>
        <w:t>)</w:t>
      </w:r>
      <w:r w:rsidR="00B70698" w:rsidRPr="00B4448E">
        <w:rPr>
          <w:rFonts w:asciiTheme="majorBidi" w:hAnsiTheme="majorBidi" w:cstheme="majorBidi"/>
          <w:szCs w:val="24"/>
          <w:lang w:val="en-GB"/>
        </w:rPr>
        <w:t>.</w:t>
      </w:r>
      <w:r w:rsidR="00E45DEB" w:rsidRPr="00B4448E">
        <w:rPr>
          <w:rFonts w:asciiTheme="majorBidi" w:hAnsiTheme="majorBidi" w:cstheme="majorBidi"/>
          <w:szCs w:val="24"/>
          <w:lang w:val="en-GB"/>
        </w:rPr>
        <w:t xml:space="preserve"> For </w:t>
      </w:r>
      <w:r w:rsidR="00B70698" w:rsidRPr="00B4448E">
        <w:rPr>
          <w:rFonts w:asciiTheme="majorBidi" w:hAnsiTheme="majorBidi" w:cstheme="majorBidi"/>
          <w:szCs w:val="24"/>
          <w:lang w:val="en-GB"/>
        </w:rPr>
        <w:t>example</w:t>
      </w:r>
      <w:r w:rsidR="00E45DEB" w:rsidRPr="00B4448E">
        <w:rPr>
          <w:rFonts w:asciiTheme="majorBidi" w:hAnsiTheme="majorBidi" w:cstheme="majorBidi"/>
          <w:szCs w:val="24"/>
          <w:lang w:val="en-GB"/>
        </w:rPr>
        <w:t>,</w:t>
      </w:r>
      <w:r w:rsidR="00810B56" w:rsidRPr="00B4448E">
        <w:rPr>
          <w:rFonts w:asciiTheme="majorBidi" w:hAnsiTheme="majorBidi" w:cstheme="majorBidi"/>
          <w:szCs w:val="24"/>
          <w:lang w:val="en-GB"/>
        </w:rPr>
        <w:t xml:space="preserve"> faster kinetics and more reversible reactions were observed in DMSO than </w:t>
      </w:r>
      <w:r w:rsidR="00367EE3" w:rsidRPr="00B4448E">
        <w:rPr>
          <w:rFonts w:asciiTheme="majorBidi" w:hAnsiTheme="majorBidi" w:cstheme="majorBidi"/>
          <w:szCs w:val="24"/>
          <w:lang w:val="en-GB"/>
        </w:rPr>
        <w:t xml:space="preserve">in </w:t>
      </w:r>
      <w:r w:rsidR="00810B56" w:rsidRPr="00B4448E">
        <w:rPr>
          <w:rFonts w:asciiTheme="majorBidi" w:hAnsiTheme="majorBidi" w:cstheme="majorBidi"/>
          <w:szCs w:val="24"/>
          <w:lang w:val="en-GB"/>
        </w:rPr>
        <w:t>acetonitrile</w:t>
      </w:r>
      <w:r w:rsidR="00367EE3" w:rsidRPr="00B4448E">
        <w:rPr>
          <w:rFonts w:asciiTheme="majorBidi" w:hAnsiTheme="majorBidi" w:cstheme="majorBidi"/>
          <w:szCs w:val="24"/>
          <w:lang w:val="en-GB"/>
        </w:rPr>
        <w:t xml:space="preserve"> </w:t>
      </w:r>
      <w:r w:rsidR="009B6C44" w:rsidRPr="00B4448E">
        <w:rPr>
          <w:rStyle w:val="CommentReference"/>
          <w:rFonts w:ascii="Times New Roman" w:eastAsiaTheme="minorHAnsi" w:hAnsi="Times New Roman"/>
          <w:sz w:val="24"/>
          <w:lang w:val="en-CA"/>
        </w:rPr>
        <w:t>solvent</w:t>
      </w:r>
      <w:r w:rsidR="00810B56" w:rsidRPr="00B4448E">
        <w:rPr>
          <w:rFonts w:asciiTheme="majorBidi" w:hAnsiTheme="majorBidi" w:cstheme="majorBidi"/>
          <w:szCs w:val="24"/>
          <w:lang w:val="en-GB"/>
        </w:rPr>
        <w:t>, while</w:t>
      </w:r>
      <w:r w:rsidR="00E45DEB" w:rsidRPr="00B4448E">
        <w:rPr>
          <w:rFonts w:asciiTheme="majorBidi" w:hAnsiTheme="majorBidi" w:cstheme="majorBidi"/>
          <w:szCs w:val="24"/>
          <w:lang w:val="en-GB"/>
        </w:rPr>
        <w:t xml:space="preserve"> platinum </w:t>
      </w:r>
      <w:proofErr w:type="gramStart"/>
      <w:r w:rsidR="008E3A05" w:rsidRPr="00B4448E">
        <w:rPr>
          <w:rFonts w:asciiTheme="majorBidi" w:hAnsiTheme="majorBidi" w:cstheme="majorBidi"/>
          <w:szCs w:val="24"/>
          <w:lang w:val="en-GB"/>
        </w:rPr>
        <w:t>had a tendency to</w:t>
      </w:r>
      <w:proofErr w:type="gramEnd"/>
      <w:r w:rsidR="00E45DEB" w:rsidRPr="00B4448E">
        <w:rPr>
          <w:rFonts w:asciiTheme="majorBidi" w:hAnsiTheme="majorBidi" w:cstheme="majorBidi"/>
          <w:szCs w:val="24"/>
          <w:lang w:val="en-GB"/>
        </w:rPr>
        <w:t xml:space="preserve"> oxidize</w:t>
      </w:r>
      <w:r w:rsidR="008E3A05" w:rsidRPr="00B4448E">
        <w:rPr>
          <w:rFonts w:asciiTheme="majorBidi" w:hAnsiTheme="majorBidi" w:cstheme="majorBidi"/>
          <w:szCs w:val="24"/>
          <w:lang w:val="en-GB"/>
        </w:rPr>
        <w:t xml:space="preserve"> the electrolyte</w:t>
      </w:r>
      <w:r w:rsidR="00E45DEB" w:rsidRPr="00B4448E">
        <w:rPr>
          <w:rFonts w:asciiTheme="majorBidi" w:hAnsiTheme="majorBidi" w:cstheme="majorBidi"/>
          <w:szCs w:val="24"/>
          <w:lang w:val="en-GB"/>
        </w:rPr>
        <w:t xml:space="preserve"> at high</w:t>
      </w:r>
      <w:r w:rsidR="00704C7F" w:rsidRPr="00B4448E">
        <w:rPr>
          <w:rFonts w:asciiTheme="majorBidi" w:hAnsiTheme="majorBidi" w:cstheme="majorBidi"/>
          <w:szCs w:val="24"/>
          <w:lang w:val="en-GB"/>
        </w:rPr>
        <w:t>ly positive</w:t>
      </w:r>
      <w:r w:rsidR="00E45DEB" w:rsidRPr="00B4448E">
        <w:rPr>
          <w:rFonts w:asciiTheme="majorBidi" w:hAnsiTheme="majorBidi" w:cstheme="majorBidi"/>
          <w:szCs w:val="24"/>
          <w:lang w:val="en-GB"/>
        </w:rPr>
        <w:t xml:space="preserve"> electrode potentials (</w:t>
      </w:r>
      <w:r w:rsidR="00B70698" w:rsidRPr="00B4448E">
        <w:rPr>
          <w:rFonts w:asciiTheme="majorBidi" w:hAnsiTheme="majorBidi" w:cstheme="majorBidi"/>
          <w:i/>
          <w:szCs w:val="24"/>
          <w:lang w:val="en-GB"/>
        </w:rPr>
        <w:t>ca.</w:t>
      </w:r>
      <w:r w:rsidR="00B70698" w:rsidRPr="00B4448E">
        <w:rPr>
          <w:rFonts w:asciiTheme="majorBidi" w:hAnsiTheme="majorBidi" w:cstheme="majorBidi"/>
          <w:szCs w:val="24"/>
          <w:lang w:val="en-GB"/>
        </w:rPr>
        <w:t xml:space="preserve"> </w:t>
      </w:r>
      <w:r w:rsidR="00E32D6F" w:rsidRPr="00B4448E">
        <w:rPr>
          <w:rFonts w:asciiTheme="majorBidi" w:hAnsiTheme="majorBidi" w:cstheme="majorBidi"/>
          <w:szCs w:val="24"/>
          <w:lang w:val="en-GB"/>
        </w:rPr>
        <w:t>4.</w:t>
      </w:r>
      <w:r w:rsidR="00B44B1E" w:rsidRPr="00B4448E">
        <w:rPr>
          <w:rFonts w:asciiTheme="majorBidi" w:hAnsiTheme="majorBidi" w:cstheme="majorBidi"/>
          <w:szCs w:val="24"/>
          <w:lang w:val="en-GB"/>
        </w:rPr>
        <w:t>0</w:t>
      </w:r>
      <w:r w:rsidR="00E45DEB" w:rsidRPr="00B4448E">
        <w:rPr>
          <w:rFonts w:asciiTheme="majorBidi" w:hAnsiTheme="majorBidi" w:cstheme="majorBidi"/>
          <w:szCs w:val="24"/>
          <w:lang w:val="en-GB"/>
        </w:rPr>
        <w:t xml:space="preserve"> V </w:t>
      </w:r>
      <w:r w:rsidR="00E45DEB" w:rsidRPr="00B4448E">
        <w:rPr>
          <w:rFonts w:asciiTheme="majorBidi" w:hAnsiTheme="majorBidi" w:cstheme="majorBidi"/>
          <w:i/>
          <w:iCs/>
          <w:szCs w:val="24"/>
          <w:lang w:val="en-GB"/>
        </w:rPr>
        <w:t>vs</w:t>
      </w:r>
      <w:r w:rsidR="00E45DEB" w:rsidRPr="00B4448E">
        <w:rPr>
          <w:rFonts w:asciiTheme="majorBidi" w:hAnsiTheme="majorBidi" w:cstheme="majorBidi"/>
          <w:szCs w:val="24"/>
          <w:lang w:val="en-GB"/>
        </w:rPr>
        <w:t>. Li).</w:t>
      </w:r>
      <w:r w:rsidR="00780737" w:rsidRPr="00B4448E">
        <w:rPr>
          <w:rFonts w:asciiTheme="majorBidi" w:hAnsiTheme="majorBidi" w:cstheme="majorBidi"/>
          <w:szCs w:val="24"/>
          <w:lang w:val="en-GB"/>
        </w:rPr>
        <w:t xml:space="preserve"> </w:t>
      </w:r>
    </w:p>
    <w:p w14:paraId="5DCC1C75" w14:textId="77777777" w:rsidR="00796CE5" w:rsidRPr="00B4448E" w:rsidRDefault="00796CE5" w:rsidP="00067B71">
      <w:pPr>
        <w:pStyle w:val="BGKeywords"/>
        <w:spacing w:after="0"/>
        <w:rPr>
          <w:rFonts w:asciiTheme="majorBidi" w:hAnsiTheme="majorBidi" w:cstheme="majorBidi"/>
          <w:szCs w:val="24"/>
          <w:lang w:val="en-GB"/>
        </w:rPr>
      </w:pPr>
    </w:p>
    <w:p w14:paraId="2B45FF3D" w14:textId="1B1E4ED2" w:rsidR="00215BF9" w:rsidRPr="00B4448E" w:rsidRDefault="00AC67E6" w:rsidP="00AC67E6">
      <w:pPr>
        <w:pStyle w:val="BGKeywords"/>
        <w:spacing w:after="0" w:line="360" w:lineRule="auto"/>
        <w:jc w:val="center"/>
        <w:rPr>
          <w:rFonts w:asciiTheme="majorBidi" w:hAnsiTheme="majorBidi" w:cstheme="majorBidi"/>
          <w:szCs w:val="24"/>
          <w:lang w:val="en-GB"/>
        </w:rPr>
      </w:pPr>
      <w:r w:rsidRPr="00B4448E">
        <w:rPr>
          <w:rFonts w:asciiTheme="majorBidi" w:hAnsiTheme="majorBidi" w:cstheme="majorBidi"/>
          <w:noProof/>
          <w:szCs w:val="24"/>
          <w:lang w:val="en-GB" w:eastAsia="en-GB"/>
        </w:rPr>
        <w:lastRenderedPageBreak/>
        <w:drawing>
          <wp:inline distT="0" distB="0" distL="0" distR="0" wp14:anchorId="74C28270" wp14:editId="1447D90A">
            <wp:extent cx="6156000" cy="4854724"/>
            <wp:effectExtent l="0" t="0" r="0" b="317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4a.tif"/>
                    <pic:cNvPicPr/>
                  </pic:nvPicPr>
                  <pic:blipFill rotWithShape="1">
                    <a:blip r:embed="rId25">
                      <a:extLst>
                        <a:ext uri="{28A0092B-C50C-407E-A947-70E740481C1C}">
                          <a14:useLocalDpi xmlns:a14="http://schemas.microsoft.com/office/drawing/2010/main" val="0"/>
                        </a:ext>
                      </a:extLst>
                    </a:blip>
                    <a:srcRect l="15186" r="13486"/>
                    <a:stretch/>
                  </pic:blipFill>
                  <pic:spPr bwMode="auto">
                    <a:xfrm>
                      <a:off x="0" y="0"/>
                      <a:ext cx="6156000" cy="4854724"/>
                    </a:xfrm>
                    <a:prstGeom prst="rect">
                      <a:avLst/>
                    </a:prstGeom>
                    <a:ln>
                      <a:noFill/>
                    </a:ln>
                    <a:extLst>
                      <a:ext uri="{53640926-AAD7-44D8-BBD7-CCE9431645EC}">
                        <a14:shadowObscured xmlns:a14="http://schemas.microsoft.com/office/drawing/2010/main"/>
                      </a:ext>
                    </a:extLst>
                  </pic:spPr>
                </pic:pic>
              </a:graphicData>
            </a:graphic>
          </wp:inline>
        </w:drawing>
      </w:r>
    </w:p>
    <w:p w14:paraId="3B70D9AE" w14:textId="7B019358" w:rsidR="00FD0517" w:rsidRPr="00B4448E" w:rsidRDefault="00C972B7" w:rsidP="00EB5152">
      <w:pPr>
        <w:pStyle w:val="BGKeywords"/>
        <w:spacing w:after="0" w:line="360" w:lineRule="auto"/>
        <w:rPr>
          <w:rFonts w:asciiTheme="majorBidi" w:hAnsiTheme="majorBidi" w:cstheme="majorBidi"/>
          <w:szCs w:val="24"/>
          <w:lang w:val="en-GB"/>
        </w:rPr>
      </w:pPr>
      <w:r w:rsidRPr="00B4448E">
        <w:rPr>
          <w:rFonts w:asciiTheme="majorBidi" w:hAnsiTheme="majorBidi" w:cstheme="majorBidi"/>
          <w:noProof/>
          <w:szCs w:val="24"/>
          <w:lang w:val="en-GB" w:eastAsia="en-GB"/>
        </w:rPr>
        <w:drawing>
          <wp:inline distT="0" distB="0" distL="0" distR="0" wp14:anchorId="067E838B" wp14:editId="250008D7">
            <wp:extent cx="6156000" cy="2570079"/>
            <wp:effectExtent l="0" t="0" r="0" b="1905"/>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b.tif"/>
                    <pic:cNvPicPr/>
                  </pic:nvPicPr>
                  <pic:blipFill rotWithShape="1">
                    <a:blip r:embed="rId26">
                      <a:extLst>
                        <a:ext uri="{28A0092B-C50C-407E-A947-70E740481C1C}">
                          <a14:useLocalDpi xmlns:a14="http://schemas.microsoft.com/office/drawing/2010/main" val="0"/>
                        </a:ext>
                      </a:extLst>
                    </a:blip>
                    <a:srcRect l="962" t="13959" r="1923" b="13961"/>
                    <a:stretch/>
                  </pic:blipFill>
                  <pic:spPr bwMode="auto">
                    <a:xfrm>
                      <a:off x="0" y="0"/>
                      <a:ext cx="6156000" cy="2570079"/>
                    </a:xfrm>
                    <a:prstGeom prst="rect">
                      <a:avLst/>
                    </a:prstGeom>
                    <a:ln>
                      <a:noFill/>
                    </a:ln>
                    <a:extLst>
                      <a:ext uri="{53640926-AAD7-44D8-BBD7-CCE9431645EC}">
                        <a14:shadowObscured xmlns:a14="http://schemas.microsoft.com/office/drawing/2010/main"/>
                      </a:ext>
                    </a:extLst>
                  </pic:spPr>
                </pic:pic>
              </a:graphicData>
            </a:graphic>
          </wp:inline>
        </w:drawing>
      </w:r>
    </w:p>
    <w:p w14:paraId="72DF4AC3" w14:textId="5B973CCF" w:rsidR="008A7319" w:rsidRPr="00B4448E" w:rsidRDefault="00473E21" w:rsidP="00EB5152">
      <w:pPr>
        <w:pStyle w:val="BGKeywords"/>
        <w:spacing w:after="0" w:line="360" w:lineRule="auto"/>
        <w:rPr>
          <w:rFonts w:asciiTheme="majorBidi" w:hAnsiTheme="majorBidi" w:cstheme="majorBidi"/>
          <w:szCs w:val="24"/>
          <w:lang w:val="en-GB"/>
        </w:rPr>
      </w:pPr>
      <w:r w:rsidRPr="00B4448E">
        <w:rPr>
          <w:rFonts w:asciiTheme="majorBidi" w:hAnsiTheme="majorBidi" w:cstheme="majorBidi"/>
          <w:noProof/>
          <w:szCs w:val="24"/>
          <w:lang w:val="en-GB" w:eastAsia="en-GB"/>
        </w:rPr>
        <w:lastRenderedPageBreak/>
        <w:drawing>
          <wp:inline distT="0" distB="0" distL="0" distR="0" wp14:anchorId="54968DD3" wp14:editId="05BEA48E">
            <wp:extent cx="6156000" cy="4454659"/>
            <wp:effectExtent l="0" t="0" r="0" b="3175"/>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c.tif"/>
                    <pic:cNvPicPr/>
                  </pic:nvPicPr>
                  <pic:blipFill rotWithShape="1">
                    <a:blip r:embed="rId27">
                      <a:extLst>
                        <a:ext uri="{28A0092B-C50C-407E-A947-70E740481C1C}">
                          <a14:useLocalDpi xmlns:a14="http://schemas.microsoft.com/office/drawing/2010/main" val="0"/>
                        </a:ext>
                      </a:extLst>
                    </a:blip>
                    <a:srcRect l="13943" t="1425" r="10096" b="854"/>
                    <a:stretch/>
                  </pic:blipFill>
                  <pic:spPr bwMode="auto">
                    <a:xfrm>
                      <a:off x="0" y="0"/>
                      <a:ext cx="6156000" cy="44546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21"/>
      </w:tblGrid>
      <w:tr w:rsidR="0084267F" w:rsidRPr="00B4448E" w14:paraId="059D5CE0" w14:textId="77777777" w:rsidTr="0084267F">
        <w:tc>
          <w:tcPr>
            <w:tcW w:w="1129" w:type="dxa"/>
          </w:tcPr>
          <w:p w14:paraId="223989E4" w14:textId="0EB58B56" w:rsidR="0084267F" w:rsidRPr="00B4448E" w:rsidRDefault="0084267F" w:rsidP="00EB5152">
            <w:pPr>
              <w:pStyle w:val="BGKeywords"/>
              <w:spacing w:after="0" w:line="360" w:lineRule="auto"/>
              <w:rPr>
                <w:rFonts w:asciiTheme="majorBidi" w:hAnsiTheme="majorBidi" w:cstheme="majorBidi"/>
                <w:szCs w:val="24"/>
                <w:lang w:val="en-GB"/>
              </w:rPr>
            </w:pPr>
            <w:r w:rsidRPr="00B4448E">
              <w:rPr>
                <w:rFonts w:ascii="Times New Roman" w:hAnsi="Times New Roman"/>
              </w:rPr>
              <w:t>Figure 3.</w:t>
            </w:r>
          </w:p>
        </w:tc>
        <w:tc>
          <w:tcPr>
            <w:tcW w:w="8221" w:type="dxa"/>
          </w:tcPr>
          <w:p w14:paraId="146BC626" w14:textId="4987A29E" w:rsidR="0084267F" w:rsidRPr="00B4448E" w:rsidRDefault="0084267F" w:rsidP="0084267F">
            <w:pPr>
              <w:autoSpaceDE w:val="0"/>
              <w:autoSpaceDN w:val="0"/>
              <w:adjustRightInd w:val="0"/>
              <w:spacing w:line="240" w:lineRule="auto"/>
              <w:jc w:val="both"/>
              <w:rPr>
                <w:rFonts w:ascii="Times New Roman" w:eastAsia="Times New Roman" w:hAnsi="Times New Roman" w:cs="Times New Roman"/>
                <w:sz w:val="24"/>
                <w:szCs w:val="20"/>
              </w:rPr>
            </w:pPr>
            <w:r w:rsidRPr="00B4448E">
              <w:rPr>
                <w:rFonts w:ascii="Times New Roman" w:eastAsia="Times New Roman" w:hAnsi="Times New Roman" w:cs="Times New Roman"/>
                <w:sz w:val="24"/>
                <w:szCs w:val="20"/>
              </w:rPr>
              <w:t>a) Cyclic voltammograms of quinone molecules containing two carbonyl groups in the negative electrode potential at 100 mV s</w:t>
            </w:r>
            <w:r w:rsidRPr="00B4448E">
              <w:rPr>
                <w:rFonts w:ascii="Symbol" w:eastAsia="Times New Roman" w:hAnsi="Symbol" w:cs="Times New Roman"/>
                <w:sz w:val="24"/>
                <w:szCs w:val="20"/>
                <w:vertAlign w:val="superscript"/>
              </w:rPr>
              <w:t></w:t>
            </w:r>
            <w:r w:rsidRPr="00B4448E">
              <w:rPr>
                <w:rFonts w:ascii="Times New Roman" w:eastAsia="Times New Roman" w:hAnsi="Times New Roman" w:cs="Times New Roman"/>
                <w:sz w:val="24"/>
                <w:szCs w:val="20"/>
                <w:vertAlign w:val="superscript"/>
              </w:rPr>
              <w:t>1</w:t>
            </w:r>
            <w:r w:rsidRPr="00B4448E">
              <w:rPr>
                <w:rFonts w:ascii="Times New Roman" w:eastAsia="Times New Roman" w:hAnsi="Times New Roman" w:cs="Times New Roman"/>
                <w:sz w:val="24"/>
                <w:szCs w:val="20"/>
              </w:rPr>
              <w:t xml:space="preserve"> scan rate. b) Cyclic voltammograms of organic molecules contain amine group in the positive electrode potential at 100 mV s</w:t>
            </w:r>
            <w:r w:rsidRPr="00B4448E">
              <w:rPr>
                <w:rFonts w:ascii="Symbol" w:eastAsia="Times New Roman" w:hAnsi="Symbol" w:cs="Times New Roman"/>
                <w:sz w:val="24"/>
                <w:szCs w:val="20"/>
                <w:vertAlign w:val="superscript"/>
              </w:rPr>
              <w:t></w:t>
            </w:r>
            <w:r w:rsidRPr="00B4448E">
              <w:rPr>
                <w:rFonts w:ascii="Times New Roman" w:eastAsia="Times New Roman" w:hAnsi="Times New Roman" w:cs="Times New Roman"/>
                <w:sz w:val="24"/>
                <w:szCs w:val="20"/>
                <w:vertAlign w:val="superscript"/>
              </w:rPr>
              <w:t>1</w:t>
            </w:r>
            <w:r w:rsidRPr="00B4448E">
              <w:rPr>
                <w:rFonts w:ascii="Times New Roman" w:eastAsia="Times New Roman" w:hAnsi="Times New Roman" w:cs="Times New Roman"/>
                <w:sz w:val="24"/>
                <w:szCs w:val="20"/>
              </w:rPr>
              <w:t xml:space="preserve"> scan rate. c) Cyclic voltammograms of DB-1 for lower (left side), higher (right side) voltage ranges, at scan rates of 50 – 700 mV s</w:t>
            </w:r>
            <w:r w:rsidRPr="00B4448E">
              <w:rPr>
                <w:rFonts w:ascii="Symbol" w:eastAsia="Times New Roman" w:hAnsi="Symbol" w:cs="Times New Roman"/>
                <w:sz w:val="24"/>
                <w:szCs w:val="20"/>
                <w:vertAlign w:val="superscript"/>
              </w:rPr>
              <w:t></w:t>
            </w:r>
            <w:r w:rsidRPr="00B4448E">
              <w:rPr>
                <w:rFonts w:ascii="Times New Roman" w:eastAsia="Times New Roman" w:hAnsi="Times New Roman" w:cs="Times New Roman"/>
                <w:sz w:val="24"/>
                <w:szCs w:val="20"/>
                <w:vertAlign w:val="superscript"/>
              </w:rPr>
              <w:t>1</w:t>
            </w:r>
            <w:r w:rsidRPr="00B4448E">
              <w:rPr>
                <w:rFonts w:ascii="Times New Roman" w:eastAsia="Times New Roman" w:hAnsi="Times New Roman" w:cs="Times New Roman"/>
                <w:sz w:val="24"/>
                <w:szCs w:val="20"/>
              </w:rPr>
              <w:t xml:space="preserve">, and for a wide voltage window of 1.7 – 4.7 V </w:t>
            </w:r>
            <w:r w:rsidRPr="00B4448E">
              <w:rPr>
                <w:rFonts w:ascii="Times New Roman" w:eastAsia="Times New Roman" w:hAnsi="Times New Roman" w:cs="Times New Roman"/>
                <w:i/>
                <w:sz w:val="24"/>
                <w:szCs w:val="20"/>
              </w:rPr>
              <w:t>vs.</w:t>
            </w:r>
            <w:r w:rsidRPr="00B4448E">
              <w:rPr>
                <w:rFonts w:ascii="Times New Roman" w:eastAsia="Times New Roman" w:hAnsi="Times New Roman" w:cs="Times New Roman"/>
                <w:sz w:val="24"/>
                <w:szCs w:val="20"/>
              </w:rPr>
              <w:t xml:space="preserve"> Li at a 100 mV s</w:t>
            </w:r>
            <w:r w:rsidRPr="00B4448E">
              <w:rPr>
                <w:rFonts w:ascii="Symbol" w:eastAsia="Times New Roman" w:hAnsi="Symbol" w:cs="Times New Roman"/>
                <w:sz w:val="24"/>
                <w:szCs w:val="20"/>
                <w:vertAlign w:val="superscript"/>
              </w:rPr>
              <w:t></w:t>
            </w:r>
            <w:r w:rsidRPr="00B4448E">
              <w:rPr>
                <w:rFonts w:ascii="Times New Roman" w:eastAsia="Times New Roman" w:hAnsi="Times New Roman" w:cs="Times New Roman"/>
                <w:sz w:val="24"/>
                <w:szCs w:val="20"/>
                <w:vertAlign w:val="superscript"/>
              </w:rPr>
              <w:t>1</w:t>
            </w:r>
            <w:r w:rsidRPr="00B4448E">
              <w:rPr>
                <w:rFonts w:ascii="Times New Roman" w:eastAsia="Times New Roman" w:hAnsi="Times New Roman" w:cs="Times New Roman"/>
                <w:sz w:val="24"/>
                <w:szCs w:val="20"/>
              </w:rPr>
              <w:t xml:space="preserve"> scan rate (bottom). Experimental conditions: 10.0 mM of each organic molecules in DMSO and 1.0 M </w:t>
            </w:r>
            <w:proofErr w:type="spellStart"/>
            <w:r w:rsidRPr="00B4448E">
              <w:rPr>
                <w:rFonts w:ascii="Times New Roman" w:eastAsia="Times New Roman" w:hAnsi="Times New Roman" w:cs="Times New Roman"/>
                <w:sz w:val="24"/>
                <w:szCs w:val="20"/>
              </w:rPr>
              <w:t>LiTFSI</w:t>
            </w:r>
            <w:proofErr w:type="spellEnd"/>
            <w:r w:rsidRPr="00B4448E">
              <w:rPr>
                <w:rFonts w:ascii="Times New Roman" w:eastAsia="Times New Roman" w:hAnsi="Times New Roman" w:cs="Times New Roman"/>
                <w:sz w:val="24"/>
                <w:szCs w:val="20"/>
              </w:rPr>
              <w:t xml:space="preserve">, glassy carbon working electrode, platinum wire counter electrode, and an Ag wire reference electrode (+3.2 V </w:t>
            </w:r>
            <w:r w:rsidRPr="00B4448E">
              <w:rPr>
                <w:rFonts w:ascii="Times New Roman" w:eastAsia="Times New Roman" w:hAnsi="Times New Roman" w:cs="Times New Roman"/>
                <w:i/>
                <w:sz w:val="24"/>
                <w:szCs w:val="20"/>
              </w:rPr>
              <w:t>vs</w:t>
            </w:r>
            <w:r w:rsidRPr="00B4448E">
              <w:rPr>
                <w:rFonts w:ascii="Times New Roman" w:eastAsia="Times New Roman" w:hAnsi="Times New Roman" w:cs="Times New Roman"/>
                <w:sz w:val="24"/>
                <w:szCs w:val="20"/>
              </w:rPr>
              <w:t xml:space="preserve">. Li). </w:t>
            </w:r>
          </w:p>
        </w:tc>
      </w:tr>
    </w:tbl>
    <w:p w14:paraId="5404C39D" w14:textId="77777777" w:rsidR="0084267F" w:rsidRPr="00B4448E" w:rsidRDefault="0084267F" w:rsidP="00EB5152">
      <w:pPr>
        <w:pStyle w:val="BGKeywords"/>
        <w:spacing w:after="0" w:line="360" w:lineRule="auto"/>
        <w:rPr>
          <w:rFonts w:asciiTheme="majorBidi" w:hAnsiTheme="majorBidi" w:cstheme="majorBidi"/>
          <w:szCs w:val="24"/>
          <w:lang w:val="en-GB"/>
        </w:rPr>
      </w:pPr>
    </w:p>
    <w:p w14:paraId="7FEF6848" w14:textId="243595F0" w:rsidR="004B38B7" w:rsidRPr="00B4448E" w:rsidRDefault="00C400C1" w:rsidP="007F257B">
      <w:pPr>
        <w:pStyle w:val="BGKeywords"/>
        <w:spacing w:after="0"/>
        <w:rPr>
          <w:rFonts w:ascii="Times New Roman" w:hAnsi="Times New Roman"/>
          <w:szCs w:val="24"/>
        </w:rPr>
      </w:pPr>
      <w:r w:rsidRPr="00B4448E">
        <w:rPr>
          <w:rFonts w:ascii="Times New Roman" w:hAnsi="Times New Roman"/>
          <w:szCs w:val="24"/>
          <w:lang w:val="en-GB"/>
        </w:rPr>
        <w:t>Although fast, reversible electrochemical kinetics were not observed in the CV data, the multiple electron transfers and potential range indicate that DB-1 is a promising redox species with</w:t>
      </w:r>
      <w:r w:rsidR="00367F40" w:rsidRPr="00B4448E">
        <w:rPr>
          <w:rFonts w:ascii="Times New Roman" w:hAnsi="Times New Roman"/>
          <w:szCs w:val="24"/>
          <w:lang w:val="en-GB"/>
        </w:rPr>
        <w:t xml:space="preserve"> relatively</w:t>
      </w:r>
      <w:r w:rsidRPr="00B4448E">
        <w:rPr>
          <w:rFonts w:ascii="Times New Roman" w:hAnsi="Times New Roman"/>
          <w:szCs w:val="24"/>
          <w:lang w:val="en-GB"/>
        </w:rPr>
        <w:t xml:space="preserve"> high charge and energy storage capacity. </w:t>
      </w:r>
      <w:r w:rsidR="00215BF9" w:rsidRPr="00B4448E">
        <w:rPr>
          <w:rFonts w:ascii="Times New Roman" w:hAnsi="Times New Roman"/>
          <w:szCs w:val="24"/>
          <w:lang w:val="en-GB"/>
        </w:rPr>
        <w:t xml:space="preserve">To exploit </w:t>
      </w:r>
      <w:r w:rsidR="00507E89" w:rsidRPr="00B4448E">
        <w:rPr>
          <w:rFonts w:ascii="Times New Roman" w:hAnsi="Times New Roman"/>
          <w:szCs w:val="24"/>
          <w:lang w:val="en-GB"/>
        </w:rPr>
        <w:t xml:space="preserve">the energy content of </w:t>
      </w:r>
      <w:r w:rsidR="00A130A8" w:rsidRPr="00B4448E">
        <w:rPr>
          <w:rFonts w:ascii="Times New Roman" w:hAnsi="Times New Roman"/>
          <w:szCs w:val="24"/>
          <w:lang w:val="en-GB"/>
        </w:rPr>
        <w:t xml:space="preserve">the </w:t>
      </w:r>
      <w:r w:rsidR="00507E89" w:rsidRPr="00B4448E">
        <w:rPr>
          <w:rFonts w:ascii="Times New Roman" w:hAnsi="Times New Roman"/>
          <w:szCs w:val="24"/>
          <w:lang w:val="en-GB"/>
        </w:rPr>
        <w:t>DB-1</w:t>
      </w:r>
      <w:r w:rsidR="00A130A8" w:rsidRPr="00B4448E">
        <w:rPr>
          <w:rFonts w:ascii="Times New Roman" w:hAnsi="Times New Roman"/>
          <w:szCs w:val="24"/>
          <w:lang w:val="en-GB"/>
        </w:rPr>
        <w:t xml:space="preserve"> molecule</w:t>
      </w:r>
      <w:r w:rsidR="00704C7F" w:rsidRPr="00B4448E">
        <w:rPr>
          <w:rFonts w:ascii="Times New Roman" w:hAnsi="Times New Roman"/>
          <w:szCs w:val="24"/>
          <w:lang w:val="en-GB"/>
        </w:rPr>
        <w:t xml:space="preserve"> </w:t>
      </w:r>
      <w:r w:rsidR="00447FF5" w:rsidRPr="00B4448E">
        <w:rPr>
          <w:rFonts w:ascii="Times New Roman" w:hAnsi="Times New Roman"/>
          <w:szCs w:val="24"/>
          <w:lang w:val="en-GB"/>
        </w:rPr>
        <w:t>and obtain</w:t>
      </w:r>
      <w:r w:rsidR="00704C7F" w:rsidRPr="00B4448E">
        <w:rPr>
          <w:rFonts w:ascii="Times New Roman" w:hAnsi="Times New Roman"/>
          <w:szCs w:val="24"/>
          <w:lang w:val="en-GB"/>
        </w:rPr>
        <w:t xml:space="preserve"> a high </w:t>
      </w:r>
      <w:r w:rsidR="00447FF5" w:rsidRPr="00B4448E">
        <w:rPr>
          <w:rFonts w:ascii="Times New Roman" w:hAnsi="Times New Roman"/>
          <w:szCs w:val="24"/>
          <w:lang w:val="en-GB"/>
        </w:rPr>
        <w:t>cell voltage</w:t>
      </w:r>
      <w:r w:rsidR="00507E89" w:rsidRPr="00B4448E">
        <w:rPr>
          <w:rFonts w:ascii="Times New Roman" w:hAnsi="Times New Roman"/>
          <w:szCs w:val="24"/>
          <w:lang w:val="en-GB"/>
        </w:rPr>
        <w:t xml:space="preserve">, </w:t>
      </w:r>
      <w:r w:rsidR="00B70698" w:rsidRPr="00B4448E">
        <w:rPr>
          <w:rFonts w:ascii="Times New Roman" w:hAnsi="Times New Roman"/>
          <w:szCs w:val="24"/>
          <w:lang w:val="en-GB"/>
        </w:rPr>
        <w:t xml:space="preserve">the </w:t>
      </w:r>
      <w:r w:rsidR="00A130A8" w:rsidRPr="00B4448E">
        <w:rPr>
          <w:rFonts w:ascii="Times New Roman" w:hAnsi="Times New Roman"/>
          <w:szCs w:val="24"/>
          <w:lang w:val="en-GB"/>
        </w:rPr>
        <w:t xml:space="preserve">galvanostatic </w:t>
      </w:r>
      <w:r w:rsidR="00507E89" w:rsidRPr="00B4448E">
        <w:rPr>
          <w:rFonts w:ascii="Times New Roman" w:hAnsi="Times New Roman"/>
          <w:szCs w:val="24"/>
          <w:lang w:val="en-GB"/>
        </w:rPr>
        <w:t xml:space="preserve">charge-discharge performance </w:t>
      </w:r>
      <w:r w:rsidR="00AA10A6" w:rsidRPr="00B4448E">
        <w:rPr>
          <w:rFonts w:ascii="Times New Roman" w:hAnsi="Times New Roman"/>
          <w:szCs w:val="24"/>
          <w:lang w:val="en-GB"/>
        </w:rPr>
        <w:t xml:space="preserve">of </w:t>
      </w:r>
      <w:r w:rsidR="001A1A26" w:rsidRPr="00B4448E">
        <w:rPr>
          <w:rFonts w:ascii="Times New Roman" w:hAnsi="Times New Roman"/>
          <w:szCs w:val="24"/>
          <w:lang w:val="en-GB"/>
        </w:rPr>
        <w:t xml:space="preserve">a DB-1 positive </w:t>
      </w:r>
      <w:r w:rsidR="00AA10A6" w:rsidRPr="00B4448E">
        <w:rPr>
          <w:rFonts w:ascii="Times New Roman" w:hAnsi="Times New Roman"/>
          <w:szCs w:val="24"/>
          <w:lang w:val="en-GB"/>
        </w:rPr>
        <w:t xml:space="preserve">half-cell </w:t>
      </w:r>
      <w:r w:rsidR="00A130A8" w:rsidRPr="00B4448E">
        <w:rPr>
          <w:rFonts w:ascii="Times New Roman" w:hAnsi="Times New Roman"/>
          <w:szCs w:val="24"/>
          <w:lang w:val="en-GB"/>
        </w:rPr>
        <w:t xml:space="preserve">was </w:t>
      </w:r>
      <w:r w:rsidR="00F9749C" w:rsidRPr="00B4448E">
        <w:rPr>
          <w:rFonts w:ascii="Times New Roman" w:hAnsi="Times New Roman"/>
          <w:szCs w:val="24"/>
          <w:lang w:val="en-GB"/>
        </w:rPr>
        <w:t>evaluated</w:t>
      </w:r>
      <w:r w:rsidR="00A130A8" w:rsidRPr="00B4448E">
        <w:rPr>
          <w:rFonts w:ascii="Times New Roman" w:hAnsi="Times New Roman"/>
          <w:szCs w:val="24"/>
          <w:lang w:val="en-GB"/>
        </w:rPr>
        <w:t xml:space="preserve"> in a divided cell architecture </w:t>
      </w:r>
      <w:r w:rsidR="00F9749C" w:rsidRPr="00B4448E">
        <w:rPr>
          <w:rFonts w:ascii="Times New Roman" w:hAnsi="Times New Roman"/>
          <w:szCs w:val="24"/>
          <w:lang w:val="en-GB"/>
        </w:rPr>
        <w:t xml:space="preserve">with a lithium metal anode </w:t>
      </w:r>
      <w:r w:rsidR="00F9749C" w:rsidRPr="00B4448E">
        <w:rPr>
          <w:rFonts w:ascii="Times New Roman" w:hAnsi="Times New Roman"/>
          <w:szCs w:val="24"/>
        </w:rPr>
        <w:t xml:space="preserve">(Figure </w:t>
      </w:r>
      <w:r w:rsidR="00E95E29" w:rsidRPr="00B4448E">
        <w:rPr>
          <w:rFonts w:ascii="Times New Roman" w:hAnsi="Times New Roman"/>
          <w:szCs w:val="24"/>
        </w:rPr>
        <w:lastRenderedPageBreak/>
        <w:t>4</w:t>
      </w:r>
      <w:r w:rsidR="00F9749C" w:rsidRPr="00B4448E">
        <w:rPr>
          <w:rFonts w:ascii="Times New Roman" w:hAnsi="Times New Roman"/>
          <w:szCs w:val="24"/>
        </w:rPr>
        <w:t>a)</w:t>
      </w:r>
      <w:r w:rsidR="001A1A26" w:rsidRPr="00B4448E">
        <w:rPr>
          <w:rFonts w:ascii="Times New Roman" w:hAnsi="Times New Roman"/>
          <w:szCs w:val="24"/>
        </w:rPr>
        <w:t>,</w:t>
      </w:r>
      <w:r w:rsidR="00B70698" w:rsidRPr="00B4448E">
        <w:rPr>
          <w:rFonts w:ascii="Times New Roman" w:hAnsi="Times New Roman"/>
          <w:szCs w:val="24"/>
        </w:rPr>
        <w:t xml:space="preserve"> </w:t>
      </w:r>
      <w:r w:rsidR="00F30A14" w:rsidRPr="00B4448E">
        <w:rPr>
          <w:rFonts w:ascii="Times New Roman" w:hAnsi="Times New Roman"/>
          <w:szCs w:val="24"/>
        </w:rPr>
        <w:t>using</w:t>
      </w:r>
      <w:r w:rsidR="00B70698" w:rsidRPr="00B4448E">
        <w:rPr>
          <w:rFonts w:ascii="Times New Roman" w:hAnsi="Times New Roman"/>
          <w:szCs w:val="24"/>
        </w:rPr>
        <w:t xml:space="preserve"> </w:t>
      </w:r>
      <w:r w:rsidR="00F30A14" w:rsidRPr="00B4448E">
        <w:rPr>
          <w:rFonts w:ascii="Times New Roman" w:hAnsi="Times New Roman"/>
          <w:szCs w:val="24"/>
        </w:rPr>
        <w:t xml:space="preserve">a </w:t>
      </w:r>
      <w:r w:rsidR="00B70698" w:rsidRPr="00B4448E">
        <w:rPr>
          <w:rFonts w:ascii="Times New Roman" w:hAnsi="Times New Roman"/>
          <w:szCs w:val="24"/>
        </w:rPr>
        <w:t>DB-1 concentration of 80 mM</w:t>
      </w:r>
      <w:r w:rsidR="00E15C67" w:rsidRPr="00B4448E">
        <w:rPr>
          <w:rFonts w:ascii="Times New Roman" w:hAnsi="Times New Roman"/>
          <w:szCs w:val="24"/>
        </w:rPr>
        <w:t xml:space="preserve"> </w:t>
      </w:r>
      <w:r w:rsidR="00B36274" w:rsidRPr="00B4448E">
        <w:rPr>
          <w:rFonts w:ascii="Times New Roman" w:hAnsi="Times New Roman"/>
          <w:szCs w:val="24"/>
        </w:rPr>
        <w:t>in</w:t>
      </w:r>
      <w:r w:rsidR="00E15C67" w:rsidRPr="00B4448E">
        <w:rPr>
          <w:rFonts w:ascii="Times New Roman" w:hAnsi="Times New Roman"/>
          <w:szCs w:val="24"/>
        </w:rPr>
        <w:t xml:space="preserve"> </w:t>
      </w:r>
      <w:r w:rsidR="00A425FC" w:rsidRPr="00B4448E">
        <w:rPr>
          <w:rFonts w:ascii="Times New Roman" w:hAnsi="Times New Roman"/>
          <w:szCs w:val="24"/>
        </w:rPr>
        <w:t>the highly positive</w:t>
      </w:r>
      <w:r w:rsidR="009B7CBA" w:rsidRPr="00B4448E">
        <w:rPr>
          <w:rFonts w:ascii="Times New Roman" w:hAnsi="Times New Roman"/>
          <w:szCs w:val="24"/>
        </w:rPr>
        <w:t xml:space="preserve"> </w:t>
      </w:r>
      <w:r w:rsidR="00B36274" w:rsidRPr="00B4448E">
        <w:rPr>
          <w:rFonts w:ascii="Times New Roman" w:hAnsi="Times New Roman"/>
          <w:szCs w:val="24"/>
        </w:rPr>
        <w:t xml:space="preserve">potential </w:t>
      </w:r>
      <w:r w:rsidR="009B7CBA" w:rsidRPr="00B4448E">
        <w:rPr>
          <w:rFonts w:ascii="Times New Roman" w:hAnsi="Times New Roman"/>
          <w:szCs w:val="24"/>
        </w:rPr>
        <w:t>region</w:t>
      </w:r>
      <w:r w:rsidR="00A641D5" w:rsidRPr="00B4448E">
        <w:rPr>
          <w:rFonts w:ascii="Times New Roman" w:hAnsi="Times New Roman"/>
          <w:szCs w:val="24"/>
        </w:rPr>
        <w:t xml:space="preserve"> (</w:t>
      </w:r>
      <w:r w:rsidR="00B317E6" w:rsidRPr="00B4448E">
        <w:rPr>
          <w:rFonts w:ascii="Times New Roman" w:hAnsi="Times New Roman"/>
          <w:szCs w:val="24"/>
        </w:rPr>
        <w:t xml:space="preserve">&gt; </w:t>
      </w:r>
      <w:r w:rsidR="00A641D5" w:rsidRPr="00B4448E">
        <w:rPr>
          <w:rFonts w:ascii="Times New Roman" w:hAnsi="Times New Roman"/>
          <w:szCs w:val="24"/>
        </w:rPr>
        <w:t xml:space="preserve">2.0 V </w:t>
      </w:r>
      <w:r w:rsidR="00A641D5" w:rsidRPr="00B4448E">
        <w:rPr>
          <w:rFonts w:ascii="Times New Roman" w:hAnsi="Times New Roman"/>
          <w:i/>
          <w:szCs w:val="24"/>
        </w:rPr>
        <w:t>vs</w:t>
      </w:r>
      <w:r w:rsidR="00A641D5" w:rsidRPr="00B4448E">
        <w:rPr>
          <w:rFonts w:ascii="Times New Roman" w:hAnsi="Times New Roman"/>
          <w:szCs w:val="24"/>
        </w:rPr>
        <w:t>. Li)</w:t>
      </w:r>
      <w:r w:rsidR="009B7CBA" w:rsidRPr="00B4448E">
        <w:rPr>
          <w:rFonts w:ascii="Times New Roman" w:hAnsi="Times New Roman"/>
          <w:szCs w:val="24"/>
        </w:rPr>
        <w:t>.</w:t>
      </w:r>
      <w:r w:rsidR="000D7D6E" w:rsidRPr="00B4448E">
        <w:rPr>
          <w:rFonts w:ascii="Times New Roman" w:hAnsi="Times New Roman"/>
          <w:lang w:val="en-CA"/>
        </w:rPr>
        <w:t xml:space="preserve"> </w:t>
      </w:r>
      <w:r w:rsidR="00202AFF" w:rsidRPr="00B4448E">
        <w:rPr>
          <w:rFonts w:ascii="Times New Roman" w:hAnsi="Times New Roman"/>
          <w:lang w:val="en-CA"/>
        </w:rPr>
        <w:t xml:space="preserve">This study focuses on </w:t>
      </w:r>
      <w:r w:rsidR="00B317E6" w:rsidRPr="00B4448E">
        <w:rPr>
          <w:rFonts w:ascii="Times New Roman" w:hAnsi="Times New Roman"/>
          <w:lang w:val="en-CA"/>
        </w:rPr>
        <w:t xml:space="preserve">this </w:t>
      </w:r>
      <w:r w:rsidR="00202AFF" w:rsidRPr="00B4448E">
        <w:rPr>
          <w:rFonts w:ascii="Times New Roman" w:hAnsi="Times New Roman"/>
          <w:lang w:val="en-CA"/>
        </w:rPr>
        <w:t>positive electrode potential region, aiming to achieve a high mean cell voltage in discharge trials</w:t>
      </w:r>
      <w:r w:rsidR="00F26202" w:rsidRPr="00B4448E">
        <w:rPr>
          <w:rFonts w:ascii="Times New Roman" w:hAnsi="Times New Roman"/>
          <w:lang w:val="en-CA"/>
        </w:rPr>
        <w:t xml:space="preserve"> </w:t>
      </w:r>
      <w:r w:rsidR="00363D05" w:rsidRPr="00B4448E">
        <w:rPr>
          <w:rFonts w:ascii="Times New Roman" w:hAnsi="Times New Roman"/>
          <w:lang w:val="en-CA"/>
        </w:rPr>
        <w:fldChar w:fldCharType="begin" w:fldLock="1"/>
      </w:r>
      <w:r w:rsidR="00D75310" w:rsidRPr="00B4448E">
        <w:rPr>
          <w:rFonts w:ascii="Times New Roman" w:hAnsi="Times New Roman"/>
          <w:lang w:val="en-CA"/>
        </w:rPr>
        <w:instrText>ADDIN CSL_CITATION {"citationItems":[{"id":"ITEM-1","itemData":{"DOI":"10.1039/c8ta04720k","author":[{"dropping-particle":"","family":"Shin","given":"Dong-seon","non-dropping-particle":"","parse-names":false,"suffix":""},{"dropping-particle":"","family":"Park","given":"Minjoon","non-dropping-particle":"","parse-names":false,"suffix":""},{"dropping-particle":"","family":"Ryu","given":"Jaechan","non-dropping-particle":"","parse-names":false,"suffix":""},{"dropping-particle":"","family":"Hwang","given":"Inchan","non-dropping-particle":"","parse-names":false,"suffix":""},{"dropping-particle":"","family":"Seo","given":"Jeong Kon","non-dropping-particle":"","parse-names":false,"suffix":""},{"dropping-particle":"","family":"Seo","given":"Kwanyong","non-dropping-particle":"","parse-names":false,"suffix":""},{"dropping-particle":"","family":"Cho","given":"Jaephil","non-dropping-particle":"","parse-names":false,"suffix":""},{"dropping-particle":"","family":"Hong","given":"Sung You","non-dropping-particle":"","parse-names":false,"suffix":""}],"container-title":"J. Mater. Chem. A","id":"ITEM-1","issued":{"date-parts":[["2018"]]},"page":"14761-14768","publisher":"Royal Society of Chemistry","title":"Nonaqueous arylated quinone catholytes for lithium – organic flow batteries","type":"article-journal","volume":"6"},"uris":["http://www.mendeley.com/documents/?uuid=09667aff-d6d9-4a83-a514-f26ca6519b81"]},{"id":"ITEM-2","itemData":{"DOI":"10.1039/c5ee03764f","author":[{"dropping-particle":"","family":"Huang","given":"Qizhao","non-dropping-particle":"","parse-names":false,"suffix":""},{"dropping-particle":"","family":"Yang","given":"Jing","non-dropping-particle":"","parse-names":false,"suffix":""},{"dropping-particle":"","family":"Ng","given":"Chee Boon","non-dropping-particle":"","parse-names":false,"suffix":""},{"dropping-particle":"","family":"Jia","given":"Chuankun","non-dropping-particle":"","parse-names":false,"suffix":""},{"dropping-particle":"","family":"Wang","given":"Qing","non-dropping-particle":"","parse-names":false,"suffix":""}],"container-title":"Energy Environ. Sci.","id":"ITEM-2","issued":{"date-parts":[["2016"]]},"page":"917-921","publisher":"Royal Society of Chemistry","title":"A redox flow lithium battery based on the redox targeting reactions between LiFePO4 and iodide","type":"article-journal","volume":"9"},"uris":["http://www.mendeley.com/documents/?uuid=4a7020b5-8ad6-48c5-bf66-fa13181cbf9a"]},{"id":"ITEM-3","itemData":{"DOI":"10.1038/srep32102","author":[{"dropping-particle":"","family":"Huang","given":"Jinhua","non-dropping-particle":"","parse-names":false,"suffix":""},{"dropping-particle":"","family":"Pan","given":"Baofei","non-dropping-particle":"","parse-names":false,"suffix":""},{"dropping-particle":"","family":"Duan","given":"Wentao","non-dropping-particle":"","parse-names":false,"suffix":""},{"dropping-particle":"","family":"Wei","given":"Xiaoliang","non-dropping-particle":"","parse-names":false,"suffix":""},{"dropping-particle":"","family":"Assary","given":"Rajeev S","non-dropping-particle":"","parse-names":false,"suffix":""},{"dropping-particle":"","family":"Su","given":"Liang","non-dropping-particle":"","parse-names":false,"suffix":""},{"dropping-particle":"","family":"Brushett","given":"Fikile R","non-dropping-particle":"","parse-names":false,"suffix":""},{"dropping-particle":"","family":"Cheng","given":"Lei","non-dropping-particle":"","parse-names":false,"suffix":""},{"dropping-particle":"","family":"Liao","given":"Chen","non-dropping-particle":"","parse-names":false,"suffix":""},{"dropping-particle":"","family":"Ferrandon","given":"Magali S","non-dropping-particle":"","parse-names":false,"suffix":""},{"dropping-particle":"","family":"Wang","given":"Wei","non-dropping-particle":"","parse-names":false,"suffix":""},{"dropping-particle":"","family":"Zhang","given":"Zhengcheng","non-dropping-particle":"","parse-names":false,"suffix":""},{"dropping-particle":"","family":"Burrell","given":"Anthony K","non-dropping-particle":"","parse-names":false,"suffix":""},{"dropping-particle":"","family":"Curtiss","given":"Larry A","non-dropping-particle":"","parse-names":false,"suffix":""},{"dropping-particle":"","family":"Shkrob","given":"Ilya A","non-dropping-particle":"","parse-names":false,"suffix":""},{"dropping-particle":"","family":"Moore","given":"Jeffrey S","non-dropping-particle":"","parse-names":false,"suffix":""},{"dropping-particle":"","family":"Zhang","given":"Lu","non-dropping-particle":"","parse-names":false,"suffix":""}],"container-title":"Nature Group Publication","id":"ITEM-3","issue":"32102","issued":{"date-parts":[["2016"]]},"page":"1-9","publisher":"Nature Publishing Group","title":"The lightest organic radical cation for charge storage in redox flow batteries","type":"article-journal","volume":"6"},"uris":["http://www.mendeley.com/documents/?uuid=99e21189-26e4-4811-b302-74dd31d766fa"]},{"id":"ITEM-4","itemData":{"DOI":"10.1002/adma.201403746","ISSN":"15214095","abstract":"(Figure Presented) A TEMPO-based non-aqueous electrolyte with the TEMPO concentration as high as 2.0 m is demonstrated as a high-energy-density catholyte for redox flow battery applications. With a hybrid anode, Li|TEMPO flow cells using this electrolyte deliver an energy efficiency of ca. 70% and an impressively high energy density of 126 W h L-1.","author":[{"dropping-particle":"","family":"Wei","given":"Xiaoliang","non-dropping-particle":"","parse-names":false,"suffix":""},{"dropping-particle":"","family":"Xu","given":"Wu","non-dropping-particle":"","parse-names":false,"suffix":""},{"dropping-particle":"","family":"Vijayakumar","given":"Murugesan","non-dropping-particle":"","parse-names":false,"suffix":""},{"dropping-particle":"","family":"Cosimbescu","given":"Lelia","non-dropping-particle":"","parse-names":false,"suffix":""},{"dropping-particle":"","family":"Liu","given":"Tianbiao","non-dropping-particle":"","parse-names":false,"suffix":""},{"dropping-particle":"","family":"Sprenkle","given":"Vincent","non-dropping-particle":"","parse-names":false,"suffix":""},{"dropping-particle":"","family":"Wang","given":"Wei","non-dropping-particle":"","parse-names":false,"suffix":""}],"container-title":"Advanced Materials","id":"ITEM-4","issue":"45","issued":{"date-parts":[["2014"]]},"page":"7649-7653","title":"TEMPO-based catholyte for high-energy density nonaqueous redox flow batteries","type":"article-journal","volume":"26"},"uris":["http://www.mendeley.com/documents/?uuid=e33ec577-1cd4-4d35-a405-3ecb4b206ab4"]}],"mendeley":{"formattedCitation":"[32,49–51]","plainTextFormattedCitation":"[32,49–51]","previouslyFormattedCitation":"[32,48–50]"},"properties":{"noteIndex":0},"schema":"https://github.com/citation-style-language/schema/raw/master/csl-citation.json"}</w:instrText>
      </w:r>
      <w:r w:rsidR="00363D05" w:rsidRPr="00B4448E">
        <w:rPr>
          <w:rFonts w:ascii="Times New Roman" w:hAnsi="Times New Roman"/>
          <w:lang w:val="en-CA"/>
        </w:rPr>
        <w:fldChar w:fldCharType="separate"/>
      </w:r>
      <w:r w:rsidR="00D75310" w:rsidRPr="00B4448E">
        <w:rPr>
          <w:rFonts w:ascii="Times New Roman" w:hAnsi="Times New Roman"/>
          <w:noProof/>
          <w:lang w:val="en-CA"/>
        </w:rPr>
        <w:t>[32,49–51]</w:t>
      </w:r>
      <w:r w:rsidR="00363D05" w:rsidRPr="00B4448E">
        <w:rPr>
          <w:rFonts w:ascii="Times New Roman" w:hAnsi="Times New Roman"/>
          <w:lang w:val="en-CA"/>
        </w:rPr>
        <w:fldChar w:fldCharType="end"/>
      </w:r>
      <w:r w:rsidR="00F26202" w:rsidRPr="00B4448E">
        <w:rPr>
          <w:rFonts w:ascii="Times New Roman" w:hAnsi="Times New Roman"/>
          <w:lang w:val="en-CA"/>
        </w:rPr>
        <w:t>.</w:t>
      </w:r>
      <w:r w:rsidR="00202AFF" w:rsidRPr="00B4448E">
        <w:rPr>
          <w:rFonts w:ascii="Times New Roman" w:hAnsi="Times New Roman"/>
          <w:lang w:val="en-CA"/>
        </w:rPr>
        <w:t xml:space="preserve"> </w:t>
      </w:r>
      <w:r w:rsidR="000D7D6E" w:rsidRPr="00B4448E">
        <w:rPr>
          <w:rFonts w:ascii="Times New Roman" w:hAnsi="Times New Roman"/>
          <w:lang w:val="en-CA"/>
        </w:rPr>
        <w:t xml:space="preserve">The experiments were conducted at </w:t>
      </w:r>
      <w:r w:rsidR="00202AFF" w:rsidRPr="00B4448E">
        <w:rPr>
          <w:rFonts w:ascii="Times New Roman" w:hAnsi="Times New Roman"/>
          <w:lang w:val="en-CA"/>
        </w:rPr>
        <w:t xml:space="preserve">a constant current of </w:t>
      </w:r>
      <w:r w:rsidR="000D7D6E" w:rsidRPr="00B4448E">
        <w:rPr>
          <w:rFonts w:ascii="Times New Roman" w:hAnsi="Times New Roman"/>
          <w:lang w:val="en-CA"/>
        </w:rPr>
        <w:t>50 mA</w:t>
      </w:r>
      <w:r w:rsidR="0091217C" w:rsidRPr="00B4448E">
        <w:rPr>
          <w:rFonts w:ascii="Times New Roman" w:hAnsi="Times New Roman"/>
          <w:lang w:val="en-CA"/>
        </w:rPr>
        <w:t xml:space="preserve"> </w:t>
      </w:r>
      <w:r w:rsidR="00202AFF" w:rsidRPr="00B4448E">
        <w:rPr>
          <w:rFonts w:ascii="Times New Roman" w:hAnsi="Times New Roman"/>
          <w:lang w:val="en-CA"/>
        </w:rPr>
        <w:t xml:space="preserve">through a </w:t>
      </w:r>
      <w:r w:rsidR="000D7D6E" w:rsidRPr="00B4448E">
        <w:rPr>
          <w:rFonts w:ascii="Times New Roman" w:hAnsi="Times New Roman"/>
          <w:lang w:val="en-CA"/>
        </w:rPr>
        <w:t>2.5 cm</w:t>
      </w:r>
      <w:proofErr w:type="gramStart"/>
      <w:r w:rsidR="0091217C" w:rsidRPr="00B4448E">
        <w:rPr>
          <w:rFonts w:ascii="Times New Roman" w:hAnsi="Times New Roman"/>
          <w:vertAlign w:val="superscript"/>
        </w:rPr>
        <w:t>2</w:t>
      </w:r>
      <w:r w:rsidR="00202AFF" w:rsidRPr="00B4448E">
        <w:rPr>
          <w:rFonts w:ascii="Times New Roman" w:hAnsi="Times New Roman"/>
          <w:vertAlign w:val="superscript"/>
          <w:lang w:val="en-CA"/>
        </w:rPr>
        <w:t xml:space="preserve"> </w:t>
      </w:r>
      <w:r w:rsidR="00202AFF" w:rsidRPr="00B4448E">
        <w:rPr>
          <w:rFonts w:ascii="Times New Roman" w:hAnsi="Times New Roman"/>
          <w:lang w:val="en-CA"/>
        </w:rPr>
        <w:t xml:space="preserve"> area</w:t>
      </w:r>
      <w:proofErr w:type="gramEnd"/>
      <w:r w:rsidR="00202AFF" w:rsidRPr="00B4448E">
        <w:rPr>
          <w:rFonts w:ascii="Times New Roman" w:hAnsi="Times New Roman"/>
          <w:lang w:val="en-CA"/>
        </w:rPr>
        <w:t xml:space="preserve"> electrode</w:t>
      </w:r>
      <w:r w:rsidR="000D7D6E" w:rsidRPr="00B4448E">
        <w:rPr>
          <w:rFonts w:ascii="Times New Roman" w:hAnsi="Times New Roman"/>
          <w:lang w:val="en-CA"/>
        </w:rPr>
        <w:t xml:space="preserve"> </w:t>
      </w:r>
      <w:r w:rsidR="00A641D5" w:rsidRPr="00B4448E">
        <w:rPr>
          <w:rFonts w:ascii="Times New Roman" w:hAnsi="Times New Roman"/>
          <w:lang w:val="en-CA"/>
        </w:rPr>
        <w:t>in this highly positive potential region</w:t>
      </w:r>
      <w:r w:rsidR="00B70698" w:rsidRPr="00B4448E">
        <w:rPr>
          <w:rFonts w:ascii="Times New Roman" w:hAnsi="Times New Roman"/>
          <w:lang w:val="en-CA"/>
        </w:rPr>
        <w:t xml:space="preserve"> </w:t>
      </w:r>
      <w:r w:rsidR="00202AFF" w:rsidRPr="00B4448E">
        <w:rPr>
          <w:rFonts w:ascii="Times New Roman" w:hAnsi="Times New Roman"/>
          <w:lang w:val="en-CA"/>
        </w:rPr>
        <w:t>to assess</w:t>
      </w:r>
      <w:r w:rsidR="000D7D6E" w:rsidRPr="00B4448E">
        <w:rPr>
          <w:rFonts w:ascii="Times New Roman" w:hAnsi="Times New Roman"/>
          <w:lang w:val="en-CA"/>
        </w:rPr>
        <w:t xml:space="preserve"> the 4 electron-transfer per molecule</w:t>
      </w:r>
      <w:r w:rsidR="003C56F9" w:rsidRPr="00B4448E">
        <w:rPr>
          <w:rFonts w:ascii="Times New Roman" w:hAnsi="Times New Roman"/>
          <w:lang w:val="en-CA"/>
        </w:rPr>
        <w:t xml:space="preserve"> at </w:t>
      </w:r>
      <w:r w:rsidR="00202AFF" w:rsidRPr="00B4448E">
        <w:rPr>
          <w:rFonts w:ascii="Times New Roman" w:hAnsi="Times New Roman"/>
          <w:lang w:val="en-CA"/>
        </w:rPr>
        <w:t>very positive</w:t>
      </w:r>
      <w:r w:rsidR="00B70698" w:rsidRPr="00B4448E">
        <w:rPr>
          <w:rFonts w:ascii="Times New Roman" w:hAnsi="Times New Roman"/>
          <w:lang w:val="en-CA"/>
        </w:rPr>
        <w:t xml:space="preserve"> </w:t>
      </w:r>
      <w:r w:rsidR="000C0F84" w:rsidRPr="00B4448E">
        <w:rPr>
          <w:rFonts w:ascii="Times New Roman" w:hAnsi="Times New Roman"/>
          <w:lang w:val="en-CA"/>
        </w:rPr>
        <w:t xml:space="preserve">electrode </w:t>
      </w:r>
      <w:r w:rsidR="003C56F9" w:rsidRPr="00B4448E">
        <w:rPr>
          <w:rFonts w:ascii="Times New Roman" w:hAnsi="Times New Roman"/>
          <w:lang w:val="en-CA"/>
        </w:rPr>
        <w:t>potent</w:t>
      </w:r>
      <w:r w:rsidR="00B435CE" w:rsidRPr="00B4448E">
        <w:rPr>
          <w:rFonts w:ascii="Times New Roman" w:hAnsi="Times New Roman"/>
          <w:lang w:val="en-CA"/>
        </w:rPr>
        <w:t xml:space="preserve">ials (Figure </w:t>
      </w:r>
      <w:r w:rsidR="00E95E29" w:rsidRPr="00B4448E">
        <w:rPr>
          <w:rFonts w:ascii="Times New Roman" w:hAnsi="Times New Roman"/>
          <w:lang w:val="en-CA"/>
        </w:rPr>
        <w:t>4</w:t>
      </w:r>
      <w:r w:rsidR="00B435CE" w:rsidRPr="00B4448E">
        <w:rPr>
          <w:rFonts w:ascii="Times New Roman" w:hAnsi="Times New Roman"/>
          <w:lang w:val="en-CA"/>
        </w:rPr>
        <w:t>b).</w:t>
      </w:r>
      <w:r w:rsidR="00C56A70" w:rsidRPr="00B4448E">
        <w:rPr>
          <w:rFonts w:ascii="Times New Roman" w:hAnsi="Times New Roman"/>
          <w:lang w:val="en-CA"/>
        </w:rPr>
        <w:t xml:space="preserve"> </w:t>
      </w:r>
      <w:r w:rsidR="00A641D5" w:rsidRPr="00B4448E">
        <w:rPr>
          <w:rFonts w:ascii="Times New Roman" w:hAnsi="Times New Roman"/>
          <w:lang w:val="en-CA"/>
        </w:rPr>
        <w:t xml:space="preserve">The </w:t>
      </w:r>
      <w:r w:rsidR="0040496F" w:rsidRPr="00B4448E">
        <w:rPr>
          <w:rFonts w:ascii="Times New Roman" w:hAnsi="Times New Roman"/>
          <w:lang w:val="en-CA"/>
        </w:rPr>
        <w:t xml:space="preserve">Li|DB-1 hybrid </w:t>
      </w:r>
      <w:r w:rsidR="004262F5" w:rsidRPr="00B4448E">
        <w:rPr>
          <w:rFonts w:ascii="Times New Roman" w:hAnsi="Times New Roman"/>
          <w:lang w:val="en-CA"/>
        </w:rPr>
        <w:t>battery</w:t>
      </w:r>
      <w:r w:rsidR="0040496F" w:rsidRPr="00B4448E">
        <w:rPr>
          <w:rFonts w:ascii="Times New Roman" w:hAnsi="Times New Roman"/>
          <w:lang w:val="en-CA"/>
        </w:rPr>
        <w:t xml:space="preserve"> </w:t>
      </w:r>
      <w:r w:rsidR="000C0F84" w:rsidRPr="00B4448E">
        <w:rPr>
          <w:rFonts w:ascii="Times New Roman" w:hAnsi="Times New Roman"/>
          <w:lang w:val="en-CA"/>
        </w:rPr>
        <w:t>showed</w:t>
      </w:r>
      <w:r w:rsidR="00C621EC" w:rsidRPr="00B4448E">
        <w:rPr>
          <w:rFonts w:ascii="Times New Roman" w:hAnsi="Times New Roman"/>
          <w:lang w:val="en-CA"/>
        </w:rPr>
        <w:t xml:space="preserve"> an open-circuit voltage of 3.</w:t>
      </w:r>
      <w:r w:rsidR="00E436A3" w:rsidRPr="00B4448E">
        <w:rPr>
          <w:rFonts w:ascii="Times New Roman" w:hAnsi="Times New Roman"/>
          <w:lang w:val="en-CA"/>
        </w:rPr>
        <w:t>5</w:t>
      </w:r>
      <w:r w:rsidR="00C621EC" w:rsidRPr="00B4448E">
        <w:rPr>
          <w:rFonts w:ascii="Times New Roman" w:hAnsi="Times New Roman"/>
          <w:lang w:val="en-CA"/>
        </w:rPr>
        <w:t xml:space="preserve"> V and delivered </w:t>
      </w:r>
      <w:r w:rsidR="00E53395" w:rsidRPr="00B4448E">
        <w:rPr>
          <w:rFonts w:ascii="Times New Roman" w:hAnsi="Times New Roman"/>
          <w:lang w:val="en-CA"/>
        </w:rPr>
        <w:t xml:space="preserve">a </w:t>
      </w:r>
      <w:r w:rsidR="0040496F" w:rsidRPr="00B4448E">
        <w:rPr>
          <w:rFonts w:ascii="Times New Roman" w:hAnsi="Times New Roman"/>
          <w:lang w:val="en-CA"/>
        </w:rPr>
        <w:t xml:space="preserve">stable </w:t>
      </w:r>
      <w:r w:rsidR="00C621EC" w:rsidRPr="00B4448E">
        <w:rPr>
          <w:rFonts w:ascii="Times New Roman" w:hAnsi="Times New Roman"/>
          <w:lang w:val="en-CA"/>
        </w:rPr>
        <w:t>discharge capacit</w:t>
      </w:r>
      <w:r w:rsidR="00E53395" w:rsidRPr="00B4448E">
        <w:rPr>
          <w:rFonts w:ascii="Times New Roman" w:hAnsi="Times New Roman"/>
          <w:lang w:val="en-CA"/>
        </w:rPr>
        <w:t>y</w:t>
      </w:r>
      <w:r w:rsidR="00C621EC" w:rsidRPr="00B4448E">
        <w:rPr>
          <w:rFonts w:ascii="Times New Roman" w:hAnsi="Times New Roman"/>
          <w:lang w:val="en-CA"/>
        </w:rPr>
        <w:t xml:space="preserve"> </w:t>
      </w:r>
      <w:r w:rsidR="004B38B7" w:rsidRPr="00B4448E">
        <w:rPr>
          <w:rFonts w:ascii="Times New Roman" w:hAnsi="Times New Roman"/>
          <w:lang w:val="en-CA"/>
        </w:rPr>
        <w:t>(</w:t>
      </w:r>
      <w:r w:rsidR="0040496F" w:rsidRPr="00B4448E">
        <w:rPr>
          <w:rFonts w:ascii="Times New Roman" w:hAnsi="Times New Roman"/>
          <w:i/>
          <w:lang w:val="en-CA"/>
        </w:rPr>
        <w:t>ca.</w:t>
      </w:r>
      <w:r w:rsidR="0040496F" w:rsidRPr="00B4448E">
        <w:rPr>
          <w:rFonts w:ascii="Times New Roman" w:hAnsi="Times New Roman"/>
          <w:lang w:val="en-CA"/>
        </w:rPr>
        <w:t xml:space="preserve"> </w:t>
      </w:r>
      <w:r w:rsidR="00A641D5" w:rsidRPr="00B4448E">
        <w:rPr>
          <w:rFonts w:ascii="Times New Roman" w:hAnsi="Times New Roman"/>
          <w:lang w:val="en-CA"/>
        </w:rPr>
        <w:t xml:space="preserve">111 </w:t>
      </w:r>
      <w:r w:rsidR="003C56F9" w:rsidRPr="00B4448E">
        <w:rPr>
          <w:rFonts w:ascii="Times New Roman" w:hAnsi="Times New Roman"/>
          <w:lang w:val="en-CA"/>
        </w:rPr>
        <w:t>mA h</w:t>
      </w:r>
      <w:r w:rsidR="004B38B7" w:rsidRPr="00B4448E">
        <w:rPr>
          <w:rFonts w:ascii="Times New Roman" w:hAnsi="Times New Roman"/>
          <w:lang w:val="en-CA"/>
        </w:rPr>
        <w:t>)</w:t>
      </w:r>
      <w:r w:rsidR="0040496F" w:rsidRPr="00B4448E">
        <w:rPr>
          <w:rFonts w:ascii="Times New Roman" w:hAnsi="Times New Roman"/>
          <w:lang w:val="en-CA"/>
        </w:rPr>
        <w:t xml:space="preserve"> </w:t>
      </w:r>
      <w:r w:rsidR="0040496F" w:rsidRPr="00B4448E">
        <w:rPr>
          <w:rFonts w:ascii="Times New Roman" w:hAnsi="Times New Roman"/>
          <w:szCs w:val="24"/>
        </w:rPr>
        <w:t xml:space="preserve">over 50 cycles at </w:t>
      </w:r>
      <w:r w:rsidR="00202AFF" w:rsidRPr="00B4448E">
        <w:rPr>
          <w:rFonts w:ascii="Times New Roman" w:hAnsi="Times New Roman"/>
          <w:szCs w:val="24"/>
        </w:rPr>
        <w:t xml:space="preserve">a current density of </w:t>
      </w:r>
      <w:r w:rsidR="0040496F" w:rsidRPr="00B4448E">
        <w:rPr>
          <w:rFonts w:ascii="Times New Roman" w:hAnsi="Times New Roman"/>
        </w:rPr>
        <w:t>20 mA cm</w:t>
      </w:r>
      <w:r w:rsidR="0040496F" w:rsidRPr="00B4448E">
        <w:rPr>
          <w:rFonts w:ascii="Symbol" w:hAnsi="Symbol"/>
          <w:vertAlign w:val="superscript"/>
        </w:rPr>
        <w:t></w:t>
      </w:r>
      <w:r w:rsidR="0040496F" w:rsidRPr="00B4448E">
        <w:rPr>
          <w:rFonts w:ascii="Times New Roman" w:hAnsi="Times New Roman"/>
          <w:vertAlign w:val="superscript"/>
        </w:rPr>
        <w:t>2</w:t>
      </w:r>
      <w:r w:rsidR="0040496F" w:rsidRPr="00B4448E">
        <w:rPr>
          <w:rFonts w:ascii="Times New Roman" w:hAnsi="Times New Roman"/>
          <w:szCs w:val="24"/>
        </w:rPr>
        <w:t>.</w:t>
      </w:r>
      <w:r w:rsidR="003C56F9" w:rsidRPr="00B4448E">
        <w:rPr>
          <w:rFonts w:ascii="Times New Roman" w:hAnsi="Times New Roman"/>
          <w:szCs w:val="24"/>
        </w:rPr>
        <w:t xml:space="preserve"> The </w:t>
      </w:r>
      <w:r w:rsidR="00202AFF" w:rsidRPr="00B4448E">
        <w:rPr>
          <w:rFonts w:ascii="Times New Roman" w:hAnsi="Times New Roman"/>
          <w:szCs w:val="24"/>
        </w:rPr>
        <w:t>current density was</w:t>
      </w:r>
      <w:r w:rsidR="003C56F9" w:rsidRPr="00B4448E">
        <w:rPr>
          <w:rFonts w:ascii="Times New Roman" w:hAnsi="Times New Roman"/>
          <w:szCs w:val="24"/>
        </w:rPr>
        <w:t xml:space="preserve"> higher than </w:t>
      </w:r>
      <w:r w:rsidR="00B435CE" w:rsidRPr="00B4448E">
        <w:rPr>
          <w:rFonts w:ascii="Times New Roman" w:hAnsi="Times New Roman"/>
          <w:szCs w:val="24"/>
        </w:rPr>
        <w:t>most</w:t>
      </w:r>
      <w:r w:rsidR="003C56F9" w:rsidRPr="00B4448E">
        <w:rPr>
          <w:rFonts w:ascii="Times New Roman" w:hAnsi="Times New Roman"/>
          <w:szCs w:val="24"/>
        </w:rPr>
        <w:t xml:space="preserve"> non-aqueous systems</w:t>
      </w:r>
      <w:r w:rsidR="00B435CE" w:rsidRPr="00B4448E">
        <w:rPr>
          <w:rFonts w:ascii="Times New Roman" w:hAnsi="Times New Roman"/>
          <w:szCs w:val="24"/>
        </w:rPr>
        <w:t xml:space="preserve"> (&lt; 20 mA </w:t>
      </w:r>
      <w:r w:rsidR="00B435CE" w:rsidRPr="00B4448E">
        <w:rPr>
          <w:rFonts w:ascii="Times New Roman" w:hAnsi="Times New Roman"/>
        </w:rPr>
        <w:t>cm</w:t>
      </w:r>
      <w:r w:rsidR="00B435CE" w:rsidRPr="00B4448E">
        <w:rPr>
          <w:rFonts w:ascii="Symbol" w:hAnsi="Symbol"/>
          <w:vertAlign w:val="superscript"/>
        </w:rPr>
        <w:t></w:t>
      </w:r>
      <w:r w:rsidR="00B435CE" w:rsidRPr="00B4448E">
        <w:rPr>
          <w:rFonts w:ascii="Times New Roman" w:hAnsi="Times New Roman"/>
          <w:vertAlign w:val="superscript"/>
        </w:rPr>
        <w:t>2</w:t>
      </w:r>
      <w:r w:rsidR="00B435CE" w:rsidRPr="00B4448E">
        <w:rPr>
          <w:rFonts w:ascii="Times New Roman" w:hAnsi="Times New Roman"/>
          <w:szCs w:val="24"/>
        </w:rPr>
        <w:t>)</w:t>
      </w:r>
      <w:r w:rsidR="00B70698" w:rsidRPr="00B4448E">
        <w:rPr>
          <w:rFonts w:ascii="Times New Roman" w:hAnsi="Times New Roman"/>
          <w:szCs w:val="24"/>
        </w:rPr>
        <w:t xml:space="preserve"> </w:t>
      </w:r>
      <w:r w:rsidR="00B435CE" w:rsidRPr="00B4448E">
        <w:rPr>
          <w:rFonts w:ascii="Times New Roman" w:hAnsi="Times New Roman"/>
        </w:rPr>
        <w:fldChar w:fldCharType="begin" w:fldLock="1"/>
      </w:r>
      <w:r w:rsidR="00A478F5" w:rsidRPr="00B4448E">
        <w:rPr>
          <w:rFonts w:ascii="Times New Roman" w:hAnsi="Times New Roman"/>
        </w:rPr>
        <w:instrText>ADDIN CSL_CITATION {"citationItems":[{"id":"ITEM-1","itemData":{"DOI":"10.1021/acsenergylett.6b00255","author":[{"dropping-particle":"","family":"Wei","given":"Xiaoliang","non-dropping-particle":"","parse-names":false,"suffix":""},{"dropping-particle":"","family":"Duan","given":"Wentao","non-dropping-particle":"","parse-names":false,"suffix":""},{"dropping-particle":"","family":"Huang","given":"Jinhua","non-dropping-particle":"","parse-names":false,"suffix":""},{"dropping-particle":"","family":"Zhang","given":"Lu","non-dropping-particle":"","parse-names":false,"suffix":""},{"dropping-particle":"","family":"Li","given":"Bin","non-dropping-particle":"","parse-names":false,"suffix":""},{"dropping-particle":"","family":"Reed","given":"David","non-dropping-particle":"","parse-names":false,"suffix":""},{"dropping-particle":"","family":"Xu","given":"Wu","non-dropping-particle":"","parse-names":false,"suffix":""},{"dropping-particle":"","family":"Sprenkle","given":"Vincent","non-dropping-particle":"","parse-names":false,"suffix":""},{"dropping-particle":"","family":"Wang","given":"Wei","non-dropping-particle":"","parse-names":false,"suffix":""}],"container-title":"ACS Energy Letters","id":"ITEM-1","issued":{"date-parts":[["2016"]]},"page":"705-711","title":"A High-Current, Stable Nonaqueous Organic Redox Flow Battery","type":"article-journal","volume":"1"},"uris":["http://www.mendeley.com/documents/?uuid=df04eccd-c14d-4222-af0a-7646aad75184"]},{"id":"ITEM-2","itemData":{"DOI":"10.1002/aenm.201200322","author":[{"dropping-particle":"","family":"Brushett","given":"Fikile R","non-dropping-particle":"","parse-names":false,"suffix":""},{"dropping-particle":"","family":"Vaughey","given":"John T","non-dropping-particle":"","parse-names":false,"suffix":""},{"dropping-particle":"","family":"Jansen","given":"Andrew N","non-dropping-particle":"","parse-names":false,"suffix":""}],"container-title":"Advanced Energy Materials","id":"ITEM-2","issued":{"date-parts":[["2012"]]},"page":"1390-1396","title":"An All-Organic Non-aqueous Lithium-Ion Redox Flow Battery","type":"article-journal","volume":"2"},"uris":["http://www.mendeley.com/documents/?uuid=7a9a264d-25a8-42f5-b8f4-499f1eebf1bf"]},{"id":"ITEM-3","itemData":{"DOI":"10.1002/aenm.201400678","author":[{"dropping-particle":"","family":"Wei","given":"Xiaoliang","non-dropping-particle":"","parse-names":false,"suffix":""},{"dropping-particle":"","family":"Cosimbescu","given":"Lelia","non-dropping-particle":"","parse-names":false,"suffix":""},{"dropping-particle":"","family":"Xu","given":"Wu","non-dropping-particle":"","parse-names":false,"suffix":""},{"dropping-particle":"","family":"Hu","given":"Jian Zhi","non-dropping-particle":"","parse-names":false,"suffix":""},{"dropping-particle":"","family":"Vijayakumar","given":"M","non-dropping-particle":"","parse-names":false,"suffix":""},{"dropping-particle":"","family":"Feng","given":"Ju","non-dropping-particle":"","parse-names":false,"suffix":""},{"dropping-particle":"","family":"Hu","given":"Mary Y","non-dropping-particle":"","parse-names":false,"suffix":""},{"dropping-particle":"","family":"Deng","given":"Xuchu","non-dropping-particle":"","parse-names":false,"suffix":""},{"dropping-particle":"","family":"Xiao","given":"Jie","non-dropping-particle":"","parse-names":false,"suffix":""},{"dropping-particle":"","family":"Liu","given":"Jun","non-dropping-particle":"","parse-names":false,"suffix":""},{"dropping-particle":"","family":"Sprenkle","given":"Vincent","non-dropping-particle":"","parse-names":false,"suffix":""},{"dropping-particle":"","family":"Wang","given":"Wei","non-dropping-particle":"","parse-names":false,"suffix":""}],"container-title":"Advanced Energy Materials","id":"ITEM-3","issue":"1400678","issued":{"date-parts":[["2015"]]},"page":"1-7","title":"Towards High-Performance Nonaqueous Redox Flow Electrolyte Via Ionic Modifi cation of Active Species","type":"article-journal","volume":"5"},"uris":["http://www.mendeley.com/documents/?uuid=f3022542-9339-4e05-ab1c-030668079975"]}],"mendeley":{"formattedCitation":"[12,14,29]","manualFormatting":"[12,14,29","plainTextFormattedCitation":"[12,14,29]","previouslyFormattedCitation":"[12,14,29]"},"properties":{"noteIndex":0},"schema":"https://github.com/citation-style-language/schema/raw/master/csl-citation.json"}</w:instrText>
      </w:r>
      <w:r w:rsidR="00B435CE" w:rsidRPr="00B4448E">
        <w:rPr>
          <w:rFonts w:ascii="Times New Roman" w:hAnsi="Times New Roman"/>
        </w:rPr>
        <w:fldChar w:fldCharType="separate"/>
      </w:r>
      <w:r w:rsidR="00B464FF" w:rsidRPr="00B4448E">
        <w:rPr>
          <w:rFonts w:ascii="Times New Roman" w:hAnsi="Times New Roman"/>
          <w:noProof/>
        </w:rPr>
        <w:t>[12,14,29</w:t>
      </w:r>
      <w:r w:rsidR="00B435CE" w:rsidRPr="00B4448E">
        <w:rPr>
          <w:rFonts w:ascii="Times New Roman" w:hAnsi="Times New Roman"/>
        </w:rPr>
        <w:fldChar w:fldCharType="end"/>
      </w:r>
      <w:r w:rsidR="00970148" w:rsidRPr="00B4448E">
        <w:rPr>
          <w:rFonts w:ascii="Times New Roman" w:hAnsi="Times New Roman"/>
        </w:rPr>
        <w:t>,</w:t>
      </w:r>
      <w:r w:rsidR="00F54F59" w:rsidRPr="00B4448E">
        <w:rPr>
          <w:rFonts w:ascii="Times New Roman" w:hAnsi="Times New Roman"/>
          <w:vertAlign w:val="superscript"/>
        </w:rPr>
        <w:fldChar w:fldCharType="begin" w:fldLock="1"/>
      </w:r>
      <w:r w:rsidR="00D75310" w:rsidRPr="00B4448E">
        <w:rPr>
          <w:rFonts w:ascii="Times New Roman" w:hAnsi="Times New Roman"/>
          <w:vertAlign w:val="superscript"/>
        </w:rPr>
        <w:instrText>ADDIN CSL_CITATION {"citationItems":[{"id":"ITEM-1","itemData":{"DOI":"10.1002/anie.201501443","ISSN":"15213773","abstract":"Nonaqueous redox flow batteries hold the promise of achieving higher energy density because of the broader voltage window than aqueous systems, but their current performance is limited by low redox material concentration, cell efficiency, cycling stability, and current density. We report a new nonaqueous all-organic flow battery based on high concentrations of redox materials, which shows significant, comprehensive improvement in flow battery performance. A mechanistic electron spin resonance study reveals that the choice of supporting electrolytes greatly affects the chemical stability of the charged radical species especially the negative side radical anion, which dominates the cycling stability of these flow cells. This finding not only increases our fundamental understanding of performance degradation in flow batteries using radical-based redox species, but also offers insights toward rational electrolyte optimization for improving the cycling stability of these flow batteries.","author":[{"dropping-particle":"","family":"Wei","given":"Xiaoliang","non-dropping-particle":"","parse-names":false,"suffix":""},{"dropping-particle":"","family":"Xu","given":"Wu","non-dropping-particle":"","parse-names":false,"suffix":""},{"dropping-particle":"","family":"Huang","given":"Jinhua","non-dropping-particle":"","parse-names":false,"suffix":""},{"dropping-particle":"","family":"Zhang","given":"Lu","non-dropping-particle":"","parse-names":false,"suffix":""},{"dropping-particle":"","family":"Walter","given":"Eric","non-dropping-particle":"","parse-names":false,"suffix":""},{"dropping-particle":"","family":"Lawrence","given":"Chad","non-dropping-particle":"","parse-names":false,"suffix":""},{"dropping-particle":"","family":"Vijayakumar","given":"M.","non-dropping-particle":"","parse-names":false,"suffix":""},{"dropping-particle":"","family":"Henderson","given":"Wesley A.","non-dropping-particle":"","parse-names":false,"suffix":""},{"dropping-particle":"","family":"Liu","given":"Tianbiao","non-dropping-particle":"","parse-names":false,"suffix":""},{"dropping-particle":"","family":"Cosimbescu","given":"Lelia","non-dropping-particle":"","parse-names":false,"suffix":""},{"dropping-particle":"","family":"Li","given":"Bin","non-dropping-particle":"","parse-names":false,"suffix":""},{"dropping-particle":"","family":"Sprenkle","given":"Vincent","non-dropping-particle":"","parse-names":false,"suffix":""},{"dropping-particle":"","family":"Wang","given":"Wei","non-dropping-particle":"","parse-names":false,"suffix":""}],"container-title":"Angewandte Chemie - International Edition","id":"ITEM-1","issue":"30","issued":{"date-parts":[["2015"]]},"page":"8684-8687","title":"Radical Compatibility with Nonaqueous Electrolytes and Its Impact on an All-Organic Redox Flow Battery","type":"article-journal","volume":"54"},"uris":["http://www.mendeley.com/documents/?uuid=5fda744a-fb48-4186-bd66-137067e86e27"]}],"mendeley":{"formattedCitation":"[55]","manualFormatting":"53]","plainTextFormattedCitation":"[55]","previouslyFormattedCitation":"[54]"},"properties":{"noteIndex":0},"schema":"https://github.com/citation-style-language/schema/raw/master/csl-citation.json"}</w:instrText>
      </w:r>
      <w:r w:rsidR="00F54F59" w:rsidRPr="00B4448E">
        <w:rPr>
          <w:rFonts w:ascii="Times New Roman" w:hAnsi="Times New Roman"/>
          <w:vertAlign w:val="superscript"/>
        </w:rPr>
        <w:fldChar w:fldCharType="separate"/>
      </w:r>
      <w:r w:rsidR="00B464FF" w:rsidRPr="00B4448E">
        <w:rPr>
          <w:rFonts w:ascii="Times New Roman" w:hAnsi="Times New Roman"/>
          <w:noProof/>
        </w:rPr>
        <w:t>53]</w:t>
      </w:r>
      <w:r w:rsidR="00F54F59" w:rsidRPr="00B4448E">
        <w:rPr>
          <w:rFonts w:ascii="Times New Roman" w:hAnsi="Times New Roman"/>
          <w:vertAlign w:val="superscript"/>
        </w:rPr>
        <w:fldChar w:fldCharType="end"/>
      </w:r>
      <w:r w:rsidR="00367F40" w:rsidRPr="00B4448E">
        <w:rPr>
          <w:rFonts w:ascii="Times New Roman" w:hAnsi="Times New Roman"/>
          <w:szCs w:val="24"/>
        </w:rPr>
        <w:t xml:space="preserve"> ,with </w:t>
      </w:r>
      <w:r w:rsidR="00367F40" w:rsidRPr="00B4448E">
        <w:rPr>
          <w:rFonts w:eastAsiaTheme="minorEastAsia" w:cs="Times"/>
          <w:szCs w:val="24"/>
          <w:lang w:eastAsia="zh-CN"/>
        </w:rPr>
        <w:t>active species concentration</w:t>
      </w:r>
      <w:r w:rsidR="00367F40" w:rsidRPr="00B4448E">
        <w:rPr>
          <w:rFonts w:ascii="Times New Roman" w:eastAsiaTheme="minorEastAsia" w:hAnsi="Times New Roman"/>
          <w:szCs w:val="24"/>
          <w:lang w:eastAsia="zh-CN"/>
        </w:rPr>
        <w:t xml:space="preserve"> </w:t>
      </w:r>
      <w:r w:rsidR="003C56F9" w:rsidRPr="00B4448E">
        <w:rPr>
          <w:rFonts w:ascii="Times New Roman" w:hAnsi="Times New Roman"/>
          <w:szCs w:val="24"/>
        </w:rPr>
        <w:t>comparable to recent system</w:t>
      </w:r>
      <w:r w:rsidR="00B435CE" w:rsidRPr="00B4448E">
        <w:rPr>
          <w:rFonts w:ascii="Times New Roman" w:hAnsi="Times New Roman"/>
          <w:szCs w:val="24"/>
        </w:rPr>
        <w:t>s</w:t>
      </w:r>
      <w:r w:rsidR="003C56F9" w:rsidRPr="00B4448E">
        <w:rPr>
          <w:rFonts w:ascii="Times New Roman" w:hAnsi="Times New Roman"/>
          <w:szCs w:val="24"/>
        </w:rPr>
        <w:t xml:space="preserve"> (Table S</w:t>
      </w:r>
      <w:r w:rsidR="00901D82" w:rsidRPr="00B4448E">
        <w:rPr>
          <w:rFonts w:ascii="Times New Roman" w:hAnsi="Times New Roman"/>
          <w:szCs w:val="24"/>
        </w:rPr>
        <w:t>2</w:t>
      </w:r>
      <w:r w:rsidR="003C56F9" w:rsidRPr="00B4448E">
        <w:rPr>
          <w:rFonts w:ascii="Times New Roman" w:hAnsi="Times New Roman"/>
          <w:szCs w:val="24"/>
        </w:rPr>
        <w:t>)</w:t>
      </w:r>
      <w:r w:rsidR="004B38B7" w:rsidRPr="00B4448E">
        <w:rPr>
          <w:rFonts w:ascii="Times New Roman" w:hAnsi="Times New Roman"/>
          <w:szCs w:val="18"/>
          <w:vertAlign w:val="superscript"/>
        </w:rPr>
        <w:t xml:space="preserve"> </w:t>
      </w:r>
      <w:r w:rsidR="009F6F7F" w:rsidRPr="00B4448E">
        <w:rPr>
          <w:rFonts w:ascii="Times New Roman" w:hAnsi="Times New Roman"/>
          <w:szCs w:val="18"/>
          <w:vertAlign w:val="superscript"/>
        </w:rPr>
        <w:fldChar w:fldCharType="begin" w:fldLock="1"/>
      </w:r>
      <w:r w:rsidR="00D75310" w:rsidRPr="00B4448E">
        <w:rPr>
          <w:rFonts w:ascii="Times New Roman" w:hAnsi="Times New Roman"/>
          <w:szCs w:val="18"/>
          <w:vertAlign w:val="superscript"/>
        </w:rPr>
        <w:instrText>ADDIN CSL_CITATION {"citationItems":[{"id":"ITEM-1","itemData":{"DOI":"10.1038/nature15746","author":[{"dropping-particle":"","family":"Janoschka","given":"Tobias","non-dropping-particle":"","parse-names":false,"suffix":""},{"dropping-particle":"","family":"Martin","given":"Norbert","non-dropping-particle":"","parse-names":false,"suffix":""},{"dropping-particle":"","family":"Martin","given":"Udo","non-dropping-particle":"","parse-names":false,"suffix":""},{"dropping-particle":"","family":"Friebe","given":"Christian","non-dropping-particle":"","parse-names":false,"suffix":""},{"dropping-particle":"","family":"Morgenstern","given":"Sabine","non-dropping-particle":"","parse-names":false,"suffix":""},{"dropping-particle":"","family":"Hiller","given":"Hannes","non-dropping-particle":"","parse-names":false,"suffix":""},{"dropping-particle":"","family":"Hager","given":"Martin D","non-dropping-particle":"","parse-names":false,"suffix":""},{"dropping-particle":"","family":"Schubert","given":"Ulrich S","non-dropping-particle":"","parse-names":false,"suffix":""}],"container-title":"Nature","id":"ITEM-1","issue":"V","issued":{"date-parts":[["2015"]]},"page":"78-81","title":"An aqueous, polymer-based redox-flow battery using non-corrosive, safe, and low-cost materials","type":"article-journal","volume":"527"},"uris":["http://www.mendeley.com/documents/?uuid=406fd80f-1f38-4af7-ae9f-39f6fd00ae5c"]},{"id":"ITEM-2","itemData":{"DOI":"10.1016/j.jpowsour.2019.227283","ISSN":"0378-7753","author":[{"dropping-particle":"","family":"Yuan","given":"Jiashu","non-dropping-particle":"","parse-names":false,"suffix":""},{"dropping-particle":"","family":"Zhang","given":"Cuijuan","non-dropping-particle":"","parse-names":false,"suffix":""},{"dropping-particle":"","family":"Zhen","given":"Yihan","non-dropping-particle":"","parse-names":false,"suffix":""},{"dropping-particle":"","family":"Zhao","given":"Yicheng","non-dropping-particle":"","parse-names":false,"suffix":""},{"dropping-particle":"","family":"Li","given":"Yongdan","non-dropping-particle":"","parse-names":false,"suffix":""}],"container-title":"Journal of Power Sources","id":"ITEM-2","issue":"October","issued":{"date-parts":[["2019"]]},"page":"227283","publisher":"Elsevier B.V.","title":"Enhancing the performance of an all-organic non-aqueous redox flow battery","type":"article-journal","volume":"443"},"uris":["http://www.mendeley.com/documents/?uuid=4c48794f-3815-4de1-9d7f-36cbffa8378f"]},{"id":"ITEM-3","itemData":{"DOI":"10.1021/acsenergylett.6b00255","author":[{"dropping-particle":"","family":"Wei","given":"Xiaoliang","non-dropping-particle":"","parse-names":false,"suffix":""},{"dropping-particle":"","family":"Duan","given":"Wentao","non-dropping-particle":"","parse-names":false,"suffix":""},{"dropping-particle":"","family":"Huang","given":"Jinhua","non-dropping-particle":"","parse-names":false,"suffix":""},{"dropping-particle":"","family":"Zhang","given":"Lu","non-dropping-particle":"","parse-names":false,"suffix":""},{"dropping-particle":"","family":"Li","given":"Bin","non-dropping-particle":"","parse-names":false,"suffix":""},{"dropping-particle":"","family":"Reed","given":"David","non-dropping-particle":"","parse-names":false,"suffix":""},{"dropping-particle":"","family":"Xu","given":"Wu","non-dropping-particle":"","parse-names":false,"suffix":""},{"dropping-particle":"","family":"Sprenkle","given":"Vincent","non-dropping-particle":"","parse-names":false,"suffix":""},{"dropping-particle":"","family":"Wang","given":"Wei","non-dropping-particle":"","parse-names":false,"suffix":""}],"container-title":"ACS Energy Letters","id":"ITEM-3","issued":{"date-parts":[["2016"]]},"page":"705-711","title":"A High-Current, Stable Nonaqueous Organic Redox Flow Battery","type":"article-journal","volume":"1"},"uris":["http://www.mendeley.com/documents/?uuid=df04eccd-c14d-4222-af0a-7646aad75184"]},{"id":"ITEM-4","itemData":{"DOI":"10.1021/acsenergylett.8b01257","ISSN":"2380-8195","author":[{"dropping-particle":"","family":"Chen","given":"Hongning","non-dropping-particle":"","parse-names":false,"suffix":""},{"dropping-particle":"","family":"Zhou","given":"Yucun","non-dropping-particle":"","parse-names":false,"suffix":""},{"dropping-particle":"","family":"Lu","given":"Yi-chun","non-dropping-particle":"","parse-names":false,"suffix":""}],"container-title":"ACS Energy Letters","genre":"rapid-communication","id":"ITEM-4","issued":{"date-parts":[["2018"]]},"page":"1991-1997","publisher":"American Chemical Society","title":"Lithium − Organic Nanocomposite Suspension for High-Energy-Density Redox Flow Batteries","type":"article-journal","volume":"3"},"uris":["http://www.mendeley.com/documents/?uuid=496e0618-32b3-41e3-9264-47eebfd8b33e"]},{"id":"ITEM-5","itemData":{"DOI":"10.1039/c8ta04720k","author":[{"dropping-particle":"","family":"Shin","given":"Dong-seon","non-dropping-particle":"","parse-names":false,"suffix":""},{"dropping-particle":"","family":"Park","given":"Minjoon","non-dropping-particle":"","parse-names":false,"suffix":""},{"dropping-particle":"","family":"Ryu","given":"Jaechan","non-dropping-particle":"","parse-names":false,"suffix":""},{"dropping-particle":"","family":"Hwang","given":"Inchan","non-dropping-particle":"","parse-names":false,"suffix":""},{"dropping-particle":"","family":"Seo","given":"Jeong Kon","non-dropping-particle":"","parse-names":false,"suffix":""},{"dropping-particle":"","family":"Seo","given":"Kwanyong","non-dropping-particle":"","parse-names":false,"suffix":""},{"dropping-particle":"","family":"Cho","given":"Jaephil","non-dropping-particle":"","parse-names":false,"suffix":""},{"dropping-particle":"","family":"Hong","given":"Sung You","non-dropping-particle":"","parse-names":false,"suffix":""}],"container-title":"J. Mater. Chem. A","id":"ITEM-5","issued":{"date-parts":[["2018"]]},"page":"14761-14768","publisher":"Royal Society of Chemistry","title":"Nonaqueous arylated quinone catholytes for lithium – organic flow batteries","type":"article-journal","volume":"6"},"uris":["http://www.mendeley.com/documents/?uuid=09667aff-d6d9-4a83-a514-f26ca6519b81"]},{"id":"ITEM-6","itemData":{"DOI":"10.1016/j.chempr.2016.09.004","ISSN":"2451-9294","author":[{"dropping-particle":"","family":"Ding","given":"Yu","non-dropping-particle":"","parse-names":false,"suffix":""},{"dropping-particle":"","family":"Li","given":"Yafei","non-dropping-particle":"","parse-names":false,"suffix":""},{"dropping-particle":"","family":"Yu","given":"Guihua","non-dropping-particle":"","parse-names":false,"suffix":""}],"container-title":"CHEMPR","id":"ITEM-6","issue":"5","issued":{"date-parts":[["2016"]]},"page":"790-801","publisher":"Elsevier Inc.","title":"Exploring Bio-inspired Quinone-Based Organic Redox Flow Batteries : A Combined Experimental and Computational Study","type":"article-journal","volume":"1"},"uris":["http://www.mendeley.com/documents/?uuid=bb4f639b-539b-4605-b575-1e1c574d0113"]},{"id":"ITEM-7","itemData":{"DOI":"10.1002/anie.201501443","ISSN":"15213773","abstract":"Nonaqueous redox flow batteries hold the promise of achieving higher energy density because of the broader voltage window than aqueous systems, but their current performance is limited by low redox material concentration, cell efficiency, cycling stability, and current density. We report a new nonaqueous all-organic flow battery based on high concentrations of redox materials, which shows significant, comprehensive improvement in flow battery performance. A mechanistic electron spin resonance study reveals that the choice of supporting electrolytes greatly affects the chemical stability of the charged radical species especially the negative side radical anion, which dominates the cycling stability of these flow cells. This finding not only increases our fundamental understanding of performance degradation in flow batteries using radical-based redox species, but also offers insights toward rational electrolyte optimization for improving the cycling stability of these flow batteries.","author":[{"dropping-particle":"","family":"Wei","given":"Xiaoliang","non-dropping-particle":"","parse-names":false,"suffix":""},{"dropping-particle":"","family":"Xu","given":"Wu","non-dropping-particle":"","parse-names":false,"suffix":""},{"dropping-particle":"","family":"Huang","given":"Jinhua","non-dropping-particle":"","parse-names":false,"suffix":""},{"dropping-particle":"","family":"Zhang","given":"Lu","non-dropping-particle":"","parse-names":false,"suffix":""},{"dropping-particle":"","family":"Walter","given":"Eric","non-dropping-particle":"","parse-names":false,"suffix":""},{"dropping-particle":"","family":"Lawrence","given":"Chad","non-dropping-particle":"","parse-names":false,"suffix":""},{"dropping-particle":"","family":"Vijayakumar","given":"M.","non-dropping-particle":"","parse-names":false,"suffix":""},{"dropping-particle":"","family":"Henderson","given":"Wesley A.","non-dropping-particle":"","parse-names":false,"suffix":""},{"dropping-particle":"","family":"Liu","given":"Tianbiao","non-dropping-particle":"","parse-names":false,"suffix":""},{"dropping-particle":"","family":"Cosimbescu","given":"Lelia","non-dropping-particle":"","parse-names":false,"suffix":""},{"dropping-particle":"","family":"Li","given":"Bin","non-dropping-particle":"","parse-names":false,"suffix":""},{"dropping-particle":"","family":"Sprenkle","given":"Vincent","non-dropping-particle":"","parse-names":false,"suffix":""},{"dropping-particle":"","family":"Wang","given":"Wei","non-dropping-particle":"","parse-names":false,"suffix":""}],"container-title":"Angewandte Chemie - International Edition","id":"ITEM-7","issue":"30","issued":{"date-parts":[["2015"]]},"page":"8684-8687","title":"Radical Compatibility with Nonaqueous Electrolytes and Its Impact on an All-Organic Redox Flow Battery","type":"article-journal","volume":"54"},"uris":["http://www.mendeley.com/documents/?uuid=5fda744a-fb48-4186-bd66-137067e86e27"]},{"id":"ITEM-8","itemData":{"DOI":"10.1002/adma.201403746","ISSN":"15214095","abstract":"(Figure Presented) A TEMPO-based non-aqueous electrolyte with the TEMPO concentration as high as 2.0 m is demonstrated as a high-energy-density catholyte for redox flow battery applications. With a hybrid anode, Li|TEMPO flow cells using this electrolyte deliver an energy efficiency of ca. 70% and an impressively high energy density of 126 W h L-1.","author":[{"dropping-particle":"","family":"Wei","given":"Xiaoliang","non-dropping-particle":"","parse-names":false,"suffix":""},{"dropping-particle":"","family":"Xu","given":"Wu","non-dropping-particle":"","parse-names":false,"suffix":""},{"dropping-particle":"","family":"Vijayakumar","given":"Murugesan","non-dropping-particle":"","parse-names":false,"suffix":""},{"dropping-particle":"","family":"Cosimbescu","given":"Lelia","non-dropping-particle":"","parse-names":false,"suffix":""},{"dropping-particle":"","family":"Liu","given":"Tianbiao","non-dropping-particle":"","parse-names":false,"suffix":""},{"dropping-particle":"","family":"Sprenkle","given":"Vincent","non-dropping-particle":"","parse-names":false,"suffix":""},{"dropping-particle":"","family":"Wang","given":"Wei","non-dropping-particle":"","parse-names":false,"suffix":""}],"container-title":"Advanced Materials","id":"ITEM-8","issue":"45","issued":{"date-parts":[["2014"]]},"page":"7649-7653","title":"TEMPO-based catholyte for high-energy density nonaqueous redox flow batteries","type":"article-journal","volume":"26"},"uris":["http://www.mendeley.com/documents/?uuid=e33ec577-1cd4-4d35-a405-3ecb4b206ab4"]}],"mendeley":{"formattedCitation":"[8,12,32,40,48,51,55,56]","plainTextFormattedCitation":"[8,12,32,40,48,51,55,56]","previouslyFormattedCitation":"[8,12,32,40,47,50,54,55]"},"properties":{"noteIndex":0},"schema":"https://github.com/citation-style-language/schema/raw/master/csl-citation.json"}</w:instrText>
      </w:r>
      <w:r w:rsidR="009F6F7F" w:rsidRPr="00B4448E">
        <w:rPr>
          <w:rFonts w:ascii="Times New Roman" w:hAnsi="Times New Roman"/>
          <w:szCs w:val="18"/>
          <w:vertAlign w:val="superscript"/>
        </w:rPr>
        <w:fldChar w:fldCharType="separate"/>
      </w:r>
      <w:r w:rsidR="00D75310" w:rsidRPr="00B4448E">
        <w:rPr>
          <w:rFonts w:ascii="Times New Roman" w:hAnsi="Times New Roman"/>
          <w:noProof/>
          <w:szCs w:val="18"/>
        </w:rPr>
        <w:t>[8,12,32,40,48,51,55,56]</w:t>
      </w:r>
      <w:r w:rsidR="009F6F7F" w:rsidRPr="00B4448E">
        <w:rPr>
          <w:rFonts w:ascii="Times New Roman" w:hAnsi="Times New Roman"/>
          <w:szCs w:val="18"/>
          <w:vertAlign w:val="superscript"/>
        </w:rPr>
        <w:fldChar w:fldCharType="end"/>
      </w:r>
      <w:r w:rsidR="00A478F5" w:rsidRPr="00B4448E">
        <w:rPr>
          <w:rFonts w:ascii="Times New Roman" w:hAnsi="Times New Roman"/>
          <w:szCs w:val="18"/>
        </w:rPr>
        <w:t>.</w:t>
      </w:r>
    </w:p>
    <w:p w14:paraId="7DE7A5EF" w14:textId="20CC4EBC" w:rsidR="003F4349" w:rsidRPr="00B4448E" w:rsidRDefault="00C400C1" w:rsidP="00067B71">
      <w:pPr>
        <w:pStyle w:val="BGKeywords"/>
        <w:spacing w:after="0"/>
        <w:rPr>
          <w:rFonts w:ascii="Times New Roman" w:hAnsi="Times New Roman"/>
          <w:szCs w:val="24"/>
          <w:lang w:val="en-GB"/>
        </w:rPr>
      </w:pPr>
      <w:r w:rsidRPr="00B4448E">
        <w:rPr>
          <w:rFonts w:ascii="Times New Roman" w:hAnsi="Times New Roman"/>
          <w:szCs w:val="18"/>
        </w:rPr>
        <w:t xml:space="preserve">In spite of the relatively poor kinetics observed from the </w:t>
      </w:r>
      <w:r w:rsidR="009B670F" w:rsidRPr="00B4448E">
        <w:rPr>
          <w:rFonts w:ascii="Times New Roman" w:hAnsi="Times New Roman"/>
          <w:szCs w:val="18"/>
        </w:rPr>
        <w:t>CV with a glassy carbon electrode</w:t>
      </w:r>
      <w:r w:rsidRPr="00B4448E">
        <w:rPr>
          <w:rFonts w:ascii="Times New Roman" w:hAnsi="Times New Roman"/>
          <w:szCs w:val="18"/>
        </w:rPr>
        <w:t>, the battery performance suggests that fast electrochemical kinetics were obtained for the 4</w:t>
      </w:r>
      <w:r w:rsidR="007D2506" w:rsidRPr="00B4448E">
        <w:rPr>
          <w:rFonts w:ascii="Times New Roman" w:hAnsi="Times New Roman"/>
          <w:szCs w:val="18"/>
        </w:rPr>
        <w:t>-</w:t>
      </w:r>
      <w:r w:rsidRPr="00B4448E">
        <w:rPr>
          <w:rFonts w:ascii="Times New Roman" w:hAnsi="Times New Roman"/>
          <w:szCs w:val="18"/>
        </w:rPr>
        <w:t xml:space="preserve">electron transfers for DB-1 </w:t>
      </w:r>
      <w:r w:rsidR="00026772" w:rsidRPr="00B4448E">
        <w:rPr>
          <w:rFonts w:ascii="Times New Roman" w:hAnsi="Times New Roman"/>
          <w:szCs w:val="18"/>
        </w:rPr>
        <w:t xml:space="preserve">during charge-discharge </w:t>
      </w:r>
      <w:proofErr w:type="spellStart"/>
      <w:r w:rsidR="00026772" w:rsidRPr="00B4448E">
        <w:rPr>
          <w:rFonts w:ascii="Times New Roman" w:hAnsi="Times New Roman"/>
          <w:szCs w:val="18"/>
        </w:rPr>
        <w:t>cyclings</w:t>
      </w:r>
      <w:proofErr w:type="spellEnd"/>
      <w:r w:rsidR="009B670F" w:rsidRPr="00B4448E">
        <w:rPr>
          <w:rFonts w:ascii="Times New Roman" w:hAnsi="Times New Roman"/>
          <w:szCs w:val="18"/>
        </w:rPr>
        <w:t xml:space="preserve">, which used a </w:t>
      </w:r>
      <w:r w:rsidR="00367F40" w:rsidRPr="00B4448E">
        <w:rPr>
          <w:rFonts w:ascii="Times New Roman" w:hAnsi="Times New Roman"/>
          <w:szCs w:val="18"/>
        </w:rPr>
        <w:t xml:space="preserve">high-surface-area electrode </w:t>
      </w:r>
      <w:r w:rsidR="009B670F" w:rsidRPr="00B4448E">
        <w:rPr>
          <w:rFonts w:ascii="Times New Roman" w:hAnsi="Times New Roman"/>
          <w:szCs w:val="18"/>
        </w:rPr>
        <w:t>graphite felt electrodes</w:t>
      </w:r>
      <w:r w:rsidRPr="00B4448E">
        <w:rPr>
          <w:rFonts w:ascii="Times New Roman" w:hAnsi="Times New Roman"/>
          <w:szCs w:val="18"/>
        </w:rPr>
        <w:t xml:space="preserve">. </w:t>
      </w:r>
      <w:r w:rsidR="009B670F" w:rsidRPr="00B4448E">
        <w:rPr>
          <w:rFonts w:ascii="Times New Roman" w:hAnsi="Times New Roman"/>
          <w:szCs w:val="18"/>
        </w:rPr>
        <w:t>Electrochemical kinetics are very sensitive to the electrode material, and the battery test results suggest that the graphite felt was able to achieve fast, reversible kinetics for the DB-1 redox reaction</w:t>
      </w:r>
      <w:r w:rsidR="00A054C4" w:rsidRPr="00B4448E">
        <w:rPr>
          <w:rFonts w:ascii="Times New Roman" w:hAnsi="Times New Roman"/>
          <w:szCs w:val="18"/>
        </w:rPr>
        <w:t xml:space="preserve">s. </w:t>
      </w:r>
      <w:r w:rsidR="004379DE" w:rsidRPr="00B4448E">
        <w:rPr>
          <w:rFonts w:ascii="Times New Roman" w:hAnsi="Times New Roman"/>
          <w:szCs w:val="24"/>
        </w:rPr>
        <w:t xml:space="preserve">Over </w:t>
      </w:r>
      <w:r w:rsidR="004262F5" w:rsidRPr="00B4448E">
        <w:rPr>
          <w:rFonts w:ascii="Times New Roman" w:hAnsi="Times New Roman"/>
          <w:szCs w:val="24"/>
        </w:rPr>
        <w:t>50 cycles,</w:t>
      </w:r>
      <w:r w:rsidR="004379DE" w:rsidRPr="00B4448E">
        <w:rPr>
          <w:rFonts w:ascii="Times New Roman" w:hAnsi="Times New Roman"/>
          <w:szCs w:val="24"/>
        </w:rPr>
        <w:t xml:space="preserve"> </w:t>
      </w:r>
      <w:r w:rsidR="00C10CFD" w:rsidRPr="00B4448E">
        <w:rPr>
          <w:rFonts w:ascii="Times New Roman" w:hAnsi="Times New Roman"/>
          <w:szCs w:val="24"/>
        </w:rPr>
        <w:t xml:space="preserve">the </w:t>
      </w:r>
      <w:r w:rsidR="004B38B7" w:rsidRPr="00B4448E">
        <w:rPr>
          <w:rFonts w:ascii="Times New Roman" w:hAnsi="Times New Roman"/>
          <w:szCs w:val="24"/>
        </w:rPr>
        <w:t xml:space="preserve">efficiencies </w:t>
      </w:r>
      <w:r w:rsidR="004262F5" w:rsidRPr="00B4448E">
        <w:rPr>
          <w:rFonts w:ascii="Times New Roman" w:hAnsi="Times New Roman"/>
          <w:szCs w:val="24"/>
        </w:rPr>
        <w:t xml:space="preserve">remained steady with an average coulombic efficiency of </w:t>
      </w:r>
      <w:r w:rsidR="004262F5" w:rsidRPr="00B4448E">
        <w:rPr>
          <w:rFonts w:ascii="Times New Roman" w:hAnsi="Times New Roman"/>
          <w:i/>
          <w:szCs w:val="24"/>
        </w:rPr>
        <w:t>ca.</w:t>
      </w:r>
      <w:r w:rsidR="004262F5" w:rsidRPr="00B4448E">
        <w:rPr>
          <w:rFonts w:ascii="Times New Roman" w:hAnsi="Times New Roman"/>
          <w:szCs w:val="24"/>
        </w:rPr>
        <w:t xml:space="preserve"> 99 %, voltage efficiency of </w:t>
      </w:r>
      <w:r w:rsidR="004262F5" w:rsidRPr="00B4448E">
        <w:rPr>
          <w:rFonts w:ascii="Times New Roman" w:hAnsi="Times New Roman"/>
          <w:i/>
          <w:szCs w:val="24"/>
        </w:rPr>
        <w:t>ca.</w:t>
      </w:r>
      <w:r w:rsidR="00D42651" w:rsidRPr="00B4448E">
        <w:rPr>
          <w:rFonts w:ascii="Times New Roman" w:hAnsi="Times New Roman"/>
          <w:szCs w:val="24"/>
        </w:rPr>
        <w:t xml:space="preserve"> </w:t>
      </w:r>
      <w:r w:rsidR="00A641D5" w:rsidRPr="00B4448E">
        <w:rPr>
          <w:rFonts w:ascii="Times New Roman" w:hAnsi="Times New Roman"/>
          <w:szCs w:val="24"/>
        </w:rPr>
        <w:t xml:space="preserve">71 </w:t>
      </w:r>
      <w:r w:rsidR="004262F5" w:rsidRPr="00B4448E">
        <w:rPr>
          <w:rFonts w:ascii="Times New Roman" w:hAnsi="Times New Roman"/>
          <w:szCs w:val="24"/>
        </w:rPr>
        <w:t xml:space="preserve">%, and energy efficiency of </w:t>
      </w:r>
      <w:r w:rsidR="004262F5" w:rsidRPr="00B4448E">
        <w:rPr>
          <w:rFonts w:ascii="Times New Roman" w:hAnsi="Times New Roman"/>
          <w:i/>
          <w:szCs w:val="24"/>
        </w:rPr>
        <w:t>ca.</w:t>
      </w:r>
      <w:r w:rsidR="00D42651" w:rsidRPr="00B4448E">
        <w:rPr>
          <w:rFonts w:ascii="Times New Roman" w:hAnsi="Times New Roman"/>
          <w:szCs w:val="24"/>
        </w:rPr>
        <w:t xml:space="preserve"> </w:t>
      </w:r>
      <w:r w:rsidR="00A641D5" w:rsidRPr="00B4448E">
        <w:rPr>
          <w:rFonts w:ascii="Times New Roman" w:hAnsi="Times New Roman"/>
          <w:szCs w:val="24"/>
        </w:rPr>
        <w:t xml:space="preserve">71 </w:t>
      </w:r>
      <w:r w:rsidR="004262F5" w:rsidRPr="00B4448E">
        <w:rPr>
          <w:rFonts w:ascii="Times New Roman" w:hAnsi="Times New Roman"/>
          <w:szCs w:val="24"/>
        </w:rPr>
        <w:t xml:space="preserve">%, as </w:t>
      </w:r>
      <w:r w:rsidR="00B70698" w:rsidRPr="00B4448E">
        <w:rPr>
          <w:rFonts w:ascii="Times New Roman" w:hAnsi="Times New Roman"/>
          <w:szCs w:val="24"/>
        </w:rPr>
        <w:t xml:space="preserve">shown </w:t>
      </w:r>
      <w:r w:rsidR="004262F5" w:rsidRPr="00B4448E">
        <w:rPr>
          <w:rFonts w:ascii="Times New Roman" w:hAnsi="Times New Roman"/>
          <w:szCs w:val="24"/>
        </w:rPr>
        <w:t xml:space="preserve">in Figure </w:t>
      </w:r>
      <w:r w:rsidR="00E95E29" w:rsidRPr="00B4448E">
        <w:rPr>
          <w:rFonts w:ascii="Times New Roman" w:hAnsi="Times New Roman"/>
          <w:szCs w:val="24"/>
        </w:rPr>
        <w:t>4</w:t>
      </w:r>
      <w:r w:rsidR="004262F5" w:rsidRPr="00B4448E">
        <w:rPr>
          <w:rFonts w:ascii="Times New Roman" w:hAnsi="Times New Roman"/>
          <w:szCs w:val="24"/>
        </w:rPr>
        <w:t xml:space="preserve">c. Despite the </w:t>
      </w:r>
      <w:r w:rsidR="00B70698" w:rsidRPr="00B4448E">
        <w:rPr>
          <w:rFonts w:ascii="Times New Roman" w:hAnsi="Times New Roman"/>
          <w:szCs w:val="24"/>
        </w:rPr>
        <w:t xml:space="preserve">relatively </w:t>
      </w:r>
      <w:r w:rsidR="004262F5" w:rsidRPr="00B4448E">
        <w:rPr>
          <w:rFonts w:ascii="Times New Roman" w:hAnsi="Times New Roman"/>
          <w:szCs w:val="24"/>
        </w:rPr>
        <w:t>high current densit</w:t>
      </w:r>
      <w:r w:rsidR="004379DE" w:rsidRPr="00B4448E">
        <w:rPr>
          <w:rFonts w:ascii="Times New Roman" w:hAnsi="Times New Roman"/>
          <w:szCs w:val="24"/>
        </w:rPr>
        <w:t>y</w:t>
      </w:r>
      <w:r w:rsidR="004262F5" w:rsidRPr="00B4448E">
        <w:rPr>
          <w:rFonts w:ascii="Times New Roman" w:hAnsi="Times New Roman"/>
          <w:szCs w:val="24"/>
        </w:rPr>
        <w:t xml:space="preserve"> (2</w:t>
      </w:r>
      <w:r w:rsidR="00F30A14" w:rsidRPr="00B4448E">
        <w:rPr>
          <w:rFonts w:ascii="Times New Roman" w:hAnsi="Times New Roman"/>
          <w:szCs w:val="24"/>
        </w:rPr>
        <w:t>0</w:t>
      </w:r>
      <w:r w:rsidR="004262F5" w:rsidRPr="00B4448E">
        <w:rPr>
          <w:rFonts w:ascii="Times New Roman" w:hAnsi="Times New Roman"/>
          <w:szCs w:val="24"/>
        </w:rPr>
        <w:t xml:space="preserve"> mA cm</w:t>
      </w:r>
      <w:r w:rsidR="004262F5" w:rsidRPr="00B4448E">
        <w:rPr>
          <w:rFonts w:ascii="Symbol" w:hAnsi="Symbol"/>
          <w:szCs w:val="24"/>
          <w:vertAlign w:val="superscript"/>
        </w:rPr>
        <w:t></w:t>
      </w:r>
      <w:r w:rsidR="004262F5" w:rsidRPr="00B4448E">
        <w:rPr>
          <w:rFonts w:ascii="Times New Roman" w:hAnsi="Times New Roman"/>
          <w:szCs w:val="24"/>
          <w:vertAlign w:val="superscript"/>
        </w:rPr>
        <w:t>2</w:t>
      </w:r>
      <w:r w:rsidR="004262F5" w:rsidRPr="00B4448E">
        <w:rPr>
          <w:rFonts w:ascii="Times New Roman" w:hAnsi="Times New Roman"/>
          <w:szCs w:val="24"/>
        </w:rPr>
        <w:t>), these efficiencies were similar to those of other non-aqueous RFB systems.</w:t>
      </w:r>
      <w:r w:rsidR="003F4349" w:rsidRPr="00B4448E">
        <w:rPr>
          <w:rFonts w:ascii="Times New Roman" w:hAnsi="Times New Roman"/>
          <w:szCs w:val="24"/>
        </w:rPr>
        <w:t xml:space="preserve"> Ca</w:t>
      </w:r>
      <w:r w:rsidR="004379DE" w:rsidRPr="00B4448E">
        <w:rPr>
          <w:rFonts w:ascii="Times New Roman" w:hAnsi="Times New Roman"/>
          <w:szCs w:val="24"/>
        </w:rPr>
        <w:t>pacity retention was nearly 100</w:t>
      </w:r>
      <w:r w:rsidR="003F4349" w:rsidRPr="00B4448E">
        <w:rPr>
          <w:rFonts w:ascii="Times New Roman" w:hAnsi="Times New Roman"/>
          <w:szCs w:val="24"/>
        </w:rPr>
        <w:t xml:space="preserve">% </w:t>
      </w:r>
      <w:r w:rsidR="005B38AB" w:rsidRPr="00B4448E">
        <w:rPr>
          <w:rFonts w:ascii="Times New Roman" w:hAnsi="Times New Roman"/>
          <w:szCs w:val="24"/>
        </w:rPr>
        <w:t>(Figure 4d)</w:t>
      </w:r>
      <w:r w:rsidR="00B70698" w:rsidRPr="00B4448E">
        <w:rPr>
          <w:rFonts w:ascii="Times New Roman" w:hAnsi="Times New Roman"/>
          <w:szCs w:val="24"/>
        </w:rPr>
        <w:t>,</w:t>
      </w:r>
      <w:r w:rsidR="005B38AB" w:rsidRPr="00B4448E">
        <w:rPr>
          <w:rFonts w:ascii="Times New Roman" w:hAnsi="Times New Roman"/>
          <w:szCs w:val="24"/>
        </w:rPr>
        <w:t xml:space="preserve"> </w:t>
      </w:r>
      <w:r w:rsidR="00122C58" w:rsidRPr="00B4448E">
        <w:rPr>
          <w:rFonts w:ascii="Times New Roman" w:hAnsi="Times New Roman"/>
          <w:szCs w:val="24"/>
        </w:rPr>
        <w:t xml:space="preserve">demonstrating </w:t>
      </w:r>
      <w:r w:rsidR="003F4349" w:rsidRPr="00B4448E">
        <w:rPr>
          <w:rFonts w:ascii="Times New Roman" w:hAnsi="Times New Roman"/>
          <w:szCs w:val="24"/>
        </w:rPr>
        <w:t xml:space="preserve">superiority over </w:t>
      </w:r>
      <w:r w:rsidR="00BB236A" w:rsidRPr="00B4448E">
        <w:rPr>
          <w:rFonts w:ascii="Times New Roman" w:hAnsi="Times New Roman"/>
          <w:szCs w:val="24"/>
        </w:rPr>
        <w:t xml:space="preserve">many </w:t>
      </w:r>
      <w:r w:rsidR="003F4349" w:rsidRPr="00B4448E">
        <w:rPr>
          <w:rFonts w:ascii="Times New Roman" w:hAnsi="Times New Roman"/>
          <w:szCs w:val="24"/>
        </w:rPr>
        <w:t>other non-aqueous systems that showed continuous capacity fading during prolonged cycling</w:t>
      </w:r>
      <w:r w:rsidR="00B70698" w:rsidRPr="00B4448E">
        <w:rPr>
          <w:rFonts w:ascii="Times New Roman" w:hAnsi="Times New Roman"/>
          <w:szCs w:val="24"/>
        </w:rPr>
        <w:t xml:space="preserve"> </w:t>
      </w:r>
      <w:r w:rsidR="003F4349" w:rsidRPr="00B4448E">
        <w:rPr>
          <w:rFonts w:ascii="Times New Roman" w:hAnsi="Times New Roman"/>
          <w:szCs w:val="24"/>
        </w:rPr>
        <w:fldChar w:fldCharType="begin" w:fldLock="1"/>
      </w:r>
      <w:r w:rsidR="00D75310" w:rsidRPr="00B4448E">
        <w:rPr>
          <w:rFonts w:ascii="Times New Roman" w:hAnsi="Times New Roman"/>
          <w:szCs w:val="24"/>
        </w:rPr>
        <w:instrText>ADDIN CSL_CITATION {"citationItems":[{"id":"ITEM-1","itemData":{"DOI":"10.1021/acsenergylett.7b00650","author":[{"dropping-particle":"","family":"Wei","given":"Xiaoliang","non-dropping-particle":"","parse-names":false,"suffix":""},{"dropping-particle":"","family":"Pan","given":"Wenxiao","non-dropping-particle":"","parse-names":false,"suffix":""},{"dropping-particle":"","family":"Duan","given":"Wentao","non-dropping-particle":"","parse-names":false,"suffix":""},{"dropping-particle":"","family":"Hollas","given":"Aaron","non-dropping-particle":"","parse-names":false,"suffix":""},{"dropping-particle":"","family":"Yang","given":"Zheng","non-dropping-particle":"","parse-names":false,"suffix":""},{"dropping-particle":"","family":"Li","given":"Bin","non-dropping-particle":"","parse-names":false,"suffix":""},{"dropping-particle":"","family":"Nie","given":"Zimin","non-dropping-particle":"","parse-names":false,"suffix":""},{"dropping-particle":"","family":"Liu","given":"Jun","non-dropping-particle":"","parse-names":false,"suffix":""},{"dropping-particle":"","family":"Reed","given":"David","non-dropping-particle":"","parse-names":false,"suffix":""},{"dropping-particle":"","family":"Wang","given":"Wei","non-dropping-particle":"","parse-names":false,"suffix":""},{"dropping-particle":"","family":"Sprenkle","given":"Vincent","non-dropping-particle":"","parse-names":false,"suffix":""}],"container-title":"ACS Energy Letters","id":"ITEM-1","issued":{"date-parts":[["2017"]]},"page":"2187-2204","title":"Materials and Systems for Organic Redox Flow Batteries: Status and Challenges","type":"article-journal","volume":"2"},"uris":["http://www.mendeley.com/documents/?uuid=50e6d164-b471-4402-a376-4a2560b27bbd"]},{"id":"ITEM-2","itemData":{"DOI":"10.1021/acsenergylett.9b01332","author":[{"dropping-particle":"","family":"Luo","given":"Jian","non-dropping-particle":"","parse-names":false,"suffix":""},{"dropping-particle":"","family":"Hu","given":"Bo","non-dropping-particle":"","parse-names":false,"suffix":""},{"dropping-particle":"","family":"Hu","given":"Maowei","non-dropping-particle":"","parse-names":false,"suffix":""},{"dropping-particle":"","family":"Zhao","given":"Yu","non-dropping-particle":"","parse-names":false,"suffix":""},{"dropping-particle":"","family":"Liu","given":"Leo","non-dropping-particle":"","parse-names":false,"suffix":""}],"container-title":"ACS Energy Letters","id":"ITEM-2","issued":{"date-parts":[["2019"]]},"page":"2220-2240","title":"Status and Prospects of Organic Redox Flow Batteries toward Sustainable Energy Storage","type":"article-journal","volume":"4"},"uris":["http://www.mendeley.com/documents/?uuid=c865ae64-b2d4-4b98-90ae-d9825abfdd33"]},{"id":"ITEM-3","itemData":{"DOI":"10.1002/adma.201403746","ISSN":"15214095","abstract":"(Figure Presented) A TEMPO-based non-aqueous electrolyte with the TEMPO concentration as high as 2.0 m is demonstrated as a high-energy-density catholyte for redox flow battery applications. With a hybrid anode, Li|TEMPO flow cells using this electrolyte deliver an energy efficiency of ca. 70% and an impressively high energy density of 126 W h L-1.","author":[{"dropping-particle":"","family":"Wei","given":"Xiaoliang","non-dropping-particle":"","parse-names":false,"suffix":""},{"dropping-particle":"","family":"Xu","given":"Wu","non-dropping-particle":"","parse-names":false,"suffix":""},{"dropping-particle":"","family":"Vijayakumar","given":"Murugesan","non-dropping-particle":"","parse-names":false,"suffix":""},{"dropping-particle":"","family":"Cosimbescu","given":"Lelia","non-dropping-particle":"","parse-names":false,"suffix":""},{"dropping-particle":"","family":"Liu","given":"Tianbiao","non-dropping-particle":"","parse-names":false,"suffix":""},{"dropping-particle":"","family":"Sprenkle","given":"Vincent","non-dropping-particle":"","parse-names":false,"suffix":""},{"dropping-particle":"","family":"Wang","given":"Wei","non-dropping-particle":"","parse-names":false,"suffix":""}],"container-title":"Advanced Materials","id":"ITEM-3","issue":"45","issued":{"date-parts":[["2014"]]},"page":"7649-7653","title":"TEMPO-based catholyte for high-energy density nonaqueous redox flow batteries","type":"article-journal","volume":"26"},"uris":["http://www.mendeley.com/documents/?uuid=e33ec577-1cd4-4d35-a405-3ecb4b206ab4"]}],"mendeley":{"formattedCitation":"[2,4,51]","plainTextFormattedCitation":"[2,4,51]","previouslyFormattedCitation":"[2,4,50]"},"properties":{"noteIndex":0},"schema":"https://github.com/citation-style-language/schema/raw/master/csl-citation.json"}</w:instrText>
      </w:r>
      <w:r w:rsidR="003F4349" w:rsidRPr="00B4448E">
        <w:rPr>
          <w:rFonts w:ascii="Times New Roman" w:hAnsi="Times New Roman"/>
          <w:szCs w:val="24"/>
        </w:rPr>
        <w:fldChar w:fldCharType="separate"/>
      </w:r>
      <w:r w:rsidR="00D75310" w:rsidRPr="00B4448E">
        <w:rPr>
          <w:rFonts w:ascii="Times New Roman" w:hAnsi="Times New Roman"/>
          <w:noProof/>
          <w:szCs w:val="24"/>
        </w:rPr>
        <w:t>[2,4,51]</w:t>
      </w:r>
      <w:r w:rsidR="003F4349" w:rsidRPr="00B4448E">
        <w:rPr>
          <w:rFonts w:ascii="Times New Roman" w:hAnsi="Times New Roman"/>
          <w:szCs w:val="24"/>
        </w:rPr>
        <w:fldChar w:fldCharType="end"/>
      </w:r>
      <w:r w:rsidR="00A478F5" w:rsidRPr="00B4448E">
        <w:rPr>
          <w:rFonts w:ascii="Times New Roman" w:hAnsi="Times New Roman"/>
          <w:szCs w:val="24"/>
        </w:rPr>
        <w:t>.</w:t>
      </w:r>
      <w:r w:rsidR="003F4349" w:rsidRPr="00B4448E">
        <w:rPr>
          <w:rFonts w:ascii="Times New Roman" w:hAnsi="Times New Roman"/>
          <w:szCs w:val="24"/>
        </w:rPr>
        <w:t xml:space="preserve"> </w:t>
      </w:r>
      <w:r w:rsidR="00D86014" w:rsidRPr="00B4448E">
        <w:rPr>
          <w:rFonts w:ascii="Times New Roman" w:hAnsi="Times New Roman"/>
          <w:szCs w:val="24"/>
        </w:rPr>
        <w:t xml:space="preserve">The resulting energy density was </w:t>
      </w:r>
      <w:r w:rsidR="00D86014" w:rsidRPr="00B4448E">
        <w:rPr>
          <w:rFonts w:ascii="Times New Roman" w:hAnsi="Times New Roman"/>
          <w:i/>
          <w:szCs w:val="24"/>
        </w:rPr>
        <w:t>ca</w:t>
      </w:r>
      <w:r w:rsidR="00D86014" w:rsidRPr="00B4448E">
        <w:rPr>
          <w:rFonts w:ascii="Times New Roman" w:hAnsi="Times New Roman"/>
          <w:szCs w:val="24"/>
        </w:rPr>
        <w:t xml:space="preserve">. </w:t>
      </w:r>
      <w:r w:rsidR="00B317E6" w:rsidRPr="00B4448E">
        <w:rPr>
          <w:rFonts w:ascii="Times New Roman" w:hAnsi="Times New Roman"/>
          <w:szCs w:val="24"/>
        </w:rPr>
        <w:t>22</w:t>
      </w:r>
      <w:r w:rsidR="00A641D5" w:rsidRPr="00B4448E">
        <w:rPr>
          <w:rFonts w:ascii="Times New Roman" w:hAnsi="Times New Roman"/>
          <w:szCs w:val="24"/>
        </w:rPr>
        <w:t xml:space="preserve"> </w:t>
      </w:r>
      <w:r w:rsidR="00D86014" w:rsidRPr="00B4448E">
        <w:rPr>
          <w:rFonts w:ascii="Times New Roman" w:hAnsi="Times New Roman"/>
          <w:szCs w:val="24"/>
        </w:rPr>
        <w:t>W</w:t>
      </w:r>
      <w:r w:rsidR="00B76493" w:rsidRPr="00B4448E">
        <w:rPr>
          <w:rFonts w:ascii="Times New Roman" w:hAnsi="Times New Roman"/>
          <w:szCs w:val="24"/>
        </w:rPr>
        <w:t xml:space="preserve"> </w:t>
      </w:r>
      <w:r w:rsidR="00D86014" w:rsidRPr="00B4448E">
        <w:rPr>
          <w:rFonts w:ascii="Times New Roman" w:hAnsi="Times New Roman"/>
          <w:szCs w:val="24"/>
        </w:rPr>
        <w:t>h L</w:t>
      </w:r>
      <w:r w:rsidR="00D86014" w:rsidRPr="00B4448E">
        <w:rPr>
          <w:rFonts w:ascii="Symbol" w:hAnsi="Symbol"/>
          <w:szCs w:val="24"/>
          <w:vertAlign w:val="superscript"/>
        </w:rPr>
        <w:t></w:t>
      </w:r>
      <w:r w:rsidR="00D86014" w:rsidRPr="00B4448E">
        <w:rPr>
          <w:rFonts w:ascii="Times New Roman" w:hAnsi="Times New Roman"/>
          <w:szCs w:val="24"/>
          <w:vertAlign w:val="superscript"/>
        </w:rPr>
        <w:t>1</w:t>
      </w:r>
      <w:r w:rsidR="00D86014" w:rsidRPr="00B4448E">
        <w:rPr>
          <w:rFonts w:ascii="Times New Roman" w:hAnsi="Times New Roman"/>
          <w:szCs w:val="24"/>
        </w:rPr>
        <w:t xml:space="preserve"> (80 </w:t>
      </w:r>
      <w:r w:rsidR="00065365" w:rsidRPr="00B4448E">
        <w:rPr>
          <w:rFonts w:ascii="Times New Roman" w:hAnsi="Times New Roman"/>
          <w:szCs w:val="24"/>
        </w:rPr>
        <w:t>mM DB-1</w:t>
      </w:r>
      <w:r w:rsidR="00D86014" w:rsidRPr="00B4448E">
        <w:rPr>
          <w:rFonts w:ascii="Times New Roman" w:hAnsi="Times New Roman"/>
          <w:szCs w:val="24"/>
        </w:rPr>
        <w:t xml:space="preserve">) and could be further increased at higher DB-1 concentrations. </w:t>
      </w:r>
      <w:r w:rsidR="00065365" w:rsidRPr="00B4448E">
        <w:rPr>
          <w:rFonts w:ascii="Times New Roman" w:hAnsi="Times New Roman"/>
          <w:szCs w:val="24"/>
        </w:rPr>
        <w:t xml:space="preserve">Considering </w:t>
      </w:r>
      <w:r w:rsidR="00105B1B" w:rsidRPr="00B4448E">
        <w:rPr>
          <w:rFonts w:ascii="Times New Roman" w:hAnsi="Times New Roman"/>
          <w:szCs w:val="24"/>
        </w:rPr>
        <w:t>a 6 electron-transfer</w:t>
      </w:r>
      <w:r w:rsidR="00065365" w:rsidRPr="00B4448E">
        <w:rPr>
          <w:rFonts w:ascii="Times New Roman" w:hAnsi="Times New Roman"/>
          <w:szCs w:val="24"/>
        </w:rPr>
        <w:t xml:space="preserve"> and a mol</w:t>
      </w:r>
      <w:r w:rsidR="00D42651" w:rsidRPr="00B4448E">
        <w:rPr>
          <w:rFonts w:ascii="Times New Roman" w:hAnsi="Times New Roman"/>
          <w:szCs w:val="24"/>
        </w:rPr>
        <w:t>ar</w:t>
      </w:r>
      <w:r w:rsidR="00065365" w:rsidRPr="00B4448E">
        <w:rPr>
          <w:rFonts w:ascii="Times New Roman" w:hAnsi="Times New Roman"/>
          <w:szCs w:val="24"/>
        </w:rPr>
        <w:t xml:space="preserve"> </w:t>
      </w:r>
      <w:r w:rsidR="00D42651" w:rsidRPr="00B4448E">
        <w:rPr>
          <w:rFonts w:ascii="Times New Roman" w:hAnsi="Times New Roman"/>
          <w:szCs w:val="24"/>
        </w:rPr>
        <w:t>mass</w:t>
      </w:r>
      <w:r w:rsidR="00065365" w:rsidRPr="00B4448E">
        <w:rPr>
          <w:rFonts w:ascii="Times New Roman" w:hAnsi="Times New Roman"/>
          <w:szCs w:val="24"/>
        </w:rPr>
        <w:t xml:space="preserve"> of </w:t>
      </w:r>
      <w:r w:rsidR="0054574B" w:rsidRPr="00B4448E">
        <w:rPr>
          <w:rFonts w:ascii="Times New Roman" w:hAnsi="Times New Roman"/>
          <w:szCs w:val="24"/>
        </w:rPr>
        <w:t>268.27</w:t>
      </w:r>
      <w:r w:rsidR="00065365" w:rsidRPr="00B4448E">
        <w:rPr>
          <w:rFonts w:ascii="Times New Roman" w:hAnsi="Times New Roman"/>
          <w:szCs w:val="24"/>
        </w:rPr>
        <w:t xml:space="preserve"> g mol</w:t>
      </w:r>
      <w:r w:rsidR="00065365" w:rsidRPr="00B4448E">
        <w:rPr>
          <w:rFonts w:ascii="Symbol" w:hAnsi="Symbol"/>
          <w:szCs w:val="24"/>
          <w:vertAlign w:val="superscript"/>
        </w:rPr>
        <w:t></w:t>
      </w:r>
      <w:r w:rsidR="00065365" w:rsidRPr="00B4448E">
        <w:rPr>
          <w:rFonts w:ascii="Times New Roman" w:hAnsi="Times New Roman"/>
          <w:szCs w:val="24"/>
          <w:vertAlign w:val="superscript"/>
        </w:rPr>
        <w:t>1</w:t>
      </w:r>
      <w:r w:rsidR="00065365" w:rsidRPr="00B4448E">
        <w:rPr>
          <w:rFonts w:ascii="Times New Roman" w:hAnsi="Times New Roman"/>
          <w:szCs w:val="24"/>
        </w:rPr>
        <w:t xml:space="preserve">, the theoretical capacity was estimated as </w:t>
      </w:r>
      <w:r w:rsidR="00E857B5" w:rsidRPr="00B4448E">
        <w:rPr>
          <w:rFonts w:ascii="Times New Roman" w:hAnsi="Times New Roman"/>
          <w:szCs w:val="24"/>
        </w:rPr>
        <w:t>5</w:t>
      </w:r>
      <w:r w:rsidR="00065365" w:rsidRPr="00B4448E">
        <w:rPr>
          <w:rFonts w:ascii="Times New Roman" w:hAnsi="Times New Roman"/>
          <w:szCs w:val="24"/>
        </w:rPr>
        <w:t>99.6 mA</w:t>
      </w:r>
      <w:r w:rsidR="00B76493" w:rsidRPr="00B4448E">
        <w:rPr>
          <w:rFonts w:ascii="Times New Roman" w:hAnsi="Times New Roman"/>
          <w:szCs w:val="24"/>
        </w:rPr>
        <w:t xml:space="preserve"> </w:t>
      </w:r>
      <w:r w:rsidR="00065365" w:rsidRPr="00B4448E">
        <w:rPr>
          <w:rFonts w:ascii="Times New Roman" w:hAnsi="Times New Roman"/>
          <w:szCs w:val="24"/>
        </w:rPr>
        <w:t>h g</w:t>
      </w:r>
      <w:r w:rsidR="00065365" w:rsidRPr="00B4448E">
        <w:rPr>
          <w:rFonts w:ascii="Symbol" w:hAnsi="Symbol"/>
          <w:szCs w:val="24"/>
          <w:vertAlign w:val="superscript"/>
        </w:rPr>
        <w:t></w:t>
      </w:r>
      <w:r w:rsidR="00065365" w:rsidRPr="00B4448E">
        <w:rPr>
          <w:rFonts w:ascii="Times New Roman" w:hAnsi="Times New Roman"/>
          <w:szCs w:val="24"/>
          <w:vertAlign w:val="superscript"/>
        </w:rPr>
        <w:t>1</w:t>
      </w:r>
      <w:r w:rsidR="00D42651" w:rsidRPr="00B4448E">
        <w:rPr>
          <w:rFonts w:ascii="Times New Roman" w:hAnsi="Times New Roman"/>
          <w:szCs w:val="24"/>
        </w:rPr>
        <w:t xml:space="preserve">. About </w:t>
      </w:r>
      <w:r w:rsidR="00A641D5" w:rsidRPr="00B4448E">
        <w:rPr>
          <w:rFonts w:ascii="Times New Roman" w:hAnsi="Times New Roman"/>
          <w:szCs w:val="24"/>
        </w:rPr>
        <w:t>6</w:t>
      </w:r>
      <w:r w:rsidR="00B317E6" w:rsidRPr="00B4448E">
        <w:rPr>
          <w:rFonts w:ascii="Times New Roman" w:hAnsi="Times New Roman"/>
          <w:szCs w:val="24"/>
        </w:rPr>
        <w:t>2</w:t>
      </w:r>
      <w:r w:rsidR="00D42651" w:rsidRPr="00B4448E">
        <w:rPr>
          <w:rFonts w:ascii="Times New Roman" w:hAnsi="Times New Roman"/>
          <w:szCs w:val="24"/>
        </w:rPr>
        <w:t>% of this value</w:t>
      </w:r>
      <w:r w:rsidR="00065365" w:rsidRPr="00B4448E">
        <w:rPr>
          <w:rFonts w:ascii="Times New Roman" w:hAnsi="Times New Roman"/>
          <w:szCs w:val="24"/>
        </w:rPr>
        <w:t xml:space="preserve"> has been achieved</w:t>
      </w:r>
      <w:r w:rsidR="00065365" w:rsidRPr="00B4448E">
        <w:rPr>
          <w:rFonts w:ascii="Times New Roman" w:hAnsi="Times New Roman"/>
          <w:szCs w:val="24"/>
          <w:lang w:val="en-GB"/>
        </w:rPr>
        <w:t xml:space="preserve">, </w:t>
      </w:r>
      <w:r w:rsidR="00065365" w:rsidRPr="00B4448E">
        <w:rPr>
          <w:rFonts w:ascii="Times New Roman" w:hAnsi="Times New Roman"/>
          <w:szCs w:val="24"/>
          <w:lang w:val="en-GB"/>
        </w:rPr>
        <w:lastRenderedPageBreak/>
        <w:t xml:space="preserve">which was equivalent to </w:t>
      </w:r>
      <w:r w:rsidR="00B76493" w:rsidRPr="00B4448E">
        <w:rPr>
          <w:rFonts w:ascii="Times New Roman" w:hAnsi="Times New Roman"/>
          <w:szCs w:val="24"/>
          <w:lang w:val="en-GB"/>
        </w:rPr>
        <w:t>almost a 4</w:t>
      </w:r>
      <w:r w:rsidR="00026772" w:rsidRPr="00B4448E">
        <w:rPr>
          <w:rFonts w:ascii="Times New Roman" w:hAnsi="Times New Roman"/>
          <w:szCs w:val="24"/>
          <w:lang w:val="en-GB"/>
        </w:rPr>
        <w:t>-</w:t>
      </w:r>
      <w:r w:rsidR="00B76493" w:rsidRPr="00B4448E">
        <w:rPr>
          <w:rFonts w:ascii="Times New Roman" w:hAnsi="Times New Roman"/>
          <w:szCs w:val="24"/>
          <w:lang w:val="en-GB"/>
        </w:rPr>
        <w:t>electron</w:t>
      </w:r>
      <w:r w:rsidR="00065365" w:rsidRPr="00B4448E">
        <w:rPr>
          <w:rFonts w:ascii="Times New Roman" w:hAnsi="Times New Roman"/>
          <w:szCs w:val="24"/>
          <w:lang w:val="en-GB"/>
        </w:rPr>
        <w:t xml:space="preserve"> </w:t>
      </w:r>
      <w:r w:rsidR="00122C58" w:rsidRPr="00B4448E">
        <w:rPr>
          <w:rFonts w:ascii="Times New Roman" w:hAnsi="Times New Roman"/>
          <w:szCs w:val="24"/>
          <w:lang w:val="en-GB"/>
        </w:rPr>
        <w:t>transfer</w:t>
      </w:r>
      <w:r w:rsidR="00B76493" w:rsidRPr="00B4448E">
        <w:rPr>
          <w:rFonts w:ascii="Times New Roman" w:hAnsi="Times New Roman"/>
          <w:szCs w:val="24"/>
          <w:lang w:val="en-GB"/>
        </w:rPr>
        <w:t>,</w:t>
      </w:r>
      <w:r w:rsidR="00122C58" w:rsidRPr="00B4448E">
        <w:rPr>
          <w:rFonts w:ascii="Times New Roman" w:hAnsi="Times New Roman"/>
          <w:szCs w:val="24"/>
          <w:lang w:val="en-GB"/>
        </w:rPr>
        <w:t xml:space="preserve"> </w:t>
      </w:r>
      <w:r w:rsidR="00065365" w:rsidRPr="00B4448E">
        <w:rPr>
          <w:rFonts w:ascii="Times New Roman" w:hAnsi="Times New Roman"/>
          <w:szCs w:val="24"/>
          <w:lang w:val="en-GB"/>
        </w:rPr>
        <w:t>as reflected by the selected potential range (</w:t>
      </w:r>
      <w:r w:rsidR="00023EB2" w:rsidRPr="00B4448E">
        <w:rPr>
          <w:rFonts w:ascii="Times New Roman" w:hAnsi="Times New Roman"/>
          <w:szCs w:val="24"/>
          <w:lang w:val="en-GB"/>
        </w:rPr>
        <w:t>2.6</w:t>
      </w:r>
      <w:r w:rsidR="00065365" w:rsidRPr="00B4448E">
        <w:rPr>
          <w:rFonts w:ascii="Times New Roman" w:hAnsi="Times New Roman"/>
          <w:szCs w:val="24"/>
          <w:lang w:val="en-GB"/>
        </w:rPr>
        <w:t xml:space="preserve"> to </w:t>
      </w:r>
      <w:r w:rsidR="00065365" w:rsidRPr="00B4448E">
        <w:rPr>
          <w:rFonts w:ascii="Times New Roman" w:hAnsi="Times New Roman"/>
          <w:szCs w:val="24"/>
        </w:rPr>
        <w:t>4.</w:t>
      </w:r>
      <w:r w:rsidR="00920207" w:rsidRPr="00B4448E">
        <w:rPr>
          <w:rFonts w:ascii="Times New Roman" w:hAnsi="Times New Roman"/>
          <w:szCs w:val="24"/>
        </w:rPr>
        <w:t>35</w:t>
      </w:r>
      <w:r w:rsidR="00065365" w:rsidRPr="00B4448E">
        <w:rPr>
          <w:rFonts w:ascii="Times New Roman" w:hAnsi="Times New Roman"/>
          <w:szCs w:val="24"/>
        </w:rPr>
        <w:t xml:space="preserve"> V </w:t>
      </w:r>
      <w:r w:rsidR="00065365" w:rsidRPr="00B4448E">
        <w:rPr>
          <w:rFonts w:ascii="Times New Roman" w:hAnsi="Times New Roman"/>
          <w:i/>
          <w:iCs/>
          <w:szCs w:val="24"/>
          <w:lang w:val="en-GB"/>
        </w:rPr>
        <w:t>vs</w:t>
      </w:r>
      <w:r w:rsidR="00065365" w:rsidRPr="00B4448E">
        <w:rPr>
          <w:rFonts w:ascii="Times New Roman" w:hAnsi="Times New Roman"/>
          <w:szCs w:val="24"/>
          <w:lang w:val="en-GB"/>
        </w:rPr>
        <w:t xml:space="preserve">. Li) identified in the voltammogram (Figure </w:t>
      </w:r>
      <w:r w:rsidR="00E95E29" w:rsidRPr="00B4448E">
        <w:rPr>
          <w:rFonts w:ascii="Times New Roman" w:hAnsi="Times New Roman"/>
          <w:szCs w:val="24"/>
          <w:lang w:val="en-GB"/>
        </w:rPr>
        <w:t>3</w:t>
      </w:r>
      <w:r w:rsidR="00065365" w:rsidRPr="00B4448E">
        <w:rPr>
          <w:rFonts w:ascii="Times New Roman" w:hAnsi="Times New Roman"/>
          <w:szCs w:val="24"/>
          <w:lang w:val="en-GB"/>
        </w:rPr>
        <w:t xml:space="preserve">c). </w:t>
      </w:r>
      <w:r w:rsidR="00F30A14" w:rsidRPr="00B4448E">
        <w:rPr>
          <w:rFonts w:ascii="Times New Roman" w:hAnsi="Times New Roman"/>
          <w:szCs w:val="24"/>
          <w:lang w:val="en-GB"/>
        </w:rPr>
        <w:t>Comparison of the c</w:t>
      </w:r>
      <w:r w:rsidR="003C3357" w:rsidRPr="00B4448E">
        <w:rPr>
          <w:rFonts w:ascii="Times New Roman" w:hAnsi="Times New Roman"/>
          <w:szCs w:val="24"/>
          <w:lang w:val="en-GB"/>
        </w:rPr>
        <w:t xml:space="preserve">ell performance </w:t>
      </w:r>
      <w:r w:rsidR="00065365" w:rsidRPr="00B4448E">
        <w:rPr>
          <w:rFonts w:ascii="Times New Roman" w:hAnsi="Times New Roman"/>
          <w:szCs w:val="24"/>
          <w:lang w:val="en-GB"/>
        </w:rPr>
        <w:t xml:space="preserve">with other </w:t>
      </w:r>
      <w:r w:rsidR="00F73F28" w:rsidRPr="00B4448E">
        <w:rPr>
          <w:rFonts w:ascii="Times New Roman" w:hAnsi="Times New Roman"/>
          <w:szCs w:val="24"/>
          <w:lang w:val="en-GB"/>
        </w:rPr>
        <w:t>recent</w:t>
      </w:r>
      <w:r w:rsidR="00065365" w:rsidRPr="00B4448E">
        <w:rPr>
          <w:rFonts w:ascii="Times New Roman" w:hAnsi="Times New Roman"/>
          <w:szCs w:val="24"/>
          <w:lang w:val="en-GB"/>
        </w:rPr>
        <w:t xml:space="preserve"> non-aqueous systems </w:t>
      </w:r>
      <w:r w:rsidR="00F73F28" w:rsidRPr="00B4448E">
        <w:rPr>
          <w:rFonts w:ascii="Times New Roman" w:hAnsi="Times New Roman"/>
          <w:szCs w:val="24"/>
          <w:lang w:val="en-GB"/>
        </w:rPr>
        <w:t>has</w:t>
      </w:r>
      <w:r w:rsidR="00065365" w:rsidRPr="00B4448E">
        <w:rPr>
          <w:rFonts w:ascii="Times New Roman" w:hAnsi="Times New Roman"/>
          <w:szCs w:val="24"/>
          <w:lang w:val="en-GB"/>
        </w:rPr>
        <w:t xml:space="preserve"> been summarized in Table S</w:t>
      </w:r>
      <w:r w:rsidR="00F30A14" w:rsidRPr="00B4448E">
        <w:rPr>
          <w:rFonts w:ascii="Times New Roman" w:hAnsi="Times New Roman"/>
          <w:szCs w:val="24"/>
          <w:lang w:val="en-GB"/>
        </w:rPr>
        <w:t>3</w:t>
      </w:r>
      <w:r w:rsidR="00065365" w:rsidRPr="00B4448E">
        <w:rPr>
          <w:rFonts w:ascii="Times New Roman" w:hAnsi="Times New Roman"/>
          <w:szCs w:val="24"/>
          <w:lang w:val="en-GB"/>
        </w:rPr>
        <w:t>.</w:t>
      </w:r>
    </w:p>
    <w:p w14:paraId="177A04DD" w14:textId="77777777" w:rsidR="00D43122" w:rsidRPr="00B4448E" w:rsidRDefault="00D43122" w:rsidP="00067B71">
      <w:pPr>
        <w:pStyle w:val="BGKeywords"/>
        <w:spacing w:after="0"/>
        <w:rPr>
          <w:rFonts w:ascii="Times New Roman" w:hAnsi="Times New Roman"/>
          <w:szCs w:val="24"/>
          <w:lang w:val="en-GB"/>
        </w:rPr>
      </w:pPr>
    </w:p>
    <w:p w14:paraId="23D35A05" w14:textId="0AF6BCBD" w:rsidR="00EA533D" w:rsidRPr="00B4448E" w:rsidRDefault="00640F20" w:rsidP="00D43122">
      <w:pPr>
        <w:pStyle w:val="BGKeywords"/>
        <w:spacing w:after="0"/>
        <w:rPr>
          <w:rFonts w:ascii="Times New Roman" w:hAnsi="Times New Roman"/>
          <w:szCs w:val="24"/>
          <w:lang w:val="en-CA"/>
        </w:rPr>
      </w:pPr>
      <w:r w:rsidRPr="00B4448E">
        <w:rPr>
          <w:rFonts w:ascii="Times New Roman" w:hAnsi="Times New Roman"/>
          <w:noProof/>
          <w:szCs w:val="24"/>
          <w:lang w:val="en-GB" w:eastAsia="en-GB"/>
        </w:rPr>
        <w:drawing>
          <wp:inline distT="0" distB="0" distL="0" distR="0" wp14:anchorId="607BAB0C" wp14:editId="379C6249">
            <wp:extent cx="6156000" cy="382974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4big.tif"/>
                    <pic:cNvPicPr/>
                  </pic:nvPicPr>
                  <pic:blipFill rotWithShape="1">
                    <a:blip r:embed="rId28" cstate="print">
                      <a:extLst>
                        <a:ext uri="{28A0092B-C50C-407E-A947-70E740481C1C}">
                          <a14:useLocalDpi xmlns:a14="http://schemas.microsoft.com/office/drawing/2010/main" val="0"/>
                        </a:ext>
                      </a:extLst>
                    </a:blip>
                    <a:srcRect l="5619" r="3946"/>
                    <a:stretch/>
                  </pic:blipFill>
                  <pic:spPr bwMode="auto">
                    <a:xfrm>
                      <a:off x="0" y="0"/>
                      <a:ext cx="6156000" cy="38297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21"/>
      </w:tblGrid>
      <w:tr w:rsidR="0084267F" w:rsidRPr="00B4448E" w14:paraId="64D6AB5B" w14:textId="77777777" w:rsidTr="002C391F">
        <w:trPr>
          <w:trHeight w:val="60"/>
        </w:trPr>
        <w:tc>
          <w:tcPr>
            <w:tcW w:w="1129" w:type="dxa"/>
          </w:tcPr>
          <w:p w14:paraId="3340FC25" w14:textId="5598BB07" w:rsidR="0084267F" w:rsidRPr="00B4448E" w:rsidRDefault="0084267F" w:rsidP="0084267F">
            <w:pPr>
              <w:pStyle w:val="BGKeywords"/>
              <w:spacing w:after="0" w:line="360" w:lineRule="auto"/>
              <w:rPr>
                <w:rFonts w:asciiTheme="majorBidi" w:hAnsiTheme="majorBidi" w:cstheme="majorBidi"/>
                <w:szCs w:val="24"/>
                <w:lang w:val="en-GB"/>
              </w:rPr>
            </w:pPr>
            <w:r w:rsidRPr="00B4448E">
              <w:rPr>
                <w:rFonts w:ascii="Times New Roman" w:hAnsi="Times New Roman"/>
              </w:rPr>
              <w:t>Figure 4.</w:t>
            </w:r>
          </w:p>
        </w:tc>
        <w:tc>
          <w:tcPr>
            <w:tcW w:w="8221" w:type="dxa"/>
          </w:tcPr>
          <w:p w14:paraId="5F15DD46" w14:textId="11806084" w:rsidR="0084267F" w:rsidRPr="00B4448E" w:rsidRDefault="0084267F" w:rsidP="00A641D5">
            <w:pPr>
              <w:autoSpaceDE w:val="0"/>
              <w:autoSpaceDN w:val="0"/>
              <w:adjustRightInd w:val="0"/>
              <w:spacing w:line="240" w:lineRule="auto"/>
              <w:jc w:val="both"/>
              <w:rPr>
                <w:rFonts w:ascii="Times New Roman" w:eastAsia="Times New Roman" w:hAnsi="Times New Roman" w:cs="Times New Roman"/>
                <w:sz w:val="24"/>
                <w:szCs w:val="20"/>
              </w:rPr>
            </w:pPr>
            <w:r w:rsidRPr="00B4448E">
              <w:rPr>
                <w:rFonts w:ascii="Times New Roman" w:eastAsia="Times New Roman" w:hAnsi="Times New Roman" w:cs="Times New Roman"/>
                <w:sz w:val="24"/>
                <w:szCs w:val="20"/>
              </w:rPr>
              <w:t xml:space="preserve">a) Schematic illustration of Li-organic RFB. b) Representative charge-discharge voltage and current curves versus time (at </w:t>
            </w:r>
            <w:r w:rsidR="00A641D5" w:rsidRPr="00B4448E">
              <w:rPr>
                <w:rFonts w:ascii="Times New Roman" w:eastAsia="Times New Roman" w:hAnsi="Times New Roman" w:cs="Times New Roman"/>
                <w:sz w:val="24"/>
                <w:szCs w:val="20"/>
              </w:rPr>
              <w:t xml:space="preserve">80 </w:t>
            </w:r>
            <w:r w:rsidRPr="00B4448E">
              <w:rPr>
                <w:rFonts w:ascii="Times New Roman" w:eastAsia="Times New Roman" w:hAnsi="Times New Roman" w:cs="Times New Roman"/>
                <w:sz w:val="24"/>
                <w:szCs w:val="20"/>
              </w:rPr>
              <w:t>mM DB-1</w:t>
            </w:r>
            <w:r w:rsidR="00C56A70" w:rsidRPr="00B4448E">
              <w:rPr>
                <w:rFonts w:ascii="Times New Roman" w:eastAsia="Times New Roman" w:hAnsi="Times New Roman" w:cs="Times New Roman"/>
                <w:sz w:val="24"/>
                <w:szCs w:val="20"/>
              </w:rPr>
              <w:t xml:space="preserve">, </w:t>
            </w:r>
            <w:r w:rsidR="00A641D5" w:rsidRPr="00B4448E">
              <w:rPr>
                <w:rFonts w:ascii="Times New Roman" w:eastAsia="Times New Roman" w:hAnsi="Times New Roman" w:cs="Times New Roman"/>
                <w:sz w:val="24"/>
                <w:szCs w:val="20"/>
              </w:rPr>
              <w:t>14-1</w:t>
            </w:r>
            <w:r w:rsidR="00B0255B" w:rsidRPr="00B4448E">
              <w:rPr>
                <w:rFonts w:ascii="Times New Roman" w:eastAsia="Times New Roman" w:hAnsi="Times New Roman" w:cs="Times New Roman"/>
                <w:sz w:val="24"/>
                <w:szCs w:val="20"/>
              </w:rPr>
              <w:t>5</w:t>
            </w:r>
            <w:r w:rsidR="00A641D5" w:rsidRPr="00B4448E">
              <w:rPr>
                <w:rFonts w:ascii="Times New Roman" w:eastAsia="Times New Roman" w:hAnsi="Times New Roman" w:cs="Times New Roman"/>
                <w:sz w:val="24"/>
                <w:szCs w:val="20"/>
              </w:rPr>
              <w:t xml:space="preserve"> </w:t>
            </w:r>
            <w:r w:rsidR="00C56A70" w:rsidRPr="00B4448E">
              <w:rPr>
                <w:rFonts w:ascii="Times New Roman" w:eastAsia="Times New Roman" w:hAnsi="Times New Roman" w:cs="Times New Roman"/>
                <w:sz w:val="24"/>
                <w:szCs w:val="20"/>
              </w:rPr>
              <w:t>mL</w:t>
            </w:r>
            <w:r w:rsidRPr="00B4448E">
              <w:rPr>
                <w:rFonts w:ascii="Times New Roman" w:eastAsia="Times New Roman" w:hAnsi="Times New Roman" w:cs="Times New Roman"/>
                <w:sz w:val="24"/>
                <w:szCs w:val="20"/>
              </w:rPr>
              <w:t xml:space="preserve">). c) Plot of battery performance: coulombic efficiency, voltage efficiency, and energy efficiency versus cycling numbers d) Charge-discharge capacity and capacity retention versus cycling number. Supporting electrolyte: 1.0 M </w:t>
            </w:r>
            <w:proofErr w:type="spellStart"/>
            <w:r w:rsidRPr="00B4448E">
              <w:rPr>
                <w:rFonts w:ascii="Times New Roman" w:eastAsia="Times New Roman" w:hAnsi="Times New Roman" w:cs="Times New Roman"/>
                <w:sz w:val="24"/>
                <w:szCs w:val="20"/>
              </w:rPr>
              <w:t>LiTFSI</w:t>
            </w:r>
            <w:proofErr w:type="spellEnd"/>
            <w:r w:rsidRPr="00B4448E">
              <w:rPr>
                <w:rFonts w:ascii="Times New Roman" w:eastAsia="Times New Roman" w:hAnsi="Times New Roman" w:cs="Times New Roman"/>
                <w:sz w:val="24"/>
                <w:szCs w:val="20"/>
              </w:rPr>
              <w:t xml:space="preserve"> in DMSO; </w:t>
            </w:r>
            <w:proofErr w:type="spellStart"/>
            <w:r w:rsidRPr="00B4448E">
              <w:rPr>
                <w:rFonts w:ascii="Times New Roman" w:eastAsia="Times New Roman" w:hAnsi="Times New Roman" w:cs="Times New Roman"/>
                <w:sz w:val="24"/>
                <w:szCs w:val="20"/>
              </w:rPr>
              <w:t>Nafion</w:t>
            </w:r>
            <w:proofErr w:type="spellEnd"/>
            <w:r w:rsidRPr="00B4448E">
              <w:rPr>
                <w:rFonts w:ascii="Times New Roman" w:eastAsia="Times New Roman" w:hAnsi="Times New Roman" w:cs="Times New Roman"/>
                <w:sz w:val="24"/>
                <w:szCs w:val="20"/>
              </w:rPr>
              <w:t xml:space="preserve"> 115 cation membrane; current density: 20 mA cm</w:t>
            </w:r>
            <w:r w:rsidRPr="00B4448E">
              <w:rPr>
                <w:rFonts w:ascii="Times New Roman" w:eastAsia="Times New Roman" w:hAnsi="Times New Roman" w:cs="Times New Roman"/>
                <w:sz w:val="24"/>
                <w:szCs w:val="20"/>
                <w:vertAlign w:val="superscript"/>
              </w:rPr>
              <w:t>-2</w:t>
            </w:r>
            <w:r w:rsidR="0039205E" w:rsidRPr="00B4448E">
              <w:rPr>
                <w:rFonts w:ascii="Times New Roman" w:eastAsia="Times New Roman" w:hAnsi="Times New Roman" w:cs="Times New Roman"/>
                <w:sz w:val="24"/>
                <w:szCs w:val="20"/>
              </w:rPr>
              <w:t xml:space="preserve"> (50 mA)</w:t>
            </w:r>
          </w:p>
        </w:tc>
      </w:tr>
    </w:tbl>
    <w:p w14:paraId="579CE073" w14:textId="7D81ADE8" w:rsidR="002179E3" w:rsidRPr="00B4448E" w:rsidRDefault="002179E3" w:rsidP="007F257B">
      <w:pPr>
        <w:autoSpaceDE w:val="0"/>
        <w:autoSpaceDN w:val="0"/>
        <w:adjustRightInd w:val="0"/>
        <w:spacing w:after="0" w:line="480" w:lineRule="auto"/>
        <w:jc w:val="both"/>
        <w:rPr>
          <w:rFonts w:ascii="Times New Roman" w:hAnsi="Times New Roman" w:cs="Times New Roman"/>
          <w:b/>
          <w:bCs/>
          <w:sz w:val="24"/>
          <w:szCs w:val="24"/>
        </w:rPr>
      </w:pPr>
    </w:p>
    <w:p w14:paraId="3E28831A" w14:textId="025C057B" w:rsidR="001A1F48" w:rsidRPr="00B4448E" w:rsidRDefault="00223837" w:rsidP="007F257B">
      <w:pPr>
        <w:autoSpaceDE w:val="0"/>
        <w:autoSpaceDN w:val="0"/>
        <w:adjustRightInd w:val="0"/>
        <w:spacing w:after="0" w:line="480" w:lineRule="auto"/>
        <w:jc w:val="both"/>
        <w:rPr>
          <w:rFonts w:ascii="Times New Roman" w:hAnsi="Times New Roman" w:cs="Times New Roman"/>
          <w:b/>
          <w:bCs/>
          <w:sz w:val="24"/>
          <w:szCs w:val="24"/>
        </w:rPr>
      </w:pPr>
      <w:r w:rsidRPr="00B4448E">
        <w:rPr>
          <w:rFonts w:ascii="Times New Roman" w:hAnsi="Times New Roman" w:cs="Times New Roman"/>
          <w:b/>
          <w:bCs/>
          <w:sz w:val="24"/>
          <w:szCs w:val="24"/>
        </w:rPr>
        <w:t xml:space="preserve">4. </w:t>
      </w:r>
      <w:r w:rsidR="009302AF" w:rsidRPr="00B4448E">
        <w:rPr>
          <w:rFonts w:ascii="Times New Roman" w:hAnsi="Times New Roman" w:cs="Times New Roman"/>
          <w:b/>
          <w:bCs/>
          <w:sz w:val="24"/>
          <w:szCs w:val="24"/>
        </w:rPr>
        <w:t>Conclusion</w:t>
      </w:r>
      <w:r w:rsidR="00742947" w:rsidRPr="00B4448E">
        <w:rPr>
          <w:rFonts w:ascii="Times New Roman" w:hAnsi="Times New Roman" w:cs="Times New Roman"/>
          <w:b/>
          <w:bCs/>
          <w:sz w:val="24"/>
          <w:szCs w:val="24"/>
        </w:rPr>
        <w:t>s</w:t>
      </w:r>
    </w:p>
    <w:p w14:paraId="23D35A09" w14:textId="27433127" w:rsidR="00EA533D" w:rsidRPr="00B4448E" w:rsidRDefault="00CC5FDC" w:rsidP="00FA77A1">
      <w:pPr>
        <w:autoSpaceDE w:val="0"/>
        <w:autoSpaceDN w:val="0"/>
        <w:adjustRightInd w:val="0"/>
        <w:spacing w:after="0" w:line="480" w:lineRule="auto"/>
        <w:jc w:val="both"/>
        <w:rPr>
          <w:rFonts w:ascii="Times New Roman" w:hAnsi="Times New Roman" w:cs="Times New Roman"/>
          <w:sz w:val="24"/>
          <w:szCs w:val="24"/>
        </w:rPr>
      </w:pPr>
      <w:r w:rsidRPr="00B4448E">
        <w:rPr>
          <w:rFonts w:ascii="Times New Roman" w:hAnsi="Times New Roman" w:cs="Times New Roman"/>
          <w:sz w:val="24"/>
          <w:szCs w:val="24"/>
        </w:rPr>
        <w:t xml:space="preserve">In summary, this </w:t>
      </w:r>
      <w:r w:rsidR="00967984" w:rsidRPr="00B4448E">
        <w:rPr>
          <w:rFonts w:ascii="Times New Roman" w:hAnsi="Times New Roman" w:cs="Times New Roman"/>
          <w:sz w:val="24"/>
          <w:szCs w:val="24"/>
        </w:rPr>
        <w:t>study</w:t>
      </w:r>
      <w:r w:rsidRPr="00B4448E">
        <w:rPr>
          <w:rFonts w:ascii="Times New Roman" w:hAnsi="Times New Roman" w:cs="Times New Roman"/>
          <w:sz w:val="24"/>
          <w:szCs w:val="24"/>
        </w:rPr>
        <w:t xml:space="preserve"> describes a systematic evaluation of</w:t>
      </w:r>
      <w:r w:rsidR="00976A79" w:rsidRPr="00B4448E">
        <w:rPr>
          <w:rFonts w:ascii="Times New Roman" w:hAnsi="Times New Roman" w:cs="Times New Roman"/>
          <w:sz w:val="24"/>
          <w:szCs w:val="24"/>
        </w:rPr>
        <w:t xml:space="preserve"> DB-1 as</w:t>
      </w:r>
      <w:r w:rsidRPr="00B4448E">
        <w:rPr>
          <w:rFonts w:ascii="Times New Roman" w:hAnsi="Times New Roman" w:cs="Times New Roman"/>
          <w:sz w:val="24"/>
          <w:szCs w:val="24"/>
        </w:rPr>
        <w:t xml:space="preserve"> a redox active material</w:t>
      </w:r>
      <w:r w:rsidR="00976A79" w:rsidRPr="00B4448E">
        <w:rPr>
          <w:rFonts w:ascii="Times New Roman" w:hAnsi="Times New Roman" w:cs="Times New Roman"/>
          <w:sz w:val="24"/>
          <w:szCs w:val="24"/>
        </w:rPr>
        <w:t xml:space="preserve"> </w:t>
      </w:r>
      <w:r w:rsidR="00976A79" w:rsidRPr="00B4448E">
        <w:rPr>
          <w:rFonts w:ascii="Times New Roman" w:hAnsi="Times New Roman" w:cs="Times New Roman"/>
          <w:sz w:val="24"/>
          <w:szCs w:val="24"/>
          <w:lang w:val="en-GB"/>
        </w:rPr>
        <w:t xml:space="preserve">for </w:t>
      </w:r>
      <w:r w:rsidR="00815602" w:rsidRPr="00B4448E">
        <w:rPr>
          <w:rFonts w:ascii="Times New Roman" w:hAnsi="Times New Roman" w:cs="Times New Roman"/>
          <w:sz w:val="24"/>
          <w:szCs w:val="24"/>
        </w:rPr>
        <w:t>energy storage</w:t>
      </w:r>
      <w:r w:rsidR="00976A79" w:rsidRPr="00B4448E">
        <w:rPr>
          <w:rFonts w:ascii="Times New Roman" w:hAnsi="Times New Roman" w:cs="Times New Roman"/>
          <w:sz w:val="24"/>
          <w:szCs w:val="24"/>
        </w:rPr>
        <w:t xml:space="preserve"> applications</w:t>
      </w:r>
      <w:r w:rsidRPr="00B4448E">
        <w:rPr>
          <w:rFonts w:ascii="Times New Roman" w:hAnsi="Times New Roman" w:cs="Times New Roman"/>
          <w:sz w:val="24"/>
          <w:szCs w:val="24"/>
        </w:rPr>
        <w:t xml:space="preserve"> by means of electronic structure</w:t>
      </w:r>
      <w:r w:rsidR="00302536" w:rsidRPr="00B4448E">
        <w:rPr>
          <w:rFonts w:ascii="Times New Roman" w:hAnsi="Times New Roman" w:cs="Times New Roman"/>
          <w:sz w:val="24"/>
          <w:szCs w:val="24"/>
        </w:rPr>
        <w:t>s</w:t>
      </w:r>
      <w:r w:rsidRPr="00B4448E">
        <w:rPr>
          <w:rFonts w:ascii="Times New Roman" w:hAnsi="Times New Roman" w:cs="Times New Roman"/>
          <w:sz w:val="24"/>
          <w:szCs w:val="24"/>
        </w:rPr>
        <w:t xml:space="preserve">, </w:t>
      </w:r>
      <w:r w:rsidR="00302536" w:rsidRPr="00B4448E">
        <w:rPr>
          <w:rFonts w:ascii="Times New Roman" w:hAnsi="Times New Roman" w:cs="Times New Roman"/>
          <w:sz w:val="24"/>
          <w:szCs w:val="24"/>
        </w:rPr>
        <w:t>electrochemical properties</w:t>
      </w:r>
      <w:r w:rsidR="00976A79" w:rsidRPr="00B4448E">
        <w:rPr>
          <w:rFonts w:ascii="Times New Roman" w:hAnsi="Times New Roman" w:cs="Times New Roman"/>
          <w:sz w:val="24"/>
          <w:szCs w:val="24"/>
        </w:rPr>
        <w:t>, and flow cell studies</w:t>
      </w:r>
      <w:r w:rsidRPr="00B4448E">
        <w:rPr>
          <w:rFonts w:ascii="Times New Roman" w:hAnsi="Times New Roman" w:cs="Times New Roman"/>
          <w:sz w:val="24"/>
          <w:szCs w:val="24"/>
        </w:rPr>
        <w:t xml:space="preserve">. </w:t>
      </w:r>
      <w:r w:rsidR="00976A79" w:rsidRPr="00B4448E">
        <w:rPr>
          <w:rFonts w:ascii="Times New Roman" w:hAnsi="Times New Roman" w:cs="Times New Roman"/>
          <w:sz w:val="24"/>
          <w:szCs w:val="24"/>
        </w:rPr>
        <w:t>C</w:t>
      </w:r>
      <w:r w:rsidRPr="00B4448E">
        <w:rPr>
          <w:rFonts w:ascii="Times New Roman" w:hAnsi="Times New Roman" w:cs="Times New Roman"/>
          <w:sz w:val="24"/>
          <w:szCs w:val="24"/>
        </w:rPr>
        <w:t>omputational modeling using DFT-based calculations reveal</w:t>
      </w:r>
      <w:r w:rsidR="00302536" w:rsidRPr="00B4448E">
        <w:rPr>
          <w:rFonts w:ascii="Times New Roman" w:hAnsi="Times New Roman" w:cs="Times New Roman"/>
          <w:sz w:val="24"/>
          <w:szCs w:val="24"/>
        </w:rPr>
        <w:t xml:space="preserve">ed </w:t>
      </w:r>
      <w:r w:rsidRPr="00B4448E">
        <w:rPr>
          <w:rFonts w:ascii="Times New Roman" w:hAnsi="Times New Roman" w:cs="Times New Roman"/>
          <w:sz w:val="24"/>
          <w:szCs w:val="24"/>
        </w:rPr>
        <w:t xml:space="preserve">that the incorporated </w:t>
      </w:r>
      <w:r w:rsidRPr="00B4448E">
        <w:rPr>
          <w:rFonts w:ascii="Times New Roman" w:hAnsi="Times New Roman" w:cs="Times New Roman"/>
          <w:sz w:val="24"/>
          <w:szCs w:val="24"/>
        </w:rPr>
        <w:lastRenderedPageBreak/>
        <w:t xml:space="preserve">amine and </w:t>
      </w:r>
      <w:r w:rsidR="00FA77A1" w:rsidRPr="00B4448E">
        <w:rPr>
          <w:rFonts w:ascii="Times New Roman" w:hAnsi="Times New Roman" w:cs="Times New Roman"/>
          <w:sz w:val="24"/>
          <w:szCs w:val="24"/>
        </w:rPr>
        <w:t>carbonyl </w:t>
      </w:r>
      <w:r w:rsidRPr="00B4448E">
        <w:rPr>
          <w:rFonts w:ascii="Times New Roman" w:hAnsi="Times New Roman" w:cs="Times New Roman"/>
          <w:sz w:val="24"/>
          <w:szCs w:val="24"/>
        </w:rPr>
        <w:t xml:space="preserve">groups in </w:t>
      </w:r>
      <w:r w:rsidR="00976A79" w:rsidRPr="00B4448E">
        <w:rPr>
          <w:rFonts w:ascii="Times New Roman" w:hAnsi="Times New Roman" w:cs="Times New Roman"/>
          <w:sz w:val="24"/>
          <w:szCs w:val="24"/>
        </w:rPr>
        <w:t>DB-1 can be oxidi</w:t>
      </w:r>
      <w:r w:rsidR="00302536" w:rsidRPr="00B4448E">
        <w:rPr>
          <w:rFonts w:ascii="Times New Roman" w:hAnsi="Times New Roman" w:cs="Times New Roman"/>
          <w:sz w:val="24"/>
          <w:szCs w:val="24"/>
        </w:rPr>
        <w:t>z</w:t>
      </w:r>
      <w:r w:rsidR="00976A79" w:rsidRPr="00B4448E">
        <w:rPr>
          <w:rFonts w:ascii="Times New Roman" w:hAnsi="Times New Roman" w:cs="Times New Roman"/>
          <w:sz w:val="24"/>
          <w:szCs w:val="24"/>
        </w:rPr>
        <w:t xml:space="preserve">ed and reduced to multiple </w:t>
      </w:r>
      <w:r w:rsidRPr="00B4448E">
        <w:rPr>
          <w:rFonts w:ascii="Times New Roman" w:hAnsi="Times New Roman" w:cs="Times New Roman"/>
          <w:sz w:val="24"/>
          <w:szCs w:val="24"/>
        </w:rPr>
        <w:t>cation</w:t>
      </w:r>
      <w:r w:rsidR="00976A79" w:rsidRPr="00B4448E">
        <w:rPr>
          <w:rFonts w:ascii="Times New Roman" w:hAnsi="Times New Roman" w:cs="Times New Roman"/>
          <w:sz w:val="24"/>
          <w:szCs w:val="24"/>
        </w:rPr>
        <w:t>ic</w:t>
      </w:r>
      <w:r w:rsidRPr="00B4448E">
        <w:rPr>
          <w:rFonts w:ascii="Times New Roman" w:hAnsi="Times New Roman" w:cs="Times New Roman"/>
          <w:sz w:val="24"/>
          <w:szCs w:val="24"/>
        </w:rPr>
        <w:t xml:space="preserve"> and anion</w:t>
      </w:r>
      <w:r w:rsidR="00976A79" w:rsidRPr="00B4448E">
        <w:rPr>
          <w:rFonts w:ascii="Times New Roman" w:hAnsi="Times New Roman" w:cs="Times New Roman"/>
          <w:sz w:val="24"/>
          <w:szCs w:val="24"/>
        </w:rPr>
        <w:t>ic forms</w:t>
      </w:r>
      <w:r w:rsidRPr="00B4448E">
        <w:rPr>
          <w:rFonts w:ascii="Times New Roman" w:hAnsi="Times New Roman" w:cs="Times New Roman"/>
          <w:sz w:val="24"/>
          <w:szCs w:val="24"/>
        </w:rPr>
        <w:t xml:space="preserve">. </w:t>
      </w:r>
      <w:proofErr w:type="spellStart"/>
      <w:r w:rsidR="00302536" w:rsidRPr="00B4448E">
        <w:rPr>
          <w:rFonts w:ascii="Times New Roman" w:hAnsi="Times New Roman" w:cs="Times New Roman"/>
          <w:sz w:val="24"/>
          <w:szCs w:val="24"/>
        </w:rPr>
        <w:t>Voltammetric</w:t>
      </w:r>
      <w:proofErr w:type="spellEnd"/>
      <w:r w:rsidR="00302536" w:rsidRPr="00B4448E">
        <w:rPr>
          <w:rFonts w:ascii="Times New Roman" w:hAnsi="Times New Roman" w:cs="Times New Roman"/>
          <w:sz w:val="24"/>
          <w:szCs w:val="24"/>
        </w:rPr>
        <w:t xml:space="preserve"> studies</w:t>
      </w:r>
      <w:r w:rsidRPr="00B4448E">
        <w:rPr>
          <w:rFonts w:ascii="Times New Roman" w:hAnsi="Times New Roman" w:cs="Times New Roman"/>
          <w:sz w:val="24"/>
          <w:szCs w:val="24"/>
        </w:rPr>
        <w:t xml:space="preserve"> and DFT calculations </w:t>
      </w:r>
      <w:r w:rsidRPr="00B4448E">
        <w:rPr>
          <w:rFonts w:ascii="Times New Roman" w:hAnsi="Times New Roman" w:cs="Times New Roman"/>
          <w:sz w:val="24"/>
          <w:szCs w:val="24"/>
          <w:lang w:val="en-GB"/>
        </w:rPr>
        <w:t>(</w:t>
      </w:r>
      <w:r w:rsidRPr="00B4448E">
        <w:rPr>
          <w:rFonts w:ascii="Times New Roman" w:hAnsi="Times New Roman" w:cs="Times New Roman"/>
          <w:sz w:val="24"/>
          <w:szCs w:val="24"/>
        </w:rPr>
        <w:t>in DMSO</w:t>
      </w:r>
      <w:r w:rsidR="00302536" w:rsidRPr="00B4448E">
        <w:rPr>
          <w:rFonts w:ascii="Times New Roman" w:hAnsi="Times New Roman" w:cs="Times New Roman"/>
          <w:sz w:val="24"/>
          <w:szCs w:val="24"/>
        </w:rPr>
        <w:t xml:space="preserve"> solvent</w:t>
      </w:r>
      <w:r w:rsidRPr="00B4448E">
        <w:rPr>
          <w:rFonts w:ascii="Times New Roman" w:hAnsi="Times New Roman" w:cs="Times New Roman"/>
          <w:sz w:val="24"/>
          <w:szCs w:val="24"/>
          <w:lang w:val="en-GB"/>
        </w:rPr>
        <w:t>)</w:t>
      </w:r>
      <w:r w:rsidRPr="00B4448E">
        <w:rPr>
          <w:rFonts w:ascii="Times New Roman" w:hAnsi="Times New Roman" w:cs="Times New Roman"/>
          <w:sz w:val="24"/>
          <w:szCs w:val="24"/>
        </w:rPr>
        <w:t xml:space="preserve"> demonstrate</w:t>
      </w:r>
      <w:r w:rsidR="00302536" w:rsidRPr="00B4448E">
        <w:rPr>
          <w:rFonts w:ascii="Times New Roman" w:hAnsi="Times New Roman" w:cs="Times New Roman"/>
          <w:sz w:val="24"/>
          <w:szCs w:val="24"/>
        </w:rPr>
        <w:t>d</w:t>
      </w:r>
      <w:r w:rsidRPr="00B4448E">
        <w:rPr>
          <w:rFonts w:ascii="Times New Roman" w:hAnsi="Times New Roman" w:cs="Times New Roman"/>
          <w:sz w:val="24"/>
          <w:szCs w:val="24"/>
        </w:rPr>
        <w:t xml:space="preserve"> </w:t>
      </w:r>
      <w:r w:rsidRPr="00B4448E">
        <w:rPr>
          <w:rFonts w:ascii="Times New Roman" w:hAnsi="Times New Roman" w:cs="Times New Roman"/>
          <w:sz w:val="24"/>
          <w:szCs w:val="24"/>
          <w:lang w:val="en-GB"/>
        </w:rPr>
        <w:t>that this molecule</w:t>
      </w:r>
      <w:r w:rsidR="00A32B88" w:rsidRPr="00B4448E">
        <w:rPr>
          <w:rFonts w:ascii="Times New Roman" w:hAnsi="Times New Roman" w:cs="Times New Roman"/>
          <w:sz w:val="24"/>
          <w:szCs w:val="24"/>
          <w:lang w:val="en-GB"/>
        </w:rPr>
        <w:t xml:space="preserve"> </w:t>
      </w:r>
      <w:r w:rsidR="00A32B88" w:rsidRPr="00B4448E">
        <w:rPr>
          <w:rFonts w:ascii="Times New Roman" w:hAnsi="Times New Roman"/>
          <w:sz w:val="24"/>
          <w:szCs w:val="24"/>
        </w:rPr>
        <w:t>(theoretical specific energy: 1,858 W h kg</w:t>
      </w:r>
      <w:r w:rsidR="00A32B88" w:rsidRPr="00B4448E">
        <w:rPr>
          <w:rFonts w:ascii="Times New Roman" w:hAnsi="Times New Roman"/>
          <w:sz w:val="24"/>
          <w:szCs w:val="24"/>
          <w:vertAlign w:val="superscript"/>
        </w:rPr>
        <w:t>-1</w:t>
      </w:r>
      <w:r w:rsidR="00A32B88" w:rsidRPr="00B4448E">
        <w:rPr>
          <w:rFonts w:ascii="Times New Roman" w:hAnsi="Times New Roman"/>
          <w:sz w:val="24"/>
          <w:szCs w:val="24"/>
        </w:rPr>
        <w:t>)</w:t>
      </w:r>
      <w:r w:rsidR="00A32B88" w:rsidRPr="00B4448E">
        <w:rPr>
          <w:rFonts w:ascii="Times New Roman" w:hAnsi="Times New Roman" w:cs="Times New Roman"/>
          <w:sz w:val="24"/>
          <w:szCs w:val="24"/>
          <w:lang w:val="en-GB"/>
        </w:rPr>
        <w:t xml:space="preserve"> </w:t>
      </w:r>
      <w:r w:rsidR="00302536" w:rsidRPr="00B4448E">
        <w:rPr>
          <w:rFonts w:ascii="Times New Roman" w:hAnsi="Times New Roman" w:cs="Times New Roman"/>
          <w:sz w:val="24"/>
          <w:szCs w:val="24"/>
          <w:lang w:val="en-GB"/>
        </w:rPr>
        <w:t xml:space="preserve">was </w:t>
      </w:r>
      <w:r w:rsidRPr="00B4448E">
        <w:rPr>
          <w:rFonts w:ascii="Times New Roman" w:hAnsi="Times New Roman" w:cs="Times New Roman"/>
          <w:sz w:val="24"/>
          <w:szCs w:val="24"/>
          <w:lang w:val="en-GB"/>
        </w:rPr>
        <w:t>capable of forming both anions and cations</w:t>
      </w:r>
      <w:r w:rsidR="00976A79" w:rsidRPr="00B4448E">
        <w:rPr>
          <w:rFonts w:ascii="Times New Roman" w:hAnsi="Times New Roman" w:cs="Times New Roman"/>
          <w:sz w:val="24"/>
          <w:szCs w:val="24"/>
          <w:lang w:val="en-GB"/>
        </w:rPr>
        <w:t xml:space="preserve"> at</w:t>
      </w:r>
      <w:r w:rsidR="00302536" w:rsidRPr="00B4448E">
        <w:rPr>
          <w:rFonts w:ascii="Times New Roman" w:hAnsi="Times New Roman" w:cs="Times New Roman"/>
          <w:sz w:val="24"/>
          <w:szCs w:val="24"/>
          <w:lang w:val="en-GB"/>
        </w:rPr>
        <w:t xml:space="preserve"> electrode</w:t>
      </w:r>
      <w:r w:rsidR="00976A79" w:rsidRPr="00B4448E">
        <w:rPr>
          <w:rFonts w:ascii="Times New Roman" w:hAnsi="Times New Roman" w:cs="Times New Roman"/>
          <w:sz w:val="24"/>
          <w:szCs w:val="24"/>
          <w:lang w:val="en-GB"/>
        </w:rPr>
        <w:t xml:space="preserve"> potentials</w:t>
      </w:r>
      <w:r w:rsidRPr="00B4448E">
        <w:rPr>
          <w:rFonts w:ascii="Times New Roman" w:hAnsi="Times New Roman" w:cs="Times New Roman"/>
          <w:sz w:val="24"/>
          <w:szCs w:val="24"/>
          <w:lang w:val="en-GB"/>
        </w:rPr>
        <w:t xml:space="preserve"> ranging from </w:t>
      </w:r>
      <w:r w:rsidR="004F30FA" w:rsidRPr="00B4448E">
        <w:rPr>
          <w:rFonts w:ascii="Times New Roman" w:hAnsi="Times New Roman" w:cs="Times New Roman"/>
          <w:sz w:val="24"/>
          <w:szCs w:val="24"/>
          <w:lang w:val="en-GB"/>
        </w:rPr>
        <w:t>1.7</w:t>
      </w:r>
      <w:r w:rsidRPr="00B4448E">
        <w:rPr>
          <w:rFonts w:ascii="Times New Roman" w:hAnsi="Times New Roman" w:cs="Times New Roman"/>
          <w:sz w:val="24"/>
          <w:szCs w:val="24"/>
          <w:lang w:val="en-GB"/>
        </w:rPr>
        <w:t xml:space="preserve"> to 4.</w:t>
      </w:r>
      <w:r w:rsidR="004F30FA" w:rsidRPr="00B4448E">
        <w:rPr>
          <w:rFonts w:ascii="Times New Roman" w:hAnsi="Times New Roman" w:cs="Times New Roman"/>
          <w:sz w:val="24"/>
          <w:szCs w:val="24"/>
          <w:lang w:val="en-GB"/>
        </w:rPr>
        <w:t>4</w:t>
      </w:r>
      <w:r w:rsidR="00302536" w:rsidRPr="00B4448E">
        <w:rPr>
          <w:rFonts w:ascii="Times New Roman" w:hAnsi="Times New Roman" w:cs="Times New Roman"/>
          <w:sz w:val="24"/>
          <w:szCs w:val="24"/>
          <w:lang w:val="en-GB"/>
        </w:rPr>
        <w:t xml:space="preserve"> </w:t>
      </w:r>
      <w:r w:rsidRPr="00B4448E">
        <w:rPr>
          <w:rFonts w:ascii="Times New Roman" w:hAnsi="Times New Roman" w:cs="Times New Roman"/>
          <w:sz w:val="24"/>
          <w:szCs w:val="24"/>
          <w:lang w:val="en-GB"/>
        </w:rPr>
        <w:t xml:space="preserve">V </w:t>
      </w:r>
      <w:r w:rsidRPr="00B4448E">
        <w:rPr>
          <w:rFonts w:ascii="Times New Roman" w:hAnsi="Times New Roman" w:cs="Times New Roman"/>
          <w:i/>
          <w:iCs/>
          <w:sz w:val="24"/>
          <w:szCs w:val="24"/>
          <w:lang w:val="en-GB"/>
        </w:rPr>
        <w:t xml:space="preserve">vs. </w:t>
      </w:r>
      <w:r w:rsidRPr="00B4448E">
        <w:rPr>
          <w:rFonts w:ascii="Times New Roman" w:hAnsi="Times New Roman" w:cs="Times New Roman"/>
          <w:sz w:val="24"/>
          <w:szCs w:val="24"/>
          <w:lang w:val="en-GB"/>
        </w:rPr>
        <w:t>Li, involving up to 6 electron-transfers and exhibit</w:t>
      </w:r>
      <w:r w:rsidR="00F2676D" w:rsidRPr="00B4448E">
        <w:rPr>
          <w:rFonts w:ascii="Times New Roman" w:hAnsi="Times New Roman" w:cs="Times New Roman"/>
          <w:sz w:val="24"/>
          <w:szCs w:val="24"/>
          <w:lang w:val="en-GB"/>
        </w:rPr>
        <w:t>ing</w:t>
      </w:r>
      <w:r w:rsidRPr="00B4448E">
        <w:rPr>
          <w:rFonts w:ascii="Times New Roman" w:hAnsi="Times New Roman" w:cs="Times New Roman"/>
          <w:sz w:val="24"/>
          <w:szCs w:val="24"/>
          <w:lang w:val="en-GB"/>
        </w:rPr>
        <w:t xml:space="preserve"> one of the highest electrode potentials (up to 4.</w:t>
      </w:r>
      <w:r w:rsidR="004F30FA" w:rsidRPr="00B4448E">
        <w:rPr>
          <w:rFonts w:ascii="Times New Roman" w:hAnsi="Times New Roman" w:cs="Times New Roman"/>
          <w:sz w:val="24"/>
          <w:szCs w:val="24"/>
          <w:lang w:val="en-GB"/>
        </w:rPr>
        <w:t>4</w:t>
      </w:r>
      <w:r w:rsidR="00302536" w:rsidRPr="00B4448E">
        <w:rPr>
          <w:rFonts w:ascii="Times New Roman" w:hAnsi="Times New Roman" w:cs="Times New Roman"/>
          <w:sz w:val="24"/>
          <w:szCs w:val="24"/>
          <w:lang w:val="en-GB"/>
        </w:rPr>
        <w:t xml:space="preserve"> </w:t>
      </w:r>
      <w:r w:rsidRPr="00B4448E">
        <w:rPr>
          <w:rFonts w:ascii="Times New Roman" w:hAnsi="Times New Roman" w:cs="Times New Roman"/>
          <w:sz w:val="24"/>
          <w:szCs w:val="24"/>
          <w:lang w:val="en-GB"/>
        </w:rPr>
        <w:t xml:space="preserve">V </w:t>
      </w:r>
      <w:r w:rsidRPr="00B4448E">
        <w:rPr>
          <w:rFonts w:ascii="Times New Roman" w:hAnsi="Times New Roman" w:cs="Times New Roman"/>
          <w:i/>
          <w:iCs/>
          <w:sz w:val="24"/>
          <w:szCs w:val="24"/>
          <w:lang w:val="en-GB"/>
        </w:rPr>
        <w:t xml:space="preserve">vs. </w:t>
      </w:r>
      <w:r w:rsidRPr="00B4448E">
        <w:rPr>
          <w:rFonts w:ascii="Times New Roman" w:hAnsi="Times New Roman" w:cs="Times New Roman"/>
          <w:sz w:val="24"/>
          <w:szCs w:val="24"/>
          <w:lang w:val="en-GB"/>
        </w:rPr>
        <w:t xml:space="preserve">Li) in the literature. </w:t>
      </w:r>
      <w:r w:rsidR="00302536" w:rsidRPr="00B4448E">
        <w:rPr>
          <w:rFonts w:ascii="Times New Roman" w:hAnsi="Times New Roman" w:cs="Times New Roman"/>
          <w:sz w:val="24"/>
          <w:szCs w:val="24"/>
        </w:rPr>
        <w:t xml:space="preserve">Since </w:t>
      </w:r>
      <w:r w:rsidRPr="00B4448E">
        <w:rPr>
          <w:rFonts w:ascii="Times New Roman" w:hAnsi="Times New Roman" w:cs="Times New Roman"/>
          <w:sz w:val="24"/>
          <w:szCs w:val="24"/>
          <w:lang w:val="en-GB"/>
        </w:rPr>
        <w:t xml:space="preserve">these </w:t>
      </w:r>
      <w:r w:rsidRPr="00B4448E">
        <w:rPr>
          <w:rFonts w:ascii="Times New Roman" w:hAnsi="Times New Roman" w:cs="Times New Roman"/>
          <w:sz w:val="24"/>
          <w:szCs w:val="24"/>
        </w:rPr>
        <w:t xml:space="preserve">quinone derivatives can be extracted from </w:t>
      </w:r>
      <w:r w:rsidR="00F43BCE" w:rsidRPr="00B4448E">
        <w:rPr>
          <w:rFonts w:ascii="Times New Roman" w:hAnsi="Times New Roman" w:cs="Times New Roman"/>
          <w:sz w:val="24"/>
          <w:szCs w:val="24"/>
        </w:rPr>
        <w:t>organic raw materials</w:t>
      </w:r>
      <w:r w:rsidRPr="00B4448E">
        <w:rPr>
          <w:rFonts w:ascii="Times New Roman" w:hAnsi="Times New Roman" w:cs="Times New Roman"/>
          <w:sz w:val="24"/>
          <w:szCs w:val="24"/>
        </w:rPr>
        <w:t xml:space="preserve">, </w:t>
      </w:r>
      <w:r w:rsidRPr="00B4448E">
        <w:rPr>
          <w:rFonts w:ascii="Times New Roman" w:hAnsi="Times New Roman" w:cs="Times New Roman"/>
          <w:sz w:val="24"/>
          <w:szCs w:val="24"/>
          <w:lang w:val="en-GB"/>
        </w:rPr>
        <w:t xml:space="preserve">the </w:t>
      </w:r>
      <w:r w:rsidR="00302536" w:rsidRPr="00B4448E">
        <w:rPr>
          <w:rFonts w:ascii="Times New Roman" w:hAnsi="Times New Roman" w:cs="Times New Roman"/>
          <w:sz w:val="24"/>
          <w:szCs w:val="24"/>
          <w:lang w:val="en-GB"/>
        </w:rPr>
        <w:t xml:space="preserve">proposed </w:t>
      </w:r>
      <w:r w:rsidR="00757746" w:rsidRPr="00B4448E">
        <w:rPr>
          <w:rFonts w:ascii="Times New Roman" w:hAnsi="Times New Roman" w:cs="Times New Roman"/>
          <w:sz w:val="24"/>
          <w:szCs w:val="24"/>
          <w:lang w:val="en-GB"/>
        </w:rPr>
        <w:t xml:space="preserve">organic </w:t>
      </w:r>
      <w:r w:rsidRPr="00B4448E">
        <w:rPr>
          <w:rFonts w:ascii="Times New Roman" w:hAnsi="Times New Roman" w:cs="Times New Roman"/>
          <w:sz w:val="24"/>
          <w:szCs w:val="24"/>
        </w:rPr>
        <w:t>RFB</w:t>
      </w:r>
      <w:r w:rsidR="00302536" w:rsidRPr="00B4448E">
        <w:rPr>
          <w:rFonts w:ascii="Times New Roman" w:hAnsi="Times New Roman" w:cs="Times New Roman"/>
          <w:sz w:val="24"/>
          <w:szCs w:val="24"/>
        </w:rPr>
        <w:t xml:space="preserve"> system </w:t>
      </w:r>
      <w:r w:rsidR="00780C65" w:rsidRPr="00B4448E">
        <w:rPr>
          <w:rFonts w:ascii="Times New Roman" w:hAnsi="Times New Roman" w:cs="Times New Roman"/>
          <w:sz w:val="24"/>
          <w:szCs w:val="24"/>
          <w:lang w:val="en-GB"/>
        </w:rPr>
        <w:t>provide</w:t>
      </w:r>
      <w:r w:rsidR="00302536" w:rsidRPr="00B4448E">
        <w:rPr>
          <w:rFonts w:ascii="Times New Roman" w:hAnsi="Times New Roman" w:cs="Times New Roman"/>
          <w:sz w:val="24"/>
          <w:szCs w:val="24"/>
          <w:lang w:val="en-GB"/>
        </w:rPr>
        <w:t>s</w:t>
      </w:r>
      <w:r w:rsidRPr="00B4448E">
        <w:rPr>
          <w:rFonts w:ascii="Times New Roman" w:hAnsi="Times New Roman" w:cs="Times New Roman"/>
          <w:sz w:val="24"/>
          <w:szCs w:val="24"/>
          <w:lang w:val="en-GB"/>
        </w:rPr>
        <w:t xml:space="preserve"> a</w:t>
      </w:r>
      <w:r w:rsidR="00742A0C" w:rsidRPr="00B4448E">
        <w:rPr>
          <w:rFonts w:ascii="Times New Roman" w:hAnsi="Times New Roman" w:cs="Times New Roman"/>
          <w:sz w:val="24"/>
          <w:szCs w:val="24"/>
          <w:lang w:val="en-GB"/>
        </w:rPr>
        <w:t>n</w:t>
      </w:r>
      <w:r w:rsidRPr="00B4448E">
        <w:rPr>
          <w:rFonts w:ascii="Times New Roman" w:hAnsi="Times New Roman" w:cs="Times New Roman"/>
          <w:sz w:val="24"/>
          <w:szCs w:val="24"/>
          <w:lang w:val="en-GB"/>
        </w:rPr>
        <w:t xml:space="preserve"> </w:t>
      </w:r>
      <w:proofErr w:type="gramStart"/>
      <w:r w:rsidR="00742A0C" w:rsidRPr="00B4448E">
        <w:rPr>
          <w:rFonts w:ascii="Times New Roman" w:hAnsi="Times New Roman" w:cs="Times New Roman"/>
          <w:sz w:val="24"/>
          <w:szCs w:val="24"/>
          <w:lang w:val="en-GB"/>
        </w:rPr>
        <w:t>environmental</w:t>
      </w:r>
      <w:proofErr w:type="gramEnd"/>
      <w:r w:rsidR="00742A0C" w:rsidRPr="00B4448E">
        <w:rPr>
          <w:rFonts w:ascii="Times New Roman" w:hAnsi="Times New Roman" w:cs="Times New Roman"/>
          <w:sz w:val="24"/>
          <w:szCs w:val="24"/>
          <w:lang w:val="en-GB"/>
        </w:rPr>
        <w:t xml:space="preserve"> friendly </w:t>
      </w:r>
      <w:r w:rsidRPr="00B4448E">
        <w:rPr>
          <w:rFonts w:ascii="Times New Roman" w:hAnsi="Times New Roman" w:cs="Times New Roman"/>
          <w:sz w:val="24"/>
          <w:szCs w:val="24"/>
          <w:lang w:val="en-GB"/>
        </w:rPr>
        <w:t>and more sustainable option for grid-scale energy storage applications</w:t>
      </w:r>
      <w:r w:rsidR="00F30A14" w:rsidRPr="00B4448E">
        <w:rPr>
          <w:rFonts w:ascii="Times New Roman" w:hAnsi="Times New Roman" w:cs="Times New Roman"/>
          <w:sz w:val="24"/>
          <w:szCs w:val="24"/>
          <w:lang w:val="en-GB"/>
        </w:rPr>
        <w:t xml:space="preserve"> </w:t>
      </w:r>
      <w:r w:rsidR="00C6584B" w:rsidRPr="00B4448E">
        <w:rPr>
          <w:rFonts w:ascii="Times New Roman" w:hAnsi="Times New Roman" w:cs="Times New Roman"/>
          <w:sz w:val="24"/>
          <w:szCs w:val="24"/>
          <w:lang w:val="en-GB"/>
        </w:rPr>
        <w:t>compared to metal based redox systems</w:t>
      </w:r>
      <w:r w:rsidRPr="00B4448E">
        <w:rPr>
          <w:rFonts w:ascii="Times New Roman" w:hAnsi="Times New Roman" w:cs="Times New Roman"/>
          <w:sz w:val="24"/>
          <w:szCs w:val="24"/>
          <w:lang w:val="en-GB"/>
        </w:rPr>
        <w:t>.</w:t>
      </w:r>
      <w:r w:rsidRPr="00B4448E">
        <w:rPr>
          <w:rFonts w:ascii="Times New Roman" w:hAnsi="Times New Roman" w:cs="Times New Roman"/>
          <w:sz w:val="24"/>
          <w:szCs w:val="24"/>
        </w:rPr>
        <w:t xml:space="preserve"> </w:t>
      </w:r>
      <w:r w:rsidR="0039205E" w:rsidRPr="00B4448E">
        <w:rPr>
          <w:rFonts w:ascii="Times New Roman" w:hAnsi="Times New Roman" w:cs="Times New Roman"/>
          <w:sz w:val="24"/>
          <w:szCs w:val="24"/>
        </w:rPr>
        <w:t>By assessing the 4 electron-transfer per molecule at highly positive electrode potential regions (2.0 – 4.4 V vs. Li), t</w:t>
      </w:r>
      <w:r w:rsidRPr="00B4448E">
        <w:rPr>
          <w:rFonts w:ascii="Times New Roman" w:hAnsi="Times New Roman" w:cs="Times New Roman"/>
          <w:sz w:val="24"/>
          <w:szCs w:val="24"/>
        </w:rPr>
        <w:t xml:space="preserve">he </w:t>
      </w:r>
      <w:r w:rsidRPr="00B4448E">
        <w:rPr>
          <w:rFonts w:ascii="Times New Roman" w:hAnsi="Times New Roman" w:cs="Times New Roman"/>
          <w:sz w:val="24"/>
          <w:szCs w:val="24"/>
          <w:lang w:val="en-GB"/>
        </w:rPr>
        <w:t xml:space="preserve">proposed </w:t>
      </w:r>
      <w:r w:rsidR="00AA10A6" w:rsidRPr="00B4448E">
        <w:rPr>
          <w:rFonts w:ascii="Times New Roman" w:hAnsi="Times New Roman" w:cs="Times New Roman"/>
          <w:sz w:val="24"/>
          <w:szCs w:val="24"/>
          <w:lang w:val="en-GB"/>
        </w:rPr>
        <w:t>chemistry</w:t>
      </w:r>
      <w:r w:rsidR="00AA10A6" w:rsidRPr="00B4448E">
        <w:rPr>
          <w:rFonts w:ascii="Times New Roman" w:hAnsi="Times New Roman" w:cs="Times New Roman"/>
          <w:sz w:val="24"/>
          <w:szCs w:val="24"/>
        </w:rPr>
        <w:t xml:space="preserve"> </w:t>
      </w:r>
      <w:r w:rsidRPr="00B4448E">
        <w:rPr>
          <w:rFonts w:ascii="Times New Roman" w:hAnsi="Times New Roman" w:cs="Times New Roman"/>
          <w:sz w:val="24"/>
          <w:szCs w:val="24"/>
        </w:rPr>
        <w:t xml:space="preserve">in this work showed </w:t>
      </w:r>
      <w:r w:rsidR="00B317E6" w:rsidRPr="00B4448E">
        <w:rPr>
          <w:rFonts w:ascii="Times New Roman" w:hAnsi="Times New Roman" w:cs="Times New Roman"/>
          <w:sz w:val="24"/>
          <w:szCs w:val="24"/>
        </w:rPr>
        <w:t xml:space="preserve">average </w:t>
      </w:r>
      <w:r w:rsidR="00780C65" w:rsidRPr="00B4448E">
        <w:rPr>
          <w:rFonts w:ascii="Times New Roman" w:hAnsi="Times New Roman" w:cs="Times New Roman"/>
          <w:sz w:val="24"/>
          <w:szCs w:val="24"/>
        </w:rPr>
        <w:t>high</w:t>
      </w:r>
      <w:r w:rsidRPr="00B4448E">
        <w:rPr>
          <w:rFonts w:ascii="Times New Roman" w:hAnsi="Times New Roman" w:cs="Times New Roman"/>
          <w:sz w:val="24"/>
          <w:szCs w:val="24"/>
        </w:rPr>
        <w:t xml:space="preserve"> energy efficiency (</w:t>
      </w:r>
      <w:r w:rsidR="00B70698" w:rsidRPr="00B4448E">
        <w:rPr>
          <w:rFonts w:ascii="Times New Roman" w:hAnsi="Times New Roman" w:cs="Times New Roman"/>
          <w:i/>
          <w:sz w:val="24"/>
          <w:szCs w:val="24"/>
        </w:rPr>
        <w:t>ca.</w:t>
      </w:r>
      <w:r w:rsidR="00B76493" w:rsidRPr="00B4448E">
        <w:rPr>
          <w:rFonts w:ascii="Times New Roman" w:hAnsi="Times New Roman" w:cs="Times New Roman"/>
          <w:sz w:val="24"/>
          <w:szCs w:val="24"/>
        </w:rPr>
        <w:t xml:space="preserve"> </w:t>
      </w:r>
      <w:r w:rsidR="00B317E6" w:rsidRPr="00B4448E">
        <w:rPr>
          <w:rFonts w:ascii="Times New Roman" w:hAnsi="Times New Roman" w:cs="Times New Roman"/>
          <w:sz w:val="24"/>
          <w:szCs w:val="24"/>
        </w:rPr>
        <w:t xml:space="preserve">71 </w:t>
      </w:r>
      <w:r w:rsidRPr="00B4448E">
        <w:rPr>
          <w:rFonts w:ascii="Times New Roman" w:hAnsi="Times New Roman" w:cs="Times New Roman"/>
          <w:sz w:val="24"/>
          <w:szCs w:val="24"/>
        </w:rPr>
        <w:t>%) at high current density (20 mA cm</w:t>
      </w:r>
      <w:r w:rsidRPr="00B4448E">
        <w:rPr>
          <w:rFonts w:ascii="Symbol" w:hAnsi="Symbol" w:cs="Times New Roman"/>
          <w:sz w:val="24"/>
          <w:szCs w:val="24"/>
          <w:vertAlign w:val="superscript"/>
        </w:rPr>
        <w:t></w:t>
      </w:r>
      <w:r w:rsidRPr="00B4448E">
        <w:rPr>
          <w:rFonts w:ascii="Times New Roman" w:hAnsi="Times New Roman" w:cs="Times New Roman"/>
          <w:sz w:val="24"/>
          <w:szCs w:val="24"/>
          <w:vertAlign w:val="superscript"/>
        </w:rPr>
        <w:t>2</w:t>
      </w:r>
      <w:r w:rsidRPr="00B4448E">
        <w:rPr>
          <w:rFonts w:ascii="Times New Roman" w:hAnsi="Times New Roman" w:cs="Times New Roman"/>
          <w:sz w:val="24"/>
          <w:szCs w:val="24"/>
        </w:rPr>
        <w:t xml:space="preserve">) with </w:t>
      </w:r>
      <w:r w:rsidRPr="00B4448E">
        <w:rPr>
          <w:rFonts w:ascii="Times New Roman" w:hAnsi="Times New Roman" w:cs="Times New Roman"/>
          <w:sz w:val="24"/>
          <w:szCs w:val="24"/>
          <w:lang w:val="en-GB"/>
        </w:rPr>
        <w:t xml:space="preserve">nearly </w:t>
      </w:r>
      <w:r w:rsidRPr="00B4448E">
        <w:rPr>
          <w:rFonts w:ascii="Times New Roman" w:hAnsi="Times New Roman" w:cs="Times New Roman"/>
          <w:sz w:val="24"/>
          <w:szCs w:val="24"/>
        </w:rPr>
        <w:t xml:space="preserve">100% capacity retention. These results reveal that </w:t>
      </w:r>
      <w:r w:rsidR="009E4DB0" w:rsidRPr="00B4448E">
        <w:rPr>
          <w:rFonts w:ascii="Times New Roman" w:hAnsi="Times New Roman" w:cs="Times New Roman"/>
          <w:sz w:val="24"/>
          <w:szCs w:val="24"/>
        </w:rPr>
        <w:t>DB-1</w:t>
      </w:r>
      <w:r w:rsidRPr="00B4448E">
        <w:rPr>
          <w:rFonts w:ascii="Times New Roman" w:hAnsi="Times New Roman" w:cs="Times New Roman"/>
          <w:sz w:val="24"/>
          <w:szCs w:val="24"/>
        </w:rPr>
        <w:t xml:space="preserve"> </w:t>
      </w:r>
      <w:r w:rsidR="00C64E61" w:rsidRPr="00B4448E">
        <w:rPr>
          <w:rFonts w:ascii="Times New Roman" w:hAnsi="Times New Roman" w:cs="Times New Roman"/>
          <w:sz w:val="24"/>
          <w:szCs w:val="24"/>
        </w:rPr>
        <w:t xml:space="preserve">is </w:t>
      </w:r>
      <w:r w:rsidR="000A1D93" w:rsidRPr="00B4448E">
        <w:rPr>
          <w:rFonts w:ascii="Times New Roman" w:hAnsi="Times New Roman" w:cs="Times New Roman"/>
          <w:sz w:val="24"/>
          <w:szCs w:val="24"/>
        </w:rPr>
        <w:t>a</w:t>
      </w:r>
      <w:r w:rsidRPr="00B4448E">
        <w:rPr>
          <w:rFonts w:ascii="Times New Roman" w:hAnsi="Times New Roman" w:cs="Times New Roman"/>
          <w:sz w:val="24"/>
          <w:szCs w:val="24"/>
        </w:rPr>
        <w:t xml:space="preserve"> promising </w:t>
      </w:r>
      <w:r w:rsidR="00671BFE" w:rsidRPr="00B4448E">
        <w:rPr>
          <w:rFonts w:ascii="Times New Roman" w:hAnsi="Times New Roman" w:cs="Times New Roman"/>
          <w:sz w:val="24"/>
          <w:szCs w:val="24"/>
        </w:rPr>
        <w:t xml:space="preserve">redox active material </w:t>
      </w:r>
      <w:r w:rsidRPr="00B4448E">
        <w:rPr>
          <w:rFonts w:ascii="Times New Roman" w:hAnsi="Times New Roman" w:cs="Times New Roman"/>
          <w:sz w:val="24"/>
          <w:szCs w:val="24"/>
        </w:rPr>
        <w:t xml:space="preserve">for RFBs applications. </w:t>
      </w:r>
    </w:p>
    <w:p w14:paraId="58288CB1" w14:textId="77777777" w:rsidR="00223B38" w:rsidRPr="00B4448E" w:rsidRDefault="00223B38" w:rsidP="00223B38">
      <w:pPr>
        <w:autoSpaceDE w:val="0"/>
        <w:autoSpaceDN w:val="0"/>
        <w:adjustRightInd w:val="0"/>
        <w:spacing w:after="0" w:line="480" w:lineRule="auto"/>
        <w:jc w:val="both"/>
        <w:rPr>
          <w:rFonts w:ascii="Times New Roman" w:hAnsi="Times New Roman" w:cs="Times New Roman"/>
          <w:sz w:val="24"/>
          <w:szCs w:val="24"/>
        </w:rPr>
      </w:pPr>
    </w:p>
    <w:p w14:paraId="32451CD2" w14:textId="77777777" w:rsidR="00CE1D12" w:rsidRPr="00B4448E" w:rsidRDefault="00CE1D12" w:rsidP="00223B38">
      <w:pPr>
        <w:autoSpaceDE w:val="0"/>
        <w:autoSpaceDN w:val="0"/>
        <w:adjustRightInd w:val="0"/>
        <w:spacing w:after="0" w:line="480" w:lineRule="auto"/>
        <w:jc w:val="both"/>
        <w:rPr>
          <w:rFonts w:ascii="Times New Roman" w:hAnsi="Times New Roman" w:cs="Times New Roman"/>
          <w:b/>
          <w:bCs/>
          <w:sz w:val="24"/>
          <w:szCs w:val="24"/>
        </w:rPr>
      </w:pPr>
      <w:r w:rsidRPr="00B4448E">
        <w:rPr>
          <w:rFonts w:ascii="Times New Roman" w:hAnsi="Times New Roman" w:cs="Times New Roman"/>
          <w:b/>
          <w:bCs/>
          <w:sz w:val="24"/>
          <w:szCs w:val="24"/>
        </w:rPr>
        <w:t>Supporting Information</w:t>
      </w:r>
    </w:p>
    <w:p w14:paraId="033CA416" w14:textId="623C5309" w:rsidR="00C051BF" w:rsidRPr="00B4448E" w:rsidRDefault="00CE1D12" w:rsidP="00223B38">
      <w:pPr>
        <w:autoSpaceDE w:val="0"/>
        <w:autoSpaceDN w:val="0"/>
        <w:adjustRightInd w:val="0"/>
        <w:spacing w:after="0" w:line="480" w:lineRule="auto"/>
        <w:jc w:val="both"/>
        <w:rPr>
          <w:rFonts w:ascii="Times New Roman" w:hAnsi="Times New Roman" w:cs="Times New Roman"/>
          <w:sz w:val="24"/>
          <w:szCs w:val="24"/>
        </w:rPr>
      </w:pPr>
      <w:r w:rsidRPr="00B4448E">
        <w:rPr>
          <w:rFonts w:ascii="Times New Roman" w:hAnsi="Times New Roman" w:cs="Times New Roman"/>
          <w:sz w:val="24"/>
          <w:szCs w:val="24"/>
        </w:rPr>
        <w:t xml:space="preserve">The Supporting Information </w:t>
      </w:r>
      <w:r w:rsidR="00B76493" w:rsidRPr="00B4448E">
        <w:rPr>
          <w:rFonts w:ascii="Times New Roman" w:hAnsi="Times New Roman" w:cs="Times New Roman"/>
          <w:sz w:val="24"/>
          <w:szCs w:val="24"/>
        </w:rPr>
        <w:t>provides</w:t>
      </w:r>
      <w:r w:rsidR="00CE66EF" w:rsidRPr="00B4448E">
        <w:rPr>
          <w:rFonts w:ascii="Times New Roman" w:hAnsi="Times New Roman" w:cs="Times New Roman"/>
          <w:sz w:val="24"/>
          <w:szCs w:val="24"/>
        </w:rPr>
        <w:t xml:space="preserve"> </w:t>
      </w:r>
      <w:r w:rsidR="00F430C2" w:rsidRPr="00B4448E">
        <w:rPr>
          <w:rFonts w:ascii="Times New Roman" w:hAnsi="Times New Roman" w:cs="Times New Roman"/>
          <w:sz w:val="24"/>
          <w:szCs w:val="24"/>
        </w:rPr>
        <w:t>n</w:t>
      </w:r>
      <w:r w:rsidR="00EE167B" w:rsidRPr="00B4448E">
        <w:rPr>
          <w:rFonts w:ascii="Times New Roman" w:hAnsi="Times New Roman" w:cs="Times New Roman"/>
          <w:sz w:val="24"/>
          <w:szCs w:val="24"/>
        </w:rPr>
        <w:t>umerical modeling and DFT calculation details</w:t>
      </w:r>
      <w:r w:rsidR="0087677C" w:rsidRPr="00B4448E">
        <w:rPr>
          <w:rFonts w:ascii="Times New Roman" w:hAnsi="Times New Roman" w:cs="Times New Roman"/>
          <w:sz w:val="24"/>
          <w:szCs w:val="24"/>
        </w:rPr>
        <w:t xml:space="preserve">, </w:t>
      </w:r>
      <w:r w:rsidR="00961E56" w:rsidRPr="00B4448E">
        <w:rPr>
          <w:rFonts w:ascii="Times New Roman" w:hAnsi="Times New Roman" w:cs="Times New Roman"/>
          <w:sz w:val="24"/>
          <w:szCs w:val="24"/>
        </w:rPr>
        <w:t>e</w:t>
      </w:r>
      <w:r w:rsidR="00C051BF" w:rsidRPr="00B4448E">
        <w:rPr>
          <w:rFonts w:ascii="Times New Roman" w:hAnsi="Times New Roman" w:cs="Times New Roman"/>
          <w:sz w:val="24"/>
          <w:szCs w:val="24"/>
        </w:rPr>
        <w:t>xperimental methods</w:t>
      </w:r>
      <w:r w:rsidR="00961E56" w:rsidRPr="00B4448E">
        <w:rPr>
          <w:rFonts w:ascii="Times New Roman" w:hAnsi="Times New Roman" w:cs="Times New Roman"/>
          <w:sz w:val="24"/>
          <w:szCs w:val="24"/>
        </w:rPr>
        <w:t>, electrochemical analysis,</w:t>
      </w:r>
      <w:r w:rsidR="00C051BF" w:rsidRPr="00B4448E">
        <w:rPr>
          <w:rFonts w:ascii="Times New Roman" w:hAnsi="Times New Roman" w:cs="Times New Roman"/>
          <w:sz w:val="24"/>
          <w:szCs w:val="24"/>
        </w:rPr>
        <w:t xml:space="preserve"> and</w:t>
      </w:r>
      <w:r w:rsidR="00B7375C" w:rsidRPr="00B4448E">
        <w:rPr>
          <w:rFonts w:ascii="Times New Roman" w:hAnsi="Times New Roman" w:cs="Times New Roman"/>
          <w:sz w:val="24"/>
          <w:szCs w:val="24"/>
        </w:rPr>
        <w:t xml:space="preserve"> characterization</w:t>
      </w:r>
      <w:r w:rsidR="00C051BF" w:rsidRPr="00B4448E">
        <w:rPr>
          <w:rFonts w:ascii="Times New Roman" w:hAnsi="Times New Roman" w:cs="Times New Roman"/>
          <w:sz w:val="24"/>
          <w:szCs w:val="24"/>
        </w:rPr>
        <w:t xml:space="preserve"> figures, tables</w:t>
      </w:r>
      <w:r w:rsidR="00A12114" w:rsidRPr="00B4448E">
        <w:rPr>
          <w:rFonts w:ascii="Times New Roman" w:hAnsi="Times New Roman" w:cs="Times New Roman"/>
          <w:sz w:val="24"/>
          <w:szCs w:val="24"/>
        </w:rPr>
        <w:t xml:space="preserve"> </w:t>
      </w:r>
      <w:r w:rsidR="00C051BF" w:rsidRPr="00B4448E">
        <w:rPr>
          <w:rFonts w:ascii="Times New Roman" w:hAnsi="Times New Roman" w:cs="Times New Roman"/>
          <w:sz w:val="24"/>
          <w:szCs w:val="24"/>
        </w:rPr>
        <w:t>for additional electrochemical and structural</w:t>
      </w:r>
      <w:r w:rsidR="006E4462" w:rsidRPr="00B4448E">
        <w:rPr>
          <w:rFonts w:ascii="Times New Roman" w:hAnsi="Times New Roman" w:cs="Times New Roman"/>
          <w:sz w:val="24"/>
          <w:szCs w:val="24"/>
        </w:rPr>
        <w:t xml:space="preserve"> </w:t>
      </w:r>
      <w:r w:rsidR="00C051BF" w:rsidRPr="00B4448E">
        <w:rPr>
          <w:rFonts w:ascii="Times New Roman" w:hAnsi="Times New Roman" w:cs="Times New Roman"/>
          <w:sz w:val="24"/>
          <w:szCs w:val="24"/>
        </w:rPr>
        <w:t>analyses</w:t>
      </w:r>
      <w:r w:rsidR="00F430C2" w:rsidRPr="00B4448E">
        <w:rPr>
          <w:rFonts w:ascii="Times New Roman" w:hAnsi="Times New Roman" w:cs="Times New Roman"/>
          <w:sz w:val="24"/>
          <w:szCs w:val="24"/>
        </w:rPr>
        <w:t xml:space="preserve"> (PDF)</w:t>
      </w:r>
      <w:r w:rsidR="00A12114" w:rsidRPr="00B4448E">
        <w:rPr>
          <w:rFonts w:ascii="Times New Roman" w:hAnsi="Times New Roman" w:cs="Times New Roman"/>
          <w:sz w:val="24"/>
          <w:szCs w:val="24"/>
        </w:rPr>
        <w:t>.</w:t>
      </w:r>
    </w:p>
    <w:p w14:paraId="01AE8E53" w14:textId="77777777" w:rsidR="00CE66EF" w:rsidRPr="00B4448E" w:rsidRDefault="00CE66EF" w:rsidP="00067B71">
      <w:pPr>
        <w:autoSpaceDE w:val="0"/>
        <w:autoSpaceDN w:val="0"/>
        <w:adjustRightInd w:val="0"/>
        <w:spacing w:after="0" w:line="480" w:lineRule="auto"/>
        <w:jc w:val="both"/>
        <w:rPr>
          <w:rFonts w:ascii="Times New Roman" w:hAnsi="Times New Roman" w:cs="Times New Roman"/>
          <w:sz w:val="24"/>
          <w:szCs w:val="24"/>
        </w:rPr>
      </w:pPr>
    </w:p>
    <w:p w14:paraId="58E66A8B" w14:textId="77777777" w:rsidR="00E657CD" w:rsidRPr="00B4448E" w:rsidRDefault="00E657CD" w:rsidP="00067B71">
      <w:pPr>
        <w:autoSpaceDE w:val="0"/>
        <w:autoSpaceDN w:val="0"/>
        <w:adjustRightInd w:val="0"/>
        <w:spacing w:after="0" w:line="480" w:lineRule="auto"/>
        <w:jc w:val="both"/>
        <w:rPr>
          <w:rFonts w:ascii="Times New Roman" w:hAnsi="Times New Roman" w:cs="Times New Roman"/>
          <w:b/>
          <w:bCs/>
          <w:sz w:val="24"/>
          <w:szCs w:val="24"/>
        </w:rPr>
      </w:pPr>
      <w:r w:rsidRPr="00B4448E">
        <w:rPr>
          <w:rFonts w:ascii="Times New Roman" w:hAnsi="Times New Roman" w:cs="Times New Roman"/>
          <w:b/>
          <w:bCs/>
          <w:sz w:val="24"/>
          <w:szCs w:val="24"/>
        </w:rPr>
        <w:t>Notes</w:t>
      </w:r>
    </w:p>
    <w:p w14:paraId="2CFBAE6C" w14:textId="4AF10342" w:rsidR="003505BA" w:rsidRPr="00B4448E" w:rsidRDefault="00E657CD" w:rsidP="00067B71">
      <w:pPr>
        <w:autoSpaceDE w:val="0"/>
        <w:autoSpaceDN w:val="0"/>
        <w:adjustRightInd w:val="0"/>
        <w:spacing w:after="0" w:line="480" w:lineRule="auto"/>
        <w:jc w:val="both"/>
        <w:rPr>
          <w:rFonts w:ascii="Times New Roman" w:hAnsi="Times New Roman" w:cs="Times New Roman"/>
          <w:sz w:val="24"/>
          <w:szCs w:val="24"/>
        </w:rPr>
      </w:pPr>
      <w:r w:rsidRPr="00B4448E">
        <w:rPr>
          <w:rFonts w:ascii="Times New Roman" w:hAnsi="Times New Roman" w:cs="Times New Roman"/>
          <w:sz w:val="24"/>
          <w:szCs w:val="24"/>
        </w:rPr>
        <w:t>The authors declare no competing financial interest.</w:t>
      </w:r>
    </w:p>
    <w:p w14:paraId="1B16DB7D" w14:textId="77777777" w:rsidR="006A457B" w:rsidRPr="00B4448E" w:rsidRDefault="006A457B" w:rsidP="00067B71">
      <w:pPr>
        <w:autoSpaceDE w:val="0"/>
        <w:autoSpaceDN w:val="0"/>
        <w:adjustRightInd w:val="0"/>
        <w:spacing w:after="0" w:line="480" w:lineRule="auto"/>
        <w:jc w:val="both"/>
        <w:rPr>
          <w:rFonts w:ascii="Times New Roman" w:hAnsi="Times New Roman" w:cs="Times New Roman"/>
          <w:sz w:val="24"/>
          <w:szCs w:val="24"/>
        </w:rPr>
      </w:pPr>
    </w:p>
    <w:p w14:paraId="66C6C860" w14:textId="77777777" w:rsidR="00A054C4" w:rsidRPr="00B4448E" w:rsidRDefault="00A054C4" w:rsidP="00067B71">
      <w:pPr>
        <w:pStyle w:val="ListParagraph"/>
        <w:adjustRightInd w:val="0"/>
        <w:spacing w:line="480" w:lineRule="auto"/>
        <w:ind w:left="0" w:right="4"/>
        <w:jc w:val="both"/>
        <w:rPr>
          <w:rFonts w:asciiTheme="majorBidi" w:hAnsiTheme="majorBidi" w:cstheme="majorBidi"/>
          <w:b/>
          <w:bCs/>
          <w:color w:val="000000" w:themeColor="text1"/>
          <w:szCs w:val="28"/>
          <w:lang w:val="en-US"/>
        </w:rPr>
      </w:pPr>
    </w:p>
    <w:p w14:paraId="2D4DD405" w14:textId="77777777" w:rsidR="00A054C4" w:rsidRPr="00B4448E" w:rsidRDefault="00A054C4" w:rsidP="00067B71">
      <w:pPr>
        <w:pStyle w:val="ListParagraph"/>
        <w:adjustRightInd w:val="0"/>
        <w:spacing w:line="480" w:lineRule="auto"/>
        <w:ind w:left="0" w:right="4"/>
        <w:jc w:val="both"/>
        <w:rPr>
          <w:rFonts w:asciiTheme="majorBidi" w:hAnsiTheme="majorBidi" w:cstheme="majorBidi"/>
          <w:b/>
          <w:bCs/>
          <w:color w:val="000000" w:themeColor="text1"/>
          <w:szCs w:val="28"/>
          <w:lang w:val="en-US"/>
        </w:rPr>
      </w:pPr>
    </w:p>
    <w:p w14:paraId="41C458FC" w14:textId="7301F62B" w:rsidR="003505BA" w:rsidRPr="00B4448E" w:rsidRDefault="003505BA" w:rsidP="00067B71">
      <w:pPr>
        <w:pStyle w:val="ListParagraph"/>
        <w:adjustRightInd w:val="0"/>
        <w:spacing w:line="480" w:lineRule="auto"/>
        <w:ind w:left="0" w:right="4"/>
        <w:jc w:val="both"/>
        <w:rPr>
          <w:rFonts w:asciiTheme="majorBidi" w:hAnsiTheme="majorBidi" w:cstheme="majorBidi"/>
          <w:b/>
          <w:bCs/>
          <w:color w:val="000000" w:themeColor="text1"/>
          <w:szCs w:val="28"/>
          <w:lang w:val="en-US"/>
        </w:rPr>
      </w:pPr>
      <w:r w:rsidRPr="00B4448E">
        <w:rPr>
          <w:rFonts w:asciiTheme="majorBidi" w:hAnsiTheme="majorBidi" w:cstheme="majorBidi"/>
          <w:b/>
          <w:bCs/>
          <w:color w:val="000000" w:themeColor="text1"/>
          <w:szCs w:val="28"/>
          <w:lang w:val="en-US"/>
        </w:rPr>
        <w:lastRenderedPageBreak/>
        <w:t>Acknowledgments</w:t>
      </w:r>
    </w:p>
    <w:p w14:paraId="32F190D7" w14:textId="3D7EDD0F" w:rsidR="00E16A74" w:rsidRPr="00B4448E" w:rsidRDefault="003505BA" w:rsidP="00067B71">
      <w:pPr>
        <w:autoSpaceDE w:val="0"/>
        <w:autoSpaceDN w:val="0"/>
        <w:adjustRightInd w:val="0"/>
        <w:spacing w:after="0" w:line="480" w:lineRule="auto"/>
        <w:jc w:val="both"/>
        <w:rPr>
          <w:rFonts w:ascii="Times New Roman" w:hAnsi="Times New Roman" w:cs="Times New Roman"/>
          <w:sz w:val="24"/>
          <w:szCs w:val="24"/>
        </w:rPr>
      </w:pPr>
      <w:r w:rsidRPr="00B4448E">
        <w:rPr>
          <w:rFonts w:ascii="Times New Roman" w:hAnsi="Times New Roman" w:cs="Times New Roman"/>
          <w:sz w:val="24"/>
          <w:szCs w:val="24"/>
        </w:rPr>
        <w:t xml:space="preserve">The authors acknowledge funding </w:t>
      </w:r>
      <w:r w:rsidR="00BF449D" w:rsidRPr="00B4448E">
        <w:rPr>
          <w:rFonts w:ascii="Times New Roman" w:hAnsi="Times New Roman" w:cs="Times New Roman"/>
          <w:sz w:val="24"/>
          <w:szCs w:val="24"/>
        </w:rPr>
        <w:t xml:space="preserve">received </w:t>
      </w:r>
      <w:r w:rsidRPr="00B4448E">
        <w:rPr>
          <w:rFonts w:ascii="Times New Roman" w:hAnsi="Times New Roman" w:cs="Times New Roman"/>
          <w:sz w:val="24"/>
          <w:szCs w:val="24"/>
        </w:rPr>
        <w:t xml:space="preserve">from </w:t>
      </w:r>
      <w:r w:rsidR="00BF449D" w:rsidRPr="00B4448E">
        <w:rPr>
          <w:rFonts w:ascii="Times New Roman" w:hAnsi="Times New Roman" w:cs="Times New Roman"/>
          <w:sz w:val="24"/>
          <w:szCs w:val="24"/>
        </w:rPr>
        <w:t xml:space="preserve">the </w:t>
      </w:r>
      <w:r w:rsidRPr="00B4448E">
        <w:rPr>
          <w:rFonts w:ascii="Times New Roman" w:hAnsi="Times New Roman" w:cs="Times New Roman"/>
          <w:sz w:val="24"/>
          <w:szCs w:val="24"/>
        </w:rPr>
        <w:t>Canada Foundation for Innovation (CFI JELF #32613), the Natural Sciences and Engineering Research Council of Canada (</w:t>
      </w:r>
      <w:r w:rsidR="00E16A74" w:rsidRPr="00B4448E">
        <w:rPr>
          <w:rFonts w:ascii="Times New Roman" w:hAnsi="Times New Roman" w:cs="Times New Roman"/>
          <w:sz w:val="24"/>
          <w:szCs w:val="24"/>
        </w:rPr>
        <w:t xml:space="preserve">NSERC </w:t>
      </w:r>
      <w:r w:rsidR="00BF449D" w:rsidRPr="00B4448E">
        <w:rPr>
          <w:rFonts w:ascii="Times New Roman" w:hAnsi="Times New Roman" w:cs="Times New Roman"/>
          <w:sz w:val="24"/>
          <w:szCs w:val="24"/>
        </w:rPr>
        <w:t xml:space="preserve">CREATE </w:t>
      </w:r>
      <w:r w:rsidR="00E16A74" w:rsidRPr="00B4448E">
        <w:rPr>
          <w:rFonts w:ascii="Times New Roman" w:hAnsi="Times New Roman" w:cs="Times New Roman"/>
          <w:sz w:val="24"/>
          <w:szCs w:val="24"/>
        </w:rPr>
        <w:t>495455-2017 and RGPIN-2018-03725</w:t>
      </w:r>
      <w:r w:rsidRPr="00B4448E">
        <w:rPr>
          <w:rFonts w:ascii="Times New Roman" w:hAnsi="Times New Roman" w:cs="Times New Roman"/>
          <w:sz w:val="24"/>
          <w:szCs w:val="24"/>
        </w:rPr>
        <w:t>)</w:t>
      </w:r>
      <w:r w:rsidR="00E16A74" w:rsidRPr="00B4448E">
        <w:rPr>
          <w:rFonts w:ascii="Times New Roman" w:hAnsi="Times New Roman" w:cs="Times New Roman"/>
          <w:sz w:val="24"/>
          <w:szCs w:val="24"/>
        </w:rPr>
        <w:t>, the STFC Batteries Network (ST/R006873/1)</w:t>
      </w:r>
      <w:r w:rsidR="00906DFA" w:rsidRPr="00B4448E">
        <w:rPr>
          <w:rFonts w:ascii="Times New Roman" w:hAnsi="Times New Roman" w:cs="Times New Roman"/>
          <w:sz w:val="24"/>
          <w:szCs w:val="24"/>
        </w:rPr>
        <w:t xml:space="preserve"> and the European Union’s Horizon 2020 (SPIRE) initiative under grant agreement no. 768789</w:t>
      </w:r>
      <w:r w:rsidR="00E16A74" w:rsidRPr="00B4448E">
        <w:rPr>
          <w:rFonts w:ascii="Times New Roman" w:hAnsi="Times New Roman" w:cs="Times New Roman"/>
          <w:sz w:val="24"/>
          <w:szCs w:val="24"/>
        </w:rPr>
        <w:t>.</w:t>
      </w:r>
    </w:p>
    <w:p w14:paraId="34B4F988" w14:textId="59BC6F65" w:rsidR="00B0146D" w:rsidRPr="00B4448E" w:rsidRDefault="00B0146D">
      <w:pPr>
        <w:spacing w:after="200" w:line="276" w:lineRule="auto"/>
        <w:rPr>
          <w:rFonts w:ascii="Times New Roman" w:hAnsi="Times New Roman" w:cs="Times New Roman"/>
          <w:b/>
          <w:sz w:val="24"/>
        </w:rPr>
      </w:pPr>
      <w:r w:rsidRPr="00B4448E">
        <w:rPr>
          <w:rFonts w:ascii="Times New Roman" w:hAnsi="Times New Roman" w:cs="Times New Roman"/>
          <w:b/>
          <w:sz w:val="24"/>
        </w:rPr>
        <w:t>REFERENCES</w:t>
      </w:r>
    </w:p>
    <w:p w14:paraId="3BA179D7" w14:textId="2B6CAFEF" w:rsidR="00D75310" w:rsidRPr="00B4448E" w:rsidRDefault="00284336"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sz w:val="24"/>
          <w:szCs w:val="24"/>
        </w:rPr>
        <w:fldChar w:fldCharType="begin" w:fldLock="1"/>
      </w:r>
      <w:r w:rsidRPr="00B4448E">
        <w:rPr>
          <w:rFonts w:ascii="Times New Roman" w:hAnsi="Times New Roman" w:cs="Times New Roman"/>
          <w:sz w:val="24"/>
          <w:szCs w:val="24"/>
        </w:rPr>
        <w:instrText xml:space="preserve">ADDIN Mendeley Bibliography CSL_BIBLIOGRAPHY </w:instrText>
      </w:r>
      <w:r w:rsidRPr="00B4448E">
        <w:rPr>
          <w:rFonts w:ascii="Times New Roman" w:hAnsi="Times New Roman" w:cs="Times New Roman"/>
          <w:sz w:val="24"/>
          <w:szCs w:val="24"/>
        </w:rPr>
        <w:fldChar w:fldCharType="separate"/>
      </w:r>
      <w:r w:rsidR="00D75310" w:rsidRPr="00B4448E">
        <w:rPr>
          <w:rFonts w:ascii="Times New Roman" w:hAnsi="Times New Roman" w:cs="Times New Roman"/>
          <w:noProof/>
          <w:sz w:val="24"/>
          <w:szCs w:val="24"/>
        </w:rPr>
        <w:t>[1]</w:t>
      </w:r>
      <w:r w:rsidR="00D75310" w:rsidRPr="00B4448E">
        <w:rPr>
          <w:rFonts w:ascii="Times New Roman" w:hAnsi="Times New Roman" w:cs="Times New Roman"/>
          <w:noProof/>
          <w:sz w:val="24"/>
          <w:szCs w:val="24"/>
        </w:rPr>
        <w:tab/>
        <w:t>G.M. Weng, B. Yang, C.Y. Liu, G.Y. Du, E.Y. Li, Y.C. Lu, Asymmetric allyl-activation of organosulfides for high-energy reversible redox flow batteries, Energy Environ. Sci. 12 (2019) 2244–2252. https://doi.org/10.1039/c9ee00336c.</w:t>
      </w:r>
    </w:p>
    <w:p w14:paraId="3CCC01A0"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w:t>
      </w:r>
      <w:r w:rsidRPr="00B4448E">
        <w:rPr>
          <w:rFonts w:ascii="Times New Roman" w:hAnsi="Times New Roman" w:cs="Times New Roman"/>
          <w:noProof/>
          <w:sz w:val="24"/>
          <w:szCs w:val="24"/>
        </w:rPr>
        <w:tab/>
        <w:t>X. Wei, W. Pan, W. Duan, A. Hollas, Z. Yang, B. Li, Z. Nie, J. Liu, D. Reed, W. Wang, V. Sprenkle, Materials and Systems for Organic Redox Flow Batteries: Status and Challenges, ACS Energy Lett. 2 (2017) 2187–2204. https://doi.org/10.1021/acsenergylett.7b00650.</w:t>
      </w:r>
    </w:p>
    <w:p w14:paraId="79672CC4"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w:t>
      </w:r>
      <w:r w:rsidRPr="00B4448E">
        <w:rPr>
          <w:rFonts w:ascii="Times New Roman" w:hAnsi="Times New Roman" w:cs="Times New Roman"/>
          <w:noProof/>
          <w:sz w:val="24"/>
          <w:szCs w:val="24"/>
        </w:rPr>
        <w:tab/>
        <w:t>B. Yang, L. Hoober-Burkhardt, F. Wang, G.K. Surya Prakash, S.R. Narayanan, An Inexpensive Aqueous Flow Battery for Large-Scale Electrical Energy Storage Based on Water-Soluble Organic Redox Couples, J. Electrochem. Soc. 161 (2014) A1371–A1380. https://doi.org/10.1149/2.1001409jes.</w:t>
      </w:r>
    </w:p>
    <w:p w14:paraId="062D4CA6"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w:t>
      </w:r>
      <w:r w:rsidRPr="00B4448E">
        <w:rPr>
          <w:rFonts w:ascii="Times New Roman" w:hAnsi="Times New Roman" w:cs="Times New Roman"/>
          <w:noProof/>
          <w:sz w:val="24"/>
          <w:szCs w:val="24"/>
        </w:rPr>
        <w:tab/>
        <w:t>J. Luo, B. Hu, M. Hu, Y. Zhao, L. Liu, Status and Prospects of Organic Redox Flow Batteries toward Sustainable Energy Storage, ACS Energy Lett. 4 (2019) 2220–2240. https://doi.org/10.1021/acsenergylett.9b01332.</w:t>
      </w:r>
    </w:p>
    <w:p w14:paraId="12E23015"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[5]</w:t>
      </w:r>
      <w:r w:rsidRPr="00B4448E">
        <w:rPr>
          <w:rFonts w:ascii="Times New Roman" w:hAnsi="Times New Roman" w:cs="Times New Roman"/>
          <w:noProof/>
          <w:sz w:val="24"/>
          <w:szCs w:val="24"/>
        </w:rPr>
        <w:tab/>
        <w:t>G.M. Weng, Z. Li, G. Cong, Y. Zhou, Y.C. Lu, Unlocking the capacity of iodide for high-energy-density zinc/polyiodide and lithium/polyiodide redox flow batteries, Energy Environ. Sci. 10 (2017) 735–741. https://doi.org/10.1039/c6ee03554j.</w:t>
      </w:r>
    </w:p>
    <w:p w14:paraId="0A5B5CD0"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[6]</w:t>
      </w:r>
      <w:r w:rsidRPr="00B4448E">
        <w:rPr>
          <w:rFonts w:ascii="Times New Roman" w:hAnsi="Times New Roman" w:cs="Times New Roman"/>
          <w:noProof/>
          <w:sz w:val="24"/>
          <w:szCs w:val="24"/>
        </w:rPr>
        <w:tab/>
        <w:t>B. Hu, C. Debruler, Z. Rhodes, T.L. Liu, Long-Cycling Aqueous Organic Redox Flow Battery (AORFB) toward Sustainable and Safe Energy Storage, J. Am. Chem. Soc. 139 (2017) 1207–1214. https://doi.org/10.1021/jacs.6b10984.</w:t>
      </w:r>
    </w:p>
    <w:p w14:paraId="6E046077"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[7]</w:t>
      </w:r>
      <w:r w:rsidRPr="00B4448E">
        <w:rPr>
          <w:rFonts w:ascii="Times New Roman" w:hAnsi="Times New Roman" w:cs="Times New Roman"/>
          <w:noProof/>
          <w:sz w:val="24"/>
          <w:szCs w:val="24"/>
        </w:rPr>
        <w:tab/>
        <w:t>C. Debruler, B. Hu, J. Moss, J. Luo, T.L. Liu, A Sulfonate-Functionalized Viologen Enabling Neutral Cation Exchange, Aqueous Organic Redox Flow Batteries toward Renewable Energy Storage, ACS Energy Lett. 3 (2018) 663–668. https://doi.org/10.1021/acsenergylett.7b01302.</w:t>
      </w:r>
    </w:p>
    <w:p w14:paraId="38F5AB51"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[8]</w:t>
      </w:r>
      <w:r w:rsidRPr="00B4448E">
        <w:rPr>
          <w:rFonts w:ascii="Times New Roman" w:hAnsi="Times New Roman" w:cs="Times New Roman"/>
          <w:noProof/>
          <w:sz w:val="24"/>
          <w:szCs w:val="24"/>
        </w:rPr>
        <w:tab/>
        <w:t>T. Janoschka, N. Martin, U. Martin, C. Friebe, S. Morgenstern, H. Hiller, M.D. Hager, U.S. Schubert, An aqueous, polymer-based redox-flow battery using non-corrosive, safe, and low-cost materials, Nature. 527 (2015) 78–81. https://doi.org/10.1038/nature15746.</w:t>
      </w:r>
    </w:p>
    <w:p w14:paraId="43BA2675"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[9]</w:t>
      </w:r>
      <w:r w:rsidRPr="00B4448E">
        <w:rPr>
          <w:rFonts w:ascii="Times New Roman" w:hAnsi="Times New Roman" w:cs="Times New Roman"/>
          <w:noProof/>
          <w:sz w:val="24"/>
          <w:szCs w:val="24"/>
        </w:rPr>
        <w:tab/>
        <w:t xml:space="preserve">K. Lin, R. Gómez-bombarelli, E.S. Beh, L. Tong, Q. Chen, A. Valle, A. Aspuru-guzik, </w:t>
      </w:r>
      <w:r w:rsidRPr="00B4448E">
        <w:rPr>
          <w:rFonts w:ascii="Times New Roman" w:hAnsi="Times New Roman" w:cs="Times New Roman"/>
          <w:noProof/>
          <w:sz w:val="24"/>
          <w:szCs w:val="24"/>
        </w:rPr>
        <w:lastRenderedPageBreak/>
        <w:t>M.J. Aziz, R.G. Gordon, A redox-flow battery with an alloxazine-based organic electrolyte, Nat. Energy. 1 (2016) 1–8. https://doi.org/10.1038/NENERGY.2016.102.</w:t>
      </w:r>
    </w:p>
    <w:p w14:paraId="57621CC9"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[10]</w:t>
      </w:r>
      <w:r w:rsidRPr="00B4448E">
        <w:rPr>
          <w:rFonts w:ascii="Times New Roman" w:hAnsi="Times New Roman" w:cs="Times New Roman"/>
          <w:noProof/>
          <w:sz w:val="24"/>
          <w:szCs w:val="24"/>
        </w:rPr>
        <w:tab/>
        <w:t>B. Huskinson, M.P. Marshak, C. Suh, S. Er, M.R. Gerhardt, C.J. Galvin, X. Chen, A. Aspuru-Guzik, R.G. Gordon, M.J. Aziz, A metal-free organic– inorganic aqueous flow battery, Nature. 5 0 5 (2014) 195–198. https://doi.org/10.1038/nature12909.</w:t>
      </w:r>
    </w:p>
    <w:p w14:paraId="69F73364"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[11]</w:t>
      </w:r>
      <w:r w:rsidRPr="00B4448E">
        <w:rPr>
          <w:rFonts w:ascii="Times New Roman" w:hAnsi="Times New Roman" w:cs="Times New Roman"/>
          <w:noProof/>
          <w:sz w:val="24"/>
          <w:szCs w:val="24"/>
        </w:rPr>
        <w:tab/>
        <w:t>C. Zhang, L. Zhang, Y. Ding, S. Peng, X. Guo, Y. Zhao, G. He, G. Yu, Progress and prospects of next-generation redox flow batteries, Energy Storage Mater. 15 (2018) 324–350. https://doi.org/10.1016/j.ensm.2018.06.008.</w:t>
      </w:r>
    </w:p>
    <w:p w14:paraId="4B7B8481"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[12]</w:t>
      </w:r>
      <w:r w:rsidRPr="00B4448E">
        <w:rPr>
          <w:rFonts w:ascii="Times New Roman" w:hAnsi="Times New Roman" w:cs="Times New Roman"/>
          <w:noProof/>
          <w:sz w:val="24"/>
          <w:szCs w:val="24"/>
        </w:rPr>
        <w:tab/>
        <w:t>X. Wei, W. Duan, J. Huang, L. Zhang, B. Li, D. Reed, W. Xu, V. Sprenkle, W. Wang, A High-Current, Stable Nonaqueous Organic Redox Flow Battery, ACS Energy Lett. 1 (2016) 705–711. https://doi.org/10.1021/acsenergylett.6b00255.</w:t>
      </w:r>
    </w:p>
    <w:p w14:paraId="5C972865"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[13]</w:t>
      </w:r>
      <w:r w:rsidRPr="00B4448E">
        <w:rPr>
          <w:rFonts w:ascii="Times New Roman" w:hAnsi="Times New Roman" w:cs="Times New Roman"/>
          <w:noProof/>
          <w:sz w:val="24"/>
          <w:szCs w:val="24"/>
        </w:rPr>
        <w:tab/>
        <w:t>E.S. Beh, D. De Porcellinis, R.L. Gracia, K.T. Xia, R.G. Gordon, M.J. Aziz, A Neutral pH Aqueous Organic − Organometallic Redox Flow Battery with Extremely High Capacity Retention, ACS Energy Lett. 2 (2017) 639–644. https://doi.org/10.1021/acsenergylett.7b00019.</w:t>
      </w:r>
    </w:p>
    <w:p w14:paraId="2DF59B3C"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[14]</w:t>
      </w:r>
      <w:r w:rsidRPr="00B4448E">
        <w:rPr>
          <w:rFonts w:ascii="Times New Roman" w:hAnsi="Times New Roman" w:cs="Times New Roman"/>
          <w:noProof/>
          <w:sz w:val="24"/>
          <w:szCs w:val="24"/>
        </w:rPr>
        <w:tab/>
        <w:t>F.R. Brushett, J.T. Vaughey, A.N. Jansen, An All-Organic Non-aqueous Lithium-Ion Redox Flow Battery, Adv. Energy Mater. 2 (2012) 1390–1396. https://doi.org/10.1002/aenm.201200322.</w:t>
      </w:r>
    </w:p>
    <w:p w14:paraId="42511FE4"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[15]</w:t>
      </w:r>
      <w:r w:rsidRPr="00B4448E">
        <w:rPr>
          <w:rFonts w:ascii="Times New Roman" w:hAnsi="Times New Roman" w:cs="Times New Roman"/>
          <w:noProof/>
          <w:sz w:val="24"/>
          <w:szCs w:val="24"/>
        </w:rPr>
        <w:tab/>
        <w:t>Y. Ding, G. Yu, A Bio-Inspired , Heavy-Metal-Free , Dual-Electrolyte Liquid Battery towards Sustainable Energy Storage, Angew. Chemie. 55 (2016) 4772–4776. https://doi.org/10.1002/anie.201600705.</w:t>
      </w:r>
    </w:p>
    <w:p w14:paraId="3D415887"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[16]</w:t>
      </w:r>
      <w:r w:rsidRPr="00B4448E">
        <w:rPr>
          <w:rFonts w:ascii="Times New Roman" w:hAnsi="Times New Roman" w:cs="Times New Roman"/>
          <w:noProof/>
          <w:sz w:val="24"/>
          <w:szCs w:val="24"/>
        </w:rPr>
        <w:tab/>
        <w:t>Y. Ding, Y. Zhao, Y. Li, J.B. Goodenough, G. Yu, A high-performance all-metallocene-based, non-aqueous redox flow battery, Energy Environ. Sci. 10 (2017) 491–497. https://doi.org/10.1039/c6ee02057g.</w:t>
      </w:r>
    </w:p>
    <w:p w14:paraId="0EEDFFB3"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[17]</w:t>
      </w:r>
      <w:r w:rsidRPr="00B4448E">
        <w:rPr>
          <w:rFonts w:ascii="Times New Roman" w:hAnsi="Times New Roman" w:cs="Times New Roman"/>
          <w:noProof/>
          <w:sz w:val="24"/>
          <w:szCs w:val="24"/>
        </w:rPr>
        <w:tab/>
        <w:t>C. Xie, Y. Liu, W. Lu, H. Zhang, X. Li, Highly stable zinc-iodine single flow batteries with super high energy density for stationary energy storage, Energy Environ. Sci. 12 (2019) 1834–1839. https://doi.org/10.1039/c8ee02825g.</w:t>
      </w:r>
    </w:p>
    <w:p w14:paraId="5B772289"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[18]</w:t>
      </w:r>
      <w:r w:rsidRPr="00B4448E">
        <w:rPr>
          <w:rFonts w:ascii="Times New Roman" w:hAnsi="Times New Roman" w:cs="Times New Roman"/>
          <w:noProof/>
          <w:sz w:val="24"/>
          <w:szCs w:val="24"/>
        </w:rPr>
        <w:tab/>
        <w:t>Y. Zhou, G. Cong, H. Chen, N. Lai, Y. Lu, A Self-Mediating Redox Flow Battery : High-, ACS Energy Lett. 5 (2020) 1732–1740. https://doi.org/10.1021/acsenergylett.0c00611.</w:t>
      </w:r>
    </w:p>
    <w:p w14:paraId="0474B791"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[19]</w:t>
      </w:r>
      <w:r w:rsidRPr="00B4448E">
        <w:rPr>
          <w:rFonts w:ascii="Times New Roman" w:hAnsi="Times New Roman" w:cs="Times New Roman"/>
          <w:noProof/>
          <w:sz w:val="24"/>
          <w:szCs w:val="24"/>
        </w:rPr>
        <w:tab/>
        <w:t>L.F. Arenas, C. Ponce de León, F.C. Walsh, Engineering aspects of the design, construction and performance of modular redox flow batteries for energy storage, J. Energy Storage. 11 (2017) 119–153. https://doi.org/10.1016/j.est.2017.02.007.</w:t>
      </w:r>
    </w:p>
    <w:p w14:paraId="0CB2E855"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[20]</w:t>
      </w:r>
      <w:r w:rsidRPr="00B4448E">
        <w:rPr>
          <w:rFonts w:ascii="Times New Roman" w:hAnsi="Times New Roman" w:cs="Times New Roman"/>
          <w:noProof/>
          <w:sz w:val="24"/>
          <w:szCs w:val="24"/>
        </w:rPr>
        <w:tab/>
        <w:t>S. Jin, Y. Jing, D.G. Kwabi, Y. Ji, L. Tong, D. De Porcellinis, M. Goulet, D.A. Pollack, R.G. Gordon, M.J. Aziz, A Water-Miscible Quinone Flow Battery with High Volumetric Capacity and Energy Density, ACS Energy Lett. 4 (2019) 1342–1348. https://doi.org/10.1021/acsenergylett.9b00739.</w:t>
      </w:r>
    </w:p>
    <w:p w14:paraId="4687B043"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[21]</w:t>
      </w:r>
      <w:r w:rsidRPr="00B4448E">
        <w:rPr>
          <w:rFonts w:ascii="Times New Roman" w:hAnsi="Times New Roman" w:cs="Times New Roman"/>
          <w:noProof/>
          <w:sz w:val="24"/>
          <w:szCs w:val="24"/>
        </w:rPr>
        <w:tab/>
        <w:t xml:space="preserve">K.H. Hendriks, C.S. Sevov, M.E. Cook, M.S. Sanford, Multielectron Cycling of a Low-Potential Anolyte in Alkali Metal Electrolytes for Nonaqueous Redox Flow Batteries, </w:t>
      </w:r>
      <w:r w:rsidRPr="00B4448E">
        <w:rPr>
          <w:rFonts w:ascii="Times New Roman" w:hAnsi="Times New Roman" w:cs="Times New Roman"/>
          <w:noProof/>
          <w:sz w:val="24"/>
          <w:szCs w:val="24"/>
        </w:rPr>
        <w:lastRenderedPageBreak/>
        <w:t>ACS Energy Lett. 2 (2017) 2430–2435. https://doi.org/10.1021/acsenergylett.7b00559.</w:t>
      </w:r>
    </w:p>
    <w:p w14:paraId="5E81DAB2"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[22]</w:t>
      </w:r>
      <w:r w:rsidRPr="00B4448E">
        <w:rPr>
          <w:rFonts w:ascii="Times New Roman" w:hAnsi="Times New Roman" w:cs="Times New Roman"/>
          <w:noProof/>
          <w:sz w:val="24"/>
          <w:szCs w:val="24"/>
        </w:rPr>
        <w:tab/>
        <w:t>C. Peng, G. Ning, J. Su, G. Zhong, W. Tang, B. Tian, C. Su, D. Yu, L. Zu, J. Yang, M. Ng, Y. Hu, Y. Yang, M. Armand, K.P. Loh, Reversible multi-electron redox chemistry of -conjugated N-containing heteroaromatic molecule-based organic cathodes, Nat. Energy. 17074 (2017) 1–9. https://doi.org/10.1038/nenergy.2017.74.</w:t>
      </w:r>
    </w:p>
    <w:p w14:paraId="36AFCF22"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[23]</w:t>
      </w:r>
      <w:r w:rsidRPr="00B4448E">
        <w:rPr>
          <w:rFonts w:ascii="Times New Roman" w:hAnsi="Times New Roman" w:cs="Times New Roman"/>
          <w:noProof/>
          <w:sz w:val="24"/>
          <w:szCs w:val="24"/>
        </w:rPr>
        <w:tab/>
        <w:t>F.R. Brushett, M.J. Aziz, K.E. Rodby, On Lifetime and Cost of Redox-Active Organics for Aqueous Flow Batteries, ACS Energy Lett. 5 (2020) 879–884. https://doi.org/10.1021/acsenergylett.0c00140.</w:t>
      </w:r>
    </w:p>
    <w:p w14:paraId="11AA177B"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[24]</w:t>
      </w:r>
      <w:r w:rsidRPr="00B4448E">
        <w:rPr>
          <w:rFonts w:ascii="Times New Roman" w:hAnsi="Times New Roman" w:cs="Times New Roman"/>
          <w:noProof/>
          <w:sz w:val="24"/>
          <w:szCs w:val="24"/>
        </w:rPr>
        <w:tab/>
        <w:t>P. Leung, A.A. Shah, L. Sanz, C. Flox, J.R. Morante, Q. Xu, M.R. Mohamed, C. Ponce de León, F.C. Walsh, Recent developments in organic redox flow batteries: A critical review, J. Power Sources. 360 (2017) 243–283. https://doi.org/10.1016/j.jpowsour.2017.05.057.</w:t>
      </w:r>
    </w:p>
    <w:p w14:paraId="45539224"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[25]</w:t>
      </w:r>
      <w:r w:rsidRPr="00B4448E">
        <w:rPr>
          <w:rFonts w:ascii="Times New Roman" w:hAnsi="Times New Roman" w:cs="Times New Roman"/>
          <w:noProof/>
          <w:sz w:val="24"/>
          <w:szCs w:val="24"/>
        </w:rPr>
        <w:tab/>
        <w:t>J. Winsberg, C. Stolze, S. Muench, F. Liedl, M.D. Hager, U.S. Schubert, TEMPO/Phenazine Combi-Molecule: A Redox- Active Material for Symmetric Aqueous Redox- Flow Batteries, ACS Energy Lett. 1 (2016) 976–980. https://doi.org/10.1021/acsenergylett.6b00413.</w:t>
      </w:r>
    </w:p>
    <w:p w14:paraId="321A3B5B"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[26]</w:t>
      </w:r>
      <w:r w:rsidRPr="00B4448E">
        <w:rPr>
          <w:rFonts w:ascii="Times New Roman" w:hAnsi="Times New Roman" w:cs="Times New Roman"/>
          <w:noProof/>
          <w:sz w:val="24"/>
          <w:szCs w:val="24"/>
        </w:rPr>
        <w:tab/>
        <w:t>K. Gong, Q. Fang, S. Gu, S. Fong, Y. Li, Y. Yan, Nonaqueous redox-flow batteries: organic solvents , supporting electrolytes , and redox pairs, Energy Environ. Sci. 8 (2015) 3515–3530. https://doi.org/10.1039/c5ee02341f.</w:t>
      </w:r>
    </w:p>
    <w:p w14:paraId="3363E874"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[27]</w:t>
      </w:r>
      <w:r w:rsidRPr="00B4448E">
        <w:rPr>
          <w:rFonts w:ascii="Times New Roman" w:hAnsi="Times New Roman" w:cs="Times New Roman"/>
          <w:noProof/>
          <w:sz w:val="24"/>
          <w:szCs w:val="24"/>
        </w:rPr>
        <w:tab/>
        <w:t>Q. Huang, Q. Wang, Next-Generation , High-Energy-Density Redox Flow Batteries, ChemPubSoc. 80 (2015) 312–322. https://doi.org/10.1002/cplu.201402099.</w:t>
      </w:r>
    </w:p>
    <w:p w14:paraId="1AD96E2E"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[28]</w:t>
      </w:r>
      <w:r w:rsidRPr="00B4448E">
        <w:rPr>
          <w:rFonts w:ascii="Times New Roman" w:hAnsi="Times New Roman" w:cs="Times New Roman"/>
          <w:noProof/>
          <w:sz w:val="24"/>
          <w:szCs w:val="24"/>
        </w:rPr>
        <w:tab/>
        <w:t>S. Tung, S.L. Fisher, N.A. Kotov, L.T. Thompson, Nanoporous aramid nanofibre separators for nonaqueous redox flow batteries, Nat. Commun. 9 (2018) 1–9. https://doi.org/10.1038/s41467-018-05752-x.</w:t>
      </w:r>
    </w:p>
    <w:p w14:paraId="22648B7E"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[29]</w:t>
      </w:r>
      <w:r w:rsidRPr="00B4448E">
        <w:rPr>
          <w:rFonts w:ascii="Times New Roman" w:hAnsi="Times New Roman" w:cs="Times New Roman"/>
          <w:noProof/>
          <w:sz w:val="24"/>
          <w:szCs w:val="24"/>
        </w:rPr>
        <w:tab/>
        <w:t>X. Wei, L. Cosimbescu, W. Xu, J.Z. Hu, M. Vijayakumar, J. Feng, M.Y. Hu, X. Deng, J. Xiao, J. Liu, V. Sprenkle, W. Wang, Towards High-Performance Nonaqueous Redox Flow Electrolyte Via Ionic Modifi cation of Active Species, Adv. Energy Mater. 5 (2015) 1–7. https://doi.org/10.1002/aenm.201400678.</w:t>
      </w:r>
    </w:p>
    <w:p w14:paraId="06481DC5"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[30]</w:t>
      </w:r>
      <w:r w:rsidRPr="00B4448E">
        <w:rPr>
          <w:rFonts w:ascii="Times New Roman" w:hAnsi="Times New Roman" w:cs="Times New Roman"/>
          <w:noProof/>
          <w:sz w:val="24"/>
          <w:szCs w:val="24"/>
        </w:rPr>
        <w:tab/>
        <w:t>E.C. Self, F.M. Delnick, R.E. Ruther, S. Allu, J. Nanda, High-Capacity Organic Radical Mediated Phosphorus Anode for Sodium-Based Redox Flow Batteries, ACS Energy Lett. 4 (2019) 2593–2600. https://doi.org/10.1021/acsenergylett.9b01744.</w:t>
      </w:r>
    </w:p>
    <w:p w14:paraId="17AABC80"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[31]</w:t>
      </w:r>
      <w:r w:rsidRPr="00B4448E">
        <w:rPr>
          <w:rFonts w:ascii="Times New Roman" w:hAnsi="Times New Roman" w:cs="Times New Roman"/>
          <w:noProof/>
          <w:sz w:val="24"/>
          <w:szCs w:val="24"/>
        </w:rPr>
        <w:tab/>
        <w:t>E. Deunf, F. Dolhem, D. Guyomard, J. Simonet, P. Poizot, Anodic oxidation of p-phenylenediamines in battery grade electrolytes, Electrochim. Acta. 262 (2018) 276–281. https://doi.org/10.1016/j.electacta.2018.01.010.</w:t>
      </w:r>
    </w:p>
    <w:p w14:paraId="0C0E3B3E"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[32]</w:t>
      </w:r>
      <w:r w:rsidRPr="00B4448E">
        <w:rPr>
          <w:rFonts w:ascii="Times New Roman" w:hAnsi="Times New Roman" w:cs="Times New Roman"/>
          <w:noProof/>
          <w:sz w:val="24"/>
          <w:szCs w:val="24"/>
        </w:rPr>
        <w:tab/>
        <w:t>D. Shin, M. Park, J. Ryu, I. Hwang, J.K. Seo, K. Seo, J. Cho, S.Y. Hong, Nonaqueous arylated quinone catholytes for lithium – organic flow batteries, J. Mater. Chem. A. 6 (2018) 14761–14768. https://doi.org/10.1039/c8ta04720k.</w:t>
      </w:r>
    </w:p>
    <w:p w14:paraId="19036A9B"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[33]</w:t>
      </w:r>
      <w:r w:rsidRPr="00B4448E">
        <w:rPr>
          <w:rFonts w:ascii="Times New Roman" w:hAnsi="Times New Roman" w:cs="Times New Roman"/>
          <w:noProof/>
          <w:sz w:val="24"/>
          <w:szCs w:val="24"/>
        </w:rPr>
        <w:tab/>
        <w:t>R. Emanuelsson, M. Sterby, M. Strømme, M. Sjodin, An All-Organic Proton Battery, J. Am. Chem. Soc. 139 (2017) 4828–4834. https://doi.org/10.1021/jacs.7b00159.</w:t>
      </w:r>
    </w:p>
    <w:p w14:paraId="331D6ED0"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lastRenderedPageBreak/>
        <w:t>[34]</w:t>
      </w:r>
      <w:r w:rsidRPr="00B4448E">
        <w:rPr>
          <w:rFonts w:ascii="Times New Roman" w:hAnsi="Times New Roman" w:cs="Times New Roman"/>
          <w:noProof/>
          <w:sz w:val="24"/>
          <w:szCs w:val="24"/>
        </w:rPr>
        <w:tab/>
        <w:t>B. Lee, Y. Ko, G. Kwon, S. Lee, K. Ku, J. Kim, K. Kang, Exploiting Biological Systems: Toward Eco-Friendly and High-Efficiency Rechargeable Batteries, Joule. 2 (2018) 61–75. https://doi.org/10.1016/j.joule.2017.10.013.</w:t>
      </w:r>
    </w:p>
    <w:p w14:paraId="0B30E560"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[35]</w:t>
      </w:r>
      <w:r w:rsidRPr="00B4448E">
        <w:rPr>
          <w:rFonts w:ascii="Times New Roman" w:hAnsi="Times New Roman" w:cs="Times New Roman"/>
          <w:noProof/>
          <w:sz w:val="24"/>
          <w:szCs w:val="24"/>
        </w:rPr>
        <w:tab/>
        <w:t>G. Kwon, S. Lee, J. Hwang, H.S. Shim, B. Lee, M.H. Lee, Y. Ko, S.K. Jung, K. Ku, J. Hong, K. Kang, Multi-redox Molecule for High-Energy Redox Flow Batteries, Joule. 2 (2018) 1771–1782. https://doi.org/10.1016/j.joule.2018.05.014.</w:t>
      </w:r>
    </w:p>
    <w:p w14:paraId="6DDC561C"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[36]</w:t>
      </w:r>
      <w:r w:rsidRPr="00B4448E">
        <w:rPr>
          <w:rFonts w:ascii="Times New Roman" w:hAnsi="Times New Roman" w:cs="Times New Roman"/>
          <w:noProof/>
          <w:sz w:val="24"/>
          <w:szCs w:val="24"/>
        </w:rPr>
        <w:tab/>
        <w:t>S¨uleyman Er, Changwon Suh, Michael P. Marshak, A. Aspuru-guzik, Computational design of molecules for an all-quinone redox flow battery, Chem. Sci. 6 (2015) 845–1592. https://doi.org/10.1039/c4sc03030c.</w:t>
      </w:r>
    </w:p>
    <w:p w14:paraId="38E05FE4"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[37]</w:t>
      </w:r>
      <w:r w:rsidRPr="00B4448E">
        <w:rPr>
          <w:rFonts w:ascii="Times New Roman" w:hAnsi="Times New Roman" w:cs="Times New Roman"/>
          <w:noProof/>
          <w:sz w:val="24"/>
          <w:szCs w:val="24"/>
        </w:rPr>
        <w:tab/>
        <w:t>Y. Ding, C. Zhang, L. Zhang, Y. Zhou, G. Yu, Molecular engineering of organic electroactive materials for redox flow batteries, Chem. Soc. Rev. 47 (2018) 69–103. https://doi.org/10.1039/c7cs00569e.</w:t>
      </w:r>
    </w:p>
    <w:p w14:paraId="12CB8114"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[38]</w:t>
      </w:r>
      <w:r w:rsidRPr="00B4448E">
        <w:rPr>
          <w:rFonts w:ascii="Times New Roman" w:hAnsi="Times New Roman" w:cs="Times New Roman"/>
          <w:noProof/>
          <w:sz w:val="24"/>
          <w:szCs w:val="24"/>
        </w:rPr>
        <w:tab/>
        <w:t>B. Hu, J. Luo, M. Hu, B. Yuan, T.L. Liu, A pH‐Neutral, Metal‐Free Aqueous Organic Redox Flow Battery Employing an Ammonium Anthraquinone Anolyte, Angew. Chemie. 131 (2019) 16782–16789. https://doi.org/10.1002/ange.201907934.</w:t>
      </w:r>
    </w:p>
    <w:p w14:paraId="2423882D"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[39]</w:t>
      </w:r>
      <w:r w:rsidRPr="00B4448E">
        <w:rPr>
          <w:rFonts w:ascii="Times New Roman" w:hAnsi="Times New Roman" w:cs="Times New Roman"/>
          <w:noProof/>
          <w:sz w:val="24"/>
          <w:szCs w:val="24"/>
        </w:rPr>
        <w:tab/>
        <w:t>L. Tong, Y. Jing, R.G. Gordon, M.J. Aziz, Symmetric All-Quinone Aqueous Battery, ACS Appl. Energy Mater. 2 (2019) 4016–4021. https://doi.org/10.1021/acsaem.9b00691.</w:t>
      </w:r>
    </w:p>
    <w:p w14:paraId="022BEAC3"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[40]</w:t>
      </w:r>
      <w:r w:rsidRPr="00B4448E">
        <w:rPr>
          <w:rFonts w:ascii="Times New Roman" w:hAnsi="Times New Roman" w:cs="Times New Roman"/>
          <w:noProof/>
          <w:sz w:val="24"/>
          <w:szCs w:val="24"/>
        </w:rPr>
        <w:tab/>
        <w:t>Y. Ding, Y. Li, G. Yu, Exploring Bio-inspired Quinone-Based Organic Redox Flow Batteries : A Combined Experimental and Computational Study, CHEMPR. 1 (2016) 790–801. https://doi.org/10.1016/j.chempr.2016.09.004.</w:t>
      </w:r>
    </w:p>
    <w:p w14:paraId="69D9E818"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[41]</w:t>
      </w:r>
      <w:r w:rsidRPr="00B4448E">
        <w:rPr>
          <w:rFonts w:ascii="Times New Roman" w:hAnsi="Times New Roman" w:cs="Times New Roman"/>
          <w:noProof/>
          <w:sz w:val="24"/>
          <w:szCs w:val="24"/>
        </w:rPr>
        <w:tab/>
        <w:t>C. Xie, W. Xu, H. Zhang, X. Hu, X. Li, A multi-electron transfer ferrocene derivative positive redox moiety with improved solubility and potential †, ChemComm. 54 (2018) 8419–8422. https://doi.org/10.1039/c8cc04099k.</w:t>
      </w:r>
    </w:p>
    <w:p w14:paraId="67A9D5D5"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[42]</w:t>
      </w:r>
      <w:r w:rsidRPr="00B4448E">
        <w:rPr>
          <w:rFonts w:ascii="Times New Roman" w:hAnsi="Times New Roman" w:cs="Times New Roman"/>
          <w:noProof/>
          <w:sz w:val="24"/>
          <w:szCs w:val="24"/>
        </w:rPr>
        <w:tab/>
        <w:t>C. Peng, G.H. Ning, J. Su, G. Zhong, W. Tang, B. Tian, C. Su, Di. Yu, L. Zu, J. Yang, M.F. Ng, Y.S. Hu, Y. Yang, M. Armand, K.P. Loh, Reversible multi-electron redox chemistry of π-conjugated N-containing heteroaromatic molecule-based organic cathodes, Nat. Energy. 2 (2017) 1–9. https://doi.org/10.1038/nenergy.2017.74.</w:t>
      </w:r>
    </w:p>
    <w:p w14:paraId="797D398C"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[43]</w:t>
      </w:r>
      <w:r w:rsidRPr="00B4448E">
        <w:rPr>
          <w:rFonts w:ascii="Times New Roman" w:hAnsi="Times New Roman" w:cs="Times New Roman"/>
          <w:noProof/>
          <w:sz w:val="24"/>
          <w:szCs w:val="24"/>
        </w:rPr>
        <w:tab/>
        <w:t>K.C. Kim, T. Liu, S.W. Lee, S.S. Jang, First-Principles Density Functional Theory Modeling of Li Binding : Thermodynamics and Redox Properties of Quinone Derivatives for Lithium-Ion Batteries, J. Am. Chem. Soc. 138 (2016) 2374−2382. https://doi.org/10.1021/jacs.5b13279.</w:t>
      </w:r>
    </w:p>
    <w:p w14:paraId="5415A2A6"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[44]</w:t>
      </w:r>
      <w:r w:rsidRPr="00B4448E">
        <w:rPr>
          <w:rFonts w:ascii="Times New Roman" w:hAnsi="Times New Roman" w:cs="Times New Roman"/>
          <w:noProof/>
          <w:sz w:val="24"/>
          <w:szCs w:val="24"/>
        </w:rPr>
        <w:tab/>
        <w:t>Y. Qiao, J. Yi, S. Guo, Y. Sun, S. Wu, X. Liu, S. Yang, P. He, H. Zhou, Li2CO3-free Li-O2/CO2 battery with peroxide discharge product, Energy Environ. Sci. 11 (2018) 1211–1217. https://doi.org/10.1039/c7ee03341a.</w:t>
      </w:r>
    </w:p>
    <w:p w14:paraId="5D0D9EA2"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[45]</w:t>
      </w:r>
      <w:r w:rsidRPr="00B4448E">
        <w:rPr>
          <w:rFonts w:ascii="Times New Roman" w:hAnsi="Times New Roman" w:cs="Times New Roman"/>
          <w:noProof/>
          <w:sz w:val="24"/>
          <w:szCs w:val="24"/>
        </w:rPr>
        <w:tab/>
        <w:t>V. Vattanen, J.A. Pedersen, Electron paramagnetic resonance and cyclic voltammetry studies of the cations and anions of a-aminoanthraquinones obtained by electrochemical oxidatiod/reduction, Chem. Soc. 2 (1996) 2207–2212.</w:t>
      </w:r>
    </w:p>
    <w:p w14:paraId="6E8B8F01"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[46]</w:t>
      </w:r>
      <w:r w:rsidRPr="00B4448E">
        <w:rPr>
          <w:rFonts w:ascii="Times New Roman" w:hAnsi="Times New Roman" w:cs="Times New Roman"/>
          <w:noProof/>
          <w:sz w:val="24"/>
          <w:szCs w:val="24"/>
        </w:rPr>
        <w:tab/>
        <w:t xml:space="preserve">P. Leung, J. Bu, P.Q. Velasco, M.R. Roberts, N. Grobert, P.S. Grant, Single-Step Spray </w:t>
      </w:r>
      <w:r w:rsidRPr="00B4448E">
        <w:rPr>
          <w:rFonts w:ascii="Times New Roman" w:hAnsi="Times New Roman" w:cs="Times New Roman"/>
          <w:noProof/>
          <w:sz w:val="24"/>
          <w:szCs w:val="24"/>
        </w:rPr>
        <w:lastRenderedPageBreak/>
        <w:t>Printing of Symmetric All-Organic Solid- State Batteries Based on Porous Textile Dye Electrodes, Adv. Energy Mater. 1901418 (2019). https://doi.org/10.1002/aenm.201901418.</w:t>
      </w:r>
    </w:p>
    <w:p w14:paraId="7AFA179D"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[47]</w:t>
      </w:r>
      <w:r w:rsidRPr="00B4448E">
        <w:rPr>
          <w:rFonts w:ascii="Times New Roman" w:hAnsi="Times New Roman" w:cs="Times New Roman"/>
          <w:noProof/>
          <w:sz w:val="24"/>
          <w:szCs w:val="24"/>
        </w:rPr>
        <w:tab/>
        <w:t>R.A. Potash, J.R. McKone, S. Conte, H.D. Abruña, On the Benefits of a Symmetric Redox Flow Battery, J. Electrochem. Soc. 163 (2016) A338–A344. https://doi.org/10.1149/2.0971602jes.</w:t>
      </w:r>
    </w:p>
    <w:p w14:paraId="6768E4C8"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[48]</w:t>
      </w:r>
      <w:r w:rsidRPr="00B4448E">
        <w:rPr>
          <w:rFonts w:ascii="Times New Roman" w:hAnsi="Times New Roman" w:cs="Times New Roman"/>
          <w:noProof/>
          <w:sz w:val="24"/>
          <w:szCs w:val="24"/>
        </w:rPr>
        <w:tab/>
        <w:t>H. Chen, Y. Zhou, Y. Lu, Lithium − Organic Nanocomposite Suspension for High-Energy-Density Redox Flow Batteries, ACS Energy Lett. 3 (2018) 1991–1997. https://doi.org/10.1021/acsenergylett.8b01257.</w:t>
      </w:r>
    </w:p>
    <w:p w14:paraId="3E1DCB83"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[49]</w:t>
      </w:r>
      <w:r w:rsidRPr="00B4448E">
        <w:rPr>
          <w:rFonts w:ascii="Times New Roman" w:hAnsi="Times New Roman" w:cs="Times New Roman"/>
          <w:noProof/>
          <w:sz w:val="24"/>
          <w:szCs w:val="24"/>
        </w:rPr>
        <w:tab/>
        <w:t>Q. Huang, J. Yang, C.B. Ng, C. Jia, Q. Wang, A redox flow lithium battery based on the redox targeting reactions between LiFePO4 and iodide, Energy Environ. Sci. 9 (2016) 917–921. https://doi.org/10.1039/c5ee03764f.</w:t>
      </w:r>
    </w:p>
    <w:p w14:paraId="181527ED"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[50]</w:t>
      </w:r>
      <w:r w:rsidRPr="00B4448E">
        <w:rPr>
          <w:rFonts w:ascii="Times New Roman" w:hAnsi="Times New Roman" w:cs="Times New Roman"/>
          <w:noProof/>
          <w:sz w:val="24"/>
          <w:szCs w:val="24"/>
        </w:rPr>
        <w:tab/>
        <w:t>J. Huang, B. Pan, W. Duan, X. Wei, R.S. Assary, L. Su, F.R. Brushett, L. Cheng, C. Liao, M.S. Ferrandon, W. Wang, Z. Zhang, A.K. Burrell, L.A. Curtiss, I.A. Shkrob, J.S. Moore, L. Zhang, The lightest organic radical cation for charge storage in redox flow batteries, Nat. Gr. Publ. 6 (2016) 1–9. https://doi.org/10.1038/srep32102.</w:t>
      </w:r>
    </w:p>
    <w:p w14:paraId="7EA95F93"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[51]</w:t>
      </w:r>
      <w:r w:rsidRPr="00B4448E">
        <w:rPr>
          <w:rFonts w:ascii="Times New Roman" w:hAnsi="Times New Roman" w:cs="Times New Roman"/>
          <w:noProof/>
          <w:sz w:val="24"/>
          <w:szCs w:val="24"/>
        </w:rPr>
        <w:tab/>
        <w:t>X. Wei, W. Xu, M. Vijayakumar, L. Cosimbescu, T. Liu, V. Sprenkle, W. Wang, TEMPO-based catholyte for high-energy density nonaqueous redox flow batteries, Adv. Mater. 26 (2014) 7649–7653. https://doi.org/10.1002/adma.201403746.</w:t>
      </w:r>
    </w:p>
    <w:p w14:paraId="42C4783F"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[52]</w:t>
      </w:r>
      <w:r w:rsidRPr="00B4448E">
        <w:rPr>
          <w:rFonts w:ascii="Times New Roman" w:hAnsi="Times New Roman" w:cs="Times New Roman"/>
          <w:noProof/>
          <w:sz w:val="24"/>
          <w:szCs w:val="24"/>
        </w:rPr>
        <w:tab/>
        <w:t>G. Cong, Y. Zhou, Z. Li, Y.C. Lu, A highly concentrated catholyte enabled by a low-melting-point ferrocene derivative, ACS Energy Lett. 2 (2017) 869–875. https://doi.org/10.1021/acsenergylett.7b00115.</w:t>
      </w:r>
    </w:p>
    <w:p w14:paraId="0645EDD2"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[53]</w:t>
      </w:r>
      <w:r w:rsidRPr="00B4448E">
        <w:rPr>
          <w:rFonts w:ascii="Times New Roman" w:hAnsi="Times New Roman" w:cs="Times New Roman"/>
          <w:noProof/>
          <w:sz w:val="24"/>
          <w:szCs w:val="24"/>
        </w:rPr>
        <w:tab/>
        <w:t>J. Lee, H. Kim, M.J. Park, Long-Life, High-Rate Lithium-Organic Batteries Based on Naphthoquinone Derivatives, Chem. Mater. 28 (2016) 2408–2416. https://doi.org/10.1021/acs.chemmater.6b00624.</w:t>
      </w:r>
    </w:p>
    <w:p w14:paraId="43C1381A"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[54]</w:t>
      </w:r>
      <w:r w:rsidRPr="00B4448E">
        <w:rPr>
          <w:rFonts w:ascii="Times New Roman" w:hAnsi="Times New Roman" w:cs="Times New Roman"/>
          <w:noProof/>
          <w:sz w:val="24"/>
          <w:szCs w:val="24"/>
        </w:rPr>
        <w:tab/>
        <w:t>M. Namazian, H.A. Almodarresieh, M.R. Noorbala, H.R. Zare, DFT calculation of electrode potentials for substituted quinones in aqueous solution, Chem. Phys. Lett. 396 (2004) 424–428. https://doi.org/10.1016/j.cplett.2004.08.089.</w:t>
      </w:r>
    </w:p>
    <w:p w14:paraId="66921ABB"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B4448E">
        <w:rPr>
          <w:rFonts w:ascii="Times New Roman" w:hAnsi="Times New Roman" w:cs="Times New Roman"/>
          <w:noProof/>
          <w:sz w:val="24"/>
          <w:szCs w:val="24"/>
        </w:rPr>
        <w:t>[55]</w:t>
      </w:r>
      <w:r w:rsidRPr="00B4448E">
        <w:rPr>
          <w:rFonts w:ascii="Times New Roman" w:hAnsi="Times New Roman" w:cs="Times New Roman"/>
          <w:noProof/>
          <w:sz w:val="24"/>
          <w:szCs w:val="24"/>
        </w:rPr>
        <w:tab/>
        <w:t>X. Wei, W. Xu, J. Huang, L. Zhang, E. Walter, C. Lawrence, M. Vijayakumar, W.A. Henderson, T. Liu, L. Cosimbescu, B. Li, V. Sprenkle, W. Wang, Radical Compatibility with Nonaqueous Electrolytes and Its Impact on an All-Organic Redox Flow Battery, Angew. Chemie - Int. Ed. 54 (2015) 8684–8687. https://doi.org/10.1002/anie.201501443.</w:t>
      </w:r>
    </w:p>
    <w:p w14:paraId="0E18573F" w14:textId="77777777" w:rsidR="00D75310" w:rsidRPr="00B4448E" w:rsidRDefault="00D75310" w:rsidP="00D75310">
      <w:pPr>
        <w:widowControl w:val="0"/>
        <w:autoSpaceDE w:val="0"/>
        <w:autoSpaceDN w:val="0"/>
        <w:adjustRightInd w:val="0"/>
        <w:spacing w:after="200" w:line="240" w:lineRule="auto"/>
        <w:ind w:left="640" w:hanging="640"/>
        <w:rPr>
          <w:rFonts w:ascii="Times New Roman" w:hAnsi="Times New Roman" w:cs="Times New Roman"/>
          <w:noProof/>
          <w:sz w:val="24"/>
        </w:rPr>
      </w:pPr>
      <w:r w:rsidRPr="00B4448E">
        <w:rPr>
          <w:rFonts w:ascii="Times New Roman" w:hAnsi="Times New Roman" w:cs="Times New Roman"/>
          <w:noProof/>
          <w:sz w:val="24"/>
          <w:szCs w:val="24"/>
        </w:rPr>
        <w:t>[56]</w:t>
      </w:r>
      <w:r w:rsidRPr="00B4448E">
        <w:rPr>
          <w:rFonts w:ascii="Times New Roman" w:hAnsi="Times New Roman" w:cs="Times New Roman"/>
          <w:noProof/>
          <w:sz w:val="24"/>
          <w:szCs w:val="24"/>
        </w:rPr>
        <w:tab/>
        <w:t>J. Yuan, C. Zhang, Y. Zhen, Y. Zhao, Y. Li, Enhancing the performance of an all-organic non-aqueous redox flow battery, J. Power Sources. 443 (2019) 227283. https://doi.org/10.1016/j.jpowsour.2019.227283.</w:t>
      </w:r>
    </w:p>
    <w:p w14:paraId="23D35A72" w14:textId="5D17B40B" w:rsidR="00EA533D" w:rsidRDefault="00284336" w:rsidP="006F1130">
      <w:pPr>
        <w:widowControl w:val="0"/>
        <w:autoSpaceDE w:val="0"/>
        <w:autoSpaceDN w:val="0"/>
        <w:adjustRightInd w:val="0"/>
        <w:spacing w:after="200" w:line="240" w:lineRule="auto"/>
        <w:ind w:left="640" w:hanging="640"/>
        <w:rPr>
          <w:rFonts w:ascii="Times New Roman" w:hAnsi="Times New Roman" w:cs="Times New Roman"/>
        </w:rPr>
      </w:pPr>
      <w:r w:rsidRPr="00B4448E">
        <w:rPr>
          <w:rFonts w:ascii="Times New Roman" w:hAnsi="Times New Roman" w:cs="Times New Roman"/>
          <w:sz w:val="24"/>
          <w:szCs w:val="24"/>
        </w:rPr>
        <w:fldChar w:fldCharType="end"/>
      </w:r>
      <w:r w:rsidR="00433E23">
        <w:rPr>
          <w:rFonts w:ascii="Times New Roman" w:hAnsi="Times New Roman" w:cs="Times New Roman"/>
        </w:rPr>
        <w:t xml:space="preserve"> </w:t>
      </w:r>
    </w:p>
    <w:sectPr w:rsidR="00EA533D">
      <w:footerReference w:type="even" r:id="rId29"/>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BFD14" w14:textId="77777777" w:rsidR="008E12F0" w:rsidRDefault="008E12F0" w:rsidP="00562B41">
      <w:pPr>
        <w:spacing w:after="0" w:line="240" w:lineRule="auto"/>
      </w:pPr>
      <w:r>
        <w:separator/>
      </w:r>
    </w:p>
  </w:endnote>
  <w:endnote w:type="continuationSeparator" w:id="0">
    <w:p w14:paraId="00D81631" w14:textId="77777777" w:rsidR="008E12F0" w:rsidRDefault="008E12F0" w:rsidP="00562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1108766"/>
      <w:docPartObj>
        <w:docPartGallery w:val="Page Numbers (Bottom of Page)"/>
        <w:docPartUnique/>
      </w:docPartObj>
    </w:sdtPr>
    <w:sdtEndPr>
      <w:rPr>
        <w:rStyle w:val="PageNumber"/>
      </w:rPr>
    </w:sdtEndPr>
    <w:sdtContent>
      <w:p w14:paraId="3704128D" w14:textId="1FD86E82" w:rsidR="00B0146D" w:rsidRDefault="00B0146D" w:rsidP="00053C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35477C" w14:textId="77777777" w:rsidR="00B0146D" w:rsidRDefault="00B0146D" w:rsidP="00E174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1639302"/>
      <w:docPartObj>
        <w:docPartGallery w:val="Page Numbers (Bottom of Page)"/>
        <w:docPartUnique/>
      </w:docPartObj>
    </w:sdtPr>
    <w:sdtEndPr>
      <w:rPr>
        <w:rStyle w:val="PageNumber"/>
        <w:rFonts w:ascii="Times New Roman" w:hAnsi="Times New Roman" w:cs="Times New Roman"/>
        <w:sz w:val="24"/>
        <w:szCs w:val="24"/>
      </w:rPr>
    </w:sdtEndPr>
    <w:sdtContent>
      <w:p w14:paraId="38ACF582" w14:textId="5E4A248B" w:rsidR="00B0146D" w:rsidRDefault="00B0146D" w:rsidP="00053CF4">
        <w:pPr>
          <w:pStyle w:val="Footer"/>
          <w:framePr w:wrap="none" w:vAnchor="text" w:hAnchor="margin" w:xAlign="right" w:y="1"/>
          <w:rPr>
            <w:rStyle w:val="PageNumber"/>
          </w:rPr>
        </w:pPr>
        <w:r w:rsidRPr="00291083">
          <w:rPr>
            <w:rStyle w:val="PageNumber"/>
            <w:rFonts w:ascii="Times New Roman" w:hAnsi="Times New Roman" w:cs="Times New Roman"/>
            <w:sz w:val="24"/>
            <w:szCs w:val="24"/>
          </w:rPr>
          <w:fldChar w:fldCharType="begin"/>
        </w:r>
        <w:r w:rsidRPr="00291083">
          <w:rPr>
            <w:rStyle w:val="PageNumber"/>
            <w:rFonts w:ascii="Times New Roman" w:hAnsi="Times New Roman" w:cs="Times New Roman"/>
            <w:sz w:val="24"/>
            <w:szCs w:val="24"/>
          </w:rPr>
          <w:instrText xml:space="preserve"> PAGE </w:instrText>
        </w:r>
        <w:r w:rsidRPr="00291083">
          <w:rPr>
            <w:rStyle w:val="PageNumber"/>
            <w:rFonts w:ascii="Times New Roman" w:hAnsi="Times New Roman" w:cs="Times New Roman"/>
            <w:sz w:val="24"/>
            <w:szCs w:val="24"/>
          </w:rPr>
          <w:fldChar w:fldCharType="separate"/>
        </w:r>
        <w:r w:rsidR="00856C1A">
          <w:rPr>
            <w:rStyle w:val="PageNumber"/>
            <w:rFonts w:ascii="Times New Roman" w:hAnsi="Times New Roman" w:cs="Times New Roman"/>
            <w:noProof/>
            <w:sz w:val="24"/>
            <w:szCs w:val="24"/>
          </w:rPr>
          <w:t>1</w:t>
        </w:r>
        <w:r w:rsidRPr="00291083">
          <w:rPr>
            <w:rStyle w:val="PageNumber"/>
            <w:rFonts w:ascii="Times New Roman" w:hAnsi="Times New Roman" w:cs="Times New Roman"/>
            <w:sz w:val="24"/>
            <w:szCs w:val="24"/>
          </w:rPr>
          <w:fldChar w:fldCharType="end"/>
        </w:r>
      </w:p>
    </w:sdtContent>
  </w:sdt>
  <w:p w14:paraId="65098129" w14:textId="77777777" w:rsidR="00B0146D" w:rsidRDefault="00B0146D" w:rsidP="00E174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AD4FD" w14:textId="77777777" w:rsidR="008E12F0" w:rsidRDefault="008E12F0" w:rsidP="00562B41">
      <w:pPr>
        <w:spacing w:after="0" w:line="240" w:lineRule="auto"/>
      </w:pPr>
      <w:r>
        <w:separator/>
      </w:r>
    </w:p>
  </w:footnote>
  <w:footnote w:type="continuationSeparator" w:id="0">
    <w:p w14:paraId="419625C9" w14:textId="77777777" w:rsidR="008E12F0" w:rsidRDefault="008E12F0" w:rsidP="00562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BD7595"/>
    <w:multiLevelType w:val="hybridMultilevel"/>
    <w:tmpl w:val="113EED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C500E26"/>
    <w:multiLevelType w:val="multilevel"/>
    <w:tmpl w:val="F5CAD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hideSpellingErrors/>
  <w:hideGrammaticalErrors/>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KwMDewsDQyMrA0NjRW0lEKTi0uzszPAykwNqsFABLggSwtAAAA"/>
  </w:docVars>
  <w:rsids>
    <w:rsidRoot w:val="00BB1627"/>
    <w:rsid w:val="000008E3"/>
    <w:rsid w:val="00000CED"/>
    <w:rsid w:val="00000E39"/>
    <w:rsid w:val="0000130A"/>
    <w:rsid w:val="00002651"/>
    <w:rsid w:val="0000467B"/>
    <w:rsid w:val="000048E5"/>
    <w:rsid w:val="00004E04"/>
    <w:rsid w:val="0000613E"/>
    <w:rsid w:val="0000697B"/>
    <w:rsid w:val="000078E3"/>
    <w:rsid w:val="00007F35"/>
    <w:rsid w:val="0001180A"/>
    <w:rsid w:val="0001243F"/>
    <w:rsid w:val="00013318"/>
    <w:rsid w:val="00013AB3"/>
    <w:rsid w:val="00014B4F"/>
    <w:rsid w:val="00015AA5"/>
    <w:rsid w:val="00016811"/>
    <w:rsid w:val="00016909"/>
    <w:rsid w:val="000172CB"/>
    <w:rsid w:val="00017DCF"/>
    <w:rsid w:val="00020653"/>
    <w:rsid w:val="00020FDA"/>
    <w:rsid w:val="000210D0"/>
    <w:rsid w:val="0002216A"/>
    <w:rsid w:val="00023EB2"/>
    <w:rsid w:val="00024072"/>
    <w:rsid w:val="00024B50"/>
    <w:rsid w:val="0002508C"/>
    <w:rsid w:val="00026544"/>
    <w:rsid w:val="00026649"/>
    <w:rsid w:val="00026772"/>
    <w:rsid w:val="00026A27"/>
    <w:rsid w:val="00026C17"/>
    <w:rsid w:val="00026F6B"/>
    <w:rsid w:val="000302EF"/>
    <w:rsid w:val="000306DC"/>
    <w:rsid w:val="00030AC9"/>
    <w:rsid w:val="00031E8C"/>
    <w:rsid w:val="00031F60"/>
    <w:rsid w:val="000320B1"/>
    <w:rsid w:val="000326D8"/>
    <w:rsid w:val="000329D2"/>
    <w:rsid w:val="00033EC1"/>
    <w:rsid w:val="0003556F"/>
    <w:rsid w:val="000356E6"/>
    <w:rsid w:val="000402E8"/>
    <w:rsid w:val="000413D5"/>
    <w:rsid w:val="0004177E"/>
    <w:rsid w:val="00041811"/>
    <w:rsid w:val="00042103"/>
    <w:rsid w:val="00042BBE"/>
    <w:rsid w:val="00044666"/>
    <w:rsid w:val="0004489E"/>
    <w:rsid w:val="00044E1C"/>
    <w:rsid w:val="00046FD3"/>
    <w:rsid w:val="0005065E"/>
    <w:rsid w:val="000506CA"/>
    <w:rsid w:val="00051277"/>
    <w:rsid w:val="00051471"/>
    <w:rsid w:val="00051A9F"/>
    <w:rsid w:val="00051FD1"/>
    <w:rsid w:val="000521ED"/>
    <w:rsid w:val="00053FAB"/>
    <w:rsid w:val="00054E23"/>
    <w:rsid w:val="00055604"/>
    <w:rsid w:val="00055998"/>
    <w:rsid w:val="00056426"/>
    <w:rsid w:val="0005712D"/>
    <w:rsid w:val="0006082C"/>
    <w:rsid w:val="00060BB2"/>
    <w:rsid w:val="00063F2C"/>
    <w:rsid w:val="00065365"/>
    <w:rsid w:val="000656FA"/>
    <w:rsid w:val="00065765"/>
    <w:rsid w:val="00066151"/>
    <w:rsid w:val="00067430"/>
    <w:rsid w:val="00067B71"/>
    <w:rsid w:val="00067BE2"/>
    <w:rsid w:val="00072635"/>
    <w:rsid w:val="000726D2"/>
    <w:rsid w:val="000729EE"/>
    <w:rsid w:val="00072D14"/>
    <w:rsid w:val="00072EEC"/>
    <w:rsid w:val="0007367C"/>
    <w:rsid w:val="00073682"/>
    <w:rsid w:val="00075806"/>
    <w:rsid w:val="00075912"/>
    <w:rsid w:val="0007613E"/>
    <w:rsid w:val="000767AD"/>
    <w:rsid w:val="0007681F"/>
    <w:rsid w:val="000778E6"/>
    <w:rsid w:val="00077E10"/>
    <w:rsid w:val="00080569"/>
    <w:rsid w:val="000807A0"/>
    <w:rsid w:val="00081157"/>
    <w:rsid w:val="000813ED"/>
    <w:rsid w:val="0008415A"/>
    <w:rsid w:val="000846E9"/>
    <w:rsid w:val="00084EE7"/>
    <w:rsid w:val="00085B0B"/>
    <w:rsid w:val="00085B7F"/>
    <w:rsid w:val="00086FD0"/>
    <w:rsid w:val="0008750E"/>
    <w:rsid w:val="00087807"/>
    <w:rsid w:val="00087AF2"/>
    <w:rsid w:val="0009080A"/>
    <w:rsid w:val="00091684"/>
    <w:rsid w:val="00091CB9"/>
    <w:rsid w:val="00093103"/>
    <w:rsid w:val="0009320E"/>
    <w:rsid w:val="0009394D"/>
    <w:rsid w:val="00093FC6"/>
    <w:rsid w:val="0009637C"/>
    <w:rsid w:val="000A1D93"/>
    <w:rsid w:val="000A2C82"/>
    <w:rsid w:val="000A2E6A"/>
    <w:rsid w:val="000A3FFD"/>
    <w:rsid w:val="000A4016"/>
    <w:rsid w:val="000A4052"/>
    <w:rsid w:val="000A63C8"/>
    <w:rsid w:val="000A7539"/>
    <w:rsid w:val="000A75F2"/>
    <w:rsid w:val="000A7FD0"/>
    <w:rsid w:val="000B1963"/>
    <w:rsid w:val="000B1E2A"/>
    <w:rsid w:val="000B429D"/>
    <w:rsid w:val="000B4D28"/>
    <w:rsid w:val="000B4E48"/>
    <w:rsid w:val="000B7014"/>
    <w:rsid w:val="000C0B6E"/>
    <w:rsid w:val="000C0EDB"/>
    <w:rsid w:val="000C0F84"/>
    <w:rsid w:val="000C32A3"/>
    <w:rsid w:val="000C3544"/>
    <w:rsid w:val="000C3A7C"/>
    <w:rsid w:val="000C3BC4"/>
    <w:rsid w:val="000C5A01"/>
    <w:rsid w:val="000D02F3"/>
    <w:rsid w:val="000D04DB"/>
    <w:rsid w:val="000D1476"/>
    <w:rsid w:val="000D167D"/>
    <w:rsid w:val="000D1751"/>
    <w:rsid w:val="000D2904"/>
    <w:rsid w:val="000D2915"/>
    <w:rsid w:val="000D2F3A"/>
    <w:rsid w:val="000D59AB"/>
    <w:rsid w:val="000D5F52"/>
    <w:rsid w:val="000D5F90"/>
    <w:rsid w:val="000D6187"/>
    <w:rsid w:val="000D6215"/>
    <w:rsid w:val="000D7D6E"/>
    <w:rsid w:val="000D7F14"/>
    <w:rsid w:val="000E201C"/>
    <w:rsid w:val="000E2593"/>
    <w:rsid w:val="000E2B7E"/>
    <w:rsid w:val="000E3E97"/>
    <w:rsid w:val="000E53DD"/>
    <w:rsid w:val="000E5CDA"/>
    <w:rsid w:val="000E650F"/>
    <w:rsid w:val="000E67BE"/>
    <w:rsid w:val="000F18D5"/>
    <w:rsid w:val="000F2750"/>
    <w:rsid w:val="000F3909"/>
    <w:rsid w:val="000F3F1C"/>
    <w:rsid w:val="000F5CC9"/>
    <w:rsid w:val="000F6530"/>
    <w:rsid w:val="000F704A"/>
    <w:rsid w:val="000F7E33"/>
    <w:rsid w:val="00101B41"/>
    <w:rsid w:val="00102699"/>
    <w:rsid w:val="001028FF"/>
    <w:rsid w:val="00103632"/>
    <w:rsid w:val="001037DF"/>
    <w:rsid w:val="0010396B"/>
    <w:rsid w:val="00103C28"/>
    <w:rsid w:val="00103C42"/>
    <w:rsid w:val="00104C27"/>
    <w:rsid w:val="00105B1B"/>
    <w:rsid w:val="00107321"/>
    <w:rsid w:val="001074C5"/>
    <w:rsid w:val="00107EE7"/>
    <w:rsid w:val="00110777"/>
    <w:rsid w:val="00111D11"/>
    <w:rsid w:val="00111F8E"/>
    <w:rsid w:val="0011211D"/>
    <w:rsid w:val="00112BF7"/>
    <w:rsid w:val="001131C9"/>
    <w:rsid w:val="00113D85"/>
    <w:rsid w:val="001149B3"/>
    <w:rsid w:val="0011792A"/>
    <w:rsid w:val="00120F6B"/>
    <w:rsid w:val="00121127"/>
    <w:rsid w:val="00121AD6"/>
    <w:rsid w:val="00122051"/>
    <w:rsid w:val="001222A1"/>
    <w:rsid w:val="00122C58"/>
    <w:rsid w:val="001245D0"/>
    <w:rsid w:val="00124A88"/>
    <w:rsid w:val="00125563"/>
    <w:rsid w:val="00125895"/>
    <w:rsid w:val="0012601E"/>
    <w:rsid w:val="00126487"/>
    <w:rsid w:val="001277FC"/>
    <w:rsid w:val="00127953"/>
    <w:rsid w:val="00130356"/>
    <w:rsid w:val="001303E5"/>
    <w:rsid w:val="00130EF3"/>
    <w:rsid w:val="00131130"/>
    <w:rsid w:val="001312AE"/>
    <w:rsid w:val="00131979"/>
    <w:rsid w:val="00133316"/>
    <w:rsid w:val="0013362D"/>
    <w:rsid w:val="0013581A"/>
    <w:rsid w:val="00142209"/>
    <w:rsid w:val="001426B9"/>
    <w:rsid w:val="00142B72"/>
    <w:rsid w:val="00143CFF"/>
    <w:rsid w:val="00143D02"/>
    <w:rsid w:val="00144A07"/>
    <w:rsid w:val="00144F99"/>
    <w:rsid w:val="001451BB"/>
    <w:rsid w:val="001452A8"/>
    <w:rsid w:val="00146025"/>
    <w:rsid w:val="001500EF"/>
    <w:rsid w:val="00150395"/>
    <w:rsid w:val="0015115A"/>
    <w:rsid w:val="00151459"/>
    <w:rsid w:val="00151491"/>
    <w:rsid w:val="00152653"/>
    <w:rsid w:val="001559AB"/>
    <w:rsid w:val="001562A9"/>
    <w:rsid w:val="0015657A"/>
    <w:rsid w:val="00157297"/>
    <w:rsid w:val="00157CF2"/>
    <w:rsid w:val="00157FD0"/>
    <w:rsid w:val="001608EA"/>
    <w:rsid w:val="00160BE5"/>
    <w:rsid w:val="00162136"/>
    <w:rsid w:val="00162957"/>
    <w:rsid w:val="00162984"/>
    <w:rsid w:val="001632F1"/>
    <w:rsid w:val="00163D2D"/>
    <w:rsid w:val="00163E52"/>
    <w:rsid w:val="001643F4"/>
    <w:rsid w:val="00164421"/>
    <w:rsid w:val="0016470E"/>
    <w:rsid w:val="00164BA5"/>
    <w:rsid w:val="00165227"/>
    <w:rsid w:val="00166743"/>
    <w:rsid w:val="00167563"/>
    <w:rsid w:val="0017098B"/>
    <w:rsid w:val="001723EF"/>
    <w:rsid w:val="0017328C"/>
    <w:rsid w:val="0017426E"/>
    <w:rsid w:val="00174848"/>
    <w:rsid w:val="00175A58"/>
    <w:rsid w:val="001766F3"/>
    <w:rsid w:val="001811F7"/>
    <w:rsid w:val="00182408"/>
    <w:rsid w:val="00182843"/>
    <w:rsid w:val="001828FA"/>
    <w:rsid w:val="00183DEE"/>
    <w:rsid w:val="001852DA"/>
    <w:rsid w:val="0018671D"/>
    <w:rsid w:val="0018722C"/>
    <w:rsid w:val="001877BC"/>
    <w:rsid w:val="00190BC4"/>
    <w:rsid w:val="00190E08"/>
    <w:rsid w:val="00191AA9"/>
    <w:rsid w:val="00192867"/>
    <w:rsid w:val="001929C5"/>
    <w:rsid w:val="0019381C"/>
    <w:rsid w:val="00193DD4"/>
    <w:rsid w:val="001944BD"/>
    <w:rsid w:val="0019607F"/>
    <w:rsid w:val="00196D6B"/>
    <w:rsid w:val="001A0E08"/>
    <w:rsid w:val="001A0E16"/>
    <w:rsid w:val="001A0FB5"/>
    <w:rsid w:val="001A10DD"/>
    <w:rsid w:val="001A18D1"/>
    <w:rsid w:val="001A1A26"/>
    <w:rsid w:val="001A1F48"/>
    <w:rsid w:val="001A22DC"/>
    <w:rsid w:val="001A340B"/>
    <w:rsid w:val="001A3414"/>
    <w:rsid w:val="001A4178"/>
    <w:rsid w:val="001A5B6E"/>
    <w:rsid w:val="001A5C26"/>
    <w:rsid w:val="001A5D7A"/>
    <w:rsid w:val="001A6ACA"/>
    <w:rsid w:val="001A6F57"/>
    <w:rsid w:val="001A7351"/>
    <w:rsid w:val="001A7A5D"/>
    <w:rsid w:val="001A7AB5"/>
    <w:rsid w:val="001B0944"/>
    <w:rsid w:val="001B09D7"/>
    <w:rsid w:val="001B1235"/>
    <w:rsid w:val="001B20E3"/>
    <w:rsid w:val="001B3C12"/>
    <w:rsid w:val="001B4E53"/>
    <w:rsid w:val="001B4E5B"/>
    <w:rsid w:val="001B66EE"/>
    <w:rsid w:val="001B7040"/>
    <w:rsid w:val="001B7426"/>
    <w:rsid w:val="001B78C1"/>
    <w:rsid w:val="001C00FE"/>
    <w:rsid w:val="001C1F06"/>
    <w:rsid w:val="001C22BF"/>
    <w:rsid w:val="001C4E27"/>
    <w:rsid w:val="001C5092"/>
    <w:rsid w:val="001C56D9"/>
    <w:rsid w:val="001C57BC"/>
    <w:rsid w:val="001C6B7B"/>
    <w:rsid w:val="001C740A"/>
    <w:rsid w:val="001C7EA8"/>
    <w:rsid w:val="001D0AAB"/>
    <w:rsid w:val="001D1C22"/>
    <w:rsid w:val="001D2305"/>
    <w:rsid w:val="001D2591"/>
    <w:rsid w:val="001D2AA6"/>
    <w:rsid w:val="001D3083"/>
    <w:rsid w:val="001D3161"/>
    <w:rsid w:val="001D3682"/>
    <w:rsid w:val="001D3B74"/>
    <w:rsid w:val="001D3E4D"/>
    <w:rsid w:val="001D4356"/>
    <w:rsid w:val="001D48CE"/>
    <w:rsid w:val="001D7B64"/>
    <w:rsid w:val="001E0CBF"/>
    <w:rsid w:val="001E0F7E"/>
    <w:rsid w:val="001E150C"/>
    <w:rsid w:val="001E186A"/>
    <w:rsid w:val="001E261F"/>
    <w:rsid w:val="001E2B89"/>
    <w:rsid w:val="001E3368"/>
    <w:rsid w:val="001E3725"/>
    <w:rsid w:val="001E3984"/>
    <w:rsid w:val="001E3F30"/>
    <w:rsid w:val="001E4327"/>
    <w:rsid w:val="001E5567"/>
    <w:rsid w:val="001E5CAB"/>
    <w:rsid w:val="001E61DB"/>
    <w:rsid w:val="001E63BC"/>
    <w:rsid w:val="001E78A1"/>
    <w:rsid w:val="001F0C0F"/>
    <w:rsid w:val="001F545B"/>
    <w:rsid w:val="001F56AA"/>
    <w:rsid w:val="001F5ECB"/>
    <w:rsid w:val="001F620F"/>
    <w:rsid w:val="001F6480"/>
    <w:rsid w:val="001F700B"/>
    <w:rsid w:val="001F715C"/>
    <w:rsid w:val="002003BC"/>
    <w:rsid w:val="002003C7"/>
    <w:rsid w:val="00200BAA"/>
    <w:rsid w:val="00202AFF"/>
    <w:rsid w:val="00203320"/>
    <w:rsid w:val="0020354B"/>
    <w:rsid w:val="00203CDA"/>
    <w:rsid w:val="00204A9D"/>
    <w:rsid w:val="00204CB6"/>
    <w:rsid w:val="00205070"/>
    <w:rsid w:val="002052FF"/>
    <w:rsid w:val="002057A0"/>
    <w:rsid w:val="00206D76"/>
    <w:rsid w:val="002074F7"/>
    <w:rsid w:val="00210CD1"/>
    <w:rsid w:val="00210DCF"/>
    <w:rsid w:val="00211BA4"/>
    <w:rsid w:val="00213237"/>
    <w:rsid w:val="00214003"/>
    <w:rsid w:val="002142A1"/>
    <w:rsid w:val="002148E1"/>
    <w:rsid w:val="00214DCB"/>
    <w:rsid w:val="00215BF9"/>
    <w:rsid w:val="00217739"/>
    <w:rsid w:val="002179E3"/>
    <w:rsid w:val="00217B33"/>
    <w:rsid w:val="002217B3"/>
    <w:rsid w:val="00221F85"/>
    <w:rsid w:val="0022234A"/>
    <w:rsid w:val="00222465"/>
    <w:rsid w:val="002229DB"/>
    <w:rsid w:val="00222B3A"/>
    <w:rsid w:val="00222C53"/>
    <w:rsid w:val="00223328"/>
    <w:rsid w:val="00223837"/>
    <w:rsid w:val="00223B38"/>
    <w:rsid w:val="00224A7F"/>
    <w:rsid w:val="00225058"/>
    <w:rsid w:val="0022507E"/>
    <w:rsid w:val="00226388"/>
    <w:rsid w:val="002301D1"/>
    <w:rsid w:val="002304B9"/>
    <w:rsid w:val="00230CB1"/>
    <w:rsid w:val="0023142E"/>
    <w:rsid w:val="00234653"/>
    <w:rsid w:val="002348EF"/>
    <w:rsid w:val="002348FA"/>
    <w:rsid w:val="00235206"/>
    <w:rsid w:val="00235632"/>
    <w:rsid w:val="002359A9"/>
    <w:rsid w:val="0023600A"/>
    <w:rsid w:val="00236259"/>
    <w:rsid w:val="002367E2"/>
    <w:rsid w:val="00236C85"/>
    <w:rsid w:val="00237334"/>
    <w:rsid w:val="00237C45"/>
    <w:rsid w:val="002406DD"/>
    <w:rsid w:val="002417BD"/>
    <w:rsid w:val="00241E5D"/>
    <w:rsid w:val="00242313"/>
    <w:rsid w:val="00242B96"/>
    <w:rsid w:val="0024325A"/>
    <w:rsid w:val="00243D2E"/>
    <w:rsid w:val="00243E15"/>
    <w:rsid w:val="00244517"/>
    <w:rsid w:val="0024502A"/>
    <w:rsid w:val="00245608"/>
    <w:rsid w:val="0024670B"/>
    <w:rsid w:val="00247542"/>
    <w:rsid w:val="00250BA9"/>
    <w:rsid w:val="0025178E"/>
    <w:rsid w:val="00251AA1"/>
    <w:rsid w:val="002534B0"/>
    <w:rsid w:val="00253FCD"/>
    <w:rsid w:val="00254D4B"/>
    <w:rsid w:val="0026095B"/>
    <w:rsid w:val="002615B8"/>
    <w:rsid w:val="0026179C"/>
    <w:rsid w:val="00261E35"/>
    <w:rsid w:val="00262D75"/>
    <w:rsid w:val="00263325"/>
    <w:rsid w:val="00265FEB"/>
    <w:rsid w:val="0027003E"/>
    <w:rsid w:val="00270F27"/>
    <w:rsid w:val="002710BA"/>
    <w:rsid w:val="0027113B"/>
    <w:rsid w:val="00271BC0"/>
    <w:rsid w:val="00274B38"/>
    <w:rsid w:val="00275478"/>
    <w:rsid w:val="00275606"/>
    <w:rsid w:val="002760DE"/>
    <w:rsid w:val="00276656"/>
    <w:rsid w:val="0027666E"/>
    <w:rsid w:val="002766C8"/>
    <w:rsid w:val="002769D0"/>
    <w:rsid w:val="002777DB"/>
    <w:rsid w:val="0028008D"/>
    <w:rsid w:val="00280A65"/>
    <w:rsid w:val="00282373"/>
    <w:rsid w:val="0028338D"/>
    <w:rsid w:val="00283DDB"/>
    <w:rsid w:val="00283ED1"/>
    <w:rsid w:val="00284213"/>
    <w:rsid w:val="00284336"/>
    <w:rsid w:val="0028474E"/>
    <w:rsid w:val="0028524E"/>
    <w:rsid w:val="00285AD9"/>
    <w:rsid w:val="002866AB"/>
    <w:rsid w:val="0028715C"/>
    <w:rsid w:val="00287F1D"/>
    <w:rsid w:val="00291083"/>
    <w:rsid w:val="002918A6"/>
    <w:rsid w:val="00293694"/>
    <w:rsid w:val="00293CE0"/>
    <w:rsid w:val="002940E1"/>
    <w:rsid w:val="00295041"/>
    <w:rsid w:val="0029688D"/>
    <w:rsid w:val="00297356"/>
    <w:rsid w:val="002A0971"/>
    <w:rsid w:val="002A0AEF"/>
    <w:rsid w:val="002A2A34"/>
    <w:rsid w:val="002A2F91"/>
    <w:rsid w:val="002A3173"/>
    <w:rsid w:val="002A355A"/>
    <w:rsid w:val="002A4271"/>
    <w:rsid w:val="002A4BDB"/>
    <w:rsid w:val="002A4DA7"/>
    <w:rsid w:val="002A4FD0"/>
    <w:rsid w:val="002A581E"/>
    <w:rsid w:val="002A5CCE"/>
    <w:rsid w:val="002A6471"/>
    <w:rsid w:val="002A7EEE"/>
    <w:rsid w:val="002B0101"/>
    <w:rsid w:val="002B0721"/>
    <w:rsid w:val="002B0DC9"/>
    <w:rsid w:val="002B0EE0"/>
    <w:rsid w:val="002B18D7"/>
    <w:rsid w:val="002B4452"/>
    <w:rsid w:val="002B629C"/>
    <w:rsid w:val="002B6962"/>
    <w:rsid w:val="002C0865"/>
    <w:rsid w:val="002C20FD"/>
    <w:rsid w:val="002C3167"/>
    <w:rsid w:val="002C3562"/>
    <w:rsid w:val="002C391F"/>
    <w:rsid w:val="002C590F"/>
    <w:rsid w:val="002C617A"/>
    <w:rsid w:val="002C6479"/>
    <w:rsid w:val="002C72C1"/>
    <w:rsid w:val="002D0940"/>
    <w:rsid w:val="002D23BE"/>
    <w:rsid w:val="002D26EE"/>
    <w:rsid w:val="002D51D2"/>
    <w:rsid w:val="002D542C"/>
    <w:rsid w:val="002D5F70"/>
    <w:rsid w:val="002D6374"/>
    <w:rsid w:val="002D6A61"/>
    <w:rsid w:val="002E0216"/>
    <w:rsid w:val="002E0532"/>
    <w:rsid w:val="002E249F"/>
    <w:rsid w:val="002E2DF2"/>
    <w:rsid w:val="002E310A"/>
    <w:rsid w:val="002E348E"/>
    <w:rsid w:val="002E3677"/>
    <w:rsid w:val="002E3826"/>
    <w:rsid w:val="002E427D"/>
    <w:rsid w:val="002E5124"/>
    <w:rsid w:val="002E56AB"/>
    <w:rsid w:val="002E56E3"/>
    <w:rsid w:val="002E6A46"/>
    <w:rsid w:val="002E732C"/>
    <w:rsid w:val="002F0647"/>
    <w:rsid w:val="002F0B87"/>
    <w:rsid w:val="002F1748"/>
    <w:rsid w:val="002F19BC"/>
    <w:rsid w:val="002F23E8"/>
    <w:rsid w:val="002F26F2"/>
    <w:rsid w:val="002F2926"/>
    <w:rsid w:val="002F51A9"/>
    <w:rsid w:val="002F5327"/>
    <w:rsid w:val="002F5581"/>
    <w:rsid w:val="002F5AF7"/>
    <w:rsid w:val="002F5CA7"/>
    <w:rsid w:val="002F783D"/>
    <w:rsid w:val="002F78E3"/>
    <w:rsid w:val="002F798A"/>
    <w:rsid w:val="002F7CDC"/>
    <w:rsid w:val="003014FA"/>
    <w:rsid w:val="003021DC"/>
    <w:rsid w:val="003022A7"/>
    <w:rsid w:val="00302536"/>
    <w:rsid w:val="00302A1D"/>
    <w:rsid w:val="00302F21"/>
    <w:rsid w:val="003060B1"/>
    <w:rsid w:val="0030747C"/>
    <w:rsid w:val="003107FA"/>
    <w:rsid w:val="00310C0B"/>
    <w:rsid w:val="00310EE3"/>
    <w:rsid w:val="00311776"/>
    <w:rsid w:val="00313C47"/>
    <w:rsid w:val="003149A8"/>
    <w:rsid w:val="0031589C"/>
    <w:rsid w:val="00315DFC"/>
    <w:rsid w:val="003167E3"/>
    <w:rsid w:val="0031777D"/>
    <w:rsid w:val="003209FA"/>
    <w:rsid w:val="00321187"/>
    <w:rsid w:val="003211ED"/>
    <w:rsid w:val="00322F04"/>
    <w:rsid w:val="00323624"/>
    <w:rsid w:val="003244F5"/>
    <w:rsid w:val="003253AC"/>
    <w:rsid w:val="003259B0"/>
    <w:rsid w:val="0032744E"/>
    <w:rsid w:val="0032746A"/>
    <w:rsid w:val="00330127"/>
    <w:rsid w:val="00331E55"/>
    <w:rsid w:val="00332014"/>
    <w:rsid w:val="003325D4"/>
    <w:rsid w:val="00333ED3"/>
    <w:rsid w:val="00334BC5"/>
    <w:rsid w:val="00334D82"/>
    <w:rsid w:val="00335801"/>
    <w:rsid w:val="003361FA"/>
    <w:rsid w:val="00337315"/>
    <w:rsid w:val="003373A2"/>
    <w:rsid w:val="00337807"/>
    <w:rsid w:val="00337FE5"/>
    <w:rsid w:val="00341841"/>
    <w:rsid w:val="0034189C"/>
    <w:rsid w:val="003422A7"/>
    <w:rsid w:val="00343329"/>
    <w:rsid w:val="003444DB"/>
    <w:rsid w:val="0034534D"/>
    <w:rsid w:val="003459D6"/>
    <w:rsid w:val="00346D75"/>
    <w:rsid w:val="00346F90"/>
    <w:rsid w:val="0034784E"/>
    <w:rsid w:val="003505BA"/>
    <w:rsid w:val="00352193"/>
    <w:rsid w:val="00352E41"/>
    <w:rsid w:val="0035374A"/>
    <w:rsid w:val="003541AC"/>
    <w:rsid w:val="00355BCB"/>
    <w:rsid w:val="00355F68"/>
    <w:rsid w:val="00357EDE"/>
    <w:rsid w:val="003617D4"/>
    <w:rsid w:val="00361DBF"/>
    <w:rsid w:val="0036245D"/>
    <w:rsid w:val="003631E2"/>
    <w:rsid w:val="00363D05"/>
    <w:rsid w:val="003644FD"/>
    <w:rsid w:val="003663DD"/>
    <w:rsid w:val="00366A0B"/>
    <w:rsid w:val="00367272"/>
    <w:rsid w:val="00367EE3"/>
    <w:rsid w:val="00367F40"/>
    <w:rsid w:val="003703BD"/>
    <w:rsid w:val="003722AD"/>
    <w:rsid w:val="0037246E"/>
    <w:rsid w:val="00372A67"/>
    <w:rsid w:val="00372BDB"/>
    <w:rsid w:val="0037302B"/>
    <w:rsid w:val="003736C0"/>
    <w:rsid w:val="00373BC8"/>
    <w:rsid w:val="003763DA"/>
    <w:rsid w:val="00377B41"/>
    <w:rsid w:val="00380245"/>
    <w:rsid w:val="00380646"/>
    <w:rsid w:val="003807E6"/>
    <w:rsid w:val="00380EDB"/>
    <w:rsid w:val="00381465"/>
    <w:rsid w:val="00382563"/>
    <w:rsid w:val="00382D99"/>
    <w:rsid w:val="00382E9B"/>
    <w:rsid w:val="0038401F"/>
    <w:rsid w:val="0038443E"/>
    <w:rsid w:val="003849C4"/>
    <w:rsid w:val="00384DD7"/>
    <w:rsid w:val="00384E75"/>
    <w:rsid w:val="00386222"/>
    <w:rsid w:val="0038635A"/>
    <w:rsid w:val="00387E80"/>
    <w:rsid w:val="003915EB"/>
    <w:rsid w:val="00391B35"/>
    <w:rsid w:val="0039205E"/>
    <w:rsid w:val="003928DD"/>
    <w:rsid w:val="00393017"/>
    <w:rsid w:val="00393FCE"/>
    <w:rsid w:val="0039502A"/>
    <w:rsid w:val="0039504E"/>
    <w:rsid w:val="003976FB"/>
    <w:rsid w:val="003A1314"/>
    <w:rsid w:val="003A16A7"/>
    <w:rsid w:val="003A1BAD"/>
    <w:rsid w:val="003A330E"/>
    <w:rsid w:val="003A5692"/>
    <w:rsid w:val="003A6727"/>
    <w:rsid w:val="003A674F"/>
    <w:rsid w:val="003A6B20"/>
    <w:rsid w:val="003A6E39"/>
    <w:rsid w:val="003A7EEE"/>
    <w:rsid w:val="003B0B02"/>
    <w:rsid w:val="003B2FDE"/>
    <w:rsid w:val="003B32D0"/>
    <w:rsid w:val="003B4FC2"/>
    <w:rsid w:val="003B5A19"/>
    <w:rsid w:val="003B5B0E"/>
    <w:rsid w:val="003B5C07"/>
    <w:rsid w:val="003C0720"/>
    <w:rsid w:val="003C07FB"/>
    <w:rsid w:val="003C182B"/>
    <w:rsid w:val="003C3357"/>
    <w:rsid w:val="003C3398"/>
    <w:rsid w:val="003C45B0"/>
    <w:rsid w:val="003C4E13"/>
    <w:rsid w:val="003C56F9"/>
    <w:rsid w:val="003C69C1"/>
    <w:rsid w:val="003C7869"/>
    <w:rsid w:val="003C7C72"/>
    <w:rsid w:val="003C7D7D"/>
    <w:rsid w:val="003D03CC"/>
    <w:rsid w:val="003D2588"/>
    <w:rsid w:val="003D36C5"/>
    <w:rsid w:val="003D443C"/>
    <w:rsid w:val="003D48F4"/>
    <w:rsid w:val="003D4AA8"/>
    <w:rsid w:val="003D5C1D"/>
    <w:rsid w:val="003D61D6"/>
    <w:rsid w:val="003D6B43"/>
    <w:rsid w:val="003D7384"/>
    <w:rsid w:val="003D7E1D"/>
    <w:rsid w:val="003E028C"/>
    <w:rsid w:val="003E0B97"/>
    <w:rsid w:val="003E1648"/>
    <w:rsid w:val="003E1E37"/>
    <w:rsid w:val="003E2E25"/>
    <w:rsid w:val="003E39DC"/>
    <w:rsid w:val="003E4788"/>
    <w:rsid w:val="003E571B"/>
    <w:rsid w:val="003E78BA"/>
    <w:rsid w:val="003E795F"/>
    <w:rsid w:val="003F00E9"/>
    <w:rsid w:val="003F0994"/>
    <w:rsid w:val="003F1203"/>
    <w:rsid w:val="003F1263"/>
    <w:rsid w:val="003F1767"/>
    <w:rsid w:val="003F2C1A"/>
    <w:rsid w:val="003F306C"/>
    <w:rsid w:val="003F3D14"/>
    <w:rsid w:val="003F4349"/>
    <w:rsid w:val="003F4C85"/>
    <w:rsid w:val="003F7833"/>
    <w:rsid w:val="003F7FB2"/>
    <w:rsid w:val="003F7FEF"/>
    <w:rsid w:val="004014D9"/>
    <w:rsid w:val="0040222D"/>
    <w:rsid w:val="00403839"/>
    <w:rsid w:val="0040496F"/>
    <w:rsid w:val="00405790"/>
    <w:rsid w:val="00405D39"/>
    <w:rsid w:val="004060ED"/>
    <w:rsid w:val="00406CE3"/>
    <w:rsid w:val="00406F93"/>
    <w:rsid w:val="00410F89"/>
    <w:rsid w:val="00411927"/>
    <w:rsid w:val="00412E3C"/>
    <w:rsid w:val="004139C5"/>
    <w:rsid w:val="00413E0E"/>
    <w:rsid w:val="00413F06"/>
    <w:rsid w:val="00414B47"/>
    <w:rsid w:val="00414C2F"/>
    <w:rsid w:val="00417CC8"/>
    <w:rsid w:val="00417D0C"/>
    <w:rsid w:val="0042072F"/>
    <w:rsid w:val="00420A02"/>
    <w:rsid w:val="004215FF"/>
    <w:rsid w:val="004235B4"/>
    <w:rsid w:val="00423E02"/>
    <w:rsid w:val="00425087"/>
    <w:rsid w:val="00425578"/>
    <w:rsid w:val="00425C80"/>
    <w:rsid w:val="0042623E"/>
    <w:rsid w:val="004262F5"/>
    <w:rsid w:val="00427F30"/>
    <w:rsid w:val="004300B9"/>
    <w:rsid w:val="00431CE7"/>
    <w:rsid w:val="00432AE3"/>
    <w:rsid w:val="00432BC9"/>
    <w:rsid w:val="00433A27"/>
    <w:rsid w:val="00433E23"/>
    <w:rsid w:val="004355BE"/>
    <w:rsid w:val="00435CE3"/>
    <w:rsid w:val="004366F3"/>
    <w:rsid w:val="004379DE"/>
    <w:rsid w:val="00437FAE"/>
    <w:rsid w:val="004404A7"/>
    <w:rsid w:val="00440B02"/>
    <w:rsid w:val="00440F47"/>
    <w:rsid w:val="004411C1"/>
    <w:rsid w:val="0044277A"/>
    <w:rsid w:val="0044294D"/>
    <w:rsid w:val="0044592D"/>
    <w:rsid w:val="00445C92"/>
    <w:rsid w:val="0044635B"/>
    <w:rsid w:val="0044640D"/>
    <w:rsid w:val="0044661E"/>
    <w:rsid w:val="0044774D"/>
    <w:rsid w:val="00447782"/>
    <w:rsid w:val="00447FF5"/>
    <w:rsid w:val="00450242"/>
    <w:rsid w:val="00450256"/>
    <w:rsid w:val="0045125B"/>
    <w:rsid w:val="00451284"/>
    <w:rsid w:val="00452FAB"/>
    <w:rsid w:val="00454158"/>
    <w:rsid w:val="00454FF3"/>
    <w:rsid w:val="0045614C"/>
    <w:rsid w:val="0045682A"/>
    <w:rsid w:val="00456F7D"/>
    <w:rsid w:val="00457591"/>
    <w:rsid w:val="004577F6"/>
    <w:rsid w:val="00457EB0"/>
    <w:rsid w:val="00457EDD"/>
    <w:rsid w:val="00461E9C"/>
    <w:rsid w:val="004642E3"/>
    <w:rsid w:val="00464D69"/>
    <w:rsid w:val="0046525A"/>
    <w:rsid w:val="004652C2"/>
    <w:rsid w:val="00465539"/>
    <w:rsid w:val="00465636"/>
    <w:rsid w:val="00465BAC"/>
    <w:rsid w:val="00465FBF"/>
    <w:rsid w:val="00466B54"/>
    <w:rsid w:val="00467115"/>
    <w:rsid w:val="00471066"/>
    <w:rsid w:val="004711EF"/>
    <w:rsid w:val="004712A1"/>
    <w:rsid w:val="00471558"/>
    <w:rsid w:val="00472EAE"/>
    <w:rsid w:val="00473CCE"/>
    <w:rsid w:val="00473E21"/>
    <w:rsid w:val="004743DC"/>
    <w:rsid w:val="0047449E"/>
    <w:rsid w:val="00474B22"/>
    <w:rsid w:val="00475D1F"/>
    <w:rsid w:val="004762E3"/>
    <w:rsid w:val="00476794"/>
    <w:rsid w:val="0048025B"/>
    <w:rsid w:val="0048082E"/>
    <w:rsid w:val="00481CAC"/>
    <w:rsid w:val="004826C9"/>
    <w:rsid w:val="00482A6C"/>
    <w:rsid w:val="0048350F"/>
    <w:rsid w:val="00483BF6"/>
    <w:rsid w:val="00483CDB"/>
    <w:rsid w:val="00484D11"/>
    <w:rsid w:val="00485165"/>
    <w:rsid w:val="00485520"/>
    <w:rsid w:val="004861F0"/>
    <w:rsid w:val="00487FC0"/>
    <w:rsid w:val="0049024C"/>
    <w:rsid w:val="00490B51"/>
    <w:rsid w:val="004915BB"/>
    <w:rsid w:val="004917A8"/>
    <w:rsid w:val="00492274"/>
    <w:rsid w:val="00492836"/>
    <w:rsid w:val="00492AEC"/>
    <w:rsid w:val="004930F6"/>
    <w:rsid w:val="00493233"/>
    <w:rsid w:val="00493CCD"/>
    <w:rsid w:val="00493FD2"/>
    <w:rsid w:val="00494207"/>
    <w:rsid w:val="004946D4"/>
    <w:rsid w:val="004953B8"/>
    <w:rsid w:val="00495AE2"/>
    <w:rsid w:val="00495B82"/>
    <w:rsid w:val="004966B2"/>
    <w:rsid w:val="00496B38"/>
    <w:rsid w:val="004A0B6B"/>
    <w:rsid w:val="004A1171"/>
    <w:rsid w:val="004A1F30"/>
    <w:rsid w:val="004A3C0D"/>
    <w:rsid w:val="004A3F95"/>
    <w:rsid w:val="004A4987"/>
    <w:rsid w:val="004A4AC0"/>
    <w:rsid w:val="004A5AA4"/>
    <w:rsid w:val="004A7193"/>
    <w:rsid w:val="004B0E71"/>
    <w:rsid w:val="004B18AC"/>
    <w:rsid w:val="004B20C0"/>
    <w:rsid w:val="004B2D67"/>
    <w:rsid w:val="004B3043"/>
    <w:rsid w:val="004B3638"/>
    <w:rsid w:val="004B38B7"/>
    <w:rsid w:val="004B47D2"/>
    <w:rsid w:val="004B59C9"/>
    <w:rsid w:val="004B7FAF"/>
    <w:rsid w:val="004C07C9"/>
    <w:rsid w:val="004C2E7D"/>
    <w:rsid w:val="004C3134"/>
    <w:rsid w:val="004C4087"/>
    <w:rsid w:val="004C446A"/>
    <w:rsid w:val="004C4583"/>
    <w:rsid w:val="004C5F60"/>
    <w:rsid w:val="004C7026"/>
    <w:rsid w:val="004C78A6"/>
    <w:rsid w:val="004D07A2"/>
    <w:rsid w:val="004D0A21"/>
    <w:rsid w:val="004D11F7"/>
    <w:rsid w:val="004D1B2D"/>
    <w:rsid w:val="004D1F01"/>
    <w:rsid w:val="004D368F"/>
    <w:rsid w:val="004D45AA"/>
    <w:rsid w:val="004D7500"/>
    <w:rsid w:val="004E083B"/>
    <w:rsid w:val="004E1E6D"/>
    <w:rsid w:val="004E1FA0"/>
    <w:rsid w:val="004E29FD"/>
    <w:rsid w:val="004E3047"/>
    <w:rsid w:val="004E305C"/>
    <w:rsid w:val="004E31F7"/>
    <w:rsid w:val="004E3AFA"/>
    <w:rsid w:val="004E3BB9"/>
    <w:rsid w:val="004E42B4"/>
    <w:rsid w:val="004E4362"/>
    <w:rsid w:val="004E5C3A"/>
    <w:rsid w:val="004E5DCE"/>
    <w:rsid w:val="004E7030"/>
    <w:rsid w:val="004F0A30"/>
    <w:rsid w:val="004F20D0"/>
    <w:rsid w:val="004F2658"/>
    <w:rsid w:val="004F30FA"/>
    <w:rsid w:val="004F46EE"/>
    <w:rsid w:val="004F4B51"/>
    <w:rsid w:val="004F4D75"/>
    <w:rsid w:val="004F7227"/>
    <w:rsid w:val="004F7DFD"/>
    <w:rsid w:val="0050075D"/>
    <w:rsid w:val="00500A7C"/>
    <w:rsid w:val="00501943"/>
    <w:rsid w:val="00502AE6"/>
    <w:rsid w:val="00503EB4"/>
    <w:rsid w:val="0050463A"/>
    <w:rsid w:val="0050633C"/>
    <w:rsid w:val="00507E89"/>
    <w:rsid w:val="00511477"/>
    <w:rsid w:val="0051147A"/>
    <w:rsid w:val="00511B03"/>
    <w:rsid w:val="00511BA0"/>
    <w:rsid w:val="00512FFC"/>
    <w:rsid w:val="0051300D"/>
    <w:rsid w:val="00514746"/>
    <w:rsid w:val="00516022"/>
    <w:rsid w:val="00516790"/>
    <w:rsid w:val="00516BB7"/>
    <w:rsid w:val="0051765F"/>
    <w:rsid w:val="005213E9"/>
    <w:rsid w:val="00521F43"/>
    <w:rsid w:val="0052282C"/>
    <w:rsid w:val="00523AF0"/>
    <w:rsid w:val="00523FC7"/>
    <w:rsid w:val="005244B5"/>
    <w:rsid w:val="0052471B"/>
    <w:rsid w:val="005273ED"/>
    <w:rsid w:val="0052799A"/>
    <w:rsid w:val="00527DB3"/>
    <w:rsid w:val="0053092C"/>
    <w:rsid w:val="00532226"/>
    <w:rsid w:val="0053235D"/>
    <w:rsid w:val="00532765"/>
    <w:rsid w:val="005351B1"/>
    <w:rsid w:val="0053550D"/>
    <w:rsid w:val="00535AF4"/>
    <w:rsid w:val="00535F8A"/>
    <w:rsid w:val="00536155"/>
    <w:rsid w:val="005370FB"/>
    <w:rsid w:val="005401D9"/>
    <w:rsid w:val="00544597"/>
    <w:rsid w:val="00544A61"/>
    <w:rsid w:val="005454F4"/>
    <w:rsid w:val="0054574B"/>
    <w:rsid w:val="005470B7"/>
    <w:rsid w:val="00547742"/>
    <w:rsid w:val="00550544"/>
    <w:rsid w:val="005515A5"/>
    <w:rsid w:val="005559F0"/>
    <w:rsid w:val="00555B51"/>
    <w:rsid w:val="0055600A"/>
    <w:rsid w:val="00556306"/>
    <w:rsid w:val="005601FE"/>
    <w:rsid w:val="00562B41"/>
    <w:rsid w:val="005631D6"/>
    <w:rsid w:val="0056376A"/>
    <w:rsid w:val="00563BBD"/>
    <w:rsid w:val="00563E4D"/>
    <w:rsid w:val="00564C1B"/>
    <w:rsid w:val="00571305"/>
    <w:rsid w:val="00571D1A"/>
    <w:rsid w:val="00573876"/>
    <w:rsid w:val="00573E6C"/>
    <w:rsid w:val="005742AC"/>
    <w:rsid w:val="005747C3"/>
    <w:rsid w:val="00574CD3"/>
    <w:rsid w:val="00576438"/>
    <w:rsid w:val="00576461"/>
    <w:rsid w:val="0057653C"/>
    <w:rsid w:val="005773DC"/>
    <w:rsid w:val="0057785F"/>
    <w:rsid w:val="00580646"/>
    <w:rsid w:val="00581BDA"/>
    <w:rsid w:val="00582734"/>
    <w:rsid w:val="0058293D"/>
    <w:rsid w:val="005843B4"/>
    <w:rsid w:val="00584B5D"/>
    <w:rsid w:val="00584BA9"/>
    <w:rsid w:val="00585716"/>
    <w:rsid w:val="00585F65"/>
    <w:rsid w:val="00587687"/>
    <w:rsid w:val="00587F72"/>
    <w:rsid w:val="005911F4"/>
    <w:rsid w:val="005927F3"/>
    <w:rsid w:val="00592829"/>
    <w:rsid w:val="00592CD5"/>
    <w:rsid w:val="00593129"/>
    <w:rsid w:val="005944BA"/>
    <w:rsid w:val="00594A8E"/>
    <w:rsid w:val="0059534A"/>
    <w:rsid w:val="00595520"/>
    <w:rsid w:val="00596607"/>
    <w:rsid w:val="005A104B"/>
    <w:rsid w:val="005A18CF"/>
    <w:rsid w:val="005A22C6"/>
    <w:rsid w:val="005A29FA"/>
    <w:rsid w:val="005A331D"/>
    <w:rsid w:val="005A4089"/>
    <w:rsid w:val="005A4B13"/>
    <w:rsid w:val="005A55DF"/>
    <w:rsid w:val="005A6110"/>
    <w:rsid w:val="005A6824"/>
    <w:rsid w:val="005A6894"/>
    <w:rsid w:val="005A7B91"/>
    <w:rsid w:val="005B38AB"/>
    <w:rsid w:val="005B3F60"/>
    <w:rsid w:val="005B5012"/>
    <w:rsid w:val="005B60E4"/>
    <w:rsid w:val="005B6E27"/>
    <w:rsid w:val="005C0935"/>
    <w:rsid w:val="005C0CD8"/>
    <w:rsid w:val="005C1902"/>
    <w:rsid w:val="005C260C"/>
    <w:rsid w:val="005C2A82"/>
    <w:rsid w:val="005C4F19"/>
    <w:rsid w:val="005C54E4"/>
    <w:rsid w:val="005C6171"/>
    <w:rsid w:val="005C6360"/>
    <w:rsid w:val="005C671E"/>
    <w:rsid w:val="005C6CCE"/>
    <w:rsid w:val="005C7293"/>
    <w:rsid w:val="005C7C4A"/>
    <w:rsid w:val="005D07BE"/>
    <w:rsid w:val="005D24D1"/>
    <w:rsid w:val="005D3F6D"/>
    <w:rsid w:val="005D44C8"/>
    <w:rsid w:val="005D51EA"/>
    <w:rsid w:val="005D5A8B"/>
    <w:rsid w:val="005D5BF3"/>
    <w:rsid w:val="005D6362"/>
    <w:rsid w:val="005D6B9B"/>
    <w:rsid w:val="005D7255"/>
    <w:rsid w:val="005D7566"/>
    <w:rsid w:val="005D77C4"/>
    <w:rsid w:val="005E175A"/>
    <w:rsid w:val="005E1890"/>
    <w:rsid w:val="005E1CC3"/>
    <w:rsid w:val="005E20EF"/>
    <w:rsid w:val="005E27F1"/>
    <w:rsid w:val="005E28B3"/>
    <w:rsid w:val="005E3193"/>
    <w:rsid w:val="005E3BC1"/>
    <w:rsid w:val="005E3CC9"/>
    <w:rsid w:val="005E4D56"/>
    <w:rsid w:val="005E4E5D"/>
    <w:rsid w:val="005E4ED3"/>
    <w:rsid w:val="005E4FF3"/>
    <w:rsid w:val="005E509F"/>
    <w:rsid w:val="005E50D9"/>
    <w:rsid w:val="005E56EA"/>
    <w:rsid w:val="005E59E2"/>
    <w:rsid w:val="005E5C49"/>
    <w:rsid w:val="005E5D7F"/>
    <w:rsid w:val="005E618D"/>
    <w:rsid w:val="005F1447"/>
    <w:rsid w:val="005F23B2"/>
    <w:rsid w:val="005F339B"/>
    <w:rsid w:val="005F3BE2"/>
    <w:rsid w:val="005F3F25"/>
    <w:rsid w:val="005F4B5C"/>
    <w:rsid w:val="005F5E72"/>
    <w:rsid w:val="005F60DE"/>
    <w:rsid w:val="005F6B63"/>
    <w:rsid w:val="005F736A"/>
    <w:rsid w:val="005F755A"/>
    <w:rsid w:val="005F759E"/>
    <w:rsid w:val="005F7F2D"/>
    <w:rsid w:val="006001C7"/>
    <w:rsid w:val="00601422"/>
    <w:rsid w:val="00602CA8"/>
    <w:rsid w:val="00603477"/>
    <w:rsid w:val="00603972"/>
    <w:rsid w:val="00603C31"/>
    <w:rsid w:val="006056FF"/>
    <w:rsid w:val="0060571B"/>
    <w:rsid w:val="006071F6"/>
    <w:rsid w:val="00607215"/>
    <w:rsid w:val="00607A48"/>
    <w:rsid w:val="006114EE"/>
    <w:rsid w:val="00612577"/>
    <w:rsid w:val="00613692"/>
    <w:rsid w:val="00615D17"/>
    <w:rsid w:val="00620A72"/>
    <w:rsid w:val="00621075"/>
    <w:rsid w:val="00623D84"/>
    <w:rsid w:val="00625DC1"/>
    <w:rsid w:val="00626EAF"/>
    <w:rsid w:val="00627085"/>
    <w:rsid w:val="006279B9"/>
    <w:rsid w:val="0063106D"/>
    <w:rsid w:val="00631504"/>
    <w:rsid w:val="00634606"/>
    <w:rsid w:val="00636D87"/>
    <w:rsid w:val="00636EEB"/>
    <w:rsid w:val="0063758B"/>
    <w:rsid w:val="00637A5F"/>
    <w:rsid w:val="006400BB"/>
    <w:rsid w:val="00640F20"/>
    <w:rsid w:val="00641040"/>
    <w:rsid w:val="00641450"/>
    <w:rsid w:val="006416FE"/>
    <w:rsid w:val="00641953"/>
    <w:rsid w:val="00641E23"/>
    <w:rsid w:val="0064272B"/>
    <w:rsid w:val="006443DE"/>
    <w:rsid w:val="00645981"/>
    <w:rsid w:val="006459C3"/>
    <w:rsid w:val="00645A0E"/>
    <w:rsid w:val="00645E9A"/>
    <w:rsid w:val="00645FF7"/>
    <w:rsid w:val="006506F0"/>
    <w:rsid w:val="00651133"/>
    <w:rsid w:val="00651386"/>
    <w:rsid w:val="00652C9F"/>
    <w:rsid w:val="006531A6"/>
    <w:rsid w:val="00653368"/>
    <w:rsid w:val="00655327"/>
    <w:rsid w:val="00657500"/>
    <w:rsid w:val="006624A6"/>
    <w:rsid w:val="0066297C"/>
    <w:rsid w:val="00665B2B"/>
    <w:rsid w:val="00667515"/>
    <w:rsid w:val="00667C62"/>
    <w:rsid w:val="00671BFE"/>
    <w:rsid w:val="0067246F"/>
    <w:rsid w:val="00673193"/>
    <w:rsid w:val="0067404F"/>
    <w:rsid w:val="00674A15"/>
    <w:rsid w:val="0067511D"/>
    <w:rsid w:val="00675229"/>
    <w:rsid w:val="006758EE"/>
    <w:rsid w:val="00675993"/>
    <w:rsid w:val="00675AF1"/>
    <w:rsid w:val="00676014"/>
    <w:rsid w:val="00677882"/>
    <w:rsid w:val="00680399"/>
    <w:rsid w:val="00681232"/>
    <w:rsid w:val="006822B0"/>
    <w:rsid w:val="006837A8"/>
    <w:rsid w:val="006868F3"/>
    <w:rsid w:val="006876D4"/>
    <w:rsid w:val="006912E8"/>
    <w:rsid w:val="00691A10"/>
    <w:rsid w:val="00692C3E"/>
    <w:rsid w:val="00693398"/>
    <w:rsid w:val="0069366B"/>
    <w:rsid w:val="00693828"/>
    <w:rsid w:val="0069396A"/>
    <w:rsid w:val="006942A8"/>
    <w:rsid w:val="00694809"/>
    <w:rsid w:val="006948A0"/>
    <w:rsid w:val="00694E12"/>
    <w:rsid w:val="0069592D"/>
    <w:rsid w:val="0069699B"/>
    <w:rsid w:val="00696D59"/>
    <w:rsid w:val="00697AFF"/>
    <w:rsid w:val="006A03EB"/>
    <w:rsid w:val="006A122D"/>
    <w:rsid w:val="006A18AB"/>
    <w:rsid w:val="006A1924"/>
    <w:rsid w:val="006A1CC2"/>
    <w:rsid w:val="006A43B1"/>
    <w:rsid w:val="006A457B"/>
    <w:rsid w:val="006A4B7F"/>
    <w:rsid w:val="006A5ACE"/>
    <w:rsid w:val="006A5BE1"/>
    <w:rsid w:val="006A6C99"/>
    <w:rsid w:val="006A6D01"/>
    <w:rsid w:val="006A7D48"/>
    <w:rsid w:val="006B02F6"/>
    <w:rsid w:val="006B1AB9"/>
    <w:rsid w:val="006B2065"/>
    <w:rsid w:val="006B36D0"/>
    <w:rsid w:val="006B37A9"/>
    <w:rsid w:val="006B483B"/>
    <w:rsid w:val="006B7098"/>
    <w:rsid w:val="006B76BA"/>
    <w:rsid w:val="006B7CA6"/>
    <w:rsid w:val="006C04DC"/>
    <w:rsid w:val="006C0B1B"/>
    <w:rsid w:val="006C23C5"/>
    <w:rsid w:val="006C6864"/>
    <w:rsid w:val="006C717D"/>
    <w:rsid w:val="006C7AFD"/>
    <w:rsid w:val="006D16CB"/>
    <w:rsid w:val="006D20B6"/>
    <w:rsid w:val="006D239C"/>
    <w:rsid w:val="006D2DD7"/>
    <w:rsid w:val="006D3E45"/>
    <w:rsid w:val="006D3EEF"/>
    <w:rsid w:val="006D4829"/>
    <w:rsid w:val="006D4BB1"/>
    <w:rsid w:val="006D64D4"/>
    <w:rsid w:val="006D6D06"/>
    <w:rsid w:val="006D75A6"/>
    <w:rsid w:val="006D7754"/>
    <w:rsid w:val="006E078F"/>
    <w:rsid w:val="006E0CD3"/>
    <w:rsid w:val="006E1699"/>
    <w:rsid w:val="006E19BE"/>
    <w:rsid w:val="006E260C"/>
    <w:rsid w:val="006E27FE"/>
    <w:rsid w:val="006E3075"/>
    <w:rsid w:val="006E314C"/>
    <w:rsid w:val="006E4462"/>
    <w:rsid w:val="006E4D1A"/>
    <w:rsid w:val="006E5876"/>
    <w:rsid w:val="006E6332"/>
    <w:rsid w:val="006E6732"/>
    <w:rsid w:val="006E7A70"/>
    <w:rsid w:val="006E7BE8"/>
    <w:rsid w:val="006F0338"/>
    <w:rsid w:val="006F1130"/>
    <w:rsid w:val="006F1305"/>
    <w:rsid w:val="006F1F9C"/>
    <w:rsid w:val="006F3B48"/>
    <w:rsid w:val="006F4949"/>
    <w:rsid w:val="006F4B1D"/>
    <w:rsid w:val="006F5B1D"/>
    <w:rsid w:val="006F5CFB"/>
    <w:rsid w:val="006F68D7"/>
    <w:rsid w:val="006F6C89"/>
    <w:rsid w:val="00700D93"/>
    <w:rsid w:val="007026BE"/>
    <w:rsid w:val="007027CF"/>
    <w:rsid w:val="00702B60"/>
    <w:rsid w:val="00703712"/>
    <w:rsid w:val="00704C7F"/>
    <w:rsid w:val="00705166"/>
    <w:rsid w:val="007055E9"/>
    <w:rsid w:val="00706697"/>
    <w:rsid w:val="00707B1B"/>
    <w:rsid w:val="00710837"/>
    <w:rsid w:val="007110F3"/>
    <w:rsid w:val="00712156"/>
    <w:rsid w:val="00712AAF"/>
    <w:rsid w:val="00713C18"/>
    <w:rsid w:val="00714B75"/>
    <w:rsid w:val="00714BA2"/>
    <w:rsid w:val="00716192"/>
    <w:rsid w:val="00720743"/>
    <w:rsid w:val="00720C8A"/>
    <w:rsid w:val="00721623"/>
    <w:rsid w:val="00722296"/>
    <w:rsid w:val="007223F6"/>
    <w:rsid w:val="007227C1"/>
    <w:rsid w:val="0072405C"/>
    <w:rsid w:val="00724179"/>
    <w:rsid w:val="00724652"/>
    <w:rsid w:val="00724669"/>
    <w:rsid w:val="00725351"/>
    <w:rsid w:val="007265BC"/>
    <w:rsid w:val="0072666B"/>
    <w:rsid w:val="00726960"/>
    <w:rsid w:val="0072700F"/>
    <w:rsid w:val="007305F8"/>
    <w:rsid w:val="0073171D"/>
    <w:rsid w:val="00731FB4"/>
    <w:rsid w:val="007321B8"/>
    <w:rsid w:val="00732808"/>
    <w:rsid w:val="00733251"/>
    <w:rsid w:val="00733964"/>
    <w:rsid w:val="00734715"/>
    <w:rsid w:val="00734785"/>
    <w:rsid w:val="00734E23"/>
    <w:rsid w:val="00735068"/>
    <w:rsid w:val="00735762"/>
    <w:rsid w:val="00736652"/>
    <w:rsid w:val="00736E0E"/>
    <w:rsid w:val="00737D36"/>
    <w:rsid w:val="00740F4D"/>
    <w:rsid w:val="00741714"/>
    <w:rsid w:val="00741CE0"/>
    <w:rsid w:val="00742947"/>
    <w:rsid w:val="00742A0C"/>
    <w:rsid w:val="0074328A"/>
    <w:rsid w:val="00744BEA"/>
    <w:rsid w:val="00744F5F"/>
    <w:rsid w:val="00744FE0"/>
    <w:rsid w:val="00745312"/>
    <w:rsid w:val="00745B4E"/>
    <w:rsid w:val="00746CE4"/>
    <w:rsid w:val="00746D35"/>
    <w:rsid w:val="007470C4"/>
    <w:rsid w:val="00750F97"/>
    <w:rsid w:val="0075102F"/>
    <w:rsid w:val="00751945"/>
    <w:rsid w:val="00751B50"/>
    <w:rsid w:val="0075203D"/>
    <w:rsid w:val="00752E7F"/>
    <w:rsid w:val="007531D6"/>
    <w:rsid w:val="00753F3A"/>
    <w:rsid w:val="00754C9A"/>
    <w:rsid w:val="00754EA5"/>
    <w:rsid w:val="00755F38"/>
    <w:rsid w:val="0075645F"/>
    <w:rsid w:val="00756EF8"/>
    <w:rsid w:val="00756F32"/>
    <w:rsid w:val="007570F7"/>
    <w:rsid w:val="007571AD"/>
    <w:rsid w:val="00757746"/>
    <w:rsid w:val="007606BA"/>
    <w:rsid w:val="0076098D"/>
    <w:rsid w:val="00761D89"/>
    <w:rsid w:val="00762256"/>
    <w:rsid w:val="007624EF"/>
    <w:rsid w:val="00763941"/>
    <w:rsid w:val="00763DBE"/>
    <w:rsid w:val="007646C3"/>
    <w:rsid w:val="00764D4A"/>
    <w:rsid w:val="00765D24"/>
    <w:rsid w:val="0076635E"/>
    <w:rsid w:val="00766457"/>
    <w:rsid w:val="00767F29"/>
    <w:rsid w:val="007700B6"/>
    <w:rsid w:val="0077390D"/>
    <w:rsid w:val="00774165"/>
    <w:rsid w:val="00774287"/>
    <w:rsid w:val="00777094"/>
    <w:rsid w:val="0077734C"/>
    <w:rsid w:val="007776A9"/>
    <w:rsid w:val="007800D2"/>
    <w:rsid w:val="0078014D"/>
    <w:rsid w:val="00780458"/>
    <w:rsid w:val="00780708"/>
    <w:rsid w:val="00780737"/>
    <w:rsid w:val="00780C65"/>
    <w:rsid w:val="007821CA"/>
    <w:rsid w:val="00783BE1"/>
    <w:rsid w:val="00783BEB"/>
    <w:rsid w:val="0078486F"/>
    <w:rsid w:val="00786191"/>
    <w:rsid w:val="00787BD8"/>
    <w:rsid w:val="0079015E"/>
    <w:rsid w:val="00791F3C"/>
    <w:rsid w:val="00792273"/>
    <w:rsid w:val="00792393"/>
    <w:rsid w:val="0079395C"/>
    <w:rsid w:val="007941E8"/>
    <w:rsid w:val="0079437D"/>
    <w:rsid w:val="007946E3"/>
    <w:rsid w:val="0079480F"/>
    <w:rsid w:val="00795532"/>
    <w:rsid w:val="00796B21"/>
    <w:rsid w:val="00796CE5"/>
    <w:rsid w:val="00796E49"/>
    <w:rsid w:val="007971CE"/>
    <w:rsid w:val="0079741B"/>
    <w:rsid w:val="007A0288"/>
    <w:rsid w:val="007A0C35"/>
    <w:rsid w:val="007A0D60"/>
    <w:rsid w:val="007A1542"/>
    <w:rsid w:val="007A19C0"/>
    <w:rsid w:val="007A25F5"/>
    <w:rsid w:val="007A2C74"/>
    <w:rsid w:val="007A46F6"/>
    <w:rsid w:val="007A6C06"/>
    <w:rsid w:val="007A6F22"/>
    <w:rsid w:val="007A7059"/>
    <w:rsid w:val="007A7A69"/>
    <w:rsid w:val="007B00C4"/>
    <w:rsid w:val="007B06B9"/>
    <w:rsid w:val="007B22FD"/>
    <w:rsid w:val="007B29F3"/>
    <w:rsid w:val="007B43B8"/>
    <w:rsid w:val="007B4BEC"/>
    <w:rsid w:val="007B5712"/>
    <w:rsid w:val="007B5743"/>
    <w:rsid w:val="007B7145"/>
    <w:rsid w:val="007C0088"/>
    <w:rsid w:val="007C052B"/>
    <w:rsid w:val="007C13D1"/>
    <w:rsid w:val="007C1D96"/>
    <w:rsid w:val="007C3340"/>
    <w:rsid w:val="007C3989"/>
    <w:rsid w:val="007C42FB"/>
    <w:rsid w:val="007C4737"/>
    <w:rsid w:val="007C514D"/>
    <w:rsid w:val="007C532B"/>
    <w:rsid w:val="007C543A"/>
    <w:rsid w:val="007C6C1C"/>
    <w:rsid w:val="007C727F"/>
    <w:rsid w:val="007C7DA4"/>
    <w:rsid w:val="007D071D"/>
    <w:rsid w:val="007D121B"/>
    <w:rsid w:val="007D2506"/>
    <w:rsid w:val="007D27A1"/>
    <w:rsid w:val="007D36F2"/>
    <w:rsid w:val="007D3D1D"/>
    <w:rsid w:val="007D3FA4"/>
    <w:rsid w:val="007D4086"/>
    <w:rsid w:val="007E122E"/>
    <w:rsid w:val="007E3465"/>
    <w:rsid w:val="007E3714"/>
    <w:rsid w:val="007E3893"/>
    <w:rsid w:val="007E4E1C"/>
    <w:rsid w:val="007E4FE9"/>
    <w:rsid w:val="007E52E3"/>
    <w:rsid w:val="007E5EB7"/>
    <w:rsid w:val="007E7099"/>
    <w:rsid w:val="007F0515"/>
    <w:rsid w:val="007F05AE"/>
    <w:rsid w:val="007F0944"/>
    <w:rsid w:val="007F1390"/>
    <w:rsid w:val="007F257B"/>
    <w:rsid w:val="007F3336"/>
    <w:rsid w:val="007F496D"/>
    <w:rsid w:val="007F4E5D"/>
    <w:rsid w:val="007F4FD5"/>
    <w:rsid w:val="007F5513"/>
    <w:rsid w:val="007F5DBF"/>
    <w:rsid w:val="007F7C4B"/>
    <w:rsid w:val="00800FAE"/>
    <w:rsid w:val="0080153E"/>
    <w:rsid w:val="0080237D"/>
    <w:rsid w:val="00802B88"/>
    <w:rsid w:val="00803B22"/>
    <w:rsid w:val="00803D4E"/>
    <w:rsid w:val="0080485B"/>
    <w:rsid w:val="00805BFD"/>
    <w:rsid w:val="00806F07"/>
    <w:rsid w:val="008071A7"/>
    <w:rsid w:val="0080759E"/>
    <w:rsid w:val="00807A3D"/>
    <w:rsid w:val="00810B56"/>
    <w:rsid w:val="0081271C"/>
    <w:rsid w:val="00812AC0"/>
    <w:rsid w:val="00813F33"/>
    <w:rsid w:val="00814372"/>
    <w:rsid w:val="0081456B"/>
    <w:rsid w:val="00814C93"/>
    <w:rsid w:val="00815602"/>
    <w:rsid w:val="00815C9C"/>
    <w:rsid w:val="00815F60"/>
    <w:rsid w:val="008167D8"/>
    <w:rsid w:val="008173F9"/>
    <w:rsid w:val="008175F8"/>
    <w:rsid w:val="00817F42"/>
    <w:rsid w:val="0082013E"/>
    <w:rsid w:val="00820151"/>
    <w:rsid w:val="00820D52"/>
    <w:rsid w:val="00820EE0"/>
    <w:rsid w:val="008216BE"/>
    <w:rsid w:val="00821A20"/>
    <w:rsid w:val="008221EA"/>
    <w:rsid w:val="008228A6"/>
    <w:rsid w:val="008231B7"/>
    <w:rsid w:val="0082371E"/>
    <w:rsid w:val="008240BD"/>
    <w:rsid w:val="008243C5"/>
    <w:rsid w:val="00824721"/>
    <w:rsid w:val="00825799"/>
    <w:rsid w:val="00826C22"/>
    <w:rsid w:val="0082742D"/>
    <w:rsid w:val="00830E49"/>
    <w:rsid w:val="008314C3"/>
    <w:rsid w:val="0083198E"/>
    <w:rsid w:val="00832E1F"/>
    <w:rsid w:val="008340A2"/>
    <w:rsid w:val="008401CC"/>
    <w:rsid w:val="0084090F"/>
    <w:rsid w:val="00841281"/>
    <w:rsid w:val="00841A09"/>
    <w:rsid w:val="0084267F"/>
    <w:rsid w:val="00844A73"/>
    <w:rsid w:val="00845CFC"/>
    <w:rsid w:val="00845FE3"/>
    <w:rsid w:val="00846437"/>
    <w:rsid w:val="0084645A"/>
    <w:rsid w:val="0085036D"/>
    <w:rsid w:val="008506D3"/>
    <w:rsid w:val="00851314"/>
    <w:rsid w:val="00851378"/>
    <w:rsid w:val="008518C0"/>
    <w:rsid w:val="0085260E"/>
    <w:rsid w:val="0085600B"/>
    <w:rsid w:val="00856209"/>
    <w:rsid w:val="008562CC"/>
    <w:rsid w:val="00856C1A"/>
    <w:rsid w:val="00857B01"/>
    <w:rsid w:val="00857F78"/>
    <w:rsid w:val="00860120"/>
    <w:rsid w:val="00862351"/>
    <w:rsid w:val="008623EA"/>
    <w:rsid w:val="008625CD"/>
    <w:rsid w:val="00862F6D"/>
    <w:rsid w:val="0086364D"/>
    <w:rsid w:val="00863872"/>
    <w:rsid w:val="00863A90"/>
    <w:rsid w:val="0086510B"/>
    <w:rsid w:val="00865157"/>
    <w:rsid w:val="00865C08"/>
    <w:rsid w:val="00866556"/>
    <w:rsid w:val="00866A1C"/>
    <w:rsid w:val="00867406"/>
    <w:rsid w:val="0086750E"/>
    <w:rsid w:val="008677A0"/>
    <w:rsid w:val="0086782C"/>
    <w:rsid w:val="00867ADC"/>
    <w:rsid w:val="008708A9"/>
    <w:rsid w:val="00870A60"/>
    <w:rsid w:val="008712D5"/>
    <w:rsid w:val="00871C96"/>
    <w:rsid w:val="008728BB"/>
    <w:rsid w:val="00874A9E"/>
    <w:rsid w:val="00874AF3"/>
    <w:rsid w:val="00874C9F"/>
    <w:rsid w:val="00875130"/>
    <w:rsid w:val="0087526D"/>
    <w:rsid w:val="0087677C"/>
    <w:rsid w:val="00876929"/>
    <w:rsid w:val="00876AB0"/>
    <w:rsid w:val="00877FA0"/>
    <w:rsid w:val="00880759"/>
    <w:rsid w:val="00880CDD"/>
    <w:rsid w:val="008810CB"/>
    <w:rsid w:val="00881BB4"/>
    <w:rsid w:val="008839D9"/>
    <w:rsid w:val="00884A40"/>
    <w:rsid w:val="008851AE"/>
    <w:rsid w:val="00885E42"/>
    <w:rsid w:val="00886048"/>
    <w:rsid w:val="00886E82"/>
    <w:rsid w:val="008873D3"/>
    <w:rsid w:val="00887A24"/>
    <w:rsid w:val="00887A56"/>
    <w:rsid w:val="00887EB8"/>
    <w:rsid w:val="00891247"/>
    <w:rsid w:val="0089141D"/>
    <w:rsid w:val="00891670"/>
    <w:rsid w:val="00891A35"/>
    <w:rsid w:val="00892D1B"/>
    <w:rsid w:val="008931E1"/>
    <w:rsid w:val="00894283"/>
    <w:rsid w:val="00894D31"/>
    <w:rsid w:val="00894DFF"/>
    <w:rsid w:val="008953F6"/>
    <w:rsid w:val="00896CF7"/>
    <w:rsid w:val="00897872"/>
    <w:rsid w:val="00897B34"/>
    <w:rsid w:val="00897D92"/>
    <w:rsid w:val="00897DAE"/>
    <w:rsid w:val="008A14E8"/>
    <w:rsid w:val="008A1F02"/>
    <w:rsid w:val="008A23D2"/>
    <w:rsid w:val="008A26AF"/>
    <w:rsid w:val="008A2C39"/>
    <w:rsid w:val="008A3C5B"/>
    <w:rsid w:val="008A3CBC"/>
    <w:rsid w:val="008A3D6B"/>
    <w:rsid w:val="008A470F"/>
    <w:rsid w:val="008A630E"/>
    <w:rsid w:val="008A644D"/>
    <w:rsid w:val="008A7319"/>
    <w:rsid w:val="008A7578"/>
    <w:rsid w:val="008B2F5D"/>
    <w:rsid w:val="008B2FF5"/>
    <w:rsid w:val="008B4346"/>
    <w:rsid w:val="008B4714"/>
    <w:rsid w:val="008B4A65"/>
    <w:rsid w:val="008B5056"/>
    <w:rsid w:val="008B64E6"/>
    <w:rsid w:val="008B78DD"/>
    <w:rsid w:val="008C11B7"/>
    <w:rsid w:val="008C182B"/>
    <w:rsid w:val="008C1A32"/>
    <w:rsid w:val="008C38DD"/>
    <w:rsid w:val="008C4860"/>
    <w:rsid w:val="008C57FF"/>
    <w:rsid w:val="008C71FE"/>
    <w:rsid w:val="008C73E3"/>
    <w:rsid w:val="008C7678"/>
    <w:rsid w:val="008D0274"/>
    <w:rsid w:val="008D1494"/>
    <w:rsid w:val="008D1C48"/>
    <w:rsid w:val="008D1F5B"/>
    <w:rsid w:val="008D2303"/>
    <w:rsid w:val="008D2D91"/>
    <w:rsid w:val="008D3DD6"/>
    <w:rsid w:val="008D440F"/>
    <w:rsid w:val="008D5162"/>
    <w:rsid w:val="008D5601"/>
    <w:rsid w:val="008D5C37"/>
    <w:rsid w:val="008D5E19"/>
    <w:rsid w:val="008D6088"/>
    <w:rsid w:val="008D6128"/>
    <w:rsid w:val="008E02D0"/>
    <w:rsid w:val="008E0C47"/>
    <w:rsid w:val="008E12F0"/>
    <w:rsid w:val="008E15F1"/>
    <w:rsid w:val="008E17B4"/>
    <w:rsid w:val="008E2873"/>
    <w:rsid w:val="008E2C95"/>
    <w:rsid w:val="008E2E9C"/>
    <w:rsid w:val="008E2EC2"/>
    <w:rsid w:val="008E2F27"/>
    <w:rsid w:val="008E35D3"/>
    <w:rsid w:val="008E3A05"/>
    <w:rsid w:val="008E3CD5"/>
    <w:rsid w:val="008E4A38"/>
    <w:rsid w:val="008E4D8A"/>
    <w:rsid w:val="008E63E3"/>
    <w:rsid w:val="008E6BCF"/>
    <w:rsid w:val="008E72F9"/>
    <w:rsid w:val="008F0D58"/>
    <w:rsid w:val="008F17D3"/>
    <w:rsid w:val="008F1CD6"/>
    <w:rsid w:val="008F1D66"/>
    <w:rsid w:val="008F2B6F"/>
    <w:rsid w:val="008F34A3"/>
    <w:rsid w:val="008F3D5B"/>
    <w:rsid w:val="008F42EC"/>
    <w:rsid w:val="008F58E9"/>
    <w:rsid w:val="008F5D43"/>
    <w:rsid w:val="008F5FDB"/>
    <w:rsid w:val="008F7BE9"/>
    <w:rsid w:val="0090175E"/>
    <w:rsid w:val="00901D82"/>
    <w:rsid w:val="00901E1A"/>
    <w:rsid w:val="00901EAC"/>
    <w:rsid w:val="00902027"/>
    <w:rsid w:val="0090301C"/>
    <w:rsid w:val="009031C8"/>
    <w:rsid w:val="00903842"/>
    <w:rsid w:val="00904422"/>
    <w:rsid w:val="00904640"/>
    <w:rsid w:val="00906DFA"/>
    <w:rsid w:val="00907205"/>
    <w:rsid w:val="00910547"/>
    <w:rsid w:val="009106ED"/>
    <w:rsid w:val="009108B8"/>
    <w:rsid w:val="00910EEE"/>
    <w:rsid w:val="00910F25"/>
    <w:rsid w:val="00911394"/>
    <w:rsid w:val="0091217C"/>
    <w:rsid w:val="00912867"/>
    <w:rsid w:val="00912B17"/>
    <w:rsid w:val="009132ED"/>
    <w:rsid w:val="0091348A"/>
    <w:rsid w:val="00913F22"/>
    <w:rsid w:val="00916A94"/>
    <w:rsid w:val="00916D75"/>
    <w:rsid w:val="00920207"/>
    <w:rsid w:val="00920D3C"/>
    <w:rsid w:val="00921082"/>
    <w:rsid w:val="0092152C"/>
    <w:rsid w:val="00921EC9"/>
    <w:rsid w:val="009225E9"/>
    <w:rsid w:val="00922692"/>
    <w:rsid w:val="0092314C"/>
    <w:rsid w:val="00923CA1"/>
    <w:rsid w:val="00924DCE"/>
    <w:rsid w:val="00927930"/>
    <w:rsid w:val="009302AF"/>
    <w:rsid w:val="00931127"/>
    <w:rsid w:val="00931204"/>
    <w:rsid w:val="00932086"/>
    <w:rsid w:val="00933677"/>
    <w:rsid w:val="00937160"/>
    <w:rsid w:val="0093735B"/>
    <w:rsid w:val="00940DAF"/>
    <w:rsid w:val="009416E0"/>
    <w:rsid w:val="00942CB6"/>
    <w:rsid w:val="00943D85"/>
    <w:rsid w:val="00944375"/>
    <w:rsid w:val="0094490E"/>
    <w:rsid w:val="00944B6B"/>
    <w:rsid w:val="009464B7"/>
    <w:rsid w:val="009469CC"/>
    <w:rsid w:val="009470BC"/>
    <w:rsid w:val="0094721E"/>
    <w:rsid w:val="00947EBB"/>
    <w:rsid w:val="009501C1"/>
    <w:rsid w:val="00950AF2"/>
    <w:rsid w:val="00950B51"/>
    <w:rsid w:val="00950C79"/>
    <w:rsid w:val="00951735"/>
    <w:rsid w:val="00951922"/>
    <w:rsid w:val="00952556"/>
    <w:rsid w:val="00953612"/>
    <w:rsid w:val="00953F5C"/>
    <w:rsid w:val="00954695"/>
    <w:rsid w:val="0095470F"/>
    <w:rsid w:val="00955F8A"/>
    <w:rsid w:val="009561E9"/>
    <w:rsid w:val="00957CBD"/>
    <w:rsid w:val="00960552"/>
    <w:rsid w:val="00961143"/>
    <w:rsid w:val="00961E56"/>
    <w:rsid w:val="00963674"/>
    <w:rsid w:val="00964027"/>
    <w:rsid w:val="009646B3"/>
    <w:rsid w:val="00964BE6"/>
    <w:rsid w:val="00964F27"/>
    <w:rsid w:val="009654BB"/>
    <w:rsid w:val="00966297"/>
    <w:rsid w:val="009673FF"/>
    <w:rsid w:val="00967984"/>
    <w:rsid w:val="00967BEA"/>
    <w:rsid w:val="00967FDD"/>
    <w:rsid w:val="00970148"/>
    <w:rsid w:val="00971BE2"/>
    <w:rsid w:val="00972361"/>
    <w:rsid w:val="00974D40"/>
    <w:rsid w:val="009755C5"/>
    <w:rsid w:val="0097596A"/>
    <w:rsid w:val="009764E7"/>
    <w:rsid w:val="00976A79"/>
    <w:rsid w:val="00976D70"/>
    <w:rsid w:val="00977CDF"/>
    <w:rsid w:val="0098033D"/>
    <w:rsid w:val="009806AD"/>
    <w:rsid w:val="00980A0F"/>
    <w:rsid w:val="00981FFE"/>
    <w:rsid w:val="009828FE"/>
    <w:rsid w:val="00982E13"/>
    <w:rsid w:val="00982FC9"/>
    <w:rsid w:val="009837E3"/>
    <w:rsid w:val="00984196"/>
    <w:rsid w:val="00986352"/>
    <w:rsid w:val="009867C1"/>
    <w:rsid w:val="00986B27"/>
    <w:rsid w:val="00987733"/>
    <w:rsid w:val="00987ADB"/>
    <w:rsid w:val="00990777"/>
    <w:rsid w:val="00991B2E"/>
    <w:rsid w:val="00991D37"/>
    <w:rsid w:val="00992E52"/>
    <w:rsid w:val="0099519F"/>
    <w:rsid w:val="009953FB"/>
    <w:rsid w:val="0099552E"/>
    <w:rsid w:val="00995634"/>
    <w:rsid w:val="00995793"/>
    <w:rsid w:val="009960A5"/>
    <w:rsid w:val="00996804"/>
    <w:rsid w:val="009A08EC"/>
    <w:rsid w:val="009A0A47"/>
    <w:rsid w:val="009A0A8C"/>
    <w:rsid w:val="009A21C4"/>
    <w:rsid w:val="009A28B1"/>
    <w:rsid w:val="009A36F9"/>
    <w:rsid w:val="009A4000"/>
    <w:rsid w:val="009A54CE"/>
    <w:rsid w:val="009A5940"/>
    <w:rsid w:val="009A5A9A"/>
    <w:rsid w:val="009A5D6E"/>
    <w:rsid w:val="009A6A9B"/>
    <w:rsid w:val="009A718D"/>
    <w:rsid w:val="009A7268"/>
    <w:rsid w:val="009B2338"/>
    <w:rsid w:val="009B296C"/>
    <w:rsid w:val="009B304A"/>
    <w:rsid w:val="009B3480"/>
    <w:rsid w:val="009B370E"/>
    <w:rsid w:val="009B40AA"/>
    <w:rsid w:val="009B453A"/>
    <w:rsid w:val="009B4BF6"/>
    <w:rsid w:val="009B5242"/>
    <w:rsid w:val="009B54A2"/>
    <w:rsid w:val="009B5635"/>
    <w:rsid w:val="009B5A86"/>
    <w:rsid w:val="009B670F"/>
    <w:rsid w:val="009B6C44"/>
    <w:rsid w:val="009B74C5"/>
    <w:rsid w:val="009B7CBA"/>
    <w:rsid w:val="009C0068"/>
    <w:rsid w:val="009C00E1"/>
    <w:rsid w:val="009C1CCD"/>
    <w:rsid w:val="009C265D"/>
    <w:rsid w:val="009C375B"/>
    <w:rsid w:val="009C441E"/>
    <w:rsid w:val="009C6163"/>
    <w:rsid w:val="009C65CA"/>
    <w:rsid w:val="009C7D7F"/>
    <w:rsid w:val="009D0318"/>
    <w:rsid w:val="009D1870"/>
    <w:rsid w:val="009D6A79"/>
    <w:rsid w:val="009D6A7D"/>
    <w:rsid w:val="009D6D59"/>
    <w:rsid w:val="009D7806"/>
    <w:rsid w:val="009E1B0B"/>
    <w:rsid w:val="009E2F78"/>
    <w:rsid w:val="009E30D5"/>
    <w:rsid w:val="009E3422"/>
    <w:rsid w:val="009E45E4"/>
    <w:rsid w:val="009E4DB0"/>
    <w:rsid w:val="009E4E37"/>
    <w:rsid w:val="009E503F"/>
    <w:rsid w:val="009E5551"/>
    <w:rsid w:val="009E64AE"/>
    <w:rsid w:val="009E6994"/>
    <w:rsid w:val="009E6B39"/>
    <w:rsid w:val="009E749B"/>
    <w:rsid w:val="009E7DDC"/>
    <w:rsid w:val="009F26F1"/>
    <w:rsid w:val="009F2DBC"/>
    <w:rsid w:val="009F2E59"/>
    <w:rsid w:val="009F3215"/>
    <w:rsid w:val="009F337C"/>
    <w:rsid w:val="009F36D5"/>
    <w:rsid w:val="009F4CB8"/>
    <w:rsid w:val="009F6CB7"/>
    <w:rsid w:val="009F6F7F"/>
    <w:rsid w:val="009F724E"/>
    <w:rsid w:val="009F796E"/>
    <w:rsid w:val="009F7C87"/>
    <w:rsid w:val="00A00198"/>
    <w:rsid w:val="00A00EC6"/>
    <w:rsid w:val="00A04427"/>
    <w:rsid w:val="00A047B2"/>
    <w:rsid w:val="00A050DC"/>
    <w:rsid w:val="00A054C4"/>
    <w:rsid w:val="00A057A4"/>
    <w:rsid w:val="00A06662"/>
    <w:rsid w:val="00A06F68"/>
    <w:rsid w:val="00A0747D"/>
    <w:rsid w:val="00A07EE3"/>
    <w:rsid w:val="00A106E3"/>
    <w:rsid w:val="00A12114"/>
    <w:rsid w:val="00A130A8"/>
    <w:rsid w:val="00A15235"/>
    <w:rsid w:val="00A1527A"/>
    <w:rsid w:val="00A15A46"/>
    <w:rsid w:val="00A15C10"/>
    <w:rsid w:val="00A16532"/>
    <w:rsid w:val="00A16739"/>
    <w:rsid w:val="00A1762E"/>
    <w:rsid w:val="00A179DD"/>
    <w:rsid w:val="00A205A6"/>
    <w:rsid w:val="00A223CA"/>
    <w:rsid w:val="00A240E7"/>
    <w:rsid w:val="00A24776"/>
    <w:rsid w:val="00A24A96"/>
    <w:rsid w:val="00A24C79"/>
    <w:rsid w:val="00A25721"/>
    <w:rsid w:val="00A25EDB"/>
    <w:rsid w:val="00A266A6"/>
    <w:rsid w:val="00A27714"/>
    <w:rsid w:val="00A30838"/>
    <w:rsid w:val="00A3254A"/>
    <w:rsid w:val="00A32AA6"/>
    <w:rsid w:val="00A32ADC"/>
    <w:rsid w:val="00A32B4E"/>
    <w:rsid w:val="00A32B88"/>
    <w:rsid w:val="00A32D46"/>
    <w:rsid w:val="00A3431F"/>
    <w:rsid w:val="00A358E1"/>
    <w:rsid w:val="00A3621B"/>
    <w:rsid w:val="00A36318"/>
    <w:rsid w:val="00A36B9C"/>
    <w:rsid w:val="00A36F1A"/>
    <w:rsid w:val="00A37679"/>
    <w:rsid w:val="00A407A9"/>
    <w:rsid w:val="00A410A8"/>
    <w:rsid w:val="00A422EB"/>
    <w:rsid w:val="00A425FC"/>
    <w:rsid w:val="00A43C74"/>
    <w:rsid w:val="00A440A9"/>
    <w:rsid w:val="00A44802"/>
    <w:rsid w:val="00A450D7"/>
    <w:rsid w:val="00A4517C"/>
    <w:rsid w:val="00A45BA2"/>
    <w:rsid w:val="00A46797"/>
    <w:rsid w:val="00A46A03"/>
    <w:rsid w:val="00A46CD8"/>
    <w:rsid w:val="00A478F5"/>
    <w:rsid w:val="00A47D05"/>
    <w:rsid w:val="00A513FA"/>
    <w:rsid w:val="00A51D38"/>
    <w:rsid w:val="00A527DD"/>
    <w:rsid w:val="00A53143"/>
    <w:rsid w:val="00A532A7"/>
    <w:rsid w:val="00A5341A"/>
    <w:rsid w:val="00A534A9"/>
    <w:rsid w:val="00A54A00"/>
    <w:rsid w:val="00A555EC"/>
    <w:rsid w:val="00A5576B"/>
    <w:rsid w:val="00A55C83"/>
    <w:rsid w:val="00A56C4F"/>
    <w:rsid w:val="00A5717A"/>
    <w:rsid w:val="00A57837"/>
    <w:rsid w:val="00A57A88"/>
    <w:rsid w:val="00A60EF1"/>
    <w:rsid w:val="00A61DC4"/>
    <w:rsid w:val="00A641D5"/>
    <w:rsid w:val="00A64C06"/>
    <w:rsid w:val="00A65497"/>
    <w:rsid w:val="00A65B33"/>
    <w:rsid w:val="00A671CF"/>
    <w:rsid w:val="00A6745A"/>
    <w:rsid w:val="00A67EFA"/>
    <w:rsid w:val="00A70401"/>
    <w:rsid w:val="00A7095E"/>
    <w:rsid w:val="00A71C37"/>
    <w:rsid w:val="00A71E02"/>
    <w:rsid w:val="00A721F6"/>
    <w:rsid w:val="00A725B1"/>
    <w:rsid w:val="00A73FA6"/>
    <w:rsid w:val="00A75FAA"/>
    <w:rsid w:val="00A7614C"/>
    <w:rsid w:val="00A7717E"/>
    <w:rsid w:val="00A77850"/>
    <w:rsid w:val="00A77DD3"/>
    <w:rsid w:val="00A81A8D"/>
    <w:rsid w:val="00A83012"/>
    <w:rsid w:val="00A83669"/>
    <w:rsid w:val="00A839A0"/>
    <w:rsid w:val="00A83B76"/>
    <w:rsid w:val="00A83D28"/>
    <w:rsid w:val="00A83F9F"/>
    <w:rsid w:val="00A85609"/>
    <w:rsid w:val="00A85EFB"/>
    <w:rsid w:val="00A863F9"/>
    <w:rsid w:val="00A903B2"/>
    <w:rsid w:val="00A910B3"/>
    <w:rsid w:val="00A91588"/>
    <w:rsid w:val="00A94B73"/>
    <w:rsid w:val="00A95C27"/>
    <w:rsid w:val="00AA10A6"/>
    <w:rsid w:val="00AA1274"/>
    <w:rsid w:val="00AA2E31"/>
    <w:rsid w:val="00AA32BC"/>
    <w:rsid w:val="00AA4928"/>
    <w:rsid w:val="00AA4A90"/>
    <w:rsid w:val="00AA4E00"/>
    <w:rsid w:val="00AA57CE"/>
    <w:rsid w:val="00AB0942"/>
    <w:rsid w:val="00AB19C6"/>
    <w:rsid w:val="00AB1B55"/>
    <w:rsid w:val="00AB4A09"/>
    <w:rsid w:val="00AB4B08"/>
    <w:rsid w:val="00AB4D75"/>
    <w:rsid w:val="00AB4DC6"/>
    <w:rsid w:val="00AB50B4"/>
    <w:rsid w:val="00AB5369"/>
    <w:rsid w:val="00AB5744"/>
    <w:rsid w:val="00AB7875"/>
    <w:rsid w:val="00AB7B48"/>
    <w:rsid w:val="00AC0FED"/>
    <w:rsid w:val="00AC27C8"/>
    <w:rsid w:val="00AC459A"/>
    <w:rsid w:val="00AC4BE0"/>
    <w:rsid w:val="00AC553C"/>
    <w:rsid w:val="00AC5900"/>
    <w:rsid w:val="00AC5AD1"/>
    <w:rsid w:val="00AC5E40"/>
    <w:rsid w:val="00AC67E6"/>
    <w:rsid w:val="00AC7771"/>
    <w:rsid w:val="00AC79EC"/>
    <w:rsid w:val="00AD1137"/>
    <w:rsid w:val="00AD15EB"/>
    <w:rsid w:val="00AD1D00"/>
    <w:rsid w:val="00AD3075"/>
    <w:rsid w:val="00AD3226"/>
    <w:rsid w:val="00AD3357"/>
    <w:rsid w:val="00AD39B0"/>
    <w:rsid w:val="00AD418E"/>
    <w:rsid w:val="00AD4C58"/>
    <w:rsid w:val="00AD4E24"/>
    <w:rsid w:val="00AD70D0"/>
    <w:rsid w:val="00AE04B1"/>
    <w:rsid w:val="00AE0571"/>
    <w:rsid w:val="00AE2612"/>
    <w:rsid w:val="00AE30A3"/>
    <w:rsid w:val="00AE3B35"/>
    <w:rsid w:val="00AE3D92"/>
    <w:rsid w:val="00AE40C7"/>
    <w:rsid w:val="00AE6303"/>
    <w:rsid w:val="00AE6E90"/>
    <w:rsid w:val="00AF0319"/>
    <w:rsid w:val="00AF1B3A"/>
    <w:rsid w:val="00AF2D52"/>
    <w:rsid w:val="00AF4AE5"/>
    <w:rsid w:val="00AF4BFB"/>
    <w:rsid w:val="00AF52CB"/>
    <w:rsid w:val="00B0021B"/>
    <w:rsid w:val="00B00474"/>
    <w:rsid w:val="00B01299"/>
    <w:rsid w:val="00B0146D"/>
    <w:rsid w:val="00B021DB"/>
    <w:rsid w:val="00B0255B"/>
    <w:rsid w:val="00B02F3F"/>
    <w:rsid w:val="00B03D43"/>
    <w:rsid w:val="00B03EDA"/>
    <w:rsid w:val="00B04980"/>
    <w:rsid w:val="00B054B9"/>
    <w:rsid w:val="00B0576F"/>
    <w:rsid w:val="00B06A10"/>
    <w:rsid w:val="00B10A4D"/>
    <w:rsid w:val="00B129FF"/>
    <w:rsid w:val="00B14B69"/>
    <w:rsid w:val="00B15786"/>
    <w:rsid w:val="00B1662D"/>
    <w:rsid w:val="00B20226"/>
    <w:rsid w:val="00B20C1B"/>
    <w:rsid w:val="00B21B33"/>
    <w:rsid w:val="00B22127"/>
    <w:rsid w:val="00B234C9"/>
    <w:rsid w:val="00B23A9C"/>
    <w:rsid w:val="00B23CBC"/>
    <w:rsid w:val="00B2425E"/>
    <w:rsid w:val="00B24C77"/>
    <w:rsid w:val="00B26E89"/>
    <w:rsid w:val="00B3099C"/>
    <w:rsid w:val="00B30B08"/>
    <w:rsid w:val="00B317E6"/>
    <w:rsid w:val="00B31E88"/>
    <w:rsid w:val="00B326AB"/>
    <w:rsid w:val="00B32925"/>
    <w:rsid w:val="00B33B60"/>
    <w:rsid w:val="00B3426C"/>
    <w:rsid w:val="00B35BE3"/>
    <w:rsid w:val="00B36274"/>
    <w:rsid w:val="00B36BB5"/>
    <w:rsid w:val="00B41E5A"/>
    <w:rsid w:val="00B420E9"/>
    <w:rsid w:val="00B4218F"/>
    <w:rsid w:val="00B42BBA"/>
    <w:rsid w:val="00B42ED9"/>
    <w:rsid w:val="00B43299"/>
    <w:rsid w:val="00B435CE"/>
    <w:rsid w:val="00B4448E"/>
    <w:rsid w:val="00B4470C"/>
    <w:rsid w:val="00B447E1"/>
    <w:rsid w:val="00B44B1E"/>
    <w:rsid w:val="00B4642A"/>
    <w:rsid w:val="00B464FF"/>
    <w:rsid w:val="00B46555"/>
    <w:rsid w:val="00B50139"/>
    <w:rsid w:val="00B52274"/>
    <w:rsid w:val="00B52643"/>
    <w:rsid w:val="00B53B81"/>
    <w:rsid w:val="00B54AE4"/>
    <w:rsid w:val="00B556D7"/>
    <w:rsid w:val="00B56B8A"/>
    <w:rsid w:val="00B57B0B"/>
    <w:rsid w:val="00B607FF"/>
    <w:rsid w:val="00B61D01"/>
    <w:rsid w:val="00B62153"/>
    <w:rsid w:val="00B631DE"/>
    <w:rsid w:val="00B635BF"/>
    <w:rsid w:val="00B63975"/>
    <w:rsid w:val="00B63F92"/>
    <w:rsid w:val="00B642BB"/>
    <w:rsid w:val="00B6486C"/>
    <w:rsid w:val="00B65372"/>
    <w:rsid w:val="00B6599A"/>
    <w:rsid w:val="00B65A2E"/>
    <w:rsid w:val="00B65C19"/>
    <w:rsid w:val="00B65DFC"/>
    <w:rsid w:val="00B660E2"/>
    <w:rsid w:val="00B66C52"/>
    <w:rsid w:val="00B67228"/>
    <w:rsid w:val="00B67E0E"/>
    <w:rsid w:val="00B7047D"/>
    <w:rsid w:val="00B70698"/>
    <w:rsid w:val="00B70B9C"/>
    <w:rsid w:val="00B71035"/>
    <w:rsid w:val="00B71038"/>
    <w:rsid w:val="00B72354"/>
    <w:rsid w:val="00B72BFA"/>
    <w:rsid w:val="00B7342F"/>
    <w:rsid w:val="00B7375C"/>
    <w:rsid w:val="00B75274"/>
    <w:rsid w:val="00B757DB"/>
    <w:rsid w:val="00B76493"/>
    <w:rsid w:val="00B768F4"/>
    <w:rsid w:val="00B80345"/>
    <w:rsid w:val="00B807AF"/>
    <w:rsid w:val="00B80983"/>
    <w:rsid w:val="00B80A06"/>
    <w:rsid w:val="00B8239A"/>
    <w:rsid w:val="00B83261"/>
    <w:rsid w:val="00B852CB"/>
    <w:rsid w:val="00B85D38"/>
    <w:rsid w:val="00B866A7"/>
    <w:rsid w:val="00B86947"/>
    <w:rsid w:val="00B86C76"/>
    <w:rsid w:val="00B8703A"/>
    <w:rsid w:val="00B90755"/>
    <w:rsid w:val="00B90A44"/>
    <w:rsid w:val="00B91169"/>
    <w:rsid w:val="00B91DC7"/>
    <w:rsid w:val="00B9201B"/>
    <w:rsid w:val="00B924F5"/>
    <w:rsid w:val="00B92562"/>
    <w:rsid w:val="00B925E7"/>
    <w:rsid w:val="00B92A23"/>
    <w:rsid w:val="00B93EEC"/>
    <w:rsid w:val="00B94487"/>
    <w:rsid w:val="00B94A4D"/>
    <w:rsid w:val="00B94C60"/>
    <w:rsid w:val="00B94DE7"/>
    <w:rsid w:val="00B95584"/>
    <w:rsid w:val="00B9727F"/>
    <w:rsid w:val="00BA01C0"/>
    <w:rsid w:val="00BA1169"/>
    <w:rsid w:val="00BA19B7"/>
    <w:rsid w:val="00BA1CA6"/>
    <w:rsid w:val="00BA256A"/>
    <w:rsid w:val="00BA2EE2"/>
    <w:rsid w:val="00BA51C0"/>
    <w:rsid w:val="00BA51FC"/>
    <w:rsid w:val="00BA5C2D"/>
    <w:rsid w:val="00BA5F55"/>
    <w:rsid w:val="00BA68AF"/>
    <w:rsid w:val="00BA73A0"/>
    <w:rsid w:val="00BA77C8"/>
    <w:rsid w:val="00BA79F3"/>
    <w:rsid w:val="00BB06B1"/>
    <w:rsid w:val="00BB0B43"/>
    <w:rsid w:val="00BB1627"/>
    <w:rsid w:val="00BB236A"/>
    <w:rsid w:val="00BB2B36"/>
    <w:rsid w:val="00BB3333"/>
    <w:rsid w:val="00BB4014"/>
    <w:rsid w:val="00BB4988"/>
    <w:rsid w:val="00BB4CAE"/>
    <w:rsid w:val="00BB5911"/>
    <w:rsid w:val="00BB6EAB"/>
    <w:rsid w:val="00BB6F82"/>
    <w:rsid w:val="00BB7DDB"/>
    <w:rsid w:val="00BC0A6F"/>
    <w:rsid w:val="00BC1421"/>
    <w:rsid w:val="00BC1424"/>
    <w:rsid w:val="00BC232C"/>
    <w:rsid w:val="00BC2399"/>
    <w:rsid w:val="00BC2EF4"/>
    <w:rsid w:val="00BC3228"/>
    <w:rsid w:val="00BC377D"/>
    <w:rsid w:val="00BC444B"/>
    <w:rsid w:val="00BC4D13"/>
    <w:rsid w:val="00BC58AF"/>
    <w:rsid w:val="00BC5D58"/>
    <w:rsid w:val="00BC628C"/>
    <w:rsid w:val="00BC71A3"/>
    <w:rsid w:val="00BC7B77"/>
    <w:rsid w:val="00BD0CAC"/>
    <w:rsid w:val="00BD1160"/>
    <w:rsid w:val="00BD11FC"/>
    <w:rsid w:val="00BD12A1"/>
    <w:rsid w:val="00BD1F6A"/>
    <w:rsid w:val="00BD3586"/>
    <w:rsid w:val="00BD3AF0"/>
    <w:rsid w:val="00BD5D08"/>
    <w:rsid w:val="00BD72D3"/>
    <w:rsid w:val="00BE1108"/>
    <w:rsid w:val="00BE1339"/>
    <w:rsid w:val="00BE1C51"/>
    <w:rsid w:val="00BE222A"/>
    <w:rsid w:val="00BE30C6"/>
    <w:rsid w:val="00BE35BC"/>
    <w:rsid w:val="00BE3F81"/>
    <w:rsid w:val="00BE4850"/>
    <w:rsid w:val="00BE495D"/>
    <w:rsid w:val="00BE4CE6"/>
    <w:rsid w:val="00BE4DE1"/>
    <w:rsid w:val="00BE65B0"/>
    <w:rsid w:val="00BE67D7"/>
    <w:rsid w:val="00BE7BEA"/>
    <w:rsid w:val="00BF094B"/>
    <w:rsid w:val="00BF0AA2"/>
    <w:rsid w:val="00BF156C"/>
    <w:rsid w:val="00BF2C54"/>
    <w:rsid w:val="00BF3968"/>
    <w:rsid w:val="00BF3CA1"/>
    <w:rsid w:val="00BF40FA"/>
    <w:rsid w:val="00BF449D"/>
    <w:rsid w:val="00BF4922"/>
    <w:rsid w:val="00BF4AD5"/>
    <w:rsid w:val="00BF50C9"/>
    <w:rsid w:val="00BF6BA8"/>
    <w:rsid w:val="00BF71B1"/>
    <w:rsid w:val="00BF7F23"/>
    <w:rsid w:val="00C0004B"/>
    <w:rsid w:val="00C018F7"/>
    <w:rsid w:val="00C02E59"/>
    <w:rsid w:val="00C03C26"/>
    <w:rsid w:val="00C051BF"/>
    <w:rsid w:val="00C0529E"/>
    <w:rsid w:val="00C0537B"/>
    <w:rsid w:val="00C05D42"/>
    <w:rsid w:val="00C064C7"/>
    <w:rsid w:val="00C06E53"/>
    <w:rsid w:val="00C10751"/>
    <w:rsid w:val="00C10BF9"/>
    <w:rsid w:val="00C10CFD"/>
    <w:rsid w:val="00C11047"/>
    <w:rsid w:val="00C12728"/>
    <w:rsid w:val="00C12C15"/>
    <w:rsid w:val="00C1385D"/>
    <w:rsid w:val="00C14FDA"/>
    <w:rsid w:val="00C1505A"/>
    <w:rsid w:val="00C1550F"/>
    <w:rsid w:val="00C15C68"/>
    <w:rsid w:val="00C202E2"/>
    <w:rsid w:val="00C20A4F"/>
    <w:rsid w:val="00C22526"/>
    <w:rsid w:val="00C2291C"/>
    <w:rsid w:val="00C23667"/>
    <w:rsid w:val="00C239DE"/>
    <w:rsid w:val="00C23D9A"/>
    <w:rsid w:val="00C2479C"/>
    <w:rsid w:val="00C248F8"/>
    <w:rsid w:val="00C24FEB"/>
    <w:rsid w:val="00C25D9E"/>
    <w:rsid w:val="00C261E5"/>
    <w:rsid w:val="00C26561"/>
    <w:rsid w:val="00C26931"/>
    <w:rsid w:val="00C26C00"/>
    <w:rsid w:val="00C27C61"/>
    <w:rsid w:val="00C27E88"/>
    <w:rsid w:val="00C301DF"/>
    <w:rsid w:val="00C315CF"/>
    <w:rsid w:val="00C32E0C"/>
    <w:rsid w:val="00C335EA"/>
    <w:rsid w:val="00C33684"/>
    <w:rsid w:val="00C33731"/>
    <w:rsid w:val="00C35507"/>
    <w:rsid w:val="00C35FC1"/>
    <w:rsid w:val="00C3671F"/>
    <w:rsid w:val="00C371A4"/>
    <w:rsid w:val="00C372B2"/>
    <w:rsid w:val="00C37A6C"/>
    <w:rsid w:val="00C400C1"/>
    <w:rsid w:val="00C40B32"/>
    <w:rsid w:val="00C41996"/>
    <w:rsid w:val="00C420DB"/>
    <w:rsid w:val="00C42E04"/>
    <w:rsid w:val="00C42F3D"/>
    <w:rsid w:val="00C454BC"/>
    <w:rsid w:val="00C47F72"/>
    <w:rsid w:val="00C501AB"/>
    <w:rsid w:val="00C5049E"/>
    <w:rsid w:val="00C5066B"/>
    <w:rsid w:val="00C50CA7"/>
    <w:rsid w:val="00C516E0"/>
    <w:rsid w:val="00C518FF"/>
    <w:rsid w:val="00C51A86"/>
    <w:rsid w:val="00C51B8D"/>
    <w:rsid w:val="00C51D7A"/>
    <w:rsid w:val="00C51EF7"/>
    <w:rsid w:val="00C521BC"/>
    <w:rsid w:val="00C52313"/>
    <w:rsid w:val="00C52958"/>
    <w:rsid w:val="00C552C1"/>
    <w:rsid w:val="00C55799"/>
    <w:rsid w:val="00C55F12"/>
    <w:rsid w:val="00C56781"/>
    <w:rsid w:val="00C56A70"/>
    <w:rsid w:val="00C56BD0"/>
    <w:rsid w:val="00C574F2"/>
    <w:rsid w:val="00C60157"/>
    <w:rsid w:val="00C60239"/>
    <w:rsid w:val="00C61442"/>
    <w:rsid w:val="00C6152F"/>
    <w:rsid w:val="00C6207C"/>
    <w:rsid w:val="00C621EC"/>
    <w:rsid w:val="00C630FC"/>
    <w:rsid w:val="00C635DE"/>
    <w:rsid w:val="00C64962"/>
    <w:rsid w:val="00C64E61"/>
    <w:rsid w:val="00C6584B"/>
    <w:rsid w:val="00C65F65"/>
    <w:rsid w:val="00C67645"/>
    <w:rsid w:val="00C7243A"/>
    <w:rsid w:val="00C72A8D"/>
    <w:rsid w:val="00C7308B"/>
    <w:rsid w:val="00C736D6"/>
    <w:rsid w:val="00C7373B"/>
    <w:rsid w:val="00C743CA"/>
    <w:rsid w:val="00C745E2"/>
    <w:rsid w:val="00C7607B"/>
    <w:rsid w:val="00C773CB"/>
    <w:rsid w:val="00C77681"/>
    <w:rsid w:val="00C80226"/>
    <w:rsid w:val="00C80D16"/>
    <w:rsid w:val="00C80F7B"/>
    <w:rsid w:val="00C8101E"/>
    <w:rsid w:val="00C81678"/>
    <w:rsid w:val="00C81AAC"/>
    <w:rsid w:val="00C8437B"/>
    <w:rsid w:val="00C84637"/>
    <w:rsid w:val="00C853E3"/>
    <w:rsid w:val="00C856BC"/>
    <w:rsid w:val="00C863CC"/>
    <w:rsid w:val="00C865B5"/>
    <w:rsid w:val="00C8670A"/>
    <w:rsid w:val="00C867D7"/>
    <w:rsid w:val="00C879A2"/>
    <w:rsid w:val="00C908AC"/>
    <w:rsid w:val="00C90C7E"/>
    <w:rsid w:val="00C91820"/>
    <w:rsid w:val="00C92126"/>
    <w:rsid w:val="00C9272B"/>
    <w:rsid w:val="00C927E5"/>
    <w:rsid w:val="00C9282D"/>
    <w:rsid w:val="00C94C75"/>
    <w:rsid w:val="00C95A3B"/>
    <w:rsid w:val="00C9600C"/>
    <w:rsid w:val="00C97073"/>
    <w:rsid w:val="00C972B7"/>
    <w:rsid w:val="00C97330"/>
    <w:rsid w:val="00C97730"/>
    <w:rsid w:val="00C97BF1"/>
    <w:rsid w:val="00CA047C"/>
    <w:rsid w:val="00CA0E88"/>
    <w:rsid w:val="00CA1CEA"/>
    <w:rsid w:val="00CA30A7"/>
    <w:rsid w:val="00CA3A3D"/>
    <w:rsid w:val="00CA4B69"/>
    <w:rsid w:val="00CA5489"/>
    <w:rsid w:val="00CA63B0"/>
    <w:rsid w:val="00CA668D"/>
    <w:rsid w:val="00CB0774"/>
    <w:rsid w:val="00CB0B7F"/>
    <w:rsid w:val="00CB0C5D"/>
    <w:rsid w:val="00CB1152"/>
    <w:rsid w:val="00CB27E1"/>
    <w:rsid w:val="00CB361E"/>
    <w:rsid w:val="00CB5E4E"/>
    <w:rsid w:val="00CB60F3"/>
    <w:rsid w:val="00CB6570"/>
    <w:rsid w:val="00CB7781"/>
    <w:rsid w:val="00CB7CE5"/>
    <w:rsid w:val="00CC027F"/>
    <w:rsid w:val="00CC1B26"/>
    <w:rsid w:val="00CC1B82"/>
    <w:rsid w:val="00CC20C0"/>
    <w:rsid w:val="00CC26E5"/>
    <w:rsid w:val="00CC39F6"/>
    <w:rsid w:val="00CC3C7D"/>
    <w:rsid w:val="00CC4525"/>
    <w:rsid w:val="00CC4EA2"/>
    <w:rsid w:val="00CC512C"/>
    <w:rsid w:val="00CC5842"/>
    <w:rsid w:val="00CC5BEA"/>
    <w:rsid w:val="00CC5FDC"/>
    <w:rsid w:val="00CC61D8"/>
    <w:rsid w:val="00CC61F2"/>
    <w:rsid w:val="00CC6C9C"/>
    <w:rsid w:val="00CD1C17"/>
    <w:rsid w:val="00CD1F7A"/>
    <w:rsid w:val="00CD2950"/>
    <w:rsid w:val="00CD358A"/>
    <w:rsid w:val="00CD4137"/>
    <w:rsid w:val="00CD474D"/>
    <w:rsid w:val="00CD48CB"/>
    <w:rsid w:val="00CD4B05"/>
    <w:rsid w:val="00CD4F49"/>
    <w:rsid w:val="00CD5AAB"/>
    <w:rsid w:val="00CD6629"/>
    <w:rsid w:val="00CD6AD2"/>
    <w:rsid w:val="00CD7BB9"/>
    <w:rsid w:val="00CE001F"/>
    <w:rsid w:val="00CE057E"/>
    <w:rsid w:val="00CE1D12"/>
    <w:rsid w:val="00CE341D"/>
    <w:rsid w:val="00CE361E"/>
    <w:rsid w:val="00CE4E39"/>
    <w:rsid w:val="00CE6547"/>
    <w:rsid w:val="00CE66EF"/>
    <w:rsid w:val="00CE682B"/>
    <w:rsid w:val="00CE6F0D"/>
    <w:rsid w:val="00CE7637"/>
    <w:rsid w:val="00CF16AC"/>
    <w:rsid w:val="00CF1DFA"/>
    <w:rsid w:val="00CF4840"/>
    <w:rsid w:val="00CF5230"/>
    <w:rsid w:val="00CF5ECA"/>
    <w:rsid w:val="00CF7C1A"/>
    <w:rsid w:val="00D02299"/>
    <w:rsid w:val="00D0273F"/>
    <w:rsid w:val="00D033DE"/>
    <w:rsid w:val="00D04ABF"/>
    <w:rsid w:val="00D05604"/>
    <w:rsid w:val="00D06069"/>
    <w:rsid w:val="00D063EA"/>
    <w:rsid w:val="00D065EB"/>
    <w:rsid w:val="00D0762C"/>
    <w:rsid w:val="00D076D4"/>
    <w:rsid w:val="00D0798E"/>
    <w:rsid w:val="00D109C0"/>
    <w:rsid w:val="00D10DC2"/>
    <w:rsid w:val="00D10E53"/>
    <w:rsid w:val="00D11762"/>
    <w:rsid w:val="00D125A5"/>
    <w:rsid w:val="00D1358B"/>
    <w:rsid w:val="00D144CA"/>
    <w:rsid w:val="00D16842"/>
    <w:rsid w:val="00D168A8"/>
    <w:rsid w:val="00D17FCB"/>
    <w:rsid w:val="00D205F7"/>
    <w:rsid w:val="00D20DCD"/>
    <w:rsid w:val="00D21260"/>
    <w:rsid w:val="00D21C00"/>
    <w:rsid w:val="00D24BA1"/>
    <w:rsid w:val="00D2583C"/>
    <w:rsid w:val="00D25C06"/>
    <w:rsid w:val="00D2602B"/>
    <w:rsid w:val="00D270A6"/>
    <w:rsid w:val="00D27655"/>
    <w:rsid w:val="00D30A67"/>
    <w:rsid w:val="00D30D5D"/>
    <w:rsid w:val="00D3145B"/>
    <w:rsid w:val="00D31FF9"/>
    <w:rsid w:val="00D33160"/>
    <w:rsid w:val="00D337FD"/>
    <w:rsid w:val="00D34C6A"/>
    <w:rsid w:val="00D35B46"/>
    <w:rsid w:val="00D35C52"/>
    <w:rsid w:val="00D3762D"/>
    <w:rsid w:val="00D37EEF"/>
    <w:rsid w:val="00D40167"/>
    <w:rsid w:val="00D4017B"/>
    <w:rsid w:val="00D414E7"/>
    <w:rsid w:val="00D42651"/>
    <w:rsid w:val="00D43122"/>
    <w:rsid w:val="00D4366C"/>
    <w:rsid w:val="00D44AC5"/>
    <w:rsid w:val="00D472B7"/>
    <w:rsid w:val="00D5048F"/>
    <w:rsid w:val="00D50AAC"/>
    <w:rsid w:val="00D50B9F"/>
    <w:rsid w:val="00D520A5"/>
    <w:rsid w:val="00D5222A"/>
    <w:rsid w:val="00D5230D"/>
    <w:rsid w:val="00D525F1"/>
    <w:rsid w:val="00D5265E"/>
    <w:rsid w:val="00D52A1A"/>
    <w:rsid w:val="00D547D7"/>
    <w:rsid w:val="00D54800"/>
    <w:rsid w:val="00D54D37"/>
    <w:rsid w:val="00D55454"/>
    <w:rsid w:val="00D55623"/>
    <w:rsid w:val="00D56D6A"/>
    <w:rsid w:val="00D57017"/>
    <w:rsid w:val="00D57252"/>
    <w:rsid w:val="00D6018C"/>
    <w:rsid w:val="00D6067F"/>
    <w:rsid w:val="00D60C97"/>
    <w:rsid w:val="00D611C3"/>
    <w:rsid w:val="00D612F3"/>
    <w:rsid w:val="00D6136A"/>
    <w:rsid w:val="00D63E4E"/>
    <w:rsid w:val="00D641B4"/>
    <w:rsid w:val="00D64763"/>
    <w:rsid w:val="00D651DC"/>
    <w:rsid w:val="00D6546C"/>
    <w:rsid w:val="00D65660"/>
    <w:rsid w:val="00D67A99"/>
    <w:rsid w:val="00D70385"/>
    <w:rsid w:val="00D7042A"/>
    <w:rsid w:val="00D7151B"/>
    <w:rsid w:val="00D71850"/>
    <w:rsid w:val="00D72844"/>
    <w:rsid w:val="00D72BB0"/>
    <w:rsid w:val="00D7411B"/>
    <w:rsid w:val="00D74F20"/>
    <w:rsid w:val="00D75310"/>
    <w:rsid w:val="00D75EC2"/>
    <w:rsid w:val="00D75F30"/>
    <w:rsid w:val="00D7634D"/>
    <w:rsid w:val="00D7652F"/>
    <w:rsid w:val="00D77D9B"/>
    <w:rsid w:val="00D80D32"/>
    <w:rsid w:val="00D80E2D"/>
    <w:rsid w:val="00D82B10"/>
    <w:rsid w:val="00D83316"/>
    <w:rsid w:val="00D833EC"/>
    <w:rsid w:val="00D8355D"/>
    <w:rsid w:val="00D85B5C"/>
    <w:rsid w:val="00D86014"/>
    <w:rsid w:val="00D86105"/>
    <w:rsid w:val="00D877F9"/>
    <w:rsid w:val="00D901A5"/>
    <w:rsid w:val="00D906FB"/>
    <w:rsid w:val="00D9114E"/>
    <w:rsid w:val="00D93546"/>
    <w:rsid w:val="00D93D28"/>
    <w:rsid w:val="00D93EDA"/>
    <w:rsid w:val="00D945A9"/>
    <w:rsid w:val="00D94A95"/>
    <w:rsid w:val="00D94C5C"/>
    <w:rsid w:val="00D9521B"/>
    <w:rsid w:val="00D95303"/>
    <w:rsid w:val="00D95381"/>
    <w:rsid w:val="00D95711"/>
    <w:rsid w:val="00D963F7"/>
    <w:rsid w:val="00D969E8"/>
    <w:rsid w:val="00D979DF"/>
    <w:rsid w:val="00DA0174"/>
    <w:rsid w:val="00DA280C"/>
    <w:rsid w:val="00DA2A46"/>
    <w:rsid w:val="00DA4654"/>
    <w:rsid w:val="00DA5083"/>
    <w:rsid w:val="00DA523B"/>
    <w:rsid w:val="00DA5F8B"/>
    <w:rsid w:val="00DA66C8"/>
    <w:rsid w:val="00DA6ABA"/>
    <w:rsid w:val="00DA7AF8"/>
    <w:rsid w:val="00DB0325"/>
    <w:rsid w:val="00DB0754"/>
    <w:rsid w:val="00DB0B59"/>
    <w:rsid w:val="00DB231F"/>
    <w:rsid w:val="00DB32C0"/>
    <w:rsid w:val="00DB5F71"/>
    <w:rsid w:val="00DC00D6"/>
    <w:rsid w:val="00DC053F"/>
    <w:rsid w:val="00DC1452"/>
    <w:rsid w:val="00DC1863"/>
    <w:rsid w:val="00DC1CF7"/>
    <w:rsid w:val="00DC24D5"/>
    <w:rsid w:val="00DC31D9"/>
    <w:rsid w:val="00DC3BD2"/>
    <w:rsid w:val="00DC4005"/>
    <w:rsid w:val="00DD0AC2"/>
    <w:rsid w:val="00DD0D99"/>
    <w:rsid w:val="00DD1A99"/>
    <w:rsid w:val="00DD24DD"/>
    <w:rsid w:val="00DD33B9"/>
    <w:rsid w:val="00DD3454"/>
    <w:rsid w:val="00DD35B1"/>
    <w:rsid w:val="00DD38F7"/>
    <w:rsid w:val="00DD3EE0"/>
    <w:rsid w:val="00DD59DC"/>
    <w:rsid w:val="00DD5D6B"/>
    <w:rsid w:val="00DD6521"/>
    <w:rsid w:val="00DE2DE9"/>
    <w:rsid w:val="00DE3A85"/>
    <w:rsid w:val="00DE401C"/>
    <w:rsid w:val="00DE4793"/>
    <w:rsid w:val="00DE5541"/>
    <w:rsid w:val="00DE59EF"/>
    <w:rsid w:val="00DE636C"/>
    <w:rsid w:val="00DE63D7"/>
    <w:rsid w:val="00DF05D7"/>
    <w:rsid w:val="00DF1750"/>
    <w:rsid w:val="00DF2607"/>
    <w:rsid w:val="00DF4B02"/>
    <w:rsid w:val="00DF4BCA"/>
    <w:rsid w:val="00DF4FF2"/>
    <w:rsid w:val="00DF6D9E"/>
    <w:rsid w:val="00DF7CBD"/>
    <w:rsid w:val="00E014DF"/>
    <w:rsid w:val="00E028A5"/>
    <w:rsid w:val="00E04A28"/>
    <w:rsid w:val="00E10562"/>
    <w:rsid w:val="00E10951"/>
    <w:rsid w:val="00E10B0D"/>
    <w:rsid w:val="00E10C6B"/>
    <w:rsid w:val="00E12109"/>
    <w:rsid w:val="00E12B0D"/>
    <w:rsid w:val="00E12D05"/>
    <w:rsid w:val="00E14E7B"/>
    <w:rsid w:val="00E15016"/>
    <w:rsid w:val="00E15900"/>
    <w:rsid w:val="00E15C67"/>
    <w:rsid w:val="00E16A74"/>
    <w:rsid w:val="00E1740E"/>
    <w:rsid w:val="00E20316"/>
    <w:rsid w:val="00E20D1E"/>
    <w:rsid w:val="00E213B6"/>
    <w:rsid w:val="00E21735"/>
    <w:rsid w:val="00E21864"/>
    <w:rsid w:val="00E223E6"/>
    <w:rsid w:val="00E22A7B"/>
    <w:rsid w:val="00E24153"/>
    <w:rsid w:val="00E241DF"/>
    <w:rsid w:val="00E24394"/>
    <w:rsid w:val="00E3183D"/>
    <w:rsid w:val="00E31ABA"/>
    <w:rsid w:val="00E31DCD"/>
    <w:rsid w:val="00E323CD"/>
    <w:rsid w:val="00E32D6F"/>
    <w:rsid w:val="00E33B7C"/>
    <w:rsid w:val="00E33CCA"/>
    <w:rsid w:val="00E35690"/>
    <w:rsid w:val="00E35A61"/>
    <w:rsid w:val="00E36F0E"/>
    <w:rsid w:val="00E37BC2"/>
    <w:rsid w:val="00E37D8B"/>
    <w:rsid w:val="00E403A8"/>
    <w:rsid w:val="00E41614"/>
    <w:rsid w:val="00E42054"/>
    <w:rsid w:val="00E436A3"/>
    <w:rsid w:val="00E43981"/>
    <w:rsid w:val="00E439D0"/>
    <w:rsid w:val="00E43D58"/>
    <w:rsid w:val="00E43F85"/>
    <w:rsid w:val="00E44DF2"/>
    <w:rsid w:val="00E454F8"/>
    <w:rsid w:val="00E45DEB"/>
    <w:rsid w:val="00E46153"/>
    <w:rsid w:val="00E465EE"/>
    <w:rsid w:val="00E50B54"/>
    <w:rsid w:val="00E51003"/>
    <w:rsid w:val="00E52836"/>
    <w:rsid w:val="00E52E83"/>
    <w:rsid w:val="00E53395"/>
    <w:rsid w:val="00E53BA3"/>
    <w:rsid w:val="00E53E4C"/>
    <w:rsid w:val="00E542A5"/>
    <w:rsid w:val="00E550F6"/>
    <w:rsid w:val="00E55987"/>
    <w:rsid w:val="00E559CF"/>
    <w:rsid w:val="00E63016"/>
    <w:rsid w:val="00E64ADC"/>
    <w:rsid w:val="00E657CD"/>
    <w:rsid w:val="00E664AA"/>
    <w:rsid w:val="00E66EDE"/>
    <w:rsid w:val="00E6774E"/>
    <w:rsid w:val="00E67D91"/>
    <w:rsid w:val="00E67F22"/>
    <w:rsid w:val="00E709BC"/>
    <w:rsid w:val="00E70E8A"/>
    <w:rsid w:val="00E717C4"/>
    <w:rsid w:val="00E72603"/>
    <w:rsid w:val="00E7480E"/>
    <w:rsid w:val="00E74942"/>
    <w:rsid w:val="00E75C3F"/>
    <w:rsid w:val="00E75CF8"/>
    <w:rsid w:val="00E75D3B"/>
    <w:rsid w:val="00E77C29"/>
    <w:rsid w:val="00E77CD4"/>
    <w:rsid w:val="00E801A4"/>
    <w:rsid w:val="00E816D2"/>
    <w:rsid w:val="00E81862"/>
    <w:rsid w:val="00E81E4E"/>
    <w:rsid w:val="00E8460A"/>
    <w:rsid w:val="00E8558B"/>
    <w:rsid w:val="00E857B5"/>
    <w:rsid w:val="00E85B98"/>
    <w:rsid w:val="00E85E17"/>
    <w:rsid w:val="00E865FE"/>
    <w:rsid w:val="00E86717"/>
    <w:rsid w:val="00E919F7"/>
    <w:rsid w:val="00E92673"/>
    <w:rsid w:val="00E92A28"/>
    <w:rsid w:val="00E95E29"/>
    <w:rsid w:val="00E961AA"/>
    <w:rsid w:val="00EA0BB4"/>
    <w:rsid w:val="00EA0CCA"/>
    <w:rsid w:val="00EA1CED"/>
    <w:rsid w:val="00EA22D1"/>
    <w:rsid w:val="00EA2E48"/>
    <w:rsid w:val="00EA38C4"/>
    <w:rsid w:val="00EA3B10"/>
    <w:rsid w:val="00EA4017"/>
    <w:rsid w:val="00EA4123"/>
    <w:rsid w:val="00EA51DF"/>
    <w:rsid w:val="00EA51E4"/>
    <w:rsid w:val="00EA5332"/>
    <w:rsid w:val="00EA533D"/>
    <w:rsid w:val="00EB127A"/>
    <w:rsid w:val="00EB17CA"/>
    <w:rsid w:val="00EB1D7F"/>
    <w:rsid w:val="00EB2EE0"/>
    <w:rsid w:val="00EB36DA"/>
    <w:rsid w:val="00EB376B"/>
    <w:rsid w:val="00EB4122"/>
    <w:rsid w:val="00EB5152"/>
    <w:rsid w:val="00EB51E2"/>
    <w:rsid w:val="00EB7963"/>
    <w:rsid w:val="00EC0653"/>
    <w:rsid w:val="00EC1172"/>
    <w:rsid w:val="00EC20E5"/>
    <w:rsid w:val="00EC2759"/>
    <w:rsid w:val="00EC375C"/>
    <w:rsid w:val="00EC47DD"/>
    <w:rsid w:val="00EC5633"/>
    <w:rsid w:val="00EC5D02"/>
    <w:rsid w:val="00EC6AD6"/>
    <w:rsid w:val="00EC6CDA"/>
    <w:rsid w:val="00EC76BF"/>
    <w:rsid w:val="00EC7FED"/>
    <w:rsid w:val="00ED0AAB"/>
    <w:rsid w:val="00ED1115"/>
    <w:rsid w:val="00ED1B04"/>
    <w:rsid w:val="00ED34CA"/>
    <w:rsid w:val="00ED42EA"/>
    <w:rsid w:val="00ED4C0D"/>
    <w:rsid w:val="00ED6A67"/>
    <w:rsid w:val="00ED6B5A"/>
    <w:rsid w:val="00ED74CF"/>
    <w:rsid w:val="00EE167B"/>
    <w:rsid w:val="00EE179F"/>
    <w:rsid w:val="00EE2079"/>
    <w:rsid w:val="00EE327E"/>
    <w:rsid w:val="00EE3BED"/>
    <w:rsid w:val="00EE3E16"/>
    <w:rsid w:val="00EE5EA5"/>
    <w:rsid w:val="00EE5F58"/>
    <w:rsid w:val="00EE5FBA"/>
    <w:rsid w:val="00EE743E"/>
    <w:rsid w:val="00EE75DC"/>
    <w:rsid w:val="00EE76A0"/>
    <w:rsid w:val="00EE7BD7"/>
    <w:rsid w:val="00EF0B33"/>
    <w:rsid w:val="00EF0DD4"/>
    <w:rsid w:val="00EF1D39"/>
    <w:rsid w:val="00EF1FFC"/>
    <w:rsid w:val="00EF2253"/>
    <w:rsid w:val="00EF31F9"/>
    <w:rsid w:val="00EF3228"/>
    <w:rsid w:val="00EF390B"/>
    <w:rsid w:val="00EF3E7F"/>
    <w:rsid w:val="00EF4121"/>
    <w:rsid w:val="00EF511C"/>
    <w:rsid w:val="00EF5AD7"/>
    <w:rsid w:val="00EF7CE1"/>
    <w:rsid w:val="00EF7F74"/>
    <w:rsid w:val="00F028EF"/>
    <w:rsid w:val="00F03461"/>
    <w:rsid w:val="00F03AD3"/>
    <w:rsid w:val="00F04524"/>
    <w:rsid w:val="00F0542F"/>
    <w:rsid w:val="00F0559D"/>
    <w:rsid w:val="00F05993"/>
    <w:rsid w:val="00F061C4"/>
    <w:rsid w:val="00F06B4C"/>
    <w:rsid w:val="00F07C91"/>
    <w:rsid w:val="00F10026"/>
    <w:rsid w:val="00F10860"/>
    <w:rsid w:val="00F10F56"/>
    <w:rsid w:val="00F11040"/>
    <w:rsid w:val="00F11156"/>
    <w:rsid w:val="00F11948"/>
    <w:rsid w:val="00F12033"/>
    <w:rsid w:val="00F1248D"/>
    <w:rsid w:val="00F12EBF"/>
    <w:rsid w:val="00F13470"/>
    <w:rsid w:val="00F14C03"/>
    <w:rsid w:val="00F15910"/>
    <w:rsid w:val="00F15C1A"/>
    <w:rsid w:val="00F15C44"/>
    <w:rsid w:val="00F17CD7"/>
    <w:rsid w:val="00F202EC"/>
    <w:rsid w:val="00F20AEC"/>
    <w:rsid w:val="00F21395"/>
    <w:rsid w:val="00F2162E"/>
    <w:rsid w:val="00F2263E"/>
    <w:rsid w:val="00F22E9B"/>
    <w:rsid w:val="00F247B0"/>
    <w:rsid w:val="00F25FF7"/>
    <w:rsid w:val="00F26202"/>
    <w:rsid w:val="00F2676D"/>
    <w:rsid w:val="00F26E9D"/>
    <w:rsid w:val="00F270B7"/>
    <w:rsid w:val="00F27321"/>
    <w:rsid w:val="00F27AF1"/>
    <w:rsid w:val="00F303AD"/>
    <w:rsid w:val="00F30A14"/>
    <w:rsid w:val="00F331B5"/>
    <w:rsid w:val="00F3386B"/>
    <w:rsid w:val="00F33AE6"/>
    <w:rsid w:val="00F33FDD"/>
    <w:rsid w:val="00F34238"/>
    <w:rsid w:val="00F35B64"/>
    <w:rsid w:val="00F366A2"/>
    <w:rsid w:val="00F36EC1"/>
    <w:rsid w:val="00F37491"/>
    <w:rsid w:val="00F37C61"/>
    <w:rsid w:val="00F40F02"/>
    <w:rsid w:val="00F41E7B"/>
    <w:rsid w:val="00F420AB"/>
    <w:rsid w:val="00F423F0"/>
    <w:rsid w:val="00F430C2"/>
    <w:rsid w:val="00F433ED"/>
    <w:rsid w:val="00F43900"/>
    <w:rsid w:val="00F4395D"/>
    <w:rsid w:val="00F43A03"/>
    <w:rsid w:val="00F43B3E"/>
    <w:rsid w:val="00F43BCE"/>
    <w:rsid w:val="00F43D0A"/>
    <w:rsid w:val="00F44CCA"/>
    <w:rsid w:val="00F45DCD"/>
    <w:rsid w:val="00F46923"/>
    <w:rsid w:val="00F46B5F"/>
    <w:rsid w:val="00F4764B"/>
    <w:rsid w:val="00F509C8"/>
    <w:rsid w:val="00F530C3"/>
    <w:rsid w:val="00F5371F"/>
    <w:rsid w:val="00F53B81"/>
    <w:rsid w:val="00F547A8"/>
    <w:rsid w:val="00F54F59"/>
    <w:rsid w:val="00F5501F"/>
    <w:rsid w:val="00F56566"/>
    <w:rsid w:val="00F56800"/>
    <w:rsid w:val="00F5739A"/>
    <w:rsid w:val="00F575BD"/>
    <w:rsid w:val="00F577CE"/>
    <w:rsid w:val="00F57A4B"/>
    <w:rsid w:val="00F61573"/>
    <w:rsid w:val="00F622D9"/>
    <w:rsid w:val="00F6275A"/>
    <w:rsid w:val="00F64A31"/>
    <w:rsid w:val="00F65896"/>
    <w:rsid w:val="00F65E42"/>
    <w:rsid w:val="00F66898"/>
    <w:rsid w:val="00F668BC"/>
    <w:rsid w:val="00F67259"/>
    <w:rsid w:val="00F70206"/>
    <w:rsid w:val="00F70B49"/>
    <w:rsid w:val="00F70E8D"/>
    <w:rsid w:val="00F71C04"/>
    <w:rsid w:val="00F71F85"/>
    <w:rsid w:val="00F7308B"/>
    <w:rsid w:val="00F73F28"/>
    <w:rsid w:val="00F740D1"/>
    <w:rsid w:val="00F74B22"/>
    <w:rsid w:val="00F756B8"/>
    <w:rsid w:val="00F76E77"/>
    <w:rsid w:val="00F80406"/>
    <w:rsid w:val="00F81817"/>
    <w:rsid w:val="00F81A9D"/>
    <w:rsid w:val="00F81DCC"/>
    <w:rsid w:val="00F8265A"/>
    <w:rsid w:val="00F83654"/>
    <w:rsid w:val="00F84589"/>
    <w:rsid w:val="00F86E91"/>
    <w:rsid w:val="00F87164"/>
    <w:rsid w:val="00F8776A"/>
    <w:rsid w:val="00F906C0"/>
    <w:rsid w:val="00F90818"/>
    <w:rsid w:val="00F90BE7"/>
    <w:rsid w:val="00F91F88"/>
    <w:rsid w:val="00F92685"/>
    <w:rsid w:val="00F92762"/>
    <w:rsid w:val="00F928FF"/>
    <w:rsid w:val="00F92BE9"/>
    <w:rsid w:val="00F93716"/>
    <w:rsid w:val="00F938C5"/>
    <w:rsid w:val="00F93C8F"/>
    <w:rsid w:val="00F949B1"/>
    <w:rsid w:val="00F9587E"/>
    <w:rsid w:val="00F9749C"/>
    <w:rsid w:val="00F9754C"/>
    <w:rsid w:val="00F97B34"/>
    <w:rsid w:val="00FA0093"/>
    <w:rsid w:val="00FA136A"/>
    <w:rsid w:val="00FA226F"/>
    <w:rsid w:val="00FA328E"/>
    <w:rsid w:val="00FA4658"/>
    <w:rsid w:val="00FA5E5E"/>
    <w:rsid w:val="00FA643E"/>
    <w:rsid w:val="00FA77A1"/>
    <w:rsid w:val="00FB0A2E"/>
    <w:rsid w:val="00FB187B"/>
    <w:rsid w:val="00FB2B30"/>
    <w:rsid w:val="00FB3690"/>
    <w:rsid w:val="00FB3A19"/>
    <w:rsid w:val="00FB405A"/>
    <w:rsid w:val="00FB72EC"/>
    <w:rsid w:val="00FB75BF"/>
    <w:rsid w:val="00FB7A94"/>
    <w:rsid w:val="00FC0E0B"/>
    <w:rsid w:val="00FC2726"/>
    <w:rsid w:val="00FC2D88"/>
    <w:rsid w:val="00FC4711"/>
    <w:rsid w:val="00FC49BC"/>
    <w:rsid w:val="00FC5A29"/>
    <w:rsid w:val="00FC6184"/>
    <w:rsid w:val="00FC62D5"/>
    <w:rsid w:val="00FC6D79"/>
    <w:rsid w:val="00FC7075"/>
    <w:rsid w:val="00FC75D9"/>
    <w:rsid w:val="00FC7D8B"/>
    <w:rsid w:val="00FD0235"/>
    <w:rsid w:val="00FD0517"/>
    <w:rsid w:val="00FD062A"/>
    <w:rsid w:val="00FD08D8"/>
    <w:rsid w:val="00FD1598"/>
    <w:rsid w:val="00FD28E2"/>
    <w:rsid w:val="00FD2BA7"/>
    <w:rsid w:val="00FD326D"/>
    <w:rsid w:val="00FD352C"/>
    <w:rsid w:val="00FD4232"/>
    <w:rsid w:val="00FD5268"/>
    <w:rsid w:val="00FD575B"/>
    <w:rsid w:val="00FD5880"/>
    <w:rsid w:val="00FD75BF"/>
    <w:rsid w:val="00FD79DA"/>
    <w:rsid w:val="00FD7F93"/>
    <w:rsid w:val="00FE03DC"/>
    <w:rsid w:val="00FE0510"/>
    <w:rsid w:val="00FE1EE1"/>
    <w:rsid w:val="00FE25B5"/>
    <w:rsid w:val="00FE2C62"/>
    <w:rsid w:val="00FE3BC1"/>
    <w:rsid w:val="00FE3F11"/>
    <w:rsid w:val="00FE4332"/>
    <w:rsid w:val="00FE467A"/>
    <w:rsid w:val="00FE54C9"/>
    <w:rsid w:val="00FE60B4"/>
    <w:rsid w:val="00FE73FD"/>
    <w:rsid w:val="00FE757D"/>
    <w:rsid w:val="00FE7A6E"/>
    <w:rsid w:val="00FE7CFE"/>
    <w:rsid w:val="00FF0E13"/>
    <w:rsid w:val="00FF2B4C"/>
    <w:rsid w:val="00FF6C12"/>
    <w:rsid w:val="00FF70A5"/>
    <w:rsid w:val="00FF73F5"/>
    <w:rsid w:val="468B61AC"/>
    <w:rsid w:val="5F60149C"/>
    <w:rsid w:val="698969ED"/>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D359DA"/>
  <w15:docId w15:val="{EFCDDA79-A7BC-4830-B6ED-54393B8A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CA"/>
    </w:rPr>
  </w:style>
  <w:style w:type="paragraph" w:styleId="Heading1">
    <w:name w:val="heading 1"/>
    <w:basedOn w:val="Normal"/>
    <w:link w:val="Heading1Char"/>
    <w:uiPriority w:val="9"/>
    <w:qFormat/>
    <w:rsid w:val="003E164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983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837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Pr>
      <w:sz w:val="16"/>
      <w:szCs w:val="16"/>
    </w:rPr>
  </w:style>
  <w:style w:type="paragraph" w:customStyle="1" w:styleId="BGKeywords">
    <w:name w:val="BG_Keywords"/>
    <w:basedOn w:val="Normal"/>
    <w:pPr>
      <w:spacing w:after="200" w:line="480" w:lineRule="auto"/>
      <w:jc w:val="both"/>
    </w:pPr>
    <w:rPr>
      <w:rFonts w:ascii="Times" w:eastAsia="Times New Roman" w:hAnsi="Times" w:cs="Times New Roman"/>
      <w:sz w:val="24"/>
      <w:szCs w:val="20"/>
      <w:lang w:val="en-US"/>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Emphasis">
    <w:name w:val="Emphasis"/>
    <w:basedOn w:val="DefaultParagraphFont"/>
    <w:uiPriority w:val="20"/>
    <w:qFormat/>
    <w:rsid w:val="000E2B7E"/>
    <w:rPr>
      <w:i/>
      <w:iCs/>
    </w:rPr>
  </w:style>
  <w:style w:type="character" w:styleId="Hyperlink">
    <w:name w:val="Hyperlink"/>
    <w:basedOn w:val="DefaultParagraphFont"/>
    <w:uiPriority w:val="99"/>
    <w:unhideWhenUsed/>
    <w:rsid w:val="00AC27C8"/>
    <w:rPr>
      <w:color w:val="0000FF"/>
      <w:u w:val="single"/>
    </w:rPr>
  </w:style>
  <w:style w:type="paragraph" w:styleId="Header">
    <w:name w:val="header"/>
    <w:basedOn w:val="Normal"/>
    <w:link w:val="HeaderChar"/>
    <w:uiPriority w:val="99"/>
    <w:unhideWhenUsed/>
    <w:rsid w:val="00562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B41"/>
    <w:rPr>
      <w:rFonts w:asciiTheme="minorHAnsi" w:eastAsiaTheme="minorHAnsi" w:hAnsiTheme="minorHAnsi" w:cstheme="minorBidi"/>
      <w:sz w:val="22"/>
      <w:szCs w:val="22"/>
      <w:lang w:val="en-CA"/>
    </w:rPr>
  </w:style>
  <w:style w:type="paragraph" w:styleId="Footer">
    <w:name w:val="footer"/>
    <w:basedOn w:val="Normal"/>
    <w:link w:val="FooterChar"/>
    <w:uiPriority w:val="99"/>
    <w:unhideWhenUsed/>
    <w:rsid w:val="00562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B41"/>
    <w:rPr>
      <w:rFonts w:asciiTheme="minorHAnsi" w:eastAsiaTheme="minorHAnsi" w:hAnsiTheme="minorHAnsi" w:cstheme="minorBidi"/>
      <w:sz w:val="22"/>
      <w:szCs w:val="22"/>
      <w:lang w:val="en-CA"/>
    </w:rPr>
  </w:style>
  <w:style w:type="character" w:customStyle="1" w:styleId="Heading1Char">
    <w:name w:val="Heading 1 Char"/>
    <w:basedOn w:val="DefaultParagraphFont"/>
    <w:link w:val="Heading1"/>
    <w:uiPriority w:val="9"/>
    <w:rsid w:val="003E1648"/>
    <w:rPr>
      <w:rFonts w:eastAsia="Times New Roman"/>
      <w:b/>
      <w:bCs/>
      <w:kern w:val="36"/>
      <w:sz w:val="48"/>
      <w:szCs w:val="48"/>
      <w:lang w:val="en-GB" w:eastAsia="en-GB"/>
    </w:rPr>
  </w:style>
  <w:style w:type="character" w:customStyle="1" w:styleId="topic-highlight">
    <w:name w:val="topic-highlight"/>
    <w:basedOn w:val="DefaultParagraphFont"/>
    <w:rsid w:val="006876D4"/>
  </w:style>
  <w:style w:type="paragraph" w:styleId="Revision">
    <w:name w:val="Revision"/>
    <w:hidden/>
    <w:uiPriority w:val="99"/>
    <w:semiHidden/>
    <w:rsid w:val="007B5712"/>
    <w:pPr>
      <w:spacing w:after="0" w:line="240" w:lineRule="auto"/>
    </w:pPr>
    <w:rPr>
      <w:rFonts w:asciiTheme="minorHAnsi" w:eastAsiaTheme="minorHAnsi" w:hAnsiTheme="minorHAnsi" w:cstheme="minorBidi"/>
      <w:sz w:val="22"/>
      <w:szCs w:val="22"/>
      <w:lang w:val="en-CA"/>
    </w:rPr>
  </w:style>
  <w:style w:type="paragraph" w:styleId="ListParagraph">
    <w:name w:val="List Paragraph"/>
    <w:basedOn w:val="Normal"/>
    <w:uiPriority w:val="34"/>
    <w:qFormat/>
    <w:rsid w:val="003505BA"/>
    <w:pPr>
      <w:spacing w:before="120" w:after="120" w:line="240" w:lineRule="auto"/>
      <w:ind w:left="720"/>
      <w:contextualSpacing/>
    </w:pPr>
    <w:rPr>
      <w:sz w:val="24"/>
      <w:szCs w:val="24"/>
      <w:lang w:val="en-GB"/>
    </w:rPr>
  </w:style>
  <w:style w:type="paragraph" w:customStyle="1" w:styleId="FAAuthorInfoSubtitle">
    <w:name w:val="FA_Author_Info_Subtitle"/>
    <w:basedOn w:val="Normal"/>
    <w:link w:val="FAAuthorInfoSubtitleChar"/>
    <w:autoRedefine/>
    <w:rsid w:val="003505BA"/>
    <w:pPr>
      <w:spacing w:before="120" w:after="60" w:line="480" w:lineRule="auto"/>
    </w:pPr>
    <w:rPr>
      <w:rFonts w:ascii="Times" w:eastAsia="Times New Roman" w:hAnsi="Times" w:cs="Times New Roman"/>
      <w:b/>
      <w:sz w:val="28"/>
      <w:szCs w:val="21"/>
      <w:lang w:val="en-US"/>
    </w:rPr>
  </w:style>
  <w:style w:type="character" w:customStyle="1" w:styleId="FAAuthorInfoSubtitleChar">
    <w:name w:val="FA_Author_Info_Subtitle Char"/>
    <w:link w:val="FAAuthorInfoSubtitle"/>
    <w:rsid w:val="003505BA"/>
    <w:rPr>
      <w:rFonts w:ascii="Times" w:eastAsia="Times New Roman" w:hAnsi="Times"/>
      <w:b/>
      <w:sz w:val="28"/>
      <w:szCs w:val="21"/>
    </w:rPr>
  </w:style>
  <w:style w:type="character" w:customStyle="1" w:styleId="Heading2Char">
    <w:name w:val="Heading 2 Char"/>
    <w:basedOn w:val="DefaultParagraphFont"/>
    <w:link w:val="Heading2"/>
    <w:uiPriority w:val="9"/>
    <w:semiHidden/>
    <w:rsid w:val="009837E3"/>
    <w:rPr>
      <w:rFonts w:asciiTheme="majorHAnsi" w:eastAsiaTheme="majorEastAsia" w:hAnsiTheme="majorHAnsi" w:cstheme="majorBidi"/>
      <w:color w:val="2F5496" w:themeColor="accent1" w:themeShade="BF"/>
      <w:sz w:val="26"/>
      <w:szCs w:val="26"/>
      <w:lang w:val="en-CA"/>
    </w:rPr>
  </w:style>
  <w:style w:type="character" w:customStyle="1" w:styleId="Heading3Char">
    <w:name w:val="Heading 3 Char"/>
    <w:basedOn w:val="DefaultParagraphFont"/>
    <w:link w:val="Heading3"/>
    <w:uiPriority w:val="9"/>
    <w:semiHidden/>
    <w:rsid w:val="009837E3"/>
    <w:rPr>
      <w:rFonts w:asciiTheme="majorHAnsi" w:eastAsiaTheme="majorEastAsia" w:hAnsiTheme="majorHAnsi" w:cstheme="majorBidi"/>
      <w:color w:val="1F3763" w:themeColor="accent1" w:themeShade="7F"/>
      <w:sz w:val="24"/>
      <w:szCs w:val="24"/>
      <w:lang w:val="en-CA"/>
    </w:rPr>
  </w:style>
  <w:style w:type="character" w:styleId="PageNumber">
    <w:name w:val="page number"/>
    <w:basedOn w:val="DefaultParagraphFont"/>
    <w:uiPriority w:val="99"/>
    <w:semiHidden/>
    <w:unhideWhenUsed/>
    <w:rsid w:val="00B0146D"/>
  </w:style>
  <w:style w:type="character" w:customStyle="1" w:styleId="UnresolvedMention1">
    <w:name w:val="Unresolved Mention1"/>
    <w:basedOn w:val="DefaultParagraphFont"/>
    <w:uiPriority w:val="99"/>
    <w:semiHidden/>
    <w:unhideWhenUsed/>
    <w:rsid w:val="009561E9"/>
    <w:rPr>
      <w:color w:val="605E5C"/>
      <w:shd w:val="clear" w:color="auto" w:fill="E1DFDD"/>
    </w:rPr>
  </w:style>
  <w:style w:type="table" w:styleId="TableGrid">
    <w:name w:val="Table Grid"/>
    <w:basedOn w:val="TableNormal"/>
    <w:uiPriority w:val="39"/>
    <w:rsid w:val="00842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6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958544">
      <w:bodyDiv w:val="1"/>
      <w:marLeft w:val="0"/>
      <w:marRight w:val="0"/>
      <w:marTop w:val="0"/>
      <w:marBottom w:val="0"/>
      <w:divBdr>
        <w:top w:val="none" w:sz="0" w:space="0" w:color="auto"/>
        <w:left w:val="none" w:sz="0" w:space="0" w:color="auto"/>
        <w:bottom w:val="none" w:sz="0" w:space="0" w:color="auto"/>
        <w:right w:val="none" w:sz="0" w:space="0" w:color="auto"/>
      </w:divBdr>
    </w:div>
    <w:div w:id="1010330374">
      <w:bodyDiv w:val="1"/>
      <w:marLeft w:val="0"/>
      <w:marRight w:val="0"/>
      <w:marTop w:val="0"/>
      <w:marBottom w:val="0"/>
      <w:divBdr>
        <w:top w:val="none" w:sz="0" w:space="0" w:color="auto"/>
        <w:left w:val="none" w:sz="0" w:space="0" w:color="auto"/>
        <w:bottom w:val="none" w:sz="0" w:space="0" w:color="auto"/>
        <w:right w:val="none" w:sz="0" w:space="0" w:color="auto"/>
      </w:divBdr>
    </w:div>
    <w:div w:id="1127964877">
      <w:bodyDiv w:val="1"/>
      <w:marLeft w:val="0"/>
      <w:marRight w:val="0"/>
      <w:marTop w:val="0"/>
      <w:marBottom w:val="0"/>
      <w:divBdr>
        <w:top w:val="none" w:sz="0" w:space="0" w:color="auto"/>
        <w:left w:val="none" w:sz="0" w:space="0" w:color="auto"/>
        <w:bottom w:val="none" w:sz="0" w:space="0" w:color="auto"/>
        <w:right w:val="none" w:sz="0" w:space="0" w:color="auto"/>
      </w:divBdr>
    </w:div>
    <w:div w:id="1402757667">
      <w:bodyDiv w:val="1"/>
      <w:marLeft w:val="0"/>
      <w:marRight w:val="0"/>
      <w:marTop w:val="0"/>
      <w:marBottom w:val="0"/>
      <w:divBdr>
        <w:top w:val="none" w:sz="0" w:space="0" w:color="auto"/>
        <w:left w:val="none" w:sz="0" w:space="0" w:color="auto"/>
        <w:bottom w:val="none" w:sz="0" w:space="0" w:color="auto"/>
        <w:right w:val="none" w:sz="0" w:space="0" w:color="auto"/>
      </w:divBdr>
    </w:div>
    <w:div w:id="1417824637">
      <w:bodyDiv w:val="1"/>
      <w:marLeft w:val="0"/>
      <w:marRight w:val="0"/>
      <w:marTop w:val="0"/>
      <w:marBottom w:val="0"/>
      <w:divBdr>
        <w:top w:val="none" w:sz="0" w:space="0" w:color="auto"/>
        <w:left w:val="none" w:sz="0" w:space="0" w:color="auto"/>
        <w:bottom w:val="none" w:sz="0" w:space="0" w:color="auto"/>
        <w:right w:val="none" w:sz="0" w:space="0" w:color="auto"/>
      </w:divBdr>
    </w:div>
    <w:div w:id="1603760010">
      <w:bodyDiv w:val="1"/>
      <w:marLeft w:val="0"/>
      <w:marRight w:val="0"/>
      <w:marTop w:val="0"/>
      <w:marBottom w:val="0"/>
      <w:divBdr>
        <w:top w:val="none" w:sz="0" w:space="0" w:color="auto"/>
        <w:left w:val="none" w:sz="0" w:space="0" w:color="auto"/>
        <w:bottom w:val="none" w:sz="0" w:space="0" w:color="auto"/>
        <w:right w:val="none" w:sz="0" w:space="0" w:color="auto"/>
      </w:divBdr>
    </w:div>
    <w:div w:id="1705130994">
      <w:bodyDiv w:val="1"/>
      <w:marLeft w:val="0"/>
      <w:marRight w:val="0"/>
      <w:marTop w:val="0"/>
      <w:marBottom w:val="0"/>
      <w:divBdr>
        <w:top w:val="none" w:sz="0" w:space="0" w:color="auto"/>
        <w:left w:val="none" w:sz="0" w:space="0" w:color="auto"/>
        <w:bottom w:val="none" w:sz="0" w:space="0" w:color="auto"/>
        <w:right w:val="none" w:sz="0" w:space="0" w:color="auto"/>
      </w:divBdr>
      <w:divsChild>
        <w:div w:id="830948813">
          <w:marLeft w:val="0"/>
          <w:marRight w:val="0"/>
          <w:marTop w:val="0"/>
          <w:marBottom w:val="0"/>
          <w:divBdr>
            <w:top w:val="none" w:sz="0" w:space="0" w:color="auto"/>
            <w:left w:val="none" w:sz="0" w:space="0" w:color="auto"/>
            <w:bottom w:val="none" w:sz="0" w:space="0" w:color="auto"/>
            <w:right w:val="none" w:sz="0" w:space="0" w:color="auto"/>
          </w:divBdr>
        </w:div>
        <w:div w:id="1961569379">
          <w:marLeft w:val="0"/>
          <w:marRight w:val="0"/>
          <w:marTop w:val="0"/>
          <w:marBottom w:val="0"/>
          <w:divBdr>
            <w:top w:val="none" w:sz="0" w:space="0" w:color="auto"/>
            <w:left w:val="none" w:sz="0" w:space="0" w:color="auto"/>
            <w:bottom w:val="none" w:sz="0" w:space="0" w:color="auto"/>
            <w:right w:val="none" w:sz="0" w:space="0" w:color="auto"/>
          </w:divBdr>
        </w:div>
      </w:divsChild>
    </w:div>
    <w:div w:id="1863739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n.wikipedia.org/wiki/Anthraquinone" TargetMode="External"/><Relationship Id="rId18" Type="http://schemas.openxmlformats.org/officeDocument/2006/relationships/image" Target="media/image2.tif"/><Relationship Id="rId26" Type="http://schemas.openxmlformats.org/officeDocument/2006/relationships/image" Target="media/image10.tif"/><Relationship Id="rId3" Type="http://schemas.openxmlformats.org/officeDocument/2006/relationships/customXml" Target="../customXml/item3.xml"/><Relationship Id="rId21" Type="http://schemas.openxmlformats.org/officeDocument/2006/relationships/image" Target="media/image5.tif"/><Relationship Id="rId7" Type="http://schemas.openxmlformats.org/officeDocument/2006/relationships/styles" Target="styles.xml"/><Relationship Id="rId12" Type="http://schemas.openxmlformats.org/officeDocument/2006/relationships/hyperlink" Target="mailto:P.leung@cqu.edu.cn" TargetMode="External"/><Relationship Id="rId17" Type="http://schemas.openxmlformats.org/officeDocument/2006/relationships/image" Target="media/image1.tiff"/><Relationship Id="rId25"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hyperlink" Target="https://en.wikipedia.org/wiki/Anthraquinone" TargetMode="External"/><Relationship Id="rId20" Type="http://schemas.openxmlformats.org/officeDocument/2006/relationships/image" Target="media/image4.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tif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en.wikipedia.org/wiki/1,4-Naphthoquinone" TargetMode="External"/><Relationship Id="rId23" Type="http://schemas.openxmlformats.org/officeDocument/2006/relationships/image" Target="media/image7.tif"/><Relationship Id="rId28" Type="http://schemas.openxmlformats.org/officeDocument/2006/relationships/image" Target="media/image12.tiff"/><Relationship Id="rId10" Type="http://schemas.openxmlformats.org/officeDocument/2006/relationships/footnotes" Target="footnotes.xml"/><Relationship Id="rId19" Type="http://schemas.openxmlformats.org/officeDocument/2006/relationships/image" Target="media/image3.tif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wikipedia.org/wiki/1,4-Benzoquinone" TargetMode="External"/><Relationship Id="rId22" Type="http://schemas.openxmlformats.org/officeDocument/2006/relationships/image" Target="media/image6.tif"/><Relationship Id="rId27" Type="http://schemas.openxmlformats.org/officeDocument/2006/relationships/image" Target="media/image11.ti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A5F4681F8E1554DAE9326CF383E6880" ma:contentTypeVersion="15" ma:contentTypeDescription="Create a new document." ma:contentTypeScope="" ma:versionID="13c5fca347f8ecadff5984108b58d23b">
  <xsd:schema xmlns:xsd="http://www.w3.org/2001/XMLSchema" xmlns:xs="http://www.w3.org/2001/XMLSchema" xmlns:p="http://schemas.microsoft.com/office/2006/metadata/properties" xmlns:ns3="adb9f01d-dcb5-48f1-b85e-eb024f9d06ae" xmlns:ns4="020363b2-40a4-4de6-9e8d-dcea89b77bd6" targetNamespace="http://schemas.microsoft.com/office/2006/metadata/properties" ma:root="true" ma:fieldsID="789f2fb16c634c5811e0ebc4c83eefb6" ns3:_="" ns4:_="">
    <xsd:import namespace="adb9f01d-dcb5-48f1-b85e-eb024f9d06ae"/>
    <xsd:import namespace="020363b2-40a4-4de6-9e8d-dcea89b77bd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9f01d-dcb5-48f1-b85e-eb024f9d06a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0363b2-40a4-4de6-9e8d-dcea89b77bd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05F1E1-545B-40F1-B9C5-73B771A188DD}">
  <ds:schemaRefs>
    <ds:schemaRef ds:uri="http://schemas.microsoft.com/office/infopath/2007/PartnerControls"/>
    <ds:schemaRef ds:uri="020363b2-40a4-4de6-9e8d-dcea89b77bd6"/>
    <ds:schemaRef ds:uri="http://schemas.microsoft.com/office/2006/documentManagement/types"/>
    <ds:schemaRef ds:uri="http://purl.org/dc/terms/"/>
    <ds:schemaRef ds:uri="http://purl.org/dc/elements/1.1/"/>
    <ds:schemaRef ds:uri="http://schemas.openxmlformats.org/package/2006/metadata/core-properties"/>
    <ds:schemaRef ds:uri="adb9f01d-dcb5-48f1-b85e-eb024f9d06a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D896D9E-DFE0-46BF-A55D-B6C4977A0A9D}">
  <ds:schemaRefs>
    <ds:schemaRef ds:uri="http://schemas.openxmlformats.org/officeDocument/2006/bibliography"/>
  </ds:schemaRefs>
</ds:datastoreItem>
</file>

<file path=customXml/itemProps4.xml><?xml version="1.0" encoding="utf-8"?>
<ds:datastoreItem xmlns:ds="http://schemas.openxmlformats.org/officeDocument/2006/customXml" ds:itemID="{7816C460-04C7-4F8F-9CEE-E5D6A71A481C}">
  <ds:schemaRefs>
    <ds:schemaRef ds:uri="http://schemas.microsoft.com/sharepoint/v3/contenttype/forms"/>
  </ds:schemaRefs>
</ds:datastoreItem>
</file>

<file path=customXml/itemProps5.xml><?xml version="1.0" encoding="utf-8"?>
<ds:datastoreItem xmlns:ds="http://schemas.openxmlformats.org/officeDocument/2006/customXml" ds:itemID="{E2EE9372-B5EC-473F-86D7-A6CA50E98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9f01d-dcb5-48f1-b85e-eb024f9d06ae"/>
    <ds:schemaRef ds:uri="020363b2-40a4-4de6-9e8d-dcea89b77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30734</Words>
  <Characters>175190</Characters>
  <Application>Microsoft Office Word</Application>
  <DocSecurity>0</DocSecurity>
  <Lines>1459</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Maedeh Pahlevaninezhad</dc:creator>
  <cp:keywords/>
  <dc:description/>
  <cp:lastModifiedBy>Carlos Ponce De Leon Albarran</cp:lastModifiedBy>
  <cp:revision>3</cp:revision>
  <dcterms:created xsi:type="dcterms:W3CDTF">2021-04-18T18:32:00Z</dcterms:created>
  <dcterms:modified xsi:type="dcterms:W3CDTF">2021-04-18T18:33:00Z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0x010100DA5F4681F8E1554DAE9326CF383E6880</vt:lpwstr>
  </property>
  <property fmtid="{D5CDD505-2E9C-101B-9397-08002B2CF9AE}" pid="3" name="Mendeley Document_1">
    <vt:lpwstr>True</vt:lpwstr>
  </property>
  <property fmtid="{D5CDD505-2E9C-101B-9397-08002B2CF9AE}" pid="4" name="Mendeley Citation Style_1">
    <vt:lpwstr>http://www.zotero.org/styles/journal-of-power-sources</vt:lpwstr>
  </property>
  <property fmtid="{D5CDD505-2E9C-101B-9397-08002B2CF9AE}" pid="5" name="Mendeley Unique User Id_1">
    <vt:lpwstr>b7883e14-cec3-3617-b069-5015d59e17f5</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http://www.zotero.org/styles/energy-and-environmental-science</vt:lpwstr>
  </property>
  <property fmtid="{D5CDD505-2E9C-101B-9397-08002B2CF9AE}" pid="17" name="Mendeley Recent Style Name 5_1">
    <vt:lpwstr>Energy &amp; Environmental Science</vt:lpwstr>
  </property>
  <property fmtid="{D5CDD505-2E9C-101B-9397-08002B2CF9AE}" pid="18" name="Mendeley Recent Style Id 6_1">
    <vt:lpwstr>http://www.zotero.org/styles/energy-storage-materials</vt:lpwstr>
  </property>
  <property fmtid="{D5CDD505-2E9C-101B-9397-08002B2CF9AE}" pid="19" name="Mendeley Recent Style Name 6_1">
    <vt:lpwstr>Energy Storage Materials</vt:lpwstr>
  </property>
  <property fmtid="{D5CDD505-2E9C-101B-9397-08002B2CF9AE}" pid="20" name="Mendeley Recent Style Id 7_1">
    <vt:lpwstr>http://www.zotero.org/styles/journal-of-power-sources</vt:lpwstr>
  </property>
  <property fmtid="{D5CDD505-2E9C-101B-9397-08002B2CF9AE}" pid="21" name="Mendeley Recent Style Name 7_1">
    <vt:lpwstr>Journal of Power Sources</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8th edition</vt:lpwstr>
  </property>
  <property fmtid="{D5CDD505-2E9C-101B-9397-08002B2CF9AE}" pid="26" name="KSOProductBuildVer">
    <vt:lpwstr>2057-11.2.0.9107</vt:lpwstr>
  </property>
</Properties>
</file>