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E68E" w14:textId="77777777" w:rsidR="00ED749B" w:rsidRPr="00AC37DD" w:rsidRDefault="00ED749B" w:rsidP="00ED749B">
      <w:pPr>
        <w:spacing w:line="480" w:lineRule="auto"/>
        <w:jc w:val="both"/>
        <w:rPr>
          <w:sz w:val="20"/>
          <w:szCs w:val="20"/>
        </w:rPr>
      </w:pPr>
      <w:r w:rsidRPr="00AC37DD">
        <w:rPr>
          <w:b/>
          <w:sz w:val="20"/>
          <w:szCs w:val="20"/>
        </w:rPr>
        <w:t xml:space="preserve">Title: </w:t>
      </w:r>
      <w:r w:rsidRPr="00AC37DD">
        <w:rPr>
          <w:sz w:val="20"/>
          <w:szCs w:val="20"/>
        </w:rPr>
        <w:t xml:space="preserve"> ‘This is not part of my life plan’: a qualitative study on the psychosocial experiences and practical challenges in young adults with cancer age 25 to 39 years at diagnosis. </w:t>
      </w:r>
    </w:p>
    <w:p w14:paraId="72235A04" w14:textId="77777777" w:rsidR="000F628A" w:rsidRPr="00AC37DD" w:rsidRDefault="000F628A" w:rsidP="00DB09DF">
      <w:pPr>
        <w:spacing w:before="400" w:line="480" w:lineRule="auto"/>
        <w:jc w:val="both"/>
        <w:rPr>
          <w:sz w:val="20"/>
          <w:szCs w:val="20"/>
        </w:rPr>
      </w:pPr>
      <w:r w:rsidRPr="00AC37DD">
        <w:rPr>
          <w:b/>
          <w:sz w:val="20"/>
          <w:szCs w:val="20"/>
        </w:rPr>
        <w:t>ABSTRACT</w:t>
      </w:r>
      <w:r w:rsidR="00E46769" w:rsidRPr="00AC37DD">
        <w:rPr>
          <w:b/>
          <w:sz w:val="20"/>
          <w:szCs w:val="20"/>
        </w:rPr>
        <w:t xml:space="preserve"> </w:t>
      </w:r>
    </w:p>
    <w:p w14:paraId="51413ED8" w14:textId="72BAA2F0" w:rsidR="000F628A" w:rsidRPr="00AC37DD" w:rsidRDefault="006A0E8B" w:rsidP="003B7457">
      <w:pPr>
        <w:spacing w:line="480" w:lineRule="auto"/>
        <w:jc w:val="both"/>
        <w:rPr>
          <w:b/>
          <w:sz w:val="20"/>
          <w:szCs w:val="20"/>
        </w:rPr>
      </w:pPr>
      <w:r w:rsidRPr="00AC37DD">
        <w:rPr>
          <w:b/>
          <w:sz w:val="20"/>
          <w:szCs w:val="20"/>
        </w:rPr>
        <w:t>Objective</w:t>
      </w:r>
      <w:r w:rsidR="000F628A" w:rsidRPr="00AC37DD">
        <w:rPr>
          <w:b/>
          <w:sz w:val="20"/>
          <w:szCs w:val="20"/>
        </w:rPr>
        <w:t xml:space="preserve">: </w:t>
      </w:r>
      <w:r w:rsidR="000F628A" w:rsidRPr="00AC37DD">
        <w:rPr>
          <w:sz w:val="20"/>
          <w:szCs w:val="20"/>
        </w:rPr>
        <w:t xml:space="preserve">Adolescents and young adults with cancer face unique psychosocial </w:t>
      </w:r>
      <w:r w:rsidR="001B4980" w:rsidRPr="00AC37DD">
        <w:rPr>
          <w:sz w:val="20"/>
          <w:szCs w:val="20"/>
        </w:rPr>
        <w:t xml:space="preserve">and practical </w:t>
      </w:r>
      <w:r w:rsidR="000F628A" w:rsidRPr="00AC37DD">
        <w:rPr>
          <w:sz w:val="20"/>
          <w:szCs w:val="20"/>
        </w:rPr>
        <w:t>issues. However, patients across this group encounter different life experiences, cancer diagnoses and treatment settings</w:t>
      </w:r>
      <w:r w:rsidRPr="00AC37DD">
        <w:rPr>
          <w:sz w:val="20"/>
          <w:szCs w:val="20"/>
        </w:rPr>
        <w:t xml:space="preserve"> given the tailored services for patients ages 15 to 24</w:t>
      </w:r>
      <w:r w:rsidR="000F628A" w:rsidRPr="00AC37DD">
        <w:rPr>
          <w:sz w:val="20"/>
          <w:szCs w:val="20"/>
        </w:rPr>
        <w:t>. Here we qualitatively explore the psychosocial experiences</w:t>
      </w:r>
      <w:r w:rsidR="00F64AD1" w:rsidRPr="00AC37DD">
        <w:rPr>
          <w:sz w:val="20"/>
          <w:szCs w:val="20"/>
        </w:rPr>
        <w:t xml:space="preserve"> and practical challenges</w:t>
      </w:r>
      <w:r w:rsidR="000F628A" w:rsidRPr="00AC37DD">
        <w:rPr>
          <w:sz w:val="20"/>
          <w:szCs w:val="20"/>
        </w:rPr>
        <w:t xml:space="preserve"> of </w:t>
      </w:r>
      <w:r w:rsidR="003B7457" w:rsidRPr="00AC37DD">
        <w:rPr>
          <w:sz w:val="20"/>
          <w:szCs w:val="20"/>
        </w:rPr>
        <w:t>young adults (</w:t>
      </w:r>
      <w:r w:rsidR="000F628A" w:rsidRPr="00AC37DD">
        <w:rPr>
          <w:sz w:val="20"/>
          <w:szCs w:val="20"/>
        </w:rPr>
        <w:t>YAs</w:t>
      </w:r>
      <w:r w:rsidR="003B7457" w:rsidRPr="00AC37DD">
        <w:rPr>
          <w:sz w:val="20"/>
          <w:szCs w:val="20"/>
        </w:rPr>
        <w:t>)</w:t>
      </w:r>
      <w:r w:rsidR="000F628A" w:rsidRPr="00AC37DD">
        <w:rPr>
          <w:sz w:val="20"/>
          <w:szCs w:val="20"/>
        </w:rPr>
        <w:t xml:space="preserve"> with cancer</w:t>
      </w:r>
      <w:r w:rsidR="003B7457" w:rsidRPr="00AC37DD">
        <w:rPr>
          <w:sz w:val="20"/>
          <w:szCs w:val="20"/>
        </w:rPr>
        <w:t xml:space="preserve"> diagnosed between ages 25 and 39</w:t>
      </w:r>
      <w:r w:rsidR="002D3671" w:rsidRPr="00AC37DD">
        <w:rPr>
          <w:sz w:val="20"/>
          <w:szCs w:val="20"/>
        </w:rPr>
        <w:t xml:space="preserve"> </w:t>
      </w:r>
      <w:r w:rsidR="003B7457" w:rsidRPr="00AC37DD">
        <w:rPr>
          <w:sz w:val="20"/>
          <w:szCs w:val="20"/>
        </w:rPr>
        <w:t>in the United Kingdom</w:t>
      </w:r>
      <w:r w:rsidR="000F628A" w:rsidRPr="00AC37DD">
        <w:rPr>
          <w:sz w:val="20"/>
          <w:szCs w:val="20"/>
        </w:rPr>
        <w:t xml:space="preserve">. </w:t>
      </w:r>
    </w:p>
    <w:p w14:paraId="4F14B3D1" w14:textId="0D858E45" w:rsidR="000F628A" w:rsidRPr="00AC37DD" w:rsidRDefault="00D035EA" w:rsidP="003B7457">
      <w:pPr>
        <w:spacing w:line="480" w:lineRule="auto"/>
        <w:jc w:val="both"/>
        <w:rPr>
          <w:b/>
          <w:sz w:val="20"/>
          <w:szCs w:val="20"/>
        </w:rPr>
      </w:pPr>
      <w:r w:rsidRPr="00AC37DD">
        <w:rPr>
          <w:b/>
          <w:sz w:val="20"/>
          <w:szCs w:val="20"/>
        </w:rPr>
        <w:t>Method</w:t>
      </w:r>
      <w:r w:rsidR="00E46769" w:rsidRPr="00AC37DD">
        <w:rPr>
          <w:b/>
          <w:sz w:val="20"/>
          <w:szCs w:val="20"/>
        </w:rPr>
        <w:t>s</w:t>
      </w:r>
      <w:r w:rsidR="000F628A" w:rsidRPr="00AC37DD">
        <w:rPr>
          <w:b/>
          <w:sz w:val="20"/>
          <w:szCs w:val="20"/>
        </w:rPr>
        <w:t xml:space="preserve">: </w:t>
      </w:r>
      <w:r w:rsidR="000F628A" w:rsidRPr="00AC37DD">
        <w:rPr>
          <w:sz w:val="20"/>
          <w:szCs w:val="20"/>
        </w:rPr>
        <w:t xml:space="preserve">We invited </w:t>
      </w:r>
      <w:r w:rsidR="003B7457" w:rsidRPr="00AC37DD">
        <w:rPr>
          <w:sz w:val="20"/>
          <w:szCs w:val="20"/>
        </w:rPr>
        <w:t>YAs</w:t>
      </w:r>
      <w:r w:rsidR="000F628A" w:rsidRPr="00AC37DD">
        <w:rPr>
          <w:sz w:val="20"/>
          <w:szCs w:val="20"/>
        </w:rPr>
        <w:t xml:space="preserve"> diagnosed with cancer in the five years prior to enrolment </w:t>
      </w:r>
      <w:r w:rsidR="003B7457" w:rsidRPr="00AC37DD">
        <w:rPr>
          <w:sz w:val="20"/>
          <w:szCs w:val="20"/>
        </w:rPr>
        <w:t xml:space="preserve">at participating sites </w:t>
      </w:r>
      <w:r w:rsidR="000F628A" w:rsidRPr="00AC37DD">
        <w:rPr>
          <w:sz w:val="20"/>
          <w:szCs w:val="20"/>
        </w:rPr>
        <w:t xml:space="preserve">to </w:t>
      </w:r>
      <w:r w:rsidR="006A0E8B" w:rsidRPr="00AC37DD">
        <w:rPr>
          <w:sz w:val="20"/>
          <w:szCs w:val="20"/>
        </w:rPr>
        <w:t>participate</w:t>
      </w:r>
      <w:r w:rsidR="000F628A" w:rsidRPr="00AC37DD">
        <w:rPr>
          <w:sz w:val="20"/>
          <w:szCs w:val="20"/>
        </w:rPr>
        <w:t xml:space="preserve"> in semi-structured</w:t>
      </w:r>
      <w:r w:rsidR="00CB5783" w:rsidRPr="00AC37DD">
        <w:rPr>
          <w:sz w:val="20"/>
          <w:szCs w:val="20"/>
        </w:rPr>
        <w:t xml:space="preserve"> </w:t>
      </w:r>
      <w:r w:rsidR="000F628A" w:rsidRPr="00AC37DD">
        <w:rPr>
          <w:sz w:val="20"/>
          <w:szCs w:val="20"/>
        </w:rPr>
        <w:t xml:space="preserve">interviews or focus groups. </w:t>
      </w:r>
      <w:r w:rsidR="003B7457" w:rsidRPr="00AC37DD">
        <w:rPr>
          <w:sz w:val="20"/>
          <w:szCs w:val="20"/>
        </w:rPr>
        <w:t xml:space="preserve">Transcripts were analysed using inductive thematic analysis. </w:t>
      </w:r>
      <w:r w:rsidR="000F628A" w:rsidRPr="00AC37DD">
        <w:rPr>
          <w:sz w:val="20"/>
          <w:szCs w:val="20"/>
        </w:rPr>
        <w:t xml:space="preserve">Two YA patients reviewed the results </w:t>
      </w:r>
      <w:r w:rsidR="003B7457" w:rsidRPr="00AC37DD">
        <w:rPr>
          <w:sz w:val="20"/>
          <w:szCs w:val="20"/>
        </w:rPr>
        <w:t xml:space="preserve">to </w:t>
      </w:r>
      <w:r w:rsidR="006A0E8B" w:rsidRPr="00AC37DD">
        <w:rPr>
          <w:sz w:val="20"/>
          <w:szCs w:val="20"/>
        </w:rPr>
        <w:t>ensure</w:t>
      </w:r>
      <w:r w:rsidR="003B7457" w:rsidRPr="00AC37DD">
        <w:rPr>
          <w:sz w:val="20"/>
          <w:szCs w:val="20"/>
        </w:rPr>
        <w:t xml:space="preserve"> robustness</w:t>
      </w:r>
      <w:r w:rsidR="000F628A" w:rsidRPr="00AC37DD">
        <w:rPr>
          <w:sz w:val="20"/>
          <w:szCs w:val="20"/>
        </w:rPr>
        <w:t xml:space="preserve">. </w:t>
      </w:r>
    </w:p>
    <w:p w14:paraId="68434079" w14:textId="5BDE1413" w:rsidR="000F628A" w:rsidRPr="00AC37DD" w:rsidRDefault="000F628A" w:rsidP="003B7457">
      <w:pPr>
        <w:spacing w:line="480" w:lineRule="auto"/>
        <w:jc w:val="both"/>
        <w:rPr>
          <w:b/>
          <w:sz w:val="20"/>
          <w:szCs w:val="20"/>
        </w:rPr>
      </w:pPr>
      <w:r w:rsidRPr="00AC37DD">
        <w:rPr>
          <w:b/>
          <w:sz w:val="20"/>
          <w:szCs w:val="20"/>
        </w:rPr>
        <w:t xml:space="preserve">Results: </w:t>
      </w:r>
      <w:r w:rsidRPr="00AC37DD">
        <w:rPr>
          <w:sz w:val="20"/>
          <w:szCs w:val="20"/>
        </w:rPr>
        <w:t>Sixty-</w:t>
      </w:r>
      <w:r w:rsidR="002C2BEC" w:rsidRPr="00AC37DD">
        <w:rPr>
          <w:sz w:val="20"/>
          <w:szCs w:val="20"/>
        </w:rPr>
        <w:t>five</w:t>
      </w:r>
      <w:r w:rsidRPr="00AC37DD">
        <w:rPr>
          <w:sz w:val="20"/>
          <w:szCs w:val="20"/>
        </w:rPr>
        <w:t xml:space="preserve"> YAs with </w:t>
      </w:r>
      <w:r w:rsidR="000A2332" w:rsidRPr="00AC37DD">
        <w:rPr>
          <w:sz w:val="20"/>
          <w:szCs w:val="20"/>
        </w:rPr>
        <w:t>varied</w:t>
      </w:r>
      <w:r w:rsidRPr="00AC37DD">
        <w:rPr>
          <w:sz w:val="20"/>
          <w:szCs w:val="20"/>
        </w:rPr>
        <w:t xml:space="preserve"> diagnoses participated.</w:t>
      </w:r>
      <w:r w:rsidR="008C1026" w:rsidRPr="00AC37DD">
        <w:rPr>
          <w:sz w:val="20"/>
          <w:szCs w:val="20"/>
        </w:rPr>
        <w:t xml:space="preserve"> Participants struggled to balance work, child</w:t>
      </w:r>
      <w:r w:rsidR="00BC26C3" w:rsidRPr="00AC37DD">
        <w:rPr>
          <w:sz w:val="20"/>
          <w:szCs w:val="20"/>
        </w:rPr>
        <w:t>care</w:t>
      </w:r>
      <w:r w:rsidR="008C1026" w:rsidRPr="00AC37DD">
        <w:rPr>
          <w:sz w:val="20"/>
          <w:szCs w:val="20"/>
        </w:rPr>
        <w:t xml:space="preserve"> and financial solvency with treatment.</w:t>
      </w:r>
      <w:r w:rsidR="00F73BD0" w:rsidRPr="00AC37DD">
        <w:rPr>
          <w:sz w:val="20"/>
          <w:szCs w:val="20"/>
        </w:rPr>
        <w:t xml:space="preserve"> The halt in family and work life as well as changes in image and ability threatened participants’ identity and </w:t>
      </w:r>
      <w:r w:rsidR="00BC26C3" w:rsidRPr="00AC37DD">
        <w:rPr>
          <w:sz w:val="20"/>
          <w:szCs w:val="20"/>
        </w:rPr>
        <w:t>perceived ‘</w:t>
      </w:r>
      <w:r w:rsidR="00F73BD0" w:rsidRPr="00AC37DD">
        <w:rPr>
          <w:sz w:val="20"/>
          <w:szCs w:val="20"/>
        </w:rPr>
        <w:t>normality</w:t>
      </w:r>
      <w:r w:rsidR="00BC26C3" w:rsidRPr="00AC37DD">
        <w:rPr>
          <w:sz w:val="20"/>
          <w:szCs w:val="20"/>
        </w:rPr>
        <w:t>’</w:t>
      </w:r>
      <w:r w:rsidR="00F73BD0" w:rsidRPr="00AC37DD">
        <w:rPr>
          <w:sz w:val="20"/>
          <w:szCs w:val="20"/>
        </w:rPr>
        <w:t xml:space="preserve"> as a YA</w:t>
      </w:r>
      <w:r w:rsidR="00A93814" w:rsidRPr="00AC37DD">
        <w:rPr>
          <w:sz w:val="20"/>
          <w:szCs w:val="20"/>
        </w:rPr>
        <w:t>, however, these also stimulated positive changes</w:t>
      </w:r>
      <w:r w:rsidR="00F73BD0" w:rsidRPr="00AC37DD">
        <w:rPr>
          <w:sz w:val="20"/>
          <w:szCs w:val="20"/>
        </w:rPr>
        <w:t>.</w:t>
      </w:r>
      <w:r w:rsidRPr="00AC37DD">
        <w:rPr>
          <w:sz w:val="20"/>
          <w:szCs w:val="20"/>
        </w:rPr>
        <w:t xml:space="preserve"> </w:t>
      </w:r>
      <w:r w:rsidR="00A93814" w:rsidRPr="00AC37DD">
        <w:rPr>
          <w:sz w:val="20"/>
          <w:szCs w:val="20"/>
        </w:rPr>
        <w:t>YAs experienced</w:t>
      </w:r>
      <w:r w:rsidR="00F73BD0" w:rsidRPr="00AC37DD">
        <w:rPr>
          <w:sz w:val="20"/>
          <w:szCs w:val="20"/>
        </w:rPr>
        <w:t xml:space="preserve"> social isolation from friends and family, including children</w:t>
      </w:r>
      <w:r w:rsidR="007D2CA2" w:rsidRPr="00AC37DD">
        <w:rPr>
          <w:sz w:val="20"/>
          <w:szCs w:val="20"/>
        </w:rPr>
        <w:t>. M</w:t>
      </w:r>
      <w:r w:rsidR="00A93814" w:rsidRPr="00AC37DD">
        <w:rPr>
          <w:sz w:val="20"/>
          <w:szCs w:val="20"/>
        </w:rPr>
        <w:t>any struggled to cope with uncertainty around treatment outcomes and</w:t>
      </w:r>
      <w:r w:rsidR="007D2CA2" w:rsidRPr="00AC37DD">
        <w:rPr>
          <w:sz w:val="20"/>
          <w:szCs w:val="20"/>
        </w:rPr>
        <w:t xml:space="preserve"> disease</w:t>
      </w:r>
      <w:r w:rsidR="00A93814" w:rsidRPr="00AC37DD">
        <w:rPr>
          <w:sz w:val="20"/>
          <w:szCs w:val="20"/>
        </w:rPr>
        <w:t xml:space="preserve"> recurrence</w:t>
      </w:r>
      <w:r w:rsidRPr="00AC37DD">
        <w:rPr>
          <w:sz w:val="20"/>
          <w:szCs w:val="20"/>
        </w:rPr>
        <w:t>.</w:t>
      </w:r>
    </w:p>
    <w:p w14:paraId="7744EC13" w14:textId="6A14F5EE" w:rsidR="00314931" w:rsidRPr="00AC37DD" w:rsidRDefault="006A0E8B" w:rsidP="003B0BD7">
      <w:pPr>
        <w:spacing w:line="480" w:lineRule="auto"/>
        <w:jc w:val="both"/>
        <w:rPr>
          <w:b/>
          <w:sz w:val="20"/>
          <w:szCs w:val="20"/>
        </w:rPr>
      </w:pPr>
      <w:r w:rsidRPr="00AC37DD">
        <w:rPr>
          <w:b/>
          <w:sz w:val="20"/>
          <w:szCs w:val="20"/>
        </w:rPr>
        <w:t>Conclusion</w:t>
      </w:r>
      <w:r w:rsidR="000F628A" w:rsidRPr="00AC37DD">
        <w:rPr>
          <w:b/>
          <w:sz w:val="20"/>
          <w:szCs w:val="20"/>
        </w:rPr>
        <w:t xml:space="preserve">: </w:t>
      </w:r>
      <w:r w:rsidR="000F628A" w:rsidRPr="00AC37DD">
        <w:rPr>
          <w:sz w:val="20"/>
          <w:szCs w:val="20"/>
        </w:rPr>
        <w:t xml:space="preserve">The </w:t>
      </w:r>
      <w:r w:rsidR="00FB035F" w:rsidRPr="00AC37DD">
        <w:rPr>
          <w:sz w:val="20"/>
          <w:szCs w:val="20"/>
        </w:rPr>
        <w:t xml:space="preserve">disruption of </w:t>
      </w:r>
      <w:r w:rsidR="008C1026" w:rsidRPr="00AC37DD">
        <w:rPr>
          <w:sz w:val="20"/>
          <w:szCs w:val="20"/>
        </w:rPr>
        <w:t>family</w:t>
      </w:r>
      <w:r w:rsidR="003B0BD7" w:rsidRPr="00AC37DD">
        <w:rPr>
          <w:sz w:val="20"/>
          <w:szCs w:val="20"/>
        </w:rPr>
        <w:t xml:space="preserve"> </w:t>
      </w:r>
      <w:r w:rsidR="00FB035F" w:rsidRPr="00AC37DD">
        <w:rPr>
          <w:sz w:val="20"/>
          <w:szCs w:val="20"/>
        </w:rPr>
        <w:t xml:space="preserve">and </w:t>
      </w:r>
      <w:r w:rsidR="003B0BD7" w:rsidRPr="00AC37DD">
        <w:rPr>
          <w:sz w:val="20"/>
          <w:szCs w:val="20"/>
        </w:rPr>
        <w:t xml:space="preserve">work </w:t>
      </w:r>
      <w:r w:rsidR="00FB035F" w:rsidRPr="00AC37DD">
        <w:rPr>
          <w:sz w:val="20"/>
          <w:szCs w:val="20"/>
        </w:rPr>
        <w:t xml:space="preserve">life can lead to </w:t>
      </w:r>
      <w:r w:rsidR="00E46769" w:rsidRPr="00AC37DD">
        <w:rPr>
          <w:sz w:val="20"/>
          <w:szCs w:val="20"/>
        </w:rPr>
        <w:t xml:space="preserve">age-specific </w:t>
      </w:r>
      <w:r w:rsidR="00F64AD1" w:rsidRPr="00AC37DD">
        <w:rPr>
          <w:sz w:val="20"/>
          <w:szCs w:val="20"/>
        </w:rPr>
        <w:t>issues</w:t>
      </w:r>
      <w:r w:rsidR="00E46769" w:rsidRPr="00AC37DD">
        <w:rPr>
          <w:sz w:val="20"/>
          <w:szCs w:val="20"/>
        </w:rPr>
        <w:t xml:space="preserve"> </w:t>
      </w:r>
      <w:r w:rsidR="00FB035F" w:rsidRPr="00AC37DD">
        <w:rPr>
          <w:sz w:val="20"/>
          <w:szCs w:val="20"/>
        </w:rPr>
        <w:t xml:space="preserve">in YAs </w:t>
      </w:r>
      <w:r w:rsidR="00BC26C3" w:rsidRPr="00AC37DD">
        <w:rPr>
          <w:sz w:val="20"/>
          <w:szCs w:val="20"/>
        </w:rPr>
        <w:t xml:space="preserve">diagnosed </w:t>
      </w:r>
      <w:r w:rsidR="00FB035F" w:rsidRPr="00AC37DD">
        <w:rPr>
          <w:sz w:val="20"/>
          <w:szCs w:val="20"/>
        </w:rPr>
        <w:t xml:space="preserve">with cancer. </w:t>
      </w:r>
      <w:r w:rsidR="003B0BD7" w:rsidRPr="00AC37DD">
        <w:rPr>
          <w:sz w:val="20"/>
          <w:szCs w:val="20"/>
        </w:rPr>
        <w:t xml:space="preserve">Age-tailored psychological and practical services </w:t>
      </w:r>
      <w:r w:rsidR="00BC26C3" w:rsidRPr="00AC37DD">
        <w:rPr>
          <w:sz w:val="20"/>
          <w:szCs w:val="20"/>
        </w:rPr>
        <w:t xml:space="preserve">must </w:t>
      </w:r>
      <w:r w:rsidR="003B0BD7" w:rsidRPr="00AC37DD">
        <w:rPr>
          <w:sz w:val="20"/>
          <w:szCs w:val="20"/>
        </w:rPr>
        <w:t xml:space="preserve">be considered. </w:t>
      </w:r>
    </w:p>
    <w:p w14:paraId="3126957E" w14:textId="788AD1DA" w:rsidR="00991532" w:rsidRPr="00AC37DD" w:rsidRDefault="006F79C3" w:rsidP="003B0BD7">
      <w:pPr>
        <w:spacing w:line="480" w:lineRule="auto"/>
        <w:jc w:val="both"/>
        <w:rPr>
          <w:sz w:val="20"/>
          <w:szCs w:val="20"/>
        </w:rPr>
      </w:pPr>
      <w:r w:rsidRPr="00AC37DD">
        <w:rPr>
          <w:b/>
          <w:sz w:val="20"/>
          <w:szCs w:val="20"/>
        </w:rPr>
        <w:t xml:space="preserve">Keywords: </w:t>
      </w:r>
      <w:r w:rsidR="006341C5" w:rsidRPr="00AC37DD">
        <w:rPr>
          <w:sz w:val="20"/>
          <w:szCs w:val="20"/>
        </w:rPr>
        <w:t>Young adult;</w:t>
      </w:r>
      <w:r w:rsidRPr="00AC37DD">
        <w:rPr>
          <w:sz w:val="20"/>
          <w:szCs w:val="20"/>
        </w:rPr>
        <w:t xml:space="preserve"> </w:t>
      </w:r>
      <w:r w:rsidR="006341C5" w:rsidRPr="00AC37DD">
        <w:rPr>
          <w:sz w:val="20"/>
          <w:szCs w:val="20"/>
        </w:rPr>
        <w:t>AYA;</w:t>
      </w:r>
      <w:r w:rsidR="00465A12" w:rsidRPr="00AC37DD">
        <w:rPr>
          <w:sz w:val="20"/>
          <w:szCs w:val="20"/>
        </w:rPr>
        <w:t xml:space="preserve"> </w:t>
      </w:r>
      <w:r w:rsidR="00991532" w:rsidRPr="00AC37DD">
        <w:rPr>
          <w:sz w:val="20"/>
          <w:szCs w:val="20"/>
        </w:rPr>
        <w:t>Qualitative research; Uncertainty; Social isolation; Neoplasms</w:t>
      </w:r>
    </w:p>
    <w:p w14:paraId="7EE56440" w14:textId="1A8B1956" w:rsidR="00F60D49" w:rsidRPr="00AC37DD" w:rsidRDefault="00F60D49" w:rsidP="003B0BD7">
      <w:pPr>
        <w:spacing w:line="480" w:lineRule="auto"/>
        <w:jc w:val="both"/>
        <w:rPr>
          <w:b/>
          <w:sz w:val="20"/>
          <w:szCs w:val="20"/>
        </w:rPr>
      </w:pPr>
      <w:r w:rsidRPr="00AC37DD">
        <w:rPr>
          <w:b/>
          <w:sz w:val="20"/>
          <w:szCs w:val="20"/>
        </w:rPr>
        <w:br w:type="page"/>
      </w:r>
    </w:p>
    <w:p w14:paraId="2A219BB3" w14:textId="0E29A167" w:rsidR="00314931" w:rsidRPr="00AC37DD" w:rsidRDefault="006A0E8B" w:rsidP="003B7457">
      <w:pPr>
        <w:spacing w:line="480" w:lineRule="auto"/>
        <w:jc w:val="both"/>
        <w:rPr>
          <w:b/>
          <w:sz w:val="20"/>
          <w:szCs w:val="20"/>
        </w:rPr>
      </w:pPr>
      <w:r w:rsidRPr="00AC37DD">
        <w:rPr>
          <w:b/>
          <w:sz w:val="20"/>
          <w:szCs w:val="20"/>
        </w:rPr>
        <w:lastRenderedPageBreak/>
        <w:t>INTRODUCTION</w:t>
      </w:r>
    </w:p>
    <w:p w14:paraId="0E48F33A" w14:textId="57DD9D8B" w:rsidR="00D10217" w:rsidRPr="00AC37DD" w:rsidRDefault="00D10217" w:rsidP="003B7457">
      <w:pPr>
        <w:spacing w:line="480" w:lineRule="auto"/>
        <w:jc w:val="both"/>
        <w:rPr>
          <w:sz w:val="20"/>
          <w:szCs w:val="20"/>
        </w:rPr>
      </w:pPr>
      <w:r w:rsidRPr="00AC37DD">
        <w:rPr>
          <w:sz w:val="20"/>
          <w:szCs w:val="20"/>
        </w:rPr>
        <w:t>Due to the transitional period in life, a</w:t>
      </w:r>
      <w:r w:rsidR="009A7390" w:rsidRPr="00AC37DD">
        <w:rPr>
          <w:sz w:val="20"/>
          <w:szCs w:val="20"/>
        </w:rPr>
        <w:t>dolescents</w:t>
      </w:r>
      <w:r w:rsidR="00B3541B" w:rsidRPr="00AC37DD">
        <w:rPr>
          <w:sz w:val="20"/>
          <w:szCs w:val="20"/>
        </w:rPr>
        <w:t xml:space="preserve"> and young adults </w:t>
      </w:r>
      <w:r w:rsidR="000706DC" w:rsidRPr="00AC37DD">
        <w:rPr>
          <w:sz w:val="20"/>
          <w:szCs w:val="20"/>
        </w:rPr>
        <w:t xml:space="preserve">(AYAs) </w:t>
      </w:r>
      <w:r w:rsidR="002B1996" w:rsidRPr="00AC37DD">
        <w:rPr>
          <w:sz w:val="20"/>
          <w:szCs w:val="20"/>
        </w:rPr>
        <w:t xml:space="preserve">with cancer </w:t>
      </w:r>
      <w:r w:rsidR="00B3541B" w:rsidRPr="00AC37DD">
        <w:rPr>
          <w:sz w:val="20"/>
          <w:szCs w:val="20"/>
        </w:rPr>
        <w:t xml:space="preserve">face specific psychosocial issues </w:t>
      </w:r>
      <w:r w:rsidR="006670A8" w:rsidRPr="00AC37DD">
        <w:rPr>
          <w:sz w:val="20"/>
          <w:szCs w:val="20"/>
        </w:rPr>
        <w:t>compared to paediatric and older adult</w:t>
      </w:r>
      <w:r w:rsidR="006C49AC" w:rsidRPr="00AC37DD">
        <w:rPr>
          <w:sz w:val="20"/>
          <w:szCs w:val="20"/>
        </w:rPr>
        <w:t xml:space="preserve"> cancer</w:t>
      </w:r>
      <w:r w:rsidR="002B1996" w:rsidRPr="00AC37DD">
        <w:rPr>
          <w:sz w:val="20"/>
          <w:szCs w:val="20"/>
        </w:rPr>
        <w:t xml:space="preserve"> patients</w:t>
      </w:r>
      <w:r w:rsidRPr="00AC37DD">
        <w:rPr>
          <w:sz w:val="20"/>
          <w:szCs w:val="20"/>
        </w:rPr>
        <w:t>, including loss of independence, frustration with changes in appearance, school or work interruption and fertility impairment</w:t>
      </w:r>
      <w:r w:rsidR="00993CBC" w:rsidRPr="00AC37DD">
        <w:rPr>
          <w:sz w:val="20"/>
          <w:szCs w:val="20"/>
        </w:rPr>
        <w:t xml:space="preserve"> </w:t>
      </w:r>
      <w:r w:rsidR="00400DCF" w:rsidRPr="00AC37DD">
        <w:rPr>
          <w:sz w:val="20"/>
          <w:szCs w:val="20"/>
        </w:rPr>
        <w:fldChar w:fldCharType="begin" w:fldLock="1"/>
      </w:r>
      <w:r w:rsidR="0095519A" w:rsidRPr="00AC37DD">
        <w:rPr>
          <w:sz w:val="20"/>
          <w:szCs w:val="20"/>
        </w:rPr>
        <w:instrText>ADDIN CSL_CITATION {"citationItems":[{"id":"ITEM-1","itemData":{"DOI":"10.1002/cncr.26056","author":[{"dropping-particle":"","family":"Zebrack","given":"Brad J","non-dropping-particle":"","parse-names":false,"suffix":""}],"container-title":"Cancer","id":"ITEM-1","issue":"S10","issued":{"date-parts":[["2011"]]},"page":"2289-2294","title":"Psychological, Social, and Behavioral Issues for Young Adults With Cancer*","type":"article-journal","volume":"117"},"uris":["http://www.mendeley.com/documents/?uuid=852f70a6-fe1d-4fd2-87ae-fccfd335666e"]},{"id":"ITEM-2","itemData":{"DOI":"10.1080/07347332.2013.855959","ISBN":"0734-7332","ISSN":"07347332","PMID":"24428248","abstract":"As part of the National Cancer Institute's AYA HOPE study, 296 adolescent and young adults (AYAs) completed an open-ended survey item asking them to describe their medical care or experience with cancer. Patient, provider, and system-level characteristics all appear to influence AYAs' perceptions of their medical care. Participants attributed levels of satisfaction with care to the availability and communication of information, the management of side-effects, and the expediency and flexibility of treatments. Struggles with health insurance and finances were evident. Findings contribute to a better understanding of AYAs' cancer treatment experiences and will inform improvements to oncology care for this population.","author":[{"dropping-particle":"","family":"Zebrack","given":"Brad","non-dropping-particle":"","parse-names":false,"suffix":""},{"dropping-particle":"","family":"Kent","given":"Erin E.","non-dropping-particle":"","parse-names":false,"suffix":""},{"dropping-particle":"","family":"Keegan","given":"Theresa H M","non-dropping-particle":"","parse-names":false,"suffix":""},{"dropping-particle":"","family":"Kato","given":"Ikuko","non-dropping-particle":"","parse-names":false,"suffix":""},{"dropping-particle":"","family":"Smith","given":"Ashley Wilder","non-dropping-particle":"","parse-names":false,"suffix":""}],"container-title":"Journal of Psychosocial Oncology","id":"ITEM-2","issue":"1","issued":{"date-parts":[["2014"]]},"page":"1-15","title":"\"Cancer sucks,\" and other ponderings by adolescent and young adult cancer survivors","type":"article-journal","volume":"32"},"uris":["http://www.mendeley.com/documents/?uuid=b542a738-ac35-40ea-a4ab-e18c3e315aea"]},{"id":"ITEM-3","itemData":{"DOI":"10.1002/pbc.27668","ISSN":"15455017","PMID":"30815985","abstract":"Adolescents and young adults (AYA) with cancer are an understudied group. Much of what is known about long-term outcomes after AYA cancer has been derived from cohorts of childhood cancer survivors, which seldom include patients at the older end of the AYA age spectrum. In general, AYA cancer survivors have a lower risk for premature mortality, subsequent primary neoplasms and chronic health conditions than childhood cancer survivors. However, AYA cancer survivors are vulnerable to psychosocial challenges, concerns about fertility and relationships and financial toxicity. No single model is optimal for the care of these survivors, but it is generally agreed that all survivors require a survivor care plan that promotes their adherence to evidence-based surveillance guidelines. There is a need to create survivor cohorts that include the full range of AYA ages and diagnoses to be able to address the many pressing questions that remain unanswered in this vulnerable population.","author":[{"dropping-particle":"","family":"Fidler","given":"Miranda M.","non-dropping-particle":"","parse-names":false,"suffix":""},{"dropping-particle":"","family":"Frobisher","given":"Clare","non-dropping-particle":"","parse-names":false,"suffix":""},{"dropping-particle":"","family":"Hawkins","given":"Michael M.","non-dropping-particle":"","parse-names":false,"suffix":""},{"dropping-particle":"","family":"Nathan","given":"Paul C.","non-dropping-particle":"","parse-names":false,"suffix":""}],"container-title":"Pediatric Blood and Cancer","id":"ITEM-3","issue":"6","issued":{"date-parts":[["2019"]]},"page":"1-11","title":"Challenges and opportunities in the care of survivors of adolescent and young adult cancers","type":"article-journal","volume":"66"},"uris":["http://www.mendeley.com/documents/?uuid=0acdbb68-9ece-4b1a-b191-b5d5183e0675"]}],"mendeley":{"formattedCitation":"(Fidler, Frobisher, Hawkins, &amp; Nathan, 2019; B. J. Zebrack, 2011; B. Zebrack, Kent, Keegan, Kato, &amp; Smith, 2014)","plainTextFormattedCitation":"(Fidler, Frobisher, Hawkins, &amp; Nathan, 2019; B. J. Zebrack, 2011; B. Zebrack, Kent, Keegan, Kato, &amp; Smith, 2014)","previouslyFormattedCitation":"(Fidler, Frobisher, Hawkins, &amp; Nathan, 2019; B. J. Zebrack, 2011; B. Zebrack, Kent, Keegan, Kato, &amp; Smith, 2014)"},"properties":{"noteIndex":0},"schema":"https://github.com/citation-style-language/schema/raw/master/csl-citation.json"}</w:instrText>
      </w:r>
      <w:r w:rsidR="00400DCF" w:rsidRPr="00AC37DD">
        <w:rPr>
          <w:sz w:val="20"/>
          <w:szCs w:val="20"/>
        </w:rPr>
        <w:fldChar w:fldCharType="separate"/>
      </w:r>
      <w:r w:rsidR="0095519A" w:rsidRPr="00AC37DD">
        <w:rPr>
          <w:noProof/>
          <w:sz w:val="20"/>
          <w:szCs w:val="20"/>
        </w:rPr>
        <w:t>(Fidler, Frobisher, Hawkins, &amp; Nathan, 2019; B. J. Zebrack, 2011; B. Zebrack, Kent, Keegan, Kato, &amp; Smith, 2014)</w:t>
      </w:r>
      <w:r w:rsidR="00400DCF" w:rsidRPr="00AC37DD">
        <w:rPr>
          <w:sz w:val="20"/>
          <w:szCs w:val="20"/>
        </w:rPr>
        <w:fldChar w:fldCharType="end"/>
      </w:r>
      <w:r w:rsidR="00993CBC" w:rsidRPr="00AC37DD">
        <w:rPr>
          <w:sz w:val="20"/>
          <w:szCs w:val="20"/>
        </w:rPr>
        <w:t>.</w:t>
      </w:r>
      <w:r w:rsidR="00AB7E21" w:rsidRPr="00AC37DD">
        <w:rPr>
          <w:sz w:val="20"/>
          <w:szCs w:val="20"/>
        </w:rPr>
        <w:t xml:space="preserve"> </w:t>
      </w:r>
      <w:r w:rsidR="006C49AC" w:rsidRPr="00AC37DD">
        <w:rPr>
          <w:sz w:val="20"/>
          <w:szCs w:val="20"/>
        </w:rPr>
        <w:t>Incident cancer types and tumour biology</w:t>
      </w:r>
      <w:r w:rsidR="00BA66A3" w:rsidRPr="00AC37DD">
        <w:rPr>
          <w:sz w:val="20"/>
          <w:szCs w:val="20"/>
        </w:rPr>
        <w:t xml:space="preserve"> in AYAs, commonly defined by the oncology community as ages 15 to 39,</w:t>
      </w:r>
      <w:r w:rsidR="006C49AC" w:rsidRPr="00AC37DD">
        <w:rPr>
          <w:sz w:val="20"/>
          <w:szCs w:val="20"/>
        </w:rPr>
        <w:t xml:space="preserve"> also differ from older and </w:t>
      </w:r>
      <w:r w:rsidR="00BA4900" w:rsidRPr="00AC37DD">
        <w:rPr>
          <w:sz w:val="20"/>
          <w:szCs w:val="20"/>
        </w:rPr>
        <w:t>paediatric</w:t>
      </w:r>
      <w:r w:rsidR="006C49AC" w:rsidRPr="00AC37DD">
        <w:rPr>
          <w:sz w:val="20"/>
          <w:szCs w:val="20"/>
        </w:rPr>
        <w:t xml:space="preserve"> patients</w:t>
      </w:r>
      <w:r w:rsidR="00BC26C3" w:rsidRPr="00AC37DD">
        <w:rPr>
          <w:sz w:val="20"/>
          <w:szCs w:val="20"/>
        </w:rPr>
        <w:t>,</w:t>
      </w:r>
      <w:r w:rsidR="006C49AC" w:rsidRPr="00AC37DD">
        <w:rPr>
          <w:sz w:val="20"/>
          <w:szCs w:val="20"/>
        </w:rPr>
        <w:t xml:space="preserve"> </w:t>
      </w:r>
      <w:r w:rsidR="00BC26C3" w:rsidRPr="00AC37DD">
        <w:rPr>
          <w:sz w:val="20"/>
          <w:szCs w:val="20"/>
        </w:rPr>
        <w:t xml:space="preserve">whilst </w:t>
      </w:r>
      <w:r w:rsidR="006C49AC" w:rsidRPr="00AC37DD">
        <w:rPr>
          <w:sz w:val="20"/>
          <w:szCs w:val="20"/>
        </w:rPr>
        <w:t>improvemen</w:t>
      </w:r>
      <w:r w:rsidR="00993CBC" w:rsidRPr="00AC37DD">
        <w:rPr>
          <w:sz w:val="20"/>
          <w:szCs w:val="20"/>
        </w:rPr>
        <w:t xml:space="preserve">ts in survival have been slower </w:t>
      </w:r>
      <w:r w:rsidR="004869D3" w:rsidRPr="00AC37DD">
        <w:rPr>
          <w:sz w:val="20"/>
          <w:szCs w:val="20"/>
        </w:rPr>
        <w:fldChar w:fldCharType="begin" w:fldLock="1"/>
      </w:r>
      <w:r w:rsidR="0095519A" w:rsidRPr="00AC37DD">
        <w:rPr>
          <w:sz w:val="20"/>
          <w:szCs w:val="20"/>
        </w:rPr>
        <w:instrText>ADDIN CSL_CITATION {"citationItems":[{"id":"ITEM-1","itemData":{"DOI":"10.1002/pbc.26497","ISSN":"15455009","PMID":"28244694","abstract":"In high-income countries, cancer remains the commonest cause of disease-related death in adolescents and young adults (AYAs) despite survival improvements. With more than 1,000,000 new diagnoses of cancer in AYAs annually worldwide, and their number of life-years affected by cancer being greatest of all ages, the global burden of cancer in AYAs exceeds that in all other ages. In low- and middle-income countries, where the great majority of the world's 3 billion AYAs reside, the needs of those with cancer have been identified and demand attention. Unique to the age group but universal, the psychosocial challenges they face are the utmost across life's spectrum. This lead-off article of a new series in Pediatric Blood and Cancer on AYA oncology attempts to assess the global status of this emerging discipline. The review includes the changing incidence and survival of the common cancers in AYAs-there is no other age group with a similar array of malignancies-and the specific challenges to quality and quantity of life that compromise their lives.","author":[{"dropping-particle":"","family":"Bleyer","given":"Archie","non-dropping-particle":"","parse-names":false,"suffix":""},{"dropping-particle":"","family":"Ferrari","given":"Andrea","non-dropping-particle":"","parse-names":false,"suffix":""},{"dropping-particle":"","family":"Whelan","given":"Jeremy","non-dropping-particle":"","parse-names":false,"suffix":""},{"dropping-particle":"","family":"Barr","given":"Ronald D.","non-dropping-particle":"","parse-names":false,"suffix":""}],"container-title":"Pediatric Blood &amp; Cancer","id":"ITEM-1","issue":"9","issued":{"date-parts":[["2017"]]},"page":"e26497","title":"Global assessment of cancer incidence and survival in adolescents and young adults","type":"article-journal","volume":"64"},"uris":["http://www.mendeley.com/documents/?uuid=2bf82c55-da5e-4446-8b9b-7bc5646757a5"]},{"id":"ITEM-2","itemData":{"DOI":"10.1001/jamapediatrics.2015.4689","ISBN":"3540681523","ISSN":"21686203","PMID":"26999630","abstract":"IMPORTANCE: Although cancer remains the most common cause of disease-related death in adolescents and young adults (AYAs) in high-income countries, their overall survival rates continue to increase and now exceed 80% at 5 years in several high-income countries. This has been accomplished through progressive improvements in active treatment and supportive care, although accrual rates to therapeutic clinical trials remain disappointing. Recognition of the unique distribution of diseases in the AYA population with cancer and further understanding of the distinctive biology of cancers in AYAs will lead to continuing gains in clinical outcomes. OBSERVATIONS: Many of the challenges faced by AYAs with a diagnosis of malignant disease are shared by others with chronic medical conditions and even their healthy peers, such as a sense of invulnerability that may contribute to delays in diagnosis. A particular need for psychological support has been identified for AYAs with cancer, even after active therapy has been completed and especially in the context of palliative care. Notable needs also include fertility preservation and navigation through the multiple transitions in the cancer journey. Additionally, there is a \"cost of cure.\" This is not only in the form of short-term, treatment-related morbidity and mortality but also in the burden of \"late effects,\" including second cancers, that compromise quality of life and limit life expectancy. Establishing clinical programs devoted to AYAs with cancer, with complementary educational initiatives, will strengthen the advances made. It is anticipated that clinical trial accrual will increase substantially, providing further gains in survival. Likewise, addressing the challenges of survivorship, including secondary prevention of long-term morbidity and mortality, will lead to additional improvements in clinical outcomes. CONCLUSIONS AND RELEVANCE: Transferring this knowledge to the care of an estimated 1 million incident cases of cancer in AYAs worldwide, most of whom do not live in high-income countries, remains a considerable challenge.","author":[{"dropping-particle":"","family":"Barr","given":"Ronald D.","non-dropping-particle":"","parse-names":false,"suffix":""},{"dropping-particle":"","family":"Ferrari","given":"Andrea","non-dropping-particle":"","parse-names":false,"suffix":""},{"dropping-particle":"","family":"Ries","given":"Lynn","non-dropping-particle":"","parse-names":false,"suffix":""},{"dropping-particle":"","family":"Whelan","given":"Jeremy","non-dropping-particle":"","parse-names":false,"suffix":""},{"dropping-particle":"","family":"Bleyer","given":"W. Archie","non-dropping-particle":"","parse-names":false,"suffix":""}],"container-title":"JAMA Pediatrics","id":"ITEM-2","issue":"5","issued":{"date-parts":[["2016"]]},"page":"495-501","title":"Cancer in adolescents and young adults: A narrative review of the current status and a view of the future","type":"article-journal","volume":"170"},"uris":["http://www.mendeley.com/documents/?uuid=739b561b-6fb5-44af-b640-b313a4a17f75"]}],"mendeley":{"formattedCitation":"(Barr, Ferrari, Ries, Whelan, &amp; Bleyer, 2016; Bleyer, Ferrari, Whelan, &amp; Barr, 2017)","plainTextFormattedCitation":"(Barr, Ferrari, Ries, Whelan, &amp; Bleyer, 2016; Bleyer, Ferrari, Whelan, &amp; Barr, 2017)","previouslyFormattedCitation":"(Barr, Ferrari, Ries, Whelan, &amp; Bleyer, 2016; Bleyer, Ferrari, Whelan, &amp; Barr, 2017)"},"properties":{"noteIndex":0},"schema":"https://github.com/citation-style-language/schema/raw/master/csl-citation.json"}</w:instrText>
      </w:r>
      <w:r w:rsidR="004869D3" w:rsidRPr="00AC37DD">
        <w:rPr>
          <w:sz w:val="20"/>
          <w:szCs w:val="20"/>
        </w:rPr>
        <w:fldChar w:fldCharType="separate"/>
      </w:r>
      <w:r w:rsidR="0095519A" w:rsidRPr="00AC37DD">
        <w:rPr>
          <w:noProof/>
          <w:sz w:val="20"/>
          <w:szCs w:val="20"/>
        </w:rPr>
        <w:t>(Barr, Ferrari, Ries, Whelan, &amp; Bleyer, 2016; Bleyer, Ferrari, Whelan, &amp; Barr, 2017)</w:t>
      </w:r>
      <w:r w:rsidR="004869D3" w:rsidRPr="00AC37DD">
        <w:rPr>
          <w:sz w:val="20"/>
          <w:szCs w:val="20"/>
        </w:rPr>
        <w:fldChar w:fldCharType="end"/>
      </w:r>
      <w:r w:rsidR="00993CBC" w:rsidRPr="00AC37DD">
        <w:rPr>
          <w:sz w:val="20"/>
          <w:szCs w:val="20"/>
        </w:rPr>
        <w:t>.</w:t>
      </w:r>
      <w:r w:rsidR="00DF4642" w:rsidRPr="00AC37DD">
        <w:rPr>
          <w:sz w:val="20"/>
          <w:szCs w:val="20"/>
        </w:rPr>
        <w:t xml:space="preserve"> </w:t>
      </w:r>
    </w:p>
    <w:p w14:paraId="273CBC95" w14:textId="71DE7667" w:rsidR="00853CE1" w:rsidRPr="00AC37DD" w:rsidRDefault="00487012" w:rsidP="003B7457">
      <w:pPr>
        <w:spacing w:line="480" w:lineRule="auto"/>
        <w:jc w:val="both"/>
        <w:rPr>
          <w:sz w:val="20"/>
          <w:szCs w:val="20"/>
        </w:rPr>
      </w:pPr>
      <w:r w:rsidRPr="00AC37DD">
        <w:rPr>
          <w:sz w:val="20"/>
          <w:szCs w:val="20"/>
        </w:rPr>
        <w:t>Past</w:t>
      </w:r>
      <w:r w:rsidR="006C0A34" w:rsidRPr="00AC37DD">
        <w:rPr>
          <w:sz w:val="20"/>
          <w:szCs w:val="20"/>
        </w:rPr>
        <w:t xml:space="preserve"> psychosocial research </w:t>
      </w:r>
      <w:r w:rsidR="00BA4900" w:rsidRPr="00AC37DD">
        <w:rPr>
          <w:sz w:val="20"/>
          <w:szCs w:val="20"/>
        </w:rPr>
        <w:t xml:space="preserve">in AYA oncology </w:t>
      </w:r>
      <w:r w:rsidRPr="00AC37DD">
        <w:rPr>
          <w:sz w:val="20"/>
          <w:szCs w:val="20"/>
        </w:rPr>
        <w:t>used traditional task-based develop</w:t>
      </w:r>
      <w:r w:rsidR="00BA66A3" w:rsidRPr="00AC37DD">
        <w:rPr>
          <w:sz w:val="20"/>
          <w:szCs w:val="20"/>
        </w:rPr>
        <w:t>mental theories</w:t>
      </w:r>
      <w:r w:rsidR="00BC26C3" w:rsidRPr="00AC37DD">
        <w:rPr>
          <w:sz w:val="20"/>
          <w:szCs w:val="20"/>
        </w:rPr>
        <w:t xml:space="preserve"> to describe how cancer impacts the lives of AYAs</w:t>
      </w:r>
      <w:r w:rsidR="00BA66A3" w:rsidRPr="00AC37DD">
        <w:rPr>
          <w:sz w:val="20"/>
          <w:szCs w:val="20"/>
        </w:rPr>
        <w:t xml:space="preserve">, such as </w:t>
      </w:r>
      <w:r w:rsidRPr="00AC37DD">
        <w:rPr>
          <w:sz w:val="20"/>
          <w:szCs w:val="20"/>
        </w:rPr>
        <w:t>Erikson’s framework</w:t>
      </w:r>
      <w:r w:rsidR="008C09F1" w:rsidRPr="00AC37DD">
        <w:rPr>
          <w:sz w:val="20"/>
          <w:szCs w:val="20"/>
        </w:rPr>
        <w:t>,</w:t>
      </w:r>
      <w:r w:rsidRPr="00AC37DD">
        <w:rPr>
          <w:sz w:val="20"/>
          <w:szCs w:val="20"/>
        </w:rPr>
        <w:t xml:space="preserve"> </w:t>
      </w:r>
      <w:r w:rsidR="00F06456" w:rsidRPr="00AC37DD">
        <w:rPr>
          <w:sz w:val="20"/>
          <w:szCs w:val="20"/>
        </w:rPr>
        <w:t xml:space="preserve">the </w:t>
      </w:r>
      <w:r w:rsidRPr="00AC37DD">
        <w:rPr>
          <w:sz w:val="20"/>
          <w:szCs w:val="20"/>
        </w:rPr>
        <w:t>Stages of Psychosocial Development</w:t>
      </w:r>
      <w:r w:rsidR="008D5869" w:rsidRPr="00AC37DD">
        <w:rPr>
          <w:sz w:val="20"/>
          <w:szCs w:val="20"/>
        </w:rPr>
        <w:t xml:space="preserve"> </w:t>
      </w:r>
      <w:r w:rsidR="005A4D5E" w:rsidRPr="00AC37DD">
        <w:rPr>
          <w:sz w:val="20"/>
          <w:szCs w:val="20"/>
        </w:rPr>
        <w:fldChar w:fldCharType="begin" w:fldLock="1"/>
      </w:r>
      <w:r w:rsidR="0095519A" w:rsidRPr="00AC37DD">
        <w:rPr>
          <w:sz w:val="20"/>
          <w:szCs w:val="20"/>
        </w:rPr>
        <w:instrText>ADDIN CSL_CITATION {"citationItems":[{"id":"ITEM-1","itemData":{"ISBN":"9780099532910","author":[{"dropping-particle":"","family":"Erikson","given":"Erik H","non-dropping-particle":"","parse-names":false,"suffix":""}],"edition":"2","id":"ITEM-1","issued":{"date-parts":[["1995"]]},"publisher":"Vintage Books","publisher-place":"London","title":"Childhood and Society","type":"book"},"uris":["http://www.mendeley.com/documents/?uuid=ab2c5db5-3c66-4a44-b887-baa957384c44"]},{"id":"ITEM-2","itemData":{"DOI":"10.1002/cncr.26043","ISBN":"0008-543X\\r1097-0142","ISSN":"0008543X","PMID":"21523754","abstract":"To deliver developmentally appropriate psychosocial care, the key developmental tasks facing adolescents and young adults (AYA) need to be taken into consideration. These include establishing autonomy from parents; a personal set of values and identity; strong peer relationships, including intimate and sexual relationships; and obtaining adequate preparation to join the workforce. To minimize the amount of disruption caused by the cancer experience and to maximize the health-related quality of life of AYA patients, young individuals with cancer need opportunities to participate as much as possible in typical AYA activities and to master the developmental tasks of this life stage. Promoting a sense of normalcy is essential. To achieve this, the health care environment must be flexible and recognize the important role of peers. Informational and practical supports also are necessary for AYA to stay on track developmentally in the context of coping with cancer. Critical elements of effective AYA psychosocial services should include access to AYA-specific information and support resources, fertility and sexuality counseling, programs to maximize academic and vocational functioning, and financial support.","author":[{"dropping-particle":"","family":"D'Agostino","given":"Norma M.","non-dropping-particle":"","parse-names":false,"suffix":""},{"dropping-particle":"","family":"Penney","given":"Annette","non-dropping-particle":"","parse-names":false,"suffix":""},{"dropping-particle":"","family":"Zebrack","given":"Brad","non-dropping-particle":"","parse-names":false,"suffix":""}],"container-title":"Cancer","id":"ITEM-2","issue":"SUPPL. 10","issued":{"date-parts":[["2011"]]},"page":"2329-2334","title":"Providing developmentally appropriate psychosocial care to adolescent and young adult cancer survivors*","type":"article-journal","volume":"117"},"uris":["http://www.mendeley.com/documents/?uuid=38a1dac3-aeb3-4969-a56c-2f2026d4a220"]}],"mendeley":{"formattedCitation":"(Norma M. D’Agostino, Penney, &amp; Zebrack, 2011; Erikson, 1995)","plainTextFormattedCitation":"(Norma M. D’Agostino, Penney, &amp; Zebrack, 2011; Erikson, 1995)","previouslyFormattedCitation":"(Norma M. D’Agostino, Penney, &amp; Zebrack, 2011; Erikson, 1995)"},"properties":{"noteIndex":0},"schema":"https://github.com/citation-style-language/schema/raw/master/csl-citation.json"}</w:instrText>
      </w:r>
      <w:r w:rsidR="005A4D5E" w:rsidRPr="00AC37DD">
        <w:rPr>
          <w:sz w:val="20"/>
          <w:szCs w:val="20"/>
        </w:rPr>
        <w:fldChar w:fldCharType="separate"/>
      </w:r>
      <w:r w:rsidR="0095519A" w:rsidRPr="00AC37DD">
        <w:rPr>
          <w:noProof/>
          <w:sz w:val="20"/>
          <w:szCs w:val="20"/>
        </w:rPr>
        <w:t>(Norma M. D’Agostino, Penney, &amp; Zebrack, 2011; Erikson, 1995)</w:t>
      </w:r>
      <w:r w:rsidR="005A4D5E" w:rsidRPr="00AC37DD">
        <w:rPr>
          <w:sz w:val="20"/>
          <w:szCs w:val="20"/>
        </w:rPr>
        <w:fldChar w:fldCharType="end"/>
      </w:r>
      <w:r w:rsidR="00993CBC" w:rsidRPr="00AC37DD">
        <w:rPr>
          <w:sz w:val="20"/>
          <w:szCs w:val="20"/>
        </w:rPr>
        <w:t>.</w:t>
      </w:r>
      <w:r w:rsidRPr="00AC37DD">
        <w:rPr>
          <w:sz w:val="20"/>
          <w:szCs w:val="20"/>
        </w:rPr>
        <w:t xml:space="preserve"> These theories</w:t>
      </w:r>
      <w:r w:rsidR="00F06456" w:rsidRPr="00AC37DD">
        <w:rPr>
          <w:sz w:val="20"/>
          <w:szCs w:val="20"/>
        </w:rPr>
        <w:t xml:space="preserve"> </w:t>
      </w:r>
      <w:r w:rsidRPr="00AC37DD">
        <w:rPr>
          <w:sz w:val="20"/>
          <w:szCs w:val="20"/>
        </w:rPr>
        <w:t xml:space="preserve">infer that </w:t>
      </w:r>
      <w:r w:rsidR="0019457F" w:rsidRPr="00AC37DD">
        <w:rPr>
          <w:sz w:val="20"/>
          <w:szCs w:val="20"/>
        </w:rPr>
        <w:t xml:space="preserve">psychosocial development is a linear progression and </w:t>
      </w:r>
      <w:r w:rsidR="00F06456" w:rsidRPr="00AC37DD">
        <w:rPr>
          <w:sz w:val="20"/>
          <w:szCs w:val="20"/>
        </w:rPr>
        <w:t xml:space="preserve">that the interference of cancer on </w:t>
      </w:r>
      <w:r w:rsidR="0019457F" w:rsidRPr="00AC37DD">
        <w:rPr>
          <w:sz w:val="20"/>
          <w:szCs w:val="20"/>
        </w:rPr>
        <w:t xml:space="preserve">completing prescribed tasks </w:t>
      </w:r>
      <w:r w:rsidR="00F06456" w:rsidRPr="00AC37DD">
        <w:rPr>
          <w:sz w:val="20"/>
          <w:szCs w:val="20"/>
        </w:rPr>
        <w:t>leads to</w:t>
      </w:r>
      <w:r w:rsidR="0019457F" w:rsidRPr="00AC37DD">
        <w:rPr>
          <w:sz w:val="20"/>
          <w:szCs w:val="20"/>
        </w:rPr>
        <w:t xml:space="preserve"> developmental </w:t>
      </w:r>
      <w:r w:rsidRPr="00AC37DD">
        <w:rPr>
          <w:sz w:val="20"/>
          <w:szCs w:val="20"/>
        </w:rPr>
        <w:t xml:space="preserve">failure. </w:t>
      </w:r>
    </w:p>
    <w:p w14:paraId="3F18697D" w14:textId="242C368A" w:rsidR="00311360" w:rsidRPr="00AC37DD" w:rsidRDefault="0002251C" w:rsidP="00F06456">
      <w:pPr>
        <w:spacing w:line="480" w:lineRule="auto"/>
        <w:jc w:val="both"/>
        <w:rPr>
          <w:sz w:val="20"/>
          <w:szCs w:val="20"/>
        </w:rPr>
      </w:pPr>
      <w:r w:rsidRPr="00AC37DD">
        <w:rPr>
          <w:sz w:val="20"/>
          <w:szCs w:val="20"/>
        </w:rPr>
        <w:t>R</w:t>
      </w:r>
      <w:r w:rsidR="00487012" w:rsidRPr="00AC37DD">
        <w:rPr>
          <w:sz w:val="20"/>
          <w:szCs w:val="20"/>
        </w:rPr>
        <w:t>ecent</w:t>
      </w:r>
      <w:r w:rsidRPr="00AC37DD">
        <w:rPr>
          <w:sz w:val="20"/>
          <w:szCs w:val="20"/>
        </w:rPr>
        <w:t>ly</w:t>
      </w:r>
      <w:r w:rsidR="00311360" w:rsidRPr="00AC37DD">
        <w:rPr>
          <w:sz w:val="20"/>
          <w:szCs w:val="20"/>
        </w:rPr>
        <w:t>, however,</w:t>
      </w:r>
      <w:r w:rsidR="00487012" w:rsidRPr="00AC37DD">
        <w:rPr>
          <w:sz w:val="20"/>
          <w:szCs w:val="20"/>
        </w:rPr>
        <w:t xml:space="preserve"> research</w:t>
      </w:r>
      <w:r w:rsidRPr="00AC37DD">
        <w:rPr>
          <w:sz w:val="20"/>
          <w:szCs w:val="20"/>
        </w:rPr>
        <w:t>ers have</w:t>
      </w:r>
      <w:r w:rsidR="00487012" w:rsidRPr="00AC37DD">
        <w:rPr>
          <w:sz w:val="20"/>
          <w:szCs w:val="20"/>
        </w:rPr>
        <w:t xml:space="preserve"> </w:t>
      </w:r>
      <w:r w:rsidR="00413F52" w:rsidRPr="00AC37DD">
        <w:rPr>
          <w:sz w:val="20"/>
          <w:szCs w:val="20"/>
        </w:rPr>
        <w:t>encourage</w:t>
      </w:r>
      <w:r w:rsidRPr="00AC37DD">
        <w:rPr>
          <w:sz w:val="20"/>
          <w:szCs w:val="20"/>
        </w:rPr>
        <w:t>d</w:t>
      </w:r>
      <w:r w:rsidR="00413F52" w:rsidRPr="00AC37DD">
        <w:rPr>
          <w:sz w:val="20"/>
          <w:szCs w:val="20"/>
        </w:rPr>
        <w:t xml:space="preserve"> </w:t>
      </w:r>
      <w:r w:rsidR="00C84FF2" w:rsidRPr="00AC37DD">
        <w:rPr>
          <w:sz w:val="20"/>
          <w:szCs w:val="20"/>
        </w:rPr>
        <w:t>moving</w:t>
      </w:r>
      <w:r w:rsidR="008C09F1" w:rsidRPr="00AC37DD">
        <w:rPr>
          <w:sz w:val="20"/>
          <w:szCs w:val="20"/>
        </w:rPr>
        <w:t xml:space="preserve"> away from the notion that all young people share the same </w:t>
      </w:r>
      <w:r w:rsidRPr="00AC37DD">
        <w:rPr>
          <w:sz w:val="20"/>
          <w:szCs w:val="20"/>
        </w:rPr>
        <w:t xml:space="preserve">stepwise </w:t>
      </w:r>
      <w:r w:rsidR="008C09F1" w:rsidRPr="00AC37DD">
        <w:rPr>
          <w:sz w:val="20"/>
          <w:szCs w:val="20"/>
        </w:rPr>
        <w:t>‘</w:t>
      </w:r>
      <w:r w:rsidR="00413F52" w:rsidRPr="00AC37DD">
        <w:rPr>
          <w:sz w:val="20"/>
          <w:szCs w:val="20"/>
        </w:rPr>
        <w:t xml:space="preserve">life </w:t>
      </w:r>
      <w:r w:rsidR="008C09F1" w:rsidRPr="00AC37DD">
        <w:rPr>
          <w:sz w:val="20"/>
          <w:szCs w:val="20"/>
        </w:rPr>
        <w:t xml:space="preserve">goals’ </w:t>
      </w:r>
      <w:r w:rsidR="004323A5" w:rsidRPr="00AC37DD">
        <w:rPr>
          <w:sz w:val="20"/>
          <w:szCs w:val="20"/>
        </w:rPr>
        <w:t>advancing</w:t>
      </w:r>
      <w:r w:rsidRPr="00AC37DD">
        <w:rPr>
          <w:sz w:val="20"/>
          <w:szCs w:val="20"/>
        </w:rPr>
        <w:t xml:space="preserve"> from</w:t>
      </w:r>
      <w:r w:rsidR="001B672C" w:rsidRPr="00AC37DD">
        <w:rPr>
          <w:sz w:val="20"/>
          <w:szCs w:val="20"/>
        </w:rPr>
        <w:t xml:space="preserve"> educational and vocational attainment</w:t>
      </w:r>
      <w:r w:rsidRPr="00AC37DD">
        <w:rPr>
          <w:sz w:val="20"/>
          <w:szCs w:val="20"/>
        </w:rPr>
        <w:t xml:space="preserve"> to </w:t>
      </w:r>
      <w:r w:rsidR="001331EF" w:rsidRPr="00AC37DD">
        <w:rPr>
          <w:sz w:val="20"/>
          <w:szCs w:val="20"/>
        </w:rPr>
        <w:t xml:space="preserve">establishing </w:t>
      </w:r>
      <w:r w:rsidR="00853CE1" w:rsidRPr="00AC37DD">
        <w:rPr>
          <w:sz w:val="20"/>
          <w:szCs w:val="20"/>
        </w:rPr>
        <w:t>romantic relationships</w:t>
      </w:r>
      <w:r w:rsidR="001B672C" w:rsidRPr="00AC37DD">
        <w:rPr>
          <w:sz w:val="20"/>
          <w:szCs w:val="20"/>
        </w:rPr>
        <w:t xml:space="preserve"> and </w:t>
      </w:r>
      <w:r w:rsidR="001331EF" w:rsidRPr="00AC37DD">
        <w:rPr>
          <w:sz w:val="20"/>
          <w:szCs w:val="20"/>
        </w:rPr>
        <w:t xml:space="preserve">having </w:t>
      </w:r>
      <w:r w:rsidR="001B672C" w:rsidRPr="00AC37DD">
        <w:rPr>
          <w:sz w:val="20"/>
          <w:szCs w:val="20"/>
        </w:rPr>
        <w:t xml:space="preserve">children </w:t>
      </w:r>
      <w:r w:rsidR="008C09F1" w:rsidRPr="00AC37DD">
        <w:rPr>
          <w:sz w:val="20"/>
          <w:szCs w:val="20"/>
        </w:rPr>
        <w:fldChar w:fldCharType="begin" w:fldLock="1"/>
      </w:r>
      <w:r w:rsidR="00853CE1" w:rsidRPr="00AC37DD">
        <w:rPr>
          <w:sz w:val="20"/>
          <w:szCs w:val="20"/>
        </w:rPr>
        <w:instrText>ADDIN CSL_CITATION {"citationItems":[{"id":"ITEM-1","itemData":{"DOI":"10.1002/pbc.27789","ISSN":"15455017","abstract":"The first decade of adolescent and young adult (AYA) oncology psychosocial care and research (2005–2015) was driven by a normative, developmental framework that assumed a generalizable life experience for AYAs that is distinct from both younger children and older adults. As we proceed through a second decade, new considerations emerge regarding diversity of life experiences as occurring within and influenced by a complex global context. The purpose of this paper is to review and provide commentary on the impact of global and contextual conditions on AYAs. We expound upon the effects of precarious labor conditions, changing timetables and priorities for developmental tasks, sexual and gender plurality, and expanding cultural diversity. We discuss the implications of social genomics and technology and social media for enhancing precision psychosocial medicine. To build a forward-looking approach, this paper calls for tailored, multilevel treatments that consider variability of AYAs within the social and global contexts in which they live.","author":[{"dropping-particle":"","family":"Levin","given":"Nina Jackson","non-dropping-particle":"","parse-names":false,"suffix":""},{"dropping-particle":"","family":"Zebrack","given":"Bradley","non-dropping-particle":"","parse-names":false,"suffix":""},{"dropping-particle":"","family":"Cole","given":"Steve W.","non-dropping-particle":"","parse-names":false,"suffix":""}],"container-title":"Pediatric Blood and Cancer","id":"ITEM-1","issue":"8","issued":{"date-parts":[["2019"]]},"title":"Psychosocial issues for adolescent and young adult cancer patients in a global context: A forward-looking approach","type":"article-journal","volume":"66"},"uris":["http://www.mendeley.com/documents/?uuid=e68d464a-b290-445b-8c6b-a9b1d03d0d2f"]},{"id":"ITEM-2","itemData":{"DOI":"10.1089/jayao.2016.0018","ISSN":"2156535X","author":[{"dropping-particle":"","family":"Hammond","given":"Chad","non-dropping-particle":"","parse-names":false,"suffix":""}],"container-title":"Journal of Adolescent and Young Adult Oncology","id":"ITEM-2","issue":"1","issued":{"date-parts":[["2017"]]},"page":"45-49","title":"Against a Singular Message of Distinctness: Challenging Dominant Representations of Adolescents and Young Adults in Oncology","type":"article-journal","volume":"6"},"uris":["http://www.mendeley.com/documents/?uuid=8067bd55-609d-485f-b4b6-0c7b9cdac92b"]}],"mendeley":{"formattedCitation":"(Hammond, 2017; Levin, Zebrack, &amp; Cole, 2019)","plainTextFormattedCitation":"(Hammond, 2017; Levin, Zebrack, &amp; Cole, 2019)","previouslyFormattedCitation":"(Hammond, 2017; Levin, Zebrack, &amp; Cole, 2019)"},"properties":{"noteIndex":0},"schema":"https://github.com/citation-style-language/schema/raw/master/csl-citation.json"}</w:instrText>
      </w:r>
      <w:r w:rsidR="008C09F1" w:rsidRPr="00AC37DD">
        <w:rPr>
          <w:sz w:val="20"/>
          <w:szCs w:val="20"/>
        </w:rPr>
        <w:fldChar w:fldCharType="separate"/>
      </w:r>
      <w:r w:rsidR="0095519A" w:rsidRPr="00AC37DD">
        <w:rPr>
          <w:noProof/>
          <w:sz w:val="20"/>
          <w:szCs w:val="20"/>
        </w:rPr>
        <w:t>(Hammond, 2017; Levin, Zebrack, &amp; Cole, 2019)</w:t>
      </w:r>
      <w:r w:rsidR="008C09F1" w:rsidRPr="00AC37DD">
        <w:rPr>
          <w:sz w:val="20"/>
          <w:szCs w:val="20"/>
        </w:rPr>
        <w:fldChar w:fldCharType="end"/>
      </w:r>
      <w:r w:rsidR="00993CBC" w:rsidRPr="00AC37DD">
        <w:rPr>
          <w:sz w:val="20"/>
          <w:szCs w:val="20"/>
        </w:rPr>
        <w:t>.</w:t>
      </w:r>
      <w:r w:rsidR="008C09F1" w:rsidRPr="00AC37DD">
        <w:rPr>
          <w:sz w:val="20"/>
          <w:szCs w:val="20"/>
        </w:rPr>
        <w:t xml:space="preserve"> </w:t>
      </w:r>
      <w:r w:rsidR="001331EF" w:rsidRPr="00AC37DD">
        <w:rPr>
          <w:sz w:val="20"/>
          <w:szCs w:val="20"/>
        </w:rPr>
        <w:t xml:space="preserve">They </w:t>
      </w:r>
      <w:r w:rsidRPr="00AC37DD">
        <w:rPr>
          <w:sz w:val="20"/>
          <w:szCs w:val="20"/>
        </w:rPr>
        <w:t xml:space="preserve">reject the assumption that AYAs are a distinct homogenous group and </w:t>
      </w:r>
      <w:r w:rsidR="001331EF" w:rsidRPr="00AC37DD">
        <w:rPr>
          <w:sz w:val="20"/>
          <w:szCs w:val="20"/>
        </w:rPr>
        <w:t>suggest that r</w:t>
      </w:r>
      <w:r w:rsidR="00C837A0" w:rsidRPr="00AC37DD">
        <w:rPr>
          <w:sz w:val="20"/>
          <w:szCs w:val="20"/>
        </w:rPr>
        <w:t xml:space="preserve">esearch </w:t>
      </w:r>
      <w:r w:rsidR="005A2242" w:rsidRPr="00AC37DD">
        <w:rPr>
          <w:sz w:val="20"/>
          <w:szCs w:val="20"/>
        </w:rPr>
        <w:t>should</w:t>
      </w:r>
      <w:r w:rsidR="00C837A0" w:rsidRPr="00AC37DD">
        <w:rPr>
          <w:sz w:val="20"/>
          <w:szCs w:val="20"/>
        </w:rPr>
        <w:t xml:space="preserve"> </w:t>
      </w:r>
      <w:r w:rsidRPr="00AC37DD">
        <w:rPr>
          <w:sz w:val="20"/>
          <w:szCs w:val="20"/>
        </w:rPr>
        <w:t>recognise the context in which AYAs exist such as</w:t>
      </w:r>
      <w:r w:rsidR="00C837A0" w:rsidRPr="00AC37DD">
        <w:rPr>
          <w:sz w:val="20"/>
          <w:szCs w:val="20"/>
        </w:rPr>
        <w:t xml:space="preserve"> increasing financial precarity, </w:t>
      </w:r>
      <w:r w:rsidR="00BE7997" w:rsidRPr="00AC37DD">
        <w:rPr>
          <w:sz w:val="20"/>
          <w:szCs w:val="20"/>
        </w:rPr>
        <w:t>changing timelines and priorities</w:t>
      </w:r>
      <w:r w:rsidR="005A2242" w:rsidRPr="00AC37DD">
        <w:rPr>
          <w:sz w:val="20"/>
          <w:szCs w:val="20"/>
        </w:rPr>
        <w:t xml:space="preserve"> and</w:t>
      </w:r>
      <w:r w:rsidR="00C837A0" w:rsidRPr="00AC37DD">
        <w:rPr>
          <w:sz w:val="20"/>
          <w:szCs w:val="20"/>
        </w:rPr>
        <w:t xml:space="preserve"> </w:t>
      </w:r>
      <w:r w:rsidRPr="00AC37DD">
        <w:rPr>
          <w:sz w:val="20"/>
          <w:szCs w:val="20"/>
        </w:rPr>
        <w:t xml:space="preserve">expanding </w:t>
      </w:r>
      <w:r w:rsidR="00C837A0" w:rsidRPr="00AC37DD">
        <w:rPr>
          <w:sz w:val="20"/>
          <w:szCs w:val="20"/>
        </w:rPr>
        <w:t>cultural diversity</w:t>
      </w:r>
      <w:r w:rsidR="00993CBC" w:rsidRPr="00AC37DD">
        <w:rPr>
          <w:sz w:val="20"/>
          <w:szCs w:val="20"/>
        </w:rPr>
        <w:t>.</w:t>
      </w:r>
      <w:r w:rsidRPr="00AC37DD">
        <w:rPr>
          <w:sz w:val="20"/>
          <w:szCs w:val="20"/>
        </w:rPr>
        <w:t xml:space="preserve"> </w:t>
      </w:r>
      <w:bookmarkStart w:id="0" w:name="_Hlk59096134"/>
      <w:r w:rsidR="00311360" w:rsidRPr="00AC37DD">
        <w:rPr>
          <w:sz w:val="20"/>
          <w:szCs w:val="20"/>
        </w:rPr>
        <w:t xml:space="preserve">This is particularly relevant when considering the potential differences in cancer types and life circumstances between the lower and upper ends of the AYA age spectrum </w:t>
      </w:r>
      <w:r w:rsidR="00311360" w:rsidRPr="00AC37DD">
        <w:rPr>
          <w:sz w:val="20"/>
          <w:szCs w:val="20"/>
        </w:rPr>
        <w:fldChar w:fldCharType="begin" w:fldLock="1"/>
      </w:r>
      <w:r w:rsidR="00311360" w:rsidRPr="00AC37DD">
        <w:rPr>
          <w:sz w:val="20"/>
          <w:szCs w:val="20"/>
        </w:rPr>
        <w:instrText>ADDIN CSL_CITATION {"citationItems":[{"id":"ITEM-1","itemData":{"author":[{"dropping-particle":"","family":"Sodergren","given":"Samantha C","non-dropping-particle":"","parse-names":false,"suffix":""},{"dropping-particle":"","family":"Husson","given":"Olga","non-dropping-particle":"","parse-names":false,"suffix":""},{"dropping-particle":"","family":"Rohde","given":"Gudrun E","non-dropping-particle":"","parse-names":false,"suffix":""},{"dropping-particle":"","family":"Tomasewska","given":"Iwona M","non-dropping-particle":"","parse-names":false,"suffix":""},{"dropping-particle":"","family":"Vivat","given":"Bella","non-dropping-particle":"","parse-names":false,"suffix":""},{"dropping-particle":"","family":"Yarom","given":"Noam","non-dropping-particle":"","parse-names":false,"suffix":""},{"dropping-particle":"","family":"Griffiths","given":"Helen","non-dropping-particle":"","parse-names":false,"suffix":""},{"dropping-particle":"","family":"Darlington","given":"Anne-Sophie","non-dropping-particle":"","parse-names":false,"suffix":""},{"dropping-particle":"","family":"The EORTC Quality of Life Group","given":"","non-dropping-particle":"","parse-names":false,"suffix":""}],"container-title":"Journal of Adolescent and Young Adult Oncology","id":"ITEM-1","issue":"4","issued":{"date-parts":[["2018"]]},"page":"453-464","title":"A life put on pause: An exploration of the health-related quality of life issues relevant to adolescents and young adults with cancer","type":"article-journal","volume":"7"},"uris":["http://www.mendeley.com/documents/?uuid=4c43dda7-85b0-44d0-bda3-de3d49dc8962"]},{"id":"ITEM-2","itemData":{"DOI":"10.3322/caac.21585","ISSN":"0007-9235","abstract":"There are nearly 70,000 new cancer diagnoses made annually in adolescents and young adults (AYAs) in the United States. Historically, AYA patients with cancer, aged 15 to 39 years, have not shown the same improved survival as older or younger cohorts. This article reviews the contemporary cancer incidence and survival data through 2015 for the AYA patient population based on the National Cancer Institute's Surveillance, Epidemiology, and End Results registry program and the North American Association of Central Cancer Registries. Mortality data through 2016 from the Centers for Disease Control and Prevention's National Center for Health Statistics are also described. Encouragingly, absolute and relative increases in 5‐year survival for AYA cancers have paralleled those of childhood cancers since the year 2000. There has been increasing attention to these vulnerable patients and improved partnerships and collaboration between adult and pediatric oncology; however, obstacles to the care of this population still occur at multiple levels. These vulnerabilities fall into 3 significant categories: research efforts and trial enrollment directed toward AYA malignancies, access to care and insurance coverage, and AYA‐specific psychosocial support. It is critical for providers and health care delivery systems to recognize that the AYA population remains vulnerable to provider and societal complacency.","author":[{"dropping-particle":"","family":"Close","given":"Allison G.","non-dropping-particle":"","parse-names":false,"suffix":""},{"dropping-particle":"","family":"Dreyzin","given":"Alexandra","non-dropping-particle":"","parse-names":false,"suffix":""},{"dropping-particle":"","family":"Miller","given":"Kimberly D.","non-dropping-particle":"","parse-names":false,"suffix":""},{"dropping-particle":"","family":"Seynnaeve","given":"Brittani K.N.","non-dropping-particle":"","parse-names":false,"suffix":""},{"dropping-particle":"","family":"Rapkin","given":"Louis B.","non-dropping-particle":"","parse-names":false,"suffix":""}],"container-title":"CA: A Cancer Journal for Clinicians","id":"ITEM-2","issue":"6","issued":{"date-parts":[["2019"]]},"page":"1-12","title":"Adolescent and young adult oncology—past, present, and future","type":"article-journal","volume":"69"},"uris":["http://www.mendeley.com/documents/?uuid=8f475204-e3cd-40fd-aa6c-8c1e14d16ffb"]}],"mendeley":{"formattedCitation":"(Close, Dreyzin, Miller, Seynnaeve, &amp; Rapkin, 2019; Sodergren et al., 2018)","plainTextFormattedCitation":"(Close, Dreyzin, Miller, Seynnaeve, &amp; Rapkin, 2019; Sodergren et al., 2018)","previouslyFormattedCitation":"(Close, Dreyzin, Miller, Seynnaeve, &amp; Rapkin, 2019; Sodergren et al., 2018)"},"properties":{"noteIndex":0},"schema":"https://github.com/citation-style-language/schema/raw/master/csl-citation.json"}</w:instrText>
      </w:r>
      <w:r w:rsidR="00311360" w:rsidRPr="00AC37DD">
        <w:rPr>
          <w:sz w:val="20"/>
          <w:szCs w:val="20"/>
        </w:rPr>
        <w:fldChar w:fldCharType="separate"/>
      </w:r>
      <w:r w:rsidR="00311360" w:rsidRPr="00AC37DD">
        <w:rPr>
          <w:noProof/>
          <w:sz w:val="20"/>
          <w:szCs w:val="20"/>
        </w:rPr>
        <w:t>(Close, Dreyzin, Miller, Seynnaeve, &amp; Rapkin, 2019; Sodergren et al., 2018)</w:t>
      </w:r>
      <w:r w:rsidR="00311360" w:rsidRPr="00AC37DD">
        <w:rPr>
          <w:sz w:val="20"/>
          <w:szCs w:val="20"/>
        </w:rPr>
        <w:fldChar w:fldCharType="end"/>
      </w:r>
      <w:r w:rsidR="00311360" w:rsidRPr="00AC37DD">
        <w:rPr>
          <w:sz w:val="20"/>
          <w:szCs w:val="20"/>
        </w:rPr>
        <w:t xml:space="preserve">. In </w:t>
      </w:r>
      <w:r w:rsidR="00BA4900" w:rsidRPr="00AC37DD">
        <w:rPr>
          <w:sz w:val="20"/>
          <w:szCs w:val="20"/>
        </w:rPr>
        <w:t xml:space="preserve">addition, in </w:t>
      </w:r>
      <w:r w:rsidR="00311360" w:rsidRPr="00AC37DD">
        <w:rPr>
          <w:sz w:val="20"/>
          <w:szCs w:val="20"/>
        </w:rPr>
        <w:t>the United Kingdom (UK),</w:t>
      </w:r>
      <w:r w:rsidR="004323A5" w:rsidRPr="00AC37DD">
        <w:rPr>
          <w:sz w:val="20"/>
          <w:szCs w:val="20"/>
        </w:rPr>
        <w:t xml:space="preserve"> </w:t>
      </w:r>
      <w:r w:rsidR="00311360" w:rsidRPr="00AC37DD">
        <w:rPr>
          <w:sz w:val="20"/>
          <w:szCs w:val="20"/>
        </w:rPr>
        <w:t xml:space="preserve">there are substantial differences in the healthcare context across AYAs, with </w:t>
      </w:r>
      <w:r w:rsidR="00BA4900" w:rsidRPr="00AC37DD">
        <w:rPr>
          <w:sz w:val="20"/>
          <w:szCs w:val="20"/>
        </w:rPr>
        <w:t xml:space="preserve">teenagers and young adults (TYAs) ages 15 to 24 receiving care in age-specialised services but </w:t>
      </w:r>
      <w:r w:rsidR="00311360" w:rsidRPr="00AC37DD">
        <w:rPr>
          <w:sz w:val="20"/>
          <w:szCs w:val="20"/>
        </w:rPr>
        <w:t>young adults (</w:t>
      </w:r>
      <w:r w:rsidR="004323A5" w:rsidRPr="00AC37DD">
        <w:rPr>
          <w:sz w:val="20"/>
          <w:szCs w:val="20"/>
        </w:rPr>
        <w:t>YAs</w:t>
      </w:r>
      <w:r w:rsidR="00311360" w:rsidRPr="00AC37DD">
        <w:rPr>
          <w:sz w:val="20"/>
          <w:szCs w:val="20"/>
        </w:rPr>
        <w:t>) ages 25-39</w:t>
      </w:r>
      <w:r w:rsidR="004323A5" w:rsidRPr="00AC37DD">
        <w:rPr>
          <w:sz w:val="20"/>
          <w:szCs w:val="20"/>
        </w:rPr>
        <w:t xml:space="preserve"> </w:t>
      </w:r>
      <w:r w:rsidR="00F06456" w:rsidRPr="00AC37DD">
        <w:rPr>
          <w:sz w:val="20"/>
          <w:szCs w:val="20"/>
        </w:rPr>
        <w:t>receiv</w:t>
      </w:r>
      <w:r w:rsidR="00311360" w:rsidRPr="00AC37DD">
        <w:rPr>
          <w:sz w:val="20"/>
          <w:szCs w:val="20"/>
        </w:rPr>
        <w:t xml:space="preserve">ing </w:t>
      </w:r>
      <w:r w:rsidR="004323A5" w:rsidRPr="00AC37DD">
        <w:rPr>
          <w:sz w:val="20"/>
          <w:szCs w:val="20"/>
        </w:rPr>
        <w:t xml:space="preserve">cancer care in </w:t>
      </w:r>
      <w:r w:rsidR="00F06456" w:rsidRPr="00AC37DD">
        <w:rPr>
          <w:sz w:val="20"/>
          <w:szCs w:val="20"/>
        </w:rPr>
        <w:t>adult setting</w:t>
      </w:r>
      <w:r w:rsidR="00311360" w:rsidRPr="00AC37DD">
        <w:rPr>
          <w:sz w:val="20"/>
          <w:szCs w:val="20"/>
        </w:rPr>
        <w:t>s</w:t>
      </w:r>
      <w:r w:rsidR="004323A5" w:rsidRPr="00AC37DD">
        <w:rPr>
          <w:sz w:val="20"/>
          <w:szCs w:val="20"/>
        </w:rPr>
        <w:t>.</w:t>
      </w:r>
      <w:bookmarkEnd w:id="0"/>
      <w:r w:rsidR="00F06456" w:rsidRPr="00AC37DD">
        <w:rPr>
          <w:sz w:val="20"/>
          <w:szCs w:val="20"/>
        </w:rPr>
        <w:t xml:space="preserve"> </w:t>
      </w:r>
    </w:p>
    <w:p w14:paraId="25AA74CC" w14:textId="4FE6D85C" w:rsidR="00523628" w:rsidRPr="00AC37DD" w:rsidRDefault="00F06456" w:rsidP="003B7457">
      <w:pPr>
        <w:spacing w:line="480" w:lineRule="auto"/>
        <w:jc w:val="both"/>
        <w:rPr>
          <w:sz w:val="20"/>
          <w:szCs w:val="20"/>
        </w:rPr>
      </w:pPr>
      <w:r w:rsidRPr="00AC37DD">
        <w:rPr>
          <w:sz w:val="20"/>
          <w:szCs w:val="20"/>
        </w:rPr>
        <w:t>Past research and healthcare interventions in the UK, have focused largely on the TYA</w:t>
      </w:r>
      <w:r w:rsidR="00311360" w:rsidRPr="00AC37DD">
        <w:rPr>
          <w:sz w:val="20"/>
          <w:szCs w:val="20"/>
        </w:rPr>
        <w:t xml:space="preserve"> </w:t>
      </w:r>
      <w:r w:rsidRPr="00AC37DD">
        <w:rPr>
          <w:sz w:val="20"/>
          <w:szCs w:val="20"/>
        </w:rPr>
        <w:t xml:space="preserve">group, without distinguishing between TYAs and YAs. The lack of focus specifically on YAs may obscure important differences in experience and priorities.  </w:t>
      </w:r>
      <w:r w:rsidR="002E1374" w:rsidRPr="00AC37DD">
        <w:rPr>
          <w:sz w:val="20"/>
          <w:szCs w:val="20"/>
        </w:rPr>
        <w:t xml:space="preserve">Here we </w:t>
      </w:r>
      <w:r w:rsidR="00A35894" w:rsidRPr="00AC37DD">
        <w:rPr>
          <w:sz w:val="20"/>
          <w:szCs w:val="20"/>
        </w:rPr>
        <w:t xml:space="preserve">aim to </w:t>
      </w:r>
      <w:r w:rsidR="000A348E" w:rsidRPr="00AC37DD">
        <w:rPr>
          <w:sz w:val="20"/>
          <w:szCs w:val="20"/>
        </w:rPr>
        <w:t>explore the</w:t>
      </w:r>
      <w:r w:rsidR="00BE7997" w:rsidRPr="00AC37DD">
        <w:rPr>
          <w:sz w:val="20"/>
          <w:szCs w:val="20"/>
        </w:rPr>
        <w:t xml:space="preserve"> specific</w:t>
      </w:r>
      <w:r w:rsidR="000A348E" w:rsidRPr="00AC37DD">
        <w:rPr>
          <w:sz w:val="20"/>
          <w:szCs w:val="20"/>
        </w:rPr>
        <w:t xml:space="preserve"> experiences of </w:t>
      </w:r>
      <w:r w:rsidR="00A35894" w:rsidRPr="00AC37DD">
        <w:rPr>
          <w:sz w:val="20"/>
          <w:szCs w:val="20"/>
        </w:rPr>
        <w:t xml:space="preserve">YAs </w:t>
      </w:r>
      <w:r w:rsidR="00D83372" w:rsidRPr="00AC37DD">
        <w:rPr>
          <w:sz w:val="20"/>
          <w:szCs w:val="20"/>
        </w:rPr>
        <w:t xml:space="preserve">diagnosed with cancer </w:t>
      </w:r>
      <w:r w:rsidR="000A348E" w:rsidRPr="00AC37DD">
        <w:rPr>
          <w:sz w:val="20"/>
          <w:szCs w:val="20"/>
        </w:rPr>
        <w:t xml:space="preserve">in </w:t>
      </w:r>
      <w:r w:rsidR="00605993" w:rsidRPr="00AC37DD">
        <w:rPr>
          <w:sz w:val="20"/>
          <w:szCs w:val="20"/>
        </w:rPr>
        <w:t>a</w:t>
      </w:r>
      <w:r w:rsidR="000A348E" w:rsidRPr="00AC37DD">
        <w:rPr>
          <w:sz w:val="20"/>
          <w:szCs w:val="20"/>
        </w:rPr>
        <w:t xml:space="preserve"> </w:t>
      </w:r>
      <w:r w:rsidR="000A348E" w:rsidRPr="00AC37DD">
        <w:rPr>
          <w:sz w:val="20"/>
          <w:szCs w:val="20"/>
        </w:rPr>
        <w:lastRenderedPageBreak/>
        <w:t>UK</w:t>
      </w:r>
      <w:r w:rsidR="00605993" w:rsidRPr="00AC37DD">
        <w:rPr>
          <w:sz w:val="20"/>
          <w:szCs w:val="20"/>
        </w:rPr>
        <w:t xml:space="preserve"> context</w:t>
      </w:r>
      <w:r w:rsidR="000A348E" w:rsidRPr="00AC37DD">
        <w:rPr>
          <w:sz w:val="20"/>
          <w:szCs w:val="20"/>
        </w:rPr>
        <w:t xml:space="preserve"> and</w:t>
      </w:r>
      <w:r w:rsidR="00A35894" w:rsidRPr="00AC37DD">
        <w:rPr>
          <w:sz w:val="20"/>
          <w:szCs w:val="20"/>
        </w:rPr>
        <w:t xml:space="preserve"> </w:t>
      </w:r>
      <w:r w:rsidR="000A348E" w:rsidRPr="00AC37DD">
        <w:rPr>
          <w:sz w:val="20"/>
          <w:szCs w:val="20"/>
        </w:rPr>
        <w:t>describe</w:t>
      </w:r>
      <w:r w:rsidR="00A35894" w:rsidRPr="00AC37DD">
        <w:rPr>
          <w:sz w:val="20"/>
          <w:szCs w:val="20"/>
        </w:rPr>
        <w:t xml:space="preserve"> the </w:t>
      </w:r>
      <w:r w:rsidR="00AF64B7" w:rsidRPr="00AC37DD">
        <w:rPr>
          <w:sz w:val="20"/>
          <w:szCs w:val="20"/>
        </w:rPr>
        <w:t>age-</w:t>
      </w:r>
      <w:r w:rsidR="00A35894" w:rsidRPr="00AC37DD">
        <w:rPr>
          <w:sz w:val="20"/>
          <w:szCs w:val="20"/>
        </w:rPr>
        <w:t>specific psychosocial impact</w:t>
      </w:r>
      <w:r w:rsidR="00F64AD1" w:rsidRPr="00AC37DD">
        <w:rPr>
          <w:sz w:val="20"/>
          <w:szCs w:val="20"/>
        </w:rPr>
        <w:t xml:space="preserve"> and practical challenges</w:t>
      </w:r>
      <w:r w:rsidR="00A35894" w:rsidRPr="00AC37DD">
        <w:rPr>
          <w:sz w:val="20"/>
          <w:szCs w:val="20"/>
        </w:rPr>
        <w:t xml:space="preserve"> of cancer and its treatment. </w:t>
      </w:r>
    </w:p>
    <w:p w14:paraId="665EF32C" w14:textId="77777777" w:rsidR="00314931" w:rsidRPr="00AC37DD" w:rsidRDefault="00314931" w:rsidP="003B7457">
      <w:pPr>
        <w:spacing w:before="400" w:line="480" w:lineRule="auto"/>
        <w:jc w:val="both"/>
        <w:rPr>
          <w:b/>
          <w:sz w:val="20"/>
          <w:szCs w:val="20"/>
        </w:rPr>
      </w:pPr>
      <w:r w:rsidRPr="00AC37DD">
        <w:rPr>
          <w:b/>
          <w:sz w:val="20"/>
          <w:szCs w:val="20"/>
        </w:rPr>
        <w:t>METHODS</w:t>
      </w:r>
    </w:p>
    <w:p w14:paraId="45BAF694" w14:textId="39822E19" w:rsidR="00740780" w:rsidRPr="00AC37DD" w:rsidRDefault="00740780" w:rsidP="003B7457">
      <w:pPr>
        <w:spacing w:line="480" w:lineRule="auto"/>
        <w:jc w:val="both"/>
        <w:rPr>
          <w:sz w:val="20"/>
          <w:szCs w:val="20"/>
        </w:rPr>
      </w:pPr>
      <w:r w:rsidRPr="00AC37DD">
        <w:rPr>
          <w:b/>
          <w:sz w:val="20"/>
          <w:szCs w:val="20"/>
        </w:rPr>
        <w:t xml:space="preserve">Study design: </w:t>
      </w:r>
      <w:r w:rsidR="00890CC2" w:rsidRPr="00AC37DD">
        <w:rPr>
          <w:sz w:val="20"/>
          <w:szCs w:val="20"/>
        </w:rPr>
        <w:t>This</w:t>
      </w:r>
      <w:r w:rsidR="005246A9" w:rsidRPr="00AC37DD">
        <w:rPr>
          <w:sz w:val="20"/>
          <w:szCs w:val="20"/>
        </w:rPr>
        <w:t xml:space="preserve"> was a</w:t>
      </w:r>
      <w:r w:rsidR="00890CC2" w:rsidRPr="00AC37DD">
        <w:rPr>
          <w:sz w:val="20"/>
          <w:szCs w:val="20"/>
        </w:rPr>
        <w:t xml:space="preserve"> </w:t>
      </w:r>
      <w:r w:rsidR="004364BD" w:rsidRPr="00AC37DD">
        <w:rPr>
          <w:sz w:val="20"/>
          <w:szCs w:val="20"/>
        </w:rPr>
        <w:t xml:space="preserve">phenomenological </w:t>
      </w:r>
      <w:r w:rsidR="00890CC2" w:rsidRPr="00AC37DD">
        <w:rPr>
          <w:sz w:val="20"/>
          <w:szCs w:val="20"/>
        </w:rPr>
        <w:t>qualitative research</w:t>
      </w:r>
      <w:r w:rsidR="00A276E4" w:rsidRPr="00AC37DD">
        <w:rPr>
          <w:sz w:val="20"/>
          <w:szCs w:val="20"/>
        </w:rPr>
        <w:t xml:space="preserve"> study </w:t>
      </w:r>
      <w:r w:rsidR="008E3E9A" w:rsidRPr="00AC37DD">
        <w:rPr>
          <w:sz w:val="20"/>
          <w:szCs w:val="20"/>
        </w:rPr>
        <w:t xml:space="preserve">aiming to describe the experiences of YAs diagnosed with cancer </w:t>
      </w:r>
      <w:r w:rsidR="00BC26C3" w:rsidRPr="00AC37DD">
        <w:rPr>
          <w:sz w:val="20"/>
          <w:szCs w:val="20"/>
        </w:rPr>
        <w:t>in the UK with</w:t>
      </w:r>
      <w:r w:rsidR="008E3E9A" w:rsidRPr="00AC37DD">
        <w:rPr>
          <w:sz w:val="20"/>
          <w:szCs w:val="20"/>
        </w:rPr>
        <w:t xml:space="preserve">in the last five years. </w:t>
      </w:r>
      <w:r w:rsidR="00B25DD0" w:rsidRPr="00AC37DD">
        <w:rPr>
          <w:sz w:val="20"/>
          <w:szCs w:val="20"/>
        </w:rPr>
        <w:t xml:space="preserve">Phenomenological methodologies have been increasingly used in health research to explore the lived experience of illness and recovery </w:t>
      </w:r>
      <w:r w:rsidR="00B25DD0" w:rsidRPr="00AC37DD">
        <w:rPr>
          <w:sz w:val="20"/>
          <w:szCs w:val="20"/>
        </w:rPr>
        <w:fldChar w:fldCharType="begin" w:fldLock="1"/>
      </w:r>
      <w:r w:rsidR="00B566B0" w:rsidRPr="00AC37DD">
        <w:rPr>
          <w:sz w:val="20"/>
          <w:szCs w:val="20"/>
        </w:rPr>
        <w:instrText>ADDIN CSL_CITATION {"citationItems":[{"id":"ITEM-1","itemData":{"author":[{"dropping-particle":"","family":"Finlay","given":"Linda","non-dropping-particle":"","parse-names":false,"suffix":""}],"container-title":"International Journal of Therapy and Rehabilitation","id":"ITEM-1","issue":"9","issued":{"date-parts":[["2009"]]},"page":"474-481","title":"Exploring lived experience: principles and practice of phenomenological research","type":"article-journal","volume":"16"},"uris":["http://www.mendeley.com/documents/?uuid=434bfdcf-8e55-49e6-b57f-85f1f6e74d24"]}],"mendeley":{"formattedCitation":"(Finlay, 2009)","plainTextFormattedCitation":"(Finlay, 2009)","previouslyFormattedCitation":"(Finlay, 2009)"},"properties":{"noteIndex":0},"schema":"https://github.com/citation-style-language/schema/raw/master/csl-citation.json"}</w:instrText>
      </w:r>
      <w:r w:rsidR="00B25DD0" w:rsidRPr="00AC37DD">
        <w:rPr>
          <w:sz w:val="20"/>
          <w:szCs w:val="20"/>
        </w:rPr>
        <w:fldChar w:fldCharType="separate"/>
      </w:r>
      <w:r w:rsidR="00B25DD0" w:rsidRPr="00AC37DD">
        <w:rPr>
          <w:noProof/>
          <w:sz w:val="20"/>
          <w:szCs w:val="20"/>
        </w:rPr>
        <w:t>(Finlay, 2009)</w:t>
      </w:r>
      <w:r w:rsidR="00B25DD0" w:rsidRPr="00AC37DD">
        <w:rPr>
          <w:sz w:val="20"/>
          <w:szCs w:val="20"/>
        </w:rPr>
        <w:fldChar w:fldCharType="end"/>
      </w:r>
      <w:r w:rsidR="00B25DD0" w:rsidRPr="00AC37DD">
        <w:rPr>
          <w:sz w:val="20"/>
          <w:szCs w:val="20"/>
        </w:rPr>
        <w:t xml:space="preserve">. </w:t>
      </w:r>
      <w:r w:rsidR="001331EF" w:rsidRPr="00AC37DD">
        <w:rPr>
          <w:sz w:val="20"/>
          <w:szCs w:val="20"/>
        </w:rPr>
        <w:t>Given the diversity of YAs in the UK, t</w:t>
      </w:r>
      <w:r w:rsidR="00B25DD0" w:rsidRPr="00AC37DD">
        <w:rPr>
          <w:sz w:val="20"/>
          <w:szCs w:val="20"/>
        </w:rPr>
        <w:t xml:space="preserve">his approach was chosen </w:t>
      </w:r>
      <w:r w:rsidR="0001389F" w:rsidRPr="00AC37DD">
        <w:rPr>
          <w:sz w:val="20"/>
          <w:szCs w:val="20"/>
        </w:rPr>
        <w:t xml:space="preserve">for its ability to capture the richness and complexity of the direct and subjective experience of time, space, self and relations with others. </w:t>
      </w:r>
    </w:p>
    <w:p w14:paraId="1F1538DD" w14:textId="2A57DCCA" w:rsidR="00314931" w:rsidRPr="00AC37DD" w:rsidRDefault="00314931" w:rsidP="003B7457">
      <w:pPr>
        <w:spacing w:line="480" w:lineRule="auto"/>
        <w:jc w:val="both"/>
        <w:rPr>
          <w:sz w:val="20"/>
          <w:szCs w:val="20"/>
        </w:rPr>
      </w:pPr>
      <w:r w:rsidRPr="00AC37DD">
        <w:rPr>
          <w:b/>
          <w:sz w:val="20"/>
          <w:szCs w:val="20"/>
        </w:rPr>
        <w:t xml:space="preserve">Participants: </w:t>
      </w:r>
      <w:r w:rsidR="00240E1B" w:rsidRPr="00AC37DD">
        <w:rPr>
          <w:sz w:val="20"/>
          <w:szCs w:val="20"/>
        </w:rPr>
        <w:t xml:space="preserve">Potential participants were identified in clinic lists </w:t>
      </w:r>
      <w:r w:rsidR="008E3E9A" w:rsidRPr="00AC37DD">
        <w:rPr>
          <w:sz w:val="20"/>
          <w:szCs w:val="20"/>
        </w:rPr>
        <w:t>or locally held patient databases</w:t>
      </w:r>
      <w:r w:rsidR="00240E1B" w:rsidRPr="00AC37DD">
        <w:rPr>
          <w:sz w:val="20"/>
          <w:szCs w:val="20"/>
        </w:rPr>
        <w:t xml:space="preserve"> by the clinical team. </w:t>
      </w:r>
      <w:r w:rsidR="005246A9" w:rsidRPr="00AC37DD">
        <w:rPr>
          <w:sz w:val="20"/>
          <w:szCs w:val="20"/>
        </w:rPr>
        <w:t>In person or by phone, a</w:t>
      </w:r>
      <w:r w:rsidR="00541261" w:rsidRPr="00AC37DD">
        <w:rPr>
          <w:sz w:val="20"/>
          <w:szCs w:val="20"/>
        </w:rPr>
        <w:t xml:space="preserve"> clinical team member invited p</w:t>
      </w:r>
      <w:r w:rsidRPr="00AC37DD">
        <w:rPr>
          <w:sz w:val="20"/>
          <w:szCs w:val="20"/>
        </w:rPr>
        <w:t>atients diagnosed</w:t>
      </w:r>
      <w:r w:rsidR="00E26953" w:rsidRPr="00AC37DD">
        <w:rPr>
          <w:sz w:val="20"/>
          <w:szCs w:val="20"/>
        </w:rPr>
        <w:t xml:space="preserve"> with</w:t>
      </w:r>
      <w:r w:rsidR="00BA66A3" w:rsidRPr="00AC37DD">
        <w:rPr>
          <w:sz w:val="20"/>
          <w:szCs w:val="20"/>
        </w:rPr>
        <w:t xml:space="preserve"> any</w:t>
      </w:r>
      <w:r w:rsidR="00E26953" w:rsidRPr="00AC37DD">
        <w:rPr>
          <w:sz w:val="20"/>
          <w:szCs w:val="20"/>
        </w:rPr>
        <w:t xml:space="preserve"> cancer </w:t>
      </w:r>
      <w:r w:rsidR="00BA66A3" w:rsidRPr="00AC37DD">
        <w:rPr>
          <w:sz w:val="20"/>
          <w:szCs w:val="20"/>
        </w:rPr>
        <w:t xml:space="preserve">type </w:t>
      </w:r>
      <w:r w:rsidR="00E26953" w:rsidRPr="00AC37DD">
        <w:rPr>
          <w:sz w:val="20"/>
          <w:szCs w:val="20"/>
        </w:rPr>
        <w:t>age</w:t>
      </w:r>
      <w:r w:rsidR="005246A9" w:rsidRPr="00AC37DD">
        <w:rPr>
          <w:sz w:val="20"/>
          <w:szCs w:val="20"/>
        </w:rPr>
        <w:t>d</w:t>
      </w:r>
      <w:r w:rsidR="00541261" w:rsidRPr="00AC37DD">
        <w:rPr>
          <w:sz w:val="20"/>
          <w:szCs w:val="20"/>
        </w:rPr>
        <w:t xml:space="preserve"> 25-</w:t>
      </w:r>
      <w:r w:rsidR="00E26953" w:rsidRPr="00AC37DD">
        <w:rPr>
          <w:sz w:val="20"/>
          <w:szCs w:val="20"/>
        </w:rPr>
        <w:t>39</w:t>
      </w:r>
      <w:r w:rsidR="0007188D" w:rsidRPr="00AC37DD">
        <w:rPr>
          <w:sz w:val="20"/>
          <w:szCs w:val="20"/>
        </w:rPr>
        <w:t xml:space="preserve"> </w:t>
      </w:r>
      <w:r w:rsidR="00E26953" w:rsidRPr="00AC37DD">
        <w:rPr>
          <w:sz w:val="20"/>
          <w:szCs w:val="20"/>
        </w:rPr>
        <w:t xml:space="preserve">in the 5 years prior to </w:t>
      </w:r>
      <w:r w:rsidR="0007188D" w:rsidRPr="00AC37DD">
        <w:rPr>
          <w:sz w:val="20"/>
          <w:szCs w:val="20"/>
        </w:rPr>
        <w:t>enrolment</w:t>
      </w:r>
      <w:r w:rsidRPr="00AC37DD">
        <w:rPr>
          <w:sz w:val="20"/>
          <w:szCs w:val="20"/>
        </w:rPr>
        <w:t>.</w:t>
      </w:r>
      <w:r w:rsidR="002B7C3A" w:rsidRPr="00AC37DD">
        <w:rPr>
          <w:sz w:val="20"/>
          <w:szCs w:val="20"/>
        </w:rPr>
        <w:t xml:space="preserve"> </w:t>
      </w:r>
      <w:r w:rsidR="0086004F" w:rsidRPr="00AC37DD">
        <w:rPr>
          <w:sz w:val="20"/>
          <w:szCs w:val="20"/>
        </w:rPr>
        <w:t>We</w:t>
      </w:r>
      <w:r w:rsidR="00BA66A3" w:rsidRPr="00AC37DD">
        <w:rPr>
          <w:sz w:val="20"/>
          <w:szCs w:val="20"/>
        </w:rPr>
        <w:t xml:space="preserve"> recruited a convenience sample, aiming to </w:t>
      </w:r>
      <w:r w:rsidR="0045436B" w:rsidRPr="00AC37DD">
        <w:rPr>
          <w:sz w:val="20"/>
          <w:szCs w:val="20"/>
        </w:rPr>
        <w:t>sample</w:t>
      </w:r>
      <w:r w:rsidR="00BA66A3" w:rsidRPr="00AC37DD">
        <w:rPr>
          <w:sz w:val="20"/>
          <w:szCs w:val="20"/>
        </w:rPr>
        <w:t xml:space="preserve"> a range of tumour types, </w:t>
      </w:r>
      <w:r w:rsidR="0086004F" w:rsidRPr="00AC37DD">
        <w:rPr>
          <w:sz w:val="20"/>
          <w:szCs w:val="20"/>
        </w:rPr>
        <w:t xml:space="preserve">from participating sites </w:t>
      </w:r>
      <w:r w:rsidR="002E1374" w:rsidRPr="00AC37DD">
        <w:rPr>
          <w:sz w:val="20"/>
          <w:szCs w:val="20"/>
        </w:rPr>
        <w:t xml:space="preserve">including </w:t>
      </w:r>
      <w:r w:rsidR="002B7C3A" w:rsidRPr="00AC37DD">
        <w:rPr>
          <w:sz w:val="20"/>
          <w:szCs w:val="20"/>
        </w:rPr>
        <w:t>the Royal Marsden NHS Foundation Trust, Imperial College Healthcare NHS Trust, University Hospital Southampton NHS Foundation Trust, East Suffolk and North Essex NHS Foundation Trust, and Bart</w:t>
      </w:r>
      <w:r w:rsidR="008C09F1" w:rsidRPr="00AC37DD">
        <w:rPr>
          <w:sz w:val="20"/>
          <w:szCs w:val="20"/>
        </w:rPr>
        <w:t>’</w:t>
      </w:r>
      <w:r w:rsidR="002B7C3A" w:rsidRPr="00AC37DD">
        <w:rPr>
          <w:sz w:val="20"/>
          <w:szCs w:val="20"/>
        </w:rPr>
        <w:t xml:space="preserve">s Health NHS Trust. </w:t>
      </w:r>
      <w:r w:rsidRPr="00AC37DD">
        <w:rPr>
          <w:sz w:val="20"/>
          <w:szCs w:val="20"/>
        </w:rPr>
        <w:t xml:space="preserve"> </w:t>
      </w:r>
    </w:p>
    <w:p w14:paraId="5A5F23F7" w14:textId="690ED366" w:rsidR="003E697E" w:rsidRPr="00AC37DD" w:rsidRDefault="003E697E" w:rsidP="003B7457">
      <w:pPr>
        <w:spacing w:line="480" w:lineRule="auto"/>
        <w:jc w:val="both"/>
        <w:rPr>
          <w:sz w:val="20"/>
          <w:szCs w:val="20"/>
        </w:rPr>
      </w:pPr>
      <w:r w:rsidRPr="00AC37DD">
        <w:rPr>
          <w:sz w:val="20"/>
          <w:szCs w:val="20"/>
        </w:rPr>
        <w:t xml:space="preserve">The </w:t>
      </w:r>
      <w:r w:rsidR="00C25BFA" w:rsidRPr="00AC37DD">
        <w:rPr>
          <w:sz w:val="20"/>
          <w:szCs w:val="20"/>
        </w:rPr>
        <w:t>[Institution removed for blinding]</w:t>
      </w:r>
      <w:r w:rsidRPr="00AC37DD">
        <w:rPr>
          <w:sz w:val="20"/>
          <w:szCs w:val="20"/>
        </w:rPr>
        <w:t xml:space="preserve"> Joint Committee on Clinical Research reviewed and sponsored the study </w:t>
      </w:r>
      <w:r w:rsidR="00C25BFA" w:rsidRPr="00AC37DD">
        <w:rPr>
          <w:sz w:val="20"/>
          <w:szCs w:val="20"/>
        </w:rPr>
        <w:t>[reference identifier removed for blinding]</w:t>
      </w:r>
      <w:r w:rsidRPr="00AC37DD">
        <w:rPr>
          <w:sz w:val="20"/>
          <w:szCs w:val="20"/>
        </w:rPr>
        <w:t xml:space="preserve">. The Research Ethics Committee and Health Research Authority in the UK approved the study nationally </w:t>
      </w:r>
      <w:r w:rsidR="00C25BFA" w:rsidRPr="00AC37DD">
        <w:rPr>
          <w:sz w:val="20"/>
          <w:szCs w:val="20"/>
        </w:rPr>
        <w:t>[reference identifier removed for blinding]</w:t>
      </w:r>
      <w:r w:rsidRPr="00AC37DD">
        <w:rPr>
          <w:sz w:val="20"/>
          <w:szCs w:val="20"/>
        </w:rPr>
        <w:t>. Informed consent was obtained from all individual participants included in the study. The study complies with the standards of the Declaration of Helsinki.</w:t>
      </w:r>
    </w:p>
    <w:p w14:paraId="2514AA23" w14:textId="3F19E40C" w:rsidR="00023684" w:rsidRPr="00AC37DD" w:rsidRDefault="00CB59E0" w:rsidP="003B7457">
      <w:pPr>
        <w:spacing w:line="480" w:lineRule="auto"/>
        <w:jc w:val="both"/>
        <w:rPr>
          <w:sz w:val="20"/>
          <w:szCs w:val="20"/>
        </w:rPr>
      </w:pPr>
      <w:r w:rsidRPr="00AC37DD">
        <w:rPr>
          <w:b/>
          <w:sz w:val="20"/>
          <w:szCs w:val="20"/>
        </w:rPr>
        <w:t xml:space="preserve">Setting: </w:t>
      </w:r>
      <w:r w:rsidR="00023684" w:rsidRPr="00AC37DD">
        <w:rPr>
          <w:sz w:val="20"/>
          <w:szCs w:val="20"/>
        </w:rPr>
        <w:t xml:space="preserve">Focus groups were conducted </w:t>
      </w:r>
      <w:r w:rsidR="009F0B8C" w:rsidRPr="00AC37DD">
        <w:rPr>
          <w:sz w:val="20"/>
          <w:szCs w:val="20"/>
        </w:rPr>
        <w:t xml:space="preserve">in </w:t>
      </w:r>
      <w:r w:rsidR="002D4366" w:rsidRPr="00AC37DD">
        <w:rPr>
          <w:sz w:val="20"/>
          <w:szCs w:val="20"/>
        </w:rPr>
        <w:t xml:space="preserve">hospital </w:t>
      </w:r>
      <w:r w:rsidR="00F64AD1" w:rsidRPr="00AC37DD">
        <w:rPr>
          <w:sz w:val="20"/>
          <w:szCs w:val="20"/>
        </w:rPr>
        <w:t xml:space="preserve">meeting rooms </w:t>
      </w:r>
      <w:r w:rsidR="009F0B8C" w:rsidRPr="00AC37DD">
        <w:rPr>
          <w:sz w:val="20"/>
          <w:szCs w:val="20"/>
        </w:rPr>
        <w:t xml:space="preserve">or </w:t>
      </w:r>
      <w:r w:rsidR="00512399" w:rsidRPr="00AC37DD">
        <w:rPr>
          <w:sz w:val="20"/>
          <w:szCs w:val="20"/>
        </w:rPr>
        <w:t>local</w:t>
      </w:r>
      <w:r w:rsidR="009F0B8C" w:rsidRPr="00AC37DD">
        <w:rPr>
          <w:sz w:val="20"/>
          <w:szCs w:val="20"/>
        </w:rPr>
        <w:t xml:space="preserve"> </w:t>
      </w:r>
      <w:r w:rsidR="00F64AD1" w:rsidRPr="00AC37DD">
        <w:rPr>
          <w:sz w:val="20"/>
          <w:szCs w:val="20"/>
        </w:rPr>
        <w:t>charity centres</w:t>
      </w:r>
      <w:r w:rsidR="002D4366" w:rsidRPr="00AC37DD">
        <w:rPr>
          <w:sz w:val="20"/>
          <w:szCs w:val="20"/>
        </w:rPr>
        <w:t>.</w:t>
      </w:r>
      <w:r w:rsidR="009F0B8C" w:rsidRPr="00AC37DD">
        <w:rPr>
          <w:sz w:val="20"/>
          <w:szCs w:val="20"/>
        </w:rPr>
        <w:t xml:space="preserve"> </w:t>
      </w:r>
      <w:r w:rsidR="002D4366" w:rsidRPr="00AC37DD">
        <w:rPr>
          <w:sz w:val="20"/>
          <w:szCs w:val="20"/>
        </w:rPr>
        <w:t>A</w:t>
      </w:r>
      <w:r w:rsidR="00512399" w:rsidRPr="00AC37DD">
        <w:rPr>
          <w:sz w:val="20"/>
          <w:szCs w:val="20"/>
        </w:rPr>
        <w:t xml:space="preserve"> </w:t>
      </w:r>
      <w:r w:rsidR="002D4366" w:rsidRPr="00AC37DD">
        <w:rPr>
          <w:sz w:val="20"/>
          <w:szCs w:val="20"/>
        </w:rPr>
        <w:t xml:space="preserve">nurse or </w:t>
      </w:r>
      <w:r w:rsidR="0007188D" w:rsidRPr="00AC37DD">
        <w:rPr>
          <w:sz w:val="20"/>
          <w:szCs w:val="20"/>
        </w:rPr>
        <w:t xml:space="preserve">oncologist </w:t>
      </w:r>
      <w:r w:rsidR="002D4366" w:rsidRPr="00AC37DD">
        <w:rPr>
          <w:sz w:val="20"/>
          <w:szCs w:val="20"/>
        </w:rPr>
        <w:t xml:space="preserve">was </w:t>
      </w:r>
      <w:r w:rsidR="002E6378" w:rsidRPr="00AC37DD">
        <w:rPr>
          <w:sz w:val="20"/>
          <w:szCs w:val="20"/>
        </w:rPr>
        <w:t xml:space="preserve">present </w:t>
      </w:r>
      <w:r w:rsidR="009F0B8C" w:rsidRPr="00AC37DD">
        <w:rPr>
          <w:sz w:val="20"/>
          <w:szCs w:val="20"/>
        </w:rPr>
        <w:t xml:space="preserve">to </w:t>
      </w:r>
      <w:r w:rsidR="002D4366" w:rsidRPr="00AC37DD">
        <w:rPr>
          <w:sz w:val="20"/>
          <w:szCs w:val="20"/>
        </w:rPr>
        <w:t>address</w:t>
      </w:r>
      <w:r w:rsidR="009F0B8C" w:rsidRPr="00AC37DD">
        <w:rPr>
          <w:sz w:val="20"/>
          <w:szCs w:val="20"/>
        </w:rPr>
        <w:t xml:space="preserve"> clinical questions. </w:t>
      </w:r>
      <w:r w:rsidR="002D4366" w:rsidRPr="00AC37DD">
        <w:rPr>
          <w:sz w:val="20"/>
          <w:szCs w:val="20"/>
        </w:rPr>
        <w:t>One-to-one i</w:t>
      </w:r>
      <w:r w:rsidR="001B747D" w:rsidRPr="00AC37DD">
        <w:rPr>
          <w:sz w:val="20"/>
          <w:szCs w:val="20"/>
        </w:rPr>
        <w:t>nterviews were conducted in-person</w:t>
      </w:r>
      <w:r w:rsidR="00BC26C3" w:rsidRPr="00AC37DD">
        <w:rPr>
          <w:sz w:val="20"/>
          <w:szCs w:val="20"/>
        </w:rPr>
        <w:t xml:space="preserve"> either</w:t>
      </w:r>
      <w:r w:rsidR="001B747D" w:rsidRPr="00AC37DD">
        <w:rPr>
          <w:sz w:val="20"/>
          <w:szCs w:val="20"/>
        </w:rPr>
        <w:t xml:space="preserve"> </w:t>
      </w:r>
      <w:r w:rsidR="00204539" w:rsidRPr="00AC37DD">
        <w:rPr>
          <w:sz w:val="20"/>
          <w:szCs w:val="20"/>
        </w:rPr>
        <w:t>in</w:t>
      </w:r>
      <w:r w:rsidR="001B747D" w:rsidRPr="00AC37DD">
        <w:rPr>
          <w:sz w:val="20"/>
          <w:szCs w:val="20"/>
        </w:rPr>
        <w:t xml:space="preserve"> hospital or </w:t>
      </w:r>
      <w:r w:rsidR="002D4366" w:rsidRPr="00AC37DD">
        <w:rPr>
          <w:sz w:val="20"/>
          <w:szCs w:val="20"/>
        </w:rPr>
        <w:t>by</w:t>
      </w:r>
      <w:r w:rsidR="001B747D" w:rsidRPr="00AC37DD">
        <w:rPr>
          <w:sz w:val="20"/>
          <w:szCs w:val="20"/>
        </w:rPr>
        <w:t xml:space="preserve"> </w:t>
      </w:r>
      <w:r w:rsidR="00F64AD1" w:rsidRPr="00AC37DD">
        <w:rPr>
          <w:sz w:val="20"/>
          <w:szCs w:val="20"/>
        </w:rPr>
        <w:t>tele</w:t>
      </w:r>
      <w:r w:rsidR="001B747D" w:rsidRPr="00AC37DD">
        <w:rPr>
          <w:sz w:val="20"/>
          <w:szCs w:val="20"/>
        </w:rPr>
        <w:t xml:space="preserve">phone. </w:t>
      </w:r>
    </w:p>
    <w:p w14:paraId="296388B5" w14:textId="5C612FCA" w:rsidR="00E42E7C" w:rsidRPr="00AC37DD" w:rsidRDefault="009F0B8C" w:rsidP="00E42E7C">
      <w:pPr>
        <w:spacing w:line="480" w:lineRule="auto"/>
        <w:jc w:val="both"/>
        <w:rPr>
          <w:sz w:val="20"/>
          <w:szCs w:val="20"/>
        </w:rPr>
      </w:pPr>
      <w:r w:rsidRPr="00AC37DD">
        <w:rPr>
          <w:b/>
          <w:sz w:val="20"/>
          <w:szCs w:val="20"/>
        </w:rPr>
        <w:t>Data collection:</w:t>
      </w:r>
      <w:r w:rsidRPr="00AC37DD">
        <w:rPr>
          <w:sz w:val="20"/>
          <w:szCs w:val="20"/>
        </w:rPr>
        <w:t xml:space="preserve"> </w:t>
      </w:r>
      <w:r w:rsidR="00BC26C3" w:rsidRPr="00AC37DD">
        <w:rPr>
          <w:sz w:val="20"/>
          <w:szCs w:val="20"/>
        </w:rPr>
        <w:t xml:space="preserve">Data collection </w:t>
      </w:r>
      <w:r w:rsidR="0045436B" w:rsidRPr="00AC37DD">
        <w:rPr>
          <w:sz w:val="20"/>
          <w:szCs w:val="20"/>
        </w:rPr>
        <w:t>took place</w:t>
      </w:r>
      <w:r w:rsidR="00BC26C3" w:rsidRPr="00AC37DD">
        <w:rPr>
          <w:sz w:val="20"/>
          <w:szCs w:val="20"/>
        </w:rPr>
        <w:t xml:space="preserve"> between November 2017 and </w:t>
      </w:r>
      <w:r w:rsidR="001331EF" w:rsidRPr="00AC37DD">
        <w:rPr>
          <w:sz w:val="20"/>
          <w:szCs w:val="20"/>
        </w:rPr>
        <w:t>July 2018</w:t>
      </w:r>
      <w:r w:rsidR="00BC26C3" w:rsidRPr="00AC37DD">
        <w:rPr>
          <w:sz w:val="20"/>
          <w:szCs w:val="20"/>
        </w:rPr>
        <w:t>.</w:t>
      </w:r>
      <w:r w:rsidR="00D07001" w:rsidRPr="00AC37DD">
        <w:rPr>
          <w:sz w:val="20"/>
          <w:szCs w:val="20"/>
        </w:rPr>
        <w:t xml:space="preserve"> </w:t>
      </w:r>
      <w:r w:rsidR="00E42E7C" w:rsidRPr="00AC37DD">
        <w:rPr>
          <w:sz w:val="20"/>
          <w:szCs w:val="20"/>
        </w:rPr>
        <w:t>Each participant provided written informed consent and chose to take part in a focus group or interview.</w:t>
      </w:r>
      <w:r w:rsidR="00F53B36" w:rsidRPr="00AC37DD">
        <w:rPr>
          <w:sz w:val="20"/>
          <w:szCs w:val="20"/>
        </w:rPr>
        <w:t xml:space="preserve"> Travel was reimbursed for participants who participated in person.</w:t>
      </w:r>
      <w:r w:rsidR="00E42E7C" w:rsidRPr="00AC37DD">
        <w:rPr>
          <w:sz w:val="20"/>
          <w:szCs w:val="20"/>
        </w:rPr>
        <w:t xml:space="preserve"> Participants self-reported sociodemographic and clinical information prior to participation. </w:t>
      </w:r>
    </w:p>
    <w:p w14:paraId="53E2FE0D" w14:textId="7D6892E9" w:rsidR="003E697E" w:rsidRPr="00213121" w:rsidRDefault="00F64AD1" w:rsidP="003B7457">
      <w:pPr>
        <w:spacing w:line="480" w:lineRule="auto"/>
        <w:jc w:val="both"/>
        <w:rPr>
          <w:sz w:val="20"/>
          <w:szCs w:val="20"/>
        </w:rPr>
      </w:pPr>
      <w:r w:rsidRPr="00AC37DD">
        <w:rPr>
          <w:sz w:val="20"/>
          <w:szCs w:val="20"/>
        </w:rPr>
        <w:lastRenderedPageBreak/>
        <w:t>Semi-structured</w:t>
      </w:r>
      <w:r w:rsidR="008E3E9A" w:rsidRPr="00AC37DD">
        <w:rPr>
          <w:sz w:val="20"/>
          <w:szCs w:val="20"/>
        </w:rPr>
        <w:t xml:space="preserve"> individual i</w:t>
      </w:r>
      <w:r w:rsidR="00F12C88" w:rsidRPr="00AC37DD">
        <w:rPr>
          <w:sz w:val="20"/>
          <w:szCs w:val="20"/>
        </w:rPr>
        <w:t xml:space="preserve">nterviews and focus groups were conducted </w:t>
      </w:r>
      <w:r w:rsidR="00AF3951" w:rsidRPr="00AC37DD">
        <w:rPr>
          <w:sz w:val="20"/>
          <w:szCs w:val="20"/>
        </w:rPr>
        <w:t>as complementary data collection methods</w:t>
      </w:r>
      <w:r w:rsidR="00153F84" w:rsidRPr="00AC37DD">
        <w:rPr>
          <w:sz w:val="20"/>
          <w:szCs w:val="20"/>
        </w:rPr>
        <w:t xml:space="preserve"> to enhance the richness of the data collected</w:t>
      </w:r>
      <w:r w:rsidR="0092646E" w:rsidRPr="00AC37DD">
        <w:rPr>
          <w:sz w:val="20"/>
          <w:szCs w:val="20"/>
        </w:rPr>
        <w:t xml:space="preserve"> </w:t>
      </w:r>
      <w:r w:rsidR="00AF3951" w:rsidRPr="00AC37DD">
        <w:rPr>
          <w:sz w:val="20"/>
          <w:szCs w:val="20"/>
        </w:rPr>
        <w:fldChar w:fldCharType="begin" w:fldLock="1"/>
      </w:r>
      <w:r w:rsidR="0095519A" w:rsidRPr="00AC37DD">
        <w:rPr>
          <w:sz w:val="20"/>
          <w:szCs w:val="20"/>
        </w:rPr>
        <w:instrText>ADDIN CSL_CITATION {"citationItems":[{"id":"ITEM-1","itemData":{"DOI":"10.1111/j.1365-2648.2007.04559.x","ISSN":"03092402","abstract":"AIM: This paper is a presentation of the critical reflection on the types of findings obtained from the combination of individual interviews and focus groups, and how such triangulation contributes to knowledge production and synthesis. BACKGROUND: Increasingly, qualitative method triangulation is advocated as a strategy to achieve more comprehensive understandings of phenomena. Although ontological and epistemological issues pertaining to triangulation are a topic of debate, more practical discussions are needed on its potential contributions, such as enhanced data richness and depth of inquiry. METHOD: Data gathered through individual interviews and focus groups from a study on patterns of cancer information-seeking behaviour are used to exemplify the added-value but also the challenges of relying on methods combination. FINDINGS: The integration of focus group and individual interview data made three main contributions: a productive iterative process whereby an initial model of the phenomenon guided the exploration of individual accounts and successive individual data further enriched the conceptualisation of the phenomenon; identification of the individual and contextual circumstances surrounding the phenomenon, which added to the interpretation of the structure of the phenomenon; and convergence of the central characteristics of the phenomenon across focus groups and individual interviews, which enhanced trustworthiness of findings. CONCLUSION: Although the use of triangulation is promising, more work is needed to identify the added-value or various outcomes pertaining to method combination and data integration.","author":[{"dropping-particle":"","family":"Lambert","given":"Sylvie D.","non-dropping-particle":"","parse-names":false,"suffix":""},{"dropping-particle":"","family":"Loiselle","given":"Carmen G.","non-dropping-particle":"","parse-names":false,"suffix":""}],"container-title":"Journal of Advanced Nursing","id":"ITEM-1","issue":"2","issued":{"date-parts":[["2008"]]},"page":"228-237","title":"Combining individual interviews and focus groups to enhance data richness","type":"article-journal","volume":"62"},"uris":["http://www.mendeley.com/documents/?uuid=4a083559-4fcc-435c-920b-54393bc344bb","http://www.mendeley.com/documents/?uuid=092d4a14-3273-41bf-88d8-d6282b846583"]}],"mendeley":{"formattedCitation":"(Lambert &amp; Loiselle, 2008)","plainTextFormattedCitation":"(Lambert &amp; Loiselle, 2008)","previouslyFormattedCitation":"(Lambert &amp; Loiselle, 2008)"},"properties":{"noteIndex":0},"schema":"https://github.com/citation-style-language/schema/raw/master/csl-citation.json"}</w:instrText>
      </w:r>
      <w:r w:rsidR="00AF3951" w:rsidRPr="00AC37DD">
        <w:rPr>
          <w:sz w:val="20"/>
          <w:szCs w:val="20"/>
        </w:rPr>
        <w:fldChar w:fldCharType="separate"/>
      </w:r>
      <w:r w:rsidR="0095519A" w:rsidRPr="00AC37DD">
        <w:rPr>
          <w:noProof/>
          <w:sz w:val="20"/>
          <w:szCs w:val="20"/>
        </w:rPr>
        <w:t>(Lambert &amp; Loiselle, 2008)</w:t>
      </w:r>
      <w:r w:rsidR="00AF3951" w:rsidRPr="00AC37DD">
        <w:rPr>
          <w:sz w:val="20"/>
          <w:szCs w:val="20"/>
        </w:rPr>
        <w:fldChar w:fldCharType="end"/>
      </w:r>
      <w:r w:rsidR="0092646E" w:rsidRPr="00AC37DD">
        <w:rPr>
          <w:sz w:val="20"/>
          <w:szCs w:val="20"/>
        </w:rPr>
        <w:t>.</w:t>
      </w:r>
      <w:r w:rsidR="00F53B36" w:rsidRPr="00AC37DD">
        <w:rPr>
          <w:sz w:val="20"/>
          <w:szCs w:val="20"/>
        </w:rPr>
        <w:t xml:space="preserve"> Integrating both methods of collection allowed the interviewers to obtain a description of personal experience in individual interviews and explore agreeing and contrasting opinions and beliefs in focus groups.</w:t>
      </w:r>
      <w:r w:rsidR="00F12C88" w:rsidRPr="00AC37DD">
        <w:rPr>
          <w:sz w:val="20"/>
          <w:szCs w:val="20"/>
        </w:rPr>
        <w:t xml:space="preserve"> </w:t>
      </w:r>
      <w:r w:rsidR="00FE3FDB" w:rsidRPr="00AC37DD">
        <w:rPr>
          <w:sz w:val="20"/>
          <w:szCs w:val="20"/>
        </w:rPr>
        <w:t xml:space="preserve">The </w:t>
      </w:r>
      <w:r w:rsidR="00512399" w:rsidRPr="00AC37DD">
        <w:rPr>
          <w:sz w:val="20"/>
          <w:szCs w:val="20"/>
        </w:rPr>
        <w:t>facilitator</w:t>
      </w:r>
      <w:r w:rsidR="00FE3FDB" w:rsidRPr="00AC37DD">
        <w:rPr>
          <w:sz w:val="20"/>
          <w:szCs w:val="20"/>
        </w:rPr>
        <w:t xml:space="preserve"> (EL), </w:t>
      </w:r>
      <w:r w:rsidR="00403363" w:rsidRPr="00AC37DD">
        <w:rPr>
          <w:sz w:val="20"/>
          <w:szCs w:val="20"/>
        </w:rPr>
        <w:t xml:space="preserve">a non-clinical public health researcher </w:t>
      </w:r>
      <w:r w:rsidR="00BC26C3" w:rsidRPr="00AC37DD">
        <w:rPr>
          <w:sz w:val="20"/>
          <w:szCs w:val="20"/>
        </w:rPr>
        <w:t xml:space="preserve">formally </w:t>
      </w:r>
      <w:r w:rsidR="00A70E98" w:rsidRPr="00AC37DD">
        <w:rPr>
          <w:sz w:val="20"/>
          <w:szCs w:val="20"/>
        </w:rPr>
        <w:t>train</w:t>
      </w:r>
      <w:r w:rsidR="00BC26C3" w:rsidRPr="00AC37DD">
        <w:rPr>
          <w:sz w:val="20"/>
          <w:szCs w:val="20"/>
        </w:rPr>
        <w:t>ed</w:t>
      </w:r>
      <w:r w:rsidR="00A70E98" w:rsidRPr="00AC37DD">
        <w:rPr>
          <w:sz w:val="20"/>
          <w:szCs w:val="20"/>
        </w:rPr>
        <w:t xml:space="preserve"> in </w:t>
      </w:r>
      <w:r w:rsidR="00FE3FDB" w:rsidRPr="00AC37DD">
        <w:rPr>
          <w:sz w:val="20"/>
          <w:szCs w:val="20"/>
        </w:rPr>
        <w:t xml:space="preserve">qualitative research, </w:t>
      </w:r>
      <w:r w:rsidR="00512399" w:rsidRPr="00AC37DD">
        <w:rPr>
          <w:sz w:val="20"/>
          <w:szCs w:val="20"/>
        </w:rPr>
        <w:t xml:space="preserve">followed a </w:t>
      </w:r>
      <w:r w:rsidR="0006293D" w:rsidRPr="00AC37DD">
        <w:rPr>
          <w:sz w:val="20"/>
          <w:szCs w:val="20"/>
        </w:rPr>
        <w:t xml:space="preserve">semi-structured </w:t>
      </w:r>
      <w:r w:rsidR="00A276E4" w:rsidRPr="00AC37DD">
        <w:rPr>
          <w:sz w:val="20"/>
          <w:szCs w:val="20"/>
        </w:rPr>
        <w:t xml:space="preserve">interview </w:t>
      </w:r>
      <w:r w:rsidR="0006293D" w:rsidRPr="00AC37DD">
        <w:rPr>
          <w:sz w:val="20"/>
          <w:szCs w:val="20"/>
        </w:rPr>
        <w:t>schedule</w:t>
      </w:r>
      <w:r w:rsidR="00E42E7C" w:rsidRPr="00AC37DD">
        <w:rPr>
          <w:sz w:val="20"/>
          <w:szCs w:val="20"/>
        </w:rPr>
        <w:t xml:space="preserve"> (Table 1)</w:t>
      </w:r>
      <w:r w:rsidR="00FE3FDB" w:rsidRPr="00AC37DD">
        <w:rPr>
          <w:sz w:val="20"/>
          <w:szCs w:val="20"/>
        </w:rPr>
        <w:t xml:space="preserve">. </w:t>
      </w:r>
      <w:r w:rsidR="00512399" w:rsidRPr="00AC37DD">
        <w:rPr>
          <w:sz w:val="20"/>
          <w:szCs w:val="20"/>
        </w:rPr>
        <w:t xml:space="preserve">The </w:t>
      </w:r>
      <w:r w:rsidR="00391B5A" w:rsidRPr="00AC37DD">
        <w:rPr>
          <w:sz w:val="20"/>
          <w:szCs w:val="20"/>
        </w:rPr>
        <w:t xml:space="preserve">interview </w:t>
      </w:r>
      <w:r w:rsidR="00512399" w:rsidRPr="00AC37DD">
        <w:rPr>
          <w:sz w:val="20"/>
          <w:szCs w:val="20"/>
        </w:rPr>
        <w:t>schedule</w:t>
      </w:r>
      <w:r w:rsidR="00391B5A" w:rsidRPr="00AC37DD">
        <w:rPr>
          <w:sz w:val="20"/>
          <w:szCs w:val="20"/>
        </w:rPr>
        <w:t>, drafted specifically for this study by the authors,</w:t>
      </w:r>
      <w:r w:rsidR="00AF3951" w:rsidRPr="00AC37DD">
        <w:rPr>
          <w:sz w:val="20"/>
          <w:szCs w:val="20"/>
        </w:rPr>
        <w:t xml:space="preserve"> </w:t>
      </w:r>
      <w:r w:rsidR="00512399" w:rsidRPr="00AC37DD">
        <w:rPr>
          <w:sz w:val="20"/>
          <w:szCs w:val="20"/>
        </w:rPr>
        <w:t>was</w:t>
      </w:r>
      <w:r w:rsidR="00AF3951" w:rsidRPr="00AC37DD">
        <w:rPr>
          <w:sz w:val="20"/>
          <w:szCs w:val="20"/>
        </w:rPr>
        <w:t xml:space="preserve"> </w:t>
      </w:r>
      <w:r w:rsidR="00A276E4" w:rsidRPr="00AC37DD">
        <w:rPr>
          <w:sz w:val="20"/>
          <w:szCs w:val="20"/>
        </w:rPr>
        <w:t xml:space="preserve">intentionally broad to elicit </w:t>
      </w:r>
      <w:r w:rsidRPr="00AC37DD">
        <w:rPr>
          <w:sz w:val="20"/>
          <w:szCs w:val="20"/>
        </w:rPr>
        <w:t>the issues most salient to the participant</w:t>
      </w:r>
      <w:r w:rsidR="004323A5" w:rsidRPr="00AC37DD">
        <w:rPr>
          <w:sz w:val="20"/>
          <w:szCs w:val="20"/>
        </w:rPr>
        <w:t xml:space="preserve"> and avoid inference about developmental tasks or timelines</w:t>
      </w:r>
      <w:r w:rsidR="00BA3CBE" w:rsidRPr="00AC37DD">
        <w:rPr>
          <w:sz w:val="20"/>
          <w:szCs w:val="20"/>
        </w:rPr>
        <w:t>.</w:t>
      </w:r>
      <w:r w:rsidR="009B53E9" w:rsidRPr="00AC37DD">
        <w:rPr>
          <w:sz w:val="20"/>
          <w:szCs w:val="20"/>
        </w:rPr>
        <w:t xml:space="preserve"> </w:t>
      </w:r>
      <w:r w:rsidR="00391B5A" w:rsidRPr="00213121">
        <w:rPr>
          <w:sz w:val="20"/>
          <w:szCs w:val="20"/>
        </w:rPr>
        <w:t>The</w:t>
      </w:r>
      <w:r w:rsidR="0006293D" w:rsidRPr="00213121">
        <w:rPr>
          <w:sz w:val="20"/>
          <w:szCs w:val="20"/>
        </w:rPr>
        <w:t xml:space="preserve"> </w:t>
      </w:r>
      <w:r w:rsidR="00383C0E" w:rsidRPr="00213121">
        <w:rPr>
          <w:sz w:val="20"/>
          <w:szCs w:val="20"/>
        </w:rPr>
        <w:t xml:space="preserve">two </w:t>
      </w:r>
      <w:r w:rsidR="00AF64B7" w:rsidRPr="00213121">
        <w:rPr>
          <w:sz w:val="20"/>
          <w:szCs w:val="20"/>
        </w:rPr>
        <w:t xml:space="preserve">YA </w:t>
      </w:r>
      <w:r w:rsidR="0006293D" w:rsidRPr="00213121">
        <w:rPr>
          <w:sz w:val="20"/>
          <w:szCs w:val="20"/>
        </w:rPr>
        <w:t>patient</w:t>
      </w:r>
      <w:r w:rsidR="00391B5A" w:rsidRPr="00213121">
        <w:rPr>
          <w:sz w:val="20"/>
          <w:szCs w:val="20"/>
        </w:rPr>
        <w:t>s</w:t>
      </w:r>
      <w:r w:rsidR="0006293D" w:rsidRPr="00213121">
        <w:rPr>
          <w:sz w:val="20"/>
          <w:szCs w:val="20"/>
        </w:rPr>
        <w:t xml:space="preserve"> and </w:t>
      </w:r>
      <w:r w:rsidR="00383C0E" w:rsidRPr="00213121">
        <w:rPr>
          <w:sz w:val="20"/>
          <w:szCs w:val="20"/>
        </w:rPr>
        <w:t xml:space="preserve">two </w:t>
      </w:r>
      <w:r w:rsidR="00AF3951" w:rsidRPr="00213121">
        <w:rPr>
          <w:sz w:val="20"/>
          <w:szCs w:val="20"/>
        </w:rPr>
        <w:t>healthcare provider</w:t>
      </w:r>
      <w:r w:rsidR="00391B5A" w:rsidRPr="00213121">
        <w:rPr>
          <w:sz w:val="20"/>
          <w:szCs w:val="20"/>
        </w:rPr>
        <w:t>s</w:t>
      </w:r>
      <w:r w:rsidR="00383C0E" w:rsidRPr="00213121">
        <w:rPr>
          <w:sz w:val="20"/>
          <w:szCs w:val="20"/>
        </w:rPr>
        <w:t xml:space="preserve"> with a research focus on young people with cancer</w:t>
      </w:r>
      <w:r w:rsidR="0006293D" w:rsidRPr="00213121">
        <w:rPr>
          <w:sz w:val="20"/>
          <w:szCs w:val="20"/>
        </w:rPr>
        <w:t xml:space="preserve"> reviewed the </w:t>
      </w:r>
      <w:r w:rsidR="009D4871" w:rsidRPr="00213121">
        <w:rPr>
          <w:sz w:val="20"/>
          <w:szCs w:val="20"/>
        </w:rPr>
        <w:t xml:space="preserve">interview </w:t>
      </w:r>
      <w:r w:rsidR="0006293D" w:rsidRPr="00213121">
        <w:rPr>
          <w:sz w:val="20"/>
          <w:szCs w:val="20"/>
        </w:rPr>
        <w:t>schedule</w:t>
      </w:r>
      <w:r w:rsidR="00383C0E" w:rsidRPr="00213121">
        <w:rPr>
          <w:sz w:val="20"/>
          <w:szCs w:val="20"/>
        </w:rPr>
        <w:t xml:space="preserve"> </w:t>
      </w:r>
      <w:r w:rsidR="00E42E7C" w:rsidRPr="00213121">
        <w:rPr>
          <w:sz w:val="20"/>
          <w:szCs w:val="20"/>
        </w:rPr>
        <w:t>for relevance and comprehensiveness</w:t>
      </w:r>
      <w:r w:rsidR="00383C0E" w:rsidRPr="00213121">
        <w:rPr>
          <w:sz w:val="20"/>
          <w:szCs w:val="20"/>
        </w:rPr>
        <w:t xml:space="preserve"> and provided written feedback by email</w:t>
      </w:r>
      <w:r w:rsidR="0006293D" w:rsidRPr="00213121">
        <w:rPr>
          <w:sz w:val="20"/>
          <w:szCs w:val="20"/>
        </w:rPr>
        <w:t>.</w:t>
      </w:r>
      <w:r w:rsidR="00383C0E" w:rsidRPr="00213121">
        <w:rPr>
          <w:sz w:val="20"/>
          <w:szCs w:val="20"/>
        </w:rPr>
        <w:t xml:space="preserve"> Based on the comments, we amended the question exploring areas of need to elicit issues perceive</w:t>
      </w:r>
      <w:r w:rsidR="0087539A" w:rsidRPr="00213121">
        <w:rPr>
          <w:sz w:val="20"/>
          <w:szCs w:val="20"/>
        </w:rPr>
        <w:t>d</w:t>
      </w:r>
      <w:r w:rsidR="00383C0E" w:rsidRPr="00213121">
        <w:rPr>
          <w:sz w:val="20"/>
          <w:szCs w:val="20"/>
        </w:rPr>
        <w:t xml:space="preserve"> </w:t>
      </w:r>
      <w:r w:rsidR="0087539A" w:rsidRPr="00213121">
        <w:rPr>
          <w:sz w:val="20"/>
          <w:szCs w:val="20"/>
        </w:rPr>
        <w:t xml:space="preserve">to be specifically related to </w:t>
      </w:r>
      <w:r w:rsidR="00383C0E" w:rsidRPr="00213121">
        <w:rPr>
          <w:sz w:val="20"/>
          <w:szCs w:val="20"/>
        </w:rPr>
        <w:t>age.</w:t>
      </w:r>
      <w:r w:rsidR="0006293D" w:rsidRPr="00213121">
        <w:rPr>
          <w:sz w:val="20"/>
          <w:szCs w:val="20"/>
        </w:rPr>
        <w:t xml:space="preserve"> </w:t>
      </w:r>
      <w:r w:rsidR="00E42E7C" w:rsidRPr="00213121">
        <w:rPr>
          <w:sz w:val="20"/>
          <w:szCs w:val="20"/>
        </w:rPr>
        <w:t>Discussions were audio-recorded and transcribed verbatim. Field notes were kept to provide context.</w:t>
      </w:r>
    </w:p>
    <w:p w14:paraId="5C605A7E" w14:textId="11754994" w:rsidR="001B747D" w:rsidRPr="00AC37DD" w:rsidRDefault="001B747D" w:rsidP="003B7457">
      <w:pPr>
        <w:spacing w:line="480" w:lineRule="auto"/>
        <w:jc w:val="both"/>
        <w:rPr>
          <w:sz w:val="20"/>
          <w:szCs w:val="20"/>
        </w:rPr>
      </w:pPr>
      <w:r w:rsidRPr="00AC37DD">
        <w:rPr>
          <w:b/>
          <w:sz w:val="20"/>
          <w:szCs w:val="20"/>
        </w:rPr>
        <w:t xml:space="preserve">Data analysis: </w:t>
      </w:r>
      <w:r w:rsidRPr="00AC37DD">
        <w:rPr>
          <w:sz w:val="20"/>
          <w:szCs w:val="20"/>
        </w:rPr>
        <w:t>Transc</w:t>
      </w:r>
      <w:r w:rsidR="00D80477" w:rsidRPr="00AC37DD">
        <w:rPr>
          <w:sz w:val="20"/>
          <w:szCs w:val="20"/>
        </w:rPr>
        <w:t>r</w:t>
      </w:r>
      <w:r w:rsidRPr="00AC37DD">
        <w:rPr>
          <w:sz w:val="20"/>
          <w:szCs w:val="20"/>
        </w:rPr>
        <w:t xml:space="preserve">ipts were analysed using </w:t>
      </w:r>
      <w:r w:rsidR="009A268F" w:rsidRPr="00AC37DD">
        <w:rPr>
          <w:sz w:val="20"/>
          <w:szCs w:val="20"/>
        </w:rPr>
        <w:t xml:space="preserve">the six phases of </w:t>
      </w:r>
      <w:r w:rsidR="005614EB" w:rsidRPr="00AC37DD">
        <w:rPr>
          <w:sz w:val="20"/>
          <w:szCs w:val="20"/>
        </w:rPr>
        <w:t>inductive</w:t>
      </w:r>
      <w:r w:rsidR="00D80477" w:rsidRPr="00AC37DD">
        <w:rPr>
          <w:sz w:val="20"/>
          <w:szCs w:val="20"/>
        </w:rPr>
        <w:t xml:space="preserve"> </w:t>
      </w:r>
      <w:r w:rsidRPr="00AC37DD">
        <w:rPr>
          <w:sz w:val="20"/>
          <w:szCs w:val="20"/>
        </w:rPr>
        <w:t>thematic</w:t>
      </w:r>
      <w:r w:rsidR="009A268F" w:rsidRPr="00AC37DD">
        <w:rPr>
          <w:sz w:val="20"/>
          <w:szCs w:val="20"/>
        </w:rPr>
        <w:t xml:space="preserve"> described by Braun and Clarke which include: (1) familiarisation with the data, (2) generating initial codes, (3) </w:t>
      </w:r>
      <w:r w:rsidR="00BC26C3" w:rsidRPr="00AC37DD">
        <w:rPr>
          <w:sz w:val="20"/>
          <w:szCs w:val="20"/>
        </w:rPr>
        <w:t>s</w:t>
      </w:r>
      <w:r w:rsidR="009A268F" w:rsidRPr="00AC37DD">
        <w:rPr>
          <w:sz w:val="20"/>
          <w:szCs w:val="20"/>
        </w:rPr>
        <w:t>earching for themes, (4) reviewing potential themes, (5) defining and naming the</w:t>
      </w:r>
      <w:r w:rsidR="001B4980" w:rsidRPr="00AC37DD">
        <w:rPr>
          <w:sz w:val="20"/>
          <w:szCs w:val="20"/>
        </w:rPr>
        <w:t>mes and (6) writing the report</w:t>
      </w:r>
      <w:r w:rsidR="0092646E" w:rsidRPr="00AC37DD">
        <w:rPr>
          <w:sz w:val="20"/>
          <w:szCs w:val="20"/>
        </w:rPr>
        <w:t xml:space="preserve"> </w:t>
      </w:r>
      <w:r w:rsidR="00B65909" w:rsidRPr="00AC37DD">
        <w:rPr>
          <w:sz w:val="20"/>
          <w:szCs w:val="20"/>
        </w:rPr>
        <w:fldChar w:fldCharType="begin" w:fldLock="1"/>
      </w:r>
      <w:r w:rsidR="0095519A" w:rsidRPr="00AC37DD">
        <w:rPr>
          <w:sz w:val="20"/>
          <w:szCs w:val="20"/>
        </w:rPr>
        <w:instrText>ADDIN CSL_CITATION {"citationItems":[{"id":"ITEM-1","itemData":{"DOI":"10.1037/13620.004","ISSN":"9811052506","author":[{"dropping-particle":"","family":"Braun","given":"Virginia","non-dropping-particle":"","parse-names":false,"suffix":""},{"dropping-particle":"","family":"Clarke","given":"Victoria","non-dropping-particle":"","parse-names":false,"suffix":""}],"chapter-number":"4","container-title":"APA Handbook of Research Methods in Psychology","editor":[{"dropping-particle":"","family":"Cooper","given":"H","non-dropping-particle":"","parse-names":false,"suffix":""}],"id":"ITEM-1","issued":{"date-parts":[["2012"]]},"page":"57-71","publisher":"American Psychological Association","title":"Thematic analysis","type":"chapter"},"uris":["http://www.mendeley.com/documents/?uuid=65f1a7d3-b467-32e3-969a-dfdb4474d596"]}],"mendeley":{"formattedCitation":"(Braun &amp; Clarke, 2012)","plainTextFormattedCitation":"(Braun &amp; Clarke, 2012)","previouslyFormattedCitation":"(Braun &amp; Clarke, 2012)"},"properties":{"noteIndex":0},"schema":"https://github.com/citation-style-language/schema/raw/master/csl-citation.json"}</w:instrText>
      </w:r>
      <w:r w:rsidR="00B65909" w:rsidRPr="00AC37DD">
        <w:rPr>
          <w:sz w:val="20"/>
          <w:szCs w:val="20"/>
        </w:rPr>
        <w:fldChar w:fldCharType="separate"/>
      </w:r>
      <w:r w:rsidR="0095519A" w:rsidRPr="00AC37DD">
        <w:rPr>
          <w:noProof/>
          <w:sz w:val="20"/>
          <w:szCs w:val="20"/>
        </w:rPr>
        <w:t>(Braun &amp; Clarke, 2012)</w:t>
      </w:r>
      <w:r w:rsidR="00B65909" w:rsidRPr="00AC37DD">
        <w:rPr>
          <w:sz w:val="20"/>
          <w:szCs w:val="20"/>
        </w:rPr>
        <w:fldChar w:fldCharType="end"/>
      </w:r>
      <w:r w:rsidR="0092646E" w:rsidRPr="00AC37DD">
        <w:rPr>
          <w:sz w:val="20"/>
          <w:szCs w:val="20"/>
        </w:rPr>
        <w:t>.</w:t>
      </w:r>
      <w:r w:rsidRPr="00AC37DD">
        <w:rPr>
          <w:sz w:val="20"/>
          <w:szCs w:val="20"/>
        </w:rPr>
        <w:t xml:space="preserve"> Two researchers (EL and </w:t>
      </w:r>
      <w:r w:rsidR="003504BB" w:rsidRPr="00AC37DD">
        <w:rPr>
          <w:sz w:val="20"/>
          <w:szCs w:val="20"/>
        </w:rPr>
        <w:t>CV</w:t>
      </w:r>
      <w:r w:rsidRPr="00AC37DD">
        <w:rPr>
          <w:sz w:val="20"/>
          <w:szCs w:val="20"/>
        </w:rPr>
        <w:t xml:space="preserve">) </w:t>
      </w:r>
      <w:r w:rsidR="00B65909" w:rsidRPr="00AC37DD">
        <w:rPr>
          <w:sz w:val="20"/>
          <w:szCs w:val="20"/>
        </w:rPr>
        <w:t xml:space="preserve">openly </w:t>
      </w:r>
      <w:r w:rsidRPr="00AC37DD">
        <w:rPr>
          <w:sz w:val="20"/>
          <w:szCs w:val="20"/>
        </w:rPr>
        <w:t>coded</w:t>
      </w:r>
      <w:r w:rsidR="009A268F" w:rsidRPr="00AC37DD">
        <w:rPr>
          <w:sz w:val="20"/>
          <w:szCs w:val="20"/>
        </w:rPr>
        <w:t xml:space="preserve"> </w:t>
      </w:r>
      <w:r w:rsidRPr="00AC37DD">
        <w:rPr>
          <w:sz w:val="20"/>
          <w:szCs w:val="20"/>
        </w:rPr>
        <w:t xml:space="preserve">the data </w:t>
      </w:r>
      <w:r w:rsidR="009A268F" w:rsidRPr="00AC37DD">
        <w:rPr>
          <w:sz w:val="20"/>
          <w:szCs w:val="20"/>
        </w:rPr>
        <w:t xml:space="preserve">independently </w:t>
      </w:r>
      <w:r w:rsidRPr="00AC37DD">
        <w:rPr>
          <w:sz w:val="20"/>
          <w:szCs w:val="20"/>
        </w:rPr>
        <w:t xml:space="preserve">and reconciled the </w:t>
      </w:r>
      <w:r w:rsidR="009A268F" w:rsidRPr="00AC37DD">
        <w:rPr>
          <w:sz w:val="20"/>
          <w:szCs w:val="20"/>
        </w:rPr>
        <w:t xml:space="preserve">initial </w:t>
      </w:r>
      <w:r w:rsidRPr="00AC37DD">
        <w:rPr>
          <w:sz w:val="20"/>
          <w:szCs w:val="20"/>
        </w:rPr>
        <w:t>codes</w:t>
      </w:r>
      <w:r w:rsidR="00D80477" w:rsidRPr="00AC37DD">
        <w:rPr>
          <w:sz w:val="20"/>
          <w:szCs w:val="20"/>
        </w:rPr>
        <w:t xml:space="preserve"> </w:t>
      </w:r>
      <w:r w:rsidR="00B65909" w:rsidRPr="00AC37DD">
        <w:rPr>
          <w:sz w:val="20"/>
          <w:szCs w:val="20"/>
        </w:rPr>
        <w:t>in</w:t>
      </w:r>
      <w:r w:rsidR="007127C3" w:rsidRPr="00AC37DD">
        <w:rPr>
          <w:sz w:val="20"/>
          <w:szCs w:val="20"/>
        </w:rPr>
        <w:t xml:space="preserve"> NVivo (Version 12, </w:t>
      </w:r>
      <w:r w:rsidR="007127C3" w:rsidRPr="00AC37DD">
        <w:rPr>
          <w:rFonts w:ascii="Calibri" w:hAnsi="Calibri" w:cs="Times New Roman"/>
          <w:noProof/>
          <w:sz w:val="20"/>
          <w:szCs w:val="24"/>
        </w:rPr>
        <w:t>QSR International)</w:t>
      </w:r>
      <w:r w:rsidR="0092646E" w:rsidRPr="00AC37DD">
        <w:rPr>
          <w:sz w:val="20"/>
          <w:szCs w:val="20"/>
        </w:rPr>
        <w:t>.</w:t>
      </w:r>
      <w:r w:rsidRPr="00AC37DD">
        <w:rPr>
          <w:sz w:val="20"/>
          <w:szCs w:val="20"/>
        </w:rPr>
        <w:t xml:space="preserve"> </w:t>
      </w:r>
      <w:r w:rsidR="00383817" w:rsidRPr="00AC37DD">
        <w:rPr>
          <w:sz w:val="20"/>
          <w:szCs w:val="20"/>
        </w:rPr>
        <w:t xml:space="preserve">Field notes </w:t>
      </w:r>
      <w:r w:rsidR="008A3D7D" w:rsidRPr="00AC37DD">
        <w:rPr>
          <w:sz w:val="20"/>
          <w:szCs w:val="20"/>
        </w:rPr>
        <w:t>were consulted during initial coding to provide context to the transcripts and aid interpretation</w:t>
      </w:r>
      <w:r w:rsidR="00383817" w:rsidRPr="00AC37DD">
        <w:rPr>
          <w:sz w:val="20"/>
          <w:szCs w:val="20"/>
        </w:rPr>
        <w:t xml:space="preserve">. </w:t>
      </w:r>
      <w:r w:rsidR="00D80477" w:rsidRPr="00AC37DD">
        <w:rPr>
          <w:sz w:val="20"/>
          <w:szCs w:val="20"/>
        </w:rPr>
        <w:t xml:space="preserve">The researchers used the codes to </w:t>
      </w:r>
      <w:r w:rsidR="009A268F" w:rsidRPr="00AC37DD">
        <w:rPr>
          <w:sz w:val="20"/>
          <w:szCs w:val="20"/>
        </w:rPr>
        <w:t xml:space="preserve">identify potential themes and subthemes. These were </w:t>
      </w:r>
      <w:r w:rsidR="00C106EF" w:rsidRPr="00AC37DD">
        <w:rPr>
          <w:sz w:val="20"/>
          <w:szCs w:val="20"/>
        </w:rPr>
        <w:t>refine</w:t>
      </w:r>
      <w:r w:rsidR="009A268F" w:rsidRPr="00AC37DD">
        <w:rPr>
          <w:sz w:val="20"/>
          <w:szCs w:val="20"/>
        </w:rPr>
        <w:t>d</w:t>
      </w:r>
      <w:r w:rsidR="00C106EF" w:rsidRPr="00AC37DD">
        <w:rPr>
          <w:sz w:val="20"/>
          <w:szCs w:val="20"/>
        </w:rPr>
        <w:t xml:space="preserve"> </w:t>
      </w:r>
      <w:r w:rsidR="00E42E7C" w:rsidRPr="00AC37DD">
        <w:rPr>
          <w:sz w:val="20"/>
          <w:szCs w:val="20"/>
        </w:rPr>
        <w:t>in an iterative process</w:t>
      </w:r>
      <w:r w:rsidR="004E0332" w:rsidRPr="00AC37DD">
        <w:rPr>
          <w:sz w:val="20"/>
          <w:szCs w:val="20"/>
        </w:rPr>
        <w:t xml:space="preserve"> in discussion with the larger study team including two YA patients</w:t>
      </w:r>
      <w:r w:rsidR="00383817" w:rsidRPr="00AC37DD">
        <w:rPr>
          <w:sz w:val="20"/>
          <w:szCs w:val="20"/>
        </w:rPr>
        <w:t xml:space="preserve"> (ET and KS)</w:t>
      </w:r>
      <w:r w:rsidR="00D80477" w:rsidRPr="00AC37DD">
        <w:rPr>
          <w:sz w:val="20"/>
          <w:szCs w:val="20"/>
        </w:rPr>
        <w:t>.</w:t>
      </w:r>
      <w:r w:rsidR="00383817" w:rsidRPr="00AC37DD">
        <w:rPr>
          <w:sz w:val="20"/>
          <w:szCs w:val="20"/>
        </w:rPr>
        <w:t xml:space="preserve"> The YA patients provided an expert opinion on interpretation of the data and robustness of the results.</w:t>
      </w:r>
      <w:r w:rsidR="009A268F" w:rsidRPr="00AC37DD">
        <w:rPr>
          <w:sz w:val="20"/>
          <w:szCs w:val="20"/>
        </w:rPr>
        <w:t xml:space="preserve"> The analysis process was fluid rather than linear as we continued to refine the themes while producing the manuscript.</w:t>
      </w:r>
      <w:r w:rsidR="00D80477" w:rsidRPr="00AC37DD">
        <w:rPr>
          <w:sz w:val="20"/>
          <w:szCs w:val="20"/>
        </w:rPr>
        <w:t xml:space="preserve"> </w:t>
      </w:r>
      <w:r w:rsidR="00A503FD" w:rsidRPr="00AC37DD">
        <w:rPr>
          <w:sz w:val="20"/>
          <w:szCs w:val="20"/>
        </w:rPr>
        <w:t xml:space="preserve">We specifically </w:t>
      </w:r>
      <w:r w:rsidR="00BC26C3" w:rsidRPr="00AC37DD">
        <w:rPr>
          <w:sz w:val="20"/>
          <w:szCs w:val="20"/>
        </w:rPr>
        <w:t xml:space="preserve">sought </w:t>
      </w:r>
      <w:r w:rsidR="00512399" w:rsidRPr="00AC37DD">
        <w:rPr>
          <w:sz w:val="20"/>
          <w:szCs w:val="20"/>
        </w:rPr>
        <w:t>to identify</w:t>
      </w:r>
      <w:r w:rsidR="00A503FD" w:rsidRPr="00AC37DD">
        <w:rPr>
          <w:sz w:val="20"/>
          <w:szCs w:val="20"/>
        </w:rPr>
        <w:t xml:space="preserve"> commonalities across </w:t>
      </w:r>
      <w:r w:rsidR="0086004F" w:rsidRPr="00AC37DD">
        <w:rPr>
          <w:sz w:val="20"/>
          <w:szCs w:val="20"/>
        </w:rPr>
        <w:t xml:space="preserve">participants </w:t>
      </w:r>
      <w:r w:rsidR="00740191" w:rsidRPr="00AC37DD">
        <w:rPr>
          <w:sz w:val="20"/>
          <w:szCs w:val="20"/>
        </w:rPr>
        <w:t xml:space="preserve">and provide a detailed account of </w:t>
      </w:r>
      <w:r w:rsidR="00BC26C3" w:rsidRPr="00AC37DD">
        <w:rPr>
          <w:sz w:val="20"/>
          <w:szCs w:val="20"/>
        </w:rPr>
        <w:t xml:space="preserve">important </w:t>
      </w:r>
      <w:r w:rsidR="00740191" w:rsidRPr="00AC37DD">
        <w:rPr>
          <w:sz w:val="20"/>
          <w:szCs w:val="20"/>
        </w:rPr>
        <w:t>themes</w:t>
      </w:r>
      <w:r w:rsidR="0086004F" w:rsidRPr="00AC37DD">
        <w:rPr>
          <w:sz w:val="20"/>
          <w:szCs w:val="20"/>
        </w:rPr>
        <w:t xml:space="preserve"> unique to YAs</w:t>
      </w:r>
      <w:r w:rsidR="00A503FD" w:rsidRPr="00AC37DD">
        <w:rPr>
          <w:sz w:val="20"/>
          <w:szCs w:val="20"/>
        </w:rPr>
        <w:t>.</w:t>
      </w:r>
      <w:r w:rsidR="00740191" w:rsidRPr="00AC37DD">
        <w:rPr>
          <w:sz w:val="20"/>
          <w:szCs w:val="20"/>
        </w:rPr>
        <w:t xml:space="preserve"> </w:t>
      </w:r>
    </w:p>
    <w:p w14:paraId="777C78EC" w14:textId="77777777" w:rsidR="00980F92" w:rsidRPr="00AC37DD" w:rsidRDefault="009D53FF" w:rsidP="003B7457">
      <w:pPr>
        <w:spacing w:before="400" w:line="480" w:lineRule="auto"/>
        <w:jc w:val="both"/>
        <w:rPr>
          <w:b/>
          <w:sz w:val="20"/>
          <w:szCs w:val="20"/>
        </w:rPr>
      </w:pPr>
      <w:r w:rsidRPr="00AC37DD">
        <w:rPr>
          <w:b/>
          <w:sz w:val="20"/>
          <w:szCs w:val="20"/>
        </w:rPr>
        <w:t>RESULTS</w:t>
      </w:r>
    </w:p>
    <w:p w14:paraId="7002E7F5" w14:textId="026FE7B9" w:rsidR="00BB5A4D" w:rsidRPr="00AC37DD" w:rsidRDefault="00541261" w:rsidP="003B7457">
      <w:pPr>
        <w:spacing w:line="480" w:lineRule="auto"/>
        <w:jc w:val="both"/>
        <w:rPr>
          <w:sz w:val="20"/>
          <w:szCs w:val="20"/>
        </w:rPr>
      </w:pPr>
      <w:r w:rsidRPr="00AC37DD">
        <w:rPr>
          <w:sz w:val="20"/>
          <w:szCs w:val="20"/>
        </w:rPr>
        <w:t xml:space="preserve">Of the 152 patients invited, </w:t>
      </w:r>
      <w:r w:rsidR="00C41DE0" w:rsidRPr="00AC37DD">
        <w:rPr>
          <w:sz w:val="20"/>
          <w:szCs w:val="20"/>
        </w:rPr>
        <w:t>6</w:t>
      </w:r>
      <w:r w:rsidR="0086004F" w:rsidRPr="00AC37DD">
        <w:rPr>
          <w:sz w:val="20"/>
          <w:szCs w:val="20"/>
        </w:rPr>
        <w:t>5</w:t>
      </w:r>
      <w:r w:rsidR="00185FE5" w:rsidRPr="00AC37DD">
        <w:rPr>
          <w:sz w:val="20"/>
          <w:szCs w:val="20"/>
        </w:rPr>
        <w:t xml:space="preserve"> (</w:t>
      </w:r>
      <w:r w:rsidR="00AF64B7" w:rsidRPr="00AC37DD">
        <w:rPr>
          <w:sz w:val="20"/>
          <w:szCs w:val="20"/>
        </w:rPr>
        <w:t>4</w:t>
      </w:r>
      <w:r w:rsidR="0086004F" w:rsidRPr="00AC37DD">
        <w:rPr>
          <w:sz w:val="20"/>
          <w:szCs w:val="20"/>
        </w:rPr>
        <w:t>2.8</w:t>
      </w:r>
      <w:r w:rsidR="002E6378" w:rsidRPr="00AC37DD">
        <w:rPr>
          <w:sz w:val="20"/>
          <w:szCs w:val="20"/>
        </w:rPr>
        <w:t xml:space="preserve">%) </w:t>
      </w:r>
      <w:r w:rsidR="00185FE5" w:rsidRPr="00AC37DD">
        <w:rPr>
          <w:sz w:val="20"/>
          <w:szCs w:val="20"/>
        </w:rPr>
        <w:t xml:space="preserve">patients </w:t>
      </w:r>
      <w:r w:rsidR="00C41DE0" w:rsidRPr="00AC37DD">
        <w:rPr>
          <w:sz w:val="20"/>
          <w:szCs w:val="20"/>
        </w:rPr>
        <w:t>participated</w:t>
      </w:r>
      <w:r w:rsidR="00185FE5" w:rsidRPr="00AC37DD">
        <w:rPr>
          <w:sz w:val="20"/>
          <w:szCs w:val="20"/>
        </w:rPr>
        <w:t>, 5</w:t>
      </w:r>
      <w:r w:rsidR="00AE050F" w:rsidRPr="00AC37DD">
        <w:rPr>
          <w:sz w:val="20"/>
          <w:szCs w:val="20"/>
        </w:rPr>
        <w:t>0</w:t>
      </w:r>
      <w:r w:rsidR="00185FE5" w:rsidRPr="00AC37DD">
        <w:rPr>
          <w:sz w:val="20"/>
          <w:szCs w:val="20"/>
        </w:rPr>
        <w:t xml:space="preserve"> (76.</w:t>
      </w:r>
      <w:r w:rsidR="00AE050F" w:rsidRPr="00AC37DD">
        <w:rPr>
          <w:sz w:val="20"/>
          <w:szCs w:val="20"/>
        </w:rPr>
        <w:t>9</w:t>
      </w:r>
      <w:r w:rsidR="0097572D" w:rsidRPr="00AC37DD">
        <w:rPr>
          <w:sz w:val="20"/>
          <w:szCs w:val="20"/>
        </w:rPr>
        <w:t xml:space="preserve">%) in </w:t>
      </w:r>
      <w:r w:rsidR="00383817" w:rsidRPr="00AC37DD">
        <w:rPr>
          <w:sz w:val="20"/>
          <w:szCs w:val="20"/>
        </w:rPr>
        <w:t xml:space="preserve">individual </w:t>
      </w:r>
      <w:r w:rsidR="0097572D" w:rsidRPr="00AC37DD">
        <w:rPr>
          <w:sz w:val="20"/>
          <w:szCs w:val="20"/>
        </w:rPr>
        <w:t>interviews and 1</w:t>
      </w:r>
      <w:r w:rsidR="00AE050F" w:rsidRPr="00AC37DD">
        <w:rPr>
          <w:sz w:val="20"/>
          <w:szCs w:val="20"/>
        </w:rPr>
        <w:t>5</w:t>
      </w:r>
      <w:r w:rsidR="00622C62" w:rsidRPr="00AC37DD">
        <w:rPr>
          <w:sz w:val="20"/>
          <w:szCs w:val="20"/>
        </w:rPr>
        <w:t xml:space="preserve"> (</w:t>
      </w:r>
      <w:r w:rsidR="005208AC" w:rsidRPr="00AC37DD">
        <w:rPr>
          <w:sz w:val="20"/>
          <w:szCs w:val="20"/>
        </w:rPr>
        <w:t>23.</w:t>
      </w:r>
      <w:r w:rsidR="00AE050F" w:rsidRPr="00AC37DD">
        <w:rPr>
          <w:sz w:val="20"/>
          <w:szCs w:val="20"/>
        </w:rPr>
        <w:t>1</w:t>
      </w:r>
      <w:r w:rsidR="00622C62" w:rsidRPr="00AC37DD">
        <w:rPr>
          <w:sz w:val="20"/>
          <w:szCs w:val="20"/>
        </w:rPr>
        <w:t>%)</w:t>
      </w:r>
      <w:r w:rsidR="0097572D" w:rsidRPr="00AC37DD">
        <w:rPr>
          <w:sz w:val="20"/>
          <w:szCs w:val="20"/>
        </w:rPr>
        <w:t xml:space="preserve"> in </w:t>
      </w:r>
      <w:r w:rsidR="00A276E4" w:rsidRPr="00AC37DD">
        <w:rPr>
          <w:sz w:val="20"/>
          <w:szCs w:val="20"/>
        </w:rPr>
        <w:t>five</w:t>
      </w:r>
      <w:r w:rsidR="0097572D" w:rsidRPr="00AC37DD">
        <w:rPr>
          <w:sz w:val="20"/>
          <w:szCs w:val="20"/>
        </w:rPr>
        <w:t xml:space="preserve"> </w:t>
      </w:r>
      <w:r w:rsidR="002E6378" w:rsidRPr="00AC37DD">
        <w:rPr>
          <w:sz w:val="20"/>
          <w:szCs w:val="20"/>
        </w:rPr>
        <w:t>focus groups.</w:t>
      </w:r>
      <w:r w:rsidR="00D506DE" w:rsidRPr="00AC37DD">
        <w:rPr>
          <w:sz w:val="20"/>
          <w:szCs w:val="20"/>
        </w:rPr>
        <w:t xml:space="preserve"> </w:t>
      </w:r>
      <w:r w:rsidR="00E11E64" w:rsidRPr="00AC37DD">
        <w:rPr>
          <w:sz w:val="20"/>
          <w:szCs w:val="20"/>
        </w:rPr>
        <w:t>T</w:t>
      </w:r>
      <w:r w:rsidR="00D506DE" w:rsidRPr="00AC37DD">
        <w:rPr>
          <w:sz w:val="20"/>
          <w:szCs w:val="20"/>
        </w:rPr>
        <w:t xml:space="preserve">hree </w:t>
      </w:r>
      <w:r w:rsidR="00BC26C3" w:rsidRPr="00AC37DD">
        <w:rPr>
          <w:sz w:val="20"/>
          <w:szCs w:val="20"/>
        </w:rPr>
        <w:t>patients declined</w:t>
      </w:r>
      <w:r w:rsidR="00AF64B7" w:rsidRPr="00AC37DD">
        <w:rPr>
          <w:sz w:val="20"/>
          <w:szCs w:val="20"/>
        </w:rPr>
        <w:t xml:space="preserve"> </w:t>
      </w:r>
      <w:r w:rsidR="003C7AE7" w:rsidRPr="00AC37DD">
        <w:rPr>
          <w:sz w:val="20"/>
          <w:szCs w:val="20"/>
        </w:rPr>
        <w:t>due to illness</w:t>
      </w:r>
      <w:r w:rsidR="00D506DE" w:rsidRPr="00AC37DD">
        <w:rPr>
          <w:sz w:val="20"/>
          <w:szCs w:val="20"/>
        </w:rPr>
        <w:t xml:space="preserve">, two felt too distressed, </w:t>
      </w:r>
      <w:r w:rsidR="00AF64B7" w:rsidRPr="00AC37DD">
        <w:rPr>
          <w:sz w:val="20"/>
          <w:szCs w:val="20"/>
        </w:rPr>
        <w:t xml:space="preserve">seven </w:t>
      </w:r>
      <w:r w:rsidR="00D506DE" w:rsidRPr="00AC37DD">
        <w:rPr>
          <w:sz w:val="20"/>
          <w:szCs w:val="20"/>
        </w:rPr>
        <w:t xml:space="preserve">were too busy, </w:t>
      </w:r>
      <w:r w:rsidR="00512399" w:rsidRPr="00AC37DD">
        <w:rPr>
          <w:sz w:val="20"/>
          <w:szCs w:val="20"/>
        </w:rPr>
        <w:t>45</w:t>
      </w:r>
      <w:r w:rsidR="00AF64B7" w:rsidRPr="00AC37DD">
        <w:rPr>
          <w:sz w:val="20"/>
          <w:szCs w:val="20"/>
        </w:rPr>
        <w:t xml:space="preserve"> </w:t>
      </w:r>
      <w:r w:rsidR="0007188D" w:rsidRPr="00AC37DD">
        <w:rPr>
          <w:sz w:val="20"/>
          <w:szCs w:val="20"/>
        </w:rPr>
        <w:t>declined</w:t>
      </w:r>
      <w:r w:rsidR="00E11E64" w:rsidRPr="00AC37DD">
        <w:rPr>
          <w:sz w:val="20"/>
          <w:szCs w:val="20"/>
        </w:rPr>
        <w:t xml:space="preserve"> without reason</w:t>
      </w:r>
      <w:r w:rsidR="00185FE5" w:rsidRPr="00AC37DD">
        <w:rPr>
          <w:sz w:val="20"/>
          <w:szCs w:val="20"/>
        </w:rPr>
        <w:t xml:space="preserve">, </w:t>
      </w:r>
      <w:r w:rsidR="00E11E64" w:rsidRPr="00AC37DD">
        <w:rPr>
          <w:sz w:val="20"/>
          <w:szCs w:val="20"/>
        </w:rPr>
        <w:t>six</w:t>
      </w:r>
      <w:r w:rsidR="00AF64B7" w:rsidRPr="00AC37DD">
        <w:rPr>
          <w:sz w:val="20"/>
          <w:szCs w:val="20"/>
        </w:rPr>
        <w:t xml:space="preserve"> </w:t>
      </w:r>
      <w:r w:rsidR="00185FE5" w:rsidRPr="00AC37DD">
        <w:rPr>
          <w:sz w:val="20"/>
          <w:szCs w:val="20"/>
        </w:rPr>
        <w:t xml:space="preserve">did not meet </w:t>
      </w:r>
      <w:r w:rsidR="0007188D" w:rsidRPr="00AC37DD">
        <w:rPr>
          <w:sz w:val="20"/>
          <w:szCs w:val="20"/>
        </w:rPr>
        <w:t xml:space="preserve">eligibility </w:t>
      </w:r>
      <w:r w:rsidR="00185FE5" w:rsidRPr="00AC37DD">
        <w:rPr>
          <w:sz w:val="20"/>
          <w:szCs w:val="20"/>
        </w:rPr>
        <w:t>criteria after review</w:t>
      </w:r>
      <w:r w:rsidR="00D506DE" w:rsidRPr="00AC37DD">
        <w:rPr>
          <w:sz w:val="20"/>
          <w:szCs w:val="20"/>
        </w:rPr>
        <w:t xml:space="preserve"> and </w:t>
      </w:r>
      <w:r w:rsidR="00E11E64" w:rsidRPr="00AC37DD">
        <w:rPr>
          <w:sz w:val="20"/>
          <w:szCs w:val="20"/>
        </w:rPr>
        <w:t>24</w:t>
      </w:r>
      <w:r w:rsidR="00AF64B7" w:rsidRPr="00AC37DD">
        <w:rPr>
          <w:sz w:val="20"/>
          <w:szCs w:val="20"/>
        </w:rPr>
        <w:t xml:space="preserve"> did not </w:t>
      </w:r>
      <w:r w:rsidR="002A41FC" w:rsidRPr="00AC37DD">
        <w:rPr>
          <w:sz w:val="20"/>
          <w:szCs w:val="20"/>
        </w:rPr>
        <w:t>participate</w:t>
      </w:r>
      <w:r w:rsidR="009B53E9" w:rsidRPr="00AC37DD">
        <w:rPr>
          <w:sz w:val="20"/>
          <w:szCs w:val="20"/>
        </w:rPr>
        <w:t xml:space="preserve"> after </w:t>
      </w:r>
      <w:r w:rsidR="00AF64B7" w:rsidRPr="00AC37DD">
        <w:rPr>
          <w:sz w:val="20"/>
          <w:szCs w:val="20"/>
        </w:rPr>
        <w:lastRenderedPageBreak/>
        <w:t>consent</w:t>
      </w:r>
      <w:r w:rsidR="00D506DE" w:rsidRPr="00AC37DD">
        <w:rPr>
          <w:sz w:val="20"/>
          <w:szCs w:val="20"/>
        </w:rPr>
        <w:t>.</w:t>
      </w:r>
      <w:r w:rsidR="002E6378" w:rsidRPr="00AC37DD">
        <w:rPr>
          <w:sz w:val="20"/>
          <w:szCs w:val="20"/>
        </w:rPr>
        <w:t xml:space="preserve"> </w:t>
      </w:r>
      <w:r w:rsidR="0097572D" w:rsidRPr="00AC37DD">
        <w:rPr>
          <w:sz w:val="20"/>
          <w:szCs w:val="20"/>
        </w:rPr>
        <w:t>Interviews average</w:t>
      </w:r>
      <w:r w:rsidR="00A276E4" w:rsidRPr="00AC37DD">
        <w:rPr>
          <w:sz w:val="20"/>
          <w:szCs w:val="20"/>
        </w:rPr>
        <w:t>d</w:t>
      </w:r>
      <w:r w:rsidR="0097572D" w:rsidRPr="00AC37DD">
        <w:rPr>
          <w:sz w:val="20"/>
          <w:szCs w:val="20"/>
        </w:rPr>
        <w:t xml:space="preserve"> 4</w:t>
      </w:r>
      <w:r w:rsidR="00512399" w:rsidRPr="00AC37DD">
        <w:rPr>
          <w:sz w:val="20"/>
          <w:szCs w:val="20"/>
        </w:rPr>
        <w:t>3</w:t>
      </w:r>
      <w:r w:rsidR="00397F66" w:rsidRPr="00AC37DD">
        <w:rPr>
          <w:sz w:val="20"/>
          <w:szCs w:val="20"/>
        </w:rPr>
        <w:t xml:space="preserve"> </w:t>
      </w:r>
      <w:r w:rsidR="003D534D" w:rsidRPr="00AC37DD">
        <w:rPr>
          <w:sz w:val="20"/>
          <w:szCs w:val="20"/>
        </w:rPr>
        <w:t xml:space="preserve">minutes </w:t>
      </w:r>
      <w:r w:rsidR="0007188D" w:rsidRPr="00AC37DD">
        <w:rPr>
          <w:sz w:val="20"/>
          <w:szCs w:val="20"/>
        </w:rPr>
        <w:t>(range</w:t>
      </w:r>
      <w:r w:rsidR="00512399" w:rsidRPr="00AC37DD">
        <w:rPr>
          <w:sz w:val="20"/>
          <w:szCs w:val="20"/>
        </w:rPr>
        <w:t xml:space="preserve">: </w:t>
      </w:r>
      <w:r w:rsidR="00AF64B7" w:rsidRPr="00AC37DD">
        <w:rPr>
          <w:sz w:val="20"/>
          <w:szCs w:val="20"/>
        </w:rPr>
        <w:t>2</w:t>
      </w:r>
      <w:r w:rsidR="000C6E4E" w:rsidRPr="00AC37DD">
        <w:rPr>
          <w:sz w:val="20"/>
          <w:szCs w:val="20"/>
        </w:rPr>
        <w:t>0</w:t>
      </w:r>
      <w:r w:rsidR="00397F66" w:rsidRPr="00AC37DD">
        <w:rPr>
          <w:sz w:val="20"/>
          <w:szCs w:val="20"/>
        </w:rPr>
        <w:t>–</w:t>
      </w:r>
      <w:r w:rsidR="000706DC" w:rsidRPr="00AC37DD">
        <w:rPr>
          <w:sz w:val="20"/>
          <w:szCs w:val="20"/>
        </w:rPr>
        <w:t>88</w:t>
      </w:r>
      <w:r w:rsidR="00397F66" w:rsidRPr="00AC37DD">
        <w:rPr>
          <w:sz w:val="20"/>
          <w:szCs w:val="20"/>
        </w:rPr>
        <w:t xml:space="preserve"> </w:t>
      </w:r>
      <w:r w:rsidR="00AF64B7" w:rsidRPr="00AC37DD">
        <w:rPr>
          <w:sz w:val="20"/>
          <w:szCs w:val="20"/>
        </w:rPr>
        <w:t>minutes</w:t>
      </w:r>
      <w:r w:rsidR="0007188D" w:rsidRPr="00AC37DD">
        <w:rPr>
          <w:sz w:val="20"/>
          <w:szCs w:val="20"/>
        </w:rPr>
        <w:t xml:space="preserve">) </w:t>
      </w:r>
      <w:r w:rsidR="0097572D" w:rsidRPr="00AC37DD">
        <w:rPr>
          <w:sz w:val="20"/>
          <w:szCs w:val="20"/>
        </w:rPr>
        <w:t>while focus groups average</w:t>
      </w:r>
      <w:r w:rsidR="00A276E4" w:rsidRPr="00AC37DD">
        <w:rPr>
          <w:sz w:val="20"/>
          <w:szCs w:val="20"/>
        </w:rPr>
        <w:t>d</w:t>
      </w:r>
      <w:r w:rsidR="0097572D" w:rsidRPr="00AC37DD">
        <w:rPr>
          <w:sz w:val="20"/>
          <w:szCs w:val="20"/>
        </w:rPr>
        <w:t xml:space="preserve"> </w:t>
      </w:r>
      <w:r w:rsidR="00512399" w:rsidRPr="00AC37DD">
        <w:rPr>
          <w:sz w:val="20"/>
          <w:szCs w:val="20"/>
        </w:rPr>
        <w:t>1</w:t>
      </w:r>
      <w:r w:rsidR="000706DC" w:rsidRPr="00AC37DD">
        <w:rPr>
          <w:sz w:val="20"/>
          <w:szCs w:val="20"/>
        </w:rPr>
        <w:t>1</w:t>
      </w:r>
      <w:r w:rsidR="00512399" w:rsidRPr="00AC37DD">
        <w:rPr>
          <w:sz w:val="20"/>
          <w:szCs w:val="20"/>
        </w:rPr>
        <w:t>7</w:t>
      </w:r>
      <w:r w:rsidR="00397F66" w:rsidRPr="00AC37DD">
        <w:rPr>
          <w:sz w:val="20"/>
          <w:szCs w:val="20"/>
        </w:rPr>
        <w:t xml:space="preserve"> </w:t>
      </w:r>
      <w:r w:rsidR="003D534D" w:rsidRPr="00AC37DD">
        <w:rPr>
          <w:sz w:val="20"/>
          <w:szCs w:val="20"/>
        </w:rPr>
        <w:t>minutes</w:t>
      </w:r>
      <w:r w:rsidR="000C6E4E" w:rsidRPr="00AC37DD">
        <w:rPr>
          <w:sz w:val="20"/>
          <w:szCs w:val="20"/>
        </w:rPr>
        <w:t xml:space="preserve"> </w:t>
      </w:r>
      <w:r w:rsidR="00512399" w:rsidRPr="00AC37DD">
        <w:rPr>
          <w:sz w:val="20"/>
          <w:szCs w:val="20"/>
        </w:rPr>
        <w:t xml:space="preserve">(range: </w:t>
      </w:r>
      <w:r w:rsidR="000706DC" w:rsidRPr="00AC37DD">
        <w:rPr>
          <w:sz w:val="20"/>
          <w:szCs w:val="20"/>
        </w:rPr>
        <w:t>92</w:t>
      </w:r>
      <w:r w:rsidR="00397F66" w:rsidRPr="00AC37DD">
        <w:rPr>
          <w:sz w:val="20"/>
          <w:szCs w:val="20"/>
        </w:rPr>
        <w:t>–</w:t>
      </w:r>
      <w:r w:rsidR="000706DC" w:rsidRPr="00AC37DD">
        <w:rPr>
          <w:sz w:val="20"/>
          <w:szCs w:val="20"/>
        </w:rPr>
        <w:t>150</w:t>
      </w:r>
      <w:r w:rsidR="00397F66" w:rsidRPr="00AC37DD">
        <w:rPr>
          <w:sz w:val="20"/>
          <w:szCs w:val="20"/>
        </w:rPr>
        <w:t xml:space="preserve"> </w:t>
      </w:r>
      <w:r w:rsidR="000C6E4E" w:rsidRPr="00AC37DD">
        <w:rPr>
          <w:sz w:val="20"/>
          <w:szCs w:val="20"/>
        </w:rPr>
        <w:t>minutes)</w:t>
      </w:r>
      <w:r w:rsidR="0097572D" w:rsidRPr="00AC37DD">
        <w:rPr>
          <w:sz w:val="20"/>
          <w:szCs w:val="20"/>
        </w:rPr>
        <w:t xml:space="preserve">. </w:t>
      </w:r>
    </w:p>
    <w:p w14:paraId="4A85BB01" w14:textId="436B7BEB" w:rsidR="00BB5A4D" w:rsidRPr="00AC37DD" w:rsidRDefault="00BB5A4D" w:rsidP="003B7457">
      <w:pPr>
        <w:spacing w:line="480" w:lineRule="auto"/>
        <w:jc w:val="both"/>
        <w:rPr>
          <w:sz w:val="20"/>
          <w:szCs w:val="20"/>
        </w:rPr>
      </w:pPr>
      <w:r w:rsidRPr="00AC37DD">
        <w:rPr>
          <w:sz w:val="20"/>
          <w:szCs w:val="20"/>
        </w:rPr>
        <w:t xml:space="preserve">YAs were 33.6 years old on average </w:t>
      </w:r>
      <w:r w:rsidR="002D3671" w:rsidRPr="00AC37DD">
        <w:rPr>
          <w:sz w:val="20"/>
          <w:szCs w:val="20"/>
        </w:rPr>
        <w:t xml:space="preserve">at the time of participation </w:t>
      </w:r>
      <w:r w:rsidRPr="00AC37DD">
        <w:rPr>
          <w:sz w:val="20"/>
          <w:szCs w:val="20"/>
        </w:rPr>
        <w:t>(Table 2). The majority of participants were fe</w:t>
      </w:r>
      <w:r w:rsidR="005B4635" w:rsidRPr="00AC37DD">
        <w:rPr>
          <w:sz w:val="20"/>
          <w:szCs w:val="20"/>
        </w:rPr>
        <w:t>male (</w:t>
      </w:r>
      <w:r w:rsidR="00BC400B" w:rsidRPr="00AC37DD">
        <w:rPr>
          <w:sz w:val="20"/>
          <w:szCs w:val="20"/>
        </w:rPr>
        <w:t xml:space="preserve">N=39; </w:t>
      </w:r>
      <w:r w:rsidR="005B4635" w:rsidRPr="00AC37DD">
        <w:rPr>
          <w:sz w:val="20"/>
          <w:szCs w:val="20"/>
        </w:rPr>
        <w:t>60.0%), white (</w:t>
      </w:r>
      <w:r w:rsidR="00BC400B" w:rsidRPr="00AC37DD">
        <w:rPr>
          <w:sz w:val="20"/>
          <w:szCs w:val="20"/>
        </w:rPr>
        <w:t xml:space="preserve">N=50; </w:t>
      </w:r>
      <w:r w:rsidR="005B4635" w:rsidRPr="00AC37DD">
        <w:rPr>
          <w:sz w:val="20"/>
          <w:szCs w:val="20"/>
        </w:rPr>
        <w:t>74.6%), married (</w:t>
      </w:r>
      <w:r w:rsidR="00BC400B" w:rsidRPr="00AC37DD">
        <w:rPr>
          <w:sz w:val="20"/>
          <w:szCs w:val="20"/>
        </w:rPr>
        <w:t xml:space="preserve">N=35; </w:t>
      </w:r>
      <w:r w:rsidR="005B4635" w:rsidRPr="00AC37DD">
        <w:rPr>
          <w:sz w:val="20"/>
          <w:szCs w:val="20"/>
        </w:rPr>
        <w:t>53.8%), university educated (</w:t>
      </w:r>
      <w:r w:rsidR="00BC400B" w:rsidRPr="00AC37DD">
        <w:rPr>
          <w:sz w:val="20"/>
          <w:szCs w:val="20"/>
        </w:rPr>
        <w:t xml:space="preserve">N=45; </w:t>
      </w:r>
      <w:r w:rsidR="005B4635" w:rsidRPr="00AC37DD">
        <w:rPr>
          <w:sz w:val="20"/>
          <w:szCs w:val="20"/>
        </w:rPr>
        <w:t>69.2%) and did not have children (</w:t>
      </w:r>
      <w:r w:rsidR="00BC400B" w:rsidRPr="00AC37DD">
        <w:rPr>
          <w:sz w:val="20"/>
          <w:szCs w:val="20"/>
        </w:rPr>
        <w:t xml:space="preserve">N=38; </w:t>
      </w:r>
      <w:r w:rsidR="005B4635" w:rsidRPr="00AC37DD">
        <w:rPr>
          <w:sz w:val="20"/>
          <w:szCs w:val="20"/>
        </w:rPr>
        <w:t xml:space="preserve">59.4%). YAs varied in living </w:t>
      </w:r>
      <w:r w:rsidR="00BC26C3" w:rsidRPr="00AC37DD">
        <w:rPr>
          <w:sz w:val="20"/>
          <w:szCs w:val="20"/>
        </w:rPr>
        <w:t xml:space="preserve">arrangements </w:t>
      </w:r>
      <w:r w:rsidR="005B4635" w:rsidRPr="00AC37DD">
        <w:rPr>
          <w:sz w:val="20"/>
          <w:szCs w:val="20"/>
        </w:rPr>
        <w:t>and employment status but the majority experienced some level of financial difficulty (</w:t>
      </w:r>
      <w:r w:rsidR="00BC400B" w:rsidRPr="00AC37DD">
        <w:rPr>
          <w:sz w:val="20"/>
          <w:szCs w:val="20"/>
        </w:rPr>
        <w:t xml:space="preserve">N=33; </w:t>
      </w:r>
      <w:r w:rsidR="005B4635" w:rsidRPr="00AC37DD">
        <w:rPr>
          <w:sz w:val="20"/>
          <w:szCs w:val="20"/>
        </w:rPr>
        <w:t xml:space="preserve">54.1%). </w:t>
      </w:r>
    </w:p>
    <w:p w14:paraId="7B72DCD2" w14:textId="24F7CD42" w:rsidR="002E6378" w:rsidRPr="00AC37DD" w:rsidRDefault="00BC26C3" w:rsidP="003B7457">
      <w:pPr>
        <w:spacing w:line="480" w:lineRule="auto"/>
        <w:jc w:val="both"/>
        <w:rPr>
          <w:sz w:val="20"/>
          <w:szCs w:val="20"/>
        </w:rPr>
      </w:pPr>
      <w:r w:rsidRPr="00AC37DD">
        <w:rPr>
          <w:sz w:val="20"/>
          <w:szCs w:val="20"/>
        </w:rPr>
        <w:t xml:space="preserve">A </w:t>
      </w:r>
      <w:r w:rsidR="008C6E01" w:rsidRPr="00AC37DD">
        <w:rPr>
          <w:sz w:val="20"/>
          <w:szCs w:val="20"/>
        </w:rPr>
        <w:t>range of tumour types</w:t>
      </w:r>
      <w:r w:rsidRPr="00AC37DD">
        <w:rPr>
          <w:sz w:val="20"/>
          <w:szCs w:val="20"/>
        </w:rPr>
        <w:t xml:space="preserve"> were included</w:t>
      </w:r>
      <w:r w:rsidR="00A276E4" w:rsidRPr="00AC37DD">
        <w:rPr>
          <w:sz w:val="20"/>
          <w:szCs w:val="20"/>
        </w:rPr>
        <w:t xml:space="preserve">, </w:t>
      </w:r>
      <w:r w:rsidR="0080578C" w:rsidRPr="00AC37DD">
        <w:rPr>
          <w:sz w:val="20"/>
          <w:szCs w:val="20"/>
        </w:rPr>
        <w:t>most common</w:t>
      </w:r>
      <w:r w:rsidR="00A276E4" w:rsidRPr="00AC37DD">
        <w:rPr>
          <w:sz w:val="20"/>
          <w:szCs w:val="20"/>
        </w:rPr>
        <w:t>ly</w:t>
      </w:r>
      <w:r w:rsidR="0080578C" w:rsidRPr="00AC37DD">
        <w:rPr>
          <w:sz w:val="20"/>
          <w:szCs w:val="20"/>
        </w:rPr>
        <w:t xml:space="preserve"> </w:t>
      </w:r>
      <w:r w:rsidR="00E11E64" w:rsidRPr="00AC37DD">
        <w:rPr>
          <w:sz w:val="20"/>
          <w:szCs w:val="20"/>
        </w:rPr>
        <w:t xml:space="preserve">sarcomas (N=13; 20.0%), breast cancer (N=12; 18.5%) and </w:t>
      </w:r>
      <w:r w:rsidR="00E420F0" w:rsidRPr="00AC37DD">
        <w:rPr>
          <w:sz w:val="20"/>
          <w:szCs w:val="20"/>
        </w:rPr>
        <w:t xml:space="preserve">central nervous system </w:t>
      </w:r>
      <w:r w:rsidR="002A41FC" w:rsidRPr="00AC37DD">
        <w:rPr>
          <w:sz w:val="20"/>
          <w:szCs w:val="20"/>
        </w:rPr>
        <w:t xml:space="preserve">(CNS) </w:t>
      </w:r>
      <w:r w:rsidR="00E420F0" w:rsidRPr="00AC37DD">
        <w:rPr>
          <w:sz w:val="20"/>
          <w:szCs w:val="20"/>
        </w:rPr>
        <w:t>tumours (N=1</w:t>
      </w:r>
      <w:r w:rsidR="00AE050F" w:rsidRPr="00AC37DD">
        <w:rPr>
          <w:sz w:val="20"/>
          <w:szCs w:val="20"/>
        </w:rPr>
        <w:t>2</w:t>
      </w:r>
      <w:r w:rsidR="00E420F0" w:rsidRPr="00AC37DD">
        <w:rPr>
          <w:sz w:val="20"/>
          <w:szCs w:val="20"/>
        </w:rPr>
        <w:t xml:space="preserve">; </w:t>
      </w:r>
      <w:r w:rsidR="00AE050F" w:rsidRPr="00AC37DD">
        <w:rPr>
          <w:sz w:val="20"/>
          <w:szCs w:val="20"/>
        </w:rPr>
        <w:t>18.5</w:t>
      </w:r>
      <w:r w:rsidR="00E11E64" w:rsidRPr="00AC37DD">
        <w:rPr>
          <w:sz w:val="20"/>
          <w:szCs w:val="20"/>
        </w:rPr>
        <w:t xml:space="preserve">%) </w:t>
      </w:r>
      <w:r w:rsidR="00BB5A4D" w:rsidRPr="00AC37DD">
        <w:rPr>
          <w:sz w:val="20"/>
          <w:szCs w:val="20"/>
        </w:rPr>
        <w:t>(Table 3</w:t>
      </w:r>
      <w:r w:rsidR="00D506DE" w:rsidRPr="00AC37DD">
        <w:rPr>
          <w:sz w:val="20"/>
          <w:szCs w:val="20"/>
        </w:rPr>
        <w:t>)</w:t>
      </w:r>
      <w:r w:rsidR="0080578C" w:rsidRPr="00AC37DD">
        <w:rPr>
          <w:sz w:val="20"/>
          <w:szCs w:val="20"/>
        </w:rPr>
        <w:t>.</w:t>
      </w:r>
      <w:r w:rsidR="005B4635" w:rsidRPr="00AC37DD">
        <w:rPr>
          <w:sz w:val="20"/>
          <w:szCs w:val="20"/>
        </w:rPr>
        <w:t xml:space="preserve"> YAs were</w:t>
      </w:r>
      <w:r w:rsidR="006075B2" w:rsidRPr="00AC37DD">
        <w:rPr>
          <w:sz w:val="20"/>
          <w:szCs w:val="20"/>
        </w:rPr>
        <w:t xml:space="preserve"> an average of 31.7 years old at diagnosis and a mean of </w:t>
      </w:r>
      <w:r w:rsidR="005B4635" w:rsidRPr="00AC37DD">
        <w:rPr>
          <w:sz w:val="20"/>
          <w:szCs w:val="20"/>
        </w:rPr>
        <w:t>1.9 years from diagnosis.</w:t>
      </w:r>
      <w:r w:rsidR="008C6E01" w:rsidRPr="00AC37DD">
        <w:rPr>
          <w:sz w:val="20"/>
          <w:szCs w:val="20"/>
        </w:rPr>
        <w:t xml:space="preserve"> </w:t>
      </w:r>
      <w:r w:rsidR="0080578C" w:rsidRPr="00AC37DD">
        <w:rPr>
          <w:sz w:val="20"/>
          <w:szCs w:val="20"/>
        </w:rPr>
        <w:t xml:space="preserve">The majority </w:t>
      </w:r>
      <w:r w:rsidR="00365B8C" w:rsidRPr="00AC37DD">
        <w:rPr>
          <w:sz w:val="20"/>
          <w:szCs w:val="20"/>
        </w:rPr>
        <w:t>were in follow-up</w:t>
      </w:r>
      <w:r w:rsidR="007E53BF" w:rsidRPr="00AC37DD">
        <w:rPr>
          <w:sz w:val="20"/>
          <w:szCs w:val="20"/>
        </w:rPr>
        <w:t xml:space="preserve"> (N=</w:t>
      </w:r>
      <w:r w:rsidR="00AE050F" w:rsidRPr="00AC37DD">
        <w:rPr>
          <w:sz w:val="20"/>
          <w:szCs w:val="20"/>
        </w:rPr>
        <w:t>37</w:t>
      </w:r>
      <w:r w:rsidR="007E53BF" w:rsidRPr="00AC37DD">
        <w:rPr>
          <w:sz w:val="20"/>
          <w:szCs w:val="20"/>
        </w:rPr>
        <w:t>; 5</w:t>
      </w:r>
      <w:r w:rsidR="00AE050F" w:rsidRPr="00AC37DD">
        <w:rPr>
          <w:sz w:val="20"/>
          <w:szCs w:val="20"/>
        </w:rPr>
        <w:t>6</w:t>
      </w:r>
      <w:r w:rsidR="007E53BF" w:rsidRPr="00AC37DD">
        <w:rPr>
          <w:sz w:val="20"/>
          <w:szCs w:val="20"/>
        </w:rPr>
        <w:t>.</w:t>
      </w:r>
      <w:r w:rsidR="00AE050F" w:rsidRPr="00AC37DD">
        <w:rPr>
          <w:sz w:val="20"/>
          <w:szCs w:val="20"/>
        </w:rPr>
        <w:t>9</w:t>
      </w:r>
      <w:r w:rsidR="00D506DE" w:rsidRPr="00AC37DD">
        <w:rPr>
          <w:sz w:val="20"/>
          <w:szCs w:val="20"/>
        </w:rPr>
        <w:t>%)</w:t>
      </w:r>
      <w:r w:rsidR="00BC400B" w:rsidRPr="00AC37DD">
        <w:rPr>
          <w:sz w:val="20"/>
          <w:szCs w:val="20"/>
        </w:rPr>
        <w:t xml:space="preserve">, </w:t>
      </w:r>
      <w:r w:rsidR="007E53BF" w:rsidRPr="00AC37DD">
        <w:rPr>
          <w:sz w:val="20"/>
          <w:szCs w:val="20"/>
        </w:rPr>
        <w:t>treated with curative intent (N=4</w:t>
      </w:r>
      <w:r w:rsidR="00AE050F" w:rsidRPr="00AC37DD">
        <w:rPr>
          <w:sz w:val="20"/>
          <w:szCs w:val="20"/>
        </w:rPr>
        <w:t>0</w:t>
      </w:r>
      <w:r w:rsidR="007E53BF" w:rsidRPr="00AC37DD">
        <w:rPr>
          <w:sz w:val="20"/>
          <w:szCs w:val="20"/>
        </w:rPr>
        <w:t>; 6</w:t>
      </w:r>
      <w:r w:rsidR="00AE050F" w:rsidRPr="00AC37DD">
        <w:rPr>
          <w:sz w:val="20"/>
          <w:szCs w:val="20"/>
        </w:rPr>
        <w:t>6.7</w:t>
      </w:r>
      <w:r w:rsidR="007E53BF" w:rsidRPr="00AC37DD">
        <w:rPr>
          <w:sz w:val="20"/>
          <w:szCs w:val="20"/>
        </w:rPr>
        <w:t>%)</w:t>
      </w:r>
      <w:r w:rsidR="00BC400B" w:rsidRPr="00AC37DD">
        <w:rPr>
          <w:sz w:val="20"/>
          <w:szCs w:val="20"/>
        </w:rPr>
        <w:t xml:space="preserve"> and had received chemotherapy (N=46; 71.9%) </w:t>
      </w:r>
      <w:r w:rsidR="0045436B" w:rsidRPr="00AC37DD">
        <w:rPr>
          <w:sz w:val="20"/>
          <w:szCs w:val="20"/>
        </w:rPr>
        <w:t>or</w:t>
      </w:r>
      <w:r w:rsidR="00BC400B" w:rsidRPr="00AC37DD">
        <w:rPr>
          <w:sz w:val="20"/>
          <w:szCs w:val="20"/>
        </w:rPr>
        <w:t xml:space="preserve"> surgery (N=38; 59.4%)</w:t>
      </w:r>
      <w:r w:rsidR="008C6E01" w:rsidRPr="00AC37DD">
        <w:rPr>
          <w:sz w:val="20"/>
          <w:szCs w:val="20"/>
        </w:rPr>
        <w:t xml:space="preserve">. </w:t>
      </w:r>
    </w:p>
    <w:p w14:paraId="41441278" w14:textId="47C928C9" w:rsidR="00252821" w:rsidRPr="00AC37DD" w:rsidRDefault="00CD313B" w:rsidP="003B7457">
      <w:pPr>
        <w:spacing w:line="480" w:lineRule="auto"/>
        <w:jc w:val="both"/>
        <w:rPr>
          <w:sz w:val="20"/>
          <w:szCs w:val="20"/>
        </w:rPr>
      </w:pPr>
      <w:r w:rsidRPr="00AC37DD">
        <w:rPr>
          <w:sz w:val="20"/>
          <w:szCs w:val="20"/>
        </w:rPr>
        <w:t xml:space="preserve">We identified </w:t>
      </w:r>
      <w:r w:rsidR="00097402" w:rsidRPr="00AC37DD">
        <w:rPr>
          <w:sz w:val="20"/>
          <w:szCs w:val="20"/>
        </w:rPr>
        <w:t>four</w:t>
      </w:r>
      <w:r w:rsidR="00E6671D" w:rsidRPr="00AC37DD">
        <w:rPr>
          <w:sz w:val="20"/>
          <w:szCs w:val="20"/>
        </w:rPr>
        <w:t xml:space="preserve"> main </w:t>
      </w:r>
      <w:r w:rsidRPr="00AC37DD">
        <w:rPr>
          <w:sz w:val="20"/>
          <w:szCs w:val="20"/>
        </w:rPr>
        <w:t>themes.</w:t>
      </w:r>
      <w:r w:rsidR="002B1CC8" w:rsidRPr="00AC37DD">
        <w:rPr>
          <w:sz w:val="20"/>
          <w:szCs w:val="20"/>
        </w:rPr>
        <w:t xml:space="preserve"> </w:t>
      </w:r>
      <w:r w:rsidR="00BC400B" w:rsidRPr="00AC37DD">
        <w:rPr>
          <w:sz w:val="20"/>
          <w:szCs w:val="20"/>
        </w:rPr>
        <w:t>The themes and subthemes along with codes and exemplary excerpts are presented in Table 4.</w:t>
      </w:r>
      <w:r w:rsidRPr="00AC37DD">
        <w:rPr>
          <w:sz w:val="20"/>
          <w:szCs w:val="20"/>
        </w:rPr>
        <w:t xml:space="preserve"> </w:t>
      </w:r>
      <w:r w:rsidR="0092646E" w:rsidRPr="00AC37DD">
        <w:rPr>
          <w:sz w:val="20"/>
          <w:szCs w:val="20"/>
        </w:rPr>
        <w:t>Numbers in parentheses denote the in-text reference for the excerpt in the table.</w:t>
      </w:r>
    </w:p>
    <w:p w14:paraId="5CFD1188" w14:textId="0D5F45BC" w:rsidR="009F4ADE" w:rsidRPr="00AC37DD" w:rsidRDefault="009F4ADE" w:rsidP="003B7457">
      <w:pPr>
        <w:spacing w:before="600" w:line="480" w:lineRule="auto"/>
        <w:jc w:val="both"/>
        <w:rPr>
          <w:b/>
          <w:sz w:val="20"/>
          <w:szCs w:val="20"/>
        </w:rPr>
      </w:pPr>
      <w:r w:rsidRPr="00AC37DD">
        <w:rPr>
          <w:b/>
          <w:sz w:val="20"/>
          <w:szCs w:val="20"/>
        </w:rPr>
        <w:t>Theme</w:t>
      </w:r>
      <w:r w:rsidR="008C6E01" w:rsidRPr="00AC37DD">
        <w:rPr>
          <w:b/>
          <w:sz w:val="20"/>
          <w:szCs w:val="20"/>
        </w:rPr>
        <w:t xml:space="preserve"> 1:</w:t>
      </w:r>
      <w:r w:rsidRPr="00AC37DD">
        <w:rPr>
          <w:b/>
          <w:sz w:val="20"/>
          <w:szCs w:val="20"/>
        </w:rPr>
        <w:t xml:space="preserve"> </w:t>
      </w:r>
      <w:r w:rsidR="00E6671D" w:rsidRPr="00AC37DD">
        <w:rPr>
          <w:b/>
          <w:sz w:val="20"/>
          <w:szCs w:val="20"/>
        </w:rPr>
        <w:t>Competing responsibilities</w:t>
      </w:r>
    </w:p>
    <w:p w14:paraId="73967DF9" w14:textId="3D570CF5" w:rsidR="009F4ADE" w:rsidRPr="00AC37DD" w:rsidRDefault="009F4ADE" w:rsidP="00DB09DF">
      <w:pPr>
        <w:spacing w:before="240" w:after="120" w:line="480" w:lineRule="auto"/>
        <w:jc w:val="both"/>
        <w:rPr>
          <w:b/>
          <w:i/>
          <w:sz w:val="20"/>
          <w:szCs w:val="20"/>
        </w:rPr>
      </w:pPr>
      <w:r w:rsidRPr="00AC37DD">
        <w:rPr>
          <w:b/>
          <w:i/>
          <w:sz w:val="20"/>
          <w:szCs w:val="20"/>
        </w:rPr>
        <w:t xml:space="preserve">Subtheme 1: </w:t>
      </w:r>
      <w:r w:rsidR="00E6671D" w:rsidRPr="00AC37DD">
        <w:rPr>
          <w:b/>
          <w:i/>
          <w:sz w:val="20"/>
          <w:szCs w:val="20"/>
        </w:rPr>
        <w:t>Balancing treatment and work or childcare</w:t>
      </w:r>
    </w:p>
    <w:p w14:paraId="65360329" w14:textId="30006867" w:rsidR="004364BD" w:rsidRPr="00AC37DD" w:rsidRDefault="007224A1" w:rsidP="003B7457">
      <w:pPr>
        <w:spacing w:line="480" w:lineRule="auto"/>
        <w:jc w:val="both"/>
        <w:rPr>
          <w:sz w:val="20"/>
          <w:szCs w:val="20"/>
        </w:rPr>
      </w:pPr>
      <w:r w:rsidRPr="00AC37DD">
        <w:rPr>
          <w:sz w:val="20"/>
          <w:szCs w:val="20"/>
        </w:rPr>
        <w:t>YAs</w:t>
      </w:r>
      <w:r w:rsidR="00144197" w:rsidRPr="00AC37DD">
        <w:rPr>
          <w:sz w:val="20"/>
          <w:szCs w:val="20"/>
        </w:rPr>
        <w:t xml:space="preserve"> encountered difficulty balancing responsibilities while undergoing treatment </w:t>
      </w:r>
      <w:r w:rsidR="00E672A6" w:rsidRPr="00AC37DD">
        <w:rPr>
          <w:sz w:val="20"/>
          <w:szCs w:val="20"/>
        </w:rPr>
        <w:t>or</w:t>
      </w:r>
      <w:r w:rsidR="00144197" w:rsidRPr="00AC37DD">
        <w:rPr>
          <w:sz w:val="20"/>
          <w:szCs w:val="20"/>
        </w:rPr>
        <w:t xml:space="preserve"> in recovery</w:t>
      </w:r>
      <w:r w:rsidR="00E672A6" w:rsidRPr="00AC37DD">
        <w:rPr>
          <w:sz w:val="20"/>
          <w:szCs w:val="20"/>
        </w:rPr>
        <w:t xml:space="preserve"> due to hospital appointments and immobilising side-effects</w:t>
      </w:r>
      <w:r w:rsidR="00144197" w:rsidRPr="00AC37DD">
        <w:rPr>
          <w:sz w:val="20"/>
          <w:szCs w:val="20"/>
        </w:rPr>
        <w:t>.</w:t>
      </w:r>
      <w:r w:rsidRPr="00AC37DD">
        <w:rPr>
          <w:sz w:val="20"/>
          <w:szCs w:val="20"/>
        </w:rPr>
        <w:t xml:space="preserve"> </w:t>
      </w:r>
      <w:r w:rsidR="00E672A6" w:rsidRPr="00AC37DD">
        <w:rPr>
          <w:sz w:val="20"/>
          <w:szCs w:val="20"/>
        </w:rPr>
        <w:t>Some</w:t>
      </w:r>
      <w:r w:rsidRPr="00AC37DD">
        <w:rPr>
          <w:sz w:val="20"/>
          <w:szCs w:val="20"/>
        </w:rPr>
        <w:t xml:space="preserve"> participants could not or did not want to stop working for extended periods of time. </w:t>
      </w:r>
      <w:r w:rsidR="00AE4C60" w:rsidRPr="00AC37DD">
        <w:rPr>
          <w:sz w:val="20"/>
          <w:szCs w:val="20"/>
        </w:rPr>
        <w:t xml:space="preserve">Patients felt </w:t>
      </w:r>
      <w:r w:rsidR="00B041AE" w:rsidRPr="00AC37DD">
        <w:rPr>
          <w:sz w:val="20"/>
          <w:szCs w:val="20"/>
        </w:rPr>
        <w:t>the challenge of</w:t>
      </w:r>
      <w:r w:rsidR="00AE4C60" w:rsidRPr="00AC37DD">
        <w:rPr>
          <w:sz w:val="20"/>
          <w:szCs w:val="20"/>
        </w:rPr>
        <w:t xml:space="preserve"> navigating treatment</w:t>
      </w:r>
      <w:r w:rsidR="00ED3338" w:rsidRPr="00AC37DD">
        <w:rPr>
          <w:sz w:val="20"/>
          <w:szCs w:val="20"/>
        </w:rPr>
        <w:t>s</w:t>
      </w:r>
      <w:r w:rsidR="00AE4C60" w:rsidRPr="00AC37DD">
        <w:rPr>
          <w:sz w:val="20"/>
          <w:szCs w:val="20"/>
        </w:rPr>
        <w:t xml:space="preserve"> and appointments while work</w:t>
      </w:r>
      <w:r w:rsidR="00BC26C3" w:rsidRPr="00AC37DD">
        <w:rPr>
          <w:sz w:val="20"/>
          <w:szCs w:val="20"/>
        </w:rPr>
        <w:t xml:space="preserve"> commitments were </w:t>
      </w:r>
      <w:r w:rsidR="00AE4C60" w:rsidRPr="00AC37DD">
        <w:rPr>
          <w:sz w:val="20"/>
          <w:szCs w:val="20"/>
        </w:rPr>
        <w:t>not always appreciated by the healthcare team</w:t>
      </w:r>
      <w:r w:rsidR="00ED3338" w:rsidRPr="00AC37DD">
        <w:rPr>
          <w:sz w:val="20"/>
          <w:szCs w:val="20"/>
        </w:rPr>
        <w:t xml:space="preserve"> (1.1.1)</w:t>
      </w:r>
      <w:r w:rsidR="00AE4C60" w:rsidRPr="00AC37DD">
        <w:rPr>
          <w:sz w:val="20"/>
          <w:szCs w:val="20"/>
        </w:rPr>
        <w:t>.</w:t>
      </w:r>
      <w:r w:rsidR="00144197" w:rsidRPr="00AC37DD">
        <w:rPr>
          <w:sz w:val="20"/>
          <w:szCs w:val="20"/>
        </w:rPr>
        <w:t xml:space="preserve"> </w:t>
      </w:r>
      <w:r w:rsidRPr="00AC37DD">
        <w:rPr>
          <w:sz w:val="20"/>
          <w:szCs w:val="20"/>
        </w:rPr>
        <w:t xml:space="preserve">Particularly for single parents, the unpredictability of </w:t>
      </w:r>
      <w:r w:rsidR="00AE4C60" w:rsidRPr="00AC37DD">
        <w:rPr>
          <w:sz w:val="20"/>
          <w:szCs w:val="20"/>
        </w:rPr>
        <w:t>wait times and hospital admissions</w:t>
      </w:r>
      <w:r w:rsidRPr="00AC37DD">
        <w:rPr>
          <w:sz w:val="20"/>
          <w:szCs w:val="20"/>
        </w:rPr>
        <w:t xml:space="preserve"> made childcare challenging. </w:t>
      </w:r>
      <w:r w:rsidR="00AE4C60" w:rsidRPr="00AC37DD">
        <w:rPr>
          <w:sz w:val="20"/>
          <w:szCs w:val="20"/>
        </w:rPr>
        <w:t>Some p</w:t>
      </w:r>
      <w:r w:rsidRPr="00AC37DD">
        <w:rPr>
          <w:sz w:val="20"/>
          <w:szCs w:val="20"/>
        </w:rPr>
        <w:t xml:space="preserve">atients felt </w:t>
      </w:r>
      <w:r w:rsidR="00AE4C60" w:rsidRPr="00AC37DD">
        <w:rPr>
          <w:sz w:val="20"/>
          <w:szCs w:val="20"/>
        </w:rPr>
        <w:t xml:space="preserve">there was little support around caring for children while </w:t>
      </w:r>
      <w:r w:rsidR="00BC26C3" w:rsidRPr="00AC37DD">
        <w:rPr>
          <w:sz w:val="20"/>
          <w:szCs w:val="20"/>
        </w:rPr>
        <w:t>o</w:t>
      </w:r>
      <w:r w:rsidR="00AE4C60" w:rsidRPr="00AC37DD">
        <w:rPr>
          <w:sz w:val="20"/>
          <w:szCs w:val="20"/>
        </w:rPr>
        <w:t>n treatment</w:t>
      </w:r>
      <w:r w:rsidR="00ED3338" w:rsidRPr="00AC37DD">
        <w:rPr>
          <w:sz w:val="20"/>
          <w:szCs w:val="20"/>
        </w:rPr>
        <w:t xml:space="preserve"> (1.1.2)</w:t>
      </w:r>
      <w:r w:rsidRPr="00AC37DD">
        <w:rPr>
          <w:sz w:val="20"/>
          <w:szCs w:val="20"/>
        </w:rPr>
        <w:t xml:space="preserve">. </w:t>
      </w:r>
    </w:p>
    <w:p w14:paraId="1EDBAA08" w14:textId="5B963BFE" w:rsidR="00E6671D" w:rsidRPr="00AC37DD" w:rsidRDefault="00BC7590" w:rsidP="00DB09DF">
      <w:pPr>
        <w:spacing w:before="240" w:after="120" w:line="480" w:lineRule="auto"/>
        <w:jc w:val="both"/>
        <w:rPr>
          <w:b/>
          <w:i/>
          <w:sz w:val="20"/>
          <w:szCs w:val="20"/>
        </w:rPr>
      </w:pPr>
      <w:r w:rsidRPr="00AC37DD">
        <w:rPr>
          <w:b/>
          <w:i/>
          <w:sz w:val="20"/>
          <w:szCs w:val="20"/>
        </w:rPr>
        <w:t xml:space="preserve">Subtheme 2: Financial </w:t>
      </w:r>
      <w:r w:rsidR="00A05069" w:rsidRPr="00AC37DD">
        <w:rPr>
          <w:b/>
          <w:i/>
          <w:sz w:val="20"/>
          <w:szCs w:val="20"/>
        </w:rPr>
        <w:t>insecurity</w:t>
      </w:r>
    </w:p>
    <w:p w14:paraId="67F8CBF3" w14:textId="02AFD553" w:rsidR="00144197" w:rsidRPr="00AC37DD" w:rsidRDefault="000903C0" w:rsidP="003B7457">
      <w:pPr>
        <w:spacing w:line="480" w:lineRule="auto"/>
        <w:jc w:val="both"/>
        <w:rPr>
          <w:sz w:val="20"/>
          <w:szCs w:val="20"/>
        </w:rPr>
      </w:pPr>
      <w:r w:rsidRPr="00AC37DD">
        <w:rPr>
          <w:sz w:val="20"/>
          <w:szCs w:val="20"/>
        </w:rPr>
        <w:t>A number of participants experienced financial difficulties after</w:t>
      </w:r>
      <w:r w:rsidR="00C106EF" w:rsidRPr="00AC37DD">
        <w:rPr>
          <w:sz w:val="20"/>
          <w:szCs w:val="20"/>
        </w:rPr>
        <w:t xml:space="preserve"> receiving</w:t>
      </w:r>
      <w:r w:rsidRPr="00AC37DD">
        <w:rPr>
          <w:sz w:val="20"/>
          <w:szCs w:val="20"/>
        </w:rPr>
        <w:t xml:space="preserve"> </w:t>
      </w:r>
      <w:r w:rsidR="00531FA8" w:rsidRPr="00AC37DD">
        <w:rPr>
          <w:sz w:val="20"/>
          <w:szCs w:val="20"/>
        </w:rPr>
        <w:t xml:space="preserve">a </w:t>
      </w:r>
      <w:r w:rsidRPr="00AC37DD">
        <w:rPr>
          <w:sz w:val="20"/>
          <w:szCs w:val="20"/>
        </w:rPr>
        <w:t>cancer diagnosis. This was often due to a loss of income with extended sick leave but also to concurrent events such as moving house or reduced income during maternity leave</w:t>
      </w:r>
      <w:r w:rsidR="00ED3338" w:rsidRPr="00AC37DD">
        <w:rPr>
          <w:sz w:val="20"/>
          <w:szCs w:val="20"/>
        </w:rPr>
        <w:t xml:space="preserve"> (1.2.1)</w:t>
      </w:r>
      <w:r w:rsidRPr="00AC37DD">
        <w:rPr>
          <w:sz w:val="20"/>
          <w:szCs w:val="20"/>
        </w:rPr>
        <w:t>.</w:t>
      </w:r>
      <w:r w:rsidR="002E7D23" w:rsidRPr="00AC37DD">
        <w:rPr>
          <w:sz w:val="20"/>
          <w:szCs w:val="20"/>
        </w:rPr>
        <w:t xml:space="preserve"> YAs </w:t>
      </w:r>
      <w:r w:rsidR="007D2CA2" w:rsidRPr="00AC37DD">
        <w:rPr>
          <w:sz w:val="20"/>
          <w:szCs w:val="20"/>
        </w:rPr>
        <w:t xml:space="preserve">often </w:t>
      </w:r>
      <w:r w:rsidR="002E7D23" w:rsidRPr="00AC37DD">
        <w:rPr>
          <w:sz w:val="20"/>
          <w:szCs w:val="20"/>
        </w:rPr>
        <w:t xml:space="preserve">relied on parents for childcare and in some cases </w:t>
      </w:r>
      <w:r w:rsidR="00531FA8" w:rsidRPr="00AC37DD">
        <w:rPr>
          <w:sz w:val="20"/>
          <w:szCs w:val="20"/>
        </w:rPr>
        <w:t>received financial support or moved back in</w:t>
      </w:r>
      <w:r w:rsidR="002E7D23" w:rsidRPr="00AC37DD">
        <w:rPr>
          <w:sz w:val="20"/>
          <w:szCs w:val="20"/>
        </w:rPr>
        <w:t xml:space="preserve">, </w:t>
      </w:r>
      <w:r w:rsidR="00C106EF" w:rsidRPr="00AC37DD">
        <w:rPr>
          <w:sz w:val="20"/>
          <w:szCs w:val="20"/>
        </w:rPr>
        <w:t>which was perceived as a relief</w:t>
      </w:r>
      <w:r w:rsidR="002E7D23" w:rsidRPr="00AC37DD">
        <w:rPr>
          <w:sz w:val="20"/>
          <w:szCs w:val="20"/>
        </w:rPr>
        <w:t>. S</w:t>
      </w:r>
      <w:r w:rsidR="00ED3338" w:rsidRPr="00AC37DD">
        <w:rPr>
          <w:sz w:val="20"/>
          <w:szCs w:val="20"/>
        </w:rPr>
        <w:t xml:space="preserve">ome </w:t>
      </w:r>
      <w:r w:rsidRPr="00AC37DD">
        <w:rPr>
          <w:sz w:val="20"/>
          <w:szCs w:val="20"/>
        </w:rPr>
        <w:t>YA</w:t>
      </w:r>
      <w:r w:rsidR="00144197" w:rsidRPr="00AC37DD">
        <w:rPr>
          <w:sz w:val="20"/>
          <w:szCs w:val="20"/>
        </w:rPr>
        <w:t xml:space="preserve">s </w:t>
      </w:r>
      <w:r w:rsidR="002E7D23" w:rsidRPr="00AC37DD">
        <w:rPr>
          <w:sz w:val="20"/>
          <w:szCs w:val="20"/>
        </w:rPr>
        <w:t xml:space="preserve">worryingly </w:t>
      </w:r>
      <w:r w:rsidR="00144197" w:rsidRPr="00AC37DD">
        <w:rPr>
          <w:sz w:val="20"/>
          <w:szCs w:val="20"/>
        </w:rPr>
        <w:t xml:space="preserve">described </w:t>
      </w:r>
      <w:r w:rsidR="00144197" w:rsidRPr="00AC37DD">
        <w:rPr>
          <w:sz w:val="20"/>
          <w:szCs w:val="20"/>
        </w:rPr>
        <w:lastRenderedPageBreak/>
        <w:t>financial difficult</w:t>
      </w:r>
      <w:r w:rsidR="00531FA8" w:rsidRPr="00AC37DD">
        <w:rPr>
          <w:sz w:val="20"/>
          <w:szCs w:val="20"/>
        </w:rPr>
        <w:t>y</w:t>
      </w:r>
      <w:r w:rsidR="00144197" w:rsidRPr="00AC37DD">
        <w:rPr>
          <w:sz w:val="20"/>
          <w:szCs w:val="20"/>
        </w:rPr>
        <w:t xml:space="preserve"> as a major factor in returning to work before full recovery</w:t>
      </w:r>
      <w:r w:rsidR="00A05069" w:rsidRPr="00AC37DD">
        <w:rPr>
          <w:sz w:val="20"/>
          <w:szCs w:val="20"/>
        </w:rPr>
        <w:t xml:space="preserve">, </w:t>
      </w:r>
      <w:r w:rsidRPr="00AC37DD">
        <w:rPr>
          <w:sz w:val="20"/>
          <w:szCs w:val="20"/>
        </w:rPr>
        <w:t>leading to mental health challenges</w:t>
      </w:r>
      <w:r w:rsidR="00A05069" w:rsidRPr="00AC37DD">
        <w:rPr>
          <w:sz w:val="20"/>
          <w:szCs w:val="20"/>
        </w:rPr>
        <w:t xml:space="preserve"> </w:t>
      </w:r>
      <w:r w:rsidR="00ED3338" w:rsidRPr="00AC37DD">
        <w:rPr>
          <w:sz w:val="20"/>
          <w:szCs w:val="20"/>
        </w:rPr>
        <w:t>(1.2.2)</w:t>
      </w:r>
      <w:r w:rsidRPr="00AC37DD">
        <w:rPr>
          <w:sz w:val="20"/>
          <w:szCs w:val="20"/>
        </w:rPr>
        <w:t xml:space="preserve">. </w:t>
      </w:r>
    </w:p>
    <w:p w14:paraId="6C16A8FB" w14:textId="4A39612C" w:rsidR="00E6671D" w:rsidRPr="00AC37DD" w:rsidRDefault="0086004F" w:rsidP="003B7457">
      <w:pPr>
        <w:spacing w:before="480" w:line="480" w:lineRule="auto"/>
        <w:jc w:val="both"/>
        <w:rPr>
          <w:b/>
          <w:sz w:val="20"/>
          <w:szCs w:val="20"/>
        </w:rPr>
      </w:pPr>
      <w:r w:rsidRPr="00AC37DD">
        <w:rPr>
          <w:b/>
          <w:sz w:val="20"/>
          <w:szCs w:val="20"/>
        </w:rPr>
        <w:t xml:space="preserve">Theme 2: </w:t>
      </w:r>
      <w:r w:rsidR="00E46769" w:rsidRPr="00AC37DD">
        <w:rPr>
          <w:b/>
          <w:sz w:val="20"/>
          <w:szCs w:val="20"/>
        </w:rPr>
        <w:t>Retaining n</w:t>
      </w:r>
      <w:r w:rsidR="00E6671D" w:rsidRPr="00AC37DD">
        <w:rPr>
          <w:b/>
          <w:sz w:val="20"/>
          <w:szCs w:val="20"/>
        </w:rPr>
        <w:t xml:space="preserve">ormality and </w:t>
      </w:r>
      <w:r w:rsidR="00F300B9" w:rsidRPr="00AC37DD">
        <w:rPr>
          <w:b/>
          <w:sz w:val="20"/>
          <w:szCs w:val="20"/>
        </w:rPr>
        <w:t xml:space="preserve">identity as a </w:t>
      </w:r>
      <w:r w:rsidRPr="00AC37DD">
        <w:rPr>
          <w:b/>
          <w:sz w:val="20"/>
          <w:szCs w:val="20"/>
        </w:rPr>
        <w:t xml:space="preserve">YA </w:t>
      </w:r>
    </w:p>
    <w:p w14:paraId="757AF170" w14:textId="0773F8DC" w:rsidR="00BC7590" w:rsidRPr="00AC37DD" w:rsidRDefault="002863A1" w:rsidP="00DB09DF">
      <w:pPr>
        <w:spacing w:before="240" w:after="120" w:line="480" w:lineRule="auto"/>
        <w:jc w:val="both"/>
        <w:rPr>
          <w:b/>
          <w:i/>
          <w:sz w:val="20"/>
          <w:szCs w:val="20"/>
        </w:rPr>
      </w:pPr>
      <w:r w:rsidRPr="00AC37DD">
        <w:rPr>
          <w:b/>
          <w:i/>
          <w:sz w:val="20"/>
          <w:szCs w:val="20"/>
        </w:rPr>
        <w:t>Subtheme 1</w:t>
      </w:r>
      <w:r w:rsidR="00BB5A4D" w:rsidRPr="00AC37DD">
        <w:rPr>
          <w:b/>
          <w:i/>
          <w:sz w:val="20"/>
          <w:szCs w:val="20"/>
        </w:rPr>
        <w:t>: Avoid</w:t>
      </w:r>
      <w:r w:rsidR="00BC7590" w:rsidRPr="00AC37DD">
        <w:rPr>
          <w:b/>
          <w:i/>
          <w:sz w:val="20"/>
          <w:szCs w:val="20"/>
        </w:rPr>
        <w:t xml:space="preserve"> </w:t>
      </w:r>
      <w:r w:rsidR="00135833" w:rsidRPr="00AC37DD">
        <w:rPr>
          <w:b/>
          <w:i/>
          <w:sz w:val="20"/>
          <w:szCs w:val="20"/>
        </w:rPr>
        <w:t>cancer</w:t>
      </w:r>
      <w:r w:rsidR="00BC7590" w:rsidRPr="00AC37DD">
        <w:rPr>
          <w:b/>
          <w:i/>
          <w:sz w:val="20"/>
          <w:szCs w:val="20"/>
        </w:rPr>
        <w:t xml:space="preserve"> </w:t>
      </w:r>
      <w:r w:rsidR="00ED3338" w:rsidRPr="00AC37DD">
        <w:rPr>
          <w:b/>
          <w:i/>
          <w:sz w:val="20"/>
          <w:szCs w:val="20"/>
        </w:rPr>
        <w:t>identity</w:t>
      </w:r>
    </w:p>
    <w:p w14:paraId="4E47DCD6" w14:textId="52DEDC3D" w:rsidR="00144197" w:rsidRPr="00AC37DD" w:rsidRDefault="00F300B9" w:rsidP="003B7457">
      <w:pPr>
        <w:spacing w:line="480" w:lineRule="auto"/>
        <w:jc w:val="both"/>
        <w:rPr>
          <w:sz w:val="20"/>
          <w:szCs w:val="20"/>
        </w:rPr>
      </w:pPr>
      <w:r w:rsidRPr="00AC37DD">
        <w:rPr>
          <w:sz w:val="20"/>
          <w:szCs w:val="20"/>
        </w:rPr>
        <w:t>YAs wanted to ‘get on with it’ and avoid cancer becoming the focus of daily life. For YAs this often meant continuing to work</w:t>
      </w:r>
      <w:r w:rsidR="00531FA8" w:rsidRPr="00AC37DD">
        <w:rPr>
          <w:sz w:val="20"/>
          <w:szCs w:val="20"/>
        </w:rPr>
        <w:t xml:space="preserve"> or</w:t>
      </w:r>
      <w:r w:rsidRPr="00AC37DD">
        <w:rPr>
          <w:sz w:val="20"/>
          <w:szCs w:val="20"/>
        </w:rPr>
        <w:t xml:space="preserve"> spending time with friends and family</w:t>
      </w:r>
      <w:r w:rsidR="00531FA8" w:rsidRPr="00AC37DD">
        <w:rPr>
          <w:sz w:val="20"/>
          <w:szCs w:val="20"/>
        </w:rPr>
        <w:t xml:space="preserve">, often </w:t>
      </w:r>
      <w:r w:rsidRPr="00AC37DD">
        <w:rPr>
          <w:sz w:val="20"/>
          <w:szCs w:val="20"/>
        </w:rPr>
        <w:t>avoiding cancer-related activities as much as possible</w:t>
      </w:r>
      <w:r w:rsidR="00BB5A4D" w:rsidRPr="00AC37DD">
        <w:rPr>
          <w:sz w:val="20"/>
          <w:szCs w:val="20"/>
        </w:rPr>
        <w:t xml:space="preserve"> (2</w:t>
      </w:r>
      <w:r w:rsidR="00417060" w:rsidRPr="00AC37DD">
        <w:rPr>
          <w:sz w:val="20"/>
          <w:szCs w:val="20"/>
        </w:rPr>
        <w:t>.1</w:t>
      </w:r>
      <w:r w:rsidR="00BB5A4D" w:rsidRPr="00AC37DD">
        <w:rPr>
          <w:sz w:val="20"/>
          <w:szCs w:val="20"/>
        </w:rPr>
        <w:t>.</w:t>
      </w:r>
      <w:r w:rsidR="00067C79" w:rsidRPr="00AC37DD">
        <w:rPr>
          <w:sz w:val="20"/>
          <w:szCs w:val="20"/>
        </w:rPr>
        <w:t>1)</w:t>
      </w:r>
      <w:r w:rsidRPr="00AC37DD">
        <w:rPr>
          <w:sz w:val="20"/>
          <w:szCs w:val="20"/>
        </w:rPr>
        <w:t xml:space="preserve">. </w:t>
      </w:r>
      <w:r w:rsidR="00ED3338" w:rsidRPr="00AC37DD">
        <w:rPr>
          <w:sz w:val="20"/>
          <w:szCs w:val="20"/>
        </w:rPr>
        <w:t>Changes in physic</w:t>
      </w:r>
      <w:r w:rsidR="00383817" w:rsidRPr="00AC37DD">
        <w:rPr>
          <w:sz w:val="20"/>
          <w:szCs w:val="20"/>
        </w:rPr>
        <w:t>al appearance such as hair loss or</w:t>
      </w:r>
      <w:r w:rsidR="00ED3338" w:rsidRPr="00AC37DD">
        <w:rPr>
          <w:sz w:val="20"/>
          <w:szCs w:val="20"/>
        </w:rPr>
        <w:t xml:space="preserve"> weight gain were often distressing as they belied their illness and attracted attention, particularly </w:t>
      </w:r>
      <w:r w:rsidR="00383817" w:rsidRPr="00AC37DD">
        <w:rPr>
          <w:sz w:val="20"/>
          <w:szCs w:val="20"/>
        </w:rPr>
        <w:t xml:space="preserve">as YAs </w:t>
      </w:r>
      <w:r w:rsidR="00ED3338" w:rsidRPr="00AC37DD">
        <w:rPr>
          <w:sz w:val="20"/>
          <w:szCs w:val="20"/>
        </w:rPr>
        <w:t>compare</w:t>
      </w:r>
      <w:r w:rsidR="00531FA8" w:rsidRPr="00AC37DD">
        <w:rPr>
          <w:sz w:val="20"/>
          <w:szCs w:val="20"/>
        </w:rPr>
        <w:t>d</w:t>
      </w:r>
      <w:r w:rsidR="00ED3338" w:rsidRPr="00AC37DD">
        <w:rPr>
          <w:sz w:val="20"/>
          <w:szCs w:val="20"/>
        </w:rPr>
        <w:t xml:space="preserve"> themselves to healthy peers</w:t>
      </w:r>
      <w:r w:rsidR="00417060" w:rsidRPr="00AC37DD">
        <w:rPr>
          <w:sz w:val="20"/>
          <w:szCs w:val="20"/>
        </w:rPr>
        <w:t xml:space="preserve"> (2.1</w:t>
      </w:r>
      <w:r w:rsidR="00067C79" w:rsidRPr="00AC37DD">
        <w:rPr>
          <w:sz w:val="20"/>
          <w:szCs w:val="20"/>
        </w:rPr>
        <w:t>.2)</w:t>
      </w:r>
      <w:r w:rsidR="00ED3338" w:rsidRPr="00AC37DD">
        <w:rPr>
          <w:sz w:val="20"/>
          <w:szCs w:val="20"/>
        </w:rPr>
        <w:t xml:space="preserve">. </w:t>
      </w:r>
      <w:r w:rsidR="00A05069" w:rsidRPr="00AC37DD">
        <w:rPr>
          <w:sz w:val="20"/>
          <w:szCs w:val="20"/>
        </w:rPr>
        <w:t>Hair had particular cultural importance for some YAs</w:t>
      </w:r>
      <w:r w:rsidR="00E762E2" w:rsidRPr="00AC37DD">
        <w:rPr>
          <w:sz w:val="20"/>
          <w:szCs w:val="20"/>
        </w:rPr>
        <w:t xml:space="preserve"> from minority backgrounds </w:t>
      </w:r>
      <w:r w:rsidR="00A05069" w:rsidRPr="00AC37DD">
        <w:rPr>
          <w:sz w:val="20"/>
          <w:szCs w:val="20"/>
        </w:rPr>
        <w:t xml:space="preserve">who </w:t>
      </w:r>
      <w:r w:rsidR="00E762E2" w:rsidRPr="00AC37DD">
        <w:rPr>
          <w:sz w:val="20"/>
          <w:szCs w:val="20"/>
        </w:rPr>
        <w:t xml:space="preserve">faced a lack of inclusive </w:t>
      </w:r>
      <w:r w:rsidR="007D2CA2" w:rsidRPr="00AC37DD">
        <w:rPr>
          <w:sz w:val="20"/>
          <w:szCs w:val="20"/>
        </w:rPr>
        <w:t>wig</w:t>
      </w:r>
      <w:r w:rsidR="00E762E2" w:rsidRPr="00AC37DD">
        <w:rPr>
          <w:sz w:val="20"/>
          <w:szCs w:val="20"/>
        </w:rPr>
        <w:t xml:space="preserve"> services</w:t>
      </w:r>
      <w:r w:rsidR="007D2CA2" w:rsidRPr="00AC37DD">
        <w:rPr>
          <w:sz w:val="20"/>
          <w:szCs w:val="20"/>
        </w:rPr>
        <w:t>, where the hair offered was more appropriate for Caucasian women</w:t>
      </w:r>
      <w:r w:rsidR="00E762E2" w:rsidRPr="00AC37DD">
        <w:rPr>
          <w:sz w:val="20"/>
          <w:szCs w:val="20"/>
        </w:rPr>
        <w:t xml:space="preserve">. </w:t>
      </w:r>
      <w:r w:rsidR="00EA73CF" w:rsidRPr="00AC37DD">
        <w:rPr>
          <w:sz w:val="20"/>
          <w:szCs w:val="20"/>
        </w:rPr>
        <w:t xml:space="preserve">Changes in physical ability, including sexual function, lowered confidence and made </w:t>
      </w:r>
      <w:r w:rsidR="0045436B" w:rsidRPr="00AC37DD">
        <w:rPr>
          <w:sz w:val="20"/>
          <w:szCs w:val="20"/>
        </w:rPr>
        <w:t>YAs</w:t>
      </w:r>
      <w:r w:rsidR="00EA73CF" w:rsidRPr="00AC37DD">
        <w:rPr>
          <w:sz w:val="20"/>
          <w:szCs w:val="20"/>
        </w:rPr>
        <w:t xml:space="preserve"> feel ‘less capable’</w:t>
      </w:r>
      <w:r w:rsidR="00E672A6" w:rsidRPr="00AC37DD">
        <w:rPr>
          <w:sz w:val="20"/>
          <w:szCs w:val="20"/>
        </w:rPr>
        <w:t>.</w:t>
      </w:r>
    </w:p>
    <w:p w14:paraId="6021DB7A" w14:textId="4732DDA3" w:rsidR="00BC7590" w:rsidRPr="00AC37DD" w:rsidRDefault="00D2295C" w:rsidP="00DB09DF">
      <w:pPr>
        <w:spacing w:before="240" w:after="120" w:line="480" w:lineRule="auto"/>
        <w:jc w:val="both"/>
        <w:rPr>
          <w:b/>
          <w:i/>
          <w:sz w:val="20"/>
          <w:szCs w:val="20"/>
        </w:rPr>
      </w:pPr>
      <w:r w:rsidRPr="00AC37DD">
        <w:rPr>
          <w:b/>
          <w:i/>
          <w:sz w:val="20"/>
          <w:szCs w:val="20"/>
        </w:rPr>
        <w:t xml:space="preserve">Subtheme </w:t>
      </w:r>
      <w:r w:rsidR="002863A1" w:rsidRPr="00AC37DD">
        <w:rPr>
          <w:b/>
          <w:i/>
          <w:sz w:val="20"/>
          <w:szCs w:val="20"/>
        </w:rPr>
        <w:t>2</w:t>
      </w:r>
      <w:r w:rsidR="00BC7590" w:rsidRPr="00AC37DD">
        <w:rPr>
          <w:b/>
          <w:i/>
          <w:sz w:val="20"/>
          <w:szCs w:val="20"/>
        </w:rPr>
        <w:t xml:space="preserve">: </w:t>
      </w:r>
      <w:r w:rsidR="001F2563" w:rsidRPr="00AC37DD">
        <w:rPr>
          <w:b/>
          <w:i/>
          <w:sz w:val="20"/>
          <w:szCs w:val="20"/>
        </w:rPr>
        <w:t>Work</w:t>
      </w:r>
      <w:r w:rsidR="00531FA8" w:rsidRPr="00AC37DD">
        <w:rPr>
          <w:b/>
          <w:i/>
          <w:sz w:val="20"/>
          <w:szCs w:val="20"/>
        </w:rPr>
        <w:t xml:space="preserve"> life a component </w:t>
      </w:r>
      <w:r w:rsidR="001F2563" w:rsidRPr="00AC37DD">
        <w:rPr>
          <w:b/>
          <w:i/>
          <w:sz w:val="20"/>
          <w:szCs w:val="20"/>
        </w:rPr>
        <w:t>of YA identity</w:t>
      </w:r>
    </w:p>
    <w:p w14:paraId="7150D600" w14:textId="418E2DE8" w:rsidR="00906827" w:rsidRPr="00AC37DD" w:rsidRDefault="00067C79" w:rsidP="003B7457">
      <w:pPr>
        <w:spacing w:line="480" w:lineRule="auto"/>
        <w:jc w:val="both"/>
        <w:rPr>
          <w:sz w:val="20"/>
          <w:szCs w:val="20"/>
        </w:rPr>
      </w:pPr>
      <w:r w:rsidRPr="00AC37DD">
        <w:rPr>
          <w:sz w:val="20"/>
          <w:szCs w:val="20"/>
        </w:rPr>
        <w:t>Work</w:t>
      </w:r>
      <w:r w:rsidR="00531FA8" w:rsidRPr="00AC37DD">
        <w:rPr>
          <w:sz w:val="20"/>
          <w:szCs w:val="20"/>
        </w:rPr>
        <w:t>ing life</w:t>
      </w:r>
      <w:r w:rsidRPr="00AC37DD">
        <w:rPr>
          <w:sz w:val="20"/>
          <w:szCs w:val="20"/>
        </w:rPr>
        <w:t xml:space="preserve"> was a central component to YA</w:t>
      </w:r>
      <w:r w:rsidR="00531FA8" w:rsidRPr="00AC37DD">
        <w:rPr>
          <w:sz w:val="20"/>
          <w:szCs w:val="20"/>
        </w:rPr>
        <w:t>’</w:t>
      </w:r>
      <w:r w:rsidRPr="00AC37DD">
        <w:rPr>
          <w:sz w:val="20"/>
          <w:szCs w:val="20"/>
        </w:rPr>
        <w:t xml:space="preserve">s sense of normality </w:t>
      </w:r>
      <w:r w:rsidR="001F2563" w:rsidRPr="00AC37DD">
        <w:rPr>
          <w:sz w:val="20"/>
          <w:szCs w:val="20"/>
        </w:rPr>
        <w:t xml:space="preserve">in terms of </w:t>
      </w:r>
      <w:r w:rsidR="00E672A6" w:rsidRPr="00AC37DD">
        <w:rPr>
          <w:sz w:val="20"/>
          <w:szCs w:val="20"/>
        </w:rPr>
        <w:t>goals</w:t>
      </w:r>
      <w:r w:rsidR="001F2563" w:rsidRPr="00AC37DD">
        <w:rPr>
          <w:sz w:val="20"/>
          <w:szCs w:val="20"/>
        </w:rPr>
        <w:t xml:space="preserve"> and daily routine</w:t>
      </w:r>
      <w:r w:rsidRPr="00AC37DD">
        <w:rPr>
          <w:sz w:val="20"/>
          <w:szCs w:val="20"/>
        </w:rPr>
        <w:t xml:space="preserve"> (2.</w:t>
      </w:r>
      <w:r w:rsidR="00417060" w:rsidRPr="00AC37DD">
        <w:rPr>
          <w:sz w:val="20"/>
          <w:szCs w:val="20"/>
        </w:rPr>
        <w:t>2</w:t>
      </w:r>
      <w:r w:rsidRPr="00AC37DD">
        <w:rPr>
          <w:sz w:val="20"/>
          <w:szCs w:val="20"/>
        </w:rPr>
        <w:t xml:space="preserve">.1). </w:t>
      </w:r>
      <w:r w:rsidR="004A1780" w:rsidRPr="00AC37DD">
        <w:rPr>
          <w:sz w:val="20"/>
          <w:szCs w:val="20"/>
        </w:rPr>
        <w:t xml:space="preserve">Returning to work was an important part of returning to ‘normal.’ </w:t>
      </w:r>
      <w:r w:rsidRPr="00AC37DD">
        <w:rPr>
          <w:sz w:val="20"/>
          <w:szCs w:val="20"/>
        </w:rPr>
        <w:t>However, m</w:t>
      </w:r>
      <w:r w:rsidR="00144197" w:rsidRPr="00AC37DD">
        <w:rPr>
          <w:sz w:val="20"/>
          <w:szCs w:val="20"/>
        </w:rPr>
        <w:t xml:space="preserve">any </w:t>
      </w:r>
      <w:r w:rsidR="00906827" w:rsidRPr="00AC37DD">
        <w:rPr>
          <w:sz w:val="20"/>
          <w:szCs w:val="20"/>
        </w:rPr>
        <w:t>YAs</w:t>
      </w:r>
      <w:r w:rsidR="00144197" w:rsidRPr="00AC37DD">
        <w:rPr>
          <w:sz w:val="20"/>
          <w:szCs w:val="20"/>
        </w:rPr>
        <w:t xml:space="preserve"> found returning to work difficult or daunting due changes in cognition</w:t>
      </w:r>
      <w:r w:rsidR="001F2563" w:rsidRPr="00AC37DD">
        <w:rPr>
          <w:sz w:val="20"/>
          <w:szCs w:val="20"/>
        </w:rPr>
        <w:t xml:space="preserve">, energy levels, </w:t>
      </w:r>
      <w:r w:rsidRPr="00AC37DD">
        <w:rPr>
          <w:sz w:val="20"/>
          <w:szCs w:val="20"/>
        </w:rPr>
        <w:t>physical ability</w:t>
      </w:r>
      <w:r w:rsidR="001F2563" w:rsidRPr="00AC37DD">
        <w:rPr>
          <w:sz w:val="20"/>
          <w:szCs w:val="20"/>
        </w:rPr>
        <w:t xml:space="preserve"> and time passed</w:t>
      </w:r>
      <w:r w:rsidRPr="00AC37DD">
        <w:rPr>
          <w:sz w:val="20"/>
          <w:szCs w:val="20"/>
        </w:rPr>
        <w:t xml:space="preserve"> (2.</w:t>
      </w:r>
      <w:r w:rsidR="00417060" w:rsidRPr="00AC37DD">
        <w:rPr>
          <w:sz w:val="20"/>
          <w:szCs w:val="20"/>
        </w:rPr>
        <w:t>2</w:t>
      </w:r>
      <w:r w:rsidRPr="00AC37DD">
        <w:rPr>
          <w:sz w:val="20"/>
          <w:szCs w:val="20"/>
        </w:rPr>
        <w:t>.2)</w:t>
      </w:r>
      <w:r w:rsidR="00144197" w:rsidRPr="00AC37DD">
        <w:rPr>
          <w:sz w:val="20"/>
          <w:szCs w:val="20"/>
        </w:rPr>
        <w:t>.</w:t>
      </w:r>
      <w:r w:rsidR="008C4C3A" w:rsidRPr="00AC37DD">
        <w:rPr>
          <w:sz w:val="20"/>
          <w:szCs w:val="20"/>
        </w:rPr>
        <w:t xml:space="preserve"> Many YAs </w:t>
      </w:r>
      <w:r w:rsidR="008D2918" w:rsidRPr="00AC37DD">
        <w:rPr>
          <w:sz w:val="20"/>
          <w:szCs w:val="20"/>
        </w:rPr>
        <w:t>viewed</w:t>
      </w:r>
      <w:r w:rsidR="008C4C3A" w:rsidRPr="00AC37DD">
        <w:rPr>
          <w:sz w:val="20"/>
          <w:szCs w:val="20"/>
        </w:rPr>
        <w:t xml:space="preserve"> their ability at work </w:t>
      </w:r>
      <w:r w:rsidR="00E672A6" w:rsidRPr="00AC37DD">
        <w:rPr>
          <w:sz w:val="20"/>
          <w:szCs w:val="20"/>
        </w:rPr>
        <w:t xml:space="preserve">as </w:t>
      </w:r>
      <w:r w:rsidR="008C4C3A" w:rsidRPr="00AC37DD">
        <w:rPr>
          <w:sz w:val="20"/>
          <w:szCs w:val="20"/>
        </w:rPr>
        <w:t xml:space="preserve">a </w:t>
      </w:r>
      <w:r w:rsidR="008D2918" w:rsidRPr="00AC37DD">
        <w:rPr>
          <w:sz w:val="20"/>
          <w:szCs w:val="20"/>
        </w:rPr>
        <w:t>part</w:t>
      </w:r>
      <w:r w:rsidR="008C4C3A" w:rsidRPr="00AC37DD">
        <w:rPr>
          <w:sz w:val="20"/>
          <w:szCs w:val="20"/>
        </w:rPr>
        <w:t xml:space="preserve"> of their identity and self-worth. </w:t>
      </w:r>
      <w:r w:rsidR="004A1780" w:rsidRPr="00AC37DD">
        <w:rPr>
          <w:sz w:val="20"/>
          <w:szCs w:val="20"/>
        </w:rPr>
        <w:t xml:space="preserve">Some </w:t>
      </w:r>
      <w:r w:rsidR="008D2918" w:rsidRPr="00AC37DD">
        <w:rPr>
          <w:sz w:val="20"/>
          <w:szCs w:val="20"/>
        </w:rPr>
        <w:t>participants</w:t>
      </w:r>
      <w:r w:rsidR="004A1780" w:rsidRPr="00AC37DD">
        <w:rPr>
          <w:sz w:val="20"/>
          <w:szCs w:val="20"/>
        </w:rPr>
        <w:t xml:space="preserve"> were frustrated if they were unable to return to the same level of performance or the same role as before the cancer diagnosis (2.</w:t>
      </w:r>
      <w:r w:rsidR="00417060" w:rsidRPr="00AC37DD">
        <w:rPr>
          <w:sz w:val="20"/>
          <w:szCs w:val="20"/>
        </w:rPr>
        <w:t>2</w:t>
      </w:r>
      <w:r w:rsidR="004A1780" w:rsidRPr="00AC37DD">
        <w:rPr>
          <w:sz w:val="20"/>
          <w:szCs w:val="20"/>
        </w:rPr>
        <w:t xml:space="preserve">.3). </w:t>
      </w:r>
      <w:r w:rsidR="00E96F1E" w:rsidRPr="00AC37DD">
        <w:rPr>
          <w:sz w:val="20"/>
          <w:szCs w:val="20"/>
        </w:rPr>
        <w:t xml:space="preserve">A number of YAs </w:t>
      </w:r>
      <w:r w:rsidR="00B041AE" w:rsidRPr="00AC37DD">
        <w:rPr>
          <w:sz w:val="20"/>
          <w:szCs w:val="20"/>
        </w:rPr>
        <w:t xml:space="preserve">described </w:t>
      </w:r>
      <w:r w:rsidR="008C4C3A" w:rsidRPr="00AC37DD">
        <w:rPr>
          <w:sz w:val="20"/>
          <w:szCs w:val="20"/>
        </w:rPr>
        <w:t>a great amount of pride in</w:t>
      </w:r>
      <w:r w:rsidR="00B041AE" w:rsidRPr="00AC37DD">
        <w:rPr>
          <w:sz w:val="20"/>
          <w:szCs w:val="20"/>
        </w:rPr>
        <w:t xml:space="preserve"> their careers</w:t>
      </w:r>
      <w:r w:rsidR="00E96F1E" w:rsidRPr="00AC37DD">
        <w:rPr>
          <w:sz w:val="20"/>
          <w:szCs w:val="20"/>
        </w:rPr>
        <w:t xml:space="preserve"> and experienced immense feelings of loss if unable to return</w:t>
      </w:r>
      <w:r w:rsidR="00B041AE" w:rsidRPr="00AC37DD">
        <w:rPr>
          <w:sz w:val="20"/>
          <w:szCs w:val="20"/>
        </w:rPr>
        <w:t xml:space="preserve">. </w:t>
      </w:r>
    </w:p>
    <w:p w14:paraId="67D8EBB9" w14:textId="06840150" w:rsidR="00BC7590" w:rsidRPr="00AC37DD" w:rsidRDefault="00BC7590" w:rsidP="00DB09DF">
      <w:pPr>
        <w:spacing w:before="240" w:after="120" w:line="480" w:lineRule="auto"/>
        <w:jc w:val="both"/>
        <w:rPr>
          <w:b/>
          <w:i/>
          <w:sz w:val="20"/>
          <w:szCs w:val="20"/>
        </w:rPr>
      </w:pPr>
      <w:r w:rsidRPr="00AC37DD">
        <w:rPr>
          <w:b/>
          <w:i/>
          <w:sz w:val="20"/>
          <w:szCs w:val="20"/>
        </w:rPr>
        <w:t xml:space="preserve">Subtheme </w:t>
      </w:r>
      <w:r w:rsidR="002863A1" w:rsidRPr="00AC37DD">
        <w:rPr>
          <w:b/>
          <w:i/>
          <w:sz w:val="20"/>
          <w:szCs w:val="20"/>
        </w:rPr>
        <w:t>3</w:t>
      </w:r>
      <w:r w:rsidRPr="00AC37DD">
        <w:rPr>
          <w:b/>
          <w:i/>
          <w:sz w:val="20"/>
          <w:szCs w:val="20"/>
        </w:rPr>
        <w:t xml:space="preserve">: </w:t>
      </w:r>
      <w:r w:rsidR="002E13D3" w:rsidRPr="00AC37DD">
        <w:rPr>
          <w:b/>
          <w:i/>
          <w:sz w:val="20"/>
          <w:szCs w:val="20"/>
        </w:rPr>
        <w:t>Positive c</w:t>
      </w:r>
      <w:r w:rsidR="00501F72" w:rsidRPr="00AC37DD">
        <w:rPr>
          <w:b/>
          <w:i/>
          <w:sz w:val="20"/>
          <w:szCs w:val="20"/>
        </w:rPr>
        <w:t>hange in outlook and priorities</w:t>
      </w:r>
    </w:p>
    <w:p w14:paraId="11779107" w14:textId="3D8D97D3" w:rsidR="00910F07" w:rsidRPr="00AC37DD" w:rsidRDefault="0045436B" w:rsidP="003B7457">
      <w:pPr>
        <w:spacing w:line="480" w:lineRule="auto"/>
        <w:jc w:val="both"/>
        <w:rPr>
          <w:sz w:val="20"/>
          <w:szCs w:val="20"/>
        </w:rPr>
      </w:pPr>
      <w:r w:rsidRPr="00AC37DD">
        <w:rPr>
          <w:sz w:val="20"/>
          <w:szCs w:val="20"/>
        </w:rPr>
        <w:t>Despite the adversities described, a</w:t>
      </w:r>
      <w:r w:rsidR="00910F07" w:rsidRPr="00AC37DD">
        <w:rPr>
          <w:sz w:val="20"/>
          <w:szCs w:val="20"/>
        </w:rPr>
        <w:t xml:space="preserve"> number of </w:t>
      </w:r>
      <w:r w:rsidR="006C1102" w:rsidRPr="00AC37DD">
        <w:rPr>
          <w:sz w:val="20"/>
          <w:szCs w:val="20"/>
        </w:rPr>
        <w:t>YAs</w:t>
      </w:r>
      <w:r w:rsidR="00910F07" w:rsidRPr="00AC37DD">
        <w:rPr>
          <w:sz w:val="20"/>
          <w:szCs w:val="20"/>
        </w:rPr>
        <w:t xml:space="preserve"> </w:t>
      </w:r>
      <w:r w:rsidR="00501F72" w:rsidRPr="00AC37DD">
        <w:rPr>
          <w:sz w:val="20"/>
          <w:szCs w:val="20"/>
        </w:rPr>
        <w:t xml:space="preserve">felt the </w:t>
      </w:r>
      <w:r w:rsidR="00B041AE" w:rsidRPr="00AC37DD">
        <w:rPr>
          <w:sz w:val="20"/>
          <w:szCs w:val="20"/>
        </w:rPr>
        <w:t xml:space="preserve">unexpected </w:t>
      </w:r>
      <w:r w:rsidR="00501F72" w:rsidRPr="00AC37DD">
        <w:rPr>
          <w:sz w:val="20"/>
          <w:szCs w:val="20"/>
        </w:rPr>
        <w:t xml:space="preserve">cancer diagnosis was a catalyst for personal growth </w:t>
      </w:r>
      <w:r w:rsidR="006C1102" w:rsidRPr="00AC37DD">
        <w:rPr>
          <w:sz w:val="20"/>
          <w:szCs w:val="20"/>
        </w:rPr>
        <w:t>in various ways</w:t>
      </w:r>
      <w:r w:rsidR="00531FA8" w:rsidRPr="00AC37DD">
        <w:rPr>
          <w:sz w:val="20"/>
          <w:szCs w:val="20"/>
        </w:rPr>
        <w:t>,</w:t>
      </w:r>
      <w:r w:rsidR="006C1102" w:rsidRPr="00AC37DD">
        <w:rPr>
          <w:sz w:val="20"/>
          <w:szCs w:val="20"/>
        </w:rPr>
        <w:t xml:space="preserve"> </w:t>
      </w:r>
      <w:r w:rsidR="00E96F1E" w:rsidRPr="00AC37DD">
        <w:rPr>
          <w:sz w:val="20"/>
          <w:szCs w:val="20"/>
        </w:rPr>
        <w:t>including</w:t>
      </w:r>
      <w:r w:rsidR="008D2918" w:rsidRPr="00AC37DD">
        <w:rPr>
          <w:sz w:val="20"/>
          <w:szCs w:val="20"/>
        </w:rPr>
        <w:t xml:space="preserve"> gaining</w:t>
      </w:r>
      <w:r w:rsidR="00E96F1E" w:rsidRPr="00AC37DD">
        <w:rPr>
          <w:sz w:val="20"/>
          <w:szCs w:val="20"/>
        </w:rPr>
        <w:t xml:space="preserve"> fearlessness</w:t>
      </w:r>
      <w:r w:rsidR="008D2918" w:rsidRPr="00AC37DD">
        <w:rPr>
          <w:sz w:val="20"/>
          <w:szCs w:val="20"/>
        </w:rPr>
        <w:t xml:space="preserve"> or</w:t>
      </w:r>
      <w:r w:rsidR="00E96F1E" w:rsidRPr="00AC37DD">
        <w:rPr>
          <w:sz w:val="20"/>
          <w:szCs w:val="20"/>
        </w:rPr>
        <w:t xml:space="preserve"> confidence and learning to accept a lack of control </w:t>
      </w:r>
      <w:r w:rsidR="00417060" w:rsidRPr="00AC37DD">
        <w:rPr>
          <w:sz w:val="20"/>
          <w:szCs w:val="20"/>
        </w:rPr>
        <w:t>(2.3</w:t>
      </w:r>
      <w:r w:rsidR="00501F72" w:rsidRPr="00AC37DD">
        <w:rPr>
          <w:sz w:val="20"/>
          <w:szCs w:val="20"/>
        </w:rPr>
        <w:t>.1)</w:t>
      </w:r>
      <w:r w:rsidR="00D70243" w:rsidRPr="00AC37DD">
        <w:rPr>
          <w:sz w:val="20"/>
          <w:szCs w:val="20"/>
        </w:rPr>
        <w:t xml:space="preserve">. </w:t>
      </w:r>
      <w:r w:rsidR="006C1102" w:rsidRPr="00AC37DD">
        <w:rPr>
          <w:sz w:val="20"/>
          <w:szCs w:val="20"/>
        </w:rPr>
        <w:t xml:space="preserve">Some </w:t>
      </w:r>
      <w:r w:rsidR="008D2918" w:rsidRPr="00AC37DD">
        <w:rPr>
          <w:sz w:val="20"/>
          <w:szCs w:val="20"/>
        </w:rPr>
        <w:t>participants</w:t>
      </w:r>
      <w:r w:rsidR="00910F07" w:rsidRPr="00AC37DD">
        <w:rPr>
          <w:sz w:val="20"/>
          <w:szCs w:val="20"/>
        </w:rPr>
        <w:t xml:space="preserve"> felt they learned to prioritise family and personal </w:t>
      </w:r>
      <w:r w:rsidR="006C1102" w:rsidRPr="00AC37DD">
        <w:rPr>
          <w:sz w:val="20"/>
          <w:szCs w:val="20"/>
        </w:rPr>
        <w:t>experiences over work, apprec</w:t>
      </w:r>
      <w:r w:rsidR="00417060" w:rsidRPr="00AC37DD">
        <w:rPr>
          <w:sz w:val="20"/>
          <w:szCs w:val="20"/>
        </w:rPr>
        <w:t xml:space="preserve">iating time </w:t>
      </w:r>
      <w:r w:rsidRPr="00AC37DD">
        <w:rPr>
          <w:sz w:val="20"/>
          <w:szCs w:val="20"/>
        </w:rPr>
        <w:t xml:space="preserve">spent </w:t>
      </w:r>
      <w:r w:rsidR="00417060" w:rsidRPr="00AC37DD">
        <w:rPr>
          <w:sz w:val="20"/>
          <w:szCs w:val="20"/>
        </w:rPr>
        <w:t>with loved ones (2.3</w:t>
      </w:r>
      <w:r w:rsidR="006C1102" w:rsidRPr="00AC37DD">
        <w:rPr>
          <w:sz w:val="20"/>
          <w:szCs w:val="20"/>
        </w:rPr>
        <w:t>.2)</w:t>
      </w:r>
      <w:r w:rsidR="00910F07" w:rsidRPr="00AC37DD">
        <w:rPr>
          <w:sz w:val="20"/>
          <w:szCs w:val="20"/>
        </w:rPr>
        <w:t xml:space="preserve">. </w:t>
      </w:r>
      <w:r w:rsidR="006C1102" w:rsidRPr="00AC37DD">
        <w:rPr>
          <w:sz w:val="20"/>
          <w:szCs w:val="20"/>
        </w:rPr>
        <w:t xml:space="preserve">Experiencing cancer also helped improve relationships </w:t>
      </w:r>
      <w:r w:rsidR="00D70243" w:rsidRPr="00AC37DD">
        <w:rPr>
          <w:sz w:val="20"/>
          <w:szCs w:val="20"/>
        </w:rPr>
        <w:t xml:space="preserve">with partners, parents and friends when confronted with </w:t>
      </w:r>
      <w:r w:rsidRPr="00AC37DD">
        <w:rPr>
          <w:sz w:val="20"/>
          <w:szCs w:val="20"/>
        </w:rPr>
        <w:t xml:space="preserve">emotional distress and potential </w:t>
      </w:r>
      <w:r w:rsidR="00D70243" w:rsidRPr="00AC37DD">
        <w:rPr>
          <w:sz w:val="20"/>
          <w:szCs w:val="20"/>
        </w:rPr>
        <w:t xml:space="preserve">early mortality </w:t>
      </w:r>
      <w:r w:rsidR="00417060" w:rsidRPr="00AC37DD">
        <w:rPr>
          <w:sz w:val="20"/>
          <w:szCs w:val="20"/>
        </w:rPr>
        <w:t>(2.3</w:t>
      </w:r>
      <w:r w:rsidR="006C1102" w:rsidRPr="00AC37DD">
        <w:rPr>
          <w:sz w:val="20"/>
          <w:szCs w:val="20"/>
        </w:rPr>
        <w:t xml:space="preserve">.3). </w:t>
      </w:r>
    </w:p>
    <w:p w14:paraId="3C5D883D" w14:textId="486766B2" w:rsidR="00E6671D" w:rsidRPr="00AC37DD" w:rsidRDefault="00E46769" w:rsidP="003B7457">
      <w:pPr>
        <w:spacing w:before="480" w:line="480" w:lineRule="auto"/>
        <w:jc w:val="both"/>
        <w:rPr>
          <w:b/>
          <w:sz w:val="20"/>
          <w:szCs w:val="20"/>
        </w:rPr>
      </w:pPr>
      <w:r w:rsidRPr="00AC37DD">
        <w:rPr>
          <w:b/>
          <w:sz w:val="20"/>
          <w:szCs w:val="20"/>
        </w:rPr>
        <w:lastRenderedPageBreak/>
        <w:t>Theme 3: Facing i</w:t>
      </w:r>
      <w:r w:rsidR="00E6671D" w:rsidRPr="00AC37DD">
        <w:rPr>
          <w:b/>
          <w:sz w:val="20"/>
          <w:szCs w:val="20"/>
        </w:rPr>
        <w:t>solation</w:t>
      </w:r>
    </w:p>
    <w:p w14:paraId="23DE5136" w14:textId="43A7708B" w:rsidR="00C95B5D" w:rsidRPr="00AC37DD" w:rsidRDefault="00BC7590" w:rsidP="00DB09DF">
      <w:pPr>
        <w:spacing w:before="240" w:after="120" w:line="480" w:lineRule="auto"/>
        <w:jc w:val="both"/>
        <w:rPr>
          <w:b/>
          <w:i/>
          <w:sz w:val="20"/>
          <w:szCs w:val="20"/>
        </w:rPr>
      </w:pPr>
      <w:r w:rsidRPr="00AC37DD">
        <w:rPr>
          <w:b/>
          <w:i/>
          <w:sz w:val="20"/>
          <w:szCs w:val="20"/>
        </w:rPr>
        <w:t xml:space="preserve">Subtheme 1: </w:t>
      </w:r>
      <w:r w:rsidR="00C95B5D" w:rsidRPr="00AC37DD">
        <w:rPr>
          <w:b/>
          <w:i/>
          <w:sz w:val="20"/>
          <w:szCs w:val="20"/>
        </w:rPr>
        <w:t>Distancing from friends</w:t>
      </w:r>
    </w:p>
    <w:p w14:paraId="6205DB36" w14:textId="020EB5E0" w:rsidR="00C95B5D" w:rsidRPr="00AC37DD" w:rsidRDefault="002E13D3" w:rsidP="003B7457">
      <w:pPr>
        <w:spacing w:line="480" w:lineRule="auto"/>
        <w:jc w:val="both"/>
        <w:rPr>
          <w:sz w:val="20"/>
          <w:szCs w:val="20"/>
        </w:rPr>
      </w:pPr>
      <w:r w:rsidRPr="00AC37DD">
        <w:rPr>
          <w:sz w:val="20"/>
          <w:szCs w:val="20"/>
        </w:rPr>
        <w:t xml:space="preserve">Although some relationships improved, </w:t>
      </w:r>
      <w:r w:rsidR="00C95B5D" w:rsidRPr="00AC37DD">
        <w:rPr>
          <w:sz w:val="20"/>
          <w:szCs w:val="20"/>
        </w:rPr>
        <w:t xml:space="preserve">YAs found that </w:t>
      </w:r>
      <w:r w:rsidR="00E96F1E" w:rsidRPr="00AC37DD">
        <w:rPr>
          <w:sz w:val="20"/>
          <w:szCs w:val="20"/>
        </w:rPr>
        <w:t xml:space="preserve">other </w:t>
      </w:r>
      <w:r w:rsidR="00C95B5D" w:rsidRPr="00AC37DD">
        <w:rPr>
          <w:sz w:val="20"/>
          <w:szCs w:val="20"/>
        </w:rPr>
        <w:t>friendships were weakened by the cancer diagnosis</w:t>
      </w:r>
      <w:r w:rsidR="00E96F1E" w:rsidRPr="00AC37DD">
        <w:rPr>
          <w:sz w:val="20"/>
          <w:szCs w:val="20"/>
        </w:rPr>
        <w:t>.</w:t>
      </w:r>
      <w:r w:rsidR="00C95B5D" w:rsidRPr="00AC37DD">
        <w:rPr>
          <w:sz w:val="20"/>
          <w:szCs w:val="20"/>
        </w:rPr>
        <w:t xml:space="preserve"> </w:t>
      </w:r>
      <w:r w:rsidR="00E96F1E" w:rsidRPr="00AC37DD">
        <w:rPr>
          <w:sz w:val="20"/>
          <w:szCs w:val="20"/>
        </w:rPr>
        <w:t xml:space="preserve">YAs </w:t>
      </w:r>
      <w:r w:rsidR="008D2918" w:rsidRPr="00AC37DD">
        <w:rPr>
          <w:sz w:val="20"/>
          <w:szCs w:val="20"/>
        </w:rPr>
        <w:t>found</w:t>
      </w:r>
      <w:r w:rsidR="00E96F1E" w:rsidRPr="00AC37DD">
        <w:rPr>
          <w:sz w:val="20"/>
          <w:szCs w:val="20"/>
        </w:rPr>
        <w:t xml:space="preserve"> that friends</w:t>
      </w:r>
      <w:r w:rsidR="00C95B5D" w:rsidRPr="00AC37DD">
        <w:rPr>
          <w:sz w:val="20"/>
          <w:szCs w:val="20"/>
        </w:rPr>
        <w:t xml:space="preserve"> without </w:t>
      </w:r>
      <w:r w:rsidR="008D2918" w:rsidRPr="00AC37DD">
        <w:rPr>
          <w:sz w:val="20"/>
          <w:szCs w:val="20"/>
        </w:rPr>
        <w:t xml:space="preserve">personal </w:t>
      </w:r>
      <w:r w:rsidR="00C95B5D" w:rsidRPr="00AC37DD">
        <w:rPr>
          <w:sz w:val="20"/>
          <w:szCs w:val="20"/>
        </w:rPr>
        <w:t xml:space="preserve">experience of cancer </w:t>
      </w:r>
      <w:r w:rsidR="00E96F1E" w:rsidRPr="00AC37DD">
        <w:rPr>
          <w:sz w:val="20"/>
          <w:szCs w:val="20"/>
        </w:rPr>
        <w:t xml:space="preserve">or severe illness </w:t>
      </w:r>
      <w:r w:rsidR="008D2918" w:rsidRPr="00AC37DD">
        <w:rPr>
          <w:sz w:val="20"/>
          <w:szCs w:val="20"/>
        </w:rPr>
        <w:t>did</w:t>
      </w:r>
      <w:r w:rsidR="00C95B5D" w:rsidRPr="00AC37DD">
        <w:rPr>
          <w:sz w:val="20"/>
          <w:szCs w:val="20"/>
        </w:rPr>
        <w:t xml:space="preserve"> not understand what </w:t>
      </w:r>
      <w:r w:rsidR="008D2918" w:rsidRPr="00AC37DD">
        <w:rPr>
          <w:sz w:val="20"/>
          <w:szCs w:val="20"/>
        </w:rPr>
        <w:t>they were</w:t>
      </w:r>
      <w:r w:rsidR="00C95B5D" w:rsidRPr="00AC37DD">
        <w:rPr>
          <w:sz w:val="20"/>
          <w:szCs w:val="20"/>
        </w:rPr>
        <w:t xml:space="preserve"> going through</w:t>
      </w:r>
      <w:r w:rsidR="008D2918" w:rsidRPr="00AC37DD">
        <w:rPr>
          <w:sz w:val="20"/>
          <w:szCs w:val="20"/>
        </w:rPr>
        <w:t>,</w:t>
      </w:r>
      <w:r w:rsidR="00C95B5D" w:rsidRPr="00AC37DD">
        <w:rPr>
          <w:sz w:val="20"/>
          <w:szCs w:val="20"/>
        </w:rPr>
        <w:t xml:space="preserve"> </w:t>
      </w:r>
      <w:r w:rsidR="00B041AE" w:rsidRPr="00AC37DD">
        <w:rPr>
          <w:sz w:val="20"/>
          <w:szCs w:val="20"/>
        </w:rPr>
        <w:t>making it difficult to</w:t>
      </w:r>
      <w:r w:rsidR="00C95B5D" w:rsidRPr="00AC37DD">
        <w:rPr>
          <w:sz w:val="20"/>
          <w:szCs w:val="20"/>
        </w:rPr>
        <w:t xml:space="preserve"> relate</w:t>
      </w:r>
      <w:r w:rsidR="00E96F1E" w:rsidRPr="00AC37DD">
        <w:rPr>
          <w:sz w:val="20"/>
          <w:szCs w:val="20"/>
        </w:rPr>
        <w:t xml:space="preserve"> and leading to discomfort</w:t>
      </w:r>
      <w:r w:rsidR="00C95B5D" w:rsidRPr="00AC37DD">
        <w:rPr>
          <w:sz w:val="20"/>
          <w:szCs w:val="20"/>
        </w:rPr>
        <w:t xml:space="preserve"> (3.1.1). </w:t>
      </w:r>
      <w:r w:rsidR="00B041AE" w:rsidRPr="00AC37DD">
        <w:rPr>
          <w:sz w:val="20"/>
          <w:szCs w:val="20"/>
        </w:rPr>
        <w:t>YA</w:t>
      </w:r>
      <w:r w:rsidR="008D2918" w:rsidRPr="00AC37DD">
        <w:rPr>
          <w:sz w:val="20"/>
          <w:szCs w:val="20"/>
        </w:rPr>
        <w:t>s</w:t>
      </w:r>
      <w:r w:rsidR="00B041AE" w:rsidRPr="00AC37DD">
        <w:rPr>
          <w:sz w:val="20"/>
          <w:szCs w:val="20"/>
        </w:rPr>
        <w:t xml:space="preserve"> worried about f</w:t>
      </w:r>
      <w:r w:rsidR="00C95B5D" w:rsidRPr="00AC37DD">
        <w:rPr>
          <w:sz w:val="20"/>
          <w:szCs w:val="20"/>
        </w:rPr>
        <w:t xml:space="preserve">orming new relationships </w:t>
      </w:r>
      <w:r w:rsidR="00B041AE" w:rsidRPr="00AC37DD">
        <w:rPr>
          <w:sz w:val="20"/>
          <w:szCs w:val="20"/>
        </w:rPr>
        <w:t>as they</w:t>
      </w:r>
      <w:r w:rsidR="00C95B5D" w:rsidRPr="00AC37DD">
        <w:rPr>
          <w:sz w:val="20"/>
          <w:szCs w:val="20"/>
        </w:rPr>
        <w:t xml:space="preserve"> were unsure about </w:t>
      </w:r>
      <w:r w:rsidR="00E96F1E" w:rsidRPr="00AC37DD">
        <w:rPr>
          <w:sz w:val="20"/>
          <w:szCs w:val="20"/>
        </w:rPr>
        <w:t xml:space="preserve">how </w:t>
      </w:r>
      <w:r w:rsidR="00C95B5D" w:rsidRPr="00AC37DD">
        <w:rPr>
          <w:sz w:val="20"/>
          <w:szCs w:val="20"/>
        </w:rPr>
        <w:t xml:space="preserve">or </w:t>
      </w:r>
      <w:r w:rsidR="00E96F1E" w:rsidRPr="00AC37DD">
        <w:rPr>
          <w:sz w:val="20"/>
          <w:szCs w:val="20"/>
        </w:rPr>
        <w:t xml:space="preserve">whether </w:t>
      </w:r>
      <w:r w:rsidR="00C95B5D" w:rsidRPr="00AC37DD">
        <w:rPr>
          <w:sz w:val="20"/>
          <w:szCs w:val="20"/>
        </w:rPr>
        <w:t>to disclose the</w:t>
      </w:r>
      <w:r w:rsidR="0045436B" w:rsidRPr="00AC37DD">
        <w:rPr>
          <w:sz w:val="20"/>
          <w:szCs w:val="20"/>
        </w:rPr>
        <w:t>ir</w:t>
      </w:r>
      <w:r w:rsidR="00C95B5D" w:rsidRPr="00AC37DD">
        <w:rPr>
          <w:sz w:val="20"/>
          <w:szCs w:val="20"/>
        </w:rPr>
        <w:t xml:space="preserve"> diagnosis, particularly with potential romantic partners (3.1.2). </w:t>
      </w:r>
      <w:r w:rsidR="008D2918" w:rsidRPr="00AC37DD">
        <w:rPr>
          <w:sz w:val="20"/>
          <w:szCs w:val="20"/>
        </w:rPr>
        <w:t>Participants</w:t>
      </w:r>
      <w:r w:rsidR="00D10217" w:rsidRPr="00AC37DD">
        <w:rPr>
          <w:sz w:val="20"/>
          <w:szCs w:val="20"/>
        </w:rPr>
        <w:t xml:space="preserve"> experience</w:t>
      </w:r>
      <w:r w:rsidR="00A95101" w:rsidRPr="00AC37DD">
        <w:rPr>
          <w:sz w:val="20"/>
          <w:szCs w:val="20"/>
        </w:rPr>
        <w:t>d</w:t>
      </w:r>
      <w:r w:rsidR="00D10217" w:rsidRPr="00AC37DD">
        <w:rPr>
          <w:sz w:val="20"/>
          <w:szCs w:val="20"/>
        </w:rPr>
        <w:t xml:space="preserve"> a range of cancer-related worries including fear of </w:t>
      </w:r>
      <w:r w:rsidR="0045436B" w:rsidRPr="00AC37DD">
        <w:rPr>
          <w:sz w:val="20"/>
          <w:szCs w:val="20"/>
        </w:rPr>
        <w:t>disease</w:t>
      </w:r>
      <w:r w:rsidR="00D10217" w:rsidRPr="00AC37DD">
        <w:rPr>
          <w:sz w:val="20"/>
          <w:szCs w:val="20"/>
        </w:rPr>
        <w:t xml:space="preserve"> progression or recurrence. Despite </w:t>
      </w:r>
      <w:r w:rsidR="00A95101" w:rsidRPr="00AC37DD">
        <w:rPr>
          <w:sz w:val="20"/>
          <w:szCs w:val="20"/>
        </w:rPr>
        <w:t>these concerns</w:t>
      </w:r>
      <w:r w:rsidR="00D10217" w:rsidRPr="00AC37DD">
        <w:rPr>
          <w:sz w:val="20"/>
          <w:szCs w:val="20"/>
        </w:rPr>
        <w:t xml:space="preserve">, </w:t>
      </w:r>
      <w:r w:rsidR="00C95B5D" w:rsidRPr="00AC37DD">
        <w:rPr>
          <w:sz w:val="20"/>
          <w:szCs w:val="20"/>
        </w:rPr>
        <w:t xml:space="preserve">many YAs </w:t>
      </w:r>
      <w:r w:rsidR="00D10217" w:rsidRPr="00AC37DD">
        <w:rPr>
          <w:sz w:val="20"/>
          <w:szCs w:val="20"/>
        </w:rPr>
        <w:t>downplayed</w:t>
      </w:r>
      <w:r w:rsidR="00C95B5D" w:rsidRPr="00AC37DD">
        <w:rPr>
          <w:sz w:val="20"/>
          <w:szCs w:val="20"/>
        </w:rPr>
        <w:t xml:space="preserve"> their </w:t>
      </w:r>
      <w:r w:rsidR="00A95101" w:rsidRPr="00AC37DD">
        <w:rPr>
          <w:sz w:val="20"/>
          <w:szCs w:val="20"/>
        </w:rPr>
        <w:t>emotions</w:t>
      </w:r>
      <w:r w:rsidR="00C95B5D" w:rsidRPr="00AC37DD">
        <w:rPr>
          <w:sz w:val="20"/>
          <w:szCs w:val="20"/>
        </w:rPr>
        <w:t xml:space="preserve"> </w:t>
      </w:r>
      <w:r w:rsidR="00D10217" w:rsidRPr="00AC37DD">
        <w:rPr>
          <w:sz w:val="20"/>
          <w:szCs w:val="20"/>
        </w:rPr>
        <w:t>or declined to disclose full details about the diagnosis</w:t>
      </w:r>
      <w:r w:rsidR="00C95B5D" w:rsidRPr="00AC37DD">
        <w:rPr>
          <w:sz w:val="20"/>
          <w:szCs w:val="20"/>
        </w:rPr>
        <w:t xml:space="preserve"> in order to protect loved ones</w:t>
      </w:r>
      <w:r w:rsidR="00A95101" w:rsidRPr="00AC37DD">
        <w:rPr>
          <w:sz w:val="20"/>
          <w:szCs w:val="20"/>
        </w:rPr>
        <w:t xml:space="preserve">, sometimes contributing to </w:t>
      </w:r>
      <w:r w:rsidR="00E762E2" w:rsidRPr="00AC37DD">
        <w:rPr>
          <w:sz w:val="20"/>
          <w:szCs w:val="20"/>
        </w:rPr>
        <w:t>perceived emotional</w:t>
      </w:r>
      <w:r w:rsidR="00A95101" w:rsidRPr="00AC37DD">
        <w:rPr>
          <w:sz w:val="20"/>
          <w:szCs w:val="20"/>
        </w:rPr>
        <w:t xml:space="preserve"> distance</w:t>
      </w:r>
      <w:r w:rsidR="00C95B5D" w:rsidRPr="00AC37DD">
        <w:rPr>
          <w:sz w:val="20"/>
          <w:szCs w:val="20"/>
        </w:rPr>
        <w:t xml:space="preserve"> (3.1.3). </w:t>
      </w:r>
    </w:p>
    <w:p w14:paraId="09DDD3D1" w14:textId="09640ED9" w:rsidR="00BC7590" w:rsidRPr="00AC37DD" w:rsidRDefault="00BC7590" w:rsidP="00DB09DF">
      <w:pPr>
        <w:spacing w:before="240" w:after="120" w:line="480" w:lineRule="auto"/>
        <w:jc w:val="both"/>
        <w:rPr>
          <w:b/>
          <w:i/>
          <w:sz w:val="20"/>
          <w:szCs w:val="20"/>
        </w:rPr>
      </w:pPr>
      <w:r w:rsidRPr="00AC37DD">
        <w:rPr>
          <w:b/>
          <w:i/>
          <w:sz w:val="20"/>
          <w:szCs w:val="20"/>
        </w:rPr>
        <w:t xml:space="preserve">Subtheme 2: </w:t>
      </w:r>
      <w:r w:rsidR="00531FA8" w:rsidRPr="00AC37DD">
        <w:rPr>
          <w:b/>
          <w:i/>
          <w:sz w:val="20"/>
          <w:szCs w:val="20"/>
        </w:rPr>
        <w:t>Feeling y</w:t>
      </w:r>
      <w:r w:rsidRPr="00AC37DD">
        <w:rPr>
          <w:b/>
          <w:i/>
          <w:sz w:val="20"/>
          <w:szCs w:val="20"/>
        </w:rPr>
        <w:t xml:space="preserve">ounger than other </w:t>
      </w:r>
      <w:r w:rsidR="0045436B" w:rsidRPr="00AC37DD">
        <w:rPr>
          <w:b/>
          <w:i/>
          <w:sz w:val="20"/>
          <w:szCs w:val="20"/>
        </w:rPr>
        <w:t xml:space="preserve">cancer </w:t>
      </w:r>
      <w:r w:rsidRPr="00AC37DD">
        <w:rPr>
          <w:b/>
          <w:i/>
          <w:sz w:val="20"/>
          <w:szCs w:val="20"/>
        </w:rPr>
        <w:t>patients</w:t>
      </w:r>
    </w:p>
    <w:p w14:paraId="676CDA49" w14:textId="43995D7A" w:rsidR="00144197" w:rsidRPr="00AC37DD" w:rsidRDefault="00C95B5D" w:rsidP="003B7457">
      <w:pPr>
        <w:spacing w:line="480" w:lineRule="auto"/>
        <w:jc w:val="both"/>
        <w:rPr>
          <w:b/>
          <w:i/>
          <w:sz w:val="20"/>
          <w:szCs w:val="20"/>
        </w:rPr>
      </w:pPr>
      <w:r w:rsidRPr="00AC37DD">
        <w:rPr>
          <w:sz w:val="20"/>
          <w:szCs w:val="20"/>
        </w:rPr>
        <w:t xml:space="preserve">Not only did YAs find it difficult to relate to peers, but they </w:t>
      </w:r>
      <w:r w:rsidR="00604330" w:rsidRPr="00AC37DD">
        <w:rPr>
          <w:sz w:val="20"/>
          <w:szCs w:val="20"/>
        </w:rPr>
        <w:t xml:space="preserve">often </w:t>
      </w:r>
      <w:r w:rsidRPr="00AC37DD">
        <w:rPr>
          <w:sz w:val="20"/>
          <w:szCs w:val="20"/>
        </w:rPr>
        <w:t>found it difficult</w:t>
      </w:r>
      <w:r w:rsidR="00604330" w:rsidRPr="00AC37DD">
        <w:rPr>
          <w:sz w:val="20"/>
          <w:szCs w:val="20"/>
        </w:rPr>
        <w:t xml:space="preserve"> to relate with other</w:t>
      </w:r>
      <w:r w:rsidR="0045436B" w:rsidRPr="00AC37DD">
        <w:rPr>
          <w:sz w:val="20"/>
          <w:szCs w:val="20"/>
        </w:rPr>
        <w:t xml:space="preserve"> oncology</w:t>
      </w:r>
      <w:r w:rsidR="00604330" w:rsidRPr="00AC37DD">
        <w:rPr>
          <w:sz w:val="20"/>
          <w:szCs w:val="20"/>
        </w:rPr>
        <w:t xml:space="preserve"> patients</w:t>
      </w:r>
      <w:r w:rsidR="00E96F1E" w:rsidRPr="00AC37DD">
        <w:rPr>
          <w:sz w:val="20"/>
          <w:szCs w:val="20"/>
        </w:rPr>
        <w:t xml:space="preserve"> as they were largely decades older</w:t>
      </w:r>
      <w:r w:rsidR="00604330" w:rsidRPr="00AC37DD">
        <w:rPr>
          <w:sz w:val="20"/>
          <w:szCs w:val="20"/>
        </w:rPr>
        <w:t xml:space="preserve"> (3.2.</w:t>
      </w:r>
      <w:r w:rsidR="00E96F1E" w:rsidRPr="00AC37DD">
        <w:rPr>
          <w:sz w:val="20"/>
          <w:szCs w:val="20"/>
        </w:rPr>
        <w:t>1). YAs felt their psychosocial concerns, healthcare needs and social interests were very different from those of older patients</w:t>
      </w:r>
      <w:r w:rsidR="00604330" w:rsidRPr="00AC37DD">
        <w:rPr>
          <w:sz w:val="20"/>
          <w:szCs w:val="20"/>
        </w:rPr>
        <w:t xml:space="preserve">. Participants also felt </w:t>
      </w:r>
      <w:r w:rsidR="00E96F1E" w:rsidRPr="00AC37DD">
        <w:rPr>
          <w:sz w:val="20"/>
          <w:szCs w:val="20"/>
        </w:rPr>
        <w:t xml:space="preserve">uncomfortable and </w:t>
      </w:r>
      <w:r w:rsidR="00604330" w:rsidRPr="00AC37DD">
        <w:rPr>
          <w:sz w:val="20"/>
          <w:szCs w:val="20"/>
        </w:rPr>
        <w:t xml:space="preserve">out of place in </w:t>
      </w:r>
      <w:r w:rsidR="00E96F1E" w:rsidRPr="00AC37DD">
        <w:rPr>
          <w:sz w:val="20"/>
          <w:szCs w:val="20"/>
        </w:rPr>
        <w:t xml:space="preserve">the </w:t>
      </w:r>
      <w:r w:rsidR="00604330" w:rsidRPr="00AC37DD">
        <w:rPr>
          <w:sz w:val="20"/>
          <w:szCs w:val="20"/>
        </w:rPr>
        <w:t xml:space="preserve">hospital as they were </w:t>
      </w:r>
      <w:r w:rsidR="00E96F1E" w:rsidRPr="00AC37DD">
        <w:rPr>
          <w:sz w:val="20"/>
          <w:szCs w:val="20"/>
        </w:rPr>
        <w:t>visibly</w:t>
      </w:r>
      <w:r w:rsidR="00604330" w:rsidRPr="00AC37DD">
        <w:rPr>
          <w:sz w:val="20"/>
          <w:szCs w:val="20"/>
        </w:rPr>
        <w:t xml:space="preserve"> younger (3.2.2). This attracted unwanted attention from patients and hospital staff. </w:t>
      </w:r>
    </w:p>
    <w:p w14:paraId="76507FFD" w14:textId="547EC9D0" w:rsidR="00BC7590" w:rsidRPr="00AC37DD" w:rsidRDefault="00BC7590" w:rsidP="00DB09DF">
      <w:pPr>
        <w:spacing w:before="240" w:after="120" w:line="480" w:lineRule="auto"/>
        <w:jc w:val="both"/>
        <w:rPr>
          <w:b/>
          <w:i/>
          <w:sz w:val="20"/>
          <w:szCs w:val="20"/>
        </w:rPr>
      </w:pPr>
      <w:r w:rsidRPr="00AC37DD">
        <w:rPr>
          <w:b/>
          <w:i/>
          <w:sz w:val="20"/>
          <w:szCs w:val="20"/>
        </w:rPr>
        <w:t>Subtheme 3: Missing out</w:t>
      </w:r>
    </w:p>
    <w:p w14:paraId="03349AB5" w14:textId="43E36B18" w:rsidR="00A9118A" w:rsidRPr="00AC37DD" w:rsidRDefault="00A9118A" w:rsidP="003B7457">
      <w:pPr>
        <w:spacing w:line="480" w:lineRule="auto"/>
        <w:jc w:val="both"/>
        <w:rPr>
          <w:sz w:val="20"/>
          <w:szCs w:val="20"/>
        </w:rPr>
      </w:pPr>
      <w:r w:rsidRPr="00AC37DD">
        <w:rPr>
          <w:sz w:val="20"/>
          <w:szCs w:val="20"/>
        </w:rPr>
        <w:t>Many patients felt isolated from friends</w:t>
      </w:r>
      <w:r w:rsidR="00604330" w:rsidRPr="00AC37DD">
        <w:rPr>
          <w:sz w:val="20"/>
          <w:szCs w:val="20"/>
        </w:rPr>
        <w:t xml:space="preserve"> and</w:t>
      </w:r>
      <w:r w:rsidRPr="00AC37DD">
        <w:rPr>
          <w:sz w:val="20"/>
          <w:szCs w:val="20"/>
        </w:rPr>
        <w:t xml:space="preserve"> family due to </w:t>
      </w:r>
      <w:r w:rsidR="00151904" w:rsidRPr="00AC37DD">
        <w:rPr>
          <w:sz w:val="20"/>
          <w:szCs w:val="20"/>
        </w:rPr>
        <w:t xml:space="preserve">side-effects like </w:t>
      </w:r>
      <w:r w:rsidRPr="00AC37DD">
        <w:rPr>
          <w:sz w:val="20"/>
          <w:szCs w:val="20"/>
        </w:rPr>
        <w:t xml:space="preserve">fatigue, </w:t>
      </w:r>
      <w:r w:rsidR="00151904" w:rsidRPr="00AC37DD">
        <w:rPr>
          <w:sz w:val="20"/>
          <w:szCs w:val="20"/>
        </w:rPr>
        <w:t xml:space="preserve">fear of infection </w:t>
      </w:r>
      <w:r w:rsidRPr="00AC37DD">
        <w:rPr>
          <w:sz w:val="20"/>
          <w:szCs w:val="20"/>
        </w:rPr>
        <w:t xml:space="preserve">or </w:t>
      </w:r>
      <w:r w:rsidR="0045436B" w:rsidRPr="00AC37DD">
        <w:rPr>
          <w:sz w:val="20"/>
          <w:szCs w:val="20"/>
        </w:rPr>
        <w:t>extended</w:t>
      </w:r>
      <w:r w:rsidRPr="00AC37DD">
        <w:rPr>
          <w:sz w:val="20"/>
          <w:szCs w:val="20"/>
        </w:rPr>
        <w:t xml:space="preserve"> hospital admissions. </w:t>
      </w:r>
      <w:r w:rsidR="00604330" w:rsidRPr="00AC37DD">
        <w:rPr>
          <w:sz w:val="20"/>
          <w:szCs w:val="20"/>
        </w:rPr>
        <w:t xml:space="preserve">For YAs with young children this was particularly distressing as they felt they missed out on </w:t>
      </w:r>
      <w:r w:rsidR="00151904" w:rsidRPr="00AC37DD">
        <w:rPr>
          <w:sz w:val="20"/>
          <w:szCs w:val="20"/>
        </w:rPr>
        <w:t xml:space="preserve">important developmental </w:t>
      </w:r>
      <w:r w:rsidR="008D2918" w:rsidRPr="00AC37DD">
        <w:rPr>
          <w:sz w:val="20"/>
          <w:szCs w:val="20"/>
        </w:rPr>
        <w:t>change</w:t>
      </w:r>
      <w:r w:rsidR="00531FA8" w:rsidRPr="00AC37DD">
        <w:rPr>
          <w:sz w:val="20"/>
          <w:szCs w:val="20"/>
        </w:rPr>
        <w:t>s</w:t>
      </w:r>
      <w:r w:rsidR="00604330" w:rsidRPr="00AC37DD">
        <w:rPr>
          <w:sz w:val="20"/>
          <w:szCs w:val="20"/>
        </w:rPr>
        <w:t xml:space="preserve"> (3.3.1). Hospital settings, designed for older adults, made it difficult to bring children to visit. YAs usually</w:t>
      </w:r>
      <w:r w:rsidR="0045436B" w:rsidRPr="00AC37DD">
        <w:rPr>
          <w:sz w:val="20"/>
          <w:szCs w:val="20"/>
        </w:rPr>
        <w:t xml:space="preserve"> felt</w:t>
      </w:r>
      <w:r w:rsidR="00604330" w:rsidRPr="00AC37DD">
        <w:rPr>
          <w:sz w:val="20"/>
          <w:szCs w:val="20"/>
        </w:rPr>
        <w:t xml:space="preserve"> extremely busy before the cancer diagnosis, making the </w:t>
      </w:r>
      <w:r w:rsidR="00A7628C" w:rsidRPr="00AC37DD">
        <w:rPr>
          <w:sz w:val="20"/>
          <w:szCs w:val="20"/>
        </w:rPr>
        <w:t xml:space="preserve">isolation due to treatment and side-effects more difficult to cope with. Participants felt </w:t>
      </w:r>
      <w:r w:rsidR="0045436B" w:rsidRPr="00AC37DD">
        <w:rPr>
          <w:sz w:val="20"/>
          <w:szCs w:val="20"/>
        </w:rPr>
        <w:t xml:space="preserve">that </w:t>
      </w:r>
      <w:r w:rsidR="00A7628C" w:rsidRPr="00AC37DD">
        <w:rPr>
          <w:sz w:val="20"/>
          <w:szCs w:val="20"/>
        </w:rPr>
        <w:t>they missed out on social activities with friends and family as well as the social aspects of work</w:t>
      </w:r>
      <w:r w:rsidR="00D10217" w:rsidRPr="00AC37DD">
        <w:rPr>
          <w:sz w:val="20"/>
          <w:szCs w:val="20"/>
        </w:rPr>
        <w:t xml:space="preserve"> (3.3.2)</w:t>
      </w:r>
      <w:r w:rsidR="00A7628C" w:rsidRPr="00AC37DD">
        <w:rPr>
          <w:sz w:val="20"/>
          <w:szCs w:val="20"/>
        </w:rPr>
        <w:t xml:space="preserve">. </w:t>
      </w:r>
      <w:r w:rsidR="00CC0973" w:rsidRPr="00AC37DD">
        <w:rPr>
          <w:sz w:val="20"/>
          <w:szCs w:val="20"/>
        </w:rPr>
        <w:t xml:space="preserve">Only a few YAs discussed missing religious gatherings as a source of frustration, but this was particularly important </w:t>
      </w:r>
      <w:r w:rsidR="00151904" w:rsidRPr="00AC37DD">
        <w:rPr>
          <w:sz w:val="20"/>
          <w:szCs w:val="20"/>
        </w:rPr>
        <w:t>for some religious YAs from minority backgrounds</w:t>
      </w:r>
      <w:r w:rsidR="00CC0973" w:rsidRPr="00AC37DD">
        <w:rPr>
          <w:sz w:val="20"/>
          <w:szCs w:val="20"/>
        </w:rPr>
        <w:t xml:space="preserve">. </w:t>
      </w:r>
    </w:p>
    <w:p w14:paraId="7D5DAAED" w14:textId="516B4396" w:rsidR="00853634" w:rsidRPr="00AC37DD" w:rsidRDefault="00853634" w:rsidP="00853634">
      <w:pPr>
        <w:spacing w:before="480" w:line="480" w:lineRule="auto"/>
        <w:jc w:val="both"/>
        <w:rPr>
          <w:b/>
          <w:sz w:val="20"/>
          <w:szCs w:val="20"/>
        </w:rPr>
      </w:pPr>
      <w:r w:rsidRPr="00AC37DD">
        <w:rPr>
          <w:b/>
          <w:sz w:val="20"/>
          <w:szCs w:val="20"/>
        </w:rPr>
        <w:lastRenderedPageBreak/>
        <w:t>Theme 4: Coping with Uncertainty</w:t>
      </w:r>
    </w:p>
    <w:p w14:paraId="2E780161" w14:textId="0A44C206" w:rsidR="00B77089" w:rsidRPr="00AC37DD" w:rsidRDefault="00B77089" w:rsidP="00097402">
      <w:pPr>
        <w:spacing w:before="240" w:after="120" w:line="480" w:lineRule="auto"/>
        <w:jc w:val="both"/>
        <w:rPr>
          <w:b/>
          <w:i/>
          <w:sz w:val="20"/>
          <w:szCs w:val="20"/>
        </w:rPr>
      </w:pPr>
      <w:r w:rsidRPr="00AC37DD">
        <w:rPr>
          <w:b/>
          <w:i/>
          <w:sz w:val="20"/>
          <w:szCs w:val="20"/>
        </w:rPr>
        <w:t>Subtheme 1: Uncertain life circumstances</w:t>
      </w:r>
    </w:p>
    <w:p w14:paraId="3091DC1A" w14:textId="1E96CE6E" w:rsidR="00B77089" w:rsidRPr="00AC37DD" w:rsidRDefault="00B77089" w:rsidP="00853634">
      <w:pPr>
        <w:spacing w:line="480" w:lineRule="auto"/>
        <w:jc w:val="both"/>
      </w:pPr>
      <w:r w:rsidRPr="00AC37DD">
        <w:rPr>
          <w:sz w:val="20"/>
          <w:szCs w:val="20"/>
        </w:rPr>
        <w:t>C</w:t>
      </w:r>
      <w:r w:rsidR="00853634" w:rsidRPr="00AC37DD">
        <w:rPr>
          <w:sz w:val="20"/>
          <w:szCs w:val="20"/>
        </w:rPr>
        <w:t xml:space="preserve">hallenges </w:t>
      </w:r>
      <w:r w:rsidRPr="00AC37DD">
        <w:rPr>
          <w:sz w:val="20"/>
          <w:szCs w:val="20"/>
        </w:rPr>
        <w:t xml:space="preserve">faced by YAs </w:t>
      </w:r>
      <w:r w:rsidR="00853634" w:rsidRPr="00AC37DD">
        <w:rPr>
          <w:sz w:val="20"/>
          <w:szCs w:val="20"/>
        </w:rPr>
        <w:t>were compounded by the transitional nature of YA life</w:t>
      </w:r>
      <w:r w:rsidRPr="00AC37DD">
        <w:rPr>
          <w:sz w:val="20"/>
          <w:szCs w:val="20"/>
        </w:rPr>
        <w:t xml:space="preserve"> and future uncertainty. </w:t>
      </w:r>
      <w:r w:rsidR="002863A1" w:rsidRPr="00AC37DD">
        <w:rPr>
          <w:sz w:val="20"/>
          <w:szCs w:val="20"/>
        </w:rPr>
        <w:t>All participants were extremely shocked by the</w:t>
      </w:r>
      <w:r w:rsidR="00531FA8" w:rsidRPr="00AC37DD">
        <w:rPr>
          <w:sz w:val="20"/>
          <w:szCs w:val="20"/>
        </w:rPr>
        <w:t>ir</w:t>
      </w:r>
      <w:r w:rsidR="002863A1" w:rsidRPr="00AC37DD">
        <w:rPr>
          <w:sz w:val="20"/>
          <w:szCs w:val="20"/>
        </w:rPr>
        <w:t xml:space="preserve"> diagnosis as cancer is rare and unexpected among YAs </w:t>
      </w:r>
      <w:r w:rsidR="00531FA8" w:rsidRPr="00AC37DD">
        <w:rPr>
          <w:sz w:val="20"/>
          <w:szCs w:val="20"/>
        </w:rPr>
        <w:t xml:space="preserve">who </w:t>
      </w:r>
      <w:r w:rsidR="0045436B" w:rsidRPr="00AC37DD">
        <w:rPr>
          <w:sz w:val="20"/>
          <w:szCs w:val="20"/>
        </w:rPr>
        <w:t>are</w:t>
      </w:r>
      <w:r w:rsidR="00417060" w:rsidRPr="00AC37DD">
        <w:rPr>
          <w:sz w:val="20"/>
          <w:szCs w:val="20"/>
        </w:rPr>
        <w:t xml:space="preserve"> usually otherwise healthy (4</w:t>
      </w:r>
      <w:r w:rsidR="002863A1" w:rsidRPr="00AC37DD">
        <w:rPr>
          <w:sz w:val="20"/>
          <w:szCs w:val="20"/>
        </w:rPr>
        <w:t xml:space="preserve">.1.1). </w:t>
      </w:r>
      <w:r w:rsidRPr="00AC37DD">
        <w:rPr>
          <w:sz w:val="20"/>
          <w:szCs w:val="20"/>
        </w:rPr>
        <w:t>At the time of diagnosis, m</w:t>
      </w:r>
      <w:r w:rsidR="00853634" w:rsidRPr="00AC37DD">
        <w:rPr>
          <w:sz w:val="20"/>
          <w:szCs w:val="20"/>
        </w:rPr>
        <w:t xml:space="preserve">any participants </w:t>
      </w:r>
      <w:r w:rsidRPr="00AC37DD">
        <w:rPr>
          <w:sz w:val="20"/>
          <w:szCs w:val="20"/>
        </w:rPr>
        <w:t>described</w:t>
      </w:r>
      <w:r w:rsidR="00853634" w:rsidRPr="00AC37DD">
        <w:rPr>
          <w:sz w:val="20"/>
          <w:szCs w:val="20"/>
        </w:rPr>
        <w:t xml:space="preserve"> moving house, changing jobs, building new relationships or having </w:t>
      </w:r>
      <w:r w:rsidRPr="00AC37DD">
        <w:rPr>
          <w:sz w:val="20"/>
          <w:szCs w:val="20"/>
        </w:rPr>
        <w:t>children.</w:t>
      </w:r>
      <w:r w:rsidR="00853634" w:rsidRPr="00AC37DD">
        <w:rPr>
          <w:sz w:val="20"/>
          <w:szCs w:val="20"/>
        </w:rPr>
        <w:t xml:space="preserve"> </w:t>
      </w:r>
      <w:r w:rsidRPr="00AC37DD">
        <w:rPr>
          <w:sz w:val="20"/>
          <w:szCs w:val="20"/>
        </w:rPr>
        <w:t>The uncertainty in life circumstances m</w:t>
      </w:r>
      <w:r w:rsidR="00853634" w:rsidRPr="00AC37DD">
        <w:rPr>
          <w:sz w:val="20"/>
          <w:szCs w:val="20"/>
        </w:rPr>
        <w:t>a</w:t>
      </w:r>
      <w:r w:rsidRPr="00AC37DD">
        <w:rPr>
          <w:sz w:val="20"/>
          <w:szCs w:val="20"/>
        </w:rPr>
        <w:t>de</w:t>
      </w:r>
      <w:r w:rsidR="00853634" w:rsidRPr="00AC37DD">
        <w:rPr>
          <w:sz w:val="20"/>
          <w:szCs w:val="20"/>
        </w:rPr>
        <w:t xml:space="preserve"> managing treatments and appointments </w:t>
      </w:r>
      <w:r w:rsidR="00417060" w:rsidRPr="00AC37DD">
        <w:rPr>
          <w:sz w:val="20"/>
          <w:szCs w:val="20"/>
        </w:rPr>
        <w:t>more difficult (4.1.2</w:t>
      </w:r>
      <w:r w:rsidR="00853634" w:rsidRPr="00AC37DD">
        <w:rPr>
          <w:sz w:val="20"/>
          <w:szCs w:val="20"/>
        </w:rPr>
        <w:t>).</w:t>
      </w:r>
      <w:r w:rsidR="00853634" w:rsidRPr="00AC37DD">
        <w:t xml:space="preserve"> </w:t>
      </w:r>
      <w:r w:rsidR="00417060" w:rsidRPr="00AC37DD">
        <w:rPr>
          <w:sz w:val="20"/>
          <w:szCs w:val="20"/>
        </w:rPr>
        <w:t>While not all YAs were interested in having children</w:t>
      </w:r>
      <w:r w:rsidR="002F0765" w:rsidRPr="00AC37DD">
        <w:rPr>
          <w:sz w:val="20"/>
          <w:szCs w:val="20"/>
        </w:rPr>
        <w:t xml:space="preserve"> or growing their family</w:t>
      </w:r>
      <w:r w:rsidR="00417060" w:rsidRPr="00AC37DD">
        <w:rPr>
          <w:sz w:val="20"/>
          <w:szCs w:val="20"/>
        </w:rPr>
        <w:t xml:space="preserve">, the need for timely treatment required YAs to make decisions about fertility treatment they felt unprepared for. </w:t>
      </w:r>
      <w:r w:rsidR="002863A1" w:rsidRPr="00AC37DD">
        <w:rPr>
          <w:sz w:val="20"/>
          <w:szCs w:val="20"/>
        </w:rPr>
        <w:t xml:space="preserve">The diagnosis and treatment </w:t>
      </w:r>
      <w:r w:rsidR="00A9671F" w:rsidRPr="00AC37DD">
        <w:rPr>
          <w:sz w:val="20"/>
          <w:szCs w:val="20"/>
        </w:rPr>
        <w:t>were</w:t>
      </w:r>
      <w:r w:rsidR="002863A1" w:rsidRPr="00AC37DD">
        <w:rPr>
          <w:sz w:val="20"/>
          <w:szCs w:val="20"/>
        </w:rPr>
        <w:t xml:space="preserve"> particularly disruptive as </w:t>
      </w:r>
      <w:r w:rsidR="002F0765" w:rsidRPr="00AC37DD">
        <w:rPr>
          <w:sz w:val="20"/>
          <w:szCs w:val="20"/>
        </w:rPr>
        <w:t>it forced</w:t>
      </w:r>
      <w:r w:rsidR="002863A1" w:rsidRPr="00AC37DD">
        <w:rPr>
          <w:sz w:val="20"/>
          <w:szCs w:val="20"/>
        </w:rPr>
        <w:t xml:space="preserve"> </w:t>
      </w:r>
      <w:r w:rsidR="002F0765" w:rsidRPr="00AC37DD">
        <w:rPr>
          <w:sz w:val="20"/>
          <w:szCs w:val="20"/>
        </w:rPr>
        <w:t>YAs</w:t>
      </w:r>
      <w:r w:rsidR="002863A1" w:rsidRPr="00AC37DD">
        <w:rPr>
          <w:sz w:val="20"/>
          <w:szCs w:val="20"/>
        </w:rPr>
        <w:t xml:space="preserve"> to face possible mortality at a time full of plans for the future.</w:t>
      </w:r>
    </w:p>
    <w:p w14:paraId="6067F8FC" w14:textId="4A9188F6" w:rsidR="00B77089" w:rsidRPr="00AC37DD" w:rsidRDefault="002863A1" w:rsidP="00097402">
      <w:pPr>
        <w:spacing w:before="240" w:after="120" w:line="480" w:lineRule="auto"/>
        <w:jc w:val="both"/>
        <w:rPr>
          <w:b/>
          <w:i/>
          <w:sz w:val="20"/>
          <w:szCs w:val="20"/>
        </w:rPr>
      </w:pPr>
      <w:r w:rsidRPr="00AC37DD">
        <w:rPr>
          <w:b/>
          <w:i/>
          <w:sz w:val="20"/>
          <w:szCs w:val="20"/>
        </w:rPr>
        <w:t>Subtheme 2: Uncertain</w:t>
      </w:r>
      <w:r w:rsidR="00B77089" w:rsidRPr="00AC37DD">
        <w:rPr>
          <w:b/>
          <w:i/>
          <w:sz w:val="20"/>
          <w:szCs w:val="20"/>
        </w:rPr>
        <w:t xml:space="preserve"> clinical outcomes</w:t>
      </w:r>
    </w:p>
    <w:p w14:paraId="4EE1F5C8" w14:textId="7DC50CB5" w:rsidR="00853634" w:rsidRPr="00AC37DD" w:rsidRDefault="004D2C24" w:rsidP="00853634">
      <w:pPr>
        <w:spacing w:line="480" w:lineRule="auto"/>
        <w:jc w:val="both"/>
        <w:rPr>
          <w:sz w:val="20"/>
          <w:szCs w:val="20"/>
        </w:rPr>
      </w:pPr>
      <w:r w:rsidRPr="00AC37DD">
        <w:rPr>
          <w:sz w:val="20"/>
          <w:szCs w:val="20"/>
        </w:rPr>
        <w:t xml:space="preserve">Uncertainty about short-term treatment outcomes and long-term life expectancy weighed heavily on the minds of many participants, particularly for patients with rare or advanced cancers. </w:t>
      </w:r>
      <w:r w:rsidR="00417060" w:rsidRPr="00AC37DD">
        <w:rPr>
          <w:sz w:val="20"/>
          <w:szCs w:val="20"/>
        </w:rPr>
        <w:t xml:space="preserve">YAs had to </w:t>
      </w:r>
      <w:r w:rsidR="00531FA8" w:rsidRPr="00AC37DD">
        <w:rPr>
          <w:sz w:val="20"/>
          <w:szCs w:val="20"/>
        </w:rPr>
        <w:t>defer</w:t>
      </w:r>
      <w:r w:rsidR="00417060" w:rsidRPr="00AC37DD">
        <w:rPr>
          <w:sz w:val="20"/>
          <w:szCs w:val="20"/>
        </w:rPr>
        <w:t xml:space="preserve"> plans for relationships, moving home and </w:t>
      </w:r>
      <w:r w:rsidR="00531FA8" w:rsidRPr="00AC37DD">
        <w:rPr>
          <w:sz w:val="20"/>
          <w:szCs w:val="20"/>
        </w:rPr>
        <w:t xml:space="preserve">furthering </w:t>
      </w:r>
      <w:r w:rsidR="00417060" w:rsidRPr="00AC37DD">
        <w:rPr>
          <w:sz w:val="20"/>
          <w:szCs w:val="20"/>
        </w:rPr>
        <w:t>careers</w:t>
      </w:r>
      <w:r w:rsidR="00531FA8" w:rsidRPr="00AC37DD">
        <w:rPr>
          <w:sz w:val="20"/>
          <w:szCs w:val="20"/>
        </w:rPr>
        <w:t>.</w:t>
      </w:r>
      <w:r w:rsidR="00417060" w:rsidRPr="00AC37DD">
        <w:rPr>
          <w:sz w:val="20"/>
          <w:szCs w:val="20"/>
        </w:rPr>
        <w:t xml:space="preserve"> </w:t>
      </w:r>
      <w:r w:rsidR="00531FA8" w:rsidRPr="00AC37DD">
        <w:rPr>
          <w:sz w:val="20"/>
          <w:szCs w:val="20"/>
        </w:rPr>
        <w:t>S</w:t>
      </w:r>
      <w:r w:rsidR="00853634" w:rsidRPr="00AC37DD">
        <w:rPr>
          <w:sz w:val="20"/>
          <w:szCs w:val="20"/>
        </w:rPr>
        <w:t xml:space="preserve">everal patients felt </w:t>
      </w:r>
      <w:r w:rsidR="002863A1" w:rsidRPr="00AC37DD">
        <w:rPr>
          <w:sz w:val="20"/>
          <w:szCs w:val="20"/>
        </w:rPr>
        <w:t>the uncertainty</w:t>
      </w:r>
      <w:r w:rsidR="00853634" w:rsidRPr="00AC37DD">
        <w:rPr>
          <w:sz w:val="20"/>
          <w:szCs w:val="20"/>
        </w:rPr>
        <w:t xml:space="preserve"> </w:t>
      </w:r>
      <w:r w:rsidR="00417060" w:rsidRPr="00AC37DD">
        <w:rPr>
          <w:sz w:val="20"/>
          <w:szCs w:val="20"/>
        </w:rPr>
        <w:t>made them feel like life was ‘on hold’ (4</w:t>
      </w:r>
      <w:r w:rsidRPr="00AC37DD">
        <w:rPr>
          <w:sz w:val="20"/>
          <w:szCs w:val="20"/>
        </w:rPr>
        <w:t>.2.1). O</w:t>
      </w:r>
      <w:r w:rsidR="00415F8C" w:rsidRPr="00AC37DD">
        <w:rPr>
          <w:sz w:val="20"/>
          <w:szCs w:val="20"/>
        </w:rPr>
        <w:t>ther</w:t>
      </w:r>
      <w:r w:rsidR="00853634" w:rsidRPr="00AC37DD">
        <w:rPr>
          <w:sz w:val="20"/>
          <w:szCs w:val="20"/>
        </w:rPr>
        <w:t xml:space="preserve"> </w:t>
      </w:r>
      <w:r w:rsidRPr="00AC37DD">
        <w:rPr>
          <w:sz w:val="20"/>
          <w:szCs w:val="20"/>
        </w:rPr>
        <w:t xml:space="preserve">patients described coping with the uncertainty by ‘living one day at a time’ or </w:t>
      </w:r>
      <w:r w:rsidR="002863A1" w:rsidRPr="00AC37DD">
        <w:rPr>
          <w:sz w:val="20"/>
          <w:szCs w:val="20"/>
        </w:rPr>
        <w:t xml:space="preserve">actively deciding not to focus on prognosis and </w:t>
      </w:r>
      <w:r w:rsidR="00531FA8" w:rsidRPr="00AC37DD">
        <w:rPr>
          <w:sz w:val="20"/>
          <w:szCs w:val="20"/>
        </w:rPr>
        <w:t>staying</w:t>
      </w:r>
      <w:r w:rsidR="002863A1" w:rsidRPr="00AC37DD">
        <w:rPr>
          <w:sz w:val="20"/>
          <w:szCs w:val="20"/>
        </w:rPr>
        <w:t xml:space="preserve"> positive about future life expectancy</w:t>
      </w:r>
      <w:r w:rsidR="00C42011" w:rsidRPr="00AC37DD">
        <w:rPr>
          <w:sz w:val="20"/>
          <w:szCs w:val="20"/>
        </w:rPr>
        <w:t xml:space="preserve"> (4.2.2)</w:t>
      </w:r>
      <w:r w:rsidR="00853634" w:rsidRPr="00AC37DD">
        <w:rPr>
          <w:sz w:val="20"/>
          <w:szCs w:val="20"/>
        </w:rPr>
        <w:t xml:space="preserve">. </w:t>
      </w:r>
      <w:r w:rsidR="002863A1" w:rsidRPr="00AC37DD">
        <w:rPr>
          <w:sz w:val="20"/>
          <w:szCs w:val="20"/>
        </w:rPr>
        <w:t>After treatment, anxiety around cancer recurrence was heightened by reduced monitoring and less frequent contact with the healthcare team</w:t>
      </w:r>
      <w:r w:rsidR="00C42011" w:rsidRPr="00AC37DD">
        <w:rPr>
          <w:sz w:val="20"/>
          <w:szCs w:val="20"/>
        </w:rPr>
        <w:t xml:space="preserve"> (4.2.3)</w:t>
      </w:r>
      <w:r w:rsidR="002863A1" w:rsidRPr="00AC37DD">
        <w:rPr>
          <w:sz w:val="20"/>
          <w:szCs w:val="20"/>
        </w:rPr>
        <w:t xml:space="preserve">. </w:t>
      </w:r>
    </w:p>
    <w:p w14:paraId="7D37FE2D" w14:textId="77777777" w:rsidR="00314931" w:rsidRPr="00AC37DD" w:rsidRDefault="00314931" w:rsidP="003B7457">
      <w:pPr>
        <w:spacing w:before="400" w:line="480" w:lineRule="auto"/>
        <w:jc w:val="both"/>
        <w:rPr>
          <w:b/>
          <w:sz w:val="20"/>
          <w:szCs w:val="20"/>
        </w:rPr>
      </w:pPr>
      <w:r w:rsidRPr="00AC37DD">
        <w:rPr>
          <w:b/>
          <w:sz w:val="20"/>
          <w:szCs w:val="20"/>
        </w:rPr>
        <w:t>DISCUSSION</w:t>
      </w:r>
    </w:p>
    <w:p w14:paraId="2E674DAE" w14:textId="5F0BDE3A" w:rsidR="007B2990" w:rsidRPr="00AC37DD" w:rsidRDefault="008D2918" w:rsidP="00151904">
      <w:pPr>
        <w:spacing w:line="480" w:lineRule="auto"/>
        <w:jc w:val="both"/>
        <w:rPr>
          <w:sz w:val="20"/>
          <w:szCs w:val="20"/>
        </w:rPr>
      </w:pPr>
      <w:r w:rsidRPr="00AC37DD">
        <w:rPr>
          <w:sz w:val="20"/>
          <w:szCs w:val="20"/>
        </w:rPr>
        <w:t>The psychosocial experiences and practical issues</w:t>
      </w:r>
      <w:r w:rsidR="00E93179" w:rsidRPr="00AC37DD">
        <w:rPr>
          <w:sz w:val="20"/>
          <w:szCs w:val="20"/>
        </w:rPr>
        <w:t xml:space="preserve"> identified here </w:t>
      </w:r>
      <w:r w:rsidR="00151904" w:rsidRPr="00AC37DD">
        <w:rPr>
          <w:sz w:val="20"/>
          <w:szCs w:val="20"/>
        </w:rPr>
        <w:t>are centred on</w:t>
      </w:r>
      <w:r w:rsidR="00E93179" w:rsidRPr="00AC37DD">
        <w:rPr>
          <w:sz w:val="20"/>
          <w:szCs w:val="20"/>
        </w:rPr>
        <w:t xml:space="preserve"> </w:t>
      </w:r>
      <w:r w:rsidR="00151904" w:rsidRPr="00AC37DD">
        <w:rPr>
          <w:sz w:val="20"/>
          <w:szCs w:val="20"/>
        </w:rPr>
        <w:t xml:space="preserve">the active </w:t>
      </w:r>
      <w:r w:rsidR="00E93179" w:rsidRPr="00AC37DD">
        <w:rPr>
          <w:sz w:val="20"/>
          <w:szCs w:val="20"/>
        </w:rPr>
        <w:t xml:space="preserve">day-to-day routine </w:t>
      </w:r>
      <w:r w:rsidR="00151904" w:rsidRPr="00AC37DD">
        <w:rPr>
          <w:sz w:val="20"/>
          <w:szCs w:val="20"/>
        </w:rPr>
        <w:t xml:space="preserve">of YAs </w:t>
      </w:r>
      <w:r w:rsidR="00E93179" w:rsidRPr="00AC37DD">
        <w:rPr>
          <w:sz w:val="20"/>
          <w:szCs w:val="20"/>
        </w:rPr>
        <w:t xml:space="preserve">with early careers and young families and the sudden disruption of </w:t>
      </w:r>
      <w:r w:rsidR="008964CF" w:rsidRPr="00AC37DD">
        <w:rPr>
          <w:sz w:val="20"/>
          <w:szCs w:val="20"/>
        </w:rPr>
        <w:t xml:space="preserve">their </w:t>
      </w:r>
      <w:r w:rsidR="00E93179" w:rsidRPr="00AC37DD">
        <w:rPr>
          <w:sz w:val="20"/>
          <w:szCs w:val="20"/>
        </w:rPr>
        <w:t xml:space="preserve">activity </w:t>
      </w:r>
      <w:r w:rsidR="008964CF" w:rsidRPr="00AC37DD">
        <w:rPr>
          <w:sz w:val="20"/>
          <w:szCs w:val="20"/>
        </w:rPr>
        <w:t xml:space="preserve">following </w:t>
      </w:r>
      <w:r w:rsidR="0045436B" w:rsidRPr="00AC37DD">
        <w:rPr>
          <w:sz w:val="20"/>
          <w:szCs w:val="20"/>
        </w:rPr>
        <w:t>a</w:t>
      </w:r>
      <w:r w:rsidR="00E93179" w:rsidRPr="00AC37DD">
        <w:rPr>
          <w:sz w:val="20"/>
          <w:szCs w:val="20"/>
        </w:rPr>
        <w:t xml:space="preserve"> cancer diagnosis.</w:t>
      </w:r>
      <w:r w:rsidRPr="00AC37DD">
        <w:rPr>
          <w:sz w:val="20"/>
          <w:szCs w:val="20"/>
        </w:rPr>
        <w:t xml:space="preserve"> </w:t>
      </w:r>
      <w:r w:rsidR="007B2990" w:rsidRPr="00AC37DD">
        <w:rPr>
          <w:sz w:val="20"/>
          <w:szCs w:val="20"/>
        </w:rPr>
        <w:t xml:space="preserve">This interruption may threaten YAs’ sense of identity </w:t>
      </w:r>
      <w:r w:rsidRPr="00AC37DD">
        <w:rPr>
          <w:sz w:val="20"/>
          <w:szCs w:val="20"/>
        </w:rPr>
        <w:t>as a young person</w:t>
      </w:r>
      <w:r w:rsidR="008964CF" w:rsidRPr="00AC37DD">
        <w:rPr>
          <w:sz w:val="20"/>
          <w:szCs w:val="20"/>
        </w:rPr>
        <w:t>, in contrast to</w:t>
      </w:r>
      <w:r w:rsidR="007B2990" w:rsidRPr="00AC37DD">
        <w:rPr>
          <w:sz w:val="20"/>
          <w:szCs w:val="20"/>
        </w:rPr>
        <w:t xml:space="preserve"> older adults</w:t>
      </w:r>
      <w:r w:rsidR="008964CF" w:rsidRPr="00AC37DD">
        <w:rPr>
          <w:sz w:val="20"/>
          <w:szCs w:val="20"/>
        </w:rPr>
        <w:t xml:space="preserve"> who</w:t>
      </w:r>
      <w:r w:rsidR="007B2990" w:rsidRPr="00AC37DD">
        <w:rPr>
          <w:sz w:val="20"/>
          <w:szCs w:val="20"/>
        </w:rPr>
        <w:t xml:space="preserve"> may find cancer less disruptive to personal identity in the context of ageing and declining health</w:t>
      </w:r>
      <w:r w:rsidR="00975B33" w:rsidRPr="00AC37DD">
        <w:rPr>
          <w:sz w:val="20"/>
          <w:szCs w:val="20"/>
        </w:rPr>
        <w:t xml:space="preserve"> </w:t>
      </w:r>
      <w:r w:rsidR="007B2990" w:rsidRPr="00AC37DD">
        <w:rPr>
          <w:sz w:val="20"/>
          <w:szCs w:val="20"/>
        </w:rPr>
        <w:fldChar w:fldCharType="begin" w:fldLock="1"/>
      </w:r>
      <w:r w:rsidR="0095519A" w:rsidRPr="00AC37DD">
        <w:rPr>
          <w:sz w:val="20"/>
          <w:szCs w:val="20"/>
        </w:rPr>
        <w:instrText>ADDIN CSL_CITATION {"citationItems":[{"id":"ITEM-1","itemData":{"DOI":"10.1080/07347332.2016.1221017","ISSN":"15407586","PMID":"27715772","abstract":"This article evaluates how older cancer patients describe cancer survivorship and incorporate the cancer experience into long-term evaluations of health. From a series of 53 qualitative interviews with adults with histories of breast and prostate cancers and non-Hodgkin's lymphoma, we analyzed age-related discussions among those 65 and older (n = 21). Emergent themes revealed the: (1) historical conceptualization of cancer, (2) changed perspective following diagnosis, (3) cancer in the context of a long biography, (4) cancer in the context of the aging body and decline, and (5) meaning of time remaining and quality of life. One important suggestion from our work, relevant to all clinicians regardless of specialty or role, is to incorporate goals for the future into individualized survivor care plans for older survivors.","author":[{"dropping-particle":"","family":"Hannum","given":"Susan M.","non-dropping-particle":"","parse-names":false,"suffix":""},{"dropping-particle":"","family":"Clegg Smith","given":"Katherine","non-dropping-particle":"","parse-names":false,"suffix":""},{"dropping-particle":"","family":"Coa","given":"Kisha","non-dropping-particle":"","parse-names":false,"suffix":""},{"dropping-particle":"","family":"Klassen","given":"Ann C.","non-dropping-particle":"","parse-names":false,"suffix":""}],"container-title":"Journal of Psychosocial Oncology","id":"ITEM-1","issue":"6","issued":{"date-parts":[["2016"]]},"page":"477-492","publisher":"Taylor &amp; Francis","title":"Identity reconstruction among older cancer survivors: Age and meaning in the context of a life-altering illness","type":"article-journal","volume":"34"},"uris":["http://www.mendeley.com/documents/?uuid=e890803d-9409-4838-ba0d-46bdaee0ee94"]}],"mendeley":{"formattedCitation":"(Hannum, Clegg Smith, Coa, &amp; Klassen, 2016)","plainTextFormattedCitation":"(Hannum, Clegg Smith, Coa, &amp; Klassen, 2016)","previouslyFormattedCitation":"(Hannum, Clegg Smith, Coa, &amp; Klassen, 2016)"},"properties":{"noteIndex":0},"schema":"https://github.com/citation-style-language/schema/raw/master/csl-citation.json"}</w:instrText>
      </w:r>
      <w:r w:rsidR="007B2990" w:rsidRPr="00AC37DD">
        <w:rPr>
          <w:sz w:val="20"/>
          <w:szCs w:val="20"/>
        </w:rPr>
        <w:fldChar w:fldCharType="separate"/>
      </w:r>
      <w:r w:rsidR="0095519A" w:rsidRPr="00AC37DD">
        <w:rPr>
          <w:noProof/>
          <w:sz w:val="20"/>
          <w:szCs w:val="20"/>
        </w:rPr>
        <w:t>(Hannum, Clegg Smith, Coa, &amp; Klassen, 2016)</w:t>
      </w:r>
      <w:r w:rsidR="007B2990" w:rsidRPr="00AC37DD">
        <w:rPr>
          <w:sz w:val="20"/>
          <w:szCs w:val="20"/>
        </w:rPr>
        <w:fldChar w:fldCharType="end"/>
      </w:r>
      <w:r w:rsidR="00975B33" w:rsidRPr="00AC37DD">
        <w:rPr>
          <w:sz w:val="20"/>
          <w:szCs w:val="20"/>
        </w:rPr>
        <w:t>.</w:t>
      </w:r>
    </w:p>
    <w:p w14:paraId="5B6854FC" w14:textId="7CFC09CC" w:rsidR="00151904" w:rsidRPr="00AC37DD" w:rsidRDefault="00151904" w:rsidP="00151904">
      <w:pPr>
        <w:spacing w:line="480" w:lineRule="auto"/>
        <w:jc w:val="both"/>
        <w:rPr>
          <w:sz w:val="20"/>
          <w:szCs w:val="20"/>
        </w:rPr>
      </w:pPr>
      <w:r w:rsidRPr="00AC37DD">
        <w:rPr>
          <w:sz w:val="20"/>
          <w:szCs w:val="20"/>
        </w:rPr>
        <w:lastRenderedPageBreak/>
        <w:t>Family, important to people of any age, play</w:t>
      </w:r>
      <w:r w:rsidR="008964CF" w:rsidRPr="00AC37DD">
        <w:rPr>
          <w:sz w:val="20"/>
          <w:szCs w:val="20"/>
        </w:rPr>
        <w:t>s</w:t>
      </w:r>
      <w:r w:rsidRPr="00AC37DD">
        <w:rPr>
          <w:sz w:val="20"/>
          <w:szCs w:val="20"/>
        </w:rPr>
        <w:t xml:space="preserve"> a unique role for YAs. </w:t>
      </w:r>
      <w:r w:rsidR="00662D1E" w:rsidRPr="00AC37DD">
        <w:rPr>
          <w:sz w:val="20"/>
          <w:szCs w:val="20"/>
        </w:rPr>
        <w:t xml:space="preserve">While social isolation is experienced acutely across the AYA age range, YAs have the added complexity of missing out on the lives and development of young children </w:t>
      </w:r>
      <w:r w:rsidR="00662D1E" w:rsidRPr="00AC37DD">
        <w:rPr>
          <w:sz w:val="20"/>
          <w:szCs w:val="20"/>
        </w:rPr>
        <w:fldChar w:fldCharType="begin" w:fldLock="1"/>
      </w:r>
      <w:r w:rsidR="00662D1E" w:rsidRPr="00AC37DD">
        <w:rPr>
          <w:sz w:val="20"/>
          <w:szCs w:val="20"/>
        </w:rPr>
        <w:instrText>ADDIN CSL_CITATION {"citationItems":[{"id":"ITEM-1","itemData":{"DOI":"10.1007/s00520-015-2849-8","ISBN":"1433-7339","ISSN":"14337339","PMID":"26190361","abstract":"PURPOSE: Adolescents and young adults (AYA) are a developmentally distinct cancer group, vulnerable to psychosocial late effects and with a range of unmet psychosocial needs. We sought to better understand psychosocial care needs and program preferences to inform development of more easily accessible and effective AYA psychosocial programs.\\n\\nMETHODS: AYA on and off treatment for cancer (n = 111, ages 12-25 years) were approached during an outpatient clinic visit and completed a survey as part of a quality improvement initiative. The survey comprised an open-ended question on challenges related to cancer and treatment and closed-ended questions on access to and preference for various services and programs. Qualitative analyses were used to summarize themes for most significant challenges, and descriptive statistics were used for closed-ended questions.\\n\\nRESULTS: Most common themes for challenges included treatments and associated physical changes, barriers to pursuit of academic/vocational goals, and social isolation. For preferred program focus, AYA ranked highest increasing strength and endurance/reintegration into sports and dealing with physical changes resulting from treatment. AYA's preferred modalities for program delivery were one-on-one/in person and message boards/Facebook. Most of the sample indicated that lack of awareness prevented their accessing available programs.\\n\\nCONCLUSIONS: New information was identified that can be used to address access barriers and to offer AYA psychosocial programs in formats that might improve interest and accessibility. Ongoing evaluation of AYA psychosocial programs is recommended to determine acceptability, feasibility, and effectiveness to meet the evolving needs of AYA patients with cancer.","author":[{"dropping-particle":"","family":"Barakat","given":"Lamia P.","non-dropping-particle":"","parse-names":false,"suffix":""},{"dropping-particle":"","family":"Galtieri","given":"Liana R.","non-dropping-particle":"","parse-names":false,"suffix":""},{"dropping-particle":"","family":"Szalda","given":"Dava","non-dropping-particle":"","parse-names":false,"suffix":""},{"dropping-particle":"","family":"Schwartz","given":"Lisa A.","non-dropping-particle":"","parse-names":false,"suffix":""}],"container-title":"Supportive Care in Cancer","id":"ITEM-1","issue":"2","issued":{"date-parts":[["2016"]]},"page":"823-832","title":"Assessing the psychosocial needs and program preferences of adolescents and young adults with cancer","type":"article-journal","volume":"24"},"uris":["http://www.mendeley.com/documents/?uuid=96fae058-f6c2-4729-b551-39dc40417a6b"]}],"mendeley":{"formattedCitation":"(Barakat, Galtieri, Szalda, &amp; Schwartz, 2016)","plainTextFormattedCitation":"(Barakat, Galtieri, Szalda, &amp; Schwartz, 2016)","previouslyFormattedCitation":"(Barakat, Galtieri, Szalda, &amp; Schwartz, 2016)"},"properties":{"noteIndex":0},"schema":"https://github.com/citation-style-language/schema/raw/master/csl-citation.json"}</w:instrText>
      </w:r>
      <w:r w:rsidR="00662D1E" w:rsidRPr="00AC37DD">
        <w:rPr>
          <w:sz w:val="20"/>
          <w:szCs w:val="20"/>
        </w:rPr>
        <w:fldChar w:fldCharType="separate"/>
      </w:r>
      <w:r w:rsidR="00662D1E" w:rsidRPr="00AC37DD">
        <w:rPr>
          <w:noProof/>
          <w:sz w:val="20"/>
          <w:szCs w:val="20"/>
        </w:rPr>
        <w:t>(Barakat, Galtieri, Szalda, &amp; Schwartz, 2016)</w:t>
      </w:r>
      <w:r w:rsidR="00662D1E" w:rsidRPr="00AC37DD">
        <w:rPr>
          <w:sz w:val="20"/>
          <w:szCs w:val="20"/>
        </w:rPr>
        <w:fldChar w:fldCharType="end"/>
      </w:r>
      <w:r w:rsidR="00662D1E" w:rsidRPr="00AC37DD">
        <w:rPr>
          <w:sz w:val="20"/>
          <w:szCs w:val="20"/>
        </w:rPr>
        <w:t xml:space="preserve">. At present, YAs do not benefit from tailored measures to reduce social isolation in wards and clinics that exist in TYA treatment centres </w:t>
      </w:r>
      <w:r w:rsidR="00662D1E" w:rsidRPr="00AC37DD">
        <w:rPr>
          <w:sz w:val="20"/>
          <w:szCs w:val="20"/>
        </w:rPr>
        <w:fldChar w:fldCharType="begin" w:fldLock="1"/>
      </w:r>
      <w:r w:rsidR="00662D1E" w:rsidRPr="00AC37DD">
        <w:rPr>
          <w:sz w:val="20"/>
          <w:szCs w:val="20"/>
        </w:rPr>
        <w:instrText>ADDIN CSL_CITATION {"citationItems":[{"id":"ITEM-1","itemData":{"DOI":"10.1089/jayao.2016.0012","ISSN":"2156-5333","PMID":"27454408","abstract":"PURPOSE To assess what is currently known about unmet needs and care experiences of adolescents and young adults (AYAs) with cancer, identify gaps in the research literature, and highlight potential areas for improvement in future research. METHODS Medline, PsycINFO, CINAHL, and EMBASE databases were searched to identify relevant studies from 1990 to July 2015. Eligible articles included self-reported care experiences or unmet needs of cancer patients aged between 15 and 30 years in the period between symptom onset and 2 years post-treatment. Qualitative and quantitative designs were included. RESULTS Forty-five articles from 39 studies (23 qualitative, 12 quantitative, and 4 mixed methods) were rated as \"adequate\" or \"good\" quality and reviewed. The majority included any cancer diagnoses and none was longitudinal. There was considerable variation in age ranges and time since diagnosis between studies. Only two studies used standardized survey tools, with both tools validated on adult populations. The most common areas assessed for care experiences and needs were information/communication and fertility. In addition, care experience studies commonly examined clinical expertise and age-appropriate settings, while unmet needs studies reported on emotional support and peer interaction. CONCLUSION Findings highlight the need for age-appropriate information and treatment facilities, access to emotional support services, and contact with peers. Fertility information and services are a priority issue for this group. Future research would benefit from a consistent definition of the AYA age range, increased used of standardized scales validated with this population, and longitudinal designs to assess changes over time.","author":[{"dropping-particle":"","family":"Bibby","given":"Helen","non-dropping-particle":"","parse-names":false,"suffix":""},{"dropping-particle":"","family":"White","given":"Victoria","non-dropping-particle":"","parse-names":false,"suffix":""},{"dropping-particle":"","family":"Thompson","given":"Kate","non-dropping-particle":"","parse-names":false,"suffix":""},{"dropping-particle":"","family":"Anazodo","given":"Antoinette","non-dropping-particle":"","parse-names":false,"suffix":""}],"container-title":"Journal of Adolescent and Young Adult Oncology","id":"ITEM-1","issue":"1","issued":{"date-parts":[["2017","3"]]},"page":"6-30","title":"What Are the Unmet Needs and Care Experiences of Adolescents and Young Adults with Cancer? A Systematic Review","type":"article-journal","volume":"6"},"uris":["http://www.mendeley.com/documents/?uuid=c3dbd420-89a6-3d37-ad1c-e244c1f98d20"]}],"mendeley":{"formattedCitation":"(Bibby, White, Thompson, &amp; Anazodo, 2017)","plainTextFormattedCitation":"(Bibby, White, Thompson, &amp; Anazodo, 2017)","previouslyFormattedCitation":"(Bibby, White, Thompson, &amp; Anazodo, 2017)"},"properties":{"noteIndex":0},"schema":"https://github.com/citation-style-language/schema/raw/master/csl-citation.json"}</w:instrText>
      </w:r>
      <w:r w:rsidR="00662D1E" w:rsidRPr="00AC37DD">
        <w:rPr>
          <w:sz w:val="20"/>
          <w:szCs w:val="20"/>
        </w:rPr>
        <w:fldChar w:fldCharType="separate"/>
      </w:r>
      <w:r w:rsidR="00662D1E" w:rsidRPr="00AC37DD">
        <w:rPr>
          <w:noProof/>
          <w:sz w:val="20"/>
          <w:szCs w:val="20"/>
        </w:rPr>
        <w:t>(Bibby, White, Thompson, &amp; Anazodo, 2017)</w:t>
      </w:r>
      <w:r w:rsidR="00662D1E" w:rsidRPr="00AC37DD">
        <w:rPr>
          <w:sz w:val="20"/>
          <w:szCs w:val="20"/>
        </w:rPr>
        <w:fldChar w:fldCharType="end"/>
      </w:r>
      <w:r w:rsidR="00662D1E" w:rsidRPr="00AC37DD">
        <w:rPr>
          <w:sz w:val="20"/>
          <w:szCs w:val="20"/>
        </w:rPr>
        <w:t xml:space="preserve">. While psychosocial support for TYAs focuses on access to peers, services for YAs need to also provide family support. Although not specifically asked about, YAs did not describe feeling frustrated about </w:t>
      </w:r>
      <w:r w:rsidRPr="00AC37DD">
        <w:rPr>
          <w:sz w:val="20"/>
          <w:szCs w:val="20"/>
        </w:rPr>
        <w:t>becoming dependent on parents</w:t>
      </w:r>
      <w:r w:rsidR="00662D1E" w:rsidRPr="00AC37DD">
        <w:rPr>
          <w:sz w:val="20"/>
          <w:szCs w:val="20"/>
        </w:rPr>
        <w:t xml:space="preserve"> again</w:t>
      </w:r>
      <w:r w:rsidR="00772B49" w:rsidRPr="00AC37DD">
        <w:rPr>
          <w:sz w:val="20"/>
          <w:szCs w:val="20"/>
        </w:rPr>
        <w:t xml:space="preserve"> or</w:t>
      </w:r>
      <w:r w:rsidR="00F942E7" w:rsidRPr="00AC37DD">
        <w:rPr>
          <w:sz w:val="20"/>
          <w:szCs w:val="20"/>
        </w:rPr>
        <w:t xml:space="preserve"> perceive relying on parents for childcare or housing as a regression in development as previous theories infer. </w:t>
      </w:r>
      <w:r w:rsidR="00662D1E" w:rsidRPr="00AC37DD">
        <w:rPr>
          <w:sz w:val="20"/>
          <w:szCs w:val="20"/>
        </w:rPr>
        <w:t>Notably these feelings are often</w:t>
      </w:r>
      <w:r w:rsidRPr="00AC37DD">
        <w:rPr>
          <w:sz w:val="20"/>
          <w:szCs w:val="20"/>
        </w:rPr>
        <w:t xml:space="preserve"> </w:t>
      </w:r>
      <w:r w:rsidR="00662D1E" w:rsidRPr="00AC37DD">
        <w:rPr>
          <w:sz w:val="20"/>
          <w:szCs w:val="20"/>
        </w:rPr>
        <w:t>observed in</w:t>
      </w:r>
      <w:r w:rsidRPr="00AC37DD">
        <w:rPr>
          <w:sz w:val="20"/>
          <w:szCs w:val="20"/>
        </w:rPr>
        <w:t xml:space="preserve"> TYAs</w:t>
      </w:r>
      <w:r w:rsidR="00975B33" w:rsidRPr="00AC37DD">
        <w:rPr>
          <w:sz w:val="20"/>
          <w:szCs w:val="20"/>
        </w:rPr>
        <w:t xml:space="preserve"> </w:t>
      </w:r>
      <w:r w:rsidRPr="00AC37DD">
        <w:rPr>
          <w:sz w:val="20"/>
          <w:szCs w:val="20"/>
        </w:rPr>
        <w:fldChar w:fldCharType="begin" w:fldLock="1"/>
      </w:r>
      <w:r w:rsidR="0095519A" w:rsidRPr="00AC37DD">
        <w:rPr>
          <w:sz w:val="20"/>
          <w:szCs w:val="20"/>
        </w:rPr>
        <w:instrText>ADDIN CSL_CITATION {"citationItems":[{"id":"ITEM-1","itemData":{"ISSN":"0162-220X","author":[{"dropping-particle":"","family":"Hokkanen","given":"Hannele","non-dropping-particle":"","parse-names":false,"suffix":""},{"dropping-particle":"","family":"Eriksson","given":"Elina","non-dropping-particle":"","parse-names":false,"suffix":""},{"dropping-particle":"","family":"Ahonen","given":"Outi","non-dropping-particle":"","parse-names":false,"suffix":""},{"dropping-particle":"","family":"Salantera","given":"Sanna","non-dropping-particle":"","parse-names":false,"suffix":""}],"container-title":"Cancer nursing","id":"ITEM-1","issue":"4","issued":{"date-parts":[["2004"]]},"page":"325-335","publisher":"LWW","title":"Adolescents with cancer: experience of life and how it could be made easier","type":"article-journal","volume":"27"},"uris":["http://www.mendeley.com/documents/?uuid=8b8693e1-576c-485b-a5ca-16819bcbea7f"]},{"id":"ITEM-2","itemData":{"DOI":"10.1097/NCC.0000000000000307","ISBN":"0000000000000","author":[{"dropping-particle":"","family":"Belpame","given":"Nathalie","non-dropping-particle":"","parse-names":false,"suffix":""},{"dropping-particle":"","family":"Kars","given":"Marijke C.","non-dropping-particle":"","parse-names":false,"suffix":""},{"dropping-particle":"","family":"Beeckman","given":"Dimitri","non-dropping-particle":"","parse-names":false,"suffix":""},{"dropping-particle":"","family":"Decoene","given":"Elsie","non-dropping-particle":"","parse-names":false,"suffix":""},{"dropping-particle":"","family":"Quaghebeur","given":"Marijke","non-dropping-particle":"","parse-names":false,"suffix":""},{"dropping-particle":"Van","family":"Hecke","given":"Ann","non-dropping-particle":"","parse-names":false,"suffix":""},{"dropping-particle":"","family":"Verhaeghe","given":"Sofie","non-dropping-particle":"","parse-names":false,"suffix":""}],"container-title":"Cancer Nursing","id":"ITEM-2","issue":"4","issued":{"date-parts":[["2016"]]},"page":"292-302","title":"‘‘ The AYA Director ’’: A Synthesizing Concept to Understand Psychosocial Experiences of Adolescents and Young Adults With Cancer","type":"article-journal","volume":"39"},"uris":["http://www.mendeley.com/documents/?uuid=777b40cc-64dc-4d35-88ac-a5491b7ee605"]}],"mendeley":{"formattedCitation":"(Belpame et al., 2016; Hokkanen, Eriksson, Ahonen, &amp; Salantera, 2004)","plainTextFormattedCitation":"(Belpame et al., 2016; Hokkanen, Eriksson, Ahonen, &amp; Salantera, 2004)","previouslyFormattedCitation":"(Belpame et al., 2016; Hokkanen, Eriksson, Ahonen, &amp; Salantera, 2004)"},"properties":{"noteIndex":0},"schema":"https://github.com/citation-style-language/schema/raw/master/csl-citation.json"}</w:instrText>
      </w:r>
      <w:r w:rsidRPr="00AC37DD">
        <w:rPr>
          <w:sz w:val="20"/>
          <w:szCs w:val="20"/>
        </w:rPr>
        <w:fldChar w:fldCharType="separate"/>
      </w:r>
      <w:r w:rsidR="0095519A" w:rsidRPr="00AC37DD">
        <w:rPr>
          <w:noProof/>
          <w:sz w:val="20"/>
          <w:szCs w:val="20"/>
        </w:rPr>
        <w:t>(Belpame et al., 2016; Hokkanen, Eriksson, Ahonen, &amp; Salantera, 2004)</w:t>
      </w:r>
      <w:r w:rsidRPr="00AC37DD">
        <w:rPr>
          <w:sz w:val="20"/>
          <w:szCs w:val="20"/>
        </w:rPr>
        <w:fldChar w:fldCharType="end"/>
      </w:r>
      <w:r w:rsidR="004F2E91" w:rsidRPr="00AC37DD">
        <w:rPr>
          <w:sz w:val="20"/>
          <w:szCs w:val="20"/>
        </w:rPr>
        <w:t>.</w:t>
      </w:r>
      <w:r w:rsidRPr="00AC37DD">
        <w:rPr>
          <w:sz w:val="20"/>
          <w:szCs w:val="20"/>
        </w:rPr>
        <w:t xml:space="preserve"> In contrast, YAs actively protect</w:t>
      </w:r>
      <w:r w:rsidR="000D6F04" w:rsidRPr="00AC37DD">
        <w:rPr>
          <w:sz w:val="20"/>
          <w:szCs w:val="20"/>
        </w:rPr>
        <w:t>ed</w:t>
      </w:r>
      <w:r w:rsidRPr="00AC37DD">
        <w:rPr>
          <w:sz w:val="20"/>
          <w:szCs w:val="20"/>
        </w:rPr>
        <w:t xml:space="preserve"> parents and friends from the emotional burden of the </w:t>
      </w:r>
      <w:r w:rsidR="00662D1E" w:rsidRPr="00AC37DD">
        <w:rPr>
          <w:sz w:val="20"/>
          <w:szCs w:val="20"/>
        </w:rPr>
        <w:t>condition</w:t>
      </w:r>
      <w:r w:rsidR="004F2E91" w:rsidRPr="00AC37DD">
        <w:rPr>
          <w:sz w:val="20"/>
          <w:szCs w:val="20"/>
        </w:rPr>
        <w:t xml:space="preserve"> </w:t>
      </w:r>
      <w:r w:rsidRPr="00AC37DD">
        <w:rPr>
          <w:sz w:val="20"/>
          <w:szCs w:val="20"/>
        </w:rPr>
        <w:fldChar w:fldCharType="begin" w:fldLock="1"/>
      </w:r>
      <w:r w:rsidR="0095519A" w:rsidRPr="00AC37DD">
        <w:rPr>
          <w:sz w:val="20"/>
          <w:szCs w:val="20"/>
        </w:rPr>
        <w:instrText>ADDIN CSL_CITATION {"citationItems":[{"id":"ITEM-1","itemData":{"DOI":"10.1080/07347332.2013.835018","ISBN":"0734-7332","ISSN":"07347332","PMID":"24175897","abstract":"Young adult (YA) cancer survivors have specific needs because of their age and life stage. The authors investigated the challenges and resource needs of YA survivors, exploring the influence of age at diagnosis (i.e., diagnosis during childhood vs. young adulthood) and the diagnosis of a brain tumor. The authors conducted four focus groups with YA survivors (N = 22, age 18-35), treated for brain tumors or other cancers in childhood (mean age at diagnosis ± SD: brain, 10.7 ± 2.86; other cancers, 10.5 ± 3.51) or as YAs (brain, 23.5 ± 4.04; other cancers, 25.6 ± 4.10). Transcripts of audiotaped sessions were coded using thematic analysis. Common challenges across the groups included physical appearance, fertility, late effects, social relationships, and changing priorities. Childhood cancer survivors struggled with identity formation, social isolation, and health care transitions. Concerns specific to survivors diagnosed as YAs included financial independence and protecting parents. Childhood brain tumor survivors struggled with cognitive deficits, limited career options, and poor social skills, whereas brain tumor survivors diagnosed as YAs emphasized cognitive decline, loss of autonomy, and living with an incurable disease. Despite the unique challenges identified, all groups described similar resource needs including peer support, age-specific information, and having health care providers proactively raise salient issues. Young adult cancer survivors have many similar psychosocial and information needs regardless of age at or type of diagnosis that differ from those of pediatric and older adult survivors. With improved survival rates, the small number of YA in any one institution will grow. It will become increasingly important to create comprehensive, age-appropriate YA programs that address overlapping and unique needs of survivors at this life stage.","author":[{"dropping-particle":"","family":"D'Agostino","given":"Norma Mammone","non-dropping-particle":"","parse-names":false,"suffix":""},{"dropping-particle":"","family":"Edelstein","given":"Kim","non-dropping-particle":"","parse-names":false,"suffix":""}],"container-title":"Journal of Psychosocial Oncology","id":"ITEM-1","issue":"6","issued":{"date-parts":[["2013"]]},"page":"585-600","title":"Psychosocial challenges and resource needs of young adult cancer survivors: Implications for program development","type":"article-journal","volume":"31"},"uris":["http://www.mendeley.com/documents/?uuid=34d5d06f-ea9c-4dad-90a0-b34463754eb1"]}],"mendeley":{"formattedCitation":"(Norma Mammone D’Agostino &amp; Edelstein, 2013)","plainTextFormattedCitation":"(Norma Mammone D’Agostino &amp; Edelstein, 2013)","previouslyFormattedCitation":"(Norma Mammone D’Agostino &amp; Edelstein, 2013)"},"properties":{"noteIndex":0},"schema":"https://github.com/citation-style-language/schema/raw/master/csl-citation.json"}</w:instrText>
      </w:r>
      <w:r w:rsidRPr="00AC37DD">
        <w:rPr>
          <w:sz w:val="20"/>
          <w:szCs w:val="20"/>
        </w:rPr>
        <w:fldChar w:fldCharType="separate"/>
      </w:r>
      <w:r w:rsidR="0095519A" w:rsidRPr="00AC37DD">
        <w:rPr>
          <w:noProof/>
          <w:sz w:val="20"/>
          <w:szCs w:val="20"/>
        </w:rPr>
        <w:t>(Norma Mammone D’Agostino &amp; Edelstein, 2013)</w:t>
      </w:r>
      <w:r w:rsidRPr="00AC37DD">
        <w:rPr>
          <w:sz w:val="20"/>
          <w:szCs w:val="20"/>
        </w:rPr>
        <w:fldChar w:fldCharType="end"/>
      </w:r>
      <w:r w:rsidR="004F2E91" w:rsidRPr="00AC37DD">
        <w:rPr>
          <w:sz w:val="20"/>
          <w:szCs w:val="20"/>
        </w:rPr>
        <w:t>.</w:t>
      </w:r>
      <w:r w:rsidRPr="00AC37DD">
        <w:rPr>
          <w:sz w:val="20"/>
          <w:szCs w:val="20"/>
        </w:rPr>
        <w:t xml:space="preserve"> </w:t>
      </w:r>
    </w:p>
    <w:p w14:paraId="099F1ED9" w14:textId="457500FE" w:rsidR="007B2990" w:rsidRPr="00AC37DD" w:rsidRDefault="007A3D98" w:rsidP="003B7457">
      <w:pPr>
        <w:spacing w:line="480" w:lineRule="auto"/>
        <w:jc w:val="both"/>
        <w:rPr>
          <w:sz w:val="20"/>
          <w:szCs w:val="20"/>
        </w:rPr>
      </w:pPr>
      <w:r w:rsidRPr="00AC37DD">
        <w:rPr>
          <w:sz w:val="20"/>
          <w:szCs w:val="20"/>
        </w:rPr>
        <w:t>Work play</w:t>
      </w:r>
      <w:r w:rsidR="008964CF" w:rsidRPr="00AC37DD">
        <w:rPr>
          <w:sz w:val="20"/>
          <w:szCs w:val="20"/>
        </w:rPr>
        <w:t>s</w:t>
      </w:r>
      <w:r w:rsidRPr="00AC37DD">
        <w:rPr>
          <w:sz w:val="20"/>
          <w:szCs w:val="20"/>
        </w:rPr>
        <w:t xml:space="preserve"> an important role for YAs </w:t>
      </w:r>
      <w:r w:rsidR="00831CEE" w:rsidRPr="00AC37DD">
        <w:rPr>
          <w:sz w:val="20"/>
          <w:szCs w:val="20"/>
        </w:rPr>
        <w:t>as a financial necessity but also in providing a</w:t>
      </w:r>
      <w:r w:rsidRPr="00AC37DD">
        <w:rPr>
          <w:sz w:val="20"/>
          <w:szCs w:val="20"/>
        </w:rPr>
        <w:t xml:space="preserve"> sense of </w:t>
      </w:r>
      <w:r w:rsidR="008D2918" w:rsidRPr="00AC37DD">
        <w:rPr>
          <w:sz w:val="20"/>
          <w:szCs w:val="20"/>
        </w:rPr>
        <w:t>normality</w:t>
      </w:r>
      <w:r w:rsidRPr="00AC37DD">
        <w:rPr>
          <w:sz w:val="20"/>
          <w:szCs w:val="20"/>
        </w:rPr>
        <w:t>,</w:t>
      </w:r>
      <w:r w:rsidR="004B6AED" w:rsidRPr="00AC37DD">
        <w:rPr>
          <w:sz w:val="20"/>
          <w:szCs w:val="20"/>
        </w:rPr>
        <w:t xml:space="preserve"> </w:t>
      </w:r>
      <w:r w:rsidR="00831CEE" w:rsidRPr="00AC37DD">
        <w:rPr>
          <w:sz w:val="20"/>
          <w:szCs w:val="20"/>
        </w:rPr>
        <w:t xml:space="preserve">a </w:t>
      </w:r>
      <w:r w:rsidR="004B6AED" w:rsidRPr="00AC37DD">
        <w:rPr>
          <w:sz w:val="20"/>
          <w:szCs w:val="20"/>
        </w:rPr>
        <w:t>source of</w:t>
      </w:r>
      <w:r w:rsidRPr="00AC37DD">
        <w:rPr>
          <w:sz w:val="20"/>
          <w:szCs w:val="20"/>
        </w:rPr>
        <w:t xml:space="preserve"> social interaction and, for some,</w:t>
      </w:r>
      <w:r w:rsidR="001A75CF" w:rsidRPr="00AC37DD">
        <w:rPr>
          <w:sz w:val="20"/>
          <w:szCs w:val="20"/>
        </w:rPr>
        <w:t xml:space="preserve"> a contributor to </w:t>
      </w:r>
      <w:r w:rsidRPr="00AC37DD">
        <w:rPr>
          <w:sz w:val="20"/>
          <w:szCs w:val="20"/>
        </w:rPr>
        <w:t xml:space="preserve">identity and self-worth. </w:t>
      </w:r>
      <w:r w:rsidR="00372839" w:rsidRPr="00AC37DD">
        <w:rPr>
          <w:sz w:val="20"/>
          <w:szCs w:val="20"/>
        </w:rPr>
        <w:t>Interventions to support</w:t>
      </w:r>
      <w:r w:rsidR="000E3D57" w:rsidRPr="00AC37DD">
        <w:rPr>
          <w:sz w:val="20"/>
          <w:szCs w:val="20"/>
        </w:rPr>
        <w:t xml:space="preserve"> attaining educational and vocational goals</w:t>
      </w:r>
      <w:r w:rsidR="00372839" w:rsidRPr="00AC37DD">
        <w:rPr>
          <w:sz w:val="20"/>
          <w:szCs w:val="20"/>
        </w:rPr>
        <w:t xml:space="preserve"> have been developed for TYAs to facilitate reintegration after treatment</w:t>
      </w:r>
      <w:r w:rsidR="004834F8" w:rsidRPr="00AC37DD">
        <w:rPr>
          <w:sz w:val="20"/>
          <w:szCs w:val="20"/>
        </w:rPr>
        <w:t xml:space="preserve"> </w:t>
      </w:r>
      <w:r w:rsidR="004834F8" w:rsidRPr="00AC37DD">
        <w:rPr>
          <w:sz w:val="20"/>
          <w:szCs w:val="20"/>
        </w:rPr>
        <w:fldChar w:fldCharType="begin" w:fldLock="1"/>
      </w:r>
      <w:r w:rsidR="00372839" w:rsidRPr="00AC37DD">
        <w:rPr>
          <w:sz w:val="20"/>
          <w:szCs w:val="20"/>
        </w:rPr>
        <w:instrText>ADDIN CSL_CITATION {"citationItems":[{"id":"ITEM-1","itemData":{"DOI":"10.1002/cncr.26043","ISBN":"0008-543X\\r1097-0142","ISSN":"0008543X","PMID":"21523754","abstract":"To deliver developmentally appropriate psychosocial care, the key developmental tasks facing adolescents and young adults (AYA) need to be taken into consideration. These include establishing autonomy from parents; a personal set of values and identity; strong peer relationships, including intimate and sexual relationships; and obtaining adequate preparation to join the workforce. To minimize the amount of disruption caused by the cancer experience and to maximize the health-related quality of life of AYA patients, young individuals with cancer need opportunities to participate as much as possible in typical AYA activities and to master the developmental tasks of this life stage. Promoting a sense of normalcy is essential. To achieve this, the health care environment must be flexible and recognize the important role of peers. Informational and practical supports also are necessary for AYA to stay on track developmentally in the context of coping with cancer. Critical elements of effective AYA psychosocial services should include access to AYA-specific information and support resources, fertility and sexuality counseling, programs to maximize academic and vocational functioning, and financial support.","author":[{"dropping-particle":"","family":"D'Agostino","given":"Norma M.","non-dropping-particle":"","parse-names":false,"suffix":""},{"dropping-particle":"","family":"Penney","given":"Annette","non-dropping-particle":"","parse-names":false,"suffix":""},{"dropping-particle":"","family":"Zebrack","given":"Brad","non-dropping-particle":"","parse-names":false,"suffix":""}],"container-title":"Cancer","id":"ITEM-1","issue":"SUPPL. 10","issued":{"date-parts":[["2011"]]},"page":"2329-2334","title":"Providing developmentally appropriate psychosocial care to adolescent and young adult cancer survivors*","type":"article-journal","volume":"117"},"uris":["http://www.mendeley.com/documents/?uuid=38a1dac3-aeb3-4969-a56c-2f2026d4a220"]}],"mendeley":{"formattedCitation":"(Norma M. D’Agostino et al., 2011)","plainTextFormattedCitation":"(Norma M. D’Agostino et al., 2011)","previouslyFormattedCitation":"(Norma M. D’Agostino et al., 2011)"},"properties":{"noteIndex":0},"schema":"https://github.com/citation-style-language/schema/raw/master/csl-citation.json"}</w:instrText>
      </w:r>
      <w:r w:rsidR="004834F8" w:rsidRPr="00AC37DD">
        <w:rPr>
          <w:sz w:val="20"/>
          <w:szCs w:val="20"/>
        </w:rPr>
        <w:fldChar w:fldCharType="separate"/>
      </w:r>
      <w:r w:rsidR="00372839" w:rsidRPr="00AC37DD">
        <w:rPr>
          <w:noProof/>
          <w:sz w:val="20"/>
          <w:szCs w:val="20"/>
        </w:rPr>
        <w:t>(Norma M. D’Agostino et al., 2011)</w:t>
      </w:r>
      <w:r w:rsidR="004834F8" w:rsidRPr="00AC37DD">
        <w:rPr>
          <w:sz w:val="20"/>
          <w:szCs w:val="20"/>
        </w:rPr>
        <w:fldChar w:fldCharType="end"/>
      </w:r>
      <w:r w:rsidR="004F2E91" w:rsidRPr="00AC37DD">
        <w:rPr>
          <w:sz w:val="20"/>
          <w:szCs w:val="20"/>
        </w:rPr>
        <w:t>.</w:t>
      </w:r>
      <w:r w:rsidR="004834F8" w:rsidRPr="00AC37DD">
        <w:rPr>
          <w:sz w:val="20"/>
          <w:szCs w:val="20"/>
        </w:rPr>
        <w:t xml:space="preserve"> </w:t>
      </w:r>
      <w:r w:rsidR="00D04F08" w:rsidRPr="00AC37DD">
        <w:rPr>
          <w:sz w:val="20"/>
          <w:szCs w:val="20"/>
        </w:rPr>
        <w:t xml:space="preserve">YAs need </w:t>
      </w:r>
      <w:r w:rsidR="00AF1423" w:rsidRPr="00AC37DD">
        <w:rPr>
          <w:sz w:val="20"/>
          <w:szCs w:val="20"/>
        </w:rPr>
        <w:t xml:space="preserve">similar support to </w:t>
      </w:r>
      <w:r w:rsidR="00D04F08" w:rsidRPr="00AC37DD">
        <w:rPr>
          <w:sz w:val="20"/>
          <w:szCs w:val="20"/>
        </w:rPr>
        <w:t>return to work and ‘normal life,’ navigating</w:t>
      </w:r>
      <w:r w:rsidR="00AF1423" w:rsidRPr="00AC37DD">
        <w:rPr>
          <w:sz w:val="20"/>
          <w:szCs w:val="20"/>
        </w:rPr>
        <w:t xml:space="preserve"> the myriad of legal, social, material and health-related issues t</w:t>
      </w:r>
      <w:r w:rsidR="00D04F08" w:rsidRPr="00AC37DD">
        <w:rPr>
          <w:sz w:val="20"/>
          <w:szCs w:val="20"/>
        </w:rPr>
        <w:t>hey face</w:t>
      </w:r>
      <w:r w:rsidR="004F2E91" w:rsidRPr="00AC37DD">
        <w:rPr>
          <w:sz w:val="20"/>
          <w:szCs w:val="20"/>
        </w:rPr>
        <w:t xml:space="preserve"> </w:t>
      </w:r>
      <w:r w:rsidR="00D04F08" w:rsidRPr="00AC37DD">
        <w:rPr>
          <w:sz w:val="20"/>
          <w:szCs w:val="20"/>
        </w:rPr>
        <w:fldChar w:fldCharType="begin" w:fldLock="1"/>
      </w:r>
      <w:r w:rsidR="0095519A" w:rsidRPr="00AC37DD">
        <w:rPr>
          <w:sz w:val="20"/>
          <w:szCs w:val="20"/>
        </w:rPr>
        <w:instrText>ADDIN CSL_CITATION {"citationItems":[{"id":"ITEM-1","itemData":{"DOI":"10.1097/NCC.0b013e318278d4fc","ISBN":"1538-9804","ISSN":"0162220X","PMID":"23348661","abstract":"BACKGROUND:: Cancer in young adults is rare, but the intensity of cancer treatment increases the risk of physical and psychosocial impacts on patients' entire lives. Young adult survivors are underrepresented in research, and knowledge of cancer survivors in this age group is scarce, especially knowledge of transition from cancer treatment to everyday life. OBJECTIVE:: The objective of this study was to explore how young adult cancer survivors experience reentering everyday life after cancer treatment. METHODS:: A qualitative, phenomenological approach was used and included 20 young adult survivors (aged 24-35 years) with different cancer diagnoses allocated to a rehabilitation program. Semistructured interviews were conducted, and the transcripts were analyzed qualitatively using Systematic Text Condensation method. RESULTS:: \"Meeting reality\" was identified as a bridging theme, explained by 4 main themes important to the informants: (1) lack of preparation, (2) late effects, (3) lack of understanding, and (4) being neither sick nor healthy. CONCLUSIONS:: Informants were unprepared for reentering everyday life after cancer treatment and experienced a mismatch of their expectations with reality, particularly in the holistic impact of late effects. Moreover, reentering everyday life was characterized by a lack of understanding from their network and even healthcare providers who conducted follow-ups. The informants experienced reentering everyday life as being much harder than expected, and they felt isolated as well as neither sick nor healthy. IMPLICATIONS FOR PRACTICE:: The results suggest a major shortcoming in both preparation for survivorship, multidisciplinary follow-ups, and knowledge. A shift to a more holistic perspective in survivorship care is suggested.","author":[{"dropping-particle":"","family":"Hauken","given":"May Aasebø","non-dropping-particle":"","parse-names":false,"suffix":""},{"dropping-particle":"","family":"Larsen","given":"Torill Marie Bogsnes","non-dropping-particle":"","parse-names":false,"suffix":""},{"dropping-particle":"","family":"Holsen","given":"Ingrid","non-dropping-particle":"","parse-names":false,"suffix":""}],"container-title":"Cancer Nursing","id":"ITEM-1","issue":"5","issued":{"date-parts":[["2013"]]},"page":"17-26","title":"Meeting reality: Young adult cancer survivors' experiences of reentering everyday life after cancer treatment","type":"article-journal","volume":"36"},"uris":["http://www.mendeley.com/documents/?uuid=4109cbe5-06a4-4cd0-b6b9-0d3be9facf72"]}],"mendeley":{"formattedCitation":"(Hauken, Larsen, &amp; Holsen, 2013)","plainTextFormattedCitation":"(Hauken, Larsen, &amp; Holsen, 2013)","previouslyFormattedCitation":"(Hauken, Larsen, &amp; Holsen, 2013)"},"properties":{"noteIndex":0},"schema":"https://github.com/citation-style-language/schema/raw/master/csl-citation.json"}</w:instrText>
      </w:r>
      <w:r w:rsidR="00D04F08" w:rsidRPr="00AC37DD">
        <w:rPr>
          <w:sz w:val="20"/>
          <w:szCs w:val="20"/>
        </w:rPr>
        <w:fldChar w:fldCharType="separate"/>
      </w:r>
      <w:r w:rsidR="0095519A" w:rsidRPr="00AC37DD">
        <w:rPr>
          <w:noProof/>
          <w:sz w:val="20"/>
          <w:szCs w:val="20"/>
        </w:rPr>
        <w:t>(Hauken, Larsen, &amp; Holsen, 2013)</w:t>
      </w:r>
      <w:r w:rsidR="00D04F08" w:rsidRPr="00AC37DD">
        <w:rPr>
          <w:sz w:val="20"/>
          <w:szCs w:val="20"/>
        </w:rPr>
        <w:fldChar w:fldCharType="end"/>
      </w:r>
      <w:r w:rsidR="004F2E91" w:rsidRPr="00AC37DD">
        <w:rPr>
          <w:sz w:val="20"/>
          <w:szCs w:val="20"/>
        </w:rPr>
        <w:t>.</w:t>
      </w:r>
      <w:r w:rsidR="00552E81" w:rsidRPr="00AC37DD">
        <w:rPr>
          <w:sz w:val="20"/>
          <w:szCs w:val="20"/>
        </w:rPr>
        <w:t xml:space="preserve"> This is particularly important </w:t>
      </w:r>
      <w:r w:rsidR="000713E4" w:rsidRPr="00AC37DD">
        <w:rPr>
          <w:sz w:val="20"/>
          <w:szCs w:val="20"/>
        </w:rPr>
        <w:t xml:space="preserve">given the difficulty YAs </w:t>
      </w:r>
      <w:r w:rsidR="001331EF" w:rsidRPr="00AC37DD">
        <w:rPr>
          <w:sz w:val="20"/>
          <w:szCs w:val="20"/>
        </w:rPr>
        <w:t xml:space="preserve">in this study </w:t>
      </w:r>
      <w:r w:rsidR="000713E4" w:rsidRPr="00AC37DD">
        <w:rPr>
          <w:sz w:val="20"/>
          <w:szCs w:val="20"/>
        </w:rPr>
        <w:t xml:space="preserve">described in returning to work. Previous research has shown YAs experience </w:t>
      </w:r>
      <w:r w:rsidR="00552E81" w:rsidRPr="00AC37DD">
        <w:rPr>
          <w:sz w:val="20"/>
          <w:szCs w:val="20"/>
        </w:rPr>
        <w:t xml:space="preserve">higher perceived physical and cognitive </w:t>
      </w:r>
      <w:r w:rsidR="00D522EB" w:rsidRPr="00AC37DD">
        <w:rPr>
          <w:sz w:val="20"/>
          <w:szCs w:val="20"/>
        </w:rPr>
        <w:t>deficits</w:t>
      </w:r>
      <w:r w:rsidR="00552E81" w:rsidRPr="00AC37DD">
        <w:rPr>
          <w:sz w:val="20"/>
          <w:szCs w:val="20"/>
        </w:rPr>
        <w:t xml:space="preserve"> </w:t>
      </w:r>
      <w:r w:rsidR="000713E4" w:rsidRPr="00AC37DD">
        <w:rPr>
          <w:sz w:val="20"/>
          <w:szCs w:val="20"/>
        </w:rPr>
        <w:t>compared to</w:t>
      </w:r>
      <w:r w:rsidR="001A75CF" w:rsidRPr="00AC37DD">
        <w:rPr>
          <w:sz w:val="20"/>
          <w:szCs w:val="20"/>
        </w:rPr>
        <w:t xml:space="preserve"> older adults </w:t>
      </w:r>
      <w:r w:rsidR="00D522EB" w:rsidRPr="00AC37DD">
        <w:rPr>
          <w:sz w:val="20"/>
          <w:szCs w:val="20"/>
        </w:rPr>
        <w:t>that may limit their ability to return to work</w:t>
      </w:r>
      <w:r w:rsidR="004F2E91" w:rsidRPr="00AC37DD">
        <w:rPr>
          <w:sz w:val="20"/>
          <w:szCs w:val="20"/>
        </w:rPr>
        <w:t xml:space="preserve"> </w:t>
      </w:r>
      <w:r w:rsidR="006A427A" w:rsidRPr="00AC37DD">
        <w:rPr>
          <w:sz w:val="20"/>
          <w:szCs w:val="20"/>
        </w:rPr>
        <w:fldChar w:fldCharType="begin" w:fldLock="1"/>
      </w:r>
      <w:r w:rsidR="0095519A" w:rsidRPr="00AC37DD">
        <w:rPr>
          <w:sz w:val="20"/>
          <w:szCs w:val="20"/>
        </w:rPr>
        <w:instrText>ADDIN CSL_CITATION {"citationItems":[{"id":"ITEM-1","itemData":{"DOI":"10.1002/cncr.28737","ISBN":"1097-0142 0008-543X","ISSN":"10970142","PMID":"24891116","abstract":"BACKGROUND Younger survivors (YS) of breast cancer often report more survivorship symptoms such as fatigue, depression, sexual difficulty, and cognitive problems than older survivors (OS). This study sought to determine the effect of breast cancer and age at diagnosis on quality of life (QoL) by comparing 3 groups: 1) YS diagnosed at age 45 years or before, 2) OS diagnosed between 55 and 70, and 3) for the YSs, age-matched controls (AC) of women not diagnosed with breast cancer. METHODS Using a large Eastern Cooperative Oncology Group (ECOG) database, 505 YS were recruited who were aged 45 years or younger when diagnosed and 622 OS diagnosed at 55 to 70 years of age. YS, OS, and AC were compared on physical, psychological, social, spiritual, and overall QoL variables. RESULTS Compared to both AC and to OS, YS reported more depressive symptoms (P = .005) and fatigue (P &lt; .001), poorer self-reported attention function (P &lt; .001), and poorer sexual function (P &lt; .001) than either comparison group. However, YS also reported a greater sense of personal growth (P &lt; .001) and perceived less social constraint (P &lt; .001) from their partner than AC. CONCLUSIONS YS reported worse functioning than AC relative to depression, fatigue, attention, sexual function, and spirituality. Perhaps even more important, YS fared worse than both AC and OS on body image, anxiety, sleep, marital satisfaction, and fear of recurrence, indicating that YS are at greater risk for long-term QoL problems than survivors diagnosed at a later age.","author":[{"dropping-particle":"","family":"Champion","given":"Victoria L.","non-dropping-particle":"","parse-names":false,"suffix":""},{"dropping-particle":"","family":"Wagner","given":"Lynne I.","non-dropping-particle":"","parse-names":false,"suffix":""},{"dropping-particle":"","family":"Monahan","given":"Patrick O.","non-dropping-particle":"","parse-names":false,"suffix":""},{"dropping-particle":"","family":"Daggy","given":"Joanne","non-dropping-particle":"","parse-names":false,"suffix":""},{"dropping-particle":"","family":"Smith","given":"Lisa","non-dropping-particle":"","parse-names":false,"suffix":""},{"dropping-particle":"","family":"Cohee","given":"Andrea","non-dropping-particle":"","parse-names":false,"suffix":""},{"dropping-particle":"","family":"Ziner","given":"Kim W.","non-dropping-particle":"","parse-names":false,"suffix":""},{"dropping-particle":"","family":"Haase","given":"Joan E.","non-dropping-particle":"","parse-names":false,"suffix":""},{"dropping-particle":"","family":"Miller","given":"Kathy D.","non-dropping-particle":"","parse-names":false,"suffix":""},{"dropping-particle":"","family":"Pradhan","given":"Kamnesh","non-dropping-particle":"","parse-names":false,"suffix":""},{"dropping-particle":"","family":"Unverzagt","given":"Frederick W.","non-dropping-particle":"","parse-names":false,"suffix":""},{"dropping-particle":"","family":"Cella","given":"David","non-dropping-particle":"","parse-names":false,"suffix":""},{"dropping-particle":"","family":"Ansari","given":"Bilal","non-dropping-particle":"","parse-names":false,"suffix":""},{"dropping-particle":"","family":"Sledge","given":"George W.","non-dropping-particle":"","parse-names":false,"suffix":""}],"container-title":"Cancer","id":"ITEM-1","issue":"15","issued":{"date-parts":[["2014"]]},"page":"2237-2246","title":"Comparison of younger and older breast cancer survivors and age-matched controls on specific and overall quality of life domains","type":"article-journal","volume":"120"},"uris":["http://www.mendeley.com/documents/?uuid=5317c77e-b808-47f5-9bf0-fdabc314527d"]},{"id":"ITEM-2","itemData":{"DOI":"10.1007/s11764-017-0614-3","ISSN":"19322267","abstract":"Context: Sixty-three percent of cancer survivors continue to work, or return to work after treatment. Among this population, work ability and challenges encountered in the workplace by young adult cancer survivors have not been well established. Purpose: The purposes of the study are to describe what is currently known about work-related issues for young adult cancer survivors diagnosed between ages 15 and 39, to identify gaps in the research literature, and to suggest interventions or improvements in work processes and occupational settings. Methods: A narrative review of articles using PubMed, CINAHL, and PsychInfo was conducted without date limitations. Search phrases included young adult cancer survivors, long-term cancer survivors, young adults affected by cancer, further combined with key terms employment, work, and occupationally active. Inclusion criteria for publications were young adult cancer survivors initially diagnosed between the ages of 15 and 39, data about work or employment was presented, and articles written in English. Results: Twenty-three publications met the inclusion criteria. Work-related issues included the potential for reduced work productivity from cancer-changed physical and cognitive functional ability that affected income, and resulted in distress. Coping style, support systems, and changing perspectives about work and life in general were also influential on career decisions among young adult cancer survivors. Conclusions: More research is needed to study interventions to better manage health changes in young adult cancer survivors within the context of the workplace. Since financial hardship has been shown to be especially high among young cancer survivors, employment is essential to ensure payment of cancer-associated costs and continued medical care. Implications for Cancer Survivors: While young adult cancer survivors may initially grapple with cancer-related physical and psychosocial changes that impact work productivity or influence choice of occupation, employment appears to enhance overall quality of life.","author":[{"dropping-particle":"","family":"Stone","given":"Dawn S.","non-dropping-particle":"","parse-names":false,"suffix":""},{"dropping-particle":"","family":"Ganz","given":"Patricia A.","non-dropping-particle":"","parse-names":false,"suffix":""},{"dropping-particle":"","family":"Pavlish","given":"Carol","non-dropping-particle":"","parse-names":false,"suffix":""},{"dropping-particle":"","family":"Robbins","given":"Wendie A.","non-dropping-particle":"","parse-names":false,"suffix":""}],"container-title":"Journal of Cancer Survivorship","id":"ITEM-2","issue":"6","issued":{"date-parts":[["2017"]]},"page":"765-781","publisher":"Journal of Cancer Survivorship","title":"Young adult cancer survivors and work: a systematic review","type":"article-journal","volume":"11"},"uris":["http://www.mendeley.com/documents/?uuid=f19fd4d4-1fd8-4446-9bdd-bd16e4cb4cc9"]}],"mendeley":{"formattedCitation":"(Champion et al., 2014; Stone, Ganz, Pavlish, &amp; Robbins, 2017)","plainTextFormattedCitation":"(Champion et al., 2014; Stone, Ganz, Pavlish, &amp; Robbins, 2017)","previouslyFormattedCitation":"(Champion et al., 2014; Stone, Ganz, Pavlish, &amp; Robbins, 2017)"},"properties":{"noteIndex":0},"schema":"https://github.com/citation-style-language/schema/raw/master/csl-citation.json"}</w:instrText>
      </w:r>
      <w:r w:rsidR="006A427A" w:rsidRPr="00AC37DD">
        <w:rPr>
          <w:sz w:val="20"/>
          <w:szCs w:val="20"/>
        </w:rPr>
        <w:fldChar w:fldCharType="separate"/>
      </w:r>
      <w:r w:rsidR="0095519A" w:rsidRPr="00AC37DD">
        <w:rPr>
          <w:noProof/>
          <w:sz w:val="20"/>
          <w:szCs w:val="20"/>
        </w:rPr>
        <w:t>(Champion et al., 2014; Stone, Ganz, Pavlish, &amp; Robbins, 2017)</w:t>
      </w:r>
      <w:r w:rsidR="006A427A" w:rsidRPr="00AC37DD">
        <w:rPr>
          <w:sz w:val="20"/>
          <w:szCs w:val="20"/>
        </w:rPr>
        <w:fldChar w:fldCharType="end"/>
      </w:r>
      <w:r w:rsidR="004F2E91" w:rsidRPr="00AC37DD">
        <w:rPr>
          <w:sz w:val="20"/>
          <w:szCs w:val="20"/>
        </w:rPr>
        <w:t>.</w:t>
      </w:r>
      <w:r w:rsidR="00552E81" w:rsidRPr="00AC37DD">
        <w:rPr>
          <w:sz w:val="20"/>
          <w:szCs w:val="20"/>
        </w:rPr>
        <w:t xml:space="preserve"> </w:t>
      </w:r>
      <w:r w:rsidR="002039BD" w:rsidRPr="00AC37DD">
        <w:rPr>
          <w:sz w:val="20"/>
          <w:szCs w:val="20"/>
        </w:rPr>
        <w:t xml:space="preserve">Financial toxicity, </w:t>
      </w:r>
      <w:r w:rsidR="001A75CF" w:rsidRPr="00AC37DD">
        <w:rPr>
          <w:sz w:val="20"/>
          <w:szCs w:val="20"/>
        </w:rPr>
        <w:t>reported</w:t>
      </w:r>
      <w:r w:rsidR="002039BD" w:rsidRPr="00AC37DD">
        <w:rPr>
          <w:sz w:val="20"/>
          <w:szCs w:val="20"/>
        </w:rPr>
        <w:t xml:space="preserve"> extensively in </w:t>
      </w:r>
      <w:r w:rsidR="00EC58A1" w:rsidRPr="00AC37DD">
        <w:rPr>
          <w:sz w:val="20"/>
          <w:szCs w:val="20"/>
        </w:rPr>
        <w:t>North America</w:t>
      </w:r>
      <w:r w:rsidR="002039BD" w:rsidRPr="00AC37DD">
        <w:rPr>
          <w:sz w:val="20"/>
          <w:szCs w:val="20"/>
        </w:rPr>
        <w:t>, is also experienced by YAs in the UK due to l</w:t>
      </w:r>
      <w:r w:rsidR="00552E81" w:rsidRPr="00AC37DD">
        <w:rPr>
          <w:sz w:val="20"/>
          <w:szCs w:val="20"/>
        </w:rPr>
        <w:t>oss of income and travel costs</w:t>
      </w:r>
      <w:r w:rsidR="004F2E91" w:rsidRPr="00AC37DD">
        <w:rPr>
          <w:sz w:val="20"/>
          <w:szCs w:val="20"/>
        </w:rPr>
        <w:t xml:space="preserve"> </w:t>
      </w:r>
      <w:r w:rsidR="001A75CF" w:rsidRPr="00AC37DD">
        <w:rPr>
          <w:sz w:val="20"/>
          <w:szCs w:val="20"/>
        </w:rPr>
        <w:fldChar w:fldCharType="begin" w:fldLock="1"/>
      </w:r>
      <w:r w:rsidR="0095519A" w:rsidRPr="00AC37DD">
        <w:rPr>
          <w:sz w:val="20"/>
          <w:szCs w:val="20"/>
        </w:rPr>
        <w:instrText>ADDIN CSL_CITATION {"citationItems":[{"id":"ITEM-1","itemData":{"ISSN":"1936-2692 (Electronic)","PMID":"19895184","abstract":"OBJECTIVE: To present nationally representative estimates of the effect of cancer care on out-of-pocket medical expenditures and lost productivity for the working-aged population. STUDY DESIGN: Secondary data analysis. METHODS: Pooled data from the Medical Expenditure Panel Survey were used for the analysis. We constructed the following 4 respondent groups for comparison during the analysis period: (1) respondents with no cancer, and (among those who reported having cancer) (2) respondents with active cancer care, (3) respondents with follow-up Cancer care, and (4) respondents with no cancer care. Using regression analysis, we estimated the effect of being in each of the cancer care groups on out-of-pocket medical expenditures, the probability of being employed, and the annual number of workdays missed because of illness or injury. RESULTS: Being actively treated for cancer increases the mean annual out-of-pocket medical expenditures by $1170 compared with not having cancer. Less intensive cancer care is associated with lower medical expenditures (but still higher than for those without cancer). Respondents undergoing active cancer care were less likely to be employed full-time. Among respondents who were employed, those undergoing active cancer care missed 22.3 more workdays per year than those without cancer. CONCLUSION: Changes to the health system need to consider not only how to reduce inappropriate medical utilization but also how to ensure that those diagnosed as having cancer and other serious medical conditions will not be doubly burdened with poor health and high medical expenditures.","author":[{"dropping-particle":"","family":"Finkelstein","given":"Eric A","non-dropping-particle":"","parse-names":false,"suffix":""},{"dropping-particle":"","family":"Tangka","given":"Florence K","non-dropping-particle":"","parse-names":false,"suffix":""},{"dropping-particle":"","family":"Trogdon","given":"Justin G","non-dropping-particle":"","parse-names":false,"suffix":""},{"dropping-particle":"","family":"Sabatino","given":"Susan A","non-dropping-particle":"","parse-names":false,"suffix":""},{"dropping-particle":"","family":"Richardson","given":"Lisa C","non-dropping-particle":"","parse-names":false,"suffix":""}],"container-title":"The American journal of managed care","id":"ITEM-1","issue":"11","issued":{"date-parts":[["2009","11"]]},"language":"eng","page":"801-806","publisher-place":"United States","title":"The personal financial burden of cancer for the working-aged population.","type":"article-journal","volume":"15"},"uris":["http://www.mendeley.com/documents/?uuid=cb790893-2906-4856-9448-6ca3a62b9456"]},{"id":"ITEM-2","itemData":{"DOI":"10.1377/hlthaff.2013.1425","ISBN":"9780128000977","ISSN":"15445208","PMID":"24889952","abstract":"Adolescent and young adult cancer survivors—those who were ages 15–39 at their first cancer diagnosis—have important health limitations. These survivors are at risk for higher health care expenditures and lost productivity, compared to adults without a history of cancer. Using Medical Expenditure Panel Survey data, we present nationally representative estimates of the economic burden among people who were diagnosed with cancer in adolescence or young adulthood. Our findings demonstrate that surviving cancer at this age is associated with a substantial economic burden. Compared to adults without a history of cancer, adolescent and young adult cancer survivors had excess annual medical expenditures of $3,170 per person and excess annual productivity losses of $2,250 per person. Multifaceted prevention strategies, including education and sustained intervention programs to ensure access to lifelong risk-based follow-up care, may be effective ways to improve the economic outcomes associated with cancer survivorship in this population.","author":[{"dropping-particle":"","family":"Guy","given":"Gery P.","non-dropping-particle":"","parse-names":false,"suffix":""},{"dropping-particle":"","family":"Robin Yabroff","given":"K.","non-dropping-particle":"","parse-names":false,"suffix":""},{"dropping-particle":"","family":"Ekwueme","given":"Donatus U.","non-dropping-particle":"","parse-names":false,"suffix":""},{"dropping-particle":"","family":"Smith","given":"Ashley Wilder","non-dropping-particle":"","parse-names":false,"suffix":""},{"dropping-particle":"","family":"Dowling","given":"Emily C.","non-dropping-particle":"","parse-names":false,"suffix":""},{"dropping-particle":"","family":"Rechis","given":"Ruth","non-dropping-particle":"","parse-names":false,"suffix":""},{"dropping-particle":"","family":"Nutt","given":"Stephanie","non-dropping-particle":"","parse-names":false,"suffix":""},{"dropping-particle":"","family":"Richardson","given":"Lisa C.","non-dropping-particle":"","parse-names":false,"suffix":""}],"container-title":"Health Affairs","id":"ITEM-2","issue":"6","issued":{"date-parts":[["2014"]]},"page":"1024-1031","title":"Estimating the health and economic burden of cancer among those diagnosed as adolescents and young adults","type":"article-journal","volume":"33"},"uris":["http://www.mendeley.com/documents/?uuid=b1d5ce5f-a1ac-4e54-b8b6-a50714856715"]}],"mendeley":{"formattedCitation":"(Finkelstein, Tangka, Trogdon, Sabatino, &amp; Richardson, 2009; Guy et al., 2014)","plainTextFormattedCitation":"(Finkelstein, Tangka, Trogdon, Sabatino, &amp; Richardson, 2009; Guy et al., 2014)","previouslyFormattedCitation":"(Finkelstein, Tangka, Trogdon, Sabatino, &amp; Richardson, 2009; Guy et al., 2014)"},"properties":{"noteIndex":0},"schema":"https://github.com/citation-style-language/schema/raw/master/csl-citation.json"}</w:instrText>
      </w:r>
      <w:r w:rsidR="001A75CF" w:rsidRPr="00AC37DD">
        <w:rPr>
          <w:sz w:val="20"/>
          <w:szCs w:val="20"/>
        </w:rPr>
        <w:fldChar w:fldCharType="separate"/>
      </w:r>
      <w:r w:rsidR="0095519A" w:rsidRPr="00AC37DD">
        <w:rPr>
          <w:noProof/>
          <w:sz w:val="20"/>
          <w:szCs w:val="20"/>
        </w:rPr>
        <w:t>(Finkelstein, Tangka, Trogdon, Sabatino, &amp; Richardson, 2009; Guy et al., 2014)</w:t>
      </w:r>
      <w:r w:rsidR="001A75CF" w:rsidRPr="00AC37DD">
        <w:rPr>
          <w:sz w:val="20"/>
          <w:szCs w:val="20"/>
        </w:rPr>
        <w:fldChar w:fldCharType="end"/>
      </w:r>
      <w:r w:rsidR="004F2E91" w:rsidRPr="00AC37DD">
        <w:rPr>
          <w:sz w:val="20"/>
          <w:szCs w:val="20"/>
        </w:rPr>
        <w:t>.</w:t>
      </w:r>
      <w:r w:rsidR="00552E81" w:rsidRPr="00AC37DD">
        <w:rPr>
          <w:sz w:val="20"/>
          <w:szCs w:val="20"/>
        </w:rPr>
        <w:t xml:space="preserve"> </w:t>
      </w:r>
      <w:r w:rsidR="001A75CF" w:rsidRPr="00AC37DD">
        <w:rPr>
          <w:sz w:val="20"/>
          <w:szCs w:val="20"/>
        </w:rPr>
        <w:t>This needs</w:t>
      </w:r>
      <w:r w:rsidR="00552E81" w:rsidRPr="00AC37DD">
        <w:rPr>
          <w:sz w:val="20"/>
          <w:szCs w:val="20"/>
        </w:rPr>
        <w:t xml:space="preserve"> to be addressed to </w:t>
      </w:r>
      <w:r w:rsidR="001A75CF" w:rsidRPr="00AC37DD">
        <w:rPr>
          <w:sz w:val="20"/>
          <w:szCs w:val="20"/>
        </w:rPr>
        <w:t>ensure</w:t>
      </w:r>
      <w:r w:rsidR="007B2990" w:rsidRPr="00AC37DD">
        <w:rPr>
          <w:sz w:val="20"/>
          <w:szCs w:val="20"/>
        </w:rPr>
        <w:t xml:space="preserve"> YAs </w:t>
      </w:r>
      <w:r w:rsidR="001A75CF" w:rsidRPr="00AC37DD">
        <w:rPr>
          <w:sz w:val="20"/>
          <w:szCs w:val="20"/>
        </w:rPr>
        <w:t>return</w:t>
      </w:r>
      <w:r w:rsidR="007B2990" w:rsidRPr="00AC37DD">
        <w:rPr>
          <w:sz w:val="20"/>
          <w:szCs w:val="20"/>
        </w:rPr>
        <w:t xml:space="preserve"> to work at an appropriate time</w:t>
      </w:r>
      <w:r w:rsidR="00097402" w:rsidRPr="00AC37DD">
        <w:rPr>
          <w:sz w:val="20"/>
          <w:szCs w:val="20"/>
        </w:rPr>
        <w:t>.</w:t>
      </w:r>
      <w:r w:rsidR="002039BD" w:rsidRPr="00AC37DD">
        <w:rPr>
          <w:sz w:val="20"/>
          <w:szCs w:val="20"/>
        </w:rPr>
        <w:t xml:space="preserve"> </w:t>
      </w:r>
    </w:p>
    <w:p w14:paraId="7109469C" w14:textId="1D49C93D" w:rsidR="0045436B" w:rsidRPr="00AC37DD" w:rsidRDefault="00A33BBC" w:rsidP="003B7457">
      <w:pPr>
        <w:spacing w:line="480" w:lineRule="auto"/>
        <w:jc w:val="both"/>
        <w:rPr>
          <w:sz w:val="20"/>
          <w:szCs w:val="20"/>
        </w:rPr>
      </w:pPr>
      <w:r w:rsidRPr="00AC37DD">
        <w:rPr>
          <w:sz w:val="20"/>
          <w:szCs w:val="20"/>
        </w:rPr>
        <w:t xml:space="preserve">Coping with uncertainty was a strong theme amongst YAs. </w:t>
      </w:r>
      <w:r w:rsidR="00677C49" w:rsidRPr="00AC37DD">
        <w:rPr>
          <w:sz w:val="20"/>
          <w:szCs w:val="20"/>
        </w:rPr>
        <w:t>While uncertainty and fear of recurrence may occur among cancer patients of any age, it may be particularly pronounce</w:t>
      </w:r>
      <w:r w:rsidR="00946A5E" w:rsidRPr="00AC37DD">
        <w:rPr>
          <w:sz w:val="20"/>
          <w:szCs w:val="20"/>
        </w:rPr>
        <w:t>d</w:t>
      </w:r>
      <w:r w:rsidR="00677C49" w:rsidRPr="00AC37DD">
        <w:rPr>
          <w:sz w:val="20"/>
          <w:szCs w:val="20"/>
        </w:rPr>
        <w:t xml:space="preserve"> in young patients</w:t>
      </w:r>
      <w:r w:rsidR="00A91B62" w:rsidRPr="00AC37DD">
        <w:rPr>
          <w:sz w:val="20"/>
          <w:szCs w:val="20"/>
        </w:rPr>
        <w:t xml:space="preserve"> </w:t>
      </w:r>
      <w:r w:rsidR="00A91B62" w:rsidRPr="00AC37DD">
        <w:rPr>
          <w:sz w:val="20"/>
          <w:szCs w:val="20"/>
        </w:rPr>
        <w:fldChar w:fldCharType="begin" w:fldLock="1"/>
      </w:r>
      <w:r w:rsidR="0095519A" w:rsidRPr="00AC37DD">
        <w:rPr>
          <w:sz w:val="20"/>
          <w:szCs w:val="20"/>
        </w:rPr>
        <w:instrText>ADDIN CSL_CITATION {"citationItems":[{"id":"ITEM-1","itemData":{"DOI":"10.1007/s11764-013-0272-z","ISSN":"19322259","abstract":"Purpose: Fear of cancer recurrence (FCR) is among the most commonly reported problems and one of the most prevalent areas of unmet needs for cancer survivors and their carers. This review aims to provide a comprehensive overview of current scientific knowledge on FCR and to formulate recommendations for future research. Methods: A systematic review was undertaken to identify quantitative studies associated with FCR. Relevant studies were identified via Medline, CINAHL, PsycINFO and AMED databases from 1996 through December 2011. Data from 130 eligible papers were extracted and summarized following a systematic scheme. Results: Multiple FCR assessment methods were identified. Survivors reported low to moderate level of FCR but considered it as one of the top greatest concerns and the most frequently endorsed unmet need. FCR remains stable over the survivorship trajectory. Younger age, presence and severity of physical symptoms, psychological distress and lower quality of life were associated with higher FCR. Health behaviours, psychological reactions and functional impairments were identified as FCR consequences. Carers reported higher FCR than the patients. Limited data on interventions were available. Conclusions: FCR research has expanded somewhat haphazardly over the last 20 years. Adopted consensual definition and used well-validated measures will be necessary. Longitudinal research examining the longer-term development and impact of FCR is clearly needed. The proposal and evaluation of theoretical models of FCR is a priority. Implications for Cancer Survivors: Identifying the key features of FCR will stimulate the research and the development of targeted interventions for cancer survivors and their carers. © 2013 Springer Science+Business Media New York.","author":[{"dropping-particle":"","family":"Simard","given":"Sébastien","non-dropping-particle":"","parse-names":false,"suffix":""},{"dropping-particle":"","family":"Thewes","given":"Belinda","non-dropping-particle":"","parse-names":false,"suffix":""},{"dropping-particle":"","family":"Humphris","given":"Gerry","non-dropping-particle":"","parse-names":false,"suffix":""},{"dropping-particle":"","family":"Dixon","given":"Mélanie","non-dropping-particle":"","parse-names":false,"suffix":""},{"dropping-particle":"","family":"Hayden","given":"Ceara","non-dropping-particle":"","parse-names":false,"suffix":""},{"dropping-particle":"","family":"Mireskandari","given":"Shab","non-dropping-particle":"","parse-names":false,"suffix":""},{"dropping-particle":"","family":"Ozakinci","given":"Gozde","non-dropping-particle":"","parse-names":false,"suffix":""}],"container-title":"Journal of Cancer Survivorship","id":"ITEM-1","issue":"3","issued":{"date-parts":[["2013"]]},"page":"300-322","title":"Fear of cancer recurrence in adult cancer survivors: A systematic review of quantitative studies","type":"article-journal","volume":"7"},"uris":["http://www.mendeley.com/documents/?uuid=29130ea2-0083-4c9f-888d-73ff7c9a4184"]}],"mendeley":{"formattedCitation":"(Simard et al., 2013)","plainTextFormattedCitation":"(Simard et al., 2013)","previouslyFormattedCitation":"(Simard et al., 2013)"},"properties":{"noteIndex":0},"schema":"https://github.com/citation-style-language/schema/raw/master/csl-citation.json"}</w:instrText>
      </w:r>
      <w:r w:rsidR="00A91B62" w:rsidRPr="00AC37DD">
        <w:rPr>
          <w:sz w:val="20"/>
          <w:szCs w:val="20"/>
        </w:rPr>
        <w:fldChar w:fldCharType="separate"/>
      </w:r>
      <w:r w:rsidR="0095519A" w:rsidRPr="00AC37DD">
        <w:rPr>
          <w:noProof/>
          <w:sz w:val="20"/>
          <w:szCs w:val="20"/>
        </w:rPr>
        <w:t>(Simard et al., 2013)</w:t>
      </w:r>
      <w:r w:rsidR="00A91B62" w:rsidRPr="00AC37DD">
        <w:rPr>
          <w:sz w:val="20"/>
          <w:szCs w:val="20"/>
        </w:rPr>
        <w:fldChar w:fldCharType="end"/>
      </w:r>
      <w:r w:rsidR="00677C49" w:rsidRPr="00AC37DD">
        <w:rPr>
          <w:sz w:val="20"/>
          <w:szCs w:val="20"/>
        </w:rPr>
        <w:t>. Additional social uncertainty for YAs due to the transitional period in life, as highlighted by the patients here, may contribute to the concerns.</w:t>
      </w:r>
      <w:r w:rsidR="00A91B62" w:rsidRPr="00AC37DD">
        <w:rPr>
          <w:sz w:val="20"/>
          <w:szCs w:val="20"/>
        </w:rPr>
        <w:t xml:space="preserve"> </w:t>
      </w:r>
      <w:r w:rsidR="0045436B" w:rsidRPr="00AC37DD">
        <w:rPr>
          <w:sz w:val="20"/>
          <w:szCs w:val="20"/>
        </w:rPr>
        <w:t>H</w:t>
      </w:r>
      <w:r w:rsidR="00A91B62" w:rsidRPr="00AC37DD">
        <w:rPr>
          <w:sz w:val="20"/>
          <w:szCs w:val="20"/>
        </w:rPr>
        <w:t xml:space="preserve">igher illness uncertainty is linked to lower social support and lower quality of life, making the YA experiences of social isolation a cause for concern </w:t>
      </w:r>
      <w:r w:rsidR="00A91B62" w:rsidRPr="00AC37DD">
        <w:rPr>
          <w:sz w:val="20"/>
          <w:szCs w:val="20"/>
        </w:rPr>
        <w:fldChar w:fldCharType="begin" w:fldLock="1"/>
      </w:r>
      <w:r w:rsidR="00B25DD0" w:rsidRPr="00AC37DD">
        <w:rPr>
          <w:sz w:val="20"/>
          <w:szCs w:val="20"/>
        </w:rPr>
        <w:instrText>ADDIN CSL_CITATION {"citationItems":[{"id":"ITEM-1","itemData":{"author":[{"dropping-particle":"","family":"Sammarco","given":"Angela","non-dropping-particle":"","parse-names":false,"suffix":""}],"container-title":"Cancer Nursing","id":"ITEM-1","issue":"3","issued":{"date-parts":[["2001"]]},"page":"212-219","title":"Perceived Social Support, Uncertainty, and Quality of Life of Younger Breast Cancer Survivors","type":"article-journal","volume":"24"},"uris":["http://www.mendeley.com/documents/?uuid=909e3128-3264-4c6f-9709-f6872b53f289"]}],"mendeley":{"formattedCitation":"(Sammarco, 2001)","plainTextFormattedCitation":"(Sammarco, 2001)","previouslyFormattedCitation":"(Sammarco, 2001)"},"properties":{"noteIndex":0},"schema":"https://github.com/citation-style-language/schema/raw/master/csl-citation.json"}</w:instrText>
      </w:r>
      <w:r w:rsidR="00A91B62" w:rsidRPr="00AC37DD">
        <w:rPr>
          <w:sz w:val="20"/>
          <w:szCs w:val="20"/>
        </w:rPr>
        <w:fldChar w:fldCharType="separate"/>
      </w:r>
      <w:r w:rsidR="0095519A" w:rsidRPr="00AC37DD">
        <w:rPr>
          <w:noProof/>
          <w:sz w:val="20"/>
          <w:szCs w:val="20"/>
        </w:rPr>
        <w:t>(Sammarco, 2001)</w:t>
      </w:r>
      <w:r w:rsidR="00A91B62" w:rsidRPr="00AC37DD">
        <w:rPr>
          <w:sz w:val="20"/>
          <w:szCs w:val="20"/>
        </w:rPr>
        <w:fldChar w:fldCharType="end"/>
      </w:r>
      <w:r w:rsidR="00A91B62" w:rsidRPr="00AC37DD">
        <w:rPr>
          <w:sz w:val="20"/>
          <w:szCs w:val="20"/>
        </w:rPr>
        <w:t>.</w:t>
      </w:r>
      <w:r w:rsidR="00677C49" w:rsidRPr="00AC37DD">
        <w:rPr>
          <w:sz w:val="20"/>
          <w:szCs w:val="20"/>
        </w:rPr>
        <w:t xml:space="preserve"> </w:t>
      </w:r>
      <w:r w:rsidR="00CE6717" w:rsidRPr="00AC37DD">
        <w:rPr>
          <w:sz w:val="20"/>
          <w:szCs w:val="20"/>
        </w:rPr>
        <w:t>Despite worries about short-</w:t>
      </w:r>
      <w:r w:rsidR="00677C49" w:rsidRPr="00AC37DD">
        <w:rPr>
          <w:sz w:val="20"/>
          <w:szCs w:val="20"/>
        </w:rPr>
        <w:t>term treatment ou</w:t>
      </w:r>
      <w:r w:rsidR="00A91B62" w:rsidRPr="00AC37DD">
        <w:rPr>
          <w:sz w:val="20"/>
          <w:szCs w:val="20"/>
        </w:rPr>
        <w:t xml:space="preserve">tcomes and recurrence, many YAs shared stories of personal growth and </w:t>
      </w:r>
      <w:r w:rsidR="00A91B62" w:rsidRPr="00AC37DD">
        <w:rPr>
          <w:sz w:val="20"/>
          <w:szCs w:val="20"/>
        </w:rPr>
        <w:lastRenderedPageBreak/>
        <w:t xml:space="preserve">strengthening in relationships. This suggests the current discourse around </w:t>
      </w:r>
      <w:r w:rsidR="008B668A" w:rsidRPr="00AC37DD">
        <w:rPr>
          <w:sz w:val="20"/>
          <w:szCs w:val="20"/>
        </w:rPr>
        <w:t xml:space="preserve">young people experiencing either </w:t>
      </w:r>
      <w:r w:rsidR="00A91B62" w:rsidRPr="00AC37DD">
        <w:rPr>
          <w:sz w:val="20"/>
          <w:szCs w:val="20"/>
        </w:rPr>
        <w:t xml:space="preserve">post-traumatic growth </w:t>
      </w:r>
      <w:r w:rsidR="008B668A" w:rsidRPr="00AC37DD">
        <w:rPr>
          <w:sz w:val="20"/>
          <w:szCs w:val="20"/>
        </w:rPr>
        <w:t>or</w:t>
      </w:r>
      <w:r w:rsidR="00A91B62" w:rsidRPr="00AC37DD">
        <w:rPr>
          <w:sz w:val="20"/>
          <w:szCs w:val="20"/>
        </w:rPr>
        <w:t xml:space="preserve"> post-traumatic stress may </w:t>
      </w:r>
      <w:r w:rsidR="008B668A" w:rsidRPr="00AC37DD">
        <w:rPr>
          <w:sz w:val="20"/>
          <w:szCs w:val="20"/>
        </w:rPr>
        <w:t xml:space="preserve">simplify the human condition </w:t>
      </w:r>
      <w:r w:rsidR="00A91B62" w:rsidRPr="00AC37DD">
        <w:rPr>
          <w:sz w:val="20"/>
          <w:szCs w:val="20"/>
        </w:rPr>
        <w:t xml:space="preserve">as patients can </w:t>
      </w:r>
      <w:r w:rsidR="0045436B" w:rsidRPr="00AC37DD">
        <w:rPr>
          <w:sz w:val="20"/>
          <w:szCs w:val="20"/>
        </w:rPr>
        <w:t>experience both simultaneously.</w:t>
      </w:r>
    </w:p>
    <w:p w14:paraId="036E3832" w14:textId="17A06A67" w:rsidR="00B36BD7" w:rsidRPr="00AC37DD" w:rsidRDefault="0027361F" w:rsidP="003B7457">
      <w:pPr>
        <w:spacing w:line="480" w:lineRule="auto"/>
        <w:jc w:val="both"/>
        <w:rPr>
          <w:sz w:val="20"/>
          <w:szCs w:val="20"/>
        </w:rPr>
      </w:pPr>
      <w:r w:rsidRPr="00AC37DD">
        <w:rPr>
          <w:sz w:val="20"/>
          <w:szCs w:val="20"/>
        </w:rPr>
        <w:t>Participants in this study shared experiences of job and financial insecurity</w:t>
      </w:r>
      <w:r w:rsidR="0045436B" w:rsidRPr="00AC37DD">
        <w:rPr>
          <w:sz w:val="20"/>
          <w:szCs w:val="20"/>
        </w:rPr>
        <w:t>, also</w:t>
      </w:r>
      <w:r w:rsidR="00CE6717" w:rsidRPr="00AC37DD">
        <w:rPr>
          <w:sz w:val="20"/>
          <w:szCs w:val="20"/>
        </w:rPr>
        <w:t xml:space="preserve"> </w:t>
      </w:r>
      <w:r w:rsidR="00A82565" w:rsidRPr="00AC37DD">
        <w:rPr>
          <w:sz w:val="20"/>
          <w:szCs w:val="20"/>
        </w:rPr>
        <w:t>reflected in the responses to the background questionnaire</w:t>
      </w:r>
      <w:r w:rsidR="00CE6717" w:rsidRPr="00AC37DD">
        <w:rPr>
          <w:sz w:val="20"/>
          <w:szCs w:val="20"/>
        </w:rPr>
        <w:t>. These findings support the new frameworks suggested by Levin and Hammond that take the changing economic context for young people with cancer into account</w:t>
      </w:r>
      <w:r w:rsidR="004F2E91" w:rsidRPr="00AC37DD">
        <w:rPr>
          <w:sz w:val="20"/>
          <w:szCs w:val="20"/>
        </w:rPr>
        <w:t xml:space="preserve"> </w:t>
      </w:r>
      <w:r w:rsidR="001A75CF" w:rsidRPr="00AC37DD">
        <w:rPr>
          <w:sz w:val="20"/>
          <w:szCs w:val="20"/>
        </w:rPr>
        <w:fldChar w:fldCharType="begin" w:fldLock="1"/>
      </w:r>
      <w:r w:rsidR="0095519A" w:rsidRPr="00AC37DD">
        <w:rPr>
          <w:sz w:val="20"/>
          <w:szCs w:val="20"/>
        </w:rPr>
        <w:instrText>ADDIN CSL_CITATION {"citationItems":[{"id":"ITEM-1","itemData":{"DOI":"10.1089/jayao.2016.0018","ISSN":"2156535X","author":[{"dropping-particle":"","family":"Hammond","given":"Chad","non-dropping-particle":"","parse-names":false,"suffix":""}],"container-title":"Journal of Adolescent and Young Adult Oncology","id":"ITEM-1","issue":"1","issued":{"date-parts":[["2017"]]},"page":"45-49","title":"Against a Singular Message of Distinctness: Challenging Dominant Representations of Adolescents and Young Adults in Oncology","type":"article-journal","volume":"6"},"uris":["http://www.mendeley.com/documents/?uuid=8067bd55-609d-485f-b4b6-0c7b9cdac92b"]},{"id":"ITEM-2","itemData":{"DOI":"10.1002/pbc.27789","ISSN":"15455017","abstract":"The first decade of adolescent and young adult (AYA) oncology psychosocial care and research (2005–2015) was driven by a normative, developmental framework that assumed a generalizable life experience for AYAs that is distinct from both younger children and older adults. As we proceed through a second decade, new considerations emerge regarding diversity of life experiences as occurring within and influenced by a complex global context. The purpose of this paper is to review and provide commentary on the impact of global and contextual conditions on AYAs. We expound upon the effects of precarious labor conditions, changing timetables and priorities for developmental tasks, sexual and gender plurality, and expanding cultural diversity. We discuss the implications of social genomics and technology and social media for enhancing precision psychosocial medicine. To build a forward-looking approach, this paper calls for tailored, multilevel treatments that consider variability of AYAs within the social and global contexts in which they live.","author":[{"dropping-particle":"","family":"Levin","given":"Nina Jackson","non-dropping-particle":"","parse-names":false,"suffix":""},{"dropping-particle":"","family":"Zebrack","given":"Bradley","non-dropping-particle":"","parse-names":false,"suffix":""},{"dropping-particle":"","family":"Cole","given":"Steve W.","non-dropping-particle":"","parse-names":false,"suffix":""}],"container-title":"Pediatric Blood and Cancer","id":"ITEM-2","issue":"8","issued":{"date-parts":[["2019"]]},"title":"Psychosocial issues for adolescent and young adult cancer patients in a global context: A forward-looking approach","type":"article-journal","volume":"66"},"uris":["http://www.mendeley.com/documents/?uuid=e68d464a-b290-445b-8c6b-a9b1d03d0d2f"]}],"mendeley":{"formattedCitation":"(Hammond, 2017; Levin et al., 2019)","plainTextFormattedCitation":"(Hammond, 2017; Levin et al., 2019)","previouslyFormattedCitation":"(Hammond, 2017; Levin et al., 2019)"},"properties":{"noteIndex":0},"schema":"https://github.com/citation-style-language/schema/raw/master/csl-citation.json"}</w:instrText>
      </w:r>
      <w:r w:rsidR="001A75CF" w:rsidRPr="00AC37DD">
        <w:rPr>
          <w:sz w:val="20"/>
          <w:szCs w:val="20"/>
        </w:rPr>
        <w:fldChar w:fldCharType="separate"/>
      </w:r>
      <w:r w:rsidR="0095519A" w:rsidRPr="00AC37DD">
        <w:rPr>
          <w:noProof/>
          <w:sz w:val="20"/>
          <w:szCs w:val="20"/>
        </w:rPr>
        <w:t>(Hammond, 2017; Levin et al., 2019)</w:t>
      </w:r>
      <w:r w:rsidR="001A75CF" w:rsidRPr="00AC37DD">
        <w:rPr>
          <w:sz w:val="20"/>
          <w:szCs w:val="20"/>
        </w:rPr>
        <w:fldChar w:fldCharType="end"/>
      </w:r>
      <w:r w:rsidR="004F2E91" w:rsidRPr="00AC37DD">
        <w:rPr>
          <w:sz w:val="20"/>
          <w:szCs w:val="20"/>
        </w:rPr>
        <w:t>.</w:t>
      </w:r>
      <w:r w:rsidRPr="00AC37DD">
        <w:rPr>
          <w:sz w:val="20"/>
          <w:szCs w:val="20"/>
        </w:rPr>
        <w:t xml:space="preserve"> </w:t>
      </w:r>
      <w:r w:rsidR="0045436B" w:rsidRPr="00AC37DD">
        <w:rPr>
          <w:sz w:val="20"/>
          <w:szCs w:val="20"/>
        </w:rPr>
        <w:t>Our findings</w:t>
      </w:r>
      <w:r w:rsidRPr="00AC37DD">
        <w:rPr>
          <w:sz w:val="20"/>
          <w:szCs w:val="20"/>
        </w:rPr>
        <w:t xml:space="preserve"> </w:t>
      </w:r>
      <w:r w:rsidR="00CE6717" w:rsidRPr="00AC37DD">
        <w:rPr>
          <w:sz w:val="20"/>
          <w:szCs w:val="20"/>
        </w:rPr>
        <w:t xml:space="preserve">also </w:t>
      </w:r>
      <w:r w:rsidRPr="00AC37DD">
        <w:rPr>
          <w:sz w:val="20"/>
          <w:szCs w:val="20"/>
        </w:rPr>
        <w:t xml:space="preserve">support the idea that </w:t>
      </w:r>
      <w:r w:rsidR="001A75CF" w:rsidRPr="00AC37DD">
        <w:rPr>
          <w:sz w:val="20"/>
          <w:szCs w:val="20"/>
        </w:rPr>
        <w:t>life</w:t>
      </w:r>
      <w:r w:rsidR="00A82565" w:rsidRPr="00AC37DD">
        <w:rPr>
          <w:sz w:val="20"/>
          <w:szCs w:val="20"/>
        </w:rPr>
        <w:t xml:space="preserve"> </w:t>
      </w:r>
      <w:r w:rsidR="001A75CF" w:rsidRPr="00AC37DD">
        <w:rPr>
          <w:sz w:val="20"/>
          <w:szCs w:val="20"/>
        </w:rPr>
        <w:t xml:space="preserve">goals </w:t>
      </w:r>
      <w:r w:rsidR="00A82565" w:rsidRPr="00AC37DD">
        <w:rPr>
          <w:sz w:val="20"/>
          <w:szCs w:val="20"/>
        </w:rPr>
        <w:t xml:space="preserve">and </w:t>
      </w:r>
      <w:r w:rsidR="001A75CF" w:rsidRPr="00AC37DD">
        <w:rPr>
          <w:sz w:val="20"/>
          <w:szCs w:val="20"/>
        </w:rPr>
        <w:t xml:space="preserve">priorities </w:t>
      </w:r>
      <w:r w:rsidR="00A82565" w:rsidRPr="00AC37DD">
        <w:rPr>
          <w:sz w:val="20"/>
          <w:szCs w:val="20"/>
        </w:rPr>
        <w:t xml:space="preserve">vary between </w:t>
      </w:r>
      <w:r w:rsidR="001A75CF" w:rsidRPr="00AC37DD">
        <w:rPr>
          <w:sz w:val="20"/>
          <w:szCs w:val="20"/>
        </w:rPr>
        <w:t>individuals</w:t>
      </w:r>
      <w:r w:rsidR="00A82565" w:rsidRPr="00AC37DD">
        <w:rPr>
          <w:sz w:val="20"/>
          <w:szCs w:val="20"/>
        </w:rPr>
        <w:t xml:space="preserve">, as a number of </w:t>
      </w:r>
      <w:r w:rsidR="001A75CF" w:rsidRPr="00AC37DD">
        <w:rPr>
          <w:sz w:val="20"/>
          <w:szCs w:val="20"/>
        </w:rPr>
        <w:t>YAs</w:t>
      </w:r>
      <w:r w:rsidR="00A82565" w:rsidRPr="00AC37DD">
        <w:rPr>
          <w:sz w:val="20"/>
          <w:szCs w:val="20"/>
        </w:rPr>
        <w:t xml:space="preserve"> did not plan to have children </w:t>
      </w:r>
      <w:r w:rsidR="00CE6717" w:rsidRPr="00AC37DD">
        <w:rPr>
          <w:sz w:val="20"/>
          <w:szCs w:val="20"/>
        </w:rPr>
        <w:t xml:space="preserve">and </w:t>
      </w:r>
      <w:r w:rsidR="00A82565" w:rsidRPr="00AC37DD">
        <w:rPr>
          <w:sz w:val="20"/>
          <w:szCs w:val="20"/>
        </w:rPr>
        <w:t xml:space="preserve">were happy to </w:t>
      </w:r>
      <w:r w:rsidR="00CE6717" w:rsidRPr="00AC37DD">
        <w:rPr>
          <w:sz w:val="20"/>
          <w:szCs w:val="20"/>
        </w:rPr>
        <w:t>live</w:t>
      </w:r>
      <w:r w:rsidR="00A82565" w:rsidRPr="00AC37DD">
        <w:rPr>
          <w:sz w:val="20"/>
          <w:szCs w:val="20"/>
        </w:rPr>
        <w:t xml:space="preserve"> with </w:t>
      </w:r>
      <w:r w:rsidR="00CE6717" w:rsidRPr="00AC37DD">
        <w:rPr>
          <w:sz w:val="20"/>
          <w:szCs w:val="20"/>
        </w:rPr>
        <w:t>family members</w:t>
      </w:r>
      <w:r w:rsidR="00A82565" w:rsidRPr="00AC37DD">
        <w:rPr>
          <w:sz w:val="20"/>
          <w:szCs w:val="20"/>
        </w:rPr>
        <w:t>.</w:t>
      </w:r>
      <w:r w:rsidR="00CE6717" w:rsidRPr="00AC37DD">
        <w:rPr>
          <w:sz w:val="20"/>
          <w:szCs w:val="20"/>
        </w:rPr>
        <w:t xml:space="preserve"> However, the contribution of work to identity and the focus on family life and children fits with previous </w:t>
      </w:r>
      <w:r w:rsidR="00A93814" w:rsidRPr="00AC37DD">
        <w:rPr>
          <w:sz w:val="20"/>
          <w:szCs w:val="20"/>
        </w:rPr>
        <w:t xml:space="preserve">theories taking </w:t>
      </w:r>
      <w:r w:rsidR="00CE6717" w:rsidRPr="00AC37DD">
        <w:rPr>
          <w:sz w:val="20"/>
          <w:szCs w:val="20"/>
        </w:rPr>
        <w:t>developmental life course perspectives</w:t>
      </w:r>
      <w:r w:rsidR="00A93814" w:rsidRPr="00AC37DD">
        <w:rPr>
          <w:sz w:val="20"/>
          <w:szCs w:val="20"/>
        </w:rPr>
        <w:t xml:space="preserve"> </w:t>
      </w:r>
      <w:r w:rsidR="00A93814" w:rsidRPr="00AC37DD">
        <w:rPr>
          <w:sz w:val="20"/>
          <w:szCs w:val="20"/>
        </w:rPr>
        <w:fldChar w:fldCharType="begin" w:fldLock="1"/>
      </w:r>
      <w:r w:rsidR="0095519A" w:rsidRPr="00AC37DD">
        <w:rPr>
          <w:sz w:val="20"/>
          <w:szCs w:val="20"/>
        </w:rPr>
        <w:instrText>ADDIN CSL_CITATION {"citationItems":[{"id":"ITEM-1","itemData":{"DOI":"10.1016/j.soncn.2015.05.006","ISBN":"0749-2081","ISSN":"07492081","PMID":"26210197","abstract":"Objectives: Using a Life Course Health Development framework, this article summarizes what is known about the impact of cancer and its treatment on the biopsychosocial world of the adolescent and young adult. Data Sources: Published peer reviewed literature, web-based resources, and cancer-related professional organizations' resources. Conclusion: Adolescents and young adults with cancer, between 15 and 29years of age, have emerged as a distinct group requiring specialized care. The demands of cancer and its treatment are often directly counter to the developmental needs of this age group and often alter those life course experiences that contribute to resilience, thriving, and flourishing. Implications for Nursing Practice: Providing high-quality care to this age group requires a depth of understanding of the complexity of factors that merge to influence the developmental life course.","author":[{"dropping-particle":"","family":"Docherty","given":"Sharron L.","non-dropping-particle":"","parse-names":false,"suffix":""},{"dropping-particle":"","family":"Kayle","given":"Mariam","non-dropping-particle":"","parse-names":false,"suffix":""},{"dropping-particle":"","family":"Maslow","given":"Gary R.","non-dropping-particle":"","parse-names":false,"suffix":""},{"dropping-particle":"","family":"Santacroce","given":"Sheila Judge","non-dropping-particle":"","parse-names":false,"suffix":""}],"container-title":"Seminars in Oncology Nursing","id":"ITEM-1","issue":"3","issued":{"date-parts":[["2015"]]},"page":"186-196","publisher":"Elsevier Ltd","title":"The Adolescent and Young Adult with Cancer: A Developmental Life Course Perspective","type":"article-journal","volume":"31"},"uris":["http://www.mendeley.com/documents/?uuid=cf851aa0-919f-46ad-99e3-7194a6f0435b"]}],"mendeley":{"formattedCitation":"(Docherty, Kayle, Maslow, &amp; Santacroce, 2015)","plainTextFormattedCitation":"(Docherty, Kayle, Maslow, &amp; Santacroce, 2015)","previouslyFormattedCitation":"(Docherty, Kayle, Maslow, &amp; Santacroce, 2015)"},"properties":{"noteIndex":0},"schema":"https://github.com/citation-style-language/schema/raw/master/csl-citation.json"}</w:instrText>
      </w:r>
      <w:r w:rsidR="00A93814" w:rsidRPr="00AC37DD">
        <w:rPr>
          <w:sz w:val="20"/>
          <w:szCs w:val="20"/>
        </w:rPr>
        <w:fldChar w:fldCharType="separate"/>
      </w:r>
      <w:r w:rsidR="0095519A" w:rsidRPr="00AC37DD">
        <w:rPr>
          <w:noProof/>
          <w:sz w:val="20"/>
          <w:szCs w:val="20"/>
        </w:rPr>
        <w:t>(Docherty, Kayle, Maslow, &amp; Santacroce, 2015)</w:t>
      </w:r>
      <w:r w:rsidR="00A93814" w:rsidRPr="00AC37DD">
        <w:rPr>
          <w:sz w:val="20"/>
          <w:szCs w:val="20"/>
        </w:rPr>
        <w:fldChar w:fldCharType="end"/>
      </w:r>
      <w:r w:rsidR="00CE6717" w:rsidRPr="00AC37DD">
        <w:rPr>
          <w:sz w:val="20"/>
          <w:szCs w:val="20"/>
        </w:rPr>
        <w:t>.</w:t>
      </w:r>
      <w:r w:rsidR="00A82565" w:rsidRPr="00AC37DD">
        <w:rPr>
          <w:sz w:val="20"/>
          <w:szCs w:val="20"/>
        </w:rPr>
        <w:t xml:space="preserve"> </w:t>
      </w:r>
      <w:r w:rsidR="001A75CF" w:rsidRPr="00AC37DD">
        <w:rPr>
          <w:sz w:val="20"/>
          <w:szCs w:val="20"/>
        </w:rPr>
        <w:t>T</w:t>
      </w:r>
      <w:r w:rsidR="00904855" w:rsidRPr="00AC37DD">
        <w:rPr>
          <w:sz w:val="20"/>
          <w:szCs w:val="20"/>
        </w:rPr>
        <w:t xml:space="preserve">he lack of culturally appropriate supportive care services </w:t>
      </w:r>
      <w:r w:rsidR="001A75CF" w:rsidRPr="00AC37DD">
        <w:rPr>
          <w:sz w:val="20"/>
          <w:szCs w:val="20"/>
        </w:rPr>
        <w:t>reflects the scarcity of research and support tailored to meet the needs of the diverse UK population. The</w:t>
      </w:r>
      <w:r w:rsidR="00904855" w:rsidRPr="00AC37DD">
        <w:rPr>
          <w:sz w:val="20"/>
          <w:szCs w:val="20"/>
        </w:rPr>
        <w:t xml:space="preserve"> specific issues</w:t>
      </w:r>
      <w:r w:rsidR="001A75CF" w:rsidRPr="00AC37DD">
        <w:rPr>
          <w:sz w:val="20"/>
          <w:szCs w:val="20"/>
        </w:rPr>
        <w:t xml:space="preserve"> faced by growing minority groups of YAs</w:t>
      </w:r>
      <w:r w:rsidR="00904855" w:rsidRPr="00AC37DD">
        <w:rPr>
          <w:sz w:val="20"/>
          <w:szCs w:val="20"/>
        </w:rPr>
        <w:t xml:space="preserve"> should be explored in-depth in future research. </w:t>
      </w:r>
    </w:p>
    <w:p w14:paraId="2CD8A7ED" w14:textId="77777777" w:rsidR="00403363" w:rsidRPr="00AC37DD" w:rsidRDefault="0021212F" w:rsidP="003B7457">
      <w:pPr>
        <w:spacing w:line="480" w:lineRule="auto"/>
        <w:jc w:val="both"/>
        <w:rPr>
          <w:sz w:val="20"/>
          <w:szCs w:val="20"/>
        </w:rPr>
      </w:pPr>
      <w:r w:rsidRPr="00AC37DD">
        <w:rPr>
          <w:b/>
          <w:sz w:val="20"/>
          <w:szCs w:val="20"/>
        </w:rPr>
        <w:t xml:space="preserve">Clinical implications: </w:t>
      </w:r>
      <w:r w:rsidR="008964CF" w:rsidRPr="00AC37DD">
        <w:rPr>
          <w:sz w:val="20"/>
          <w:szCs w:val="20"/>
        </w:rPr>
        <w:t xml:space="preserve">YA </w:t>
      </w:r>
      <w:r w:rsidR="00BF4EA5" w:rsidRPr="00AC37DD">
        <w:rPr>
          <w:sz w:val="20"/>
          <w:szCs w:val="20"/>
        </w:rPr>
        <w:t>experiences suggest</w:t>
      </w:r>
      <w:r w:rsidR="0045436B" w:rsidRPr="00AC37DD">
        <w:rPr>
          <w:sz w:val="20"/>
          <w:szCs w:val="20"/>
        </w:rPr>
        <w:t xml:space="preserve"> that</w:t>
      </w:r>
      <w:r w:rsidR="00BF4EA5" w:rsidRPr="00AC37DD">
        <w:rPr>
          <w:sz w:val="20"/>
          <w:szCs w:val="20"/>
        </w:rPr>
        <w:t xml:space="preserve"> there may be </w:t>
      </w:r>
      <w:r w:rsidR="008964CF" w:rsidRPr="00AC37DD">
        <w:rPr>
          <w:sz w:val="20"/>
          <w:szCs w:val="20"/>
        </w:rPr>
        <w:t xml:space="preserve">a </w:t>
      </w:r>
      <w:r w:rsidR="00BF4EA5" w:rsidRPr="00AC37DD">
        <w:rPr>
          <w:sz w:val="20"/>
          <w:szCs w:val="20"/>
        </w:rPr>
        <w:t>need for</w:t>
      </w:r>
      <w:r w:rsidR="00DA7E4B" w:rsidRPr="00AC37DD">
        <w:rPr>
          <w:sz w:val="20"/>
          <w:szCs w:val="20"/>
        </w:rPr>
        <w:t xml:space="preserve"> more awareness of YA-specific issues by healthcare providers and</w:t>
      </w:r>
      <w:r w:rsidR="005230AF" w:rsidRPr="00AC37DD">
        <w:rPr>
          <w:sz w:val="20"/>
          <w:szCs w:val="20"/>
        </w:rPr>
        <w:t xml:space="preserve"> improved</w:t>
      </w:r>
      <w:r w:rsidR="00BF4EA5" w:rsidRPr="00AC37DD">
        <w:rPr>
          <w:sz w:val="20"/>
          <w:szCs w:val="20"/>
        </w:rPr>
        <w:t xml:space="preserve"> </w:t>
      </w:r>
      <w:r w:rsidR="00D2282C" w:rsidRPr="00AC37DD">
        <w:rPr>
          <w:sz w:val="20"/>
          <w:szCs w:val="20"/>
        </w:rPr>
        <w:t xml:space="preserve">age-specific </w:t>
      </w:r>
      <w:r w:rsidR="00BF4EA5" w:rsidRPr="00AC37DD">
        <w:rPr>
          <w:sz w:val="20"/>
          <w:szCs w:val="20"/>
        </w:rPr>
        <w:t>practical, emotional and social support during</w:t>
      </w:r>
      <w:r w:rsidR="00D2282C" w:rsidRPr="00AC37DD">
        <w:rPr>
          <w:sz w:val="20"/>
          <w:szCs w:val="20"/>
        </w:rPr>
        <w:t xml:space="preserve"> cancer</w:t>
      </w:r>
      <w:r w:rsidR="00BF4EA5" w:rsidRPr="00AC37DD">
        <w:rPr>
          <w:sz w:val="20"/>
          <w:szCs w:val="20"/>
        </w:rPr>
        <w:t xml:space="preserve"> treatment and recovery. </w:t>
      </w:r>
      <w:r w:rsidR="0008560F" w:rsidRPr="00AC37DD">
        <w:rPr>
          <w:sz w:val="20"/>
          <w:szCs w:val="20"/>
        </w:rPr>
        <w:t>The National Institute for Health and Care Excellence</w:t>
      </w:r>
      <w:r w:rsidR="00D2282C" w:rsidRPr="00AC37DD">
        <w:rPr>
          <w:sz w:val="20"/>
          <w:szCs w:val="20"/>
        </w:rPr>
        <w:t xml:space="preserve"> guidelines for providing cancer care to </w:t>
      </w:r>
      <w:r w:rsidR="0088552B" w:rsidRPr="00AC37DD">
        <w:rPr>
          <w:sz w:val="20"/>
          <w:szCs w:val="20"/>
        </w:rPr>
        <w:t>children</w:t>
      </w:r>
      <w:r w:rsidR="00D2282C" w:rsidRPr="00AC37DD">
        <w:rPr>
          <w:sz w:val="20"/>
          <w:szCs w:val="20"/>
        </w:rPr>
        <w:t xml:space="preserve"> and young people provide </w:t>
      </w:r>
      <w:r w:rsidR="0088552B" w:rsidRPr="00AC37DD">
        <w:rPr>
          <w:sz w:val="20"/>
          <w:szCs w:val="20"/>
        </w:rPr>
        <w:t xml:space="preserve">excellent </w:t>
      </w:r>
      <w:r w:rsidR="00D2282C" w:rsidRPr="00AC37DD">
        <w:rPr>
          <w:sz w:val="20"/>
          <w:szCs w:val="20"/>
        </w:rPr>
        <w:t>recom</w:t>
      </w:r>
      <w:r w:rsidR="00061589" w:rsidRPr="00AC37DD">
        <w:rPr>
          <w:sz w:val="20"/>
          <w:szCs w:val="20"/>
        </w:rPr>
        <w:t>mendations for age-specific mul</w:t>
      </w:r>
      <w:r w:rsidR="00D2282C" w:rsidRPr="00AC37DD">
        <w:rPr>
          <w:sz w:val="20"/>
          <w:szCs w:val="20"/>
        </w:rPr>
        <w:t>ti-disciplinary care</w:t>
      </w:r>
      <w:r w:rsidR="004F2E91" w:rsidRPr="00AC37DD">
        <w:rPr>
          <w:sz w:val="20"/>
          <w:szCs w:val="20"/>
        </w:rPr>
        <w:t xml:space="preserve"> </w:t>
      </w:r>
      <w:r w:rsidR="006446C3" w:rsidRPr="00AC37DD">
        <w:rPr>
          <w:sz w:val="20"/>
          <w:szCs w:val="20"/>
        </w:rPr>
        <w:fldChar w:fldCharType="begin" w:fldLock="1"/>
      </w:r>
      <w:r w:rsidR="00B25DD0" w:rsidRPr="00AC37DD">
        <w:rPr>
          <w:sz w:val="20"/>
          <w:szCs w:val="20"/>
        </w:rPr>
        <w:instrText>ADDIN CSL_CITATION {"citationItems":[{"id":"ITEM-1","itemData":{"author":[{"dropping-particle":"","family":"National Institute for Health and Care Excellence","given":"","non-dropping-particle":"","parse-names":false,"suffix":""}],"id":"ITEM-1","issued":{"date-parts":[["2014"]]},"title":"Cancer Services for Children and Young People","type":"report"},"uris":["http://www.mendeley.com/documents/?uuid=a3d64e45-6697-4148-b834-29b8845b09c6"]}],"mendeley":{"formattedCitation":"(National Institute for Health and Care Excellence, 2014)","plainTextFormattedCitation":"(National Institute for Health and Care Excellence, 2014)","previouslyFormattedCitation":"(National Institute for Health and Care Excellence, 2014)"},"properties":{"noteIndex":0},"schema":"https://github.com/citation-style-language/schema/raw/master/csl-citation.json"}</w:instrText>
      </w:r>
      <w:r w:rsidR="006446C3" w:rsidRPr="00AC37DD">
        <w:rPr>
          <w:sz w:val="20"/>
          <w:szCs w:val="20"/>
        </w:rPr>
        <w:fldChar w:fldCharType="separate"/>
      </w:r>
      <w:r w:rsidR="0095519A" w:rsidRPr="00AC37DD">
        <w:rPr>
          <w:noProof/>
          <w:sz w:val="20"/>
          <w:szCs w:val="20"/>
        </w:rPr>
        <w:t>(National Institute for Health and Care Excellence, 2014)</w:t>
      </w:r>
      <w:r w:rsidR="006446C3" w:rsidRPr="00AC37DD">
        <w:rPr>
          <w:sz w:val="20"/>
          <w:szCs w:val="20"/>
        </w:rPr>
        <w:fldChar w:fldCharType="end"/>
      </w:r>
      <w:r w:rsidR="004F2E91" w:rsidRPr="00AC37DD">
        <w:rPr>
          <w:sz w:val="20"/>
          <w:szCs w:val="20"/>
        </w:rPr>
        <w:t>.</w:t>
      </w:r>
      <w:r w:rsidR="00D2282C" w:rsidRPr="00AC37DD">
        <w:rPr>
          <w:sz w:val="20"/>
          <w:szCs w:val="20"/>
        </w:rPr>
        <w:t xml:space="preserve"> </w:t>
      </w:r>
      <w:r w:rsidR="007854B2" w:rsidRPr="00AC37DD">
        <w:rPr>
          <w:sz w:val="20"/>
          <w:szCs w:val="20"/>
        </w:rPr>
        <w:t>Patients and providers</w:t>
      </w:r>
      <w:r w:rsidR="00D2282C" w:rsidRPr="00AC37DD">
        <w:rPr>
          <w:sz w:val="20"/>
          <w:szCs w:val="20"/>
        </w:rPr>
        <w:t xml:space="preserve"> should </w:t>
      </w:r>
      <w:r w:rsidR="0088552B" w:rsidRPr="00AC37DD">
        <w:rPr>
          <w:sz w:val="20"/>
          <w:szCs w:val="20"/>
        </w:rPr>
        <w:t>review</w:t>
      </w:r>
      <w:r w:rsidR="00D2282C" w:rsidRPr="00AC37DD">
        <w:rPr>
          <w:sz w:val="20"/>
          <w:szCs w:val="20"/>
        </w:rPr>
        <w:t xml:space="preserve"> these guidelines </w:t>
      </w:r>
      <w:r w:rsidR="000324E4" w:rsidRPr="00AC37DD">
        <w:rPr>
          <w:sz w:val="20"/>
          <w:szCs w:val="20"/>
        </w:rPr>
        <w:t xml:space="preserve">to </w:t>
      </w:r>
      <w:r w:rsidR="007854B2" w:rsidRPr="00AC37DD">
        <w:rPr>
          <w:sz w:val="20"/>
          <w:szCs w:val="20"/>
        </w:rPr>
        <w:t xml:space="preserve">determine whether they should </w:t>
      </w:r>
      <w:r w:rsidR="005230AF" w:rsidRPr="00AC37DD">
        <w:rPr>
          <w:sz w:val="20"/>
          <w:szCs w:val="20"/>
        </w:rPr>
        <w:t>extend</w:t>
      </w:r>
      <w:r w:rsidR="0088552B" w:rsidRPr="00AC37DD">
        <w:rPr>
          <w:sz w:val="20"/>
          <w:szCs w:val="20"/>
        </w:rPr>
        <w:t xml:space="preserve"> to YA</w:t>
      </w:r>
      <w:r w:rsidR="007854B2" w:rsidRPr="00AC37DD">
        <w:rPr>
          <w:sz w:val="20"/>
          <w:szCs w:val="20"/>
        </w:rPr>
        <w:t>s</w:t>
      </w:r>
      <w:r w:rsidR="00A66D8A" w:rsidRPr="00AC37DD">
        <w:rPr>
          <w:sz w:val="20"/>
          <w:szCs w:val="20"/>
        </w:rPr>
        <w:t xml:space="preserve"> and if current adult supportive care services should be supplemented with YA-specific </w:t>
      </w:r>
      <w:r w:rsidR="00504012" w:rsidRPr="00AC37DD">
        <w:rPr>
          <w:sz w:val="20"/>
          <w:szCs w:val="20"/>
        </w:rPr>
        <w:t>support</w:t>
      </w:r>
      <w:r w:rsidR="004F2E91" w:rsidRPr="00AC37DD">
        <w:rPr>
          <w:sz w:val="20"/>
          <w:szCs w:val="20"/>
        </w:rPr>
        <w:t xml:space="preserve"> </w:t>
      </w:r>
      <w:r w:rsidR="00A66D8A" w:rsidRPr="00AC37DD">
        <w:rPr>
          <w:sz w:val="20"/>
          <w:szCs w:val="20"/>
        </w:rPr>
        <w:fldChar w:fldCharType="begin" w:fldLock="1"/>
      </w:r>
      <w:r w:rsidR="0095519A" w:rsidRPr="00AC37DD">
        <w:rPr>
          <w:sz w:val="20"/>
          <w:szCs w:val="20"/>
        </w:rPr>
        <w:instrText>ADDIN CSL_CITATION {"citationItems":[{"id":"ITEM-1","itemData":{"DOI":"10.1002/cncr.29834","ISBN":"0008-543X","ISSN":"10970142","PMID":"26848554","abstract":"Literature regarding the development of adolescent and young adult (AYA) cancer programs has been dominantly informed by pediatric centers and practitioners. However, the majority of young adults are seen and treated at adult cancer centers, in which cancer volumes afford the development of innovative supportive care services. Although the supportive care services in adult cancer centers are helpful to AYAs, some of the most prominent and distinct issues faced by AYAs are not adequately addressed through these services alone. This article describes how the AYA Program at Princess Margaret Cancer Centre has collaborated with existing supportive care services in addition to supplying its own unique services to meet the comprehensive needs of AYAs in the domains of: symptom management (sexuality and fatigue), behavior modification (return to work and exercise), and health services (advanced cancer and survivorship). These collaborations are augmented by patient education interventions and timely referrals. The objective of this article was to assist other centers in expanding existing services to address the needs of AYA patients with cancer. Cancer 2015. © 2015 American Cancer Society.","author":[{"dropping-particle":"","family":"Gupta","given":"Abha A.","non-dropping-particle":"","parse-names":false,"suffix":""},{"dropping-particle":"","family":"Papadakos","given":"Janet K.","non-dropping-particle":"","parse-names":false,"suffix":""},{"dropping-particle":"","family":"Jones","given":"Jennifer M.","non-dropping-particle":"","parse-names":false,"suffix":""},{"dropping-particle":"","family":"Amin","given":"Leila","non-dropping-particle":"","parse-names":false,"suffix":""},{"dropping-particle":"","family":"Chang","given":"Eugene K.","non-dropping-particle":"","parse-names":false,"suffix":""},{"dropping-particle":"","family":"Korenblum","given":"Chana","non-dropping-particle":"","parse-names":false,"suffix":""},{"dropping-particle":"","family":"Mina","given":"Daniel Santa","non-dropping-particle":"","parse-names":false,"suffix":""},{"dropping-particle":"","family":"McCabe","given":"Lianne","non-dropping-particle":"","parse-names":false,"suffix":""},{"dropping-particle":"","family":"Mitchell","given":"Laura","non-dropping-particle":"","parse-names":false,"suffix":""},{"dropping-particle":"","family":"Giuliani","given":"Meredith E.","non-dropping-particle":"","parse-names":false,"suffix":""}],"container-title":"Cancer","id":"ITEM-1","issue":"7","issued":{"date-parts":[["2016"]]},"page":"1038-1046","title":"Reimagining care for adolescent and young adult cancer programs: Moving with the times","type":"article-journal","volume":"122"},"uris":["http://www.mendeley.com/documents/?uuid=b2f9bae8-432e-4f1c-8273-ebd81ecf2404"]}],"mendeley":{"formattedCitation":"(Gupta et al., 2016)","plainTextFormattedCitation":"(Gupta et al., 2016)","previouslyFormattedCitation":"(Gupta et al., 2016)"},"properties":{"noteIndex":0},"schema":"https://github.com/citation-style-language/schema/raw/master/csl-citation.json"}</w:instrText>
      </w:r>
      <w:r w:rsidR="00A66D8A" w:rsidRPr="00AC37DD">
        <w:rPr>
          <w:sz w:val="20"/>
          <w:szCs w:val="20"/>
        </w:rPr>
        <w:fldChar w:fldCharType="separate"/>
      </w:r>
      <w:r w:rsidR="0095519A" w:rsidRPr="00AC37DD">
        <w:rPr>
          <w:noProof/>
          <w:sz w:val="20"/>
          <w:szCs w:val="20"/>
        </w:rPr>
        <w:t>(Gupta et al., 2016)</w:t>
      </w:r>
      <w:r w:rsidR="00A66D8A" w:rsidRPr="00AC37DD">
        <w:rPr>
          <w:sz w:val="20"/>
          <w:szCs w:val="20"/>
        </w:rPr>
        <w:fldChar w:fldCharType="end"/>
      </w:r>
      <w:r w:rsidR="004F2E91" w:rsidRPr="00AC37DD">
        <w:rPr>
          <w:sz w:val="20"/>
          <w:szCs w:val="20"/>
        </w:rPr>
        <w:t>.</w:t>
      </w:r>
      <w:r w:rsidR="00D2282C" w:rsidRPr="00AC37DD">
        <w:rPr>
          <w:sz w:val="20"/>
          <w:szCs w:val="20"/>
        </w:rPr>
        <w:t xml:space="preserve"> </w:t>
      </w:r>
    </w:p>
    <w:p w14:paraId="41F18DB0" w14:textId="4C06F296" w:rsidR="00D5212E" w:rsidRPr="00AC37DD" w:rsidRDefault="002F6FC5" w:rsidP="003B7457">
      <w:pPr>
        <w:spacing w:line="480" w:lineRule="auto"/>
        <w:jc w:val="both"/>
        <w:rPr>
          <w:sz w:val="20"/>
          <w:szCs w:val="20"/>
        </w:rPr>
      </w:pPr>
      <w:r w:rsidRPr="00AC37DD">
        <w:rPr>
          <w:sz w:val="20"/>
          <w:szCs w:val="20"/>
        </w:rPr>
        <w:t>Scalable interventions should be explored, particularly those t</w:t>
      </w:r>
      <w:r w:rsidR="004869D3" w:rsidRPr="00AC37DD">
        <w:rPr>
          <w:sz w:val="20"/>
          <w:szCs w:val="20"/>
        </w:rPr>
        <w:t>hat can be delivered remotely</w:t>
      </w:r>
      <w:r w:rsidR="004F2E91" w:rsidRPr="00AC37DD">
        <w:rPr>
          <w:sz w:val="20"/>
          <w:szCs w:val="20"/>
        </w:rPr>
        <w:t xml:space="preserve"> </w:t>
      </w:r>
      <w:r w:rsidR="004E7524" w:rsidRPr="00AC37DD">
        <w:rPr>
          <w:sz w:val="20"/>
          <w:szCs w:val="20"/>
        </w:rPr>
        <w:fldChar w:fldCharType="begin" w:fldLock="1"/>
      </w:r>
      <w:r w:rsidR="0095519A" w:rsidRPr="00AC37DD">
        <w:rPr>
          <w:sz w:val="20"/>
          <w:szCs w:val="20"/>
        </w:rPr>
        <w:instrText>ADDIN CSL_CITATION {"citationItems":[{"id":"ITEM-1","itemData":{"DOI":"10.1097/PPO.0000000000000339","ISSN":"1540336X","abstract":"Various forms of psychosocial support have been suggested in working with adolescents and young adults (AYAs) as they attempt to cope with cancer, including peer-based interventions, individual psychoeducational counseling, and skill-based interventions. More recently, modern electronic applications created technology-based ways to deliver information and support and have grown in popularity to satisfy AYA needs for information and support. Such support should be offered routinely rather than in a response to a crisis. This article focuses on psychosocial interventions for AYAs aged 15 to 39 years with cancer at diagnosis, during treatment, and shortly after.","author":[{"dropping-particle":"","family":"Penn","given":"Anthony","non-dropping-particle":"","parse-names":false,"suffix":""},{"dropping-particle":"","family":"Kuperberg","given":"Aura","non-dropping-particle":"","parse-names":false,"suffix":""}],"container-title":"Cancer Journal (United States)","id":"ITEM-1","issue":"6","issued":{"date-parts":[["2018"]]},"page":"321-327","title":"Psychosocial Support in Adolescents and Young Adults with Cancer","type":"article-journal","volume":"24"},"uris":["http://www.mendeley.com/documents/?uuid=aeaeab77-d616-405d-931c-dff84994f15a"]},{"id":"ITEM-2","itemData":{"DOI":"10.1097/SPC.0000000000000480","ISSN":"17514266","abstract":"PURPOSE OF REVIEW: AYA patients with cancer have a unique set of psychosocial and support needs to compared with their younger and older counterparts. Digital health interventions overcome many of the barriers to AYA participation in behavioral health interventions. Due to the rapid shifts in digital health, it is important to continually assess the state of the field. RECENT FINDINGS: There has been a sharp increase in the number of digital health interventions published in the literature. Interventions are using a variety of modalities and targeting many health behaviors and psychosocial outcomes. Most studies are focused on feasibility and acceptability, and use single-arm and prepost methodologies. SUMMARY: Although randomized controlled trials remain an important design for evaluating efficacy of interventions, the field of digital health interventions would benefit from employing alternative methodologies and analytic approaches to develop and optimize digital health interventions aligned with rapidly evolving technology.","author":[{"dropping-particle":"","family":"Viola","given":"Adrienne","non-dropping-particle":"","parse-names":false,"suffix":""},{"dropping-particle":"","family":"Panigrahi","given":"Gargi","non-dropping-particle":"","parse-names":false,"suffix":""},{"dropping-particle":"","family":"Devine","given":"Katie A.","non-dropping-particle":"","parse-names":false,"suffix":""}],"container-title":"Current opinion in supportive and palliative care","id":"ITEM-2","issue":"1","issued":{"date-parts":[["2020"]]},"page":"51-59","title":"Digital interventions for adolescent and young adult cancer survivors","type":"article-journal","volume":"14"},"uris":["http://www.mendeley.com/documents/?uuid=d565edb4-becf-4871-9b4c-c79c94213bc5"]}],"mendeley":{"formattedCitation":"(Penn &amp; Kuperberg, 2018; Viola, Panigrahi, &amp; Devine, 2020)","plainTextFormattedCitation":"(Penn &amp; Kuperberg, 2018; Viola, Panigrahi, &amp; Devine, 2020)","previouslyFormattedCitation":"(Penn &amp; Kuperberg, 2018; Viola, Panigrahi, &amp; Devine, 2020)"},"properties":{"noteIndex":0},"schema":"https://github.com/citation-style-language/schema/raw/master/csl-citation.json"}</w:instrText>
      </w:r>
      <w:r w:rsidR="004E7524" w:rsidRPr="00AC37DD">
        <w:rPr>
          <w:sz w:val="20"/>
          <w:szCs w:val="20"/>
        </w:rPr>
        <w:fldChar w:fldCharType="separate"/>
      </w:r>
      <w:r w:rsidR="0095519A" w:rsidRPr="00AC37DD">
        <w:rPr>
          <w:noProof/>
          <w:sz w:val="20"/>
          <w:szCs w:val="20"/>
        </w:rPr>
        <w:t>(Penn &amp; Kuperberg, 2018; Viola, Panigrahi, &amp; Devine, 2020)</w:t>
      </w:r>
      <w:r w:rsidR="004E7524" w:rsidRPr="00AC37DD">
        <w:rPr>
          <w:sz w:val="20"/>
          <w:szCs w:val="20"/>
        </w:rPr>
        <w:fldChar w:fldCharType="end"/>
      </w:r>
      <w:r w:rsidR="004F2E91" w:rsidRPr="00AC37DD">
        <w:rPr>
          <w:sz w:val="20"/>
          <w:szCs w:val="20"/>
        </w:rPr>
        <w:t>.</w:t>
      </w:r>
      <w:r w:rsidR="004869D3" w:rsidRPr="00AC37DD">
        <w:rPr>
          <w:sz w:val="20"/>
          <w:szCs w:val="20"/>
        </w:rPr>
        <w:t xml:space="preserve"> </w:t>
      </w:r>
      <w:r w:rsidR="00B566B0" w:rsidRPr="00AC37DD">
        <w:rPr>
          <w:sz w:val="20"/>
          <w:szCs w:val="20"/>
        </w:rPr>
        <w:t xml:space="preserve">A paper-based discussion aid called ‘Snapshot’ providing prompts for psychosocial issues and a mobile phone app supporting symptom tracking have shown to facilitate conversations around personal or sensitive topics in AYAs </w:t>
      </w:r>
      <w:r w:rsidR="00B566B0" w:rsidRPr="00AC37DD">
        <w:rPr>
          <w:sz w:val="20"/>
          <w:szCs w:val="20"/>
        </w:rPr>
        <w:fldChar w:fldCharType="begin" w:fldLock="1"/>
      </w:r>
      <w:r w:rsidR="00D5212E" w:rsidRPr="00AC37DD">
        <w:rPr>
          <w:sz w:val="20"/>
          <w:szCs w:val="20"/>
        </w:rPr>
        <w:instrText>ADDIN CSL_CITATION {"citationItems":[{"id":"ITEM-1","itemData":{"DOI":"10.1089/jayao.2018.0027","ISSN":"2156535X","PMID":"29781754","abstract":"Purpose: Young adults (YAs) aged 18-35 years with cancer often experience unmet psychosocial needs. We aimed to evaluate a conversation aid (\"Snapshot\") that offered a framework for discussing YA-specific psychosocial concerns between patients and clinicians. Methods: We developed and implemented Snapshot between 2014 and 2016 as part of a quality improvement initiative at Dana-Farber Cancer Institute. We extracted pre- and postimplementation data from chart documentation of psychosocial concerns. YAs and social workers provided qualitative feedback on the use of Snapshot in clinical care. Results: Postintervention chart reviews revealed a significant increase in the median number of topics documented in charts after implementation of Snapshot (preintervention median = 9 [range: 1-15] vs. postintervention median = 11 [range 6-15]; p = 0.003). Overall, YAs and social workers reported that using Snapshot improved communication and consistency of psychosocial care, with documented improvement in the following domains: understanding illness (p &lt; 0.001), sexuality and intimacy (p = 0.03), symptom burden (p = 0.003), care planning (p &lt; 0.001), support for caregivers and children (p = 0.02), and social, work, and home changes (p = 0.05). Conclusion: Snapshot improved the quality of psychosocial needs assessment among YAs with cancer. Implementation was successful in reducing variability identified in the preintervention cohort and increasing the number of YA-specific psychosocial topics discussed. A standardized conversation aid has the potential to improve quality of care for YAs by enabling early identification and intervention of psychosocial issues for all patients.","author":[{"dropping-particle":"","family":"Poort","given":"Hanneke","non-dropping-particle":"","parse-names":false,"suffix":""},{"dropping-particle":"","family":"Souza","given":"Phoebe M.","non-dropping-particle":"","parse-names":false,"suffix":""},{"dropping-particle":"","family":"Malinowski","given":"Paige K.","non-dropping-particle":"","parse-names":false,"suffix":""},{"dropping-particle":"","family":"Macdougall","given":"Katelyn M.","non-dropping-particle":"","parse-names":false,"suffix":""},{"dropping-particle":"","family":"Barysauskas","given":"Constance M.","non-dropping-particle":"","parse-names":false,"suffix":""},{"dropping-particle":"","family":"Lau Greenberg","given":"Teresa","non-dropping-particle":"","parse-names":false,"suffix":""},{"dropping-particle":"","family":"Tulsky","given":"James A.","non-dropping-particle":"","parse-names":false,"suffix":""},{"dropping-particle":"","family":"Fasciano","given":"Karen M.","non-dropping-particle":"","parse-names":false,"suffix":""}],"container-title":"Journal of Adolescent and Young Adult Oncology","id":"ITEM-1","issue":"5","issued":{"date-parts":[["2018"]]},"page":"565-571","title":"Taking a \"snapshot\": Evaluation of a conversation aid for identifying psychosocial needs in young adults with cancer","type":"article-journal","volume":"7"},"uris":["http://www.mendeley.com/documents/?uuid=8b579986-6e03-4862-9575-6b767cec5c47"]},{"id":"ITEM-2","itemData":{"DOI":"10.1089/jayao.2018.0103","ISSN":"2156-5333","abstract":"Purpose: Adolescents and young adults (AYAs) with cancer need self-management strategies to cope with multiple symptoms. Self-efficacy, self-regulation, and negotiated collaboration are key theoretical components of the self-management process and have not been fully explored with AYAs with cancer. This study examined the effects of a heuristic symptom assessment tool on AYAs' self-efficacy for symptom management, AYAs' self-regulation abilities related to their symptoms, and communication with their providers about symptoms. Methods: AYAs (15-29 years of age) receiving chemotherapy used the Computerized Symptom Capture Assessment Tool (C-SCAT) to illustrate their symptom experience and discuss their symptoms with providers during two clinic visits. Participants completed the PROMIS Self-efficacy for Managing Symptoms Scale, a measure of satisfaction with provider communication, and a short interview about self-regulation and communication behaviors at baseline and after each provider visit. Results: Eighty-five AYAs who used the C-SCAT showed improved self-efficacy for managing symptoms. Qualitative data suggest that the C-SCAT was useful for enhancing a number of AYAs' self-regulation abilities related to symptom management, such as awareness and recall of symptoms, how symptoms were related, and how they planned to talk about their symptoms to providers. AYAs reported C-SCAT facilitated communication with providers about symptoms and symptom management because it was a visual prompt showing priority and related symptoms. Conclusions: Because AYAs continue to experience multiple distressing symptoms, symptom self-management remains an important area for practice and research. Use of heuristic tools, such as the C-SCAT, may help AYAs more effectively self-manage their symptoms for better health outcomes.","author":[{"dropping-particle":"","family":"Erickson","given":"Jeanne M.","non-dropping-particle":"","parse-names":false,"suffix":""},{"dropping-particle":"","family":"Ameringer","given":"Suzanne","non-dropping-particle":"","parse-names":false,"suffix":""},{"dropping-particle":"","family":"Linder","given":"Lauri","non-dropping-particle":"","parse-names":false,"suffix":""},{"dropping-particle":"","family":"Macpherson","given":"Catherine Fiona","non-dropping-particle":"","parse-names":false,"suffix":""},{"dropping-particle":"","family":"Elswick","given":"R.K.","non-dropping-particle":"","parse-names":false,"suffix":""},{"dropping-particle":"","family":"Luebke","given":"Jeneile M.","non-dropping-particle":"","parse-names":false,"suffix":""},{"dropping-particle":"","family":"Stegenga","given":"Kristin","non-dropping-particle":"","parse-names":false,"suffix":""}],"container-title":"Journal of Adolescent and Young Adult Oncology","id":"ITEM-2","issue":"2","issued":{"date-parts":[["2018"]]},"page":"131-141","title":"Using a Heuristic App to Improve Symptom Self-Management in Adolescents and Young Adults with Cancer","type":"article-journal","volume":"8"},"uris":["http://www.mendeley.com/documents/?uuid=01df8789-c393-4491-b913-443975be4559"]}],"mendeley":{"formattedCitation":"(Erickson et al., 2018; Poort et al., 2018)","plainTextFormattedCitation":"(Erickson et al., 2018; Poort et al., 2018)","previouslyFormattedCitation":"(Erickson et al., 2018; Poort et al., 2018)"},"properties":{"noteIndex":0},"schema":"https://github.com/citation-style-language/schema/raw/master/csl-citation.json"}</w:instrText>
      </w:r>
      <w:r w:rsidR="00B566B0" w:rsidRPr="00AC37DD">
        <w:rPr>
          <w:sz w:val="20"/>
          <w:szCs w:val="20"/>
        </w:rPr>
        <w:fldChar w:fldCharType="separate"/>
      </w:r>
      <w:r w:rsidR="00B566B0" w:rsidRPr="00AC37DD">
        <w:rPr>
          <w:noProof/>
          <w:sz w:val="20"/>
          <w:szCs w:val="20"/>
        </w:rPr>
        <w:t>(Erickson et al., 2018; Poort et al., 2018)</w:t>
      </w:r>
      <w:r w:rsidR="00B566B0" w:rsidRPr="00AC37DD">
        <w:rPr>
          <w:sz w:val="20"/>
          <w:szCs w:val="20"/>
        </w:rPr>
        <w:fldChar w:fldCharType="end"/>
      </w:r>
      <w:r w:rsidR="00B566B0" w:rsidRPr="00AC37DD">
        <w:rPr>
          <w:sz w:val="20"/>
          <w:szCs w:val="20"/>
        </w:rPr>
        <w:t xml:space="preserve">. Individual psychological support focusing on AYA-related issues including social, family and romantic relationships </w:t>
      </w:r>
      <w:r w:rsidR="00D5212E" w:rsidRPr="00AC37DD">
        <w:rPr>
          <w:sz w:val="20"/>
          <w:szCs w:val="20"/>
        </w:rPr>
        <w:t xml:space="preserve">and a similar intervention using cognitive behavioural therapy </w:t>
      </w:r>
      <w:r w:rsidR="00B566B0" w:rsidRPr="00AC37DD">
        <w:rPr>
          <w:sz w:val="20"/>
          <w:szCs w:val="20"/>
        </w:rPr>
        <w:t>ha</w:t>
      </w:r>
      <w:r w:rsidR="00D5212E" w:rsidRPr="00AC37DD">
        <w:rPr>
          <w:sz w:val="20"/>
          <w:szCs w:val="20"/>
        </w:rPr>
        <w:t>ve</w:t>
      </w:r>
      <w:r w:rsidR="00B566B0" w:rsidRPr="00AC37DD">
        <w:rPr>
          <w:sz w:val="20"/>
          <w:szCs w:val="20"/>
        </w:rPr>
        <w:t xml:space="preserve"> shown</w:t>
      </w:r>
      <w:r w:rsidR="00D5212E" w:rsidRPr="00AC37DD">
        <w:rPr>
          <w:sz w:val="20"/>
          <w:szCs w:val="20"/>
        </w:rPr>
        <w:t xml:space="preserve"> to improve quality of life </w:t>
      </w:r>
      <w:r w:rsidR="00D5212E" w:rsidRPr="00AC37DD">
        <w:rPr>
          <w:sz w:val="20"/>
          <w:szCs w:val="20"/>
        </w:rPr>
        <w:fldChar w:fldCharType="begin" w:fldLock="1"/>
      </w:r>
      <w:r w:rsidR="003A5558" w:rsidRPr="00AC37DD">
        <w:rPr>
          <w:sz w:val="20"/>
          <w:szCs w:val="20"/>
        </w:rPr>
        <w:instrText>ADDIN CSL_CITATION {"citationItems":[{"id":"ITEM-1","itemData":{"DOI":"10.1089/jayao.2017.0101","ISSN":"2156535X","abstract":"Purpose: Young adult oncology has gained momentum in recognizing the unique medical and psychosocial needs of the population of adolescents and young adults with cancer (AYAC). However, many of their psychosocial needs remain unmet and we are yet to identify how clinical or research programs can be tailored to meet these needs. The aim of the study was to evaluate the impact of a cognitive-behavioral intervention adapted to meet the psychosocial needs and issues of AYAC and delivered either through Skype or face-to-face sessions against a control condition. Methods: A total of 113 AYAC aged between 18 and 39 years were randomly assigned to a brief three-session intervention or control/care-as-usual group. They were then assessed at three time points of baseline (time 1), post (time 2), and 3-month postintervention (time 3) using self-report questionnaires targeting overall outcomes of mood/emotional well-being and health-related quality of life (HRQOL) and specific outcomes of illness-related self-efficacy and family/social and sexual relationship well-being. Results: Significant between-group differences were obtained from time 1 to time 2 on outcomes of social/family and sexual relationship well-being, whereas groups did not differ from time 2 to time 3. Within-group results from time 1 to time 2 showed significant improvements in sexual esteem for both groups, whereas only AYAC of the intervention group significantly improved on outcomes of anxiety, overall mood/emotional well-being and HRQOL. In addition, improvements in self-efficacy were obtained only for the intervention group from time 2 to time 3. Conclusion: When compared with a control/care-as-usual condition, the intervention had a positive impact on psychological and relationship well-being. Results suggested that the intervention was beneficial and clinically relevant to the population of AYAC.","author":[{"dropping-particle":"","family":"Aubin","given":"Sylvie","non-dropping-particle":"","parse-names":false,"suffix":""},{"dropping-particle":"","family":"Rosberger","given":"Zeev","non-dropping-particle":"","parse-names":false,"suffix":""},{"dropping-particle":"","family":"Hafez","given":"Nada","non-dropping-particle":"","parse-names":false,"suffix":""},{"dropping-particle":"","family":"Noory","given":"Michael R.","non-dropping-particle":"","parse-names":false,"suffix":""},{"dropping-particle":"","family":"Perez","given":"Samara","non-dropping-particle":"","parse-names":false,"suffix":""},{"dropping-particle":"","family":"Lehmann","given":"Sonja","non-dropping-particle":"","parse-names":false,"suffix":""},{"dropping-particle":"","family":"Batist","given":"Gerald","non-dropping-particle":"","parse-names":false,"suffix":""},{"dropping-particle":"","family":"Kavan","given":"Petr","non-dropping-particle":"","parse-names":false,"suffix":""}],"container-title":"Journal of Adolescent and Young Adult Oncology","id":"ITEM-1","issue":"2","issued":{"date-parts":[["2019"]]},"page":"172-189","title":"Cancer!? i don't have time for that: Impact of a psychosocial intervention for young adults with cancer","type":"article-journal","volume":"8"},"uris":["http://www.mendeley.com/documents/?uuid=0aaed226-d9f6-4a78-9557-f907478cf48f"]},{"id":"ITEM-2","itemData":{"DOI":"10.1093/jpepsy/jsv004","ISBN":"0146-8693","ISSN":"0146-8693","PMID":"25678533","abstract":"OBJECTIVE To examine the feasibility and format of the Promoting Resilience in Stress Management (PRISM) intervention among two groups of adolescents and young adults (AYAs) at-risk for poor outcomes: those with Type 1 diabetes (T1D) or cancer. METHODS PRISM consists of two long or four short skills-based modules. English-speaking patients 12-25 years old were eligible if they had T1D for &gt;6 months or cancer for &gt;2 weeks. Feasibility was defined as an 80% completion rate and high satisfaction. Ongoing monitoring shaped iterative refinement of disease-specific approach. RESULTS 12 of 15 patients with T1D (80%) completed the two-session intervention. 3 of 15 patients with cancer declined to complete the two-session version, citing prohibitive length of individual sessions. 12 (80%) completed the four-session version. Patient-reported satisfaction was high across groups. CONCLUSIONS The PRISM intervention is feasible and well-accepted by AYAs with cancer or T1D. Differences in patient populations warrant differences in approach.","author":[{"dropping-particle":"","family":"Rosenberg","given":"Abby R.","non-dropping-particle":"","parse-names":false,"suffix":""},{"dropping-particle":"","family":"Yi-Frazier","given":"Joyce P.","non-dropping-particle":"","parse-names":false,"suffix":""},{"dropping-particle":"","family":"Eaton","given":"Lauren","non-dropping-particle":"","parse-names":false,"suffix":""},{"dropping-particle":"","family":"Wharton","given":"Claire","non-dropping-particle":"","parse-names":false,"suffix":""},{"dropping-particle":"","family":"Cochrane","given":"Katherine","non-dropping-particle":"","parse-names":false,"suffix":""},{"dropping-particle":"","family":"Pihoker","given":"Catherine","non-dropping-particle":"","parse-names":false,"suffix":""},{"dropping-particle":"","family":"Baker","given":"K. Scott","non-dropping-particle":"","parse-names":false,"suffix":""},{"dropping-particle":"","family":"McCauley","given":"Elizabeth","non-dropping-particle":"","parse-names":false,"suffix":""}],"container-title":"Journal of Pediatric Psychology","id":"ITEM-2","issue":"9","issued":{"date-parts":[["2015"]]},"page":"992-999","title":"Promoting Resilience in Stress Management: A Pilot Study of a Novel Resilience-Promoting Intervention for Adolescents and Young Adults With Serious Illness","type":"article-journal","volume":"40"},"uris":["http://www.mendeley.com/documents/?uuid=ba7e535e-5fb6-47fc-aaeb-ed371c28340a"]}],"mendeley":{"formattedCitation":"(Aubin et al., 2019; Rosenberg et al., 2015)","plainTextFormattedCitation":"(Aubin et al., 2019; Rosenberg et al., 2015)","previouslyFormattedCitation":"(Aubin et al., 2019; Rosenberg et al., 2015)"},"properties":{"noteIndex":0},"schema":"https://github.com/citation-style-language/schema/raw/master/csl-citation.json"}</w:instrText>
      </w:r>
      <w:r w:rsidR="00D5212E" w:rsidRPr="00AC37DD">
        <w:rPr>
          <w:sz w:val="20"/>
          <w:szCs w:val="20"/>
        </w:rPr>
        <w:fldChar w:fldCharType="separate"/>
      </w:r>
      <w:r w:rsidR="00D5212E" w:rsidRPr="00AC37DD">
        <w:rPr>
          <w:noProof/>
          <w:sz w:val="20"/>
          <w:szCs w:val="20"/>
        </w:rPr>
        <w:t>(Aubin et al., 2019; Rosenberg et al., 2015)</w:t>
      </w:r>
      <w:r w:rsidR="00D5212E" w:rsidRPr="00AC37DD">
        <w:rPr>
          <w:sz w:val="20"/>
          <w:szCs w:val="20"/>
        </w:rPr>
        <w:fldChar w:fldCharType="end"/>
      </w:r>
      <w:r w:rsidR="00D5212E" w:rsidRPr="00AC37DD">
        <w:rPr>
          <w:sz w:val="20"/>
          <w:szCs w:val="20"/>
        </w:rPr>
        <w:t xml:space="preserve">. Consulting with a fertility specialist </w:t>
      </w:r>
      <w:r w:rsidR="003A5558" w:rsidRPr="00AC37DD">
        <w:rPr>
          <w:sz w:val="20"/>
          <w:szCs w:val="20"/>
        </w:rPr>
        <w:t xml:space="preserve">and undertaking fertility preservation has </w:t>
      </w:r>
      <w:r w:rsidR="003A5558" w:rsidRPr="00AC37DD">
        <w:rPr>
          <w:sz w:val="20"/>
          <w:szCs w:val="20"/>
        </w:rPr>
        <w:lastRenderedPageBreak/>
        <w:t xml:space="preserve">the biggest impact on reducing decisional regret and improving quality of life, however, web-based decision aids in conjunction with specialist consultation have also shown to reduce decisional conflict </w:t>
      </w:r>
      <w:r w:rsidR="003A5558" w:rsidRPr="00AC37DD">
        <w:rPr>
          <w:sz w:val="20"/>
          <w:szCs w:val="20"/>
        </w:rPr>
        <w:fldChar w:fldCharType="begin" w:fldLock="1"/>
      </w:r>
      <w:r w:rsidR="00E54E00" w:rsidRPr="00AC37DD">
        <w:rPr>
          <w:sz w:val="20"/>
          <w:szCs w:val="20"/>
        </w:rPr>
        <w:instrText>ADDIN CSL_CITATION {"citationItems":[{"id":"ITEM-1","itemData":{"DOI":"10.1002/cncr.26459","ISSN":"0008543X","PMID":"21887678","abstract":"BACKGROUND: The post-treatment quality of life (QOL) impacts of receiving precancer-treatment infertility counseling and of pursuing fertility preservation have not been described in large-scale studies of reproductive age women with cancer. METHODS: In total, 1041 women who were diagnosed between ages 18 and 40 years responded to a retrospective survey and reported whether they received infertility counseling before cancer treatment and whether they took action to preserve fertility. Five cancer types were included: leukemia, Hodgkin disease, non-Hodgkin lymphoma, breast cancer, and gastrointestinal cancer. Validated QOL scales were used: the Decision Regret Score, the Satisfaction with Life Scale (SWLS), and the brief World Health Organization QOL questionnaire. RESULTS: Overall, 560 women (61%) who received treatment that potentially could affect fertility were counseled by the oncology team, 45 (5%) were counseled by fertility specialists, and 36 (4%) took action to preserve fertility. Pretreatment infertility counseling by a fertility specialist and an oncologist resulted in lower regret than counseling by an oncologist alone (8.4 vs 11.0; P &lt;.0001). The addition of fertility preservation (6.6 vs 11.0; P &lt;.0001) also was associated with even lower regret scores than counseling by an oncologist alone. Further improvements also were observed in SWLS scores with the addition of fertility specialist counseling (23.0 vs 19.8; P =.09) or preserving fertility (24.0 vs 19.0; P =.05). CONCLUSIONS: Receiving specialized counseling about reproductive loss and pursuing fertility preservation is associated with less regret and greater QOL for survivors, yet few patients are exposed to this potential benefit. Women of reproductive age should have expert counseling and should be given the opportunity to make active decisions about preserving fertility. © 2011 American Cancer Society.","author":[{"dropping-particle":"","family":"Letourneau","given":"Joseph M.","non-dropping-particle":"","parse-names":false,"suffix":""},{"dropping-particle":"","family":"Ebbel","given":"Erin E.","non-dropping-particle":"","parse-names":false,"suffix":""},{"dropping-particle":"","family":"Katz","given":"Patricia P.","non-dropping-particle":"","parse-names":false,"suffix":""},{"dropping-particle":"","family":"Katz","given":"Audra","non-dropping-particle":"","parse-names":false,"suffix":""},{"dropping-particle":"","family":"Ai","given":"Wei Z.","non-dropping-particle":"","parse-names":false,"suffix":""},{"dropping-particle":"","family":"Chien","given":"A. Jo","non-dropping-particle":"","parse-names":false,"suffix":""},{"dropping-particle":"","family":"Melisko","given":"Michelle E.","non-dropping-particle":"","parse-names":false,"suffix":""},{"dropping-particle":"","family":"Cedars","given":"Marcelle I.","non-dropping-particle":"","parse-names":false,"suffix":""},{"dropping-particle":"","family":"Rosen","given":"Mitchell P.","non-dropping-particle":"","parse-names":false,"suffix":""}],"container-title":"Cancer","id":"ITEM-1","issue":"6","issued":{"date-parts":[["2012"]]},"page":"1710-1717","title":"Pretreatment fertility counseling and fertility preservation improve quality of life in reproductive age women with cancer","type":"article-journal","volume":"118"},"uris":["http://www.mendeley.com/documents/?uuid=801c2095-b0a1-4379-af6e-8d808f4755a1"]},{"id":"ITEM-2","itemData":{"DOI":"10.1093/humrep/dez136","ISSN":"14602350","PMID":"31398258","abstract":"Study question: Does the use of an online decision aid (DA) about fertility preservation (FP), in addition to standard counselling by a specialist in reproductive medicine, reduce decisional conflict compared to standard counselling alone Summary answer: Female cancer patients who could make use of the online DA had a significantly lower short-term decisional conflict score. What is known already: Nowadays, female cancer patients have several options for preserving fertility, but having to decide whether to opt for FP within a short time frame after cancer diagnosis and before the start of treatment is challenging. According to previous studies focussing mainly on breast cancer patients, decisional conflict among these women is high, and they have expressed the need for additional support. Study design, size, duration: The study was a randomized controlled trial including female cancer patients who were referred by their treating oncologist to a specialist in reproductive medicine for fertility counselling. Participants were randomly assigned to the control group (counselling only) or to the intervention group (counselling and additional use of the online DA immediately after counselling). Recruitment was ongoing from July 2016 to December 2017 at eight fertility centres in Switzerland and Germany. Participants/materials, setting, methods: The online DA was developed by an interdisciplinary team of specialists in reproductive medicine, gynaecologists, oncologists and psychologists. Of 79 recruited participants, 59 completed the first assessment and could therefore be enrolled in the study. They were asked to complete an online questionnaire at three time points: at T1, after counselling (control group, n = 27) or after counselling and the additional use of the DA (intervention group, n = 24); at T2, 1 month later (N = 41: control group, n = 23; intervention group, n = 18); and at T3, 12 months later (N = 37: control group, n = 20; intervention group, n = 17). The survey comprised questions about fertility-related knowledge, attitude towards FP, willingness to undergo FP and socio-demographic data, as well as the decisional conflict and decisional regret scales. Main results and the role of chance: All participants showed low decisional conflict scores. Women who used the online DA in addition to counselling (intervention group) showed a significantly lower total score on the Decisional Conflict Scale (DCS) compared to the control group at T1 (P = 0.008;…","author":[{"dropping-particle":"","family":"Ehrbar","given":"Verena","non-dropping-particle":"","parse-names":false,"suffix":""},{"dropping-particle":"","family":"Urech","given":"Corinne","non-dropping-particle":"","parse-names":false,"suffix":""},{"dropping-particle":"","family":"Rochlitz","given":"Christoph","non-dropping-particle":"","parse-names":false,"suffix":""},{"dropping-particle":"","family":"Zanetti Dällenbach","given":"Rosanna","non-dropping-particle":"","parse-names":false,"suffix":""},{"dropping-particle":"","family":"Moffat","given":"Rebecca","non-dropping-particle":"","parse-names":false,"suffix":""},{"dropping-particle":"","family":"Stiller","given":"Ruth","non-dropping-particle":"","parse-names":false,"suffix":""},{"dropping-particle":"","family":"Germeyer","given":"Ariane","non-dropping-particle":"","parse-names":false,"suffix":""},{"dropping-particle":"","family":"Nawroth","given":"Frank","non-dropping-particle":"","parse-names":false,"suffix":""},{"dropping-particle":"","family":"Dangel","given":"Astrid","non-dropping-particle":"","parse-names":false,"suffix":""},{"dropping-particle":"","family":"Findeklee","given":"Sebastian","non-dropping-particle":"","parse-names":false,"suffix":""},{"dropping-particle":"","family":"Tschudin","given":"Sibil","non-dropping-particle":"","parse-names":false,"suffix":""}],"container-title":"Human Reproduction","id":"ITEM-2","issue":"9","issued":{"date-parts":[["2019"]]},"page":"1726-1734","title":"Randomized controlled trial on the effect of an online decision aid for young female cancer patients regarding fertility preservation","type":"article-journal","volume":"34"},"uris":["http://www.mendeley.com/documents/?uuid=5985e736-9b9a-4195-9710-bb3bcce77318"]},{"id":"ITEM-3","itemData":{"DOI":"10.1002/pon.4961","ISSN":"10991611","PMID":"30523651","abstract":"Objective: Despite recommendations internationally for the timely provision of fertility information, cancer patients report unmet information needs, with poor provision and inadequate written information to assist in fertility preservation decision-making. Patient decision aids (PtDAs) may be a useful resource in this setting to inform patients and guide decision-making. A systematic review of the literature on decision aids for fertility preservation in cancer patients would determine the effectiveness of these tools in supporting decision-making about fertility preservation and indicate their current use in clinical care. Methods: A systematic review was conducted in March 2018, within electronic search databases Medline, EMBASE, PSYCH Info, PubMed, and Web of Science. An initial search identified 718 potentially relevant articles from databases and screening of relevant reference lists. Results: A total of 12 papers, detailing 11 studies with a total of 772 participants, evaluating nine decision aids, were included within the review. PtDAs were shown to significantly increase fertility preservation knowledge and decrease decisional conflict. Overall satisfaction with decision aids was high. Currently, only two reviewed decision aids are available for cancer patients. Another tool has been integrated into a web page, and one implementation study has been completed. Conclusions: PtDAs can serve as effective complements to current fertility counselling practices by increasing information satisfaction and decision-making outcomes. More research is needed into the appropriateness of these resources for patients across the reproductive age range. Future implementation studies may assist in aiding dissemination of these tools into clinical practice.","author":[{"dropping-particle":"","family":"Wang","given":"Yifan","non-dropping-particle":"","parse-names":false,"suffix":""},{"dropping-particle":"","family":"Anazodo","given":"Antoinette","non-dropping-particle":"","parse-names":false,"suffix":""},{"dropping-particle":"","family":"Logan","given":"Shanna","non-dropping-particle":"","parse-names":false,"suffix":""}],"container-title":"Psycho-Oncology","id":"ITEM-3","issue":"3","issued":{"date-parts":[["2019"]]},"page":"459-467","title":"Systematic review of fertility preservation patient decision aids for cancer patients","type":"article-journal","volume":"28"},"uris":["http://www.mendeley.com/documents/?uuid=691dc418-bc38-4c8f-a2d3-b05917e4662a"]}],"mendeley":{"formattedCitation":"(Ehrbar et al., 2019; Letourneau et al., 2012; Wang, Anazodo, &amp; Logan, 2019)","plainTextFormattedCitation":"(Ehrbar et al., 2019; Letourneau et al., 2012; Wang, Anazodo, &amp; Logan, 2019)","previouslyFormattedCitation":"(Ehrbar et al., 2019; Letourneau et al., 2012; Wang, Anazodo, &amp; Logan, 2019)"},"properties":{"noteIndex":0},"schema":"https://github.com/citation-style-language/schema/raw/master/csl-citation.json"}</w:instrText>
      </w:r>
      <w:r w:rsidR="003A5558" w:rsidRPr="00AC37DD">
        <w:rPr>
          <w:sz w:val="20"/>
          <w:szCs w:val="20"/>
        </w:rPr>
        <w:fldChar w:fldCharType="separate"/>
      </w:r>
      <w:r w:rsidR="003A5558" w:rsidRPr="00AC37DD">
        <w:rPr>
          <w:noProof/>
          <w:sz w:val="20"/>
          <w:szCs w:val="20"/>
        </w:rPr>
        <w:t>(Ehrbar et al., 2019; Letourneau et al., 2012; Wang, Anazodo, &amp; Logan, 2019)</w:t>
      </w:r>
      <w:r w:rsidR="003A5558" w:rsidRPr="00AC37DD">
        <w:rPr>
          <w:sz w:val="20"/>
          <w:szCs w:val="20"/>
        </w:rPr>
        <w:fldChar w:fldCharType="end"/>
      </w:r>
      <w:r w:rsidR="003A5558" w:rsidRPr="00AC37DD">
        <w:rPr>
          <w:sz w:val="20"/>
          <w:szCs w:val="20"/>
        </w:rPr>
        <w:t xml:space="preserve">. </w:t>
      </w:r>
      <w:r w:rsidR="00E54E00" w:rsidRPr="00AC37DD">
        <w:rPr>
          <w:sz w:val="20"/>
          <w:szCs w:val="20"/>
        </w:rPr>
        <w:t xml:space="preserve">Multidisciplinary interventions including physical, psychological information and/or vocational facets can improve return-to-work rates and quality of life in people of working age with cancer </w:t>
      </w:r>
      <w:r w:rsidR="00E54E00" w:rsidRPr="00AC37DD">
        <w:rPr>
          <w:sz w:val="20"/>
          <w:szCs w:val="20"/>
        </w:rPr>
        <w:fldChar w:fldCharType="begin" w:fldLock="1"/>
      </w:r>
      <w:r w:rsidR="00372839" w:rsidRPr="00AC37DD">
        <w:rPr>
          <w:sz w:val="20"/>
          <w:szCs w:val="20"/>
        </w:rPr>
        <w:instrText>ADDIN CSL_CITATION {"citationItems":[{"id":"ITEM-1","itemData":{"DOI":"10.1002/14651858.CD007569.pub3","ISSN":"1469493X","PMID":"26405010","abstract":"Background: Cancer patients are 1.4 times more likely to be unemployed than healthy people. Therefore it is important to provide cancer patients with programmes to support the return-to-work (RTW) process. This is an update of a Cochrane review first published in 2011. Objectives: To evaluate the effectiveness of interventions aimed at enhancing RTW in cancer patients compared to alternative programmes including usual care or no intervention. Search methods: We searched the Cochrane Central Register of Controlled Trials (CENTRAL, in the Cochrane Library Issue 3, 2014), MEDLINE (January 1966 to March 2014), EMBASE (January 1947 to March 2014), CINAHL (January 1983 to March, 2014), OSH-ROM and OSH Update (January 1960 to March, 2014), PsycINFO (January 1806 to 25 March 2014), DARE (January 1995 to March, 2014), ClinicalTrials.gov, Trialregister.nl and Controlled-trials.com up to 25 March 2014. We also examined the reference lists of included studies and selected reviews, and contacted authors of relevant studies. Selection criteria: We included randomised controlled trials (RCTs) of the effectiveness of psycho-educational, vocational, physical, medical or multidisciplinary interventions enhancing RTW in cancer patients. The primary outcome was RTW measured as either RTW rate or sick leave duration measured at 12 months' follow-up. The secondary outcome was quality of life. Data collection and analysis: Two review authors independently assessed trials for inclusion, assessed the risk of bias and extracted data. We pooled study results we judged to be clinically homogeneous in different comparisons reporting risk ratios (RRs) with 95% confidence intervals (CIs). We assessed the overall quality of the evidence for each comparison using the GRADE approach. Main results: Fifteen RCTs including 1835 cancer patients met the inclusion criteria and because of multiple arms studies we included 19 evaluations. We judged six studies to have a high risk of bias and nine to have a low risk of bias. All included studies were conducted in high income countries and most studies were aimed at breast cancer patients (seven trials) or prostate cancer patients (two trials). Two studies involved psycho-educational interventions including patient education and teaching self-care behaviours. Results indicated low quality evidence of similar RTW rates for psycho-educational interventions compared to care as usual (RR 1.09, 95% CI 0.88 to 1.35, n = 260 patients) and low quality ev…","author":[{"dropping-particle":"","family":"Boer","given":"Angela Gem E.M.","non-dropping-particle":"de","parse-names":false,"suffix":""},{"dropping-particle":"","family":"Taskila","given":"Tyna K.","non-dropping-particle":"","parse-names":false,"suffix":""},{"dropping-particle":"","family":"Tamminga","given":"Sietske J.","non-dropping-particle":"","parse-names":false,"suffix":""},{"dropping-particle":"","family":"Feuerstein","given":"Michael","non-dropping-particle":"","parse-names":false,"suffix":""},{"dropping-particle":"","family":"Frings-Dresen","given":"Monique H.W.","non-dropping-particle":"","parse-names":false,"suffix":""},{"dropping-particle":"","family":"Verbeek","given":"Jos H.","non-dropping-particle":"","parse-names":false,"suffix":""}],"container-title":"Cochrane Database of Systematic Reviews","id":"ITEM-1","issue":"9","issued":{"date-parts":[["2015"]]},"title":"Interventions to enhance return-to-work for cancer patients","type":"article-journal"},"uris":["http://www.mendeley.com/documents/?uuid=479c8f5a-d055-4524-9f8c-b8ce5cdec275"]}],"mendeley":{"formattedCitation":"(de Boer et al., 2015)","plainTextFormattedCitation":"(de Boer et al., 2015)","previouslyFormattedCitation":"(de Boer et al., 2015)"},"properties":{"noteIndex":0},"schema":"https://github.com/citation-style-language/schema/raw/master/csl-citation.json"}</w:instrText>
      </w:r>
      <w:r w:rsidR="00E54E00" w:rsidRPr="00AC37DD">
        <w:rPr>
          <w:sz w:val="20"/>
          <w:szCs w:val="20"/>
        </w:rPr>
        <w:fldChar w:fldCharType="separate"/>
      </w:r>
      <w:r w:rsidR="00E54E00" w:rsidRPr="00AC37DD">
        <w:rPr>
          <w:noProof/>
          <w:sz w:val="20"/>
          <w:szCs w:val="20"/>
        </w:rPr>
        <w:t>(de Boer et al., 2015)</w:t>
      </w:r>
      <w:r w:rsidR="00E54E00" w:rsidRPr="00AC37DD">
        <w:rPr>
          <w:sz w:val="20"/>
          <w:szCs w:val="20"/>
        </w:rPr>
        <w:fldChar w:fldCharType="end"/>
      </w:r>
      <w:r w:rsidR="00E54E00" w:rsidRPr="00AC37DD">
        <w:rPr>
          <w:sz w:val="20"/>
          <w:szCs w:val="20"/>
        </w:rPr>
        <w:t xml:space="preserve">. </w:t>
      </w:r>
    </w:p>
    <w:p w14:paraId="1F693438" w14:textId="77777777" w:rsidR="00387D81" w:rsidRPr="00AC37DD" w:rsidRDefault="002F6FC5" w:rsidP="003B7457">
      <w:pPr>
        <w:spacing w:line="480" w:lineRule="auto"/>
        <w:jc w:val="both"/>
        <w:rPr>
          <w:sz w:val="20"/>
          <w:szCs w:val="20"/>
        </w:rPr>
      </w:pPr>
      <w:r w:rsidRPr="00AC37DD">
        <w:rPr>
          <w:b/>
          <w:sz w:val="20"/>
          <w:szCs w:val="20"/>
        </w:rPr>
        <w:t xml:space="preserve">Study limitations: </w:t>
      </w:r>
      <w:r w:rsidRPr="00AC37DD">
        <w:rPr>
          <w:sz w:val="20"/>
          <w:szCs w:val="20"/>
        </w:rPr>
        <w:t xml:space="preserve">While this study included a large number of YAs, the conclusions are limited by its geographic focus in South East England, with a majority of patients treated in London. </w:t>
      </w:r>
      <w:r w:rsidR="00A93814" w:rsidRPr="00AC37DD">
        <w:rPr>
          <w:sz w:val="20"/>
          <w:szCs w:val="20"/>
        </w:rPr>
        <w:t>T</w:t>
      </w:r>
      <w:r w:rsidRPr="00AC37DD">
        <w:rPr>
          <w:sz w:val="20"/>
          <w:szCs w:val="20"/>
        </w:rPr>
        <w:t xml:space="preserve">he study did benefit from representation of ethnicities </w:t>
      </w:r>
      <w:r w:rsidR="008964CF" w:rsidRPr="00AC37DD">
        <w:rPr>
          <w:sz w:val="20"/>
          <w:szCs w:val="20"/>
        </w:rPr>
        <w:t xml:space="preserve">that </w:t>
      </w:r>
      <w:r w:rsidRPr="00AC37DD">
        <w:rPr>
          <w:sz w:val="20"/>
          <w:szCs w:val="20"/>
        </w:rPr>
        <w:t xml:space="preserve">roughly match the </w:t>
      </w:r>
      <w:r w:rsidR="008C1026" w:rsidRPr="00AC37DD">
        <w:rPr>
          <w:sz w:val="20"/>
          <w:szCs w:val="20"/>
        </w:rPr>
        <w:t xml:space="preserve">population </w:t>
      </w:r>
      <w:r w:rsidRPr="00AC37DD">
        <w:rPr>
          <w:sz w:val="20"/>
          <w:szCs w:val="20"/>
        </w:rPr>
        <w:t>distribution in South East England</w:t>
      </w:r>
      <w:r w:rsidR="00387D81" w:rsidRPr="00AC37DD">
        <w:rPr>
          <w:sz w:val="20"/>
          <w:szCs w:val="20"/>
        </w:rPr>
        <w:t xml:space="preserve"> </w:t>
      </w:r>
      <w:r w:rsidR="00387D81" w:rsidRPr="00AC37DD">
        <w:rPr>
          <w:sz w:val="20"/>
          <w:szCs w:val="20"/>
        </w:rPr>
        <w:fldChar w:fldCharType="begin" w:fldLock="1"/>
      </w:r>
      <w:r w:rsidR="00387D81" w:rsidRPr="00AC37DD">
        <w:rPr>
          <w:sz w:val="20"/>
          <w:szCs w:val="20"/>
        </w:rPr>
        <w:instrText>ADDIN CSL_CITATION {"citationItems":[{"id":"ITEM-1","itemData":{"URL":"https://www.ethnicity-facts-figures.service.gov.uk/uk-population-by-ethnicity/national-and-regional-populations/population-of-england-and-wales/latest","accessed":{"date-parts":[["2019","11","1"]]},"author":[{"dropping-particle":"","family":"Office for National Statistics","given":"","non-dropping-particle":"","parse-names":false,"suffix":""}],"id":"ITEM-1","issued":{"date-parts":[["2018"]]},"title":"Population of England and Wales","type":"webpage"},"uris":["http://www.mendeley.com/documents/?uuid=9e6735a5-41da-4fe4-be9b-9a641565657b"]}],"mendeley":{"formattedCitation":"(Office for National Statistics, 2018)","plainTextFormattedCitation":"(Office for National Statistics, 2018)","previouslyFormattedCitation":"(Office for National Statistics, 2018)"},"properties":{"noteIndex":0},"schema":"https://github.com/citation-style-language/schema/raw/master/csl-citation.json"}</w:instrText>
      </w:r>
      <w:r w:rsidR="00387D81" w:rsidRPr="00AC37DD">
        <w:rPr>
          <w:sz w:val="20"/>
          <w:szCs w:val="20"/>
        </w:rPr>
        <w:fldChar w:fldCharType="separate"/>
      </w:r>
      <w:r w:rsidR="00387D81" w:rsidRPr="00AC37DD">
        <w:rPr>
          <w:noProof/>
          <w:sz w:val="20"/>
          <w:szCs w:val="20"/>
        </w:rPr>
        <w:t>(Office for National Statistics, 2018)</w:t>
      </w:r>
      <w:r w:rsidR="00387D81" w:rsidRPr="00AC37DD">
        <w:rPr>
          <w:sz w:val="20"/>
          <w:szCs w:val="20"/>
        </w:rPr>
        <w:fldChar w:fldCharType="end"/>
      </w:r>
      <w:r w:rsidR="0045436B" w:rsidRPr="00AC37DD">
        <w:rPr>
          <w:sz w:val="20"/>
          <w:szCs w:val="20"/>
        </w:rPr>
        <w:t>.</w:t>
      </w:r>
      <w:r w:rsidR="00A93814" w:rsidRPr="00AC37DD">
        <w:rPr>
          <w:sz w:val="20"/>
          <w:szCs w:val="20"/>
        </w:rPr>
        <w:t xml:space="preserve"> </w:t>
      </w:r>
      <w:r w:rsidR="0045436B" w:rsidRPr="00AC37DD">
        <w:rPr>
          <w:sz w:val="20"/>
          <w:szCs w:val="20"/>
        </w:rPr>
        <w:t>F</w:t>
      </w:r>
      <w:r w:rsidR="00A93814" w:rsidRPr="00AC37DD">
        <w:rPr>
          <w:sz w:val="20"/>
          <w:szCs w:val="20"/>
        </w:rPr>
        <w:t>uture work should focus specifically on the needs of growing minority groups in order to provide culturally appropriate care</w:t>
      </w:r>
      <w:r w:rsidR="004F2E91" w:rsidRPr="00AC37DD">
        <w:rPr>
          <w:sz w:val="20"/>
          <w:szCs w:val="20"/>
        </w:rPr>
        <w:t>.</w:t>
      </w:r>
      <w:r w:rsidRPr="00AC37DD">
        <w:rPr>
          <w:sz w:val="20"/>
          <w:szCs w:val="20"/>
        </w:rPr>
        <w:t xml:space="preserve"> The large number of patients from London may </w:t>
      </w:r>
      <w:r w:rsidR="0045436B" w:rsidRPr="00AC37DD">
        <w:rPr>
          <w:sz w:val="20"/>
          <w:szCs w:val="20"/>
        </w:rPr>
        <w:t xml:space="preserve">also </w:t>
      </w:r>
      <w:r w:rsidRPr="00AC37DD">
        <w:rPr>
          <w:sz w:val="20"/>
          <w:szCs w:val="20"/>
        </w:rPr>
        <w:t xml:space="preserve">have influenced the results </w:t>
      </w:r>
      <w:r w:rsidR="008964CF" w:rsidRPr="00AC37DD">
        <w:rPr>
          <w:sz w:val="20"/>
          <w:szCs w:val="20"/>
        </w:rPr>
        <w:t xml:space="preserve">with </w:t>
      </w:r>
      <w:r w:rsidRPr="00AC37DD">
        <w:rPr>
          <w:sz w:val="20"/>
          <w:szCs w:val="20"/>
        </w:rPr>
        <w:t xml:space="preserve">the </w:t>
      </w:r>
      <w:r w:rsidR="0027361F" w:rsidRPr="00AC37DD">
        <w:rPr>
          <w:sz w:val="20"/>
          <w:szCs w:val="20"/>
        </w:rPr>
        <w:t>emphasis</w:t>
      </w:r>
      <w:r w:rsidRPr="00AC37DD">
        <w:rPr>
          <w:sz w:val="20"/>
          <w:szCs w:val="20"/>
        </w:rPr>
        <w:t xml:space="preserve"> on career</w:t>
      </w:r>
      <w:r w:rsidR="0027361F" w:rsidRPr="00AC37DD">
        <w:rPr>
          <w:sz w:val="20"/>
          <w:szCs w:val="20"/>
        </w:rPr>
        <w:t>s</w:t>
      </w:r>
      <w:r w:rsidR="0045436B" w:rsidRPr="00AC37DD">
        <w:rPr>
          <w:sz w:val="20"/>
          <w:szCs w:val="20"/>
        </w:rPr>
        <w:t>. H</w:t>
      </w:r>
      <w:r w:rsidRPr="00AC37DD">
        <w:rPr>
          <w:sz w:val="20"/>
          <w:szCs w:val="20"/>
        </w:rPr>
        <w:t xml:space="preserve">owever, this perspective is important for treating YAs from a metropolitan area. </w:t>
      </w:r>
    </w:p>
    <w:p w14:paraId="4521A523" w14:textId="1114208C" w:rsidR="002F6FC5" w:rsidRPr="00AC37DD" w:rsidRDefault="00240E1B" w:rsidP="003B7457">
      <w:pPr>
        <w:spacing w:line="480" w:lineRule="auto"/>
        <w:jc w:val="both"/>
        <w:rPr>
          <w:sz w:val="20"/>
          <w:szCs w:val="20"/>
        </w:rPr>
      </w:pPr>
      <w:r w:rsidRPr="00AC37DD">
        <w:rPr>
          <w:sz w:val="20"/>
          <w:szCs w:val="20"/>
        </w:rPr>
        <w:t xml:space="preserve">A high number of patients in this study had rare cancer types and advanced disease </w:t>
      </w:r>
      <w:r w:rsidR="008964CF" w:rsidRPr="00AC37DD">
        <w:rPr>
          <w:sz w:val="20"/>
          <w:szCs w:val="20"/>
        </w:rPr>
        <w:t xml:space="preserve">that </w:t>
      </w:r>
      <w:r w:rsidRPr="00AC37DD">
        <w:rPr>
          <w:sz w:val="20"/>
          <w:szCs w:val="20"/>
        </w:rPr>
        <w:t>may also have impacted the main themes identified</w:t>
      </w:r>
      <w:r w:rsidR="00A93814" w:rsidRPr="00AC37DD">
        <w:rPr>
          <w:sz w:val="20"/>
          <w:szCs w:val="20"/>
        </w:rPr>
        <w:t xml:space="preserve"> such as the focus on uncertainty</w:t>
      </w:r>
      <w:r w:rsidR="008C1026" w:rsidRPr="00AC37DD">
        <w:rPr>
          <w:sz w:val="20"/>
          <w:szCs w:val="20"/>
        </w:rPr>
        <w:t>.</w:t>
      </w:r>
      <w:r w:rsidRPr="00AC37DD">
        <w:rPr>
          <w:sz w:val="20"/>
          <w:szCs w:val="20"/>
        </w:rPr>
        <w:t xml:space="preserve"> </w:t>
      </w:r>
      <w:r w:rsidR="008C1026" w:rsidRPr="00AC37DD">
        <w:rPr>
          <w:sz w:val="20"/>
          <w:szCs w:val="20"/>
        </w:rPr>
        <w:t>H</w:t>
      </w:r>
      <w:r w:rsidRPr="00AC37DD">
        <w:rPr>
          <w:sz w:val="20"/>
          <w:szCs w:val="20"/>
        </w:rPr>
        <w:t xml:space="preserve">owever, this is also an important group of patients that is often excluded from studies. </w:t>
      </w:r>
      <w:r w:rsidR="002F6FC5" w:rsidRPr="00AC37DD">
        <w:rPr>
          <w:sz w:val="20"/>
          <w:szCs w:val="20"/>
        </w:rPr>
        <w:t xml:space="preserve">This study had a broad, exploratory focus allowing participants more autonomy in directing the interviews and focus </w:t>
      </w:r>
      <w:r w:rsidR="003850C8" w:rsidRPr="00AC37DD">
        <w:rPr>
          <w:sz w:val="20"/>
          <w:szCs w:val="20"/>
        </w:rPr>
        <w:t>groups but</w:t>
      </w:r>
      <w:r w:rsidR="002F6FC5" w:rsidRPr="00AC37DD">
        <w:rPr>
          <w:sz w:val="20"/>
          <w:szCs w:val="20"/>
        </w:rPr>
        <w:t xml:space="preserve"> reducing the possibility for in-depth analysis of the topics identified.</w:t>
      </w:r>
      <w:r w:rsidR="00387D81" w:rsidRPr="00AC37DD">
        <w:rPr>
          <w:sz w:val="20"/>
          <w:szCs w:val="20"/>
        </w:rPr>
        <w:t xml:space="preserve"> </w:t>
      </w:r>
      <w:r w:rsidR="00BA4900" w:rsidRPr="00AC37DD">
        <w:rPr>
          <w:sz w:val="20"/>
          <w:szCs w:val="20"/>
        </w:rPr>
        <w:t>Asking patient in follow-up to reflect on their experience since diagnosis also</w:t>
      </w:r>
      <w:r w:rsidR="003850C8" w:rsidRPr="00AC37DD">
        <w:rPr>
          <w:sz w:val="20"/>
          <w:szCs w:val="20"/>
        </w:rPr>
        <w:t xml:space="preserve"> limited </w:t>
      </w:r>
      <w:r w:rsidR="00BA4900" w:rsidRPr="00AC37DD">
        <w:rPr>
          <w:sz w:val="20"/>
          <w:szCs w:val="20"/>
        </w:rPr>
        <w:t>our</w:t>
      </w:r>
      <w:r w:rsidR="00D37533" w:rsidRPr="00AC37DD">
        <w:rPr>
          <w:sz w:val="20"/>
          <w:szCs w:val="20"/>
        </w:rPr>
        <w:t xml:space="preserve"> ability to </w:t>
      </w:r>
      <w:r w:rsidR="00387D81" w:rsidRPr="00AC37DD">
        <w:rPr>
          <w:sz w:val="20"/>
          <w:szCs w:val="20"/>
        </w:rPr>
        <w:t xml:space="preserve">attribute certain </w:t>
      </w:r>
      <w:r w:rsidR="003850C8" w:rsidRPr="00AC37DD">
        <w:rPr>
          <w:sz w:val="20"/>
          <w:szCs w:val="20"/>
        </w:rPr>
        <w:t xml:space="preserve">issues </w:t>
      </w:r>
      <w:r w:rsidR="00D37533" w:rsidRPr="00AC37DD">
        <w:rPr>
          <w:sz w:val="20"/>
          <w:szCs w:val="20"/>
        </w:rPr>
        <w:t>to treatment status</w:t>
      </w:r>
      <w:r w:rsidR="003850C8" w:rsidRPr="00AC37DD">
        <w:rPr>
          <w:sz w:val="20"/>
          <w:szCs w:val="20"/>
        </w:rPr>
        <w:t>.</w:t>
      </w:r>
      <w:r w:rsidR="002F6FC5" w:rsidRPr="00AC37DD">
        <w:rPr>
          <w:sz w:val="20"/>
          <w:szCs w:val="20"/>
        </w:rPr>
        <w:t xml:space="preserve"> </w:t>
      </w:r>
      <w:r w:rsidR="00CB5783" w:rsidRPr="00AC37DD">
        <w:rPr>
          <w:sz w:val="20"/>
          <w:szCs w:val="20"/>
        </w:rPr>
        <w:t>The large sample enabled the identification of patterns ac</w:t>
      </w:r>
      <w:r w:rsidR="0045436B" w:rsidRPr="00AC37DD">
        <w:rPr>
          <w:sz w:val="20"/>
          <w:szCs w:val="20"/>
        </w:rPr>
        <w:t>ross a variety of tumour types, even though</w:t>
      </w:r>
      <w:r w:rsidR="00CB5783" w:rsidRPr="00AC37DD">
        <w:rPr>
          <w:sz w:val="20"/>
          <w:szCs w:val="20"/>
        </w:rPr>
        <w:t xml:space="preserve"> the amount of data also limited in-depth analyses. Future work will conduct sub-group analysis to </w:t>
      </w:r>
      <w:r w:rsidR="008C1026" w:rsidRPr="00AC37DD">
        <w:rPr>
          <w:sz w:val="20"/>
          <w:szCs w:val="20"/>
        </w:rPr>
        <w:t>further explore</w:t>
      </w:r>
      <w:r w:rsidR="00CB5783" w:rsidRPr="00AC37DD">
        <w:rPr>
          <w:sz w:val="20"/>
          <w:szCs w:val="20"/>
        </w:rPr>
        <w:t xml:space="preserve"> the </w:t>
      </w:r>
      <w:r w:rsidR="008964CF" w:rsidRPr="00AC37DD">
        <w:rPr>
          <w:sz w:val="20"/>
          <w:szCs w:val="20"/>
        </w:rPr>
        <w:t xml:space="preserve">diversity </w:t>
      </w:r>
      <w:r w:rsidR="00CB5783" w:rsidRPr="00AC37DD">
        <w:rPr>
          <w:sz w:val="20"/>
          <w:szCs w:val="20"/>
        </w:rPr>
        <w:t xml:space="preserve">in experiences. </w:t>
      </w:r>
    </w:p>
    <w:p w14:paraId="79C8174C" w14:textId="733D0303" w:rsidR="009F4ADE" w:rsidRPr="00AC37DD" w:rsidRDefault="005323F5" w:rsidP="003B7457">
      <w:pPr>
        <w:spacing w:line="480" w:lineRule="auto"/>
        <w:jc w:val="both"/>
        <w:rPr>
          <w:sz w:val="20"/>
          <w:szCs w:val="20"/>
        </w:rPr>
      </w:pPr>
      <w:r w:rsidRPr="00AC37DD">
        <w:rPr>
          <w:b/>
          <w:sz w:val="20"/>
          <w:szCs w:val="20"/>
        </w:rPr>
        <w:t xml:space="preserve">Conclusions: </w:t>
      </w:r>
      <w:r w:rsidR="008C1026" w:rsidRPr="00AC37DD">
        <w:rPr>
          <w:sz w:val="20"/>
          <w:szCs w:val="20"/>
        </w:rPr>
        <w:t xml:space="preserve">With an unexpected cancer diagnosis, YAs face a number of specific psychosocial experiences and practical challenges with the sudden halt of family and work lives. Current healthcare services designed to treat much older adults may not fully </w:t>
      </w:r>
      <w:r w:rsidR="008964CF" w:rsidRPr="00AC37DD">
        <w:rPr>
          <w:sz w:val="20"/>
          <w:szCs w:val="20"/>
        </w:rPr>
        <w:t xml:space="preserve">address </w:t>
      </w:r>
      <w:r w:rsidR="008C1026" w:rsidRPr="00AC37DD">
        <w:rPr>
          <w:sz w:val="20"/>
          <w:szCs w:val="20"/>
        </w:rPr>
        <w:t xml:space="preserve">these issues </w:t>
      </w:r>
      <w:r w:rsidR="008964CF" w:rsidRPr="00AC37DD">
        <w:rPr>
          <w:sz w:val="20"/>
          <w:szCs w:val="20"/>
        </w:rPr>
        <w:t>and</w:t>
      </w:r>
      <w:r w:rsidR="008C1026" w:rsidRPr="00AC37DD">
        <w:rPr>
          <w:sz w:val="20"/>
          <w:szCs w:val="20"/>
        </w:rPr>
        <w:t xml:space="preserve"> provide adequate support to YA patients.</w:t>
      </w:r>
      <w:r w:rsidR="00D143C5" w:rsidRPr="00AC37DD">
        <w:rPr>
          <w:sz w:val="20"/>
          <w:szCs w:val="20"/>
        </w:rPr>
        <w:t xml:space="preserve"> Further research should </w:t>
      </w:r>
      <w:r w:rsidR="008C1026" w:rsidRPr="00AC37DD">
        <w:rPr>
          <w:sz w:val="20"/>
          <w:szCs w:val="20"/>
        </w:rPr>
        <w:t xml:space="preserve">identify </w:t>
      </w:r>
      <w:r w:rsidR="00D143C5" w:rsidRPr="00AC37DD">
        <w:rPr>
          <w:sz w:val="20"/>
          <w:szCs w:val="20"/>
        </w:rPr>
        <w:t xml:space="preserve">age-specific </w:t>
      </w:r>
      <w:r w:rsidR="008964CF" w:rsidRPr="00AC37DD">
        <w:rPr>
          <w:sz w:val="20"/>
          <w:szCs w:val="20"/>
        </w:rPr>
        <w:t xml:space="preserve">requirements </w:t>
      </w:r>
      <w:r w:rsidR="00D143C5" w:rsidRPr="00AC37DD">
        <w:rPr>
          <w:sz w:val="20"/>
          <w:szCs w:val="20"/>
        </w:rPr>
        <w:t>in supportive care services.</w:t>
      </w:r>
      <w:r w:rsidR="00487012" w:rsidRPr="00AC37DD">
        <w:rPr>
          <w:sz w:val="20"/>
          <w:szCs w:val="20"/>
        </w:rPr>
        <w:t xml:space="preserve"> </w:t>
      </w:r>
    </w:p>
    <w:p w14:paraId="07AB363C" w14:textId="3AFC9029" w:rsidR="00314931" w:rsidRPr="00AC37DD" w:rsidRDefault="00314931" w:rsidP="003B7457">
      <w:pPr>
        <w:spacing w:before="400" w:line="480" w:lineRule="auto"/>
        <w:jc w:val="both"/>
        <w:rPr>
          <w:b/>
          <w:sz w:val="20"/>
          <w:szCs w:val="20"/>
        </w:rPr>
      </w:pPr>
      <w:r w:rsidRPr="00AC37DD">
        <w:rPr>
          <w:b/>
          <w:sz w:val="20"/>
          <w:szCs w:val="20"/>
        </w:rPr>
        <w:t>REFERENCES</w:t>
      </w:r>
    </w:p>
    <w:p w14:paraId="60562501" w14:textId="231BB3D4" w:rsidR="00853CE1" w:rsidRPr="00AC37DD" w:rsidRDefault="00104276"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b/>
          <w:sz w:val="20"/>
          <w:szCs w:val="20"/>
        </w:rPr>
        <w:fldChar w:fldCharType="begin" w:fldLock="1"/>
      </w:r>
      <w:r w:rsidRPr="00AC37DD">
        <w:rPr>
          <w:b/>
          <w:sz w:val="20"/>
          <w:szCs w:val="20"/>
        </w:rPr>
        <w:instrText xml:space="preserve">ADDIN Mendeley Bibliography CSL_BIBLIOGRAPHY </w:instrText>
      </w:r>
      <w:r w:rsidRPr="00AC37DD">
        <w:rPr>
          <w:b/>
          <w:sz w:val="20"/>
          <w:szCs w:val="20"/>
        </w:rPr>
        <w:fldChar w:fldCharType="separate"/>
      </w:r>
      <w:r w:rsidR="00853CE1" w:rsidRPr="00AC37DD">
        <w:rPr>
          <w:rFonts w:ascii="Calibri" w:hAnsi="Calibri" w:cs="Times New Roman"/>
          <w:noProof/>
          <w:sz w:val="20"/>
          <w:szCs w:val="24"/>
        </w:rPr>
        <w:t xml:space="preserve">Aubin, S., Rosberger, Z., Hafez, N., Noory, M. R., Perez, S., Lehmann, S., … Kavan, P. (2019). Cancer!? i don’t </w:t>
      </w:r>
      <w:r w:rsidR="00853CE1" w:rsidRPr="00AC37DD">
        <w:rPr>
          <w:rFonts w:ascii="Calibri" w:hAnsi="Calibri" w:cs="Times New Roman"/>
          <w:noProof/>
          <w:sz w:val="20"/>
          <w:szCs w:val="24"/>
        </w:rPr>
        <w:lastRenderedPageBreak/>
        <w:t xml:space="preserve">have time for that: Impact of a psychosocial intervention for young adults with cancer. </w:t>
      </w:r>
      <w:r w:rsidR="00853CE1" w:rsidRPr="00AC37DD">
        <w:rPr>
          <w:rFonts w:ascii="Calibri" w:hAnsi="Calibri" w:cs="Times New Roman"/>
          <w:i/>
          <w:iCs/>
          <w:noProof/>
          <w:sz w:val="20"/>
          <w:szCs w:val="24"/>
        </w:rPr>
        <w:t>Journal of Adolescent and Young Adult Oncology</w:t>
      </w:r>
      <w:r w:rsidR="00853CE1" w:rsidRPr="00AC37DD">
        <w:rPr>
          <w:rFonts w:ascii="Calibri" w:hAnsi="Calibri" w:cs="Times New Roman"/>
          <w:noProof/>
          <w:sz w:val="20"/>
          <w:szCs w:val="24"/>
        </w:rPr>
        <w:t xml:space="preserve">, </w:t>
      </w:r>
      <w:r w:rsidR="00853CE1" w:rsidRPr="00AC37DD">
        <w:rPr>
          <w:rFonts w:ascii="Calibri" w:hAnsi="Calibri" w:cs="Times New Roman"/>
          <w:i/>
          <w:iCs/>
          <w:noProof/>
          <w:sz w:val="20"/>
          <w:szCs w:val="24"/>
        </w:rPr>
        <w:t>8</w:t>
      </w:r>
      <w:r w:rsidR="00853CE1" w:rsidRPr="00AC37DD">
        <w:rPr>
          <w:rFonts w:ascii="Calibri" w:hAnsi="Calibri" w:cs="Times New Roman"/>
          <w:noProof/>
          <w:sz w:val="20"/>
          <w:szCs w:val="24"/>
        </w:rPr>
        <w:t>(2), 172–189. doi.org/10.1089/jayao.2017.0101</w:t>
      </w:r>
    </w:p>
    <w:p w14:paraId="63D66E34"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Barakat, L. P., Galtieri, L. R., Szalda, D., &amp; Schwartz, L. A. (2016). Assessing the psychosocial needs and program preferences of adolescents and young adults with cancer. </w:t>
      </w:r>
      <w:r w:rsidRPr="00AC37DD">
        <w:rPr>
          <w:rFonts w:ascii="Calibri" w:hAnsi="Calibri" w:cs="Times New Roman"/>
          <w:i/>
          <w:iCs/>
          <w:noProof/>
          <w:sz w:val="20"/>
          <w:szCs w:val="24"/>
        </w:rPr>
        <w:t>Supportive Care in Cancer</w:t>
      </w:r>
      <w:r w:rsidRPr="00AC37DD">
        <w:rPr>
          <w:rFonts w:ascii="Calibri" w:hAnsi="Calibri" w:cs="Times New Roman"/>
          <w:noProof/>
          <w:sz w:val="20"/>
          <w:szCs w:val="24"/>
        </w:rPr>
        <w:t xml:space="preserve">, </w:t>
      </w:r>
      <w:r w:rsidRPr="00AC37DD">
        <w:rPr>
          <w:rFonts w:ascii="Calibri" w:hAnsi="Calibri" w:cs="Times New Roman"/>
          <w:i/>
          <w:iCs/>
          <w:noProof/>
          <w:sz w:val="20"/>
          <w:szCs w:val="24"/>
        </w:rPr>
        <w:t>24</w:t>
      </w:r>
      <w:r w:rsidRPr="00AC37DD">
        <w:rPr>
          <w:rFonts w:ascii="Calibri" w:hAnsi="Calibri" w:cs="Times New Roman"/>
          <w:noProof/>
          <w:sz w:val="20"/>
          <w:szCs w:val="24"/>
        </w:rPr>
        <w:t>(2), 823–832. doi.org/10.1007/s00520-015-2849-8</w:t>
      </w:r>
    </w:p>
    <w:p w14:paraId="344EAEBD"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Barr, R. D., Ferrari, A., Ries, L., Whelan, J., &amp; Bleyer, W. A. (2016). Cancer in adolescents and young adults: A narrative review of the current status and a view of the future. </w:t>
      </w:r>
      <w:r w:rsidRPr="00AC37DD">
        <w:rPr>
          <w:rFonts w:ascii="Calibri" w:hAnsi="Calibri" w:cs="Times New Roman"/>
          <w:i/>
          <w:iCs/>
          <w:noProof/>
          <w:sz w:val="20"/>
          <w:szCs w:val="24"/>
        </w:rPr>
        <w:t>JAMA Pediatrics</w:t>
      </w:r>
      <w:r w:rsidRPr="00AC37DD">
        <w:rPr>
          <w:rFonts w:ascii="Calibri" w:hAnsi="Calibri" w:cs="Times New Roman"/>
          <w:noProof/>
          <w:sz w:val="20"/>
          <w:szCs w:val="24"/>
        </w:rPr>
        <w:t xml:space="preserve">, </w:t>
      </w:r>
      <w:r w:rsidRPr="00AC37DD">
        <w:rPr>
          <w:rFonts w:ascii="Calibri" w:hAnsi="Calibri" w:cs="Times New Roman"/>
          <w:i/>
          <w:iCs/>
          <w:noProof/>
          <w:sz w:val="20"/>
          <w:szCs w:val="24"/>
        </w:rPr>
        <w:t>170</w:t>
      </w:r>
      <w:r w:rsidRPr="00AC37DD">
        <w:rPr>
          <w:rFonts w:ascii="Calibri" w:hAnsi="Calibri" w:cs="Times New Roman"/>
          <w:noProof/>
          <w:sz w:val="20"/>
          <w:szCs w:val="24"/>
        </w:rPr>
        <w:t>(5), 495–501. doi.org/10.1001/jamapediatrics.2015.4689</w:t>
      </w:r>
    </w:p>
    <w:p w14:paraId="49924713"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Belpame, N., Kars, M. C., Beeckman, D., Decoene, E., Quaghebeur, M., Hecke, A. Van, &amp; Verhaeghe, S. (2016). ‘“ The AYA Director ”’: A Synthesizing Concept to Understand Psychosocial Experiences of Adolescents and Young Adults With Cancer. </w:t>
      </w:r>
      <w:r w:rsidRPr="00AC37DD">
        <w:rPr>
          <w:rFonts w:ascii="Calibri" w:hAnsi="Calibri" w:cs="Times New Roman"/>
          <w:i/>
          <w:iCs/>
          <w:noProof/>
          <w:sz w:val="20"/>
          <w:szCs w:val="24"/>
        </w:rPr>
        <w:t>Cancer Nursing</w:t>
      </w:r>
      <w:r w:rsidRPr="00AC37DD">
        <w:rPr>
          <w:rFonts w:ascii="Calibri" w:hAnsi="Calibri" w:cs="Times New Roman"/>
          <w:noProof/>
          <w:sz w:val="20"/>
          <w:szCs w:val="24"/>
        </w:rPr>
        <w:t xml:space="preserve">, </w:t>
      </w:r>
      <w:r w:rsidRPr="00AC37DD">
        <w:rPr>
          <w:rFonts w:ascii="Calibri" w:hAnsi="Calibri" w:cs="Times New Roman"/>
          <w:i/>
          <w:iCs/>
          <w:noProof/>
          <w:sz w:val="20"/>
          <w:szCs w:val="24"/>
        </w:rPr>
        <w:t>39</w:t>
      </w:r>
      <w:r w:rsidRPr="00AC37DD">
        <w:rPr>
          <w:rFonts w:ascii="Calibri" w:hAnsi="Calibri" w:cs="Times New Roman"/>
          <w:noProof/>
          <w:sz w:val="20"/>
          <w:szCs w:val="24"/>
        </w:rPr>
        <w:t>(4), 292–302. doi.org/10.1097/NCC.0000000000000307</w:t>
      </w:r>
    </w:p>
    <w:p w14:paraId="0BBD8982"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Bibby, H., White, V., Thompson, K., &amp; Anazodo, A. (2017). What Are the Unmet Needs and Care Experiences of Adolescents and Young Adults with Cancer? A Systematic Review. </w:t>
      </w:r>
      <w:r w:rsidRPr="00AC37DD">
        <w:rPr>
          <w:rFonts w:ascii="Calibri" w:hAnsi="Calibri" w:cs="Times New Roman"/>
          <w:i/>
          <w:iCs/>
          <w:noProof/>
          <w:sz w:val="20"/>
          <w:szCs w:val="24"/>
        </w:rPr>
        <w:t>Journal of Adolescent and Young Adult Oncology</w:t>
      </w:r>
      <w:r w:rsidRPr="00AC37DD">
        <w:rPr>
          <w:rFonts w:ascii="Calibri" w:hAnsi="Calibri" w:cs="Times New Roman"/>
          <w:noProof/>
          <w:sz w:val="20"/>
          <w:szCs w:val="24"/>
        </w:rPr>
        <w:t xml:space="preserve">, </w:t>
      </w:r>
      <w:r w:rsidRPr="00AC37DD">
        <w:rPr>
          <w:rFonts w:ascii="Calibri" w:hAnsi="Calibri" w:cs="Times New Roman"/>
          <w:i/>
          <w:iCs/>
          <w:noProof/>
          <w:sz w:val="20"/>
          <w:szCs w:val="24"/>
        </w:rPr>
        <w:t>6</w:t>
      </w:r>
      <w:r w:rsidRPr="00AC37DD">
        <w:rPr>
          <w:rFonts w:ascii="Calibri" w:hAnsi="Calibri" w:cs="Times New Roman"/>
          <w:noProof/>
          <w:sz w:val="20"/>
          <w:szCs w:val="24"/>
        </w:rPr>
        <w:t>(1), 6–30. doi.org/10.1089/jayao.2016.0012</w:t>
      </w:r>
    </w:p>
    <w:p w14:paraId="0150FF65"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Bleyer, A., Ferrari, A., Whelan, J., &amp; Barr, R. D. (2017). Global assessment of cancer incidence and survival in adolescents and young adults. </w:t>
      </w:r>
      <w:r w:rsidRPr="00AC37DD">
        <w:rPr>
          <w:rFonts w:ascii="Calibri" w:hAnsi="Calibri" w:cs="Times New Roman"/>
          <w:i/>
          <w:iCs/>
          <w:noProof/>
          <w:sz w:val="20"/>
          <w:szCs w:val="24"/>
        </w:rPr>
        <w:t>Pediatric Blood &amp; Cancer</w:t>
      </w:r>
      <w:r w:rsidRPr="00AC37DD">
        <w:rPr>
          <w:rFonts w:ascii="Calibri" w:hAnsi="Calibri" w:cs="Times New Roman"/>
          <w:noProof/>
          <w:sz w:val="20"/>
          <w:szCs w:val="24"/>
        </w:rPr>
        <w:t xml:space="preserve">, </w:t>
      </w:r>
      <w:r w:rsidRPr="00AC37DD">
        <w:rPr>
          <w:rFonts w:ascii="Calibri" w:hAnsi="Calibri" w:cs="Times New Roman"/>
          <w:i/>
          <w:iCs/>
          <w:noProof/>
          <w:sz w:val="20"/>
          <w:szCs w:val="24"/>
        </w:rPr>
        <w:t>64</w:t>
      </w:r>
      <w:r w:rsidRPr="00AC37DD">
        <w:rPr>
          <w:rFonts w:ascii="Calibri" w:hAnsi="Calibri" w:cs="Times New Roman"/>
          <w:noProof/>
          <w:sz w:val="20"/>
          <w:szCs w:val="24"/>
        </w:rPr>
        <w:t>(9), e26497. doi.org/10.1002/pbc.26497</w:t>
      </w:r>
    </w:p>
    <w:p w14:paraId="1B627DE4"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Braun, V., &amp; Clarke, V. (2012). Thematic analysis. In H. Cooper (Ed.), </w:t>
      </w:r>
      <w:r w:rsidRPr="00AC37DD">
        <w:rPr>
          <w:rFonts w:ascii="Calibri" w:hAnsi="Calibri" w:cs="Times New Roman"/>
          <w:i/>
          <w:iCs/>
          <w:noProof/>
          <w:sz w:val="20"/>
          <w:szCs w:val="24"/>
        </w:rPr>
        <w:t>APA Handbook of Research Methods in Psychology</w:t>
      </w:r>
      <w:r w:rsidRPr="00AC37DD">
        <w:rPr>
          <w:rFonts w:ascii="Calibri" w:hAnsi="Calibri" w:cs="Times New Roman"/>
          <w:noProof/>
          <w:sz w:val="20"/>
          <w:szCs w:val="24"/>
        </w:rPr>
        <w:t xml:space="preserve"> (pp. 57–71). doi.org/10.1037/13620.004</w:t>
      </w:r>
    </w:p>
    <w:p w14:paraId="2C845026"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Champion, V. L., Wagner, L. I., Monahan, P. O., Daggy, J., Smith, L., Cohee, A., … Sledge, G. W. (2014). Comparison of younger and older breast cancer survivors and age-matched controls on specific and overall quality of life domains. </w:t>
      </w:r>
      <w:r w:rsidRPr="00AC37DD">
        <w:rPr>
          <w:rFonts w:ascii="Calibri" w:hAnsi="Calibri" w:cs="Times New Roman"/>
          <w:i/>
          <w:iCs/>
          <w:noProof/>
          <w:sz w:val="20"/>
          <w:szCs w:val="24"/>
        </w:rPr>
        <w:t>Cancer</w:t>
      </w:r>
      <w:r w:rsidRPr="00AC37DD">
        <w:rPr>
          <w:rFonts w:ascii="Calibri" w:hAnsi="Calibri" w:cs="Times New Roman"/>
          <w:noProof/>
          <w:sz w:val="20"/>
          <w:szCs w:val="24"/>
        </w:rPr>
        <w:t xml:space="preserve">, </w:t>
      </w:r>
      <w:r w:rsidRPr="00AC37DD">
        <w:rPr>
          <w:rFonts w:ascii="Calibri" w:hAnsi="Calibri" w:cs="Times New Roman"/>
          <w:i/>
          <w:iCs/>
          <w:noProof/>
          <w:sz w:val="20"/>
          <w:szCs w:val="24"/>
        </w:rPr>
        <w:t>120</w:t>
      </w:r>
      <w:r w:rsidRPr="00AC37DD">
        <w:rPr>
          <w:rFonts w:ascii="Calibri" w:hAnsi="Calibri" w:cs="Times New Roman"/>
          <w:noProof/>
          <w:sz w:val="20"/>
          <w:szCs w:val="24"/>
        </w:rPr>
        <w:t>(15), 2237–2246. doi.org/10.1002/cncr.28737</w:t>
      </w:r>
    </w:p>
    <w:p w14:paraId="6B03893F"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Close, A. G., Dreyzin, A., Miller, K. D., Seynnaeve, B. K. N., &amp; Rapkin, L. B. (2019). Adolescent and young adult oncology—past, present, and future. </w:t>
      </w:r>
      <w:r w:rsidRPr="00AC37DD">
        <w:rPr>
          <w:rFonts w:ascii="Calibri" w:hAnsi="Calibri" w:cs="Times New Roman"/>
          <w:i/>
          <w:iCs/>
          <w:noProof/>
          <w:sz w:val="20"/>
          <w:szCs w:val="24"/>
        </w:rPr>
        <w:t>CA: A Cancer Journal for Clinicians</w:t>
      </w:r>
      <w:r w:rsidRPr="00AC37DD">
        <w:rPr>
          <w:rFonts w:ascii="Calibri" w:hAnsi="Calibri" w:cs="Times New Roman"/>
          <w:noProof/>
          <w:sz w:val="20"/>
          <w:szCs w:val="24"/>
        </w:rPr>
        <w:t xml:space="preserve">, </w:t>
      </w:r>
      <w:r w:rsidRPr="00AC37DD">
        <w:rPr>
          <w:rFonts w:ascii="Calibri" w:hAnsi="Calibri" w:cs="Times New Roman"/>
          <w:i/>
          <w:iCs/>
          <w:noProof/>
          <w:sz w:val="20"/>
          <w:szCs w:val="24"/>
        </w:rPr>
        <w:t>69</w:t>
      </w:r>
      <w:r w:rsidRPr="00AC37DD">
        <w:rPr>
          <w:rFonts w:ascii="Calibri" w:hAnsi="Calibri" w:cs="Times New Roman"/>
          <w:noProof/>
          <w:sz w:val="20"/>
          <w:szCs w:val="24"/>
        </w:rPr>
        <w:t>(6), 1–12. doi.org/10.3322/caac.21585</w:t>
      </w:r>
    </w:p>
    <w:p w14:paraId="01B52A5E"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lastRenderedPageBreak/>
        <w:t xml:space="preserve">D’Agostino, Norma M., Penney, A., &amp; Zebrack, B. (2011). Providing developmentally appropriate psychosocial care to adolescent and young adult cancer survivors*. </w:t>
      </w:r>
      <w:r w:rsidRPr="00AC37DD">
        <w:rPr>
          <w:rFonts w:ascii="Calibri" w:hAnsi="Calibri" w:cs="Times New Roman"/>
          <w:i/>
          <w:iCs/>
          <w:noProof/>
          <w:sz w:val="20"/>
          <w:szCs w:val="24"/>
        </w:rPr>
        <w:t>Cancer</w:t>
      </w:r>
      <w:r w:rsidRPr="00AC37DD">
        <w:rPr>
          <w:rFonts w:ascii="Calibri" w:hAnsi="Calibri" w:cs="Times New Roman"/>
          <w:noProof/>
          <w:sz w:val="20"/>
          <w:szCs w:val="24"/>
        </w:rPr>
        <w:t xml:space="preserve">, </w:t>
      </w:r>
      <w:r w:rsidRPr="00AC37DD">
        <w:rPr>
          <w:rFonts w:ascii="Calibri" w:hAnsi="Calibri" w:cs="Times New Roman"/>
          <w:i/>
          <w:iCs/>
          <w:noProof/>
          <w:sz w:val="20"/>
          <w:szCs w:val="24"/>
        </w:rPr>
        <w:t>117</w:t>
      </w:r>
      <w:r w:rsidRPr="00AC37DD">
        <w:rPr>
          <w:rFonts w:ascii="Calibri" w:hAnsi="Calibri" w:cs="Times New Roman"/>
          <w:noProof/>
          <w:sz w:val="20"/>
          <w:szCs w:val="24"/>
        </w:rPr>
        <w:t>(SUPPL. 10), 2329–2334. doi.org/10.1002/cncr.26043</w:t>
      </w:r>
    </w:p>
    <w:p w14:paraId="1E270662"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D’Agostino, Norma Mammone, &amp; Edelstein, K. (2013). Psychosocial challenges and resource needs of young adult cancer survivors: Implications for program development. </w:t>
      </w:r>
      <w:r w:rsidRPr="00AC37DD">
        <w:rPr>
          <w:rFonts w:ascii="Calibri" w:hAnsi="Calibri" w:cs="Times New Roman"/>
          <w:i/>
          <w:iCs/>
          <w:noProof/>
          <w:sz w:val="20"/>
          <w:szCs w:val="24"/>
        </w:rPr>
        <w:t>Journal of Psychosocial Oncology</w:t>
      </w:r>
      <w:r w:rsidRPr="00AC37DD">
        <w:rPr>
          <w:rFonts w:ascii="Calibri" w:hAnsi="Calibri" w:cs="Times New Roman"/>
          <w:noProof/>
          <w:sz w:val="20"/>
          <w:szCs w:val="24"/>
        </w:rPr>
        <w:t xml:space="preserve">, </w:t>
      </w:r>
      <w:r w:rsidRPr="00AC37DD">
        <w:rPr>
          <w:rFonts w:ascii="Calibri" w:hAnsi="Calibri" w:cs="Times New Roman"/>
          <w:i/>
          <w:iCs/>
          <w:noProof/>
          <w:sz w:val="20"/>
          <w:szCs w:val="24"/>
        </w:rPr>
        <w:t>31</w:t>
      </w:r>
      <w:r w:rsidRPr="00AC37DD">
        <w:rPr>
          <w:rFonts w:ascii="Calibri" w:hAnsi="Calibri" w:cs="Times New Roman"/>
          <w:noProof/>
          <w:sz w:val="20"/>
          <w:szCs w:val="24"/>
        </w:rPr>
        <w:t>(6), 585–600. doi.org/10.1080/07347332.2013.835018</w:t>
      </w:r>
    </w:p>
    <w:p w14:paraId="5A2C93DA"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de Boer, A. G. E. M., Taskila, T. K., Tamminga, S. J., Feuerstein, M., Frings-Dresen, M. H. W., &amp; Verbeek, J. H. (2015). Interventions to enhance return-to-work for cancer patients. </w:t>
      </w:r>
      <w:r w:rsidRPr="00AC37DD">
        <w:rPr>
          <w:rFonts w:ascii="Calibri" w:hAnsi="Calibri" w:cs="Times New Roman"/>
          <w:i/>
          <w:iCs/>
          <w:noProof/>
          <w:sz w:val="20"/>
          <w:szCs w:val="24"/>
        </w:rPr>
        <w:t>Cochrane Database of Systematic Reviews</w:t>
      </w:r>
      <w:r w:rsidRPr="00AC37DD">
        <w:rPr>
          <w:rFonts w:ascii="Calibri" w:hAnsi="Calibri" w:cs="Times New Roman"/>
          <w:noProof/>
          <w:sz w:val="20"/>
          <w:szCs w:val="24"/>
        </w:rPr>
        <w:t>, (9). doi.org/10.1002/14651858.CD007569.pub3</w:t>
      </w:r>
    </w:p>
    <w:p w14:paraId="7B30F027"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Docherty, S. L., Kayle, M., Maslow, G. R., &amp; Santacroce, S. J. (2015). The Adolescent and Young Adult with Cancer: A Developmental Life Course Perspective. </w:t>
      </w:r>
      <w:r w:rsidRPr="00AC37DD">
        <w:rPr>
          <w:rFonts w:ascii="Calibri" w:hAnsi="Calibri" w:cs="Times New Roman"/>
          <w:i/>
          <w:iCs/>
          <w:noProof/>
          <w:sz w:val="20"/>
          <w:szCs w:val="24"/>
        </w:rPr>
        <w:t>Seminars in Oncology Nursing</w:t>
      </w:r>
      <w:r w:rsidRPr="00AC37DD">
        <w:rPr>
          <w:rFonts w:ascii="Calibri" w:hAnsi="Calibri" w:cs="Times New Roman"/>
          <w:noProof/>
          <w:sz w:val="20"/>
          <w:szCs w:val="24"/>
        </w:rPr>
        <w:t xml:space="preserve">, </w:t>
      </w:r>
      <w:r w:rsidRPr="00AC37DD">
        <w:rPr>
          <w:rFonts w:ascii="Calibri" w:hAnsi="Calibri" w:cs="Times New Roman"/>
          <w:i/>
          <w:iCs/>
          <w:noProof/>
          <w:sz w:val="20"/>
          <w:szCs w:val="24"/>
        </w:rPr>
        <w:t>31</w:t>
      </w:r>
      <w:r w:rsidRPr="00AC37DD">
        <w:rPr>
          <w:rFonts w:ascii="Calibri" w:hAnsi="Calibri" w:cs="Times New Roman"/>
          <w:noProof/>
          <w:sz w:val="20"/>
          <w:szCs w:val="24"/>
        </w:rPr>
        <w:t>(3), 186–196. doi.org/10.1016/j.soncn.2015.05.006</w:t>
      </w:r>
    </w:p>
    <w:p w14:paraId="1F79FFD5"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Ehrbar, V., Urech, C., Rochlitz, C., Zanetti Dällenbach, R., Moffat, R., Stiller, R., … Tschudin, S. (2019). Randomized controlled trial on the effect of an online decision aid for young female cancer patients regarding fertility preservation. </w:t>
      </w:r>
      <w:r w:rsidRPr="00AC37DD">
        <w:rPr>
          <w:rFonts w:ascii="Calibri" w:hAnsi="Calibri" w:cs="Times New Roman"/>
          <w:i/>
          <w:iCs/>
          <w:noProof/>
          <w:sz w:val="20"/>
          <w:szCs w:val="24"/>
        </w:rPr>
        <w:t>Human Reproduction</w:t>
      </w:r>
      <w:r w:rsidRPr="00AC37DD">
        <w:rPr>
          <w:rFonts w:ascii="Calibri" w:hAnsi="Calibri" w:cs="Times New Roman"/>
          <w:noProof/>
          <w:sz w:val="20"/>
          <w:szCs w:val="24"/>
        </w:rPr>
        <w:t xml:space="preserve">, </w:t>
      </w:r>
      <w:r w:rsidRPr="00AC37DD">
        <w:rPr>
          <w:rFonts w:ascii="Calibri" w:hAnsi="Calibri" w:cs="Times New Roman"/>
          <w:i/>
          <w:iCs/>
          <w:noProof/>
          <w:sz w:val="20"/>
          <w:szCs w:val="24"/>
        </w:rPr>
        <w:t>34</w:t>
      </w:r>
      <w:r w:rsidRPr="00AC37DD">
        <w:rPr>
          <w:rFonts w:ascii="Calibri" w:hAnsi="Calibri" w:cs="Times New Roman"/>
          <w:noProof/>
          <w:sz w:val="20"/>
          <w:szCs w:val="24"/>
        </w:rPr>
        <w:t>(9), 1726–1734. doi.org/10.1093/humrep/dez136</w:t>
      </w:r>
    </w:p>
    <w:p w14:paraId="26584501"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Erickson, J. M., Ameringer, S., Linder, L., Macpherson, C. F., Elswick, R. K., Luebke, J. M., &amp; Stegenga, K. (2018). Using a Heuristic App to Improve Symptom Self-Management in Adolescents and Young Adults with Cancer. </w:t>
      </w:r>
      <w:r w:rsidRPr="00AC37DD">
        <w:rPr>
          <w:rFonts w:ascii="Calibri" w:hAnsi="Calibri" w:cs="Times New Roman"/>
          <w:i/>
          <w:iCs/>
          <w:noProof/>
          <w:sz w:val="20"/>
          <w:szCs w:val="24"/>
        </w:rPr>
        <w:t>Journal of Adolescent and Young Adult Oncology</w:t>
      </w:r>
      <w:r w:rsidRPr="00AC37DD">
        <w:rPr>
          <w:rFonts w:ascii="Calibri" w:hAnsi="Calibri" w:cs="Times New Roman"/>
          <w:noProof/>
          <w:sz w:val="20"/>
          <w:szCs w:val="24"/>
        </w:rPr>
        <w:t xml:space="preserve">, </w:t>
      </w:r>
      <w:r w:rsidRPr="00AC37DD">
        <w:rPr>
          <w:rFonts w:ascii="Calibri" w:hAnsi="Calibri" w:cs="Times New Roman"/>
          <w:i/>
          <w:iCs/>
          <w:noProof/>
          <w:sz w:val="20"/>
          <w:szCs w:val="24"/>
        </w:rPr>
        <w:t>8</w:t>
      </w:r>
      <w:r w:rsidRPr="00AC37DD">
        <w:rPr>
          <w:rFonts w:ascii="Calibri" w:hAnsi="Calibri" w:cs="Times New Roman"/>
          <w:noProof/>
          <w:sz w:val="20"/>
          <w:szCs w:val="24"/>
        </w:rPr>
        <w:t>(2), 131–141. doi.org/10.1089/jayao.2018.0103</w:t>
      </w:r>
    </w:p>
    <w:p w14:paraId="235BFACD"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Erikson, E. H. (1995). </w:t>
      </w:r>
      <w:r w:rsidRPr="00AC37DD">
        <w:rPr>
          <w:rFonts w:ascii="Calibri" w:hAnsi="Calibri" w:cs="Times New Roman"/>
          <w:i/>
          <w:iCs/>
          <w:noProof/>
          <w:sz w:val="20"/>
          <w:szCs w:val="24"/>
        </w:rPr>
        <w:t>Childhood and Society</w:t>
      </w:r>
      <w:r w:rsidRPr="00AC37DD">
        <w:rPr>
          <w:rFonts w:ascii="Calibri" w:hAnsi="Calibri" w:cs="Times New Roman"/>
          <w:noProof/>
          <w:sz w:val="20"/>
          <w:szCs w:val="24"/>
        </w:rPr>
        <w:t xml:space="preserve"> (2nd ed.). London: Vintage Books.</w:t>
      </w:r>
    </w:p>
    <w:p w14:paraId="1AB1503C"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Fidler, M. M., Frobisher, C., Hawkins, M. M., &amp; Nathan, P. C. (2019). Challenges and opportunities in the care of survivors of adolescent and young adult cancers. </w:t>
      </w:r>
      <w:r w:rsidRPr="00AC37DD">
        <w:rPr>
          <w:rFonts w:ascii="Calibri" w:hAnsi="Calibri" w:cs="Times New Roman"/>
          <w:i/>
          <w:iCs/>
          <w:noProof/>
          <w:sz w:val="20"/>
          <w:szCs w:val="24"/>
        </w:rPr>
        <w:t>Pediatric Blood and Cancer</w:t>
      </w:r>
      <w:r w:rsidRPr="00AC37DD">
        <w:rPr>
          <w:rFonts w:ascii="Calibri" w:hAnsi="Calibri" w:cs="Times New Roman"/>
          <w:noProof/>
          <w:sz w:val="20"/>
          <w:szCs w:val="24"/>
        </w:rPr>
        <w:t xml:space="preserve">, </w:t>
      </w:r>
      <w:r w:rsidRPr="00AC37DD">
        <w:rPr>
          <w:rFonts w:ascii="Calibri" w:hAnsi="Calibri" w:cs="Times New Roman"/>
          <w:i/>
          <w:iCs/>
          <w:noProof/>
          <w:sz w:val="20"/>
          <w:szCs w:val="24"/>
        </w:rPr>
        <w:t>66</w:t>
      </w:r>
      <w:r w:rsidRPr="00AC37DD">
        <w:rPr>
          <w:rFonts w:ascii="Calibri" w:hAnsi="Calibri" w:cs="Times New Roman"/>
          <w:noProof/>
          <w:sz w:val="20"/>
          <w:szCs w:val="24"/>
        </w:rPr>
        <w:t>(6), 1–11. doi.org/10.1002/pbc.27668</w:t>
      </w:r>
    </w:p>
    <w:p w14:paraId="1F5FC565"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Finkelstein, E. A., Tangka, F. K., Trogdon, J. G., Sabatino, S. A., &amp; Richardson, L. C. (2009). The personal financial </w:t>
      </w:r>
      <w:r w:rsidRPr="00AC37DD">
        <w:rPr>
          <w:rFonts w:ascii="Calibri" w:hAnsi="Calibri" w:cs="Times New Roman"/>
          <w:noProof/>
          <w:sz w:val="20"/>
          <w:szCs w:val="24"/>
        </w:rPr>
        <w:lastRenderedPageBreak/>
        <w:t xml:space="preserve">burden of cancer for the working-aged population. </w:t>
      </w:r>
      <w:r w:rsidRPr="00AC37DD">
        <w:rPr>
          <w:rFonts w:ascii="Calibri" w:hAnsi="Calibri" w:cs="Times New Roman"/>
          <w:i/>
          <w:iCs/>
          <w:noProof/>
          <w:sz w:val="20"/>
          <w:szCs w:val="24"/>
        </w:rPr>
        <w:t>The American Journal of Managed Care</w:t>
      </w:r>
      <w:r w:rsidRPr="00AC37DD">
        <w:rPr>
          <w:rFonts w:ascii="Calibri" w:hAnsi="Calibri" w:cs="Times New Roman"/>
          <w:noProof/>
          <w:sz w:val="20"/>
          <w:szCs w:val="24"/>
        </w:rPr>
        <w:t xml:space="preserve">, </w:t>
      </w:r>
      <w:r w:rsidRPr="00AC37DD">
        <w:rPr>
          <w:rFonts w:ascii="Calibri" w:hAnsi="Calibri" w:cs="Times New Roman"/>
          <w:i/>
          <w:iCs/>
          <w:noProof/>
          <w:sz w:val="20"/>
          <w:szCs w:val="24"/>
        </w:rPr>
        <w:t>15</w:t>
      </w:r>
      <w:r w:rsidRPr="00AC37DD">
        <w:rPr>
          <w:rFonts w:ascii="Calibri" w:hAnsi="Calibri" w:cs="Times New Roman"/>
          <w:noProof/>
          <w:sz w:val="20"/>
          <w:szCs w:val="24"/>
        </w:rPr>
        <w:t>(11), 801–806.</w:t>
      </w:r>
    </w:p>
    <w:p w14:paraId="382484FD"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Finlay, L. (2009). Exploring lived experience: principles and practice of phenomenological research. </w:t>
      </w:r>
      <w:r w:rsidRPr="00AC37DD">
        <w:rPr>
          <w:rFonts w:ascii="Calibri" w:hAnsi="Calibri" w:cs="Times New Roman"/>
          <w:i/>
          <w:iCs/>
          <w:noProof/>
          <w:sz w:val="20"/>
          <w:szCs w:val="24"/>
        </w:rPr>
        <w:t>International Journal of Therapy and Rehabilitation</w:t>
      </w:r>
      <w:r w:rsidRPr="00AC37DD">
        <w:rPr>
          <w:rFonts w:ascii="Calibri" w:hAnsi="Calibri" w:cs="Times New Roman"/>
          <w:noProof/>
          <w:sz w:val="20"/>
          <w:szCs w:val="24"/>
        </w:rPr>
        <w:t xml:space="preserve">, </w:t>
      </w:r>
      <w:r w:rsidRPr="00AC37DD">
        <w:rPr>
          <w:rFonts w:ascii="Calibri" w:hAnsi="Calibri" w:cs="Times New Roman"/>
          <w:i/>
          <w:iCs/>
          <w:noProof/>
          <w:sz w:val="20"/>
          <w:szCs w:val="24"/>
        </w:rPr>
        <w:t>16</w:t>
      </w:r>
      <w:r w:rsidRPr="00AC37DD">
        <w:rPr>
          <w:rFonts w:ascii="Calibri" w:hAnsi="Calibri" w:cs="Times New Roman"/>
          <w:noProof/>
          <w:sz w:val="20"/>
          <w:szCs w:val="24"/>
        </w:rPr>
        <w:t>(9), 474–481.</w:t>
      </w:r>
    </w:p>
    <w:p w14:paraId="6C0EBAD2"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Gupta, A. A., Papadakos, J. K., Jones, J. M., Amin, L., Chang, E. K., Korenblum, C., … Giuliani, M. E. (2016). Reimagining care for adolescent and young adult cancer programs: Moving with the times. </w:t>
      </w:r>
      <w:r w:rsidRPr="00AC37DD">
        <w:rPr>
          <w:rFonts w:ascii="Calibri" w:hAnsi="Calibri" w:cs="Times New Roman"/>
          <w:i/>
          <w:iCs/>
          <w:noProof/>
          <w:sz w:val="20"/>
          <w:szCs w:val="24"/>
        </w:rPr>
        <w:t>Cancer</w:t>
      </w:r>
      <w:r w:rsidRPr="00AC37DD">
        <w:rPr>
          <w:rFonts w:ascii="Calibri" w:hAnsi="Calibri" w:cs="Times New Roman"/>
          <w:noProof/>
          <w:sz w:val="20"/>
          <w:szCs w:val="24"/>
        </w:rPr>
        <w:t xml:space="preserve">, </w:t>
      </w:r>
      <w:r w:rsidRPr="00AC37DD">
        <w:rPr>
          <w:rFonts w:ascii="Calibri" w:hAnsi="Calibri" w:cs="Times New Roman"/>
          <w:i/>
          <w:iCs/>
          <w:noProof/>
          <w:sz w:val="20"/>
          <w:szCs w:val="24"/>
        </w:rPr>
        <w:t>122</w:t>
      </w:r>
      <w:r w:rsidRPr="00AC37DD">
        <w:rPr>
          <w:rFonts w:ascii="Calibri" w:hAnsi="Calibri" w:cs="Times New Roman"/>
          <w:noProof/>
          <w:sz w:val="20"/>
          <w:szCs w:val="24"/>
        </w:rPr>
        <w:t>(7), 1038–1046. doi.org/10.1002/cncr.29834</w:t>
      </w:r>
    </w:p>
    <w:p w14:paraId="0C21ED1F"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Guy, G. P., Robin Yabroff, K., Ekwueme, D. U., Smith, A. W., Dowling, E. C., Rechis, R., … Richardson, L. C. (2014). Estimating the health and economic burden of cancer among those diagnosed as adolescents and young adults. </w:t>
      </w:r>
      <w:r w:rsidRPr="00AC37DD">
        <w:rPr>
          <w:rFonts w:ascii="Calibri" w:hAnsi="Calibri" w:cs="Times New Roman"/>
          <w:i/>
          <w:iCs/>
          <w:noProof/>
          <w:sz w:val="20"/>
          <w:szCs w:val="24"/>
        </w:rPr>
        <w:t>Health Affairs</w:t>
      </w:r>
      <w:r w:rsidRPr="00AC37DD">
        <w:rPr>
          <w:rFonts w:ascii="Calibri" w:hAnsi="Calibri" w:cs="Times New Roman"/>
          <w:noProof/>
          <w:sz w:val="20"/>
          <w:szCs w:val="24"/>
        </w:rPr>
        <w:t xml:space="preserve">, </w:t>
      </w:r>
      <w:r w:rsidRPr="00AC37DD">
        <w:rPr>
          <w:rFonts w:ascii="Calibri" w:hAnsi="Calibri" w:cs="Times New Roman"/>
          <w:i/>
          <w:iCs/>
          <w:noProof/>
          <w:sz w:val="20"/>
          <w:szCs w:val="24"/>
        </w:rPr>
        <w:t>33</w:t>
      </w:r>
      <w:r w:rsidRPr="00AC37DD">
        <w:rPr>
          <w:rFonts w:ascii="Calibri" w:hAnsi="Calibri" w:cs="Times New Roman"/>
          <w:noProof/>
          <w:sz w:val="20"/>
          <w:szCs w:val="24"/>
        </w:rPr>
        <w:t>(6), 1024–1031. doi.org/10.1377/hlthaff.2013.1425</w:t>
      </w:r>
    </w:p>
    <w:p w14:paraId="0C928838"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Hammond, C. (2017). Against a Singular Message of Distinctness: Challenging Dominant Representations of Adolescents and Young Adults in Oncology. </w:t>
      </w:r>
      <w:r w:rsidRPr="00AC37DD">
        <w:rPr>
          <w:rFonts w:ascii="Calibri" w:hAnsi="Calibri" w:cs="Times New Roman"/>
          <w:i/>
          <w:iCs/>
          <w:noProof/>
          <w:sz w:val="20"/>
          <w:szCs w:val="24"/>
        </w:rPr>
        <w:t>Journal of Adolescent and Young Adult Oncology</w:t>
      </w:r>
      <w:r w:rsidRPr="00AC37DD">
        <w:rPr>
          <w:rFonts w:ascii="Calibri" w:hAnsi="Calibri" w:cs="Times New Roman"/>
          <w:noProof/>
          <w:sz w:val="20"/>
          <w:szCs w:val="24"/>
        </w:rPr>
        <w:t xml:space="preserve">, </w:t>
      </w:r>
      <w:r w:rsidRPr="00AC37DD">
        <w:rPr>
          <w:rFonts w:ascii="Calibri" w:hAnsi="Calibri" w:cs="Times New Roman"/>
          <w:i/>
          <w:iCs/>
          <w:noProof/>
          <w:sz w:val="20"/>
          <w:szCs w:val="24"/>
        </w:rPr>
        <w:t>6</w:t>
      </w:r>
      <w:r w:rsidRPr="00AC37DD">
        <w:rPr>
          <w:rFonts w:ascii="Calibri" w:hAnsi="Calibri" w:cs="Times New Roman"/>
          <w:noProof/>
          <w:sz w:val="20"/>
          <w:szCs w:val="24"/>
        </w:rPr>
        <w:t>(1), 45–49. doi.org/10.1089/jayao.2016.0018</w:t>
      </w:r>
    </w:p>
    <w:p w14:paraId="6C808A88"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Hannum, S. M., Clegg Smith, K., Coa, K., &amp; Klassen, A. C. (2016). Identity reconstruction among older cancer survivors: Age and meaning in the context of a life-altering illness. </w:t>
      </w:r>
      <w:r w:rsidRPr="00AC37DD">
        <w:rPr>
          <w:rFonts w:ascii="Calibri" w:hAnsi="Calibri" w:cs="Times New Roman"/>
          <w:i/>
          <w:iCs/>
          <w:noProof/>
          <w:sz w:val="20"/>
          <w:szCs w:val="24"/>
        </w:rPr>
        <w:t>Journal of Psychosocial Oncology</w:t>
      </w:r>
      <w:r w:rsidRPr="00AC37DD">
        <w:rPr>
          <w:rFonts w:ascii="Calibri" w:hAnsi="Calibri" w:cs="Times New Roman"/>
          <w:noProof/>
          <w:sz w:val="20"/>
          <w:szCs w:val="24"/>
        </w:rPr>
        <w:t xml:space="preserve">, </w:t>
      </w:r>
      <w:r w:rsidRPr="00AC37DD">
        <w:rPr>
          <w:rFonts w:ascii="Calibri" w:hAnsi="Calibri" w:cs="Times New Roman"/>
          <w:i/>
          <w:iCs/>
          <w:noProof/>
          <w:sz w:val="20"/>
          <w:szCs w:val="24"/>
        </w:rPr>
        <w:t>34</w:t>
      </w:r>
      <w:r w:rsidRPr="00AC37DD">
        <w:rPr>
          <w:rFonts w:ascii="Calibri" w:hAnsi="Calibri" w:cs="Times New Roman"/>
          <w:noProof/>
          <w:sz w:val="20"/>
          <w:szCs w:val="24"/>
        </w:rPr>
        <w:t>(6), 477–492. doi.org/10.1080/07347332.2016.1221017</w:t>
      </w:r>
    </w:p>
    <w:p w14:paraId="1A4F7A78"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Hauken, M. A., Larsen, T. M. B., &amp; Holsen, I. (2013). Meeting reality: Young adult cancer survivors’ experiences of reentering everyday life after cancer treatment. </w:t>
      </w:r>
      <w:r w:rsidRPr="00AC37DD">
        <w:rPr>
          <w:rFonts w:ascii="Calibri" w:hAnsi="Calibri" w:cs="Times New Roman"/>
          <w:i/>
          <w:iCs/>
          <w:noProof/>
          <w:sz w:val="20"/>
          <w:szCs w:val="24"/>
        </w:rPr>
        <w:t>Cancer Nursing</w:t>
      </w:r>
      <w:r w:rsidRPr="00AC37DD">
        <w:rPr>
          <w:rFonts w:ascii="Calibri" w:hAnsi="Calibri" w:cs="Times New Roman"/>
          <w:noProof/>
          <w:sz w:val="20"/>
          <w:szCs w:val="24"/>
        </w:rPr>
        <w:t xml:space="preserve">, </w:t>
      </w:r>
      <w:r w:rsidRPr="00AC37DD">
        <w:rPr>
          <w:rFonts w:ascii="Calibri" w:hAnsi="Calibri" w:cs="Times New Roman"/>
          <w:i/>
          <w:iCs/>
          <w:noProof/>
          <w:sz w:val="20"/>
          <w:szCs w:val="24"/>
        </w:rPr>
        <w:t>36</w:t>
      </w:r>
      <w:r w:rsidRPr="00AC37DD">
        <w:rPr>
          <w:rFonts w:ascii="Calibri" w:hAnsi="Calibri" w:cs="Times New Roman"/>
          <w:noProof/>
          <w:sz w:val="20"/>
          <w:szCs w:val="24"/>
        </w:rPr>
        <w:t>(5), 17–26. doi.org/10.1097/NCC.0b013e318278d4fc</w:t>
      </w:r>
    </w:p>
    <w:p w14:paraId="761A1932"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Hokkanen, H., Eriksson, E., Ahonen, O., &amp; Salantera, S. (2004). Adolescents with cancer: experience of life and how it could be made easier. </w:t>
      </w:r>
      <w:r w:rsidRPr="00AC37DD">
        <w:rPr>
          <w:rFonts w:ascii="Calibri" w:hAnsi="Calibri" w:cs="Times New Roman"/>
          <w:i/>
          <w:iCs/>
          <w:noProof/>
          <w:sz w:val="20"/>
          <w:szCs w:val="24"/>
        </w:rPr>
        <w:t>Cancer Nursing</w:t>
      </w:r>
      <w:r w:rsidRPr="00AC37DD">
        <w:rPr>
          <w:rFonts w:ascii="Calibri" w:hAnsi="Calibri" w:cs="Times New Roman"/>
          <w:noProof/>
          <w:sz w:val="20"/>
          <w:szCs w:val="24"/>
        </w:rPr>
        <w:t xml:space="preserve">, </w:t>
      </w:r>
      <w:r w:rsidRPr="00AC37DD">
        <w:rPr>
          <w:rFonts w:ascii="Calibri" w:hAnsi="Calibri" w:cs="Times New Roman"/>
          <w:i/>
          <w:iCs/>
          <w:noProof/>
          <w:sz w:val="20"/>
          <w:szCs w:val="24"/>
        </w:rPr>
        <w:t>27</w:t>
      </w:r>
      <w:r w:rsidRPr="00AC37DD">
        <w:rPr>
          <w:rFonts w:ascii="Calibri" w:hAnsi="Calibri" w:cs="Times New Roman"/>
          <w:noProof/>
          <w:sz w:val="20"/>
          <w:szCs w:val="24"/>
        </w:rPr>
        <w:t>(4), 325–335.</w:t>
      </w:r>
    </w:p>
    <w:p w14:paraId="62457791"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Lambert, S. D., &amp; Loiselle, C. G. (2008). Combining individual interviews and focus groups to enhance data richness. </w:t>
      </w:r>
      <w:r w:rsidRPr="00AC37DD">
        <w:rPr>
          <w:rFonts w:ascii="Calibri" w:hAnsi="Calibri" w:cs="Times New Roman"/>
          <w:i/>
          <w:iCs/>
          <w:noProof/>
          <w:sz w:val="20"/>
          <w:szCs w:val="24"/>
        </w:rPr>
        <w:t>Journal of Advanced Nursing</w:t>
      </w:r>
      <w:r w:rsidRPr="00AC37DD">
        <w:rPr>
          <w:rFonts w:ascii="Calibri" w:hAnsi="Calibri" w:cs="Times New Roman"/>
          <w:noProof/>
          <w:sz w:val="20"/>
          <w:szCs w:val="24"/>
        </w:rPr>
        <w:t xml:space="preserve">, </w:t>
      </w:r>
      <w:r w:rsidRPr="00AC37DD">
        <w:rPr>
          <w:rFonts w:ascii="Calibri" w:hAnsi="Calibri" w:cs="Times New Roman"/>
          <w:i/>
          <w:iCs/>
          <w:noProof/>
          <w:sz w:val="20"/>
          <w:szCs w:val="24"/>
        </w:rPr>
        <w:t>62</w:t>
      </w:r>
      <w:r w:rsidRPr="00AC37DD">
        <w:rPr>
          <w:rFonts w:ascii="Calibri" w:hAnsi="Calibri" w:cs="Times New Roman"/>
          <w:noProof/>
          <w:sz w:val="20"/>
          <w:szCs w:val="24"/>
        </w:rPr>
        <w:t>(2), 228–237. doi.org/10.1111/j.1365-2648.2007.04559.x</w:t>
      </w:r>
    </w:p>
    <w:p w14:paraId="1E08DECD"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Letourneau, J. M., Ebbel, E. E., Katz, P. P., Katz, A., Ai, W. Z., Chien, A. J., … Rosen, M. P. (2012). Pretreatment fertility counseling and fertility preservation improve quality of life in reproductive age women with </w:t>
      </w:r>
      <w:r w:rsidRPr="00AC37DD">
        <w:rPr>
          <w:rFonts w:ascii="Calibri" w:hAnsi="Calibri" w:cs="Times New Roman"/>
          <w:noProof/>
          <w:sz w:val="20"/>
          <w:szCs w:val="24"/>
        </w:rPr>
        <w:lastRenderedPageBreak/>
        <w:t xml:space="preserve">cancer. </w:t>
      </w:r>
      <w:r w:rsidRPr="00AC37DD">
        <w:rPr>
          <w:rFonts w:ascii="Calibri" w:hAnsi="Calibri" w:cs="Times New Roman"/>
          <w:i/>
          <w:iCs/>
          <w:noProof/>
          <w:sz w:val="20"/>
          <w:szCs w:val="24"/>
        </w:rPr>
        <w:t>Cancer</w:t>
      </w:r>
      <w:r w:rsidRPr="00AC37DD">
        <w:rPr>
          <w:rFonts w:ascii="Calibri" w:hAnsi="Calibri" w:cs="Times New Roman"/>
          <w:noProof/>
          <w:sz w:val="20"/>
          <w:szCs w:val="24"/>
        </w:rPr>
        <w:t xml:space="preserve">, </w:t>
      </w:r>
      <w:r w:rsidRPr="00AC37DD">
        <w:rPr>
          <w:rFonts w:ascii="Calibri" w:hAnsi="Calibri" w:cs="Times New Roman"/>
          <w:i/>
          <w:iCs/>
          <w:noProof/>
          <w:sz w:val="20"/>
          <w:szCs w:val="24"/>
        </w:rPr>
        <w:t>118</w:t>
      </w:r>
      <w:r w:rsidRPr="00AC37DD">
        <w:rPr>
          <w:rFonts w:ascii="Calibri" w:hAnsi="Calibri" w:cs="Times New Roman"/>
          <w:noProof/>
          <w:sz w:val="20"/>
          <w:szCs w:val="24"/>
        </w:rPr>
        <w:t>(6), 1710–1717. doi.org/10.1002/cncr.26459</w:t>
      </w:r>
    </w:p>
    <w:p w14:paraId="5558323E"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Levin, N. J., Zebrack, B., &amp; Cole, S. W. (2019). Psychosocial issues for adolescent and young adult cancer patients in a global context: A forward-looking approach. </w:t>
      </w:r>
      <w:r w:rsidRPr="00AC37DD">
        <w:rPr>
          <w:rFonts w:ascii="Calibri" w:hAnsi="Calibri" w:cs="Times New Roman"/>
          <w:i/>
          <w:iCs/>
          <w:noProof/>
          <w:sz w:val="20"/>
          <w:szCs w:val="24"/>
        </w:rPr>
        <w:t>Pediatric Blood and Cancer</w:t>
      </w:r>
      <w:r w:rsidRPr="00AC37DD">
        <w:rPr>
          <w:rFonts w:ascii="Calibri" w:hAnsi="Calibri" w:cs="Times New Roman"/>
          <w:noProof/>
          <w:sz w:val="20"/>
          <w:szCs w:val="24"/>
        </w:rPr>
        <w:t xml:space="preserve">, </w:t>
      </w:r>
      <w:r w:rsidRPr="00AC37DD">
        <w:rPr>
          <w:rFonts w:ascii="Calibri" w:hAnsi="Calibri" w:cs="Times New Roman"/>
          <w:i/>
          <w:iCs/>
          <w:noProof/>
          <w:sz w:val="20"/>
          <w:szCs w:val="24"/>
        </w:rPr>
        <w:t>66</w:t>
      </w:r>
      <w:r w:rsidRPr="00AC37DD">
        <w:rPr>
          <w:rFonts w:ascii="Calibri" w:hAnsi="Calibri" w:cs="Times New Roman"/>
          <w:noProof/>
          <w:sz w:val="20"/>
          <w:szCs w:val="24"/>
        </w:rPr>
        <w:t>(8). doi.org/10.1002/pbc.27789</w:t>
      </w:r>
    </w:p>
    <w:p w14:paraId="338C5136"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National Institute for Health and Care Excellence. (2014). </w:t>
      </w:r>
      <w:r w:rsidRPr="00AC37DD">
        <w:rPr>
          <w:rFonts w:ascii="Calibri" w:hAnsi="Calibri" w:cs="Times New Roman"/>
          <w:i/>
          <w:iCs/>
          <w:noProof/>
          <w:sz w:val="20"/>
          <w:szCs w:val="24"/>
        </w:rPr>
        <w:t>Cancer Services for Children and Young People</w:t>
      </w:r>
      <w:r w:rsidRPr="00AC37DD">
        <w:rPr>
          <w:rFonts w:ascii="Calibri" w:hAnsi="Calibri" w:cs="Times New Roman"/>
          <w:noProof/>
          <w:sz w:val="20"/>
          <w:szCs w:val="24"/>
        </w:rPr>
        <w:t>. Retrieved from https://www.nice.org.uk/guidance/qs55</w:t>
      </w:r>
    </w:p>
    <w:p w14:paraId="2914528B"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Office for National Statistics. (2018). Population of England and Wales. Retrieved November 1, 2019, from https://www.ethnicity-facts-figures.service.gov.uk/uk-population-by-ethnicity/national-and-regional-populations/population-of-england-and-wales/latest</w:t>
      </w:r>
    </w:p>
    <w:p w14:paraId="0BAF74BE"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Penn, A., &amp; Kuperberg, A. (2018). Psychosocial Support in Adolescents and Young Adults with Cancer. </w:t>
      </w:r>
      <w:r w:rsidRPr="00AC37DD">
        <w:rPr>
          <w:rFonts w:ascii="Calibri" w:hAnsi="Calibri" w:cs="Times New Roman"/>
          <w:i/>
          <w:iCs/>
          <w:noProof/>
          <w:sz w:val="20"/>
          <w:szCs w:val="24"/>
        </w:rPr>
        <w:t>Cancer Journal (United States)</w:t>
      </w:r>
      <w:r w:rsidRPr="00AC37DD">
        <w:rPr>
          <w:rFonts w:ascii="Calibri" w:hAnsi="Calibri" w:cs="Times New Roman"/>
          <w:noProof/>
          <w:sz w:val="20"/>
          <w:szCs w:val="24"/>
        </w:rPr>
        <w:t xml:space="preserve">, </w:t>
      </w:r>
      <w:r w:rsidRPr="00AC37DD">
        <w:rPr>
          <w:rFonts w:ascii="Calibri" w:hAnsi="Calibri" w:cs="Times New Roman"/>
          <w:i/>
          <w:iCs/>
          <w:noProof/>
          <w:sz w:val="20"/>
          <w:szCs w:val="24"/>
        </w:rPr>
        <w:t>24</w:t>
      </w:r>
      <w:r w:rsidRPr="00AC37DD">
        <w:rPr>
          <w:rFonts w:ascii="Calibri" w:hAnsi="Calibri" w:cs="Times New Roman"/>
          <w:noProof/>
          <w:sz w:val="20"/>
          <w:szCs w:val="24"/>
        </w:rPr>
        <w:t>(6), 321–327. doi.org/10.1097/PPO.0000000000000339</w:t>
      </w:r>
    </w:p>
    <w:p w14:paraId="651E531F"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Poort, H., Souza, P. M., Malinowski, P. K., Macdougall, K. M., Barysauskas, C. M., Lau Greenberg, T., … Fasciano, K. M. (2018). Taking a “snapshot”: Evaluation of a conversation aid for identifying psychosocial needs in young adults with cancer. </w:t>
      </w:r>
      <w:r w:rsidRPr="00AC37DD">
        <w:rPr>
          <w:rFonts w:ascii="Calibri" w:hAnsi="Calibri" w:cs="Times New Roman"/>
          <w:i/>
          <w:iCs/>
          <w:noProof/>
          <w:sz w:val="20"/>
          <w:szCs w:val="24"/>
        </w:rPr>
        <w:t>Journal of Adolescent and Young Adult Oncology</w:t>
      </w:r>
      <w:r w:rsidRPr="00AC37DD">
        <w:rPr>
          <w:rFonts w:ascii="Calibri" w:hAnsi="Calibri" w:cs="Times New Roman"/>
          <w:noProof/>
          <w:sz w:val="20"/>
          <w:szCs w:val="24"/>
        </w:rPr>
        <w:t xml:space="preserve">, </w:t>
      </w:r>
      <w:r w:rsidRPr="00AC37DD">
        <w:rPr>
          <w:rFonts w:ascii="Calibri" w:hAnsi="Calibri" w:cs="Times New Roman"/>
          <w:i/>
          <w:iCs/>
          <w:noProof/>
          <w:sz w:val="20"/>
          <w:szCs w:val="24"/>
        </w:rPr>
        <w:t>7</w:t>
      </w:r>
      <w:r w:rsidRPr="00AC37DD">
        <w:rPr>
          <w:rFonts w:ascii="Calibri" w:hAnsi="Calibri" w:cs="Times New Roman"/>
          <w:noProof/>
          <w:sz w:val="20"/>
          <w:szCs w:val="24"/>
        </w:rPr>
        <w:t>(5), 565–571. doi.org/10.1089/jayao.2018.0027</w:t>
      </w:r>
    </w:p>
    <w:p w14:paraId="5767ABA5"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Rosenberg, A. R., Yi-Frazier, J. P., Eaton, L., Wharton, C., Cochrane, K., Pihoker, C., … McCauley, E. (2015). Promoting Resilience in Stress Management: A Pilot Study of a Novel Resilience-Promoting Intervention for Adolescents and Young Adults With Serious Illness. </w:t>
      </w:r>
      <w:r w:rsidRPr="00AC37DD">
        <w:rPr>
          <w:rFonts w:ascii="Calibri" w:hAnsi="Calibri" w:cs="Times New Roman"/>
          <w:i/>
          <w:iCs/>
          <w:noProof/>
          <w:sz w:val="20"/>
          <w:szCs w:val="24"/>
        </w:rPr>
        <w:t>Journal of Pediatric Psychology</w:t>
      </w:r>
      <w:r w:rsidRPr="00AC37DD">
        <w:rPr>
          <w:rFonts w:ascii="Calibri" w:hAnsi="Calibri" w:cs="Times New Roman"/>
          <w:noProof/>
          <w:sz w:val="20"/>
          <w:szCs w:val="24"/>
        </w:rPr>
        <w:t xml:space="preserve">, </w:t>
      </w:r>
      <w:r w:rsidRPr="00AC37DD">
        <w:rPr>
          <w:rFonts w:ascii="Calibri" w:hAnsi="Calibri" w:cs="Times New Roman"/>
          <w:i/>
          <w:iCs/>
          <w:noProof/>
          <w:sz w:val="20"/>
          <w:szCs w:val="24"/>
        </w:rPr>
        <w:t>40</w:t>
      </w:r>
      <w:r w:rsidRPr="00AC37DD">
        <w:rPr>
          <w:rFonts w:ascii="Calibri" w:hAnsi="Calibri" w:cs="Times New Roman"/>
          <w:noProof/>
          <w:sz w:val="20"/>
          <w:szCs w:val="24"/>
        </w:rPr>
        <w:t>(9), 992–999. doi.org/10.1093/jpepsy/jsv004</w:t>
      </w:r>
    </w:p>
    <w:p w14:paraId="3F30BB8C"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Sammarco, A. (2001). Perceived Social Support, Uncertainty, and Quality of Life of Younger Breast Cancer Survivors. </w:t>
      </w:r>
      <w:r w:rsidRPr="00AC37DD">
        <w:rPr>
          <w:rFonts w:ascii="Calibri" w:hAnsi="Calibri" w:cs="Times New Roman"/>
          <w:i/>
          <w:iCs/>
          <w:noProof/>
          <w:sz w:val="20"/>
          <w:szCs w:val="24"/>
        </w:rPr>
        <w:t>Cancer Nursing</w:t>
      </w:r>
      <w:r w:rsidRPr="00AC37DD">
        <w:rPr>
          <w:rFonts w:ascii="Calibri" w:hAnsi="Calibri" w:cs="Times New Roman"/>
          <w:noProof/>
          <w:sz w:val="20"/>
          <w:szCs w:val="24"/>
        </w:rPr>
        <w:t xml:space="preserve">, </w:t>
      </w:r>
      <w:r w:rsidRPr="00AC37DD">
        <w:rPr>
          <w:rFonts w:ascii="Calibri" w:hAnsi="Calibri" w:cs="Times New Roman"/>
          <w:i/>
          <w:iCs/>
          <w:noProof/>
          <w:sz w:val="20"/>
          <w:szCs w:val="24"/>
        </w:rPr>
        <w:t>24</w:t>
      </w:r>
      <w:r w:rsidRPr="00AC37DD">
        <w:rPr>
          <w:rFonts w:ascii="Calibri" w:hAnsi="Calibri" w:cs="Times New Roman"/>
          <w:noProof/>
          <w:sz w:val="20"/>
          <w:szCs w:val="24"/>
        </w:rPr>
        <w:t>(3), 212–219.</w:t>
      </w:r>
    </w:p>
    <w:p w14:paraId="4B97C532"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Simard, S., Thewes, B., Humphris, G., Dixon, M., Hayden, C., Mireskandari, S., &amp; Ozakinci, G. (2013). Fear of cancer recurrence in adult cancer survivors: A systematic review of quantitative studies. </w:t>
      </w:r>
      <w:r w:rsidRPr="00AC37DD">
        <w:rPr>
          <w:rFonts w:ascii="Calibri" w:hAnsi="Calibri" w:cs="Times New Roman"/>
          <w:i/>
          <w:iCs/>
          <w:noProof/>
          <w:sz w:val="20"/>
          <w:szCs w:val="24"/>
        </w:rPr>
        <w:t>Journal of Cancer Survivorship</w:t>
      </w:r>
      <w:r w:rsidRPr="00AC37DD">
        <w:rPr>
          <w:rFonts w:ascii="Calibri" w:hAnsi="Calibri" w:cs="Times New Roman"/>
          <w:noProof/>
          <w:sz w:val="20"/>
          <w:szCs w:val="24"/>
        </w:rPr>
        <w:t xml:space="preserve">, </w:t>
      </w:r>
      <w:r w:rsidRPr="00AC37DD">
        <w:rPr>
          <w:rFonts w:ascii="Calibri" w:hAnsi="Calibri" w:cs="Times New Roman"/>
          <w:i/>
          <w:iCs/>
          <w:noProof/>
          <w:sz w:val="20"/>
          <w:szCs w:val="24"/>
        </w:rPr>
        <w:t>7</w:t>
      </w:r>
      <w:r w:rsidRPr="00AC37DD">
        <w:rPr>
          <w:rFonts w:ascii="Calibri" w:hAnsi="Calibri" w:cs="Times New Roman"/>
          <w:noProof/>
          <w:sz w:val="20"/>
          <w:szCs w:val="24"/>
        </w:rPr>
        <w:t>(3), 300–322. doi.org/10.1007/s11764-013-0272-z</w:t>
      </w:r>
    </w:p>
    <w:p w14:paraId="1874F91E"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Sodergren, S. C., Husson, O., Rohde, G. E., Tomasewska, I. M., Vivat, B., Yarom, N., … The EORTC Quality of Life </w:t>
      </w:r>
      <w:r w:rsidRPr="00AC37DD">
        <w:rPr>
          <w:rFonts w:ascii="Calibri" w:hAnsi="Calibri" w:cs="Times New Roman"/>
          <w:noProof/>
          <w:sz w:val="20"/>
          <w:szCs w:val="24"/>
        </w:rPr>
        <w:lastRenderedPageBreak/>
        <w:t xml:space="preserve">Group. (2018). A life put on pause: An exploration of the health-related quality of life issues relevant to adolescents and young adults with cancer. </w:t>
      </w:r>
      <w:r w:rsidRPr="00AC37DD">
        <w:rPr>
          <w:rFonts w:ascii="Calibri" w:hAnsi="Calibri" w:cs="Times New Roman"/>
          <w:i/>
          <w:iCs/>
          <w:noProof/>
          <w:sz w:val="20"/>
          <w:szCs w:val="24"/>
        </w:rPr>
        <w:t>Journal of Adolescent and Young Adult Oncology</w:t>
      </w:r>
      <w:r w:rsidRPr="00AC37DD">
        <w:rPr>
          <w:rFonts w:ascii="Calibri" w:hAnsi="Calibri" w:cs="Times New Roman"/>
          <w:noProof/>
          <w:sz w:val="20"/>
          <w:szCs w:val="24"/>
        </w:rPr>
        <w:t xml:space="preserve">, </w:t>
      </w:r>
      <w:r w:rsidRPr="00AC37DD">
        <w:rPr>
          <w:rFonts w:ascii="Calibri" w:hAnsi="Calibri" w:cs="Times New Roman"/>
          <w:i/>
          <w:iCs/>
          <w:noProof/>
          <w:sz w:val="20"/>
          <w:szCs w:val="24"/>
        </w:rPr>
        <w:t>7</w:t>
      </w:r>
      <w:r w:rsidRPr="00AC37DD">
        <w:rPr>
          <w:rFonts w:ascii="Calibri" w:hAnsi="Calibri" w:cs="Times New Roman"/>
          <w:noProof/>
          <w:sz w:val="20"/>
          <w:szCs w:val="24"/>
        </w:rPr>
        <w:t>(4), 453–464.</w:t>
      </w:r>
    </w:p>
    <w:p w14:paraId="5A85A13B"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Stone, D. S., Ganz, P. A., Pavlish, C., &amp; Robbins, W. A. (2017). Young adult cancer survivors and work: a systematic review. </w:t>
      </w:r>
      <w:r w:rsidRPr="00AC37DD">
        <w:rPr>
          <w:rFonts w:ascii="Calibri" w:hAnsi="Calibri" w:cs="Times New Roman"/>
          <w:i/>
          <w:iCs/>
          <w:noProof/>
          <w:sz w:val="20"/>
          <w:szCs w:val="24"/>
        </w:rPr>
        <w:t>Journal of Cancer Survivorship</w:t>
      </w:r>
      <w:r w:rsidRPr="00AC37DD">
        <w:rPr>
          <w:rFonts w:ascii="Calibri" w:hAnsi="Calibri" w:cs="Times New Roman"/>
          <w:noProof/>
          <w:sz w:val="20"/>
          <w:szCs w:val="24"/>
        </w:rPr>
        <w:t xml:space="preserve">, </w:t>
      </w:r>
      <w:r w:rsidRPr="00AC37DD">
        <w:rPr>
          <w:rFonts w:ascii="Calibri" w:hAnsi="Calibri" w:cs="Times New Roman"/>
          <w:i/>
          <w:iCs/>
          <w:noProof/>
          <w:sz w:val="20"/>
          <w:szCs w:val="24"/>
        </w:rPr>
        <w:t>11</w:t>
      </w:r>
      <w:r w:rsidRPr="00AC37DD">
        <w:rPr>
          <w:rFonts w:ascii="Calibri" w:hAnsi="Calibri" w:cs="Times New Roman"/>
          <w:noProof/>
          <w:sz w:val="20"/>
          <w:szCs w:val="24"/>
        </w:rPr>
        <w:t>(6), 765–781. doi.org/10.1007/s11764-017-0614-3</w:t>
      </w:r>
    </w:p>
    <w:p w14:paraId="53872A27"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Viola, A., Panigrahi, G., &amp; Devine, K. A. (2020). Digital interventions for adolescent and young adult cancer survivors. </w:t>
      </w:r>
      <w:r w:rsidRPr="00AC37DD">
        <w:rPr>
          <w:rFonts w:ascii="Calibri" w:hAnsi="Calibri" w:cs="Times New Roman"/>
          <w:i/>
          <w:iCs/>
          <w:noProof/>
          <w:sz w:val="20"/>
          <w:szCs w:val="24"/>
        </w:rPr>
        <w:t>Current Opinion in Supportive and Palliative Care</w:t>
      </w:r>
      <w:r w:rsidRPr="00AC37DD">
        <w:rPr>
          <w:rFonts w:ascii="Calibri" w:hAnsi="Calibri" w:cs="Times New Roman"/>
          <w:noProof/>
          <w:sz w:val="20"/>
          <w:szCs w:val="24"/>
        </w:rPr>
        <w:t xml:space="preserve">, </w:t>
      </w:r>
      <w:r w:rsidRPr="00AC37DD">
        <w:rPr>
          <w:rFonts w:ascii="Calibri" w:hAnsi="Calibri" w:cs="Times New Roman"/>
          <w:i/>
          <w:iCs/>
          <w:noProof/>
          <w:sz w:val="20"/>
          <w:szCs w:val="24"/>
        </w:rPr>
        <w:t>14</w:t>
      </w:r>
      <w:r w:rsidRPr="00AC37DD">
        <w:rPr>
          <w:rFonts w:ascii="Calibri" w:hAnsi="Calibri" w:cs="Times New Roman"/>
          <w:noProof/>
          <w:sz w:val="20"/>
          <w:szCs w:val="24"/>
        </w:rPr>
        <w:t>(1), 51–59. doi.org/10.1097/SPC.0000000000000480</w:t>
      </w:r>
    </w:p>
    <w:p w14:paraId="0368EC38"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Wang, Y., Anazodo, A., &amp; Logan, S. (2019). Systematic review of fertility preservation patient decision aids for cancer patients. </w:t>
      </w:r>
      <w:r w:rsidRPr="00AC37DD">
        <w:rPr>
          <w:rFonts w:ascii="Calibri" w:hAnsi="Calibri" w:cs="Times New Roman"/>
          <w:i/>
          <w:iCs/>
          <w:noProof/>
          <w:sz w:val="20"/>
          <w:szCs w:val="24"/>
        </w:rPr>
        <w:t>Psycho-Oncology</w:t>
      </w:r>
      <w:r w:rsidRPr="00AC37DD">
        <w:rPr>
          <w:rFonts w:ascii="Calibri" w:hAnsi="Calibri" w:cs="Times New Roman"/>
          <w:noProof/>
          <w:sz w:val="20"/>
          <w:szCs w:val="24"/>
        </w:rPr>
        <w:t xml:space="preserve">, </w:t>
      </w:r>
      <w:r w:rsidRPr="00AC37DD">
        <w:rPr>
          <w:rFonts w:ascii="Calibri" w:hAnsi="Calibri" w:cs="Times New Roman"/>
          <w:i/>
          <w:iCs/>
          <w:noProof/>
          <w:sz w:val="20"/>
          <w:szCs w:val="24"/>
        </w:rPr>
        <w:t>28</w:t>
      </w:r>
      <w:r w:rsidRPr="00AC37DD">
        <w:rPr>
          <w:rFonts w:ascii="Calibri" w:hAnsi="Calibri" w:cs="Times New Roman"/>
          <w:noProof/>
          <w:sz w:val="20"/>
          <w:szCs w:val="24"/>
        </w:rPr>
        <w:t>(3), 459–467. doi.org/10.1002/pon.4961</w:t>
      </w:r>
    </w:p>
    <w:p w14:paraId="6B3ACFD9" w14:textId="77777777" w:rsidR="00853CE1" w:rsidRPr="00AC37DD" w:rsidRDefault="00853CE1" w:rsidP="00853CE1">
      <w:pPr>
        <w:widowControl w:val="0"/>
        <w:autoSpaceDE w:val="0"/>
        <w:autoSpaceDN w:val="0"/>
        <w:adjustRightInd w:val="0"/>
        <w:spacing w:line="480" w:lineRule="auto"/>
        <w:ind w:left="480" w:hanging="480"/>
        <w:rPr>
          <w:rFonts w:ascii="Calibri" w:hAnsi="Calibri" w:cs="Times New Roman"/>
          <w:noProof/>
          <w:sz w:val="20"/>
          <w:szCs w:val="24"/>
        </w:rPr>
      </w:pPr>
      <w:r w:rsidRPr="00AC37DD">
        <w:rPr>
          <w:rFonts w:ascii="Calibri" w:hAnsi="Calibri" w:cs="Times New Roman"/>
          <w:noProof/>
          <w:sz w:val="20"/>
          <w:szCs w:val="24"/>
        </w:rPr>
        <w:t xml:space="preserve">Zebrack, B. J. (2011). Psychological, Social, and Behavioral Issues for Young Adults With Cancer*. </w:t>
      </w:r>
      <w:r w:rsidRPr="00AC37DD">
        <w:rPr>
          <w:rFonts w:ascii="Calibri" w:hAnsi="Calibri" w:cs="Times New Roman"/>
          <w:i/>
          <w:iCs/>
          <w:noProof/>
          <w:sz w:val="20"/>
          <w:szCs w:val="24"/>
        </w:rPr>
        <w:t>Cancer</w:t>
      </w:r>
      <w:r w:rsidRPr="00AC37DD">
        <w:rPr>
          <w:rFonts w:ascii="Calibri" w:hAnsi="Calibri" w:cs="Times New Roman"/>
          <w:noProof/>
          <w:sz w:val="20"/>
          <w:szCs w:val="24"/>
        </w:rPr>
        <w:t xml:space="preserve">, </w:t>
      </w:r>
      <w:r w:rsidRPr="00AC37DD">
        <w:rPr>
          <w:rFonts w:ascii="Calibri" w:hAnsi="Calibri" w:cs="Times New Roman"/>
          <w:i/>
          <w:iCs/>
          <w:noProof/>
          <w:sz w:val="20"/>
          <w:szCs w:val="24"/>
        </w:rPr>
        <w:t>117</w:t>
      </w:r>
      <w:r w:rsidRPr="00AC37DD">
        <w:rPr>
          <w:rFonts w:ascii="Calibri" w:hAnsi="Calibri" w:cs="Times New Roman"/>
          <w:noProof/>
          <w:sz w:val="20"/>
          <w:szCs w:val="24"/>
        </w:rPr>
        <w:t>(S10), 2289–2294. doi.org/10.1002/cncr.26056</w:t>
      </w:r>
    </w:p>
    <w:p w14:paraId="4A4497D1" w14:textId="77777777" w:rsidR="00853CE1" w:rsidRPr="00AC37DD" w:rsidRDefault="00853CE1" w:rsidP="00853CE1">
      <w:pPr>
        <w:widowControl w:val="0"/>
        <w:autoSpaceDE w:val="0"/>
        <w:autoSpaceDN w:val="0"/>
        <w:adjustRightInd w:val="0"/>
        <w:spacing w:line="480" w:lineRule="auto"/>
        <w:ind w:left="480" w:hanging="480"/>
        <w:rPr>
          <w:rFonts w:ascii="Calibri" w:hAnsi="Calibri"/>
          <w:noProof/>
          <w:sz w:val="20"/>
        </w:rPr>
      </w:pPr>
      <w:r w:rsidRPr="00AC37DD">
        <w:rPr>
          <w:rFonts w:ascii="Calibri" w:hAnsi="Calibri" w:cs="Times New Roman"/>
          <w:noProof/>
          <w:sz w:val="20"/>
          <w:szCs w:val="24"/>
        </w:rPr>
        <w:t xml:space="preserve">Zebrack, B., Kent, E. E., Keegan, T. H. M., Kato, I., &amp; Smith, A. W. (2014). “Cancer sucks,” and other ponderings by adolescent and young adult cancer survivors. </w:t>
      </w:r>
      <w:r w:rsidRPr="00AC37DD">
        <w:rPr>
          <w:rFonts w:ascii="Calibri" w:hAnsi="Calibri" w:cs="Times New Roman"/>
          <w:i/>
          <w:iCs/>
          <w:noProof/>
          <w:sz w:val="20"/>
          <w:szCs w:val="24"/>
        </w:rPr>
        <w:t>Journal of Psychosocial Oncology</w:t>
      </w:r>
      <w:r w:rsidRPr="00AC37DD">
        <w:rPr>
          <w:rFonts w:ascii="Calibri" w:hAnsi="Calibri" w:cs="Times New Roman"/>
          <w:noProof/>
          <w:sz w:val="20"/>
          <w:szCs w:val="24"/>
        </w:rPr>
        <w:t xml:space="preserve">, </w:t>
      </w:r>
      <w:r w:rsidRPr="00AC37DD">
        <w:rPr>
          <w:rFonts w:ascii="Calibri" w:hAnsi="Calibri" w:cs="Times New Roman"/>
          <w:i/>
          <w:iCs/>
          <w:noProof/>
          <w:sz w:val="20"/>
          <w:szCs w:val="24"/>
        </w:rPr>
        <w:t>32</w:t>
      </w:r>
      <w:r w:rsidRPr="00AC37DD">
        <w:rPr>
          <w:rFonts w:ascii="Calibri" w:hAnsi="Calibri" w:cs="Times New Roman"/>
          <w:noProof/>
          <w:sz w:val="20"/>
          <w:szCs w:val="24"/>
        </w:rPr>
        <w:t>(1), 1–15. doi.org/10.1080/07347332.2013.855959</w:t>
      </w:r>
    </w:p>
    <w:p w14:paraId="10BD1390" w14:textId="664EB578" w:rsidR="00087202" w:rsidRPr="00AC37DD" w:rsidRDefault="00104276" w:rsidP="003E697E">
      <w:pPr>
        <w:widowControl w:val="0"/>
        <w:autoSpaceDE w:val="0"/>
        <w:autoSpaceDN w:val="0"/>
        <w:adjustRightInd w:val="0"/>
        <w:spacing w:line="480" w:lineRule="auto"/>
        <w:ind w:left="480" w:hanging="480"/>
        <w:rPr>
          <w:b/>
          <w:sz w:val="20"/>
          <w:szCs w:val="20"/>
        </w:rPr>
      </w:pPr>
      <w:r w:rsidRPr="00AC37DD">
        <w:rPr>
          <w:b/>
          <w:sz w:val="20"/>
          <w:szCs w:val="20"/>
        </w:rPr>
        <w:fldChar w:fldCharType="end"/>
      </w:r>
      <w:r w:rsidR="00087202" w:rsidRPr="00AC37DD">
        <w:rPr>
          <w:b/>
          <w:sz w:val="20"/>
          <w:szCs w:val="20"/>
        </w:rPr>
        <w:t>TABLES AND FIGURES</w:t>
      </w:r>
    </w:p>
    <w:p w14:paraId="03424B74" w14:textId="107FF6B5" w:rsidR="00A70E98" w:rsidRPr="00AC37DD" w:rsidRDefault="00A70E98" w:rsidP="003B7457">
      <w:pPr>
        <w:widowControl w:val="0"/>
        <w:autoSpaceDE w:val="0"/>
        <w:autoSpaceDN w:val="0"/>
        <w:adjustRightInd w:val="0"/>
        <w:spacing w:line="240" w:lineRule="auto"/>
        <w:rPr>
          <w:b/>
          <w:sz w:val="20"/>
          <w:szCs w:val="20"/>
        </w:rPr>
      </w:pPr>
      <w:r w:rsidRPr="00AC37DD">
        <w:rPr>
          <w:b/>
          <w:sz w:val="20"/>
          <w:szCs w:val="20"/>
        </w:rPr>
        <w:t>Table 1: Semi-structure interview schedule</w:t>
      </w:r>
    </w:p>
    <w:tbl>
      <w:tblPr>
        <w:tblStyle w:val="LightShading-Accent1"/>
        <w:tblW w:w="889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8897"/>
      </w:tblGrid>
      <w:tr w:rsidR="00AC37DD" w:rsidRPr="00AC37DD" w14:paraId="3F3D58B7" w14:textId="77777777" w:rsidTr="00BC2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shd w:val="clear" w:color="auto" w:fill="C6D9F1" w:themeFill="text2" w:themeFillTint="33"/>
          </w:tcPr>
          <w:p w14:paraId="2882DBF7" w14:textId="77777777" w:rsidR="00A93814" w:rsidRPr="00AC37DD" w:rsidRDefault="00A93814" w:rsidP="00BC26C3">
            <w:pPr>
              <w:widowControl w:val="0"/>
              <w:autoSpaceDE w:val="0"/>
              <w:autoSpaceDN w:val="0"/>
              <w:adjustRightInd w:val="0"/>
              <w:rPr>
                <w:color w:val="auto"/>
                <w:sz w:val="20"/>
                <w:szCs w:val="20"/>
              </w:rPr>
            </w:pPr>
            <w:r w:rsidRPr="00AC37DD">
              <w:rPr>
                <w:color w:val="auto"/>
                <w:sz w:val="20"/>
                <w:szCs w:val="20"/>
              </w:rPr>
              <w:t>Questions</w:t>
            </w:r>
          </w:p>
        </w:tc>
      </w:tr>
      <w:tr w:rsidR="00AC37DD" w:rsidRPr="00AC37DD" w14:paraId="02D25DFC" w14:textId="77777777" w:rsidTr="00BC26C3">
        <w:trPr>
          <w:cnfStyle w:val="000000100000" w:firstRow="0" w:lastRow="0" w:firstColumn="0" w:lastColumn="0" w:oddVBand="0" w:evenVBand="0" w:oddHBand="1" w:evenHBand="0" w:firstRowFirstColumn="0" w:firstRowLastColumn="0" w:lastRowFirstColumn="0" w:lastRowLastColumn="0"/>
          <w:trHeight w:val="2292"/>
        </w:trPr>
        <w:tc>
          <w:tcPr>
            <w:cnfStyle w:val="001000000000" w:firstRow="0" w:lastRow="0" w:firstColumn="1" w:lastColumn="0" w:oddVBand="0" w:evenVBand="0" w:oddHBand="0" w:evenHBand="0" w:firstRowFirstColumn="0" w:firstRowLastColumn="0" w:lastRowFirstColumn="0" w:lastRowLastColumn="0"/>
            <w:tcW w:w="8897" w:type="dxa"/>
            <w:shd w:val="clear" w:color="auto" w:fill="auto"/>
          </w:tcPr>
          <w:p w14:paraId="2F8130FC" w14:textId="056D9C59" w:rsidR="00A93814" w:rsidRPr="00AC37DD" w:rsidRDefault="00A93814" w:rsidP="00BC26C3">
            <w:pPr>
              <w:widowControl w:val="0"/>
              <w:autoSpaceDE w:val="0"/>
              <w:autoSpaceDN w:val="0"/>
              <w:adjustRightInd w:val="0"/>
              <w:spacing w:before="120"/>
              <w:ind w:left="284" w:hanging="284"/>
              <w:rPr>
                <w:b w:val="0"/>
                <w:color w:val="auto"/>
                <w:sz w:val="20"/>
                <w:szCs w:val="20"/>
              </w:rPr>
            </w:pPr>
            <w:r w:rsidRPr="00AC37DD">
              <w:rPr>
                <w:b w:val="0"/>
                <w:color w:val="auto"/>
                <w:sz w:val="20"/>
                <w:szCs w:val="20"/>
              </w:rPr>
              <w:t>1. Could you tell me about your experiences in the time since your cancer diagnosis?</w:t>
            </w:r>
          </w:p>
          <w:p w14:paraId="0A40F87C" w14:textId="77777777" w:rsidR="00A93814" w:rsidRPr="00AC37DD" w:rsidRDefault="00A93814" w:rsidP="00BC26C3">
            <w:pPr>
              <w:widowControl w:val="0"/>
              <w:autoSpaceDE w:val="0"/>
              <w:autoSpaceDN w:val="0"/>
              <w:adjustRightInd w:val="0"/>
              <w:ind w:left="284" w:hanging="284"/>
              <w:rPr>
                <w:b w:val="0"/>
                <w:color w:val="auto"/>
                <w:sz w:val="20"/>
                <w:szCs w:val="20"/>
              </w:rPr>
            </w:pPr>
            <w:r w:rsidRPr="00AC37DD">
              <w:rPr>
                <w:b w:val="0"/>
                <w:color w:val="auto"/>
                <w:sz w:val="20"/>
                <w:szCs w:val="20"/>
              </w:rPr>
              <w:t>2. Have you faced any challenges or problems?</w:t>
            </w:r>
          </w:p>
          <w:p w14:paraId="798964B7" w14:textId="77777777" w:rsidR="00A93814" w:rsidRPr="00AC37DD" w:rsidRDefault="00A93814" w:rsidP="00BC26C3">
            <w:pPr>
              <w:widowControl w:val="0"/>
              <w:autoSpaceDE w:val="0"/>
              <w:autoSpaceDN w:val="0"/>
              <w:adjustRightInd w:val="0"/>
              <w:ind w:left="284" w:hanging="284"/>
              <w:rPr>
                <w:b w:val="0"/>
                <w:color w:val="auto"/>
                <w:sz w:val="20"/>
                <w:szCs w:val="20"/>
              </w:rPr>
            </w:pPr>
            <w:r w:rsidRPr="00AC37DD">
              <w:rPr>
                <w:b w:val="0"/>
                <w:color w:val="auto"/>
                <w:sz w:val="20"/>
                <w:szCs w:val="20"/>
              </w:rPr>
              <w:t xml:space="preserve">3. Have you had any particular needs or issues in the following areas as a YA cancer patient? </w:t>
            </w:r>
          </w:p>
          <w:p w14:paraId="26E9BF1C" w14:textId="77777777" w:rsidR="00A93814" w:rsidRPr="00AC37DD" w:rsidRDefault="00A93814" w:rsidP="00BC26C3">
            <w:pPr>
              <w:pStyle w:val="ListParagraph"/>
              <w:widowControl w:val="0"/>
              <w:numPr>
                <w:ilvl w:val="0"/>
                <w:numId w:val="1"/>
              </w:numPr>
              <w:autoSpaceDE w:val="0"/>
              <w:autoSpaceDN w:val="0"/>
              <w:adjustRightInd w:val="0"/>
              <w:rPr>
                <w:b w:val="0"/>
                <w:color w:val="auto"/>
                <w:sz w:val="20"/>
                <w:szCs w:val="20"/>
              </w:rPr>
            </w:pPr>
            <w:r w:rsidRPr="00AC37DD">
              <w:rPr>
                <w:b w:val="0"/>
                <w:color w:val="auto"/>
                <w:sz w:val="20"/>
                <w:szCs w:val="20"/>
              </w:rPr>
              <w:t>Psychological or emotional</w:t>
            </w:r>
          </w:p>
          <w:p w14:paraId="70556DF6" w14:textId="77777777" w:rsidR="00A93814" w:rsidRPr="00AC37DD" w:rsidRDefault="00A93814" w:rsidP="00BC26C3">
            <w:pPr>
              <w:pStyle w:val="ListParagraph"/>
              <w:widowControl w:val="0"/>
              <w:numPr>
                <w:ilvl w:val="0"/>
                <w:numId w:val="1"/>
              </w:numPr>
              <w:autoSpaceDE w:val="0"/>
              <w:autoSpaceDN w:val="0"/>
              <w:adjustRightInd w:val="0"/>
              <w:rPr>
                <w:b w:val="0"/>
                <w:color w:val="auto"/>
                <w:sz w:val="20"/>
                <w:szCs w:val="20"/>
              </w:rPr>
            </w:pPr>
            <w:r w:rsidRPr="00AC37DD">
              <w:rPr>
                <w:b w:val="0"/>
                <w:color w:val="auto"/>
                <w:sz w:val="20"/>
                <w:szCs w:val="20"/>
              </w:rPr>
              <w:t>Risk behaviour</w:t>
            </w:r>
          </w:p>
          <w:p w14:paraId="18685993" w14:textId="77777777" w:rsidR="00A93814" w:rsidRPr="00AC37DD" w:rsidRDefault="00A93814" w:rsidP="00BC26C3">
            <w:pPr>
              <w:pStyle w:val="ListParagraph"/>
              <w:widowControl w:val="0"/>
              <w:numPr>
                <w:ilvl w:val="0"/>
                <w:numId w:val="1"/>
              </w:numPr>
              <w:autoSpaceDE w:val="0"/>
              <w:autoSpaceDN w:val="0"/>
              <w:adjustRightInd w:val="0"/>
              <w:rPr>
                <w:b w:val="0"/>
                <w:color w:val="auto"/>
                <w:sz w:val="20"/>
                <w:szCs w:val="20"/>
              </w:rPr>
            </w:pPr>
            <w:r w:rsidRPr="00AC37DD">
              <w:rPr>
                <w:b w:val="0"/>
                <w:color w:val="auto"/>
                <w:sz w:val="20"/>
                <w:szCs w:val="20"/>
              </w:rPr>
              <w:t>Practical</w:t>
            </w:r>
          </w:p>
          <w:p w14:paraId="764122C2" w14:textId="77777777" w:rsidR="00A93814" w:rsidRPr="00AC37DD" w:rsidRDefault="00A93814" w:rsidP="00BC26C3">
            <w:pPr>
              <w:pStyle w:val="ListParagraph"/>
              <w:widowControl w:val="0"/>
              <w:numPr>
                <w:ilvl w:val="0"/>
                <w:numId w:val="1"/>
              </w:numPr>
              <w:autoSpaceDE w:val="0"/>
              <w:autoSpaceDN w:val="0"/>
              <w:adjustRightInd w:val="0"/>
              <w:rPr>
                <w:color w:val="auto"/>
                <w:sz w:val="20"/>
                <w:szCs w:val="20"/>
              </w:rPr>
            </w:pPr>
            <w:r w:rsidRPr="00AC37DD">
              <w:rPr>
                <w:b w:val="0"/>
                <w:color w:val="auto"/>
                <w:sz w:val="20"/>
                <w:szCs w:val="20"/>
              </w:rPr>
              <w:t>Social</w:t>
            </w:r>
          </w:p>
          <w:p w14:paraId="3BDF5BD2" w14:textId="77777777" w:rsidR="00A93814" w:rsidRPr="00AC37DD" w:rsidRDefault="00A93814" w:rsidP="00BC26C3">
            <w:pPr>
              <w:pStyle w:val="ListParagraph"/>
              <w:widowControl w:val="0"/>
              <w:numPr>
                <w:ilvl w:val="0"/>
                <w:numId w:val="1"/>
              </w:numPr>
              <w:autoSpaceDE w:val="0"/>
              <w:autoSpaceDN w:val="0"/>
              <w:adjustRightInd w:val="0"/>
              <w:rPr>
                <w:color w:val="auto"/>
                <w:sz w:val="20"/>
                <w:szCs w:val="20"/>
              </w:rPr>
            </w:pPr>
            <w:r w:rsidRPr="00AC37DD">
              <w:rPr>
                <w:b w:val="0"/>
                <w:color w:val="auto"/>
                <w:sz w:val="20"/>
                <w:szCs w:val="20"/>
              </w:rPr>
              <w:t>Spiritual</w:t>
            </w:r>
          </w:p>
        </w:tc>
      </w:tr>
    </w:tbl>
    <w:p w14:paraId="48E56DAD" w14:textId="77777777" w:rsidR="00A70E98" w:rsidRPr="00AC37DD" w:rsidRDefault="00A70E98" w:rsidP="003B7457">
      <w:pPr>
        <w:widowControl w:val="0"/>
        <w:autoSpaceDE w:val="0"/>
        <w:autoSpaceDN w:val="0"/>
        <w:adjustRightInd w:val="0"/>
        <w:spacing w:line="240" w:lineRule="auto"/>
        <w:rPr>
          <w:b/>
          <w:sz w:val="20"/>
          <w:szCs w:val="20"/>
        </w:rPr>
      </w:pPr>
    </w:p>
    <w:p w14:paraId="6579F414" w14:textId="77777777" w:rsidR="00A70E98" w:rsidRPr="00AC37DD" w:rsidRDefault="00A70E98">
      <w:pPr>
        <w:rPr>
          <w:b/>
          <w:sz w:val="20"/>
          <w:szCs w:val="20"/>
        </w:rPr>
      </w:pPr>
      <w:r w:rsidRPr="00AC37DD">
        <w:rPr>
          <w:b/>
          <w:sz w:val="20"/>
          <w:szCs w:val="20"/>
        </w:rPr>
        <w:br w:type="page"/>
      </w:r>
    </w:p>
    <w:p w14:paraId="3E0784E9" w14:textId="50893E7F" w:rsidR="009B5398" w:rsidRPr="00AC37DD" w:rsidRDefault="00BB5A4D" w:rsidP="003B7457">
      <w:pPr>
        <w:widowControl w:val="0"/>
        <w:autoSpaceDE w:val="0"/>
        <w:autoSpaceDN w:val="0"/>
        <w:adjustRightInd w:val="0"/>
        <w:spacing w:line="240" w:lineRule="auto"/>
        <w:rPr>
          <w:b/>
          <w:sz w:val="20"/>
          <w:szCs w:val="20"/>
        </w:rPr>
      </w:pPr>
      <w:r w:rsidRPr="00AC37DD">
        <w:rPr>
          <w:b/>
          <w:sz w:val="20"/>
          <w:szCs w:val="20"/>
        </w:rPr>
        <w:lastRenderedPageBreak/>
        <w:t>Table 2</w:t>
      </w:r>
      <w:r w:rsidR="009B5398" w:rsidRPr="00AC37DD">
        <w:rPr>
          <w:b/>
          <w:sz w:val="20"/>
          <w:szCs w:val="20"/>
        </w:rPr>
        <w:t xml:space="preserve">: </w:t>
      </w:r>
      <w:r w:rsidR="003633F4" w:rsidRPr="00AC37DD">
        <w:rPr>
          <w:b/>
          <w:sz w:val="20"/>
          <w:szCs w:val="20"/>
        </w:rPr>
        <w:t>Patient</w:t>
      </w:r>
      <w:r w:rsidR="00F52F3F" w:rsidRPr="00AC37DD">
        <w:rPr>
          <w:b/>
          <w:sz w:val="20"/>
          <w:szCs w:val="20"/>
        </w:rPr>
        <w:t>-report</w:t>
      </w:r>
      <w:r w:rsidR="003633F4" w:rsidRPr="00AC37DD">
        <w:rPr>
          <w:b/>
          <w:sz w:val="20"/>
          <w:szCs w:val="20"/>
        </w:rPr>
        <w:t>ed</w:t>
      </w:r>
      <w:r w:rsidR="00F52F3F" w:rsidRPr="00AC37DD">
        <w:rPr>
          <w:b/>
          <w:sz w:val="20"/>
          <w:szCs w:val="20"/>
        </w:rPr>
        <w:t xml:space="preserve"> d</w:t>
      </w:r>
      <w:r w:rsidR="009B5398" w:rsidRPr="00AC37DD">
        <w:rPr>
          <w:b/>
          <w:sz w:val="20"/>
          <w:szCs w:val="20"/>
        </w:rPr>
        <w:t>emographic information</w:t>
      </w:r>
    </w:p>
    <w:tbl>
      <w:tblPr>
        <w:tblStyle w:val="LightShading-Accent1"/>
        <w:tblW w:w="5668"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ayout w:type="fixed"/>
        <w:tblLook w:val="04A0" w:firstRow="1" w:lastRow="0" w:firstColumn="1" w:lastColumn="0" w:noHBand="0" w:noVBand="1"/>
      </w:tblPr>
      <w:tblGrid>
        <w:gridCol w:w="3957"/>
        <w:gridCol w:w="1711"/>
      </w:tblGrid>
      <w:tr w:rsidR="00AC37DD" w:rsidRPr="00AC37DD" w14:paraId="757B6D2C" w14:textId="77777777" w:rsidTr="00AE7E9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36B56DC0" w14:textId="2BA18AF5" w:rsidR="00995F56" w:rsidRPr="00AC37DD" w:rsidRDefault="00995F56" w:rsidP="003B7457">
            <w:pPr>
              <w:widowControl w:val="0"/>
              <w:autoSpaceDE w:val="0"/>
              <w:autoSpaceDN w:val="0"/>
              <w:adjustRightInd w:val="0"/>
              <w:rPr>
                <w:color w:val="auto"/>
                <w:sz w:val="20"/>
                <w:szCs w:val="20"/>
              </w:rPr>
            </w:pPr>
          </w:p>
        </w:tc>
        <w:tc>
          <w:tcPr>
            <w:tcW w:w="1711" w:type="dxa"/>
            <w:tcBorders>
              <w:top w:val="single" w:sz="4" w:space="0" w:color="1F497D" w:themeColor="text2"/>
              <w:bottom w:val="single" w:sz="4" w:space="0" w:color="1F497D" w:themeColor="text2"/>
              <w:right w:val="single" w:sz="4" w:space="0" w:color="1F497D" w:themeColor="text2"/>
            </w:tcBorders>
            <w:shd w:val="clear" w:color="auto" w:fill="C6D9F1" w:themeFill="text2" w:themeFillTint="33"/>
          </w:tcPr>
          <w:p w14:paraId="69402900" w14:textId="27951027" w:rsidR="00995F56" w:rsidRPr="00AC37DD" w:rsidRDefault="00995F56" w:rsidP="003B745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auto"/>
                <w:sz w:val="20"/>
                <w:szCs w:val="20"/>
              </w:rPr>
            </w:pPr>
            <w:r w:rsidRPr="00AC37DD">
              <w:rPr>
                <w:color w:val="auto"/>
                <w:sz w:val="20"/>
                <w:szCs w:val="20"/>
              </w:rPr>
              <w:t>Mean (Range)</w:t>
            </w:r>
          </w:p>
        </w:tc>
      </w:tr>
      <w:tr w:rsidR="00AC37DD" w:rsidRPr="00AC37DD" w14:paraId="31EDD4C6"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4B6EEADD" w14:textId="310505EC" w:rsidR="00995F56" w:rsidRPr="00AC37DD" w:rsidRDefault="00995F56" w:rsidP="003B7457">
            <w:pPr>
              <w:widowControl w:val="0"/>
              <w:autoSpaceDE w:val="0"/>
              <w:autoSpaceDN w:val="0"/>
              <w:adjustRightInd w:val="0"/>
              <w:rPr>
                <w:color w:val="auto"/>
                <w:sz w:val="20"/>
                <w:szCs w:val="20"/>
              </w:rPr>
            </w:pPr>
            <w:r w:rsidRPr="00AC37DD">
              <w:rPr>
                <w:color w:val="auto"/>
                <w:sz w:val="20"/>
                <w:szCs w:val="20"/>
              </w:rPr>
              <w:t>Age at participation</w:t>
            </w:r>
          </w:p>
        </w:tc>
        <w:tc>
          <w:tcPr>
            <w:tcW w:w="1711" w:type="dxa"/>
            <w:tcBorders>
              <w:right w:val="single" w:sz="4" w:space="0" w:color="1F497D" w:themeColor="text2"/>
            </w:tcBorders>
            <w:shd w:val="clear" w:color="auto" w:fill="auto"/>
          </w:tcPr>
          <w:p w14:paraId="7934ED4F" w14:textId="5A9AA085" w:rsidR="00995F56" w:rsidRPr="00AC37DD" w:rsidRDefault="00995F56" w:rsidP="003B74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color w:val="auto"/>
                <w:sz w:val="20"/>
                <w:szCs w:val="20"/>
              </w:rPr>
              <w:t>33.6 (25-42) years</w:t>
            </w:r>
          </w:p>
        </w:tc>
      </w:tr>
      <w:tr w:rsidR="00AC37DD" w:rsidRPr="00AC37DD" w14:paraId="391FE5D3"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58192743" w14:textId="6B0EA374" w:rsidR="00995F56" w:rsidRPr="00AC37DD" w:rsidRDefault="00995F56" w:rsidP="003B7457">
            <w:pPr>
              <w:widowControl w:val="0"/>
              <w:autoSpaceDE w:val="0"/>
              <w:autoSpaceDN w:val="0"/>
              <w:adjustRightInd w:val="0"/>
              <w:rPr>
                <w:color w:val="auto"/>
                <w:sz w:val="20"/>
                <w:szCs w:val="20"/>
              </w:rPr>
            </w:pPr>
          </w:p>
        </w:tc>
        <w:tc>
          <w:tcPr>
            <w:tcW w:w="1711" w:type="dxa"/>
            <w:tcBorders>
              <w:top w:val="single" w:sz="4" w:space="0" w:color="1F497D" w:themeColor="text2"/>
              <w:bottom w:val="single" w:sz="4" w:space="0" w:color="1F497D" w:themeColor="text2"/>
            </w:tcBorders>
            <w:shd w:val="clear" w:color="auto" w:fill="C6D9F1" w:themeFill="text2" w:themeFillTint="33"/>
          </w:tcPr>
          <w:p w14:paraId="58041625" w14:textId="726AB8FD" w:rsidR="00995F56" w:rsidRPr="00AC37DD" w:rsidRDefault="00995F56" w:rsidP="00995F5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auto"/>
                <w:sz w:val="20"/>
                <w:szCs w:val="20"/>
              </w:rPr>
            </w:pPr>
            <w:r w:rsidRPr="00AC37DD">
              <w:rPr>
                <w:b/>
                <w:color w:val="auto"/>
                <w:sz w:val="20"/>
                <w:szCs w:val="20"/>
              </w:rPr>
              <w:t xml:space="preserve">Number (%) </w:t>
            </w:r>
            <w:r w:rsidRPr="00AC37DD">
              <w:rPr>
                <w:color w:val="auto"/>
                <w:sz w:val="20"/>
                <w:szCs w:val="20"/>
              </w:rPr>
              <w:t>(Total=65)</w:t>
            </w:r>
          </w:p>
        </w:tc>
      </w:tr>
      <w:tr w:rsidR="00AC37DD" w:rsidRPr="00AC37DD" w14:paraId="52EA4288"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top w:val="single" w:sz="4" w:space="0" w:color="1F497D" w:themeColor="text2"/>
              <w:left w:val="single" w:sz="4" w:space="0" w:color="1F497D" w:themeColor="text2"/>
            </w:tcBorders>
            <w:shd w:val="clear" w:color="auto" w:fill="auto"/>
          </w:tcPr>
          <w:p w14:paraId="0C086B80" w14:textId="581EB50A" w:rsidR="00995F56" w:rsidRPr="00AC37DD" w:rsidRDefault="00995F56" w:rsidP="003B7457">
            <w:pPr>
              <w:widowControl w:val="0"/>
              <w:autoSpaceDE w:val="0"/>
              <w:autoSpaceDN w:val="0"/>
              <w:adjustRightInd w:val="0"/>
              <w:rPr>
                <w:b w:val="0"/>
                <w:color w:val="auto"/>
                <w:sz w:val="20"/>
                <w:szCs w:val="20"/>
              </w:rPr>
            </w:pPr>
            <w:r w:rsidRPr="00AC37DD">
              <w:rPr>
                <w:color w:val="auto"/>
                <w:sz w:val="20"/>
                <w:szCs w:val="20"/>
              </w:rPr>
              <w:t>Gender</w:t>
            </w:r>
          </w:p>
        </w:tc>
        <w:tc>
          <w:tcPr>
            <w:tcW w:w="1711" w:type="dxa"/>
            <w:tcBorders>
              <w:top w:val="single" w:sz="4" w:space="0" w:color="1F497D" w:themeColor="text2"/>
              <w:right w:val="single" w:sz="4" w:space="0" w:color="1F497D" w:themeColor="text2"/>
            </w:tcBorders>
            <w:shd w:val="clear" w:color="auto" w:fill="auto"/>
          </w:tcPr>
          <w:p w14:paraId="3A10D07D" w14:textId="77777777" w:rsidR="00995F56" w:rsidRPr="00AC37DD" w:rsidRDefault="00995F56" w:rsidP="003B74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sz w:val="20"/>
                <w:szCs w:val="20"/>
              </w:rPr>
            </w:pPr>
          </w:p>
        </w:tc>
      </w:tr>
      <w:tr w:rsidR="00AC37DD" w:rsidRPr="00AC37DD" w14:paraId="44B36C00"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288F0E7E" w14:textId="77777777"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Female</w:t>
            </w:r>
          </w:p>
        </w:tc>
        <w:tc>
          <w:tcPr>
            <w:tcW w:w="1711" w:type="dxa"/>
            <w:shd w:val="clear" w:color="auto" w:fill="auto"/>
          </w:tcPr>
          <w:p w14:paraId="132BAF73" w14:textId="6DD1E965"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AC37DD">
              <w:rPr>
                <w:color w:val="auto"/>
                <w:sz w:val="20"/>
                <w:szCs w:val="20"/>
              </w:rPr>
              <w:t>39 (60.0)</w:t>
            </w:r>
          </w:p>
        </w:tc>
      </w:tr>
      <w:tr w:rsidR="00AC37DD" w:rsidRPr="00AC37DD" w14:paraId="73EA6E44" w14:textId="77777777" w:rsidTr="00AE7E9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00072A76" w14:textId="2D142D94"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Male</w:t>
            </w:r>
          </w:p>
        </w:tc>
        <w:tc>
          <w:tcPr>
            <w:tcW w:w="1711" w:type="dxa"/>
            <w:tcBorders>
              <w:right w:val="single" w:sz="4" w:space="0" w:color="1F497D" w:themeColor="text2"/>
            </w:tcBorders>
            <w:shd w:val="clear" w:color="auto" w:fill="auto"/>
          </w:tcPr>
          <w:p w14:paraId="2DF4962F" w14:textId="28F3BB15"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color w:val="auto"/>
                <w:sz w:val="20"/>
                <w:szCs w:val="20"/>
              </w:rPr>
              <w:t>26 (40.0)</w:t>
            </w:r>
          </w:p>
        </w:tc>
      </w:tr>
      <w:tr w:rsidR="00AC37DD" w:rsidRPr="00AC37DD" w14:paraId="04E2A091"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73260755" w14:textId="04071D48" w:rsidR="00995F56" w:rsidRPr="00AC37DD" w:rsidRDefault="00995F56" w:rsidP="003B7457">
            <w:pPr>
              <w:widowControl w:val="0"/>
              <w:autoSpaceDE w:val="0"/>
              <w:autoSpaceDN w:val="0"/>
              <w:adjustRightInd w:val="0"/>
              <w:rPr>
                <w:b w:val="0"/>
                <w:color w:val="auto"/>
                <w:sz w:val="20"/>
                <w:szCs w:val="20"/>
              </w:rPr>
            </w:pPr>
            <w:r w:rsidRPr="00AC37DD">
              <w:rPr>
                <w:color w:val="auto"/>
                <w:sz w:val="20"/>
                <w:szCs w:val="20"/>
              </w:rPr>
              <w:t>Ethnicity</w:t>
            </w:r>
          </w:p>
        </w:tc>
        <w:tc>
          <w:tcPr>
            <w:tcW w:w="1711" w:type="dxa"/>
            <w:shd w:val="clear" w:color="auto" w:fill="auto"/>
          </w:tcPr>
          <w:p w14:paraId="14F44277" w14:textId="77777777"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p>
        </w:tc>
      </w:tr>
      <w:tr w:rsidR="00AC37DD" w:rsidRPr="00AC37DD" w14:paraId="58AC771E"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05368CF5" w14:textId="201F2B19"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White</w:t>
            </w:r>
          </w:p>
        </w:tc>
        <w:tc>
          <w:tcPr>
            <w:tcW w:w="1711" w:type="dxa"/>
            <w:tcBorders>
              <w:right w:val="single" w:sz="4" w:space="0" w:color="1F497D" w:themeColor="text2"/>
            </w:tcBorders>
            <w:shd w:val="clear" w:color="auto" w:fill="auto"/>
            <w:vAlign w:val="bottom"/>
          </w:tcPr>
          <w:p w14:paraId="18CA41E9" w14:textId="295CE3FB"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rFonts w:ascii="Calibri" w:hAnsi="Calibri"/>
                <w:color w:val="auto"/>
                <w:sz w:val="20"/>
                <w:szCs w:val="20"/>
              </w:rPr>
              <w:t>50 (74.6)</w:t>
            </w:r>
          </w:p>
        </w:tc>
      </w:tr>
      <w:tr w:rsidR="00AC37DD" w:rsidRPr="00AC37DD" w14:paraId="652BD9D2"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48B67B05" w14:textId="66C51142"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Asian / Asian British</w:t>
            </w:r>
          </w:p>
        </w:tc>
        <w:tc>
          <w:tcPr>
            <w:tcW w:w="1711" w:type="dxa"/>
            <w:shd w:val="clear" w:color="auto" w:fill="auto"/>
            <w:vAlign w:val="bottom"/>
          </w:tcPr>
          <w:p w14:paraId="1B9A4117" w14:textId="6BA2D55E"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AC37DD">
              <w:rPr>
                <w:rFonts w:ascii="Calibri" w:hAnsi="Calibri"/>
                <w:color w:val="auto"/>
                <w:sz w:val="20"/>
                <w:szCs w:val="20"/>
              </w:rPr>
              <w:t>11 (16.4)</w:t>
            </w:r>
          </w:p>
        </w:tc>
      </w:tr>
      <w:tr w:rsidR="00AC37DD" w:rsidRPr="00AC37DD" w14:paraId="6ED76961" w14:textId="77777777" w:rsidTr="00AE7E9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1944D9CC" w14:textId="6D6A0A94"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Black / African / Caribbean / Black British</w:t>
            </w:r>
          </w:p>
        </w:tc>
        <w:tc>
          <w:tcPr>
            <w:tcW w:w="1711" w:type="dxa"/>
            <w:tcBorders>
              <w:right w:val="single" w:sz="4" w:space="0" w:color="1F497D" w:themeColor="text2"/>
            </w:tcBorders>
            <w:shd w:val="clear" w:color="auto" w:fill="auto"/>
          </w:tcPr>
          <w:p w14:paraId="0164399C" w14:textId="60E07866"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color w:val="auto"/>
                <w:sz w:val="20"/>
                <w:szCs w:val="20"/>
              </w:rPr>
              <w:t>2 (3.0)</w:t>
            </w:r>
          </w:p>
        </w:tc>
      </w:tr>
      <w:tr w:rsidR="00AC37DD" w:rsidRPr="00AC37DD" w14:paraId="1EBDE815"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676AC6F5" w14:textId="7A50CE76"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Mixed / Multiple ethnic groups</w:t>
            </w:r>
          </w:p>
        </w:tc>
        <w:tc>
          <w:tcPr>
            <w:tcW w:w="1711" w:type="dxa"/>
            <w:shd w:val="clear" w:color="auto" w:fill="auto"/>
          </w:tcPr>
          <w:p w14:paraId="065F85F7" w14:textId="1E77C7A2"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AC37DD">
              <w:rPr>
                <w:color w:val="auto"/>
                <w:sz w:val="20"/>
                <w:szCs w:val="20"/>
              </w:rPr>
              <w:t>2 (3.0)</w:t>
            </w:r>
          </w:p>
        </w:tc>
      </w:tr>
      <w:tr w:rsidR="00AC37DD" w:rsidRPr="00AC37DD" w14:paraId="55870555"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00CA16A7" w14:textId="6A9BCBF3" w:rsidR="00995F56" w:rsidRPr="00AC37DD" w:rsidRDefault="00995F56" w:rsidP="003B7457">
            <w:pPr>
              <w:widowControl w:val="0"/>
              <w:autoSpaceDE w:val="0"/>
              <w:autoSpaceDN w:val="0"/>
              <w:adjustRightInd w:val="0"/>
              <w:rPr>
                <w:b w:val="0"/>
                <w:color w:val="auto"/>
                <w:sz w:val="20"/>
                <w:szCs w:val="20"/>
              </w:rPr>
            </w:pPr>
            <w:r w:rsidRPr="00AC37DD">
              <w:rPr>
                <w:color w:val="auto"/>
                <w:sz w:val="20"/>
                <w:szCs w:val="20"/>
              </w:rPr>
              <w:t>Relationship status</w:t>
            </w:r>
          </w:p>
        </w:tc>
        <w:tc>
          <w:tcPr>
            <w:tcW w:w="1711" w:type="dxa"/>
            <w:tcBorders>
              <w:right w:val="single" w:sz="4" w:space="0" w:color="1F497D" w:themeColor="text2"/>
            </w:tcBorders>
            <w:shd w:val="clear" w:color="auto" w:fill="auto"/>
          </w:tcPr>
          <w:p w14:paraId="63D3C3D5" w14:textId="77777777"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p>
        </w:tc>
      </w:tr>
      <w:tr w:rsidR="00AC37DD" w:rsidRPr="00AC37DD" w14:paraId="29DDF82E"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6046B52B" w14:textId="77777777"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Married</w:t>
            </w:r>
          </w:p>
        </w:tc>
        <w:tc>
          <w:tcPr>
            <w:tcW w:w="1711" w:type="dxa"/>
            <w:shd w:val="clear" w:color="auto" w:fill="auto"/>
            <w:vAlign w:val="bottom"/>
          </w:tcPr>
          <w:p w14:paraId="13A10C03" w14:textId="74325EE0"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AC37DD">
              <w:rPr>
                <w:rFonts w:ascii="Calibri" w:hAnsi="Calibri"/>
                <w:color w:val="auto"/>
                <w:sz w:val="20"/>
                <w:szCs w:val="20"/>
              </w:rPr>
              <w:t>35 (53.8)</w:t>
            </w:r>
          </w:p>
        </w:tc>
      </w:tr>
      <w:tr w:rsidR="00AC37DD" w:rsidRPr="00AC37DD" w14:paraId="5A81FC34" w14:textId="77777777" w:rsidTr="00AE7E9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71283D24" w14:textId="77777777"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In a relationship</w:t>
            </w:r>
          </w:p>
        </w:tc>
        <w:tc>
          <w:tcPr>
            <w:tcW w:w="1711" w:type="dxa"/>
            <w:tcBorders>
              <w:right w:val="single" w:sz="4" w:space="0" w:color="1F497D" w:themeColor="text2"/>
            </w:tcBorders>
            <w:shd w:val="clear" w:color="auto" w:fill="auto"/>
            <w:vAlign w:val="bottom"/>
          </w:tcPr>
          <w:p w14:paraId="2FBE7D33" w14:textId="4B6EAD16"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rFonts w:ascii="Calibri" w:hAnsi="Calibri"/>
                <w:color w:val="auto"/>
                <w:sz w:val="20"/>
                <w:szCs w:val="20"/>
              </w:rPr>
              <w:t>16 (24.6)</w:t>
            </w:r>
          </w:p>
        </w:tc>
      </w:tr>
      <w:tr w:rsidR="00AC37DD" w:rsidRPr="00AC37DD" w14:paraId="275BD307"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4D4F8385" w14:textId="6F06058A"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Single</w:t>
            </w:r>
          </w:p>
        </w:tc>
        <w:tc>
          <w:tcPr>
            <w:tcW w:w="1711" w:type="dxa"/>
            <w:shd w:val="clear" w:color="auto" w:fill="auto"/>
            <w:vAlign w:val="bottom"/>
          </w:tcPr>
          <w:p w14:paraId="7E756C4D" w14:textId="6FF30C9E"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AC37DD">
              <w:rPr>
                <w:rFonts w:ascii="Calibri" w:hAnsi="Calibri"/>
                <w:color w:val="auto"/>
                <w:sz w:val="20"/>
                <w:szCs w:val="20"/>
              </w:rPr>
              <w:t>13 (20.0)</w:t>
            </w:r>
          </w:p>
        </w:tc>
      </w:tr>
      <w:tr w:rsidR="00AC37DD" w:rsidRPr="00AC37DD" w14:paraId="1AF6D564"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5B28955D" w14:textId="68768052"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Divorced</w:t>
            </w:r>
          </w:p>
        </w:tc>
        <w:tc>
          <w:tcPr>
            <w:tcW w:w="1711" w:type="dxa"/>
            <w:tcBorders>
              <w:right w:val="single" w:sz="4" w:space="0" w:color="1F497D" w:themeColor="text2"/>
            </w:tcBorders>
            <w:shd w:val="clear" w:color="auto" w:fill="auto"/>
          </w:tcPr>
          <w:p w14:paraId="3EF6E5E7" w14:textId="5A37EB41"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color w:val="auto"/>
                <w:sz w:val="20"/>
                <w:szCs w:val="20"/>
              </w:rPr>
              <w:t>1 (1.5)</w:t>
            </w:r>
          </w:p>
        </w:tc>
      </w:tr>
      <w:tr w:rsidR="00AC37DD" w:rsidRPr="00AC37DD" w14:paraId="5639FF83" w14:textId="77777777" w:rsidTr="00AE7E97">
        <w:trPr>
          <w:trHeight w:val="276"/>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258C46C6" w14:textId="7EBB908E" w:rsidR="00995F56" w:rsidRPr="00AC37DD" w:rsidRDefault="00995F56" w:rsidP="003B7457">
            <w:pPr>
              <w:widowControl w:val="0"/>
              <w:autoSpaceDE w:val="0"/>
              <w:autoSpaceDN w:val="0"/>
              <w:adjustRightInd w:val="0"/>
              <w:rPr>
                <w:color w:val="auto"/>
                <w:sz w:val="20"/>
                <w:szCs w:val="20"/>
              </w:rPr>
            </w:pPr>
            <w:r w:rsidRPr="00AC37DD">
              <w:rPr>
                <w:color w:val="auto"/>
                <w:sz w:val="20"/>
                <w:szCs w:val="20"/>
              </w:rPr>
              <w:t xml:space="preserve">Children under 18 </w:t>
            </w:r>
            <w:r w:rsidRPr="00AC37DD">
              <w:rPr>
                <w:b w:val="0"/>
                <w:color w:val="auto"/>
                <w:sz w:val="20"/>
                <w:szCs w:val="20"/>
              </w:rPr>
              <w:t>(N=64)</w:t>
            </w:r>
          </w:p>
        </w:tc>
        <w:tc>
          <w:tcPr>
            <w:tcW w:w="1711" w:type="dxa"/>
            <w:shd w:val="clear" w:color="auto" w:fill="auto"/>
          </w:tcPr>
          <w:p w14:paraId="1183E8D5" w14:textId="77777777"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AC37DD" w:rsidRPr="00AC37DD" w14:paraId="7C73C0EC"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753FAD87" w14:textId="0F87C1A9"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No</w:t>
            </w:r>
          </w:p>
        </w:tc>
        <w:tc>
          <w:tcPr>
            <w:tcW w:w="1711" w:type="dxa"/>
            <w:tcBorders>
              <w:right w:val="single" w:sz="4" w:space="0" w:color="1F497D" w:themeColor="text2"/>
            </w:tcBorders>
            <w:shd w:val="clear" w:color="auto" w:fill="auto"/>
            <w:vAlign w:val="bottom"/>
          </w:tcPr>
          <w:p w14:paraId="26F0FA8C" w14:textId="2E48FEFF"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38 (59.4)</w:t>
            </w:r>
          </w:p>
        </w:tc>
      </w:tr>
      <w:tr w:rsidR="00AC37DD" w:rsidRPr="00AC37DD" w14:paraId="1DEBD75F"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0AB5C490" w14:textId="661D260B"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Yes</w:t>
            </w:r>
          </w:p>
        </w:tc>
        <w:tc>
          <w:tcPr>
            <w:tcW w:w="1711" w:type="dxa"/>
            <w:shd w:val="clear" w:color="auto" w:fill="auto"/>
            <w:vAlign w:val="bottom"/>
          </w:tcPr>
          <w:p w14:paraId="7A426C33" w14:textId="416B4312"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26 (40.6)</w:t>
            </w:r>
          </w:p>
        </w:tc>
      </w:tr>
      <w:tr w:rsidR="00AC37DD" w:rsidRPr="00AC37DD" w14:paraId="04A824EF"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7385A457" w14:textId="419D9E4B" w:rsidR="00995F56" w:rsidRPr="00AC37DD" w:rsidRDefault="00995F56" w:rsidP="003B7457">
            <w:pPr>
              <w:widowControl w:val="0"/>
              <w:autoSpaceDE w:val="0"/>
              <w:autoSpaceDN w:val="0"/>
              <w:adjustRightInd w:val="0"/>
              <w:rPr>
                <w:color w:val="auto"/>
                <w:sz w:val="20"/>
                <w:szCs w:val="20"/>
              </w:rPr>
            </w:pPr>
            <w:r w:rsidRPr="00AC37DD">
              <w:rPr>
                <w:color w:val="auto"/>
                <w:sz w:val="20"/>
                <w:szCs w:val="20"/>
              </w:rPr>
              <w:t>Current living situation</w:t>
            </w:r>
          </w:p>
        </w:tc>
        <w:tc>
          <w:tcPr>
            <w:tcW w:w="1711" w:type="dxa"/>
            <w:tcBorders>
              <w:right w:val="single" w:sz="4" w:space="0" w:color="1F497D" w:themeColor="text2"/>
            </w:tcBorders>
            <w:shd w:val="clear" w:color="auto" w:fill="auto"/>
          </w:tcPr>
          <w:p w14:paraId="68FEA227" w14:textId="77777777"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AC37DD" w:rsidRPr="00AC37DD" w14:paraId="0091937E" w14:textId="77777777" w:rsidTr="00AE7E97">
        <w:trPr>
          <w:trHeight w:val="276"/>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718767E7" w14:textId="14A7EE15"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Live with spouse / partner</w:t>
            </w:r>
          </w:p>
        </w:tc>
        <w:tc>
          <w:tcPr>
            <w:tcW w:w="1711" w:type="dxa"/>
            <w:shd w:val="clear" w:color="auto" w:fill="auto"/>
            <w:vAlign w:val="bottom"/>
          </w:tcPr>
          <w:p w14:paraId="72AA037F" w14:textId="4AF8D97D"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24 (36.9)</w:t>
            </w:r>
          </w:p>
        </w:tc>
      </w:tr>
      <w:tr w:rsidR="00AC37DD" w:rsidRPr="00AC37DD" w14:paraId="55984E96"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12E5F872" w14:textId="096568CF"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Live with spouse / partner and children</w:t>
            </w:r>
          </w:p>
        </w:tc>
        <w:tc>
          <w:tcPr>
            <w:tcW w:w="1711" w:type="dxa"/>
            <w:tcBorders>
              <w:right w:val="single" w:sz="4" w:space="0" w:color="1F497D" w:themeColor="text2"/>
            </w:tcBorders>
            <w:shd w:val="clear" w:color="auto" w:fill="auto"/>
            <w:vAlign w:val="bottom"/>
          </w:tcPr>
          <w:p w14:paraId="1B78F4F9" w14:textId="47BC62FB"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20 (30.8)</w:t>
            </w:r>
          </w:p>
        </w:tc>
      </w:tr>
      <w:tr w:rsidR="00AC37DD" w:rsidRPr="00AC37DD" w14:paraId="66350762"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0ADD00D4" w14:textId="12728420"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Live with parents</w:t>
            </w:r>
          </w:p>
        </w:tc>
        <w:tc>
          <w:tcPr>
            <w:tcW w:w="1711" w:type="dxa"/>
            <w:shd w:val="clear" w:color="auto" w:fill="auto"/>
            <w:vAlign w:val="bottom"/>
          </w:tcPr>
          <w:p w14:paraId="5B757E42" w14:textId="212E1778"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6 (9.2)</w:t>
            </w:r>
          </w:p>
        </w:tc>
      </w:tr>
      <w:tr w:rsidR="00AC37DD" w:rsidRPr="00AC37DD" w14:paraId="666AEAAB" w14:textId="77777777" w:rsidTr="00AE7E9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1C72736D" w14:textId="4E437892"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Live with housemate(s)</w:t>
            </w:r>
          </w:p>
        </w:tc>
        <w:tc>
          <w:tcPr>
            <w:tcW w:w="1711" w:type="dxa"/>
            <w:tcBorders>
              <w:right w:val="single" w:sz="4" w:space="0" w:color="1F497D" w:themeColor="text2"/>
            </w:tcBorders>
            <w:shd w:val="clear" w:color="auto" w:fill="auto"/>
            <w:vAlign w:val="bottom"/>
          </w:tcPr>
          <w:p w14:paraId="6DC2DF48" w14:textId="004719BC"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6 (9.2)</w:t>
            </w:r>
          </w:p>
        </w:tc>
      </w:tr>
      <w:tr w:rsidR="00AC37DD" w:rsidRPr="00AC37DD" w14:paraId="655313EF"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4082F6DF" w14:textId="0D7554AE"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Live alone</w:t>
            </w:r>
          </w:p>
        </w:tc>
        <w:tc>
          <w:tcPr>
            <w:tcW w:w="1711" w:type="dxa"/>
            <w:shd w:val="clear" w:color="auto" w:fill="auto"/>
            <w:vAlign w:val="bottom"/>
          </w:tcPr>
          <w:p w14:paraId="7B459536" w14:textId="42B2EB2F"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6 (9.2)</w:t>
            </w:r>
          </w:p>
        </w:tc>
      </w:tr>
      <w:tr w:rsidR="00AC37DD" w:rsidRPr="00AC37DD" w14:paraId="77723211"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3066AC02" w14:textId="693E504E"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Live with spouse / partner and parents</w:t>
            </w:r>
          </w:p>
        </w:tc>
        <w:tc>
          <w:tcPr>
            <w:tcW w:w="1711" w:type="dxa"/>
            <w:tcBorders>
              <w:right w:val="single" w:sz="4" w:space="0" w:color="1F497D" w:themeColor="text2"/>
            </w:tcBorders>
            <w:shd w:val="clear" w:color="auto" w:fill="auto"/>
            <w:vAlign w:val="bottom"/>
          </w:tcPr>
          <w:p w14:paraId="6DE1A7CF" w14:textId="64F53228"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2 (3.1)</w:t>
            </w:r>
          </w:p>
        </w:tc>
      </w:tr>
      <w:tr w:rsidR="00AC37DD" w:rsidRPr="00AC37DD" w14:paraId="45947498"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16652FB9" w14:textId="169BA9EA"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Live with children</w:t>
            </w:r>
          </w:p>
        </w:tc>
        <w:tc>
          <w:tcPr>
            <w:tcW w:w="1711" w:type="dxa"/>
            <w:shd w:val="clear" w:color="auto" w:fill="auto"/>
          </w:tcPr>
          <w:p w14:paraId="42E48D2C" w14:textId="2D9206B8"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color w:val="auto"/>
                <w:sz w:val="20"/>
                <w:szCs w:val="20"/>
              </w:rPr>
              <w:t>1 (1.5)</w:t>
            </w:r>
          </w:p>
        </w:tc>
      </w:tr>
      <w:tr w:rsidR="00AC37DD" w:rsidRPr="00AC37DD" w14:paraId="3712E91C" w14:textId="77777777" w:rsidTr="00AE7E9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0083CDBF" w14:textId="7A8003FD" w:rsidR="00995F56" w:rsidRPr="00AC37DD" w:rsidRDefault="00995F56" w:rsidP="003B7457">
            <w:pPr>
              <w:widowControl w:val="0"/>
              <w:autoSpaceDE w:val="0"/>
              <w:autoSpaceDN w:val="0"/>
              <w:adjustRightInd w:val="0"/>
              <w:rPr>
                <w:color w:val="auto"/>
                <w:sz w:val="20"/>
                <w:szCs w:val="20"/>
              </w:rPr>
            </w:pPr>
            <w:r w:rsidRPr="00AC37DD">
              <w:rPr>
                <w:color w:val="auto"/>
                <w:sz w:val="20"/>
                <w:szCs w:val="20"/>
              </w:rPr>
              <w:t>Highest level of education</w:t>
            </w:r>
          </w:p>
        </w:tc>
        <w:tc>
          <w:tcPr>
            <w:tcW w:w="1711" w:type="dxa"/>
            <w:tcBorders>
              <w:right w:val="single" w:sz="4" w:space="0" w:color="1F497D" w:themeColor="text2"/>
            </w:tcBorders>
            <w:shd w:val="clear" w:color="auto" w:fill="auto"/>
          </w:tcPr>
          <w:p w14:paraId="5B78D1DB" w14:textId="77777777"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AC37DD" w:rsidRPr="00AC37DD" w14:paraId="206BDA44"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2071C272" w14:textId="77777777" w:rsidR="00995F56" w:rsidRPr="00AC37DD" w:rsidRDefault="00995F56" w:rsidP="003B7457">
            <w:pPr>
              <w:widowControl w:val="0"/>
              <w:autoSpaceDE w:val="0"/>
              <w:autoSpaceDN w:val="0"/>
              <w:adjustRightInd w:val="0"/>
              <w:ind w:left="284"/>
              <w:rPr>
                <w:b w:val="0"/>
                <w:bCs w:val="0"/>
                <w:color w:val="auto"/>
                <w:sz w:val="20"/>
                <w:szCs w:val="20"/>
              </w:rPr>
            </w:pPr>
            <w:r w:rsidRPr="00AC37DD">
              <w:rPr>
                <w:b w:val="0"/>
                <w:color w:val="auto"/>
                <w:sz w:val="20"/>
                <w:szCs w:val="20"/>
              </w:rPr>
              <w:t>University or degree</w:t>
            </w:r>
          </w:p>
        </w:tc>
        <w:tc>
          <w:tcPr>
            <w:tcW w:w="1711" w:type="dxa"/>
            <w:shd w:val="clear" w:color="auto" w:fill="auto"/>
            <w:vAlign w:val="bottom"/>
          </w:tcPr>
          <w:p w14:paraId="473D3FE4" w14:textId="561880AE"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45 (69.2)</w:t>
            </w:r>
          </w:p>
        </w:tc>
      </w:tr>
      <w:tr w:rsidR="00AC37DD" w:rsidRPr="00AC37DD" w14:paraId="3BB101E0"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24140BA5" w14:textId="77777777" w:rsidR="00995F56" w:rsidRPr="00AC37DD" w:rsidRDefault="00995F56" w:rsidP="003B7457">
            <w:pPr>
              <w:widowControl w:val="0"/>
              <w:autoSpaceDE w:val="0"/>
              <w:autoSpaceDN w:val="0"/>
              <w:adjustRightInd w:val="0"/>
              <w:ind w:left="284"/>
              <w:rPr>
                <w:b w:val="0"/>
                <w:bCs w:val="0"/>
                <w:color w:val="auto"/>
                <w:sz w:val="20"/>
                <w:szCs w:val="20"/>
              </w:rPr>
            </w:pPr>
            <w:r w:rsidRPr="00AC37DD">
              <w:rPr>
                <w:b w:val="0"/>
                <w:color w:val="auto"/>
                <w:sz w:val="20"/>
                <w:szCs w:val="20"/>
              </w:rPr>
              <w:t>College or diploma</w:t>
            </w:r>
          </w:p>
        </w:tc>
        <w:tc>
          <w:tcPr>
            <w:tcW w:w="1711" w:type="dxa"/>
            <w:tcBorders>
              <w:right w:val="single" w:sz="4" w:space="0" w:color="1F497D" w:themeColor="text2"/>
            </w:tcBorders>
            <w:shd w:val="clear" w:color="auto" w:fill="auto"/>
            <w:vAlign w:val="bottom"/>
          </w:tcPr>
          <w:p w14:paraId="300F916F" w14:textId="050D8A20"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11 (16.9)</w:t>
            </w:r>
          </w:p>
        </w:tc>
      </w:tr>
      <w:tr w:rsidR="00AC37DD" w:rsidRPr="00AC37DD" w14:paraId="310D762B"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571A662D" w14:textId="78C06C73" w:rsidR="00995F56" w:rsidRPr="00AC37DD" w:rsidRDefault="00995F56" w:rsidP="003B7457">
            <w:pPr>
              <w:widowControl w:val="0"/>
              <w:autoSpaceDE w:val="0"/>
              <w:autoSpaceDN w:val="0"/>
              <w:adjustRightInd w:val="0"/>
              <w:ind w:left="284"/>
              <w:rPr>
                <w:b w:val="0"/>
                <w:bCs w:val="0"/>
                <w:color w:val="auto"/>
                <w:sz w:val="20"/>
                <w:szCs w:val="20"/>
              </w:rPr>
            </w:pPr>
            <w:r w:rsidRPr="00AC37DD">
              <w:rPr>
                <w:b w:val="0"/>
                <w:color w:val="auto"/>
                <w:sz w:val="20"/>
                <w:szCs w:val="20"/>
              </w:rPr>
              <w:t>Secondary School</w:t>
            </w:r>
          </w:p>
        </w:tc>
        <w:tc>
          <w:tcPr>
            <w:tcW w:w="1711" w:type="dxa"/>
            <w:shd w:val="clear" w:color="auto" w:fill="auto"/>
            <w:vAlign w:val="bottom"/>
          </w:tcPr>
          <w:p w14:paraId="2ACEBB05" w14:textId="7378AB37"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7 (10.8)</w:t>
            </w:r>
          </w:p>
        </w:tc>
      </w:tr>
      <w:tr w:rsidR="00AC37DD" w:rsidRPr="00AC37DD" w14:paraId="26309846" w14:textId="77777777" w:rsidTr="00AE7E9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24A474EF" w14:textId="6298C2C2" w:rsidR="00995F56" w:rsidRPr="00AC37DD" w:rsidRDefault="00995F56" w:rsidP="003B7457">
            <w:pPr>
              <w:widowControl w:val="0"/>
              <w:autoSpaceDE w:val="0"/>
              <w:autoSpaceDN w:val="0"/>
              <w:adjustRightInd w:val="0"/>
              <w:ind w:left="284"/>
              <w:rPr>
                <w:b w:val="0"/>
                <w:bCs w:val="0"/>
                <w:color w:val="auto"/>
                <w:sz w:val="20"/>
                <w:szCs w:val="20"/>
              </w:rPr>
            </w:pPr>
            <w:r w:rsidRPr="00AC37DD">
              <w:rPr>
                <w:b w:val="0"/>
                <w:color w:val="auto"/>
                <w:sz w:val="20"/>
                <w:szCs w:val="20"/>
              </w:rPr>
              <w:t>Vocational qualification</w:t>
            </w:r>
          </w:p>
        </w:tc>
        <w:tc>
          <w:tcPr>
            <w:tcW w:w="1711" w:type="dxa"/>
            <w:tcBorders>
              <w:right w:val="single" w:sz="4" w:space="0" w:color="1F497D" w:themeColor="text2"/>
            </w:tcBorders>
            <w:shd w:val="clear" w:color="auto" w:fill="auto"/>
            <w:vAlign w:val="bottom"/>
          </w:tcPr>
          <w:p w14:paraId="5426AF31" w14:textId="774D42A8"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2 (3.1)</w:t>
            </w:r>
          </w:p>
        </w:tc>
      </w:tr>
      <w:tr w:rsidR="00AC37DD" w:rsidRPr="00AC37DD" w14:paraId="242AE076"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562B2DD1" w14:textId="22CD2D8B" w:rsidR="00995F56" w:rsidRPr="00AC37DD" w:rsidRDefault="00995F56" w:rsidP="003B7457">
            <w:pPr>
              <w:widowControl w:val="0"/>
              <w:autoSpaceDE w:val="0"/>
              <w:autoSpaceDN w:val="0"/>
              <w:adjustRightInd w:val="0"/>
              <w:rPr>
                <w:b w:val="0"/>
                <w:color w:val="auto"/>
                <w:sz w:val="20"/>
                <w:szCs w:val="20"/>
              </w:rPr>
            </w:pPr>
            <w:r w:rsidRPr="00AC37DD">
              <w:rPr>
                <w:color w:val="auto"/>
                <w:sz w:val="20"/>
                <w:szCs w:val="20"/>
              </w:rPr>
              <w:t xml:space="preserve">Current employment status </w:t>
            </w:r>
            <w:r w:rsidRPr="00AC37DD">
              <w:rPr>
                <w:b w:val="0"/>
                <w:color w:val="auto"/>
                <w:sz w:val="20"/>
                <w:szCs w:val="20"/>
              </w:rPr>
              <w:t>(N=64)</w:t>
            </w:r>
          </w:p>
        </w:tc>
        <w:tc>
          <w:tcPr>
            <w:tcW w:w="1711" w:type="dxa"/>
            <w:shd w:val="clear" w:color="auto" w:fill="auto"/>
          </w:tcPr>
          <w:p w14:paraId="5189940D" w14:textId="2C7017AD"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color w:val="auto"/>
                <w:sz w:val="20"/>
                <w:szCs w:val="20"/>
              </w:rPr>
              <w:t xml:space="preserve"> </w:t>
            </w:r>
          </w:p>
        </w:tc>
      </w:tr>
      <w:tr w:rsidR="00AC37DD" w:rsidRPr="00AC37DD" w14:paraId="7A6C8AD5"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494271FD" w14:textId="00AD93D6"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Full-time employed</w:t>
            </w:r>
          </w:p>
        </w:tc>
        <w:tc>
          <w:tcPr>
            <w:tcW w:w="1711" w:type="dxa"/>
            <w:tcBorders>
              <w:right w:val="single" w:sz="4" w:space="0" w:color="1F497D" w:themeColor="text2"/>
            </w:tcBorders>
            <w:shd w:val="clear" w:color="auto" w:fill="auto"/>
            <w:vAlign w:val="bottom"/>
          </w:tcPr>
          <w:p w14:paraId="151BE31C" w14:textId="6A03139A"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rFonts w:ascii="Calibri" w:hAnsi="Calibri"/>
                <w:color w:val="auto"/>
                <w:sz w:val="20"/>
                <w:szCs w:val="20"/>
              </w:rPr>
              <w:t>30 (46.9)</w:t>
            </w:r>
          </w:p>
        </w:tc>
      </w:tr>
      <w:tr w:rsidR="00AC37DD" w:rsidRPr="00AC37DD" w14:paraId="0813B0B3" w14:textId="77777777" w:rsidTr="00AE7E97">
        <w:trPr>
          <w:trHeight w:val="276"/>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0E8B5A55" w14:textId="6000508F"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On sick-leave</w:t>
            </w:r>
          </w:p>
        </w:tc>
        <w:tc>
          <w:tcPr>
            <w:tcW w:w="1711" w:type="dxa"/>
            <w:shd w:val="clear" w:color="auto" w:fill="auto"/>
            <w:vAlign w:val="bottom"/>
          </w:tcPr>
          <w:p w14:paraId="13151A91" w14:textId="1313DC6E"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AC37DD">
              <w:rPr>
                <w:rFonts w:ascii="Calibri" w:hAnsi="Calibri"/>
                <w:color w:val="auto"/>
                <w:sz w:val="20"/>
                <w:szCs w:val="20"/>
              </w:rPr>
              <w:t>15 (23.4)</w:t>
            </w:r>
          </w:p>
        </w:tc>
      </w:tr>
      <w:tr w:rsidR="00AC37DD" w:rsidRPr="00AC37DD" w14:paraId="4D8441F9"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1B1D0D60" w14:textId="1E0D184A"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Part-time employed</w:t>
            </w:r>
          </w:p>
        </w:tc>
        <w:tc>
          <w:tcPr>
            <w:tcW w:w="1711" w:type="dxa"/>
            <w:tcBorders>
              <w:right w:val="single" w:sz="4" w:space="0" w:color="1F497D" w:themeColor="text2"/>
            </w:tcBorders>
            <w:shd w:val="clear" w:color="auto" w:fill="auto"/>
            <w:vAlign w:val="bottom"/>
          </w:tcPr>
          <w:p w14:paraId="4496EB26" w14:textId="7BFC277F"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rFonts w:ascii="Calibri" w:hAnsi="Calibri"/>
                <w:color w:val="auto"/>
                <w:sz w:val="20"/>
                <w:szCs w:val="20"/>
              </w:rPr>
              <w:t>7 (10.9)</w:t>
            </w:r>
          </w:p>
        </w:tc>
      </w:tr>
      <w:tr w:rsidR="00AC37DD" w:rsidRPr="00AC37DD" w14:paraId="57346A0C"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4BD3DCBC" w14:textId="0E313B02"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 xml:space="preserve">Self-employed </w:t>
            </w:r>
          </w:p>
        </w:tc>
        <w:tc>
          <w:tcPr>
            <w:tcW w:w="1711" w:type="dxa"/>
            <w:shd w:val="clear" w:color="auto" w:fill="auto"/>
            <w:vAlign w:val="bottom"/>
          </w:tcPr>
          <w:p w14:paraId="19C7FCA1" w14:textId="1384348A"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AC37DD">
              <w:rPr>
                <w:rFonts w:ascii="Calibri" w:hAnsi="Calibri"/>
                <w:color w:val="auto"/>
                <w:sz w:val="20"/>
                <w:szCs w:val="20"/>
              </w:rPr>
              <w:t>5 (7.8)</w:t>
            </w:r>
          </w:p>
        </w:tc>
      </w:tr>
      <w:tr w:rsidR="00AC37DD" w:rsidRPr="00AC37DD" w14:paraId="5A883624"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03F7195E" w14:textId="4AEEF642"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Unemployed</w:t>
            </w:r>
          </w:p>
        </w:tc>
        <w:tc>
          <w:tcPr>
            <w:tcW w:w="1711" w:type="dxa"/>
            <w:tcBorders>
              <w:right w:val="single" w:sz="4" w:space="0" w:color="1F497D" w:themeColor="text2"/>
            </w:tcBorders>
            <w:shd w:val="clear" w:color="auto" w:fill="auto"/>
            <w:vAlign w:val="bottom"/>
          </w:tcPr>
          <w:p w14:paraId="3994E717" w14:textId="51E06048"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rFonts w:ascii="Calibri" w:hAnsi="Calibri"/>
                <w:color w:val="auto"/>
                <w:sz w:val="20"/>
                <w:szCs w:val="20"/>
              </w:rPr>
              <w:t>3 (4.7)</w:t>
            </w:r>
          </w:p>
        </w:tc>
      </w:tr>
      <w:tr w:rsidR="00AC37DD" w:rsidRPr="00AC37DD" w14:paraId="19F9B6BE" w14:textId="77777777" w:rsidTr="00AE7E97">
        <w:trPr>
          <w:trHeight w:val="276"/>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1DB924C1" w14:textId="4419AFBF"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Homemaker and/or caretaker for children</w:t>
            </w:r>
          </w:p>
        </w:tc>
        <w:tc>
          <w:tcPr>
            <w:tcW w:w="1711" w:type="dxa"/>
            <w:shd w:val="clear" w:color="auto" w:fill="auto"/>
            <w:vAlign w:val="bottom"/>
          </w:tcPr>
          <w:p w14:paraId="62C3C9FE" w14:textId="27DA954E"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AC37DD">
              <w:rPr>
                <w:rFonts w:ascii="Calibri" w:hAnsi="Calibri"/>
                <w:color w:val="auto"/>
                <w:sz w:val="20"/>
                <w:szCs w:val="20"/>
              </w:rPr>
              <w:t>2 (3.1)</w:t>
            </w:r>
          </w:p>
        </w:tc>
      </w:tr>
      <w:tr w:rsidR="00AC37DD" w:rsidRPr="00AC37DD" w14:paraId="6DE7BBFB"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6D40CF85" w14:textId="6C8A4532"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Other</w:t>
            </w:r>
          </w:p>
        </w:tc>
        <w:tc>
          <w:tcPr>
            <w:tcW w:w="1711" w:type="dxa"/>
            <w:tcBorders>
              <w:right w:val="single" w:sz="4" w:space="0" w:color="1F497D" w:themeColor="text2"/>
            </w:tcBorders>
            <w:shd w:val="clear" w:color="auto" w:fill="auto"/>
            <w:vAlign w:val="bottom"/>
          </w:tcPr>
          <w:p w14:paraId="6A661E38" w14:textId="079EA170"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rFonts w:ascii="Calibri" w:hAnsi="Calibri"/>
                <w:color w:val="auto"/>
                <w:sz w:val="20"/>
                <w:szCs w:val="20"/>
              </w:rPr>
              <w:t>2 (3.1)</w:t>
            </w:r>
          </w:p>
        </w:tc>
      </w:tr>
      <w:tr w:rsidR="00AC37DD" w:rsidRPr="00AC37DD" w14:paraId="4C90DBE5"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1DE9821B" w14:textId="24C1B3C5" w:rsidR="00995F56" w:rsidRPr="00AC37DD" w:rsidRDefault="00995F56" w:rsidP="003B7457">
            <w:pPr>
              <w:widowControl w:val="0"/>
              <w:autoSpaceDE w:val="0"/>
              <w:autoSpaceDN w:val="0"/>
              <w:adjustRightInd w:val="0"/>
              <w:rPr>
                <w:b w:val="0"/>
                <w:color w:val="auto"/>
                <w:sz w:val="20"/>
                <w:szCs w:val="20"/>
              </w:rPr>
            </w:pPr>
            <w:r w:rsidRPr="00AC37DD">
              <w:rPr>
                <w:color w:val="auto"/>
                <w:sz w:val="20"/>
                <w:szCs w:val="20"/>
              </w:rPr>
              <w:t xml:space="preserve">Experienced financial difficulties </w:t>
            </w:r>
            <w:r w:rsidRPr="00AC37DD">
              <w:rPr>
                <w:b w:val="0"/>
                <w:color w:val="auto"/>
                <w:sz w:val="20"/>
                <w:szCs w:val="20"/>
              </w:rPr>
              <w:t>(N=61)</w:t>
            </w:r>
          </w:p>
        </w:tc>
        <w:tc>
          <w:tcPr>
            <w:tcW w:w="1711" w:type="dxa"/>
            <w:shd w:val="clear" w:color="auto" w:fill="auto"/>
          </w:tcPr>
          <w:p w14:paraId="2230FADC" w14:textId="5A8613CA"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p>
        </w:tc>
      </w:tr>
      <w:tr w:rsidR="00AC37DD" w:rsidRPr="00AC37DD" w14:paraId="04DAFC6A"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502204BD" w14:textId="2004F015"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Not at all</w:t>
            </w:r>
          </w:p>
        </w:tc>
        <w:tc>
          <w:tcPr>
            <w:tcW w:w="1711" w:type="dxa"/>
            <w:tcBorders>
              <w:right w:val="single" w:sz="4" w:space="0" w:color="1F497D" w:themeColor="text2"/>
            </w:tcBorders>
            <w:shd w:val="clear" w:color="auto" w:fill="auto"/>
            <w:vAlign w:val="bottom"/>
          </w:tcPr>
          <w:p w14:paraId="441CA6A5" w14:textId="6BA3FFD4"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rFonts w:ascii="Calibri" w:hAnsi="Calibri"/>
                <w:color w:val="auto"/>
                <w:sz w:val="20"/>
                <w:szCs w:val="20"/>
              </w:rPr>
              <w:t>28 (45.9)</w:t>
            </w:r>
          </w:p>
        </w:tc>
      </w:tr>
      <w:tr w:rsidR="00AC37DD" w:rsidRPr="00AC37DD" w14:paraId="6ECB3485" w14:textId="77777777" w:rsidTr="00AE7E97">
        <w:trPr>
          <w:trHeight w:val="276"/>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06C33966" w14:textId="723DE464"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A little</w:t>
            </w:r>
          </w:p>
        </w:tc>
        <w:tc>
          <w:tcPr>
            <w:tcW w:w="1711" w:type="dxa"/>
            <w:shd w:val="clear" w:color="auto" w:fill="auto"/>
            <w:vAlign w:val="bottom"/>
          </w:tcPr>
          <w:p w14:paraId="0A7DC371" w14:textId="0D9A666C"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20 (32.8)</w:t>
            </w:r>
          </w:p>
        </w:tc>
      </w:tr>
      <w:tr w:rsidR="00AC37DD" w:rsidRPr="00AC37DD" w14:paraId="5B319566" w14:textId="77777777" w:rsidTr="00AE7E9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01063533" w14:textId="4B38FD9C"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Quite a bit</w:t>
            </w:r>
          </w:p>
        </w:tc>
        <w:tc>
          <w:tcPr>
            <w:tcW w:w="1711" w:type="dxa"/>
            <w:tcBorders>
              <w:right w:val="single" w:sz="4" w:space="0" w:color="1F497D" w:themeColor="text2"/>
            </w:tcBorders>
            <w:shd w:val="clear" w:color="auto" w:fill="auto"/>
            <w:vAlign w:val="bottom"/>
          </w:tcPr>
          <w:p w14:paraId="663391F5" w14:textId="77580131"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9 (14.8)</w:t>
            </w:r>
          </w:p>
        </w:tc>
      </w:tr>
      <w:tr w:rsidR="00AC37DD" w:rsidRPr="00AC37DD" w14:paraId="15D6BA48"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1145C53E" w14:textId="0C3B8E74"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Very much</w:t>
            </w:r>
          </w:p>
        </w:tc>
        <w:tc>
          <w:tcPr>
            <w:tcW w:w="1711" w:type="dxa"/>
            <w:shd w:val="clear" w:color="auto" w:fill="auto"/>
            <w:vAlign w:val="bottom"/>
          </w:tcPr>
          <w:p w14:paraId="3CAC8D5A" w14:textId="0632AB57"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4 (6.6)</w:t>
            </w:r>
          </w:p>
        </w:tc>
      </w:tr>
      <w:tr w:rsidR="00AC37DD" w:rsidRPr="00AC37DD" w14:paraId="4D7DE566" w14:textId="77777777" w:rsidTr="00AE7E9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68AF0F57" w14:textId="7B22F1D0"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Decrease in income</w:t>
            </w:r>
          </w:p>
        </w:tc>
        <w:tc>
          <w:tcPr>
            <w:tcW w:w="1711" w:type="dxa"/>
            <w:tcBorders>
              <w:right w:val="single" w:sz="4" w:space="0" w:color="1F497D" w:themeColor="text2"/>
            </w:tcBorders>
            <w:shd w:val="clear" w:color="auto" w:fill="auto"/>
          </w:tcPr>
          <w:p w14:paraId="1EEC7804" w14:textId="60E3E9B7"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color w:val="auto"/>
                <w:sz w:val="20"/>
                <w:szCs w:val="20"/>
              </w:rPr>
              <w:t>27 (81.8)</w:t>
            </w:r>
          </w:p>
        </w:tc>
      </w:tr>
      <w:tr w:rsidR="00AC37DD" w:rsidRPr="00AC37DD" w14:paraId="7BAADAEB" w14:textId="77777777" w:rsidTr="00AE7E97">
        <w:trPr>
          <w:trHeight w:val="260"/>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tcBorders>
            <w:shd w:val="clear" w:color="auto" w:fill="auto"/>
          </w:tcPr>
          <w:p w14:paraId="11E45E5D" w14:textId="2CD6472B"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Travel costs</w:t>
            </w:r>
          </w:p>
        </w:tc>
        <w:tc>
          <w:tcPr>
            <w:tcW w:w="1711" w:type="dxa"/>
            <w:shd w:val="clear" w:color="auto" w:fill="auto"/>
          </w:tcPr>
          <w:p w14:paraId="0104CDC3" w14:textId="228A0BC4"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color w:val="auto"/>
                <w:sz w:val="20"/>
                <w:szCs w:val="20"/>
              </w:rPr>
              <w:t>8 (24.2)</w:t>
            </w:r>
          </w:p>
        </w:tc>
      </w:tr>
      <w:tr w:rsidR="00AC37DD" w:rsidRPr="00AC37DD" w14:paraId="5DAFE3F9" w14:textId="77777777" w:rsidTr="00AE7E9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57" w:type="dxa"/>
            <w:tcBorders>
              <w:left w:val="single" w:sz="4" w:space="0" w:color="1F497D" w:themeColor="text2"/>
              <w:bottom w:val="single" w:sz="4" w:space="0" w:color="1F497D" w:themeColor="text2"/>
            </w:tcBorders>
            <w:shd w:val="clear" w:color="auto" w:fill="auto"/>
          </w:tcPr>
          <w:p w14:paraId="24D50B3D" w14:textId="634D0430"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Childcare</w:t>
            </w:r>
          </w:p>
        </w:tc>
        <w:tc>
          <w:tcPr>
            <w:tcW w:w="1711" w:type="dxa"/>
            <w:tcBorders>
              <w:bottom w:val="single" w:sz="4" w:space="0" w:color="1F497D" w:themeColor="text2"/>
              <w:right w:val="single" w:sz="4" w:space="0" w:color="1F497D" w:themeColor="text2"/>
            </w:tcBorders>
            <w:shd w:val="clear" w:color="auto" w:fill="auto"/>
          </w:tcPr>
          <w:p w14:paraId="1C1CE9BF" w14:textId="24F22277"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color w:val="auto"/>
                <w:sz w:val="20"/>
                <w:szCs w:val="20"/>
              </w:rPr>
              <w:t>2 (6.1)</w:t>
            </w:r>
          </w:p>
        </w:tc>
      </w:tr>
    </w:tbl>
    <w:p w14:paraId="3A60087A" w14:textId="77777777" w:rsidR="00AE7E97" w:rsidRPr="00AC37DD" w:rsidRDefault="00AE7E97" w:rsidP="003B7457">
      <w:pPr>
        <w:widowControl w:val="0"/>
        <w:autoSpaceDE w:val="0"/>
        <w:autoSpaceDN w:val="0"/>
        <w:adjustRightInd w:val="0"/>
        <w:spacing w:line="240" w:lineRule="auto"/>
        <w:rPr>
          <w:b/>
          <w:sz w:val="20"/>
          <w:szCs w:val="20"/>
        </w:rPr>
      </w:pPr>
    </w:p>
    <w:p w14:paraId="33D2581B" w14:textId="436A688E" w:rsidR="005230AF" w:rsidRPr="00AC37DD" w:rsidRDefault="00BB5A4D" w:rsidP="003B7457">
      <w:pPr>
        <w:widowControl w:val="0"/>
        <w:autoSpaceDE w:val="0"/>
        <w:autoSpaceDN w:val="0"/>
        <w:adjustRightInd w:val="0"/>
        <w:spacing w:line="240" w:lineRule="auto"/>
        <w:rPr>
          <w:b/>
          <w:sz w:val="20"/>
          <w:szCs w:val="20"/>
        </w:rPr>
      </w:pPr>
      <w:r w:rsidRPr="00AC37DD">
        <w:rPr>
          <w:b/>
          <w:sz w:val="20"/>
          <w:szCs w:val="20"/>
        </w:rPr>
        <w:lastRenderedPageBreak/>
        <w:t>Table 3</w:t>
      </w:r>
      <w:r w:rsidR="00AE7836" w:rsidRPr="00AC37DD">
        <w:rPr>
          <w:b/>
          <w:sz w:val="20"/>
          <w:szCs w:val="20"/>
        </w:rPr>
        <w:t>: Patient-reported clinical information</w:t>
      </w:r>
    </w:p>
    <w:tbl>
      <w:tblPr>
        <w:tblStyle w:val="LightShading-Accent1"/>
        <w:tblW w:w="548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ayout w:type="fixed"/>
        <w:tblLook w:val="04A0" w:firstRow="1" w:lastRow="0" w:firstColumn="1" w:lastColumn="0" w:noHBand="0" w:noVBand="1"/>
      </w:tblPr>
      <w:tblGrid>
        <w:gridCol w:w="3880"/>
        <w:gridCol w:w="1600"/>
      </w:tblGrid>
      <w:tr w:rsidR="00AC37DD" w:rsidRPr="00AC37DD" w14:paraId="29CA8A75" w14:textId="77777777" w:rsidTr="00AE7E9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4C7BFDEA" w14:textId="77777777" w:rsidR="00995F56" w:rsidRPr="00AC37DD" w:rsidRDefault="00995F56" w:rsidP="003B7457">
            <w:pPr>
              <w:widowControl w:val="0"/>
              <w:autoSpaceDE w:val="0"/>
              <w:autoSpaceDN w:val="0"/>
              <w:adjustRightInd w:val="0"/>
              <w:rPr>
                <w:b w:val="0"/>
                <w:color w:val="auto"/>
                <w:sz w:val="20"/>
                <w:szCs w:val="20"/>
              </w:rPr>
            </w:pPr>
          </w:p>
        </w:tc>
        <w:tc>
          <w:tcPr>
            <w:tcW w:w="1600" w:type="dxa"/>
            <w:tcBorders>
              <w:top w:val="single" w:sz="4" w:space="0" w:color="1F497D" w:themeColor="text2"/>
              <w:bottom w:val="single" w:sz="4" w:space="0" w:color="1F497D" w:themeColor="text2"/>
              <w:right w:val="single" w:sz="4" w:space="0" w:color="1F497D" w:themeColor="text2"/>
            </w:tcBorders>
            <w:shd w:val="clear" w:color="auto" w:fill="C6D9F1" w:themeFill="text2" w:themeFillTint="33"/>
          </w:tcPr>
          <w:p w14:paraId="4BC8D306" w14:textId="57836D21" w:rsidR="00995F56" w:rsidRPr="00AC37DD" w:rsidRDefault="00995F56" w:rsidP="003B7457">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auto"/>
                <w:sz w:val="20"/>
                <w:szCs w:val="20"/>
              </w:rPr>
            </w:pPr>
            <w:r w:rsidRPr="00AC37DD">
              <w:rPr>
                <w:color w:val="auto"/>
                <w:sz w:val="20"/>
                <w:szCs w:val="20"/>
              </w:rPr>
              <w:t>Mean (Range)</w:t>
            </w:r>
          </w:p>
        </w:tc>
      </w:tr>
      <w:tr w:rsidR="00AC37DD" w:rsidRPr="00AC37DD" w14:paraId="77016724"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1F497D" w:themeColor="text2"/>
              <w:left w:val="single" w:sz="4" w:space="0" w:color="1F497D" w:themeColor="text2"/>
            </w:tcBorders>
            <w:shd w:val="clear" w:color="auto" w:fill="auto"/>
          </w:tcPr>
          <w:p w14:paraId="5A2E74C2" w14:textId="77777777" w:rsidR="00995F56" w:rsidRPr="00AC37DD" w:rsidRDefault="00995F56" w:rsidP="003B7457">
            <w:pPr>
              <w:widowControl w:val="0"/>
              <w:autoSpaceDE w:val="0"/>
              <w:autoSpaceDN w:val="0"/>
              <w:adjustRightInd w:val="0"/>
              <w:rPr>
                <w:color w:val="auto"/>
                <w:sz w:val="20"/>
                <w:szCs w:val="20"/>
              </w:rPr>
            </w:pPr>
            <w:r w:rsidRPr="00AC37DD">
              <w:rPr>
                <w:color w:val="auto"/>
                <w:sz w:val="20"/>
                <w:szCs w:val="20"/>
              </w:rPr>
              <w:t>Age at diagnosis</w:t>
            </w:r>
          </w:p>
        </w:tc>
        <w:tc>
          <w:tcPr>
            <w:tcW w:w="1600" w:type="dxa"/>
            <w:tcBorders>
              <w:top w:val="single" w:sz="4" w:space="0" w:color="1F497D" w:themeColor="text2"/>
              <w:right w:val="single" w:sz="4" w:space="0" w:color="1F497D" w:themeColor="text2"/>
            </w:tcBorders>
            <w:shd w:val="clear" w:color="auto" w:fill="auto"/>
          </w:tcPr>
          <w:p w14:paraId="4342108A" w14:textId="7C257A7D" w:rsidR="00995F56" w:rsidRPr="00AC37DD" w:rsidRDefault="00995F56" w:rsidP="003B74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color w:val="auto"/>
                <w:sz w:val="20"/>
                <w:szCs w:val="20"/>
              </w:rPr>
              <w:t>31.7 (25-39) years</w:t>
            </w:r>
          </w:p>
        </w:tc>
      </w:tr>
      <w:tr w:rsidR="00AC37DD" w:rsidRPr="00AC37DD" w14:paraId="3D4158F8"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bottom w:val="single" w:sz="4" w:space="0" w:color="1F497D" w:themeColor="text2"/>
            </w:tcBorders>
            <w:shd w:val="clear" w:color="auto" w:fill="auto"/>
          </w:tcPr>
          <w:p w14:paraId="476599C3" w14:textId="77777777" w:rsidR="00995F56" w:rsidRPr="00AC37DD" w:rsidRDefault="00995F56" w:rsidP="003B7457">
            <w:pPr>
              <w:widowControl w:val="0"/>
              <w:autoSpaceDE w:val="0"/>
              <w:autoSpaceDN w:val="0"/>
              <w:adjustRightInd w:val="0"/>
              <w:rPr>
                <w:color w:val="auto"/>
                <w:sz w:val="20"/>
                <w:szCs w:val="20"/>
              </w:rPr>
            </w:pPr>
            <w:r w:rsidRPr="00AC37DD">
              <w:rPr>
                <w:color w:val="auto"/>
                <w:sz w:val="20"/>
                <w:szCs w:val="20"/>
              </w:rPr>
              <w:t>Years since diagnosis</w:t>
            </w:r>
          </w:p>
        </w:tc>
        <w:tc>
          <w:tcPr>
            <w:tcW w:w="1600" w:type="dxa"/>
            <w:tcBorders>
              <w:bottom w:val="single" w:sz="4" w:space="0" w:color="1F497D" w:themeColor="text2"/>
            </w:tcBorders>
            <w:shd w:val="clear" w:color="auto" w:fill="auto"/>
          </w:tcPr>
          <w:p w14:paraId="1FC8BBE9" w14:textId="71BC95F6" w:rsidR="00995F56" w:rsidRPr="00AC37DD" w:rsidRDefault="00995F56" w:rsidP="003B745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color w:val="auto"/>
                <w:sz w:val="20"/>
                <w:szCs w:val="20"/>
              </w:rPr>
              <w:t>1.9 (0-5) years</w:t>
            </w:r>
          </w:p>
        </w:tc>
      </w:tr>
      <w:tr w:rsidR="00AC37DD" w:rsidRPr="00AC37DD" w14:paraId="673DC224"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top w:val="single" w:sz="4" w:space="0" w:color="1F497D" w:themeColor="text2"/>
              <w:left w:val="single" w:sz="4" w:space="0" w:color="1F497D" w:themeColor="text2"/>
              <w:bottom w:val="single" w:sz="4" w:space="0" w:color="1F497D" w:themeColor="text2"/>
            </w:tcBorders>
            <w:shd w:val="clear" w:color="auto" w:fill="C6D9F1" w:themeFill="text2" w:themeFillTint="33"/>
          </w:tcPr>
          <w:p w14:paraId="0EFF08D3" w14:textId="77777777" w:rsidR="00995F56" w:rsidRPr="00AC37DD" w:rsidRDefault="00995F56" w:rsidP="003B7457">
            <w:pPr>
              <w:widowControl w:val="0"/>
              <w:autoSpaceDE w:val="0"/>
              <w:autoSpaceDN w:val="0"/>
              <w:adjustRightInd w:val="0"/>
              <w:rPr>
                <w:color w:val="auto"/>
                <w:sz w:val="20"/>
                <w:szCs w:val="20"/>
              </w:rPr>
            </w:pPr>
          </w:p>
        </w:tc>
        <w:tc>
          <w:tcPr>
            <w:tcW w:w="1600" w:type="dxa"/>
            <w:tcBorders>
              <w:top w:val="single" w:sz="4" w:space="0" w:color="1F497D" w:themeColor="text2"/>
              <w:bottom w:val="single" w:sz="4" w:space="0" w:color="1F497D" w:themeColor="text2"/>
              <w:right w:val="single" w:sz="4" w:space="0" w:color="1F497D" w:themeColor="text2"/>
            </w:tcBorders>
            <w:shd w:val="clear" w:color="auto" w:fill="C6D9F1" w:themeFill="text2" w:themeFillTint="33"/>
          </w:tcPr>
          <w:p w14:paraId="69023B40" w14:textId="1321B29E" w:rsidR="00995F56" w:rsidRPr="00AC37DD" w:rsidRDefault="00995F56" w:rsidP="003B745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b/>
                <w:color w:val="auto"/>
                <w:sz w:val="20"/>
                <w:szCs w:val="20"/>
              </w:rPr>
              <w:t xml:space="preserve">Number (%) </w:t>
            </w:r>
            <w:r w:rsidRPr="00AC37DD">
              <w:rPr>
                <w:color w:val="auto"/>
                <w:sz w:val="20"/>
                <w:szCs w:val="20"/>
              </w:rPr>
              <w:t>(Total=65)</w:t>
            </w:r>
          </w:p>
        </w:tc>
      </w:tr>
      <w:tr w:rsidR="00AC37DD" w:rsidRPr="00AC37DD" w14:paraId="741BA3D5"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740466DE" w14:textId="77777777" w:rsidR="00995F56" w:rsidRPr="00AC37DD" w:rsidRDefault="00995F56" w:rsidP="003B7457">
            <w:pPr>
              <w:widowControl w:val="0"/>
              <w:autoSpaceDE w:val="0"/>
              <w:autoSpaceDN w:val="0"/>
              <w:adjustRightInd w:val="0"/>
              <w:rPr>
                <w:color w:val="auto"/>
                <w:sz w:val="20"/>
                <w:szCs w:val="20"/>
              </w:rPr>
            </w:pPr>
            <w:r w:rsidRPr="00AC37DD">
              <w:rPr>
                <w:color w:val="auto"/>
                <w:sz w:val="20"/>
                <w:szCs w:val="20"/>
              </w:rPr>
              <w:t>Diagnosis</w:t>
            </w:r>
          </w:p>
        </w:tc>
        <w:tc>
          <w:tcPr>
            <w:tcW w:w="1600" w:type="dxa"/>
            <w:shd w:val="clear" w:color="auto" w:fill="auto"/>
          </w:tcPr>
          <w:p w14:paraId="67EB3CF8" w14:textId="77777777" w:rsidR="00995F56" w:rsidRPr="00AC37DD" w:rsidRDefault="00995F56" w:rsidP="003B745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AC37DD" w:rsidRPr="00AC37DD" w14:paraId="1B62BF3C"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6369188A" w14:textId="06A98EB7"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Sarcoma</w:t>
            </w:r>
          </w:p>
        </w:tc>
        <w:tc>
          <w:tcPr>
            <w:tcW w:w="1600" w:type="dxa"/>
            <w:tcBorders>
              <w:right w:val="single" w:sz="4" w:space="0" w:color="1F497D" w:themeColor="text2"/>
            </w:tcBorders>
            <w:shd w:val="clear" w:color="auto" w:fill="auto"/>
            <w:vAlign w:val="bottom"/>
          </w:tcPr>
          <w:p w14:paraId="51DF5134" w14:textId="04C10F42"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rFonts w:ascii="Calibri" w:hAnsi="Calibri"/>
                <w:color w:val="auto"/>
                <w:sz w:val="20"/>
                <w:szCs w:val="20"/>
              </w:rPr>
              <w:t>13 (20.0)</w:t>
            </w:r>
          </w:p>
        </w:tc>
      </w:tr>
      <w:tr w:rsidR="00AC37DD" w:rsidRPr="00AC37DD" w14:paraId="4EE88B4A" w14:textId="77777777" w:rsidTr="00AE7E97">
        <w:trPr>
          <w:trHeight w:val="280"/>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vAlign w:val="bottom"/>
          </w:tcPr>
          <w:p w14:paraId="364F122D" w14:textId="22DC3BAE" w:rsidR="00995F56" w:rsidRPr="00AC37DD" w:rsidRDefault="00995F56" w:rsidP="003B7457">
            <w:pPr>
              <w:widowControl w:val="0"/>
              <w:autoSpaceDE w:val="0"/>
              <w:autoSpaceDN w:val="0"/>
              <w:adjustRightInd w:val="0"/>
              <w:ind w:left="284"/>
              <w:rPr>
                <w:b w:val="0"/>
                <w:color w:val="auto"/>
                <w:sz w:val="20"/>
                <w:szCs w:val="20"/>
              </w:rPr>
            </w:pPr>
            <w:r w:rsidRPr="00AC37DD">
              <w:rPr>
                <w:rFonts w:ascii="Calibri" w:hAnsi="Calibri"/>
                <w:b w:val="0"/>
                <w:color w:val="auto"/>
                <w:sz w:val="20"/>
                <w:szCs w:val="20"/>
              </w:rPr>
              <w:t>Breast cancer</w:t>
            </w:r>
          </w:p>
        </w:tc>
        <w:tc>
          <w:tcPr>
            <w:tcW w:w="1600" w:type="dxa"/>
            <w:shd w:val="clear" w:color="auto" w:fill="auto"/>
            <w:vAlign w:val="bottom"/>
          </w:tcPr>
          <w:p w14:paraId="127916BA" w14:textId="5D789415"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12 (18.5)</w:t>
            </w:r>
          </w:p>
        </w:tc>
      </w:tr>
      <w:tr w:rsidR="00AC37DD" w:rsidRPr="00AC37DD" w14:paraId="58F7874D"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4A347784" w14:textId="31D4C94A"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Central nervous system tumour</w:t>
            </w:r>
          </w:p>
        </w:tc>
        <w:tc>
          <w:tcPr>
            <w:tcW w:w="1600" w:type="dxa"/>
            <w:tcBorders>
              <w:right w:val="single" w:sz="4" w:space="0" w:color="1F497D" w:themeColor="text2"/>
            </w:tcBorders>
            <w:shd w:val="clear" w:color="auto" w:fill="auto"/>
            <w:vAlign w:val="bottom"/>
          </w:tcPr>
          <w:p w14:paraId="59D9D06D" w14:textId="43D63558"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rFonts w:ascii="Calibri" w:hAnsi="Calibri"/>
                <w:color w:val="auto"/>
                <w:sz w:val="20"/>
                <w:szCs w:val="20"/>
              </w:rPr>
              <w:t>12 (18.5)</w:t>
            </w:r>
          </w:p>
        </w:tc>
      </w:tr>
      <w:tr w:rsidR="00AC37DD" w:rsidRPr="00AC37DD" w14:paraId="1A95AE96"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2B0E721C" w14:textId="1B9D3231"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Gastrointestinal cancer</w:t>
            </w:r>
          </w:p>
        </w:tc>
        <w:tc>
          <w:tcPr>
            <w:tcW w:w="1600" w:type="dxa"/>
            <w:shd w:val="clear" w:color="auto" w:fill="auto"/>
            <w:vAlign w:val="bottom"/>
          </w:tcPr>
          <w:p w14:paraId="643C6D8B" w14:textId="1FD55DFD"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AC37DD">
              <w:rPr>
                <w:rFonts w:ascii="Calibri" w:hAnsi="Calibri"/>
                <w:color w:val="auto"/>
                <w:sz w:val="20"/>
                <w:szCs w:val="20"/>
              </w:rPr>
              <w:t>7 (10.8)</w:t>
            </w:r>
          </w:p>
        </w:tc>
      </w:tr>
      <w:tr w:rsidR="00AC37DD" w:rsidRPr="00AC37DD" w14:paraId="7508ECD3"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7B577ABE" w14:textId="4B3AE84F"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Urological cancer</w:t>
            </w:r>
          </w:p>
        </w:tc>
        <w:tc>
          <w:tcPr>
            <w:tcW w:w="1600" w:type="dxa"/>
            <w:tcBorders>
              <w:right w:val="single" w:sz="4" w:space="0" w:color="1F497D" w:themeColor="text2"/>
            </w:tcBorders>
            <w:shd w:val="clear" w:color="auto" w:fill="auto"/>
            <w:vAlign w:val="bottom"/>
          </w:tcPr>
          <w:p w14:paraId="660CCB73" w14:textId="4D8AB098"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rFonts w:ascii="Calibri" w:hAnsi="Calibri"/>
                <w:color w:val="auto"/>
                <w:sz w:val="20"/>
                <w:szCs w:val="20"/>
              </w:rPr>
              <w:t>6 (9.2)</w:t>
            </w:r>
          </w:p>
        </w:tc>
      </w:tr>
      <w:tr w:rsidR="00AC37DD" w:rsidRPr="00AC37DD" w14:paraId="45A810F2" w14:textId="77777777" w:rsidTr="00AE7E97">
        <w:trPr>
          <w:trHeight w:val="280"/>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7272481F" w14:textId="2DEF0308"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Gynaecological cancer</w:t>
            </w:r>
          </w:p>
        </w:tc>
        <w:tc>
          <w:tcPr>
            <w:tcW w:w="1600" w:type="dxa"/>
            <w:shd w:val="clear" w:color="auto" w:fill="auto"/>
            <w:vAlign w:val="bottom"/>
          </w:tcPr>
          <w:p w14:paraId="2545B5A4" w14:textId="49FDA121"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AC37DD">
              <w:rPr>
                <w:rFonts w:ascii="Calibri" w:hAnsi="Calibri"/>
                <w:color w:val="auto"/>
                <w:sz w:val="20"/>
                <w:szCs w:val="20"/>
              </w:rPr>
              <w:t>5 (7.7)</w:t>
            </w:r>
          </w:p>
        </w:tc>
      </w:tr>
      <w:tr w:rsidR="00AC37DD" w:rsidRPr="00AC37DD" w14:paraId="7E075ABA"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5B9F0055" w14:textId="455405B3" w:rsidR="00995F56" w:rsidRPr="00AC37DD" w:rsidRDefault="00995F56" w:rsidP="008964CF">
            <w:pPr>
              <w:widowControl w:val="0"/>
              <w:autoSpaceDE w:val="0"/>
              <w:autoSpaceDN w:val="0"/>
              <w:adjustRightInd w:val="0"/>
              <w:ind w:left="284"/>
              <w:rPr>
                <w:b w:val="0"/>
                <w:color w:val="auto"/>
                <w:sz w:val="20"/>
                <w:szCs w:val="20"/>
              </w:rPr>
            </w:pPr>
            <w:r w:rsidRPr="00AC37DD">
              <w:rPr>
                <w:b w:val="0"/>
                <w:color w:val="auto"/>
                <w:sz w:val="20"/>
                <w:szCs w:val="20"/>
              </w:rPr>
              <w:t>Haematological cancer</w:t>
            </w:r>
          </w:p>
        </w:tc>
        <w:tc>
          <w:tcPr>
            <w:tcW w:w="1600" w:type="dxa"/>
            <w:tcBorders>
              <w:right w:val="single" w:sz="4" w:space="0" w:color="1F497D" w:themeColor="text2"/>
            </w:tcBorders>
            <w:shd w:val="clear" w:color="auto" w:fill="auto"/>
            <w:vAlign w:val="bottom"/>
          </w:tcPr>
          <w:p w14:paraId="7DDCB6B5" w14:textId="494183C2"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rFonts w:ascii="Calibri" w:hAnsi="Calibri"/>
                <w:color w:val="auto"/>
                <w:sz w:val="20"/>
                <w:szCs w:val="20"/>
              </w:rPr>
              <w:t>5 (7.7)</w:t>
            </w:r>
          </w:p>
        </w:tc>
      </w:tr>
      <w:tr w:rsidR="00AC37DD" w:rsidRPr="00AC37DD" w14:paraId="70AB7968"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7B3093A4" w14:textId="0525F4FB"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Lung cancer</w:t>
            </w:r>
          </w:p>
        </w:tc>
        <w:tc>
          <w:tcPr>
            <w:tcW w:w="1600" w:type="dxa"/>
            <w:shd w:val="clear" w:color="auto" w:fill="auto"/>
            <w:vAlign w:val="bottom"/>
          </w:tcPr>
          <w:p w14:paraId="119D075F" w14:textId="612D1587"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b/>
                <w:color w:val="auto"/>
                <w:sz w:val="20"/>
                <w:szCs w:val="20"/>
              </w:rPr>
            </w:pPr>
            <w:r w:rsidRPr="00AC37DD">
              <w:rPr>
                <w:rFonts w:ascii="Calibri" w:hAnsi="Calibri"/>
                <w:color w:val="auto"/>
                <w:sz w:val="20"/>
                <w:szCs w:val="20"/>
              </w:rPr>
              <w:t>3(4.6)</w:t>
            </w:r>
          </w:p>
        </w:tc>
      </w:tr>
      <w:tr w:rsidR="00AC37DD" w:rsidRPr="00AC37DD" w14:paraId="161FAC65" w14:textId="77777777" w:rsidTr="00AE7E9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7D5D6D75" w14:textId="22E1C259"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Melanoma</w:t>
            </w:r>
          </w:p>
        </w:tc>
        <w:tc>
          <w:tcPr>
            <w:tcW w:w="1600" w:type="dxa"/>
            <w:tcBorders>
              <w:right w:val="single" w:sz="4" w:space="0" w:color="1F497D" w:themeColor="text2"/>
            </w:tcBorders>
            <w:shd w:val="clear" w:color="auto" w:fill="auto"/>
            <w:vAlign w:val="bottom"/>
          </w:tcPr>
          <w:p w14:paraId="043D2A41" w14:textId="199FC013"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b/>
                <w:color w:val="auto"/>
                <w:sz w:val="20"/>
                <w:szCs w:val="20"/>
              </w:rPr>
            </w:pPr>
            <w:r w:rsidRPr="00AC37DD">
              <w:rPr>
                <w:rFonts w:ascii="Calibri" w:hAnsi="Calibri"/>
                <w:color w:val="auto"/>
                <w:sz w:val="20"/>
                <w:szCs w:val="20"/>
              </w:rPr>
              <w:t>2 (3.1)</w:t>
            </w:r>
          </w:p>
        </w:tc>
      </w:tr>
      <w:tr w:rsidR="00AC37DD" w:rsidRPr="00AC37DD" w14:paraId="6696262C"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78496090" w14:textId="063491DE" w:rsidR="00995F56" w:rsidRPr="00AC37DD" w:rsidRDefault="00995F56" w:rsidP="003B7457">
            <w:pPr>
              <w:widowControl w:val="0"/>
              <w:autoSpaceDE w:val="0"/>
              <w:autoSpaceDN w:val="0"/>
              <w:adjustRightInd w:val="0"/>
              <w:rPr>
                <w:color w:val="auto"/>
                <w:sz w:val="20"/>
                <w:szCs w:val="20"/>
              </w:rPr>
            </w:pPr>
            <w:r w:rsidRPr="00AC37DD">
              <w:rPr>
                <w:color w:val="auto"/>
                <w:sz w:val="20"/>
                <w:szCs w:val="20"/>
              </w:rPr>
              <w:t xml:space="preserve">Current treatment status </w:t>
            </w:r>
          </w:p>
        </w:tc>
        <w:tc>
          <w:tcPr>
            <w:tcW w:w="1600" w:type="dxa"/>
            <w:shd w:val="clear" w:color="auto" w:fill="auto"/>
          </w:tcPr>
          <w:p w14:paraId="320A6C59" w14:textId="77777777"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AC37DD" w:rsidRPr="00AC37DD" w14:paraId="6F0E5E1C"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29434FDC" w14:textId="77777777"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In follow-up</w:t>
            </w:r>
          </w:p>
        </w:tc>
        <w:tc>
          <w:tcPr>
            <w:tcW w:w="1600" w:type="dxa"/>
            <w:tcBorders>
              <w:right w:val="single" w:sz="4" w:space="0" w:color="1F497D" w:themeColor="text2"/>
            </w:tcBorders>
            <w:shd w:val="clear" w:color="auto" w:fill="auto"/>
            <w:vAlign w:val="bottom"/>
          </w:tcPr>
          <w:p w14:paraId="165B77A7" w14:textId="20985F30"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37 (56.9)</w:t>
            </w:r>
          </w:p>
        </w:tc>
      </w:tr>
      <w:tr w:rsidR="00AC37DD" w:rsidRPr="00AC37DD" w14:paraId="5F077E26"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153D57ED" w14:textId="77777777"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On treatment</w:t>
            </w:r>
          </w:p>
        </w:tc>
        <w:tc>
          <w:tcPr>
            <w:tcW w:w="1600" w:type="dxa"/>
            <w:shd w:val="clear" w:color="auto" w:fill="auto"/>
            <w:vAlign w:val="bottom"/>
          </w:tcPr>
          <w:p w14:paraId="6D62ED65" w14:textId="10887674"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28 (43.1)</w:t>
            </w:r>
          </w:p>
        </w:tc>
      </w:tr>
      <w:tr w:rsidR="00AC37DD" w:rsidRPr="00AC37DD" w14:paraId="17E64434" w14:textId="77777777" w:rsidTr="00AE7E9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4506C3D9" w14:textId="3FCB2612" w:rsidR="00995F56" w:rsidRPr="00AC37DD" w:rsidRDefault="00995F56" w:rsidP="003B7457">
            <w:pPr>
              <w:widowControl w:val="0"/>
              <w:autoSpaceDE w:val="0"/>
              <w:autoSpaceDN w:val="0"/>
              <w:adjustRightInd w:val="0"/>
              <w:rPr>
                <w:color w:val="auto"/>
                <w:sz w:val="20"/>
                <w:szCs w:val="20"/>
              </w:rPr>
            </w:pPr>
            <w:r w:rsidRPr="00AC37DD">
              <w:rPr>
                <w:color w:val="auto"/>
                <w:sz w:val="20"/>
                <w:szCs w:val="20"/>
              </w:rPr>
              <w:t xml:space="preserve">Treatments received </w:t>
            </w:r>
            <w:r w:rsidRPr="00AC37DD">
              <w:rPr>
                <w:b w:val="0"/>
                <w:color w:val="auto"/>
                <w:sz w:val="20"/>
                <w:szCs w:val="20"/>
              </w:rPr>
              <w:t>(N=64)</w:t>
            </w:r>
          </w:p>
        </w:tc>
        <w:tc>
          <w:tcPr>
            <w:tcW w:w="1600" w:type="dxa"/>
            <w:tcBorders>
              <w:right w:val="single" w:sz="4" w:space="0" w:color="1F497D" w:themeColor="text2"/>
            </w:tcBorders>
            <w:shd w:val="clear" w:color="auto" w:fill="auto"/>
          </w:tcPr>
          <w:p w14:paraId="2F94336D" w14:textId="77777777"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AC37DD" w:rsidRPr="00AC37DD" w14:paraId="03B2D86F"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3155ECD7" w14:textId="52E505FE"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Chemotherapy</w:t>
            </w:r>
          </w:p>
        </w:tc>
        <w:tc>
          <w:tcPr>
            <w:tcW w:w="1600" w:type="dxa"/>
            <w:shd w:val="clear" w:color="auto" w:fill="auto"/>
            <w:vAlign w:val="bottom"/>
          </w:tcPr>
          <w:p w14:paraId="486BCD92" w14:textId="5E34F497"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46 (71.9)</w:t>
            </w:r>
          </w:p>
        </w:tc>
      </w:tr>
      <w:tr w:rsidR="00AC37DD" w:rsidRPr="00AC37DD" w14:paraId="0D1FD370"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41FAB605" w14:textId="477B7A70"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Surgery</w:t>
            </w:r>
          </w:p>
        </w:tc>
        <w:tc>
          <w:tcPr>
            <w:tcW w:w="1600" w:type="dxa"/>
            <w:tcBorders>
              <w:right w:val="single" w:sz="4" w:space="0" w:color="1F497D" w:themeColor="text2"/>
            </w:tcBorders>
            <w:shd w:val="clear" w:color="auto" w:fill="auto"/>
            <w:vAlign w:val="bottom"/>
          </w:tcPr>
          <w:p w14:paraId="4A25B269" w14:textId="30982464"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38 (59.4)</w:t>
            </w:r>
          </w:p>
        </w:tc>
      </w:tr>
      <w:tr w:rsidR="00AC37DD" w:rsidRPr="00AC37DD" w14:paraId="5D3AF76E"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4F0923AF" w14:textId="1AD2E6CD"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Radiotherapy</w:t>
            </w:r>
          </w:p>
        </w:tc>
        <w:tc>
          <w:tcPr>
            <w:tcW w:w="1600" w:type="dxa"/>
            <w:shd w:val="clear" w:color="auto" w:fill="auto"/>
            <w:vAlign w:val="bottom"/>
          </w:tcPr>
          <w:p w14:paraId="2CAACEFC" w14:textId="57B8DA82"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28 (43.8)</w:t>
            </w:r>
          </w:p>
        </w:tc>
      </w:tr>
      <w:tr w:rsidR="00AC37DD" w:rsidRPr="00AC37DD" w14:paraId="6671183E" w14:textId="77777777" w:rsidTr="00AE7E9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0DFD1B0E" w14:textId="6C72E223"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Clinical trial</w:t>
            </w:r>
          </w:p>
        </w:tc>
        <w:tc>
          <w:tcPr>
            <w:tcW w:w="1600" w:type="dxa"/>
            <w:tcBorders>
              <w:right w:val="single" w:sz="4" w:space="0" w:color="1F497D" w:themeColor="text2"/>
            </w:tcBorders>
            <w:shd w:val="clear" w:color="auto" w:fill="auto"/>
            <w:vAlign w:val="bottom"/>
          </w:tcPr>
          <w:p w14:paraId="42039112" w14:textId="69A38052"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13 (20.3)</w:t>
            </w:r>
          </w:p>
        </w:tc>
      </w:tr>
      <w:tr w:rsidR="00AC37DD" w:rsidRPr="00AC37DD" w14:paraId="379C61DD"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13B55DF8" w14:textId="19BCCB6D"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Hormone therapy</w:t>
            </w:r>
          </w:p>
        </w:tc>
        <w:tc>
          <w:tcPr>
            <w:tcW w:w="1600" w:type="dxa"/>
            <w:shd w:val="clear" w:color="auto" w:fill="auto"/>
            <w:vAlign w:val="bottom"/>
          </w:tcPr>
          <w:p w14:paraId="2FE29E1B" w14:textId="407EB47D"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7 (10.9)</w:t>
            </w:r>
          </w:p>
        </w:tc>
      </w:tr>
      <w:tr w:rsidR="00AC37DD" w:rsidRPr="00AC37DD" w14:paraId="01F642A5"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5150A9DF" w14:textId="3EE8539A"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Immunotherapy</w:t>
            </w:r>
          </w:p>
        </w:tc>
        <w:tc>
          <w:tcPr>
            <w:tcW w:w="1600" w:type="dxa"/>
            <w:tcBorders>
              <w:right w:val="single" w:sz="4" w:space="0" w:color="1F497D" w:themeColor="text2"/>
            </w:tcBorders>
            <w:shd w:val="clear" w:color="auto" w:fill="auto"/>
            <w:vAlign w:val="bottom"/>
          </w:tcPr>
          <w:p w14:paraId="1E919DCA" w14:textId="57DEEC10"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7 (10.9)</w:t>
            </w:r>
          </w:p>
        </w:tc>
      </w:tr>
      <w:tr w:rsidR="00AC37DD" w:rsidRPr="00AC37DD" w14:paraId="22B6873B" w14:textId="77777777" w:rsidTr="00AE7E97">
        <w:trPr>
          <w:trHeight w:val="280"/>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3D57BB6A" w14:textId="1880EA37"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No treatment</w:t>
            </w:r>
          </w:p>
        </w:tc>
        <w:tc>
          <w:tcPr>
            <w:tcW w:w="1600" w:type="dxa"/>
            <w:shd w:val="clear" w:color="auto" w:fill="auto"/>
            <w:vAlign w:val="bottom"/>
          </w:tcPr>
          <w:p w14:paraId="69BDB5FC" w14:textId="1E12F4B0"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5 (7.8)</w:t>
            </w:r>
          </w:p>
        </w:tc>
      </w:tr>
      <w:tr w:rsidR="00AC37DD" w:rsidRPr="00AC37DD" w14:paraId="38585462"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7C14A129" w14:textId="2F963FC9"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Targeted therapy</w:t>
            </w:r>
          </w:p>
        </w:tc>
        <w:tc>
          <w:tcPr>
            <w:tcW w:w="1600" w:type="dxa"/>
            <w:tcBorders>
              <w:right w:val="single" w:sz="4" w:space="0" w:color="1F497D" w:themeColor="text2"/>
            </w:tcBorders>
            <w:shd w:val="clear" w:color="auto" w:fill="auto"/>
            <w:vAlign w:val="bottom"/>
          </w:tcPr>
          <w:p w14:paraId="3E778A32" w14:textId="5841B35E"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5 (7.8)</w:t>
            </w:r>
          </w:p>
        </w:tc>
      </w:tr>
      <w:tr w:rsidR="00AC37DD" w:rsidRPr="00AC37DD" w14:paraId="0F1A70A5"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68DE45F8" w14:textId="7B1752CB"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Bone marrow or stem cell transplant</w:t>
            </w:r>
          </w:p>
        </w:tc>
        <w:tc>
          <w:tcPr>
            <w:tcW w:w="1600" w:type="dxa"/>
            <w:shd w:val="clear" w:color="auto" w:fill="auto"/>
            <w:vAlign w:val="bottom"/>
          </w:tcPr>
          <w:p w14:paraId="322F233F" w14:textId="6B8AF629"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1 (1.6)</w:t>
            </w:r>
          </w:p>
        </w:tc>
      </w:tr>
      <w:tr w:rsidR="00AC37DD" w:rsidRPr="00AC37DD" w14:paraId="113298D6"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2BB2F30A" w14:textId="59762B29"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Brachytherapy</w:t>
            </w:r>
          </w:p>
        </w:tc>
        <w:tc>
          <w:tcPr>
            <w:tcW w:w="1600" w:type="dxa"/>
            <w:tcBorders>
              <w:right w:val="single" w:sz="4" w:space="0" w:color="1F497D" w:themeColor="text2"/>
            </w:tcBorders>
            <w:shd w:val="clear" w:color="auto" w:fill="auto"/>
            <w:vAlign w:val="bottom"/>
          </w:tcPr>
          <w:p w14:paraId="0B22825B" w14:textId="4D127B01"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1 (1.6)</w:t>
            </w:r>
          </w:p>
        </w:tc>
      </w:tr>
      <w:tr w:rsidR="00AC37DD" w:rsidRPr="00AC37DD" w14:paraId="73E0B7F3" w14:textId="77777777" w:rsidTr="00AE7E97">
        <w:trPr>
          <w:trHeight w:val="280"/>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424D5634" w14:textId="17102BB4" w:rsidR="00995F56" w:rsidRPr="00AC37DD" w:rsidRDefault="00995F56" w:rsidP="003B7457">
            <w:pPr>
              <w:widowControl w:val="0"/>
              <w:autoSpaceDE w:val="0"/>
              <w:autoSpaceDN w:val="0"/>
              <w:adjustRightInd w:val="0"/>
              <w:rPr>
                <w:color w:val="auto"/>
                <w:sz w:val="20"/>
                <w:szCs w:val="20"/>
              </w:rPr>
            </w:pPr>
            <w:r w:rsidRPr="00AC37DD">
              <w:rPr>
                <w:color w:val="auto"/>
                <w:sz w:val="20"/>
                <w:szCs w:val="20"/>
              </w:rPr>
              <w:t xml:space="preserve">Treatment intent </w:t>
            </w:r>
            <w:r w:rsidRPr="00AC37DD">
              <w:rPr>
                <w:b w:val="0"/>
                <w:color w:val="auto"/>
                <w:sz w:val="20"/>
                <w:szCs w:val="20"/>
              </w:rPr>
              <w:t>(N=60)</w:t>
            </w:r>
          </w:p>
        </w:tc>
        <w:tc>
          <w:tcPr>
            <w:tcW w:w="1600" w:type="dxa"/>
            <w:shd w:val="clear" w:color="auto" w:fill="auto"/>
          </w:tcPr>
          <w:p w14:paraId="2BF0E8BA" w14:textId="77777777"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AC37DD" w:rsidRPr="00AC37DD" w14:paraId="743428DC"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0EFDD17A" w14:textId="77777777"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Curative</w:t>
            </w:r>
          </w:p>
        </w:tc>
        <w:tc>
          <w:tcPr>
            <w:tcW w:w="1600" w:type="dxa"/>
            <w:tcBorders>
              <w:right w:val="single" w:sz="4" w:space="0" w:color="1F497D" w:themeColor="text2"/>
            </w:tcBorders>
            <w:shd w:val="clear" w:color="auto" w:fill="auto"/>
            <w:vAlign w:val="bottom"/>
          </w:tcPr>
          <w:p w14:paraId="3A59F3E3" w14:textId="5905B5CB"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40 (66.7)</w:t>
            </w:r>
          </w:p>
        </w:tc>
      </w:tr>
      <w:tr w:rsidR="00AC37DD" w:rsidRPr="00AC37DD" w14:paraId="15BB9B08"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10108599" w14:textId="77777777"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Unknown</w:t>
            </w:r>
          </w:p>
        </w:tc>
        <w:tc>
          <w:tcPr>
            <w:tcW w:w="1600" w:type="dxa"/>
            <w:shd w:val="clear" w:color="auto" w:fill="auto"/>
            <w:vAlign w:val="bottom"/>
          </w:tcPr>
          <w:p w14:paraId="64E1F3DB" w14:textId="4B1C242E"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12 (20.0)</w:t>
            </w:r>
          </w:p>
        </w:tc>
      </w:tr>
      <w:tr w:rsidR="00AC37DD" w:rsidRPr="00AC37DD" w14:paraId="5A4CDF6B"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593732C2" w14:textId="77777777"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Palliative</w:t>
            </w:r>
          </w:p>
        </w:tc>
        <w:tc>
          <w:tcPr>
            <w:tcW w:w="1600" w:type="dxa"/>
            <w:tcBorders>
              <w:right w:val="single" w:sz="4" w:space="0" w:color="1F497D" w:themeColor="text2"/>
            </w:tcBorders>
            <w:shd w:val="clear" w:color="auto" w:fill="auto"/>
            <w:vAlign w:val="bottom"/>
          </w:tcPr>
          <w:p w14:paraId="35A326CD" w14:textId="11A4E715"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8 (13.3)</w:t>
            </w:r>
          </w:p>
        </w:tc>
      </w:tr>
      <w:tr w:rsidR="00AC37DD" w:rsidRPr="00AC37DD" w14:paraId="1F13FD2F" w14:textId="77777777" w:rsidTr="00AE7E97">
        <w:trPr>
          <w:trHeight w:val="280"/>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1812D7D9" w14:textId="4A3203CC" w:rsidR="00995F56" w:rsidRPr="00AC37DD" w:rsidRDefault="00995F56" w:rsidP="003B7457">
            <w:pPr>
              <w:widowControl w:val="0"/>
              <w:autoSpaceDE w:val="0"/>
              <w:autoSpaceDN w:val="0"/>
              <w:adjustRightInd w:val="0"/>
              <w:rPr>
                <w:b w:val="0"/>
                <w:color w:val="auto"/>
                <w:sz w:val="20"/>
                <w:szCs w:val="20"/>
              </w:rPr>
            </w:pPr>
            <w:r w:rsidRPr="00AC37DD">
              <w:rPr>
                <w:color w:val="auto"/>
                <w:sz w:val="20"/>
                <w:szCs w:val="20"/>
              </w:rPr>
              <w:t xml:space="preserve">Disease recurrence </w:t>
            </w:r>
            <w:r w:rsidRPr="00AC37DD">
              <w:rPr>
                <w:b w:val="0"/>
                <w:color w:val="auto"/>
                <w:sz w:val="20"/>
                <w:szCs w:val="20"/>
              </w:rPr>
              <w:t>(N=61)</w:t>
            </w:r>
          </w:p>
        </w:tc>
        <w:tc>
          <w:tcPr>
            <w:tcW w:w="1600" w:type="dxa"/>
            <w:shd w:val="clear" w:color="auto" w:fill="auto"/>
          </w:tcPr>
          <w:p w14:paraId="25EF6D29" w14:textId="77777777"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AC37DD" w:rsidRPr="00AC37DD" w14:paraId="742E7331"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20D515D9" w14:textId="4B64193D"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No</w:t>
            </w:r>
          </w:p>
        </w:tc>
        <w:tc>
          <w:tcPr>
            <w:tcW w:w="1600" w:type="dxa"/>
            <w:tcBorders>
              <w:right w:val="single" w:sz="4" w:space="0" w:color="1F497D" w:themeColor="text2"/>
            </w:tcBorders>
            <w:shd w:val="clear" w:color="auto" w:fill="auto"/>
            <w:vAlign w:val="bottom"/>
          </w:tcPr>
          <w:p w14:paraId="29B3EF0A" w14:textId="7E41D975"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41 (67.2)</w:t>
            </w:r>
          </w:p>
        </w:tc>
      </w:tr>
      <w:tr w:rsidR="00AC37DD" w:rsidRPr="00AC37DD" w14:paraId="248866E8"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1AEAD8C2" w14:textId="5A2917A5"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Yes</w:t>
            </w:r>
          </w:p>
        </w:tc>
        <w:tc>
          <w:tcPr>
            <w:tcW w:w="1600" w:type="dxa"/>
            <w:shd w:val="clear" w:color="auto" w:fill="auto"/>
            <w:vAlign w:val="bottom"/>
          </w:tcPr>
          <w:p w14:paraId="3E8A3E54" w14:textId="3F404C9F"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10 (16.4)</w:t>
            </w:r>
          </w:p>
        </w:tc>
      </w:tr>
      <w:tr w:rsidR="00AC37DD" w:rsidRPr="00AC37DD" w14:paraId="54C869A0" w14:textId="77777777" w:rsidTr="00AE7E9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720CB21E" w14:textId="757CF0A7"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Not applicable</w:t>
            </w:r>
          </w:p>
        </w:tc>
        <w:tc>
          <w:tcPr>
            <w:tcW w:w="1600" w:type="dxa"/>
            <w:tcBorders>
              <w:right w:val="single" w:sz="4" w:space="0" w:color="1F497D" w:themeColor="text2"/>
            </w:tcBorders>
            <w:shd w:val="clear" w:color="auto" w:fill="auto"/>
            <w:vAlign w:val="bottom"/>
          </w:tcPr>
          <w:p w14:paraId="6C1A2161" w14:textId="20C857FD"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10 (16.4)</w:t>
            </w:r>
          </w:p>
        </w:tc>
      </w:tr>
      <w:tr w:rsidR="00AC37DD" w:rsidRPr="00AC37DD" w14:paraId="7EBE14DE"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32305365" w14:textId="13DC3818" w:rsidR="00995F56" w:rsidRPr="00AC37DD" w:rsidRDefault="00995F56" w:rsidP="003B7457">
            <w:pPr>
              <w:widowControl w:val="0"/>
              <w:autoSpaceDE w:val="0"/>
              <w:autoSpaceDN w:val="0"/>
              <w:adjustRightInd w:val="0"/>
              <w:rPr>
                <w:b w:val="0"/>
                <w:color w:val="auto"/>
                <w:sz w:val="20"/>
                <w:szCs w:val="20"/>
              </w:rPr>
            </w:pPr>
            <w:r w:rsidRPr="00AC37DD">
              <w:rPr>
                <w:color w:val="auto"/>
                <w:sz w:val="20"/>
                <w:szCs w:val="20"/>
              </w:rPr>
              <w:t xml:space="preserve">Number of comorbidities </w:t>
            </w:r>
            <w:r w:rsidRPr="00AC37DD">
              <w:rPr>
                <w:b w:val="0"/>
                <w:color w:val="auto"/>
                <w:sz w:val="20"/>
                <w:szCs w:val="20"/>
              </w:rPr>
              <w:t>(N=61)</w:t>
            </w:r>
          </w:p>
        </w:tc>
        <w:tc>
          <w:tcPr>
            <w:tcW w:w="1600" w:type="dxa"/>
            <w:shd w:val="clear" w:color="auto" w:fill="auto"/>
          </w:tcPr>
          <w:p w14:paraId="02FC19CB" w14:textId="77777777"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AC37DD" w:rsidRPr="00AC37DD" w14:paraId="681DB47E" w14:textId="77777777" w:rsidTr="00AE7E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0B3A0497" w14:textId="1D3676A0"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None</w:t>
            </w:r>
          </w:p>
        </w:tc>
        <w:tc>
          <w:tcPr>
            <w:tcW w:w="1600" w:type="dxa"/>
            <w:tcBorders>
              <w:right w:val="single" w:sz="4" w:space="0" w:color="1F497D" w:themeColor="text2"/>
            </w:tcBorders>
            <w:shd w:val="clear" w:color="auto" w:fill="auto"/>
            <w:vAlign w:val="bottom"/>
          </w:tcPr>
          <w:p w14:paraId="4BCED61E" w14:textId="40E451C9"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45 (73.8)</w:t>
            </w:r>
          </w:p>
        </w:tc>
      </w:tr>
      <w:tr w:rsidR="00AC37DD" w:rsidRPr="00AC37DD" w14:paraId="076A95A9" w14:textId="77777777" w:rsidTr="00AE7E97">
        <w:trPr>
          <w:trHeight w:val="264"/>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5CDCC4F7" w14:textId="2DAB97C8"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1</w:t>
            </w:r>
          </w:p>
        </w:tc>
        <w:tc>
          <w:tcPr>
            <w:tcW w:w="1600" w:type="dxa"/>
            <w:shd w:val="clear" w:color="auto" w:fill="auto"/>
            <w:vAlign w:val="bottom"/>
          </w:tcPr>
          <w:p w14:paraId="1C7D213B" w14:textId="122273CC"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12 (19.7)</w:t>
            </w:r>
          </w:p>
        </w:tc>
      </w:tr>
      <w:tr w:rsidR="00AC37DD" w:rsidRPr="00AC37DD" w14:paraId="10D68854" w14:textId="77777777" w:rsidTr="00AE7E9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tcBorders>
            <w:shd w:val="clear" w:color="auto" w:fill="auto"/>
          </w:tcPr>
          <w:p w14:paraId="071B3FCA" w14:textId="03E160F2"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2</w:t>
            </w:r>
          </w:p>
        </w:tc>
        <w:tc>
          <w:tcPr>
            <w:tcW w:w="1600" w:type="dxa"/>
            <w:tcBorders>
              <w:right w:val="single" w:sz="4" w:space="0" w:color="1F497D" w:themeColor="text2"/>
            </w:tcBorders>
            <w:shd w:val="clear" w:color="auto" w:fill="auto"/>
            <w:vAlign w:val="bottom"/>
          </w:tcPr>
          <w:p w14:paraId="3B6AD950" w14:textId="4EC1228A" w:rsidR="00995F56" w:rsidRPr="00AC37DD" w:rsidRDefault="00995F56" w:rsidP="003B7457">
            <w:pPr>
              <w:widowControl w:val="0"/>
              <w:autoSpaceDE w:val="0"/>
              <w:autoSpaceDN w:val="0"/>
              <w:adjustRightInd w:val="0"/>
              <w:ind w:right="540"/>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0AC37DD">
              <w:rPr>
                <w:rFonts w:ascii="Calibri" w:hAnsi="Calibri"/>
                <w:color w:val="auto"/>
                <w:sz w:val="20"/>
                <w:szCs w:val="20"/>
              </w:rPr>
              <w:t>1 (1.6)</w:t>
            </w:r>
          </w:p>
        </w:tc>
      </w:tr>
      <w:tr w:rsidR="00AC37DD" w:rsidRPr="00AC37DD" w14:paraId="341EE6AD" w14:textId="77777777" w:rsidTr="00AE7E97">
        <w:trPr>
          <w:trHeight w:val="280"/>
        </w:trPr>
        <w:tc>
          <w:tcPr>
            <w:cnfStyle w:val="001000000000" w:firstRow="0" w:lastRow="0" w:firstColumn="1" w:lastColumn="0" w:oddVBand="0" w:evenVBand="0" w:oddHBand="0" w:evenHBand="0" w:firstRowFirstColumn="0" w:firstRowLastColumn="0" w:lastRowFirstColumn="0" w:lastRowLastColumn="0"/>
            <w:tcW w:w="3880" w:type="dxa"/>
            <w:tcBorders>
              <w:left w:val="single" w:sz="4" w:space="0" w:color="1F497D" w:themeColor="text2"/>
              <w:bottom w:val="single" w:sz="4" w:space="0" w:color="1F497D" w:themeColor="text2"/>
            </w:tcBorders>
            <w:shd w:val="clear" w:color="auto" w:fill="auto"/>
          </w:tcPr>
          <w:p w14:paraId="7C6FBB7A" w14:textId="6A3413BD" w:rsidR="00995F56" w:rsidRPr="00AC37DD" w:rsidRDefault="00995F56" w:rsidP="003B7457">
            <w:pPr>
              <w:widowControl w:val="0"/>
              <w:autoSpaceDE w:val="0"/>
              <w:autoSpaceDN w:val="0"/>
              <w:adjustRightInd w:val="0"/>
              <w:ind w:left="284"/>
              <w:rPr>
                <w:b w:val="0"/>
                <w:color w:val="auto"/>
                <w:sz w:val="20"/>
                <w:szCs w:val="20"/>
              </w:rPr>
            </w:pPr>
            <w:r w:rsidRPr="00AC37DD">
              <w:rPr>
                <w:b w:val="0"/>
                <w:color w:val="auto"/>
                <w:sz w:val="20"/>
                <w:szCs w:val="20"/>
              </w:rPr>
              <w:t>3</w:t>
            </w:r>
          </w:p>
        </w:tc>
        <w:tc>
          <w:tcPr>
            <w:tcW w:w="1600" w:type="dxa"/>
            <w:tcBorders>
              <w:bottom w:val="single" w:sz="4" w:space="0" w:color="1F497D" w:themeColor="text2"/>
            </w:tcBorders>
            <w:shd w:val="clear" w:color="auto" w:fill="auto"/>
            <w:vAlign w:val="bottom"/>
          </w:tcPr>
          <w:p w14:paraId="65782311" w14:textId="6256E245" w:rsidR="00995F56" w:rsidRPr="00AC37DD" w:rsidRDefault="00995F56" w:rsidP="003B7457">
            <w:pPr>
              <w:widowControl w:val="0"/>
              <w:autoSpaceDE w:val="0"/>
              <w:autoSpaceDN w:val="0"/>
              <w:adjustRightInd w:val="0"/>
              <w:ind w:right="540"/>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0AC37DD">
              <w:rPr>
                <w:rFonts w:ascii="Calibri" w:hAnsi="Calibri"/>
                <w:color w:val="auto"/>
                <w:sz w:val="20"/>
                <w:szCs w:val="20"/>
              </w:rPr>
              <w:t>3 (4.9)</w:t>
            </w:r>
          </w:p>
        </w:tc>
      </w:tr>
    </w:tbl>
    <w:p w14:paraId="58015218" w14:textId="77777777" w:rsidR="00AE7836" w:rsidRPr="00AC37DD" w:rsidRDefault="00AE7836" w:rsidP="003B7457">
      <w:pPr>
        <w:widowControl w:val="0"/>
        <w:autoSpaceDE w:val="0"/>
        <w:autoSpaceDN w:val="0"/>
        <w:adjustRightInd w:val="0"/>
        <w:spacing w:line="480" w:lineRule="auto"/>
        <w:rPr>
          <w:b/>
          <w:sz w:val="20"/>
          <w:szCs w:val="20"/>
        </w:rPr>
      </w:pPr>
    </w:p>
    <w:p w14:paraId="352A98F7" w14:textId="77777777" w:rsidR="005230AF" w:rsidRPr="00AC37DD" w:rsidRDefault="005230AF" w:rsidP="003B7457">
      <w:pPr>
        <w:widowControl w:val="0"/>
        <w:autoSpaceDE w:val="0"/>
        <w:autoSpaceDN w:val="0"/>
        <w:adjustRightInd w:val="0"/>
        <w:spacing w:line="480" w:lineRule="auto"/>
        <w:rPr>
          <w:b/>
          <w:sz w:val="20"/>
          <w:szCs w:val="20"/>
        </w:rPr>
      </w:pPr>
    </w:p>
    <w:p w14:paraId="1C67AD60" w14:textId="77777777" w:rsidR="00504012" w:rsidRPr="00AC37DD" w:rsidRDefault="00504012">
      <w:pPr>
        <w:rPr>
          <w:b/>
          <w:sz w:val="20"/>
          <w:szCs w:val="20"/>
        </w:rPr>
      </w:pPr>
      <w:r w:rsidRPr="00AC37DD">
        <w:rPr>
          <w:b/>
          <w:sz w:val="20"/>
          <w:szCs w:val="20"/>
        </w:rPr>
        <w:br w:type="page"/>
      </w:r>
    </w:p>
    <w:p w14:paraId="6FB86ADD" w14:textId="77777777" w:rsidR="001B7439" w:rsidRPr="00AC37DD" w:rsidRDefault="001B7439" w:rsidP="003B7457">
      <w:pPr>
        <w:widowControl w:val="0"/>
        <w:autoSpaceDE w:val="0"/>
        <w:autoSpaceDN w:val="0"/>
        <w:adjustRightInd w:val="0"/>
        <w:spacing w:line="480" w:lineRule="auto"/>
        <w:rPr>
          <w:b/>
          <w:sz w:val="20"/>
          <w:szCs w:val="20"/>
        </w:rPr>
        <w:sectPr w:rsidR="001B7439" w:rsidRPr="00AC37DD" w:rsidSect="0066361C">
          <w:footerReference w:type="default" r:id="rId9"/>
          <w:pgSz w:w="11906" w:h="16838"/>
          <w:pgMar w:top="1440" w:right="1440" w:bottom="1440" w:left="1440" w:header="708" w:footer="708" w:gutter="0"/>
          <w:cols w:space="708"/>
          <w:titlePg/>
          <w:docGrid w:linePitch="360"/>
        </w:sectPr>
      </w:pPr>
    </w:p>
    <w:p w14:paraId="7D47F674" w14:textId="15E0E4DB" w:rsidR="009C73A3" w:rsidRPr="00AC37DD" w:rsidRDefault="00BB5A4D" w:rsidP="003B7457">
      <w:pPr>
        <w:widowControl w:val="0"/>
        <w:autoSpaceDE w:val="0"/>
        <w:autoSpaceDN w:val="0"/>
        <w:adjustRightInd w:val="0"/>
        <w:spacing w:line="480" w:lineRule="auto"/>
        <w:rPr>
          <w:b/>
          <w:sz w:val="20"/>
          <w:szCs w:val="20"/>
        </w:rPr>
      </w:pPr>
      <w:r w:rsidRPr="00AC37DD">
        <w:rPr>
          <w:b/>
          <w:sz w:val="20"/>
          <w:szCs w:val="20"/>
        </w:rPr>
        <w:lastRenderedPageBreak/>
        <w:t>Table 4</w:t>
      </w:r>
      <w:r w:rsidR="00252821" w:rsidRPr="00AC37DD">
        <w:rPr>
          <w:b/>
          <w:sz w:val="20"/>
          <w:szCs w:val="20"/>
        </w:rPr>
        <w:t xml:space="preserve">: </w:t>
      </w:r>
      <w:r w:rsidR="004506EC" w:rsidRPr="00AC37DD">
        <w:rPr>
          <w:b/>
          <w:sz w:val="20"/>
          <w:szCs w:val="20"/>
        </w:rPr>
        <w:t>Coding hierarchy</w:t>
      </w:r>
    </w:p>
    <w:tbl>
      <w:tblPr>
        <w:tblStyle w:val="TableGrid"/>
        <w:tblW w:w="1400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top w:w="57" w:type="dxa"/>
          <w:left w:w="85" w:type="dxa"/>
          <w:bottom w:w="108" w:type="dxa"/>
          <w:right w:w="85" w:type="dxa"/>
        </w:tblCellMar>
        <w:tblLook w:val="04A0" w:firstRow="1" w:lastRow="0" w:firstColumn="1" w:lastColumn="0" w:noHBand="0" w:noVBand="1"/>
      </w:tblPr>
      <w:tblGrid>
        <w:gridCol w:w="817"/>
        <w:gridCol w:w="1418"/>
        <w:gridCol w:w="1417"/>
        <w:gridCol w:w="992"/>
        <w:gridCol w:w="9356"/>
      </w:tblGrid>
      <w:tr w:rsidR="00AC37DD" w:rsidRPr="00AC37DD" w14:paraId="1F104834" w14:textId="77777777" w:rsidTr="00FE040A">
        <w:trPr>
          <w:trHeight w:val="383"/>
        </w:trPr>
        <w:tc>
          <w:tcPr>
            <w:tcW w:w="817" w:type="dxa"/>
            <w:tcBorders>
              <w:bottom w:val="single" w:sz="12" w:space="0" w:color="1F497D" w:themeColor="text2"/>
            </w:tcBorders>
          </w:tcPr>
          <w:p w14:paraId="1CFE2190" w14:textId="77777777" w:rsidR="009F2547" w:rsidRPr="00AC37DD" w:rsidRDefault="009F2547" w:rsidP="009F2547">
            <w:pPr>
              <w:widowControl w:val="0"/>
              <w:autoSpaceDE w:val="0"/>
              <w:autoSpaceDN w:val="0"/>
              <w:adjustRightInd w:val="0"/>
              <w:spacing w:after="200" w:line="276" w:lineRule="auto"/>
              <w:rPr>
                <w:b/>
                <w:sz w:val="20"/>
                <w:szCs w:val="20"/>
              </w:rPr>
            </w:pPr>
            <w:r w:rsidRPr="00AC37DD">
              <w:rPr>
                <w:b/>
                <w:sz w:val="20"/>
                <w:szCs w:val="20"/>
              </w:rPr>
              <w:t>Theme</w:t>
            </w:r>
          </w:p>
        </w:tc>
        <w:tc>
          <w:tcPr>
            <w:tcW w:w="1418" w:type="dxa"/>
            <w:tcBorders>
              <w:bottom w:val="single" w:sz="12" w:space="0" w:color="1F497D" w:themeColor="text2"/>
            </w:tcBorders>
          </w:tcPr>
          <w:p w14:paraId="5C5A4D07" w14:textId="77777777" w:rsidR="009F2547" w:rsidRPr="00AC37DD" w:rsidRDefault="009F2547" w:rsidP="009F2547">
            <w:pPr>
              <w:widowControl w:val="0"/>
              <w:autoSpaceDE w:val="0"/>
              <w:autoSpaceDN w:val="0"/>
              <w:adjustRightInd w:val="0"/>
              <w:spacing w:after="200" w:line="276" w:lineRule="auto"/>
              <w:rPr>
                <w:b/>
                <w:sz w:val="20"/>
                <w:szCs w:val="20"/>
              </w:rPr>
            </w:pPr>
            <w:r w:rsidRPr="00AC37DD">
              <w:rPr>
                <w:b/>
                <w:sz w:val="20"/>
                <w:szCs w:val="20"/>
              </w:rPr>
              <w:t>Subtheme</w:t>
            </w:r>
          </w:p>
        </w:tc>
        <w:tc>
          <w:tcPr>
            <w:tcW w:w="1417" w:type="dxa"/>
            <w:tcBorders>
              <w:bottom w:val="single" w:sz="12" w:space="0" w:color="1F497D" w:themeColor="text2"/>
            </w:tcBorders>
          </w:tcPr>
          <w:p w14:paraId="0F49FCD5" w14:textId="77777777" w:rsidR="009F2547" w:rsidRPr="00AC37DD" w:rsidRDefault="009F2547" w:rsidP="009F2547">
            <w:pPr>
              <w:widowControl w:val="0"/>
              <w:autoSpaceDE w:val="0"/>
              <w:autoSpaceDN w:val="0"/>
              <w:adjustRightInd w:val="0"/>
              <w:rPr>
                <w:b/>
                <w:sz w:val="20"/>
                <w:szCs w:val="20"/>
              </w:rPr>
            </w:pPr>
            <w:r w:rsidRPr="00AC37DD">
              <w:rPr>
                <w:b/>
                <w:sz w:val="20"/>
                <w:szCs w:val="20"/>
              </w:rPr>
              <w:t>Code</w:t>
            </w:r>
          </w:p>
        </w:tc>
        <w:tc>
          <w:tcPr>
            <w:tcW w:w="992" w:type="dxa"/>
            <w:tcBorders>
              <w:bottom w:val="single" w:sz="12" w:space="0" w:color="1F497D" w:themeColor="text2"/>
            </w:tcBorders>
          </w:tcPr>
          <w:p w14:paraId="24753173" w14:textId="77777777" w:rsidR="009F2547" w:rsidRPr="00AC37DD" w:rsidRDefault="009F2547" w:rsidP="009F2547">
            <w:pPr>
              <w:widowControl w:val="0"/>
              <w:autoSpaceDE w:val="0"/>
              <w:autoSpaceDN w:val="0"/>
              <w:adjustRightInd w:val="0"/>
              <w:spacing w:line="276" w:lineRule="auto"/>
              <w:rPr>
                <w:b/>
                <w:sz w:val="20"/>
                <w:szCs w:val="20"/>
              </w:rPr>
            </w:pPr>
            <w:r w:rsidRPr="00AC37DD">
              <w:rPr>
                <w:b/>
                <w:sz w:val="20"/>
                <w:szCs w:val="20"/>
              </w:rPr>
              <w:t>In-text reference</w:t>
            </w:r>
          </w:p>
        </w:tc>
        <w:tc>
          <w:tcPr>
            <w:tcW w:w="9356" w:type="dxa"/>
            <w:tcBorders>
              <w:bottom w:val="single" w:sz="12" w:space="0" w:color="1F497D" w:themeColor="text2"/>
            </w:tcBorders>
          </w:tcPr>
          <w:p w14:paraId="3EF6D9DA" w14:textId="77777777" w:rsidR="009F2547" w:rsidRPr="00AC37DD" w:rsidRDefault="009F2547" w:rsidP="009F2547">
            <w:pPr>
              <w:widowControl w:val="0"/>
              <w:autoSpaceDE w:val="0"/>
              <w:autoSpaceDN w:val="0"/>
              <w:adjustRightInd w:val="0"/>
              <w:spacing w:after="200" w:line="276" w:lineRule="auto"/>
              <w:rPr>
                <w:b/>
                <w:sz w:val="20"/>
                <w:szCs w:val="20"/>
              </w:rPr>
            </w:pPr>
            <w:r w:rsidRPr="00AC37DD">
              <w:rPr>
                <w:b/>
                <w:sz w:val="20"/>
                <w:szCs w:val="20"/>
              </w:rPr>
              <w:t xml:space="preserve">Example excerpts </w:t>
            </w:r>
          </w:p>
        </w:tc>
      </w:tr>
      <w:tr w:rsidR="00AC37DD" w:rsidRPr="00AC37DD" w14:paraId="02F57E5E" w14:textId="77777777" w:rsidTr="00FE040A">
        <w:tc>
          <w:tcPr>
            <w:tcW w:w="817" w:type="dxa"/>
            <w:vMerge w:val="restart"/>
            <w:tcBorders>
              <w:top w:val="single" w:sz="12" w:space="0" w:color="1F497D" w:themeColor="text2"/>
            </w:tcBorders>
            <w:textDirection w:val="btLr"/>
          </w:tcPr>
          <w:p w14:paraId="4EAEBBB8" w14:textId="77777777" w:rsidR="009F2547" w:rsidRPr="00AC37DD" w:rsidRDefault="009F2547" w:rsidP="009F2547">
            <w:pPr>
              <w:widowControl w:val="0"/>
              <w:autoSpaceDE w:val="0"/>
              <w:autoSpaceDN w:val="0"/>
              <w:adjustRightInd w:val="0"/>
              <w:ind w:left="113" w:right="113"/>
              <w:rPr>
                <w:b/>
                <w:sz w:val="20"/>
                <w:szCs w:val="20"/>
              </w:rPr>
            </w:pPr>
            <w:r w:rsidRPr="00AC37DD">
              <w:rPr>
                <w:b/>
                <w:sz w:val="20"/>
                <w:szCs w:val="20"/>
              </w:rPr>
              <w:t>1. Competing responsibilities</w:t>
            </w:r>
          </w:p>
        </w:tc>
        <w:tc>
          <w:tcPr>
            <w:tcW w:w="1418" w:type="dxa"/>
            <w:vMerge w:val="restart"/>
            <w:tcBorders>
              <w:top w:val="single" w:sz="12" w:space="0" w:color="1F497D" w:themeColor="text2"/>
              <w:bottom w:val="single" w:sz="4" w:space="0" w:color="1F497D" w:themeColor="text2"/>
            </w:tcBorders>
          </w:tcPr>
          <w:p w14:paraId="206470F7" w14:textId="77777777" w:rsidR="009F2547" w:rsidRPr="00AC37DD" w:rsidRDefault="009F2547" w:rsidP="009F2547">
            <w:pPr>
              <w:widowControl w:val="0"/>
              <w:autoSpaceDE w:val="0"/>
              <w:autoSpaceDN w:val="0"/>
              <w:adjustRightInd w:val="0"/>
              <w:rPr>
                <w:sz w:val="20"/>
                <w:szCs w:val="20"/>
              </w:rPr>
            </w:pPr>
            <w:r w:rsidRPr="00AC37DD">
              <w:rPr>
                <w:sz w:val="20"/>
                <w:szCs w:val="20"/>
              </w:rPr>
              <w:t>1.1 Balancing treatment and work or childcare</w:t>
            </w:r>
          </w:p>
        </w:tc>
        <w:tc>
          <w:tcPr>
            <w:tcW w:w="1417" w:type="dxa"/>
            <w:tcBorders>
              <w:top w:val="single" w:sz="12" w:space="0" w:color="1F497D" w:themeColor="text2"/>
              <w:bottom w:val="dashSmallGap" w:sz="4" w:space="0" w:color="1F497D" w:themeColor="text2"/>
            </w:tcBorders>
          </w:tcPr>
          <w:p w14:paraId="484E7584" w14:textId="77777777" w:rsidR="009F2547" w:rsidRPr="00AC37DD" w:rsidRDefault="009F2547" w:rsidP="009F2547">
            <w:pPr>
              <w:ind w:right="34"/>
              <w:rPr>
                <w:i/>
                <w:sz w:val="20"/>
                <w:szCs w:val="20"/>
              </w:rPr>
            </w:pPr>
            <w:r w:rsidRPr="00AC37DD">
              <w:rPr>
                <w:i/>
                <w:sz w:val="20"/>
                <w:szCs w:val="20"/>
              </w:rPr>
              <w:t>Work and treatment or recovery</w:t>
            </w:r>
          </w:p>
        </w:tc>
        <w:tc>
          <w:tcPr>
            <w:tcW w:w="992" w:type="dxa"/>
            <w:tcBorders>
              <w:top w:val="single" w:sz="12" w:space="0" w:color="1F497D" w:themeColor="text2"/>
              <w:bottom w:val="dashSmallGap" w:sz="4" w:space="0" w:color="1F497D" w:themeColor="text2"/>
            </w:tcBorders>
          </w:tcPr>
          <w:p w14:paraId="04FF353A" w14:textId="77777777" w:rsidR="009F2547" w:rsidRPr="00AC37DD" w:rsidRDefault="009F2547" w:rsidP="009F2547">
            <w:pPr>
              <w:widowControl w:val="0"/>
              <w:autoSpaceDE w:val="0"/>
              <w:autoSpaceDN w:val="0"/>
              <w:adjustRightInd w:val="0"/>
              <w:rPr>
                <w:sz w:val="20"/>
                <w:szCs w:val="20"/>
              </w:rPr>
            </w:pPr>
            <w:r w:rsidRPr="00AC37DD">
              <w:rPr>
                <w:sz w:val="20"/>
                <w:szCs w:val="20"/>
              </w:rPr>
              <w:t>1.1.1</w:t>
            </w:r>
          </w:p>
        </w:tc>
        <w:tc>
          <w:tcPr>
            <w:tcW w:w="9356" w:type="dxa"/>
            <w:tcBorders>
              <w:top w:val="single" w:sz="12" w:space="0" w:color="1F497D" w:themeColor="text2"/>
              <w:bottom w:val="dashSmallGap" w:sz="4" w:space="0" w:color="1F497D" w:themeColor="text2"/>
            </w:tcBorders>
            <w:vAlign w:val="center"/>
          </w:tcPr>
          <w:p w14:paraId="4DA9B79A" w14:textId="35914F40" w:rsidR="009F2547" w:rsidRPr="00AC37DD" w:rsidRDefault="009F2547" w:rsidP="009F2547">
            <w:pPr>
              <w:ind w:right="34"/>
              <w:rPr>
                <w:i/>
                <w:sz w:val="20"/>
                <w:szCs w:val="20"/>
              </w:rPr>
            </w:pPr>
            <w:r w:rsidRPr="00AC37DD">
              <w:rPr>
                <w:i/>
                <w:sz w:val="20"/>
                <w:szCs w:val="20"/>
              </w:rPr>
              <w:t xml:space="preserve">I was, like, so stressed trying to finish loads of work off… It was almost like, well don’t burden yourself with thinking about all those other things; let’s just get through the treatment... I can’t not burden myself with these things. I have to; they’re there. – female breast cancer </w:t>
            </w:r>
            <w:r w:rsidR="00707AC5" w:rsidRPr="00AC37DD">
              <w:rPr>
                <w:i/>
                <w:sz w:val="20"/>
                <w:szCs w:val="20"/>
              </w:rPr>
              <w:t xml:space="preserve">patient </w:t>
            </w:r>
            <w:r w:rsidR="00C564A5" w:rsidRPr="00AC37DD">
              <w:rPr>
                <w:i/>
                <w:sz w:val="20"/>
                <w:szCs w:val="20"/>
              </w:rPr>
              <w:t>o</w:t>
            </w:r>
            <w:r w:rsidR="00707AC5" w:rsidRPr="00AC37DD">
              <w:rPr>
                <w:i/>
                <w:sz w:val="20"/>
                <w:szCs w:val="20"/>
              </w:rPr>
              <w:t>n treatment</w:t>
            </w:r>
          </w:p>
        </w:tc>
      </w:tr>
      <w:tr w:rsidR="00AC37DD" w:rsidRPr="00AC37DD" w14:paraId="64F02AC1" w14:textId="77777777" w:rsidTr="00FE040A">
        <w:trPr>
          <w:trHeight w:val="256"/>
        </w:trPr>
        <w:tc>
          <w:tcPr>
            <w:tcW w:w="817" w:type="dxa"/>
            <w:vMerge/>
          </w:tcPr>
          <w:p w14:paraId="1EFD9373" w14:textId="77777777" w:rsidR="009F2547" w:rsidRPr="00AC37DD" w:rsidRDefault="009F2547" w:rsidP="009F2547">
            <w:pPr>
              <w:widowControl w:val="0"/>
              <w:autoSpaceDE w:val="0"/>
              <w:autoSpaceDN w:val="0"/>
              <w:adjustRightInd w:val="0"/>
              <w:rPr>
                <w:b/>
                <w:sz w:val="20"/>
                <w:szCs w:val="20"/>
              </w:rPr>
            </w:pPr>
          </w:p>
        </w:tc>
        <w:tc>
          <w:tcPr>
            <w:tcW w:w="1418" w:type="dxa"/>
            <w:vMerge/>
            <w:tcBorders>
              <w:top w:val="dashSmallGap" w:sz="4" w:space="0" w:color="1F497D" w:themeColor="text2"/>
              <w:bottom w:val="single" w:sz="4" w:space="0" w:color="1F497D" w:themeColor="text2"/>
            </w:tcBorders>
          </w:tcPr>
          <w:p w14:paraId="010E5835"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tcBorders>
          </w:tcPr>
          <w:p w14:paraId="1E5AA0EE" w14:textId="77777777" w:rsidR="009F2547" w:rsidRPr="00AC37DD" w:rsidRDefault="009F2547" w:rsidP="009F2547">
            <w:pPr>
              <w:ind w:right="34"/>
              <w:rPr>
                <w:i/>
                <w:sz w:val="20"/>
                <w:szCs w:val="20"/>
              </w:rPr>
            </w:pPr>
            <w:r w:rsidRPr="00AC37DD">
              <w:rPr>
                <w:i/>
                <w:sz w:val="20"/>
                <w:szCs w:val="20"/>
              </w:rPr>
              <w:t>Childcare and treatment or recovery</w:t>
            </w:r>
          </w:p>
        </w:tc>
        <w:tc>
          <w:tcPr>
            <w:tcW w:w="992" w:type="dxa"/>
            <w:tcBorders>
              <w:top w:val="dashSmallGap" w:sz="4" w:space="0" w:color="1F497D" w:themeColor="text2"/>
            </w:tcBorders>
          </w:tcPr>
          <w:p w14:paraId="15DC7C5E" w14:textId="77777777" w:rsidR="009F2547" w:rsidRPr="00AC37DD" w:rsidRDefault="009F2547" w:rsidP="009F2547">
            <w:pPr>
              <w:widowControl w:val="0"/>
              <w:autoSpaceDE w:val="0"/>
              <w:autoSpaceDN w:val="0"/>
              <w:adjustRightInd w:val="0"/>
              <w:rPr>
                <w:sz w:val="20"/>
                <w:szCs w:val="20"/>
              </w:rPr>
            </w:pPr>
            <w:r w:rsidRPr="00AC37DD">
              <w:rPr>
                <w:sz w:val="20"/>
                <w:szCs w:val="20"/>
              </w:rPr>
              <w:t>1.1.2</w:t>
            </w:r>
          </w:p>
        </w:tc>
        <w:tc>
          <w:tcPr>
            <w:tcW w:w="9356" w:type="dxa"/>
            <w:tcBorders>
              <w:top w:val="dashSmallGap" w:sz="4" w:space="0" w:color="1F497D" w:themeColor="text2"/>
            </w:tcBorders>
            <w:vAlign w:val="center"/>
          </w:tcPr>
          <w:p w14:paraId="469BE014" w14:textId="0F7B4B9E" w:rsidR="009F2547" w:rsidRPr="00AC37DD" w:rsidRDefault="009F2547" w:rsidP="009F2547">
            <w:pPr>
              <w:ind w:right="34"/>
              <w:rPr>
                <w:i/>
                <w:sz w:val="20"/>
                <w:szCs w:val="20"/>
              </w:rPr>
            </w:pPr>
            <w:r w:rsidRPr="00AC37DD">
              <w:rPr>
                <w:i/>
                <w:sz w:val="20"/>
                <w:szCs w:val="20"/>
              </w:rPr>
              <w:t>The logistics between having two young children that aren’t at school. Husband having to go back at work. Fatigue and just generally trying to find childcare for them when I’m in the hospital, in and out of hospital. – female haematological cancer</w:t>
            </w:r>
            <w:r w:rsidR="00707AC5" w:rsidRPr="00AC37DD">
              <w:rPr>
                <w:i/>
                <w:sz w:val="20"/>
                <w:szCs w:val="20"/>
              </w:rPr>
              <w:t xml:space="preserve"> patient </w:t>
            </w:r>
            <w:r w:rsidR="00C564A5" w:rsidRPr="00AC37DD">
              <w:rPr>
                <w:i/>
                <w:sz w:val="20"/>
                <w:szCs w:val="20"/>
              </w:rPr>
              <w:t>o</w:t>
            </w:r>
            <w:r w:rsidR="00707AC5" w:rsidRPr="00AC37DD">
              <w:rPr>
                <w:i/>
                <w:sz w:val="20"/>
                <w:szCs w:val="20"/>
              </w:rPr>
              <w:t>n treatment</w:t>
            </w:r>
          </w:p>
        </w:tc>
      </w:tr>
      <w:tr w:rsidR="00AC37DD" w:rsidRPr="00AC37DD" w14:paraId="7B14B6EC" w14:textId="77777777" w:rsidTr="00FE040A">
        <w:trPr>
          <w:trHeight w:val="632"/>
        </w:trPr>
        <w:tc>
          <w:tcPr>
            <w:tcW w:w="817" w:type="dxa"/>
            <w:vMerge/>
          </w:tcPr>
          <w:p w14:paraId="6CA51B48" w14:textId="77777777" w:rsidR="009F2547" w:rsidRPr="00AC37DD" w:rsidRDefault="009F2547" w:rsidP="009F2547">
            <w:pPr>
              <w:widowControl w:val="0"/>
              <w:autoSpaceDE w:val="0"/>
              <w:autoSpaceDN w:val="0"/>
              <w:adjustRightInd w:val="0"/>
              <w:rPr>
                <w:b/>
                <w:sz w:val="20"/>
                <w:szCs w:val="20"/>
              </w:rPr>
            </w:pPr>
          </w:p>
        </w:tc>
        <w:tc>
          <w:tcPr>
            <w:tcW w:w="1418" w:type="dxa"/>
            <w:vMerge w:val="restart"/>
            <w:tcBorders>
              <w:top w:val="single" w:sz="4" w:space="0" w:color="1F497D" w:themeColor="text2"/>
              <w:bottom w:val="dashSmallGap" w:sz="4" w:space="0" w:color="1F497D" w:themeColor="text2"/>
            </w:tcBorders>
          </w:tcPr>
          <w:p w14:paraId="15148BF3" w14:textId="77777777" w:rsidR="009F2547" w:rsidRPr="00AC37DD" w:rsidRDefault="009F2547" w:rsidP="009F2547">
            <w:pPr>
              <w:widowControl w:val="0"/>
              <w:autoSpaceDE w:val="0"/>
              <w:autoSpaceDN w:val="0"/>
              <w:adjustRightInd w:val="0"/>
              <w:rPr>
                <w:sz w:val="20"/>
                <w:szCs w:val="20"/>
              </w:rPr>
            </w:pPr>
            <w:r w:rsidRPr="00AC37DD">
              <w:rPr>
                <w:sz w:val="20"/>
                <w:szCs w:val="20"/>
              </w:rPr>
              <w:t>1.2 Financial insecurity</w:t>
            </w:r>
          </w:p>
        </w:tc>
        <w:tc>
          <w:tcPr>
            <w:tcW w:w="1417" w:type="dxa"/>
            <w:tcBorders>
              <w:bottom w:val="dashSmallGap" w:sz="4" w:space="0" w:color="1F497D" w:themeColor="text2"/>
            </w:tcBorders>
          </w:tcPr>
          <w:p w14:paraId="5049A73E" w14:textId="77777777" w:rsidR="009F2547" w:rsidRPr="00AC37DD" w:rsidRDefault="009F2547" w:rsidP="009F2547">
            <w:pPr>
              <w:ind w:right="34"/>
              <w:rPr>
                <w:i/>
                <w:sz w:val="20"/>
                <w:szCs w:val="20"/>
              </w:rPr>
            </w:pPr>
            <w:r w:rsidRPr="00AC37DD">
              <w:rPr>
                <w:i/>
                <w:sz w:val="20"/>
                <w:szCs w:val="20"/>
              </w:rPr>
              <w:t>Financial strain</w:t>
            </w:r>
          </w:p>
          <w:p w14:paraId="34A1D7AE" w14:textId="77777777" w:rsidR="009F2547" w:rsidRPr="00AC37DD" w:rsidRDefault="009F2547" w:rsidP="009F2547">
            <w:pPr>
              <w:ind w:right="34"/>
              <w:rPr>
                <w:i/>
                <w:sz w:val="20"/>
                <w:szCs w:val="20"/>
              </w:rPr>
            </w:pPr>
          </w:p>
        </w:tc>
        <w:tc>
          <w:tcPr>
            <w:tcW w:w="992" w:type="dxa"/>
            <w:tcBorders>
              <w:bottom w:val="dashSmallGap" w:sz="4" w:space="0" w:color="1F497D" w:themeColor="text2"/>
            </w:tcBorders>
          </w:tcPr>
          <w:p w14:paraId="3FDC061A" w14:textId="77777777" w:rsidR="009F2547" w:rsidRPr="00AC37DD" w:rsidRDefault="009F2547" w:rsidP="009F2547">
            <w:pPr>
              <w:widowControl w:val="0"/>
              <w:autoSpaceDE w:val="0"/>
              <w:autoSpaceDN w:val="0"/>
              <w:adjustRightInd w:val="0"/>
              <w:rPr>
                <w:sz w:val="20"/>
                <w:szCs w:val="20"/>
              </w:rPr>
            </w:pPr>
            <w:r w:rsidRPr="00AC37DD">
              <w:rPr>
                <w:sz w:val="20"/>
                <w:szCs w:val="20"/>
              </w:rPr>
              <w:t>1.2.1</w:t>
            </w:r>
          </w:p>
        </w:tc>
        <w:tc>
          <w:tcPr>
            <w:tcW w:w="9356" w:type="dxa"/>
            <w:tcBorders>
              <w:bottom w:val="dashSmallGap" w:sz="4" w:space="0" w:color="1F497D" w:themeColor="text2"/>
            </w:tcBorders>
            <w:vAlign w:val="center"/>
          </w:tcPr>
          <w:p w14:paraId="76E2EFC1" w14:textId="7EF4FB83" w:rsidR="009F2547" w:rsidRPr="00AC37DD" w:rsidRDefault="009F2547" w:rsidP="009F2547">
            <w:pPr>
              <w:ind w:right="34"/>
              <w:rPr>
                <w:i/>
                <w:sz w:val="20"/>
                <w:szCs w:val="20"/>
              </w:rPr>
            </w:pPr>
            <w:r w:rsidRPr="00AC37DD">
              <w:rPr>
                <w:i/>
                <w:sz w:val="20"/>
                <w:szCs w:val="20"/>
              </w:rPr>
              <w:t xml:space="preserve">It did affect financially. So the house that we lived in, we had to rent out. And we had to move in with our parents; my wife and kids. So yes, so financially it was meaning that we couldn’t pay our mortgage. – male CNS tumour </w:t>
            </w:r>
            <w:r w:rsidR="00707AC5" w:rsidRPr="00AC37DD">
              <w:rPr>
                <w:i/>
                <w:sz w:val="20"/>
                <w:szCs w:val="20"/>
              </w:rPr>
              <w:t xml:space="preserve">patient </w:t>
            </w:r>
            <w:r w:rsidR="00C564A5" w:rsidRPr="00AC37DD">
              <w:rPr>
                <w:i/>
                <w:sz w:val="20"/>
                <w:szCs w:val="20"/>
              </w:rPr>
              <w:t>o</w:t>
            </w:r>
            <w:r w:rsidR="00707AC5" w:rsidRPr="00AC37DD">
              <w:rPr>
                <w:i/>
                <w:sz w:val="20"/>
                <w:szCs w:val="20"/>
              </w:rPr>
              <w:t>n treatment</w:t>
            </w:r>
          </w:p>
        </w:tc>
      </w:tr>
      <w:tr w:rsidR="00AC37DD" w:rsidRPr="00AC37DD" w14:paraId="4A78B94B" w14:textId="77777777" w:rsidTr="009F2547">
        <w:tc>
          <w:tcPr>
            <w:tcW w:w="817" w:type="dxa"/>
            <w:vMerge/>
            <w:tcBorders>
              <w:bottom w:val="single" w:sz="12" w:space="0" w:color="1F497D" w:themeColor="text2"/>
            </w:tcBorders>
          </w:tcPr>
          <w:p w14:paraId="64BA66A8" w14:textId="77777777" w:rsidR="009F2547" w:rsidRPr="00AC37DD" w:rsidRDefault="009F2547" w:rsidP="009F2547">
            <w:pPr>
              <w:widowControl w:val="0"/>
              <w:autoSpaceDE w:val="0"/>
              <w:autoSpaceDN w:val="0"/>
              <w:adjustRightInd w:val="0"/>
              <w:rPr>
                <w:b/>
                <w:sz w:val="20"/>
                <w:szCs w:val="20"/>
              </w:rPr>
            </w:pPr>
          </w:p>
        </w:tc>
        <w:tc>
          <w:tcPr>
            <w:tcW w:w="1418" w:type="dxa"/>
            <w:vMerge/>
            <w:tcBorders>
              <w:top w:val="dashSmallGap" w:sz="4" w:space="0" w:color="1F497D" w:themeColor="text2"/>
              <w:bottom w:val="single" w:sz="12" w:space="0" w:color="1F497D" w:themeColor="text2"/>
            </w:tcBorders>
          </w:tcPr>
          <w:p w14:paraId="5E011CA9"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bottom w:val="single" w:sz="12" w:space="0" w:color="1F497D" w:themeColor="text2"/>
            </w:tcBorders>
          </w:tcPr>
          <w:p w14:paraId="6BB5733B" w14:textId="77777777" w:rsidR="009F2547" w:rsidRPr="00AC37DD" w:rsidRDefault="009F2547" w:rsidP="009F2547">
            <w:pPr>
              <w:ind w:right="34"/>
              <w:rPr>
                <w:i/>
                <w:sz w:val="20"/>
                <w:szCs w:val="20"/>
              </w:rPr>
            </w:pPr>
            <w:r w:rsidRPr="00AC37DD">
              <w:rPr>
                <w:i/>
                <w:sz w:val="20"/>
                <w:szCs w:val="20"/>
              </w:rPr>
              <w:t>Returning to work pre-maturely</w:t>
            </w:r>
          </w:p>
          <w:p w14:paraId="2B129798" w14:textId="77777777" w:rsidR="009F2547" w:rsidRPr="00AC37DD" w:rsidRDefault="009F2547" w:rsidP="009F2547">
            <w:pPr>
              <w:ind w:right="34"/>
              <w:rPr>
                <w:i/>
                <w:sz w:val="20"/>
                <w:szCs w:val="20"/>
              </w:rPr>
            </w:pPr>
          </w:p>
        </w:tc>
        <w:tc>
          <w:tcPr>
            <w:tcW w:w="992" w:type="dxa"/>
            <w:tcBorders>
              <w:top w:val="dashSmallGap" w:sz="4" w:space="0" w:color="1F497D" w:themeColor="text2"/>
              <w:bottom w:val="single" w:sz="12" w:space="0" w:color="1F497D" w:themeColor="text2"/>
            </w:tcBorders>
          </w:tcPr>
          <w:p w14:paraId="034E711F" w14:textId="77777777" w:rsidR="009F2547" w:rsidRPr="00AC37DD" w:rsidRDefault="009F2547" w:rsidP="009F2547">
            <w:pPr>
              <w:widowControl w:val="0"/>
              <w:autoSpaceDE w:val="0"/>
              <w:autoSpaceDN w:val="0"/>
              <w:adjustRightInd w:val="0"/>
              <w:rPr>
                <w:sz w:val="20"/>
                <w:szCs w:val="20"/>
              </w:rPr>
            </w:pPr>
            <w:r w:rsidRPr="00AC37DD">
              <w:rPr>
                <w:sz w:val="20"/>
                <w:szCs w:val="20"/>
              </w:rPr>
              <w:t>1.2.2</w:t>
            </w:r>
          </w:p>
        </w:tc>
        <w:tc>
          <w:tcPr>
            <w:tcW w:w="9356" w:type="dxa"/>
            <w:tcBorders>
              <w:top w:val="dashSmallGap" w:sz="4" w:space="0" w:color="1F497D" w:themeColor="text2"/>
              <w:bottom w:val="single" w:sz="12" w:space="0" w:color="1F497D" w:themeColor="text2"/>
            </w:tcBorders>
            <w:vAlign w:val="center"/>
          </w:tcPr>
          <w:p w14:paraId="73567000" w14:textId="024AC078" w:rsidR="009F2547" w:rsidRPr="00AC37DD" w:rsidRDefault="009F2547" w:rsidP="009F2547">
            <w:pPr>
              <w:spacing w:after="120"/>
              <w:ind w:right="34"/>
              <w:rPr>
                <w:i/>
                <w:sz w:val="20"/>
                <w:szCs w:val="20"/>
              </w:rPr>
            </w:pPr>
            <w:r w:rsidRPr="00AC37DD">
              <w:rPr>
                <w:i/>
                <w:sz w:val="20"/>
                <w:szCs w:val="20"/>
              </w:rPr>
              <w:t>I certainly couldn’t afford to take time off when I was going through treatment.  I knew I had to work through treatment financially. – female breast cancer</w:t>
            </w:r>
            <w:r w:rsidR="00707AC5" w:rsidRPr="00AC37DD">
              <w:rPr>
                <w:i/>
                <w:sz w:val="20"/>
                <w:szCs w:val="20"/>
              </w:rPr>
              <w:t xml:space="preserve"> patient in follow-up</w:t>
            </w:r>
          </w:p>
          <w:p w14:paraId="5613A39E" w14:textId="0B49856F" w:rsidR="009F2547" w:rsidRPr="00AC37DD" w:rsidRDefault="009F2547" w:rsidP="009F2547">
            <w:pPr>
              <w:ind w:right="34"/>
              <w:rPr>
                <w:i/>
                <w:sz w:val="20"/>
                <w:szCs w:val="20"/>
              </w:rPr>
            </w:pPr>
            <w:r w:rsidRPr="00AC37DD">
              <w:rPr>
                <w:i/>
                <w:sz w:val="20"/>
                <w:szCs w:val="20"/>
              </w:rPr>
              <w:t>I tried to get right back to work in October. Partly that was because I think I was going to be going down to half pay… I think the realisation of what I had gone through plus the fact that I was really struggling at work. I kind of then went off with severe depression. – female CNS tumour</w:t>
            </w:r>
            <w:r w:rsidR="00707AC5" w:rsidRPr="00AC37DD">
              <w:rPr>
                <w:i/>
                <w:sz w:val="20"/>
                <w:szCs w:val="20"/>
              </w:rPr>
              <w:t xml:space="preserve"> patient in follow-up</w:t>
            </w:r>
          </w:p>
        </w:tc>
      </w:tr>
      <w:tr w:rsidR="00AC37DD" w:rsidRPr="00AC37DD" w14:paraId="428981E1" w14:textId="77777777" w:rsidTr="009F2547">
        <w:trPr>
          <w:trHeight w:val="20"/>
        </w:trPr>
        <w:tc>
          <w:tcPr>
            <w:tcW w:w="817" w:type="dxa"/>
            <w:vMerge w:val="restart"/>
            <w:tcBorders>
              <w:top w:val="single" w:sz="12" w:space="0" w:color="1F497D" w:themeColor="text2"/>
            </w:tcBorders>
            <w:textDirection w:val="btLr"/>
          </w:tcPr>
          <w:p w14:paraId="1469445F" w14:textId="77777777" w:rsidR="009F2547" w:rsidRPr="00AC37DD" w:rsidRDefault="009F2547" w:rsidP="009F2547">
            <w:pPr>
              <w:widowControl w:val="0"/>
              <w:autoSpaceDE w:val="0"/>
              <w:autoSpaceDN w:val="0"/>
              <w:adjustRightInd w:val="0"/>
              <w:rPr>
                <w:b/>
                <w:sz w:val="20"/>
                <w:szCs w:val="20"/>
              </w:rPr>
            </w:pPr>
            <w:r w:rsidRPr="00AC37DD">
              <w:rPr>
                <w:b/>
                <w:sz w:val="20"/>
                <w:szCs w:val="20"/>
              </w:rPr>
              <w:t>2. Retaining normality and identity</w:t>
            </w:r>
          </w:p>
        </w:tc>
        <w:tc>
          <w:tcPr>
            <w:tcW w:w="1418" w:type="dxa"/>
            <w:vMerge w:val="restart"/>
            <w:tcBorders>
              <w:top w:val="single" w:sz="12" w:space="0" w:color="1F497D" w:themeColor="text2"/>
            </w:tcBorders>
          </w:tcPr>
          <w:p w14:paraId="2570A6FD" w14:textId="77777777" w:rsidR="009F2547" w:rsidRPr="00AC37DD" w:rsidRDefault="009F2547" w:rsidP="009F2547">
            <w:pPr>
              <w:widowControl w:val="0"/>
              <w:autoSpaceDE w:val="0"/>
              <w:autoSpaceDN w:val="0"/>
              <w:adjustRightInd w:val="0"/>
              <w:rPr>
                <w:sz w:val="20"/>
                <w:szCs w:val="20"/>
              </w:rPr>
            </w:pPr>
            <w:r w:rsidRPr="00AC37DD">
              <w:rPr>
                <w:sz w:val="20"/>
                <w:szCs w:val="20"/>
              </w:rPr>
              <w:t>2.1 Avoid cancer identity</w:t>
            </w:r>
          </w:p>
        </w:tc>
        <w:tc>
          <w:tcPr>
            <w:tcW w:w="1417" w:type="dxa"/>
            <w:tcBorders>
              <w:top w:val="single" w:sz="12" w:space="0" w:color="1F497D" w:themeColor="text2"/>
            </w:tcBorders>
          </w:tcPr>
          <w:p w14:paraId="6DC2ED68" w14:textId="77777777" w:rsidR="009F2547" w:rsidRPr="00AC37DD" w:rsidRDefault="009F2547" w:rsidP="009F2547">
            <w:pPr>
              <w:ind w:right="34"/>
              <w:rPr>
                <w:i/>
                <w:sz w:val="20"/>
                <w:szCs w:val="20"/>
              </w:rPr>
            </w:pPr>
            <w:r w:rsidRPr="00AC37DD">
              <w:rPr>
                <w:i/>
                <w:sz w:val="20"/>
                <w:szCs w:val="20"/>
              </w:rPr>
              <w:t>‘Get on with it’</w:t>
            </w:r>
          </w:p>
        </w:tc>
        <w:tc>
          <w:tcPr>
            <w:tcW w:w="992" w:type="dxa"/>
            <w:tcBorders>
              <w:top w:val="single" w:sz="12" w:space="0" w:color="1F497D" w:themeColor="text2"/>
            </w:tcBorders>
          </w:tcPr>
          <w:p w14:paraId="6A1AA325" w14:textId="77777777" w:rsidR="009F2547" w:rsidRPr="00AC37DD" w:rsidRDefault="009F2547" w:rsidP="009F2547">
            <w:pPr>
              <w:widowControl w:val="0"/>
              <w:autoSpaceDE w:val="0"/>
              <w:autoSpaceDN w:val="0"/>
              <w:adjustRightInd w:val="0"/>
              <w:rPr>
                <w:sz w:val="20"/>
                <w:szCs w:val="20"/>
              </w:rPr>
            </w:pPr>
            <w:r w:rsidRPr="00AC37DD">
              <w:rPr>
                <w:sz w:val="20"/>
                <w:szCs w:val="20"/>
              </w:rPr>
              <w:t>2.1.1</w:t>
            </w:r>
          </w:p>
        </w:tc>
        <w:tc>
          <w:tcPr>
            <w:tcW w:w="9356" w:type="dxa"/>
            <w:tcBorders>
              <w:top w:val="single" w:sz="12" w:space="0" w:color="1F497D" w:themeColor="text2"/>
            </w:tcBorders>
            <w:vAlign w:val="center"/>
          </w:tcPr>
          <w:p w14:paraId="1AF19FBB" w14:textId="1D8B5965" w:rsidR="009F2547" w:rsidRPr="00AC37DD" w:rsidRDefault="009F2547" w:rsidP="009F2547">
            <w:pPr>
              <w:ind w:right="-113"/>
              <w:rPr>
                <w:i/>
                <w:sz w:val="20"/>
                <w:szCs w:val="20"/>
              </w:rPr>
            </w:pPr>
            <w:r w:rsidRPr="00AC37DD">
              <w:rPr>
                <w:i/>
                <w:sz w:val="20"/>
                <w:szCs w:val="20"/>
              </w:rPr>
              <w:t>It was maybe also a bit of a coping mechanism … when I went up to the hospital I was a patient the duration of the appointment. And then once the appointment was over, that was it… kind of a way, I guess, of telling myself that the illness wasn’t the most important thing in my life. – male sarcoma</w:t>
            </w:r>
            <w:r w:rsidR="00707AC5" w:rsidRPr="00AC37DD">
              <w:rPr>
                <w:i/>
                <w:sz w:val="20"/>
                <w:szCs w:val="20"/>
              </w:rPr>
              <w:t xml:space="preserve"> patient </w:t>
            </w:r>
            <w:r w:rsidR="00C564A5" w:rsidRPr="00AC37DD">
              <w:rPr>
                <w:i/>
                <w:sz w:val="20"/>
                <w:szCs w:val="20"/>
              </w:rPr>
              <w:t>o</w:t>
            </w:r>
            <w:r w:rsidR="00707AC5" w:rsidRPr="00AC37DD">
              <w:rPr>
                <w:i/>
                <w:sz w:val="20"/>
                <w:szCs w:val="20"/>
              </w:rPr>
              <w:t>n treatment</w:t>
            </w:r>
          </w:p>
        </w:tc>
      </w:tr>
      <w:tr w:rsidR="00AC37DD" w:rsidRPr="00AC37DD" w14:paraId="29941868" w14:textId="77777777" w:rsidTr="007D2CA2">
        <w:trPr>
          <w:trHeight w:val="20"/>
        </w:trPr>
        <w:tc>
          <w:tcPr>
            <w:tcW w:w="817" w:type="dxa"/>
            <w:vMerge/>
          </w:tcPr>
          <w:p w14:paraId="30487060" w14:textId="77777777" w:rsidR="009F2547" w:rsidRPr="00AC37DD" w:rsidRDefault="009F2547" w:rsidP="009F2547">
            <w:pPr>
              <w:widowControl w:val="0"/>
              <w:autoSpaceDE w:val="0"/>
              <w:autoSpaceDN w:val="0"/>
              <w:adjustRightInd w:val="0"/>
              <w:rPr>
                <w:b/>
                <w:sz w:val="20"/>
                <w:szCs w:val="20"/>
              </w:rPr>
            </w:pPr>
          </w:p>
        </w:tc>
        <w:tc>
          <w:tcPr>
            <w:tcW w:w="1418" w:type="dxa"/>
            <w:vMerge/>
          </w:tcPr>
          <w:p w14:paraId="660BF255"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bottom w:val="single" w:sz="4" w:space="0" w:color="1F497D" w:themeColor="text2"/>
            </w:tcBorders>
          </w:tcPr>
          <w:p w14:paraId="735C9073" w14:textId="77777777" w:rsidR="009F2547" w:rsidRPr="00AC37DD" w:rsidRDefault="009F2547" w:rsidP="009F2547">
            <w:pPr>
              <w:ind w:right="34"/>
              <w:rPr>
                <w:i/>
                <w:sz w:val="20"/>
                <w:szCs w:val="20"/>
              </w:rPr>
            </w:pPr>
            <w:r w:rsidRPr="00AC37DD">
              <w:rPr>
                <w:i/>
                <w:sz w:val="20"/>
                <w:szCs w:val="20"/>
              </w:rPr>
              <w:t>Self-conscious</w:t>
            </w:r>
          </w:p>
          <w:p w14:paraId="411E895B" w14:textId="77777777" w:rsidR="009F2547" w:rsidRPr="00AC37DD" w:rsidRDefault="009F2547" w:rsidP="009F2547">
            <w:pPr>
              <w:ind w:right="34"/>
              <w:rPr>
                <w:i/>
                <w:sz w:val="20"/>
                <w:szCs w:val="20"/>
              </w:rPr>
            </w:pPr>
          </w:p>
        </w:tc>
        <w:tc>
          <w:tcPr>
            <w:tcW w:w="992" w:type="dxa"/>
            <w:tcBorders>
              <w:top w:val="dashSmallGap" w:sz="4" w:space="0" w:color="1F497D" w:themeColor="text2"/>
              <w:bottom w:val="single" w:sz="4" w:space="0" w:color="1F497D" w:themeColor="text2"/>
            </w:tcBorders>
          </w:tcPr>
          <w:p w14:paraId="4B885262" w14:textId="77777777" w:rsidR="009F2547" w:rsidRPr="00AC37DD" w:rsidRDefault="009F2547" w:rsidP="009F2547">
            <w:pPr>
              <w:widowControl w:val="0"/>
              <w:autoSpaceDE w:val="0"/>
              <w:autoSpaceDN w:val="0"/>
              <w:adjustRightInd w:val="0"/>
              <w:rPr>
                <w:sz w:val="20"/>
                <w:szCs w:val="20"/>
              </w:rPr>
            </w:pPr>
            <w:r w:rsidRPr="00AC37DD">
              <w:rPr>
                <w:sz w:val="20"/>
                <w:szCs w:val="20"/>
              </w:rPr>
              <w:t>2.1.2</w:t>
            </w:r>
          </w:p>
        </w:tc>
        <w:tc>
          <w:tcPr>
            <w:tcW w:w="9356" w:type="dxa"/>
            <w:tcBorders>
              <w:top w:val="dashSmallGap" w:sz="4" w:space="0" w:color="1F497D" w:themeColor="text2"/>
              <w:bottom w:val="single" w:sz="4" w:space="0" w:color="1F497D" w:themeColor="text2"/>
            </w:tcBorders>
            <w:vAlign w:val="center"/>
          </w:tcPr>
          <w:p w14:paraId="47CD49C6" w14:textId="105F7ECE" w:rsidR="009F2547" w:rsidRPr="00AC37DD" w:rsidRDefault="009F2547" w:rsidP="009F2547">
            <w:pPr>
              <w:ind w:right="34"/>
              <w:rPr>
                <w:i/>
                <w:sz w:val="20"/>
                <w:szCs w:val="20"/>
              </w:rPr>
            </w:pPr>
            <w:r w:rsidRPr="00AC37DD">
              <w:rPr>
                <w:i/>
                <w:sz w:val="20"/>
                <w:szCs w:val="20"/>
              </w:rPr>
              <w:t>They gave me a zimmer frame. I actually looked at it and said, no, I’m not using that... I’m 37 years old. I’m not 78 years old. I didn’t want to do it. I’m very proud and private and I didn’t want to be seen as old and frail…. I want to be me and I haven’t been able to be me since being diagnosed and I will never be me again. – male urological cancer</w:t>
            </w:r>
            <w:r w:rsidR="00707AC5" w:rsidRPr="00AC37DD">
              <w:rPr>
                <w:i/>
                <w:sz w:val="20"/>
                <w:szCs w:val="20"/>
              </w:rPr>
              <w:t xml:space="preserve"> patient </w:t>
            </w:r>
            <w:r w:rsidR="00C564A5" w:rsidRPr="00AC37DD">
              <w:rPr>
                <w:i/>
                <w:sz w:val="20"/>
                <w:szCs w:val="20"/>
              </w:rPr>
              <w:t>o</w:t>
            </w:r>
            <w:r w:rsidR="00707AC5" w:rsidRPr="00AC37DD">
              <w:rPr>
                <w:i/>
                <w:sz w:val="20"/>
                <w:szCs w:val="20"/>
              </w:rPr>
              <w:t>n treatment</w:t>
            </w:r>
          </w:p>
        </w:tc>
      </w:tr>
      <w:tr w:rsidR="00AC37DD" w:rsidRPr="00AC37DD" w14:paraId="1921C199" w14:textId="77777777" w:rsidTr="007D2CA2">
        <w:trPr>
          <w:cantSplit/>
          <w:trHeight w:val="217"/>
        </w:trPr>
        <w:tc>
          <w:tcPr>
            <w:tcW w:w="817" w:type="dxa"/>
            <w:vMerge/>
          </w:tcPr>
          <w:p w14:paraId="317921B4" w14:textId="77777777" w:rsidR="009F2547" w:rsidRPr="00AC37DD" w:rsidRDefault="009F2547" w:rsidP="009F2547">
            <w:pPr>
              <w:widowControl w:val="0"/>
              <w:autoSpaceDE w:val="0"/>
              <w:autoSpaceDN w:val="0"/>
              <w:adjustRightInd w:val="0"/>
              <w:rPr>
                <w:b/>
                <w:sz w:val="20"/>
                <w:szCs w:val="20"/>
              </w:rPr>
            </w:pPr>
          </w:p>
        </w:tc>
        <w:tc>
          <w:tcPr>
            <w:tcW w:w="1418" w:type="dxa"/>
            <w:vMerge w:val="restart"/>
          </w:tcPr>
          <w:p w14:paraId="0F0EBAA7" w14:textId="5913A58C" w:rsidR="009F2547" w:rsidRPr="00AC37DD" w:rsidRDefault="009F2547" w:rsidP="00531FA8">
            <w:pPr>
              <w:widowControl w:val="0"/>
              <w:autoSpaceDE w:val="0"/>
              <w:autoSpaceDN w:val="0"/>
              <w:adjustRightInd w:val="0"/>
              <w:rPr>
                <w:sz w:val="20"/>
                <w:szCs w:val="20"/>
              </w:rPr>
            </w:pPr>
            <w:r w:rsidRPr="00AC37DD">
              <w:rPr>
                <w:sz w:val="20"/>
                <w:szCs w:val="20"/>
              </w:rPr>
              <w:t xml:space="preserve">2.2 </w:t>
            </w:r>
            <w:r w:rsidR="00531FA8" w:rsidRPr="00AC37DD">
              <w:rPr>
                <w:sz w:val="20"/>
                <w:szCs w:val="20"/>
              </w:rPr>
              <w:t>Work life a component of YA identity</w:t>
            </w:r>
          </w:p>
        </w:tc>
        <w:tc>
          <w:tcPr>
            <w:tcW w:w="1417" w:type="dxa"/>
            <w:tcBorders>
              <w:bottom w:val="dashSmallGap" w:sz="4" w:space="0" w:color="1F497D" w:themeColor="text2"/>
            </w:tcBorders>
          </w:tcPr>
          <w:p w14:paraId="431B5E5A" w14:textId="76FE1AF7" w:rsidR="009F2547" w:rsidRPr="00AC37DD" w:rsidRDefault="0045436B" w:rsidP="009F2547">
            <w:pPr>
              <w:ind w:right="34"/>
              <w:rPr>
                <w:i/>
                <w:sz w:val="20"/>
                <w:szCs w:val="20"/>
              </w:rPr>
            </w:pPr>
            <w:r w:rsidRPr="00AC37DD">
              <w:rPr>
                <w:i/>
                <w:sz w:val="20"/>
                <w:szCs w:val="20"/>
              </w:rPr>
              <w:t>Retaining a s</w:t>
            </w:r>
            <w:r w:rsidR="009F2547" w:rsidRPr="00AC37DD">
              <w:rPr>
                <w:i/>
                <w:sz w:val="20"/>
                <w:szCs w:val="20"/>
              </w:rPr>
              <w:t>ense of normality</w:t>
            </w:r>
          </w:p>
        </w:tc>
        <w:tc>
          <w:tcPr>
            <w:tcW w:w="992" w:type="dxa"/>
            <w:tcBorders>
              <w:bottom w:val="dashSmallGap" w:sz="4" w:space="0" w:color="1F497D" w:themeColor="text2"/>
            </w:tcBorders>
          </w:tcPr>
          <w:p w14:paraId="0BFF79B1" w14:textId="77777777" w:rsidR="009F2547" w:rsidRPr="00AC37DD" w:rsidRDefault="009F2547" w:rsidP="009F2547">
            <w:pPr>
              <w:widowControl w:val="0"/>
              <w:autoSpaceDE w:val="0"/>
              <w:autoSpaceDN w:val="0"/>
              <w:adjustRightInd w:val="0"/>
              <w:rPr>
                <w:sz w:val="20"/>
                <w:szCs w:val="20"/>
              </w:rPr>
            </w:pPr>
            <w:r w:rsidRPr="00AC37DD">
              <w:rPr>
                <w:sz w:val="20"/>
                <w:szCs w:val="20"/>
              </w:rPr>
              <w:t>2.2.1</w:t>
            </w:r>
          </w:p>
        </w:tc>
        <w:tc>
          <w:tcPr>
            <w:tcW w:w="9356" w:type="dxa"/>
            <w:tcBorders>
              <w:bottom w:val="dashSmallGap" w:sz="4" w:space="0" w:color="1F497D" w:themeColor="text2"/>
            </w:tcBorders>
            <w:vAlign w:val="center"/>
          </w:tcPr>
          <w:p w14:paraId="62EC2A5B" w14:textId="2FE6AAF4" w:rsidR="00933ED9" w:rsidRPr="00AC37DD" w:rsidRDefault="009F2547" w:rsidP="00707AC5">
            <w:pPr>
              <w:ind w:right="34"/>
              <w:rPr>
                <w:i/>
                <w:sz w:val="20"/>
                <w:szCs w:val="20"/>
              </w:rPr>
            </w:pPr>
            <w:r w:rsidRPr="00AC37DD">
              <w:rPr>
                <w:i/>
                <w:sz w:val="20"/>
                <w:szCs w:val="20"/>
              </w:rPr>
              <w:t>I’m really pleased to be back, and, like you say, because obviously I’m young and my career was my focus in life before my diagnosis, having that stripped away, yes, it was a huge, huge deal. – female breast cancer</w:t>
            </w:r>
            <w:r w:rsidR="00707AC5" w:rsidRPr="00AC37DD">
              <w:rPr>
                <w:i/>
                <w:sz w:val="20"/>
                <w:szCs w:val="20"/>
              </w:rPr>
              <w:t xml:space="preserve"> patient in follow-up</w:t>
            </w:r>
          </w:p>
        </w:tc>
      </w:tr>
      <w:tr w:rsidR="00AC37DD" w:rsidRPr="00AC37DD" w14:paraId="4FA29244" w14:textId="77777777" w:rsidTr="009F2547">
        <w:tc>
          <w:tcPr>
            <w:tcW w:w="817" w:type="dxa"/>
            <w:vMerge/>
            <w:textDirection w:val="btLr"/>
          </w:tcPr>
          <w:p w14:paraId="3F0CCA92" w14:textId="77777777" w:rsidR="009F2547" w:rsidRPr="00AC37DD" w:rsidRDefault="009F2547" w:rsidP="009F2547">
            <w:pPr>
              <w:widowControl w:val="0"/>
              <w:autoSpaceDE w:val="0"/>
              <w:autoSpaceDN w:val="0"/>
              <w:adjustRightInd w:val="0"/>
              <w:rPr>
                <w:b/>
                <w:sz w:val="20"/>
                <w:szCs w:val="20"/>
              </w:rPr>
            </w:pPr>
          </w:p>
        </w:tc>
        <w:tc>
          <w:tcPr>
            <w:tcW w:w="1418" w:type="dxa"/>
            <w:vMerge/>
          </w:tcPr>
          <w:p w14:paraId="68C42185"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bottom w:val="dashSmallGap" w:sz="4" w:space="0" w:color="1F497D" w:themeColor="text2"/>
            </w:tcBorders>
          </w:tcPr>
          <w:p w14:paraId="4746ED64" w14:textId="2E161E63" w:rsidR="009F2547" w:rsidRPr="00AC37DD" w:rsidRDefault="009F2547" w:rsidP="009F2547">
            <w:pPr>
              <w:ind w:right="34"/>
              <w:rPr>
                <w:i/>
                <w:sz w:val="20"/>
                <w:szCs w:val="20"/>
              </w:rPr>
            </w:pPr>
            <w:r w:rsidRPr="00AC37DD">
              <w:rPr>
                <w:i/>
                <w:sz w:val="20"/>
                <w:szCs w:val="20"/>
              </w:rPr>
              <w:t>Difficult</w:t>
            </w:r>
            <w:r w:rsidR="000C513C" w:rsidRPr="00AC37DD">
              <w:rPr>
                <w:i/>
                <w:sz w:val="20"/>
                <w:szCs w:val="20"/>
              </w:rPr>
              <w:t>y</w:t>
            </w:r>
            <w:r w:rsidRPr="00AC37DD">
              <w:rPr>
                <w:i/>
                <w:sz w:val="20"/>
                <w:szCs w:val="20"/>
              </w:rPr>
              <w:t xml:space="preserve"> returning to work </w:t>
            </w:r>
          </w:p>
        </w:tc>
        <w:tc>
          <w:tcPr>
            <w:tcW w:w="992" w:type="dxa"/>
            <w:tcBorders>
              <w:top w:val="dashSmallGap" w:sz="4" w:space="0" w:color="1F497D" w:themeColor="text2"/>
              <w:bottom w:val="dashSmallGap" w:sz="4" w:space="0" w:color="1F497D" w:themeColor="text2"/>
            </w:tcBorders>
          </w:tcPr>
          <w:p w14:paraId="070DFBC2" w14:textId="77777777" w:rsidR="009F2547" w:rsidRPr="00AC37DD" w:rsidRDefault="009F2547" w:rsidP="009F2547">
            <w:pPr>
              <w:widowControl w:val="0"/>
              <w:autoSpaceDE w:val="0"/>
              <w:autoSpaceDN w:val="0"/>
              <w:adjustRightInd w:val="0"/>
              <w:rPr>
                <w:sz w:val="20"/>
                <w:szCs w:val="20"/>
              </w:rPr>
            </w:pPr>
            <w:r w:rsidRPr="00AC37DD">
              <w:rPr>
                <w:sz w:val="20"/>
                <w:szCs w:val="20"/>
              </w:rPr>
              <w:t>2.2.2</w:t>
            </w:r>
          </w:p>
        </w:tc>
        <w:tc>
          <w:tcPr>
            <w:tcW w:w="9356" w:type="dxa"/>
            <w:tcBorders>
              <w:top w:val="dashSmallGap" w:sz="4" w:space="0" w:color="1F497D" w:themeColor="text2"/>
              <w:bottom w:val="dashSmallGap" w:sz="4" w:space="0" w:color="1F497D" w:themeColor="text2"/>
            </w:tcBorders>
            <w:vAlign w:val="center"/>
          </w:tcPr>
          <w:p w14:paraId="3E800091" w14:textId="4F1A20EA" w:rsidR="009F2547" w:rsidRPr="00AC37DD" w:rsidRDefault="009F2547" w:rsidP="009F2547">
            <w:pPr>
              <w:ind w:right="34"/>
              <w:rPr>
                <w:i/>
                <w:sz w:val="20"/>
                <w:szCs w:val="20"/>
              </w:rPr>
            </w:pPr>
            <w:r w:rsidRPr="00AC37DD">
              <w:rPr>
                <w:i/>
                <w:sz w:val="20"/>
                <w:szCs w:val="20"/>
              </w:rPr>
              <w:t>I just don’t know if I can put myself back into a situation where people feel they knew me, like I was second in charge of my department, like doing all this stuff, like aiming for head of department, and now I am just not there. – female gynaecological cancer</w:t>
            </w:r>
            <w:r w:rsidR="00707AC5" w:rsidRPr="00AC37DD">
              <w:rPr>
                <w:i/>
                <w:sz w:val="20"/>
                <w:szCs w:val="20"/>
              </w:rPr>
              <w:t xml:space="preserve"> patient </w:t>
            </w:r>
            <w:r w:rsidR="00C564A5" w:rsidRPr="00AC37DD">
              <w:rPr>
                <w:i/>
                <w:sz w:val="20"/>
                <w:szCs w:val="20"/>
              </w:rPr>
              <w:t>o</w:t>
            </w:r>
            <w:r w:rsidR="00707AC5" w:rsidRPr="00AC37DD">
              <w:rPr>
                <w:i/>
                <w:sz w:val="20"/>
                <w:szCs w:val="20"/>
              </w:rPr>
              <w:t>n treatment</w:t>
            </w:r>
          </w:p>
        </w:tc>
      </w:tr>
      <w:tr w:rsidR="00AC37DD" w:rsidRPr="00AC37DD" w14:paraId="77844480" w14:textId="77777777" w:rsidTr="009F2547">
        <w:trPr>
          <w:trHeight w:val="20"/>
        </w:trPr>
        <w:tc>
          <w:tcPr>
            <w:tcW w:w="817" w:type="dxa"/>
            <w:vMerge/>
          </w:tcPr>
          <w:p w14:paraId="2AD22182" w14:textId="77777777" w:rsidR="009F2547" w:rsidRPr="00AC37DD" w:rsidRDefault="009F2547" w:rsidP="009F2547">
            <w:pPr>
              <w:widowControl w:val="0"/>
              <w:autoSpaceDE w:val="0"/>
              <w:autoSpaceDN w:val="0"/>
              <w:adjustRightInd w:val="0"/>
              <w:rPr>
                <w:b/>
                <w:sz w:val="20"/>
                <w:szCs w:val="20"/>
              </w:rPr>
            </w:pPr>
          </w:p>
        </w:tc>
        <w:tc>
          <w:tcPr>
            <w:tcW w:w="1418" w:type="dxa"/>
            <w:vMerge/>
          </w:tcPr>
          <w:p w14:paraId="5A5C33CB"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tcBorders>
          </w:tcPr>
          <w:p w14:paraId="1E3BDC19" w14:textId="77777777" w:rsidR="009F2547" w:rsidRPr="00AC37DD" w:rsidRDefault="009F2547" w:rsidP="009F2547">
            <w:pPr>
              <w:ind w:right="34"/>
              <w:rPr>
                <w:i/>
                <w:sz w:val="20"/>
                <w:szCs w:val="20"/>
              </w:rPr>
            </w:pPr>
            <w:r w:rsidRPr="00AC37DD">
              <w:rPr>
                <w:i/>
                <w:sz w:val="20"/>
                <w:szCs w:val="20"/>
              </w:rPr>
              <w:t>Changes in ability</w:t>
            </w:r>
          </w:p>
        </w:tc>
        <w:tc>
          <w:tcPr>
            <w:tcW w:w="992" w:type="dxa"/>
            <w:tcBorders>
              <w:top w:val="dashSmallGap" w:sz="4" w:space="0" w:color="1F497D" w:themeColor="text2"/>
            </w:tcBorders>
          </w:tcPr>
          <w:p w14:paraId="79776D64" w14:textId="77777777" w:rsidR="009F2547" w:rsidRPr="00AC37DD" w:rsidRDefault="009F2547" w:rsidP="009F2547">
            <w:pPr>
              <w:widowControl w:val="0"/>
              <w:autoSpaceDE w:val="0"/>
              <w:autoSpaceDN w:val="0"/>
              <w:adjustRightInd w:val="0"/>
              <w:rPr>
                <w:sz w:val="20"/>
                <w:szCs w:val="20"/>
              </w:rPr>
            </w:pPr>
            <w:r w:rsidRPr="00AC37DD">
              <w:rPr>
                <w:sz w:val="20"/>
                <w:szCs w:val="20"/>
              </w:rPr>
              <w:t>2.2.3</w:t>
            </w:r>
          </w:p>
        </w:tc>
        <w:tc>
          <w:tcPr>
            <w:tcW w:w="9356" w:type="dxa"/>
            <w:tcBorders>
              <w:top w:val="dashSmallGap" w:sz="4" w:space="0" w:color="1F497D" w:themeColor="text2"/>
            </w:tcBorders>
            <w:vAlign w:val="center"/>
          </w:tcPr>
          <w:p w14:paraId="75AC8C03" w14:textId="4D966569" w:rsidR="009F2547" w:rsidRPr="00AC37DD" w:rsidRDefault="009F2547" w:rsidP="009F2547">
            <w:pPr>
              <w:ind w:right="34"/>
              <w:rPr>
                <w:i/>
                <w:sz w:val="20"/>
                <w:szCs w:val="20"/>
              </w:rPr>
            </w:pPr>
            <w:r w:rsidRPr="00AC37DD">
              <w:rPr>
                <w:i/>
                <w:sz w:val="20"/>
                <w:szCs w:val="20"/>
              </w:rPr>
              <w:t>I am so embarrassed, I am still young, I want to be strong and I want to be the top performer again. – male CNS tumour</w:t>
            </w:r>
            <w:r w:rsidR="00707AC5" w:rsidRPr="00AC37DD">
              <w:rPr>
                <w:i/>
                <w:sz w:val="20"/>
                <w:szCs w:val="20"/>
              </w:rPr>
              <w:t xml:space="preserve"> patient in follow-up</w:t>
            </w:r>
          </w:p>
        </w:tc>
      </w:tr>
      <w:tr w:rsidR="00AC37DD" w:rsidRPr="00AC37DD" w14:paraId="61809A79" w14:textId="77777777" w:rsidTr="009F2547">
        <w:trPr>
          <w:trHeight w:val="500"/>
        </w:trPr>
        <w:tc>
          <w:tcPr>
            <w:tcW w:w="817" w:type="dxa"/>
            <w:vMerge/>
          </w:tcPr>
          <w:p w14:paraId="2844D49E" w14:textId="77777777" w:rsidR="009F2547" w:rsidRPr="00AC37DD" w:rsidRDefault="009F2547" w:rsidP="009F2547">
            <w:pPr>
              <w:widowControl w:val="0"/>
              <w:autoSpaceDE w:val="0"/>
              <w:autoSpaceDN w:val="0"/>
              <w:adjustRightInd w:val="0"/>
              <w:rPr>
                <w:b/>
                <w:sz w:val="20"/>
                <w:szCs w:val="20"/>
              </w:rPr>
            </w:pPr>
          </w:p>
        </w:tc>
        <w:tc>
          <w:tcPr>
            <w:tcW w:w="1418" w:type="dxa"/>
            <w:vMerge w:val="restart"/>
          </w:tcPr>
          <w:p w14:paraId="739D7D73" w14:textId="77777777" w:rsidR="009F2547" w:rsidRPr="00AC37DD" w:rsidRDefault="009F2547" w:rsidP="009F2547">
            <w:pPr>
              <w:widowControl w:val="0"/>
              <w:autoSpaceDE w:val="0"/>
              <w:autoSpaceDN w:val="0"/>
              <w:adjustRightInd w:val="0"/>
              <w:rPr>
                <w:sz w:val="20"/>
                <w:szCs w:val="20"/>
              </w:rPr>
            </w:pPr>
            <w:r w:rsidRPr="00AC37DD">
              <w:rPr>
                <w:sz w:val="20"/>
                <w:szCs w:val="20"/>
              </w:rPr>
              <w:t>2.3 Positive change in outlook and priorities</w:t>
            </w:r>
          </w:p>
        </w:tc>
        <w:tc>
          <w:tcPr>
            <w:tcW w:w="1417" w:type="dxa"/>
            <w:tcBorders>
              <w:bottom w:val="dashSmallGap" w:sz="4" w:space="0" w:color="1F497D" w:themeColor="text2"/>
            </w:tcBorders>
          </w:tcPr>
          <w:p w14:paraId="7BE28CA0" w14:textId="77777777" w:rsidR="009F2547" w:rsidRPr="00AC37DD" w:rsidRDefault="009F2547" w:rsidP="009F2547">
            <w:pPr>
              <w:ind w:right="34"/>
              <w:rPr>
                <w:i/>
                <w:sz w:val="20"/>
                <w:szCs w:val="20"/>
              </w:rPr>
            </w:pPr>
            <w:r w:rsidRPr="00AC37DD">
              <w:rPr>
                <w:i/>
                <w:sz w:val="20"/>
                <w:szCs w:val="20"/>
              </w:rPr>
              <w:t>Personal growth</w:t>
            </w:r>
          </w:p>
        </w:tc>
        <w:tc>
          <w:tcPr>
            <w:tcW w:w="992" w:type="dxa"/>
            <w:tcBorders>
              <w:bottom w:val="dashSmallGap" w:sz="4" w:space="0" w:color="1F497D" w:themeColor="text2"/>
            </w:tcBorders>
          </w:tcPr>
          <w:p w14:paraId="3D39CCE3" w14:textId="77777777" w:rsidR="009F2547" w:rsidRPr="00AC37DD" w:rsidRDefault="009F2547" w:rsidP="009F2547">
            <w:pPr>
              <w:widowControl w:val="0"/>
              <w:autoSpaceDE w:val="0"/>
              <w:autoSpaceDN w:val="0"/>
              <w:adjustRightInd w:val="0"/>
              <w:rPr>
                <w:sz w:val="20"/>
                <w:szCs w:val="20"/>
              </w:rPr>
            </w:pPr>
            <w:r w:rsidRPr="00AC37DD">
              <w:rPr>
                <w:sz w:val="20"/>
                <w:szCs w:val="20"/>
              </w:rPr>
              <w:t>2.3.1</w:t>
            </w:r>
          </w:p>
        </w:tc>
        <w:tc>
          <w:tcPr>
            <w:tcW w:w="9356" w:type="dxa"/>
            <w:tcBorders>
              <w:bottom w:val="dashSmallGap" w:sz="4" w:space="0" w:color="1F497D" w:themeColor="text2"/>
            </w:tcBorders>
            <w:vAlign w:val="center"/>
          </w:tcPr>
          <w:p w14:paraId="6D75F68E" w14:textId="04EDF9F8" w:rsidR="009F2547" w:rsidRPr="00AC37DD" w:rsidRDefault="009F2547" w:rsidP="009F2547">
            <w:pPr>
              <w:ind w:right="34"/>
              <w:rPr>
                <w:i/>
                <w:sz w:val="20"/>
                <w:szCs w:val="20"/>
              </w:rPr>
            </w:pPr>
            <w:r w:rsidRPr="00AC37DD">
              <w:rPr>
                <w:i/>
                <w:sz w:val="20"/>
                <w:szCs w:val="20"/>
              </w:rPr>
              <w:t>It really allowed me to understand better who I am.  I have made some pretty important decisions, and if there is anything good that has come out of this disease it’s that really, I think I have matured enormously. – male urological cancer</w:t>
            </w:r>
            <w:r w:rsidR="00707AC5" w:rsidRPr="00AC37DD">
              <w:rPr>
                <w:i/>
                <w:sz w:val="20"/>
                <w:szCs w:val="20"/>
              </w:rPr>
              <w:t xml:space="preserve"> patient in follow-up</w:t>
            </w:r>
          </w:p>
        </w:tc>
      </w:tr>
      <w:tr w:rsidR="00AC37DD" w:rsidRPr="00AC37DD" w14:paraId="27126B8B" w14:textId="77777777" w:rsidTr="009F2547">
        <w:tc>
          <w:tcPr>
            <w:tcW w:w="817" w:type="dxa"/>
            <w:vMerge/>
          </w:tcPr>
          <w:p w14:paraId="1DB2FB96" w14:textId="77777777" w:rsidR="009F2547" w:rsidRPr="00AC37DD" w:rsidRDefault="009F2547" w:rsidP="009F2547">
            <w:pPr>
              <w:widowControl w:val="0"/>
              <w:autoSpaceDE w:val="0"/>
              <w:autoSpaceDN w:val="0"/>
              <w:adjustRightInd w:val="0"/>
              <w:rPr>
                <w:b/>
                <w:sz w:val="20"/>
                <w:szCs w:val="20"/>
              </w:rPr>
            </w:pPr>
          </w:p>
        </w:tc>
        <w:tc>
          <w:tcPr>
            <w:tcW w:w="1418" w:type="dxa"/>
            <w:vMerge/>
          </w:tcPr>
          <w:p w14:paraId="766A64FB"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bottom w:val="dashSmallGap" w:sz="4" w:space="0" w:color="1F497D" w:themeColor="text2"/>
            </w:tcBorders>
          </w:tcPr>
          <w:p w14:paraId="6AB0F9ED" w14:textId="77777777" w:rsidR="009F2547" w:rsidRPr="00AC37DD" w:rsidRDefault="009F2547" w:rsidP="009F2547">
            <w:pPr>
              <w:ind w:right="34"/>
              <w:rPr>
                <w:i/>
                <w:sz w:val="20"/>
                <w:szCs w:val="20"/>
              </w:rPr>
            </w:pPr>
            <w:r w:rsidRPr="00AC37DD">
              <w:rPr>
                <w:i/>
                <w:sz w:val="20"/>
                <w:szCs w:val="20"/>
              </w:rPr>
              <w:t>Prioritising family and well-being</w:t>
            </w:r>
          </w:p>
        </w:tc>
        <w:tc>
          <w:tcPr>
            <w:tcW w:w="992" w:type="dxa"/>
            <w:tcBorders>
              <w:top w:val="dashSmallGap" w:sz="4" w:space="0" w:color="1F497D" w:themeColor="text2"/>
              <w:bottom w:val="dashSmallGap" w:sz="4" w:space="0" w:color="1F497D" w:themeColor="text2"/>
            </w:tcBorders>
          </w:tcPr>
          <w:p w14:paraId="2270E5F8" w14:textId="77777777" w:rsidR="009F2547" w:rsidRPr="00AC37DD" w:rsidRDefault="009F2547" w:rsidP="009F2547">
            <w:pPr>
              <w:widowControl w:val="0"/>
              <w:autoSpaceDE w:val="0"/>
              <w:autoSpaceDN w:val="0"/>
              <w:adjustRightInd w:val="0"/>
              <w:rPr>
                <w:sz w:val="20"/>
                <w:szCs w:val="20"/>
              </w:rPr>
            </w:pPr>
            <w:r w:rsidRPr="00AC37DD">
              <w:rPr>
                <w:sz w:val="20"/>
                <w:szCs w:val="20"/>
              </w:rPr>
              <w:t>2.3.2</w:t>
            </w:r>
          </w:p>
        </w:tc>
        <w:tc>
          <w:tcPr>
            <w:tcW w:w="9356" w:type="dxa"/>
            <w:tcBorders>
              <w:top w:val="dashSmallGap" w:sz="4" w:space="0" w:color="1F497D" w:themeColor="text2"/>
              <w:bottom w:val="dashSmallGap" w:sz="4" w:space="0" w:color="1F497D" w:themeColor="text2"/>
            </w:tcBorders>
            <w:vAlign w:val="center"/>
          </w:tcPr>
          <w:p w14:paraId="60333202" w14:textId="5E578E49" w:rsidR="009F2547" w:rsidRPr="00AC37DD" w:rsidRDefault="009F2547" w:rsidP="009F2547">
            <w:pPr>
              <w:ind w:right="34"/>
              <w:rPr>
                <w:i/>
                <w:sz w:val="20"/>
                <w:szCs w:val="20"/>
              </w:rPr>
            </w:pPr>
            <w:r w:rsidRPr="00AC37DD">
              <w:rPr>
                <w:i/>
                <w:sz w:val="20"/>
                <w:szCs w:val="20"/>
              </w:rPr>
              <w:t>I do miss [teaching] incredibly. I miss the kids, I miss the colleagues I worked with, but ultimately, now, I'm just like it's not important for me anymore. My family is important, my friends are important, my health is important, my life is important. – female CNS tumour</w:t>
            </w:r>
            <w:r w:rsidR="00707AC5" w:rsidRPr="00AC37DD">
              <w:rPr>
                <w:i/>
                <w:sz w:val="20"/>
                <w:szCs w:val="20"/>
              </w:rPr>
              <w:t xml:space="preserve"> patient </w:t>
            </w:r>
            <w:r w:rsidR="00C564A5" w:rsidRPr="00AC37DD">
              <w:rPr>
                <w:i/>
                <w:sz w:val="20"/>
                <w:szCs w:val="20"/>
              </w:rPr>
              <w:t>o</w:t>
            </w:r>
            <w:r w:rsidR="00707AC5" w:rsidRPr="00AC37DD">
              <w:rPr>
                <w:i/>
                <w:sz w:val="20"/>
                <w:szCs w:val="20"/>
              </w:rPr>
              <w:t>n treatment</w:t>
            </w:r>
          </w:p>
        </w:tc>
      </w:tr>
      <w:tr w:rsidR="00AC37DD" w:rsidRPr="00AC37DD" w14:paraId="5A95EE02" w14:textId="77777777" w:rsidTr="009F2547">
        <w:trPr>
          <w:trHeight w:val="20"/>
        </w:trPr>
        <w:tc>
          <w:tcPr>
            <w:tcW w:w="817" w:type="dxa"/>
            <w:vMerge/>
            <w:tcBorders>
              <w:bottom w:val="single" w:sz="12" w:space="0" w:color="1F497D" w:themeColor="text2"/>
            </w:tcBorders>
          </w:tcPr>
          <w:p w14:paraId="08B46DCB" w14:textId="77777777" w:rsidR="009F2547" w:rsidRPr="00AC37DD" w:rsidRDefault="009F2547" w:rsidP="009F2547">
            <w:pPr>
              <w:widowControl w:val="0"/>
              <w:autoSpaceDE w:val="0"/>
              <w:autoSpaceDN w:val="0"/>
              <w:adjustRightInd w:val="0"/>
              <w:rPr>
                <w:b/>
                <w:sz w:val="20"/>
                <w:szCs w:val="20"/>
              </w:rPr>
            </w:pPr>
          </w:p>
        </w:tc>
        <w:tc>
          <w:tcPr>
            <w:tcW w:w="1418" w:type="dxa"/>
            <w:vMerge/>
            <w:tcBorders>
              <w:bottom w:val="single" w:sz="12" w:space="0" w:color="1F497D" w:themeColor="text2"/>
            </w:tcBorders>
          </w:tcPr>
          <w:p w14:paraId="0CE4C45D"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bottom w:val="single" w:sz="12" w:space="0" w:color="1F497D" w:themeColor="text2"/>
            </w:tcBorders>
          </w:tcPr>
          <w:p w14:paraId="3F4DDF6E" w14:textId="77777777" w:rsidR="009F2547" w:rsidRPr="00AC37DD" w:rsidRDefault="009F2547" w:rsidP="009F2547">
            <w:pPr>
              <w:ind w:right="34"/>
              <w:rPr>
                <w:i/>
                <w:sz w:val="20"/>
                <w:szCs w:val="20"/>
              </w:rPr>
            </w:pPr>
            <w:r w:rsidRPr="00AC37DD">
              <w:rPr>
                <w:i/>
                <w:sz w:val="20"/>
                <w:szCs w:val="20"/>
              </w:rPr>
              <w:t>Improving relationships</w:t>
            </w:r>
          </w:p>
        </w:tc>
        <w:tc>
          <w:tcPr>
            <w:tcW w:w="992" w:type="dxa"/>
            <w:tcBorders>
              <w:top w:val="dashSmallGap" w:sz="4" w:space="0" w:color="1F497D" w:themeColor="text2"/>
              <w:bottom w:val="single" w:sz="12" w:space="0" w:color="1F497D" w:themeColor="text2"/>
            </w:tcBorders>
          </w:tcPr>
          <w:p w14:paraId="298148EB" w14:textId="77777777" w:rsidR="009F2547" w:rsidRPr="00AC37DD" w:rsidRDefault="009F2547" w:rsidP="009F2547">
            <w:pPr>
              <w:widowControl w:val="0"/>
              <w:autoSpaceDE w:val="0"/>
              <w:autoSpaceDN w:val="0"/>
              <w:adjustRightInd w:val="0"/>
              <w:rPr>
                <w:sz w:val="20"/>
                <w:szCs w:val="20"/>
              </w:rPr>
            </w:pPr>
            <w:r w:rsidRPr="00AC37DD">
              <w:rPr>
                <w:sz w:val="20"/>
                <w:szCs w:val="20"/>
              </w:rPr>
              <w:t>2.3.3</w:t>
            </w:r>
          </w:p>
        </w:tc>
        <w:tc>
          <w:tcPr>
            <w:tcW w:w="9356" w:type="dxa"/>
            <w:tcBorders>
              <w:top w:val="dashSmallGap" w:sz="4" w:space="0" w:color="1F497D" w:themeColor="text2"/>
              <w:bottom w:val="single" w:sz="12" w:space="0" w:color="1F497D" w:themeColor="text2"/>
            </w:tcBorders>
            <w:vAlign w:val="center"/>
          </w:tcPr>
          <w:p w14:paraId="5FD71D8F" w14:textId="2A6A4940" w:rsidR="009F2547" w:rsidRPr="00AC37DD" w:rsidRDefault="009F2547" w:rsidP="009F2547">
            <w:pPr>
              <w:ind w:right="34"/>
              <w:rPr>
                <w:i/>
                <w:sz w:val="20"/>
                <w:szCs w:val="20"/>
              </w:rPr>
            </w:pPr>
            <w:r w:rsidRPr="00AC37DD">
              <w:rPr>
                <w:i/>
                <w:sz w:val="20"/>
                <w:szCs w:val="20"/>
              </w:rPr>
              <w:t>I think also, because like I say my relationship was relatively young, we were relatively early in our relationship.  My partner has been incredibly supportive; it has made us stronger I think. – female breast cancer</w:t>
            </w:r>
            <w:r w:rsidR="00707AC5" w:rsidRPr="00AC37DD">
              <w:rPr>
                <w:i/>
                <w:sz w:val="20"/>
                <w:szCs w:val="20"/>
              </w:rPr>
              <w:t xml:space="preserve"> patient in follow-up</w:t>
            </w:r>
          </w:p>
        </w:tc>
      </w:tr>
      <w:tr w:rsidR="00AC37DD" w:rsidRPr="00AC37DD" w14:paraId="30A74836" w14:textId="77777777" w:rsidTr="009F2547">
        <w:trPr>
          <w:trHeight w:val="652"/>
        </w:trPr>
        <w:tc>
          <w:tcPr>
            <w:tcW w:w="817" w:type="dxa"/>
            <w:vMerge w:val="restart"/>
            <w:tcBorders>
              <w:top w:val="single" w:sz="12" w:space="0" w:color="1F497D" w:themeColor="text2"/>
            </w:tcBorders>
            <w:textDirection w:val="btLr"/>
          </w:tcPr>
          <w:p w14:paraId="44D8B49E" w14:textId="77777777" w:rsidR="009F2547" w:rsidRPr="00AC37DD" w:rsidRDefault="009F2547" w:rsidP="009F2547">
            <w:pPr>
              <w:widowControl w:val="0"/>
              <w:autoSpaceDE w:val="0"/>
              <w:autoSpaceDN w:val="0"/>
              <w:adjustRightInd w:val="0"/>
              <w:ind w:left="113" w:right="113"/>
              <w:rPr>
                <w:b/>
                <w:sz w:val="20"/>
                <w:szCs w:val="20"/>
              </w:rPr>
            </w:pPr>
            <w:r w:rsidRPr="00AC37DD">
              <w:rPr>
                <w:b/>
                <w:sz w:val="20"/>
                <w:szCs w:val="20"/>
              </w:rPr>
              <w:t>3. Facing isolation</w:t>
            </w:r>
          </w:p>
        </w:tc>
        <w:tc>
          <w:tcPr>
            <w:tcW w:w="1418" w:type="dxa"/>
            <w:vMerge w:val="restart"/>
            <w:tcBorders>
              <w:top w:val="single" w:sz="12" w:space="0" w:color="1F497D" w:themeColor="text2"/>
            </w:tcBorders>
          </w:tcPr>
          <w:p w14:paraId="4895EED5" w14:textId="77777777" w:rsidR="009F2547" w:rsidRPr="00AC37DD" w:rsidRDefault="009F2547" w:rsidP="009F2547">
            <w:pPr>
              <w:widowControl w:val="0"/>
              <w:autoSpaceDE w:val="0"/>
              <w:autoSpaceDN w:val="0"/>
              <w:adjustRightInd w:val="0"/>
              <w:rPr>
                <w:sz w:val="20"/>
                <w:szCs w:val="20"/>
              </w:rPr>
            </w:pPr>
            <w:r w:rsidRPr="00AC37DD">
              <w:rPr>
                <w:sz w:val="20"/>
                <w:szCs w:val="20"/>
              </w:rPr>
              <w:t>3.1 Distancing from friends</w:t>
            </w:r>
          </w:p>
        </w:tc>
        <w:tc>
          <w:tcPr>
            <w:tcW w:w="1417" w:type="dxa"/>
            <w:tcBorders>
              <w:top w:val="single" w:sz="12" w:space="0" w:color="1F497D" w:themeColor="text2"/>
              <w:bottom w:val="dashSmallGap" w:sz="4" w:space="0" w:color="1F497D" w:themeColor="text2"/>
            </w:tcBorders>
          </w:tcPr>
          <w:p w14:paraId="3AF84EA0" w14:textId="77777777" w:rsidR="009F2547" w:rsidRPr="00AC37DD" w:rsidRDefault="009F2547" w:rsidP="009F2547">
            <w:pPr>
              <w:ind w:right="34"/>
              <w:rPr>
                <w:i/>
                <w:sz w:val="20"/>
                <w:szCs w:val="20"/>
              </w:rPr>
            </w:pPr>
            <w:r w:rsidRPr="00AC37DD">
              <w:rPr>
                <w:i/>
                <w:sz w:val="20"/>
                <w:szCs w:val="20"/>
              </w:rPr>
              <w:t>Friends can’t relate or don’t understand</w:t>
            </w:r>
          </w:p>
        </w:tc>
        <w:tc>
          <w:tcPr>
            <w:tcW w:w="992" w:type="dxa"/>
            <w:tcBorders>
              <w:top w:val="single" w:sz="12" w:space="0" w:color="1F497D" w:themeColor="text2"/>
              <w:bottom w:val="dashSmallGap" w:sz="4" w:space="0" w:color="1F497D" w:themeColor="text2"/>
            </w:tcBorders>
          </w:tcPr>
          <w:p w14:paraId="62ED2385" w14:textId="77777777" w:rsidR="009F2547" w:rsidRPr="00AC37DD" w:rsidRDefault="009F2547" w:rsidP="009F2547">
            <w:pPr>
              <w:widowControl w:val="0"/>
              <w:autoSpaceDE w:val="0"/>
              <w:autoSpaceDN w:val="0"/>
              <w:adjustRightInd w:val="0"/>
              <w:rPr>
                <w:sz w:val="20"/>
                <w:szCs w:val="20"/>
              </w:rPr>
            </w:pPr>
            <w:r w:rsidRPr="00AC37DD">
              <w:rPr>
                <w:sz w:val="20"/>
                <w:szCs w:val="20"/>
              </w:rPr>
              <w:t>3.1.1</w:t>
            </w:r>
          </w:p>
        </w:tc>
        <w:tc>
          <w:tcPr>
            <w:tcW w:w="9356" w:type="dxa"/>
            <w:tcBorders>
              <w:top w:val="single" w:sz="12" w:space="0" w:color="1F497D" w:themeColor="text2"/>
              <w:bottom w:val="dashSmallGap" w:sz="4" w:space="0" w:color="1F497D" w:themeColor="text2"/>
            </w:tcBorders>
            <w:vAlign w:val="center"/>
          </w:tcPr>
          <w:p w14:paraId="3E788586" w14:textId="263239DC" w:rsidR="009F2547" w:rsidRPr="00AC37DD" w:rsidRDefault="009F2547" w:rsidP="009F2547">
            <w:pPr>
              <w:ind w:right="34"/>
              <w:rPr>
                <w:i/>
                <w:sz w:val="20"/>
                <w:szCs w:val="20"/>
              </w:rPr>
            </w:pPr>
            <w:r w:rsidRPr="00AC37DD">
              <w:rPr>
                <w:i/>
                <w:sz w:val="20"/>
                <w:szCs w:val="20"/>
              </w:rPr>
              <w:t>Relationships I had deteriorated, kind of disappeared… So it’s difficult. It was very isolating in some ways. And yes, you do feel ashamed for kind of the situation that you’re in. Well, I certainly have anyway. In the end, you find out who your friends are and the world becomes much, much smaller. – female gastrointestinal cancer</w:t>
            </w:r>
            <w:r w:rsidR="00182204" w:rsidRPr="00AC37DD">
              <w:rPr>
                <w:i/>
                <w:sz w:val="20"/>
                <w:szCs w:val="20"/>
              </w:rPr>
              <w:t xml:space="preserve"> patient </w:t>
            </w:r>
            <w:r w:rsidR="00C564A5" w:rsidRPr="00AC37DD">
              <w:rPr>
                <w:i/>
                <w:sz w:val="20"/>
                <w:szCs w:val="20"/>
              </w:rPr>
              <w:t>o</w:t>
            </w:r>
            <w:r w:rsidR="00182204" w:rsidRPr="00AC37DD">
              <w:rPr>
                <w:i/>
                <w:sz w:val="20"/>
                <w:szCs w:val="20"/>
              </w:rPr>
              <w:t>n treatment</w:t>
            </w:r>
          </w:p>
        </w:tc>
      </w:tr>
      <w:tr w:rsidR="00AC37DD" w:rsidRPr="00AC37DD" w14:paraId="11445E27" w14:textId="77777777" w:rsidTr="009F2547">
        <w:trPr>
          <w:trHeight w:val="766"/>
        </w:trPr>
        <w:tc>
          <w:tcPr>
            <w:tcW w:w="817" w:type="dxa"/>
            <w:vMerge/>
            <w:textDirection w:val="btLr"/>
          </w:tcPr>
          <w:p w14:paraId="1C8A13FD" w14:textId="77777777" w:rsidR="009F2547" w:rsidRPr="00AC37DD" w:rsidRDefault="009F2547" w:rsidP="009F2547">
            <w:pPr>
              <w:widowControl w:val="0"/>
              <w:autoSpaceDE w:val="0"/>
              <w:autoSpaceDN w:val="0"/>
              <w:adjustRightInd w:val="0"/>
              <w:ind w:left="113" w:right="113"/>
              <w:rPr>
                <w:b/>
                <w:sz w:val="20"/>
                <w:szCs w:val="20"/>
              </w:rPr>
            </w:pPr>
          </w:p>
        </w:tc>
        <w:tc>
          <w:tcPr>
            <w:tcW w:w="1418" w:type="dxa"/>
            <w:vMerge/>
          </w:tcPr>
          <w:p w14:paraId="782D989D"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tcBorders>
          </w:tcPr>
          <w:p w14:paraId="0844B8B9" w14:textId="21988E2A" w:rsidR="009F2547" w:rsidRPr="00AC37DD" w:rsidRDefault="009F2547" w:rsidP="009F2547">
            <w:pPr>
              <w:ind w:right="34"/>
              <w:rPr>
                <w:i/>
                <w:sz w:val="20"/>
                <w:szCs w:val="20"/>
              </w:rPr>
            </w:pPr>
            <w:r w:rsidRPr="00AC37DD">
              <w:rPr>
                <w:i/>
                <w:sz w:val="20"/>
                <w:szCs w:val="20"/>
              </w:rPr>
              <w:t>Difficult</w:t>
            </w:r>
            <w:r w:rsidR="000C513C" w:rsidRPr="00AC37DD">
              <w:rPr>
                <w:i/>
                <w:sz w:val="20"/>
                <w:szCs w:val="20"/>
              </w:rPr>
              <w:t>y</w:t>
            </w:r>
            <w:r w:rsidRPr="00AC37DD">
              <w:rPr>
                <w:i/>
                <w:sz w:val="20"/>
                <w:szCs w:val="20"/>
              </w:rPr>
              <w:t xml:space="preserve"> forming new relationships</w:t>
            </w:r>
          </w:p>
        </w:tc>
        <w:tc>
          <w:tcPr>
            <w:tcW w:w="992" w:type="dxa"/>
            <w:tcBorders>
              <w:top w:val="dashSmallGap" w:sz="4" w:space="0" w:color="1F497D" w:themeColor="text2"/>
            </w:tcBorders>
          </w:tcPr>
          <w:p w14:paraId="4F6F4415" w14:textId="77777777" w:rsidR="009F2547" w:rsidRPr="00AC37DD" w:rsidRDefault="009F2547" w:rsidP="009F2547">
            <w:pPr>
              <w:widowControl w:val="0"/>
              <w:autoSpaceDE w:val="0"/>
              <w:autoSpaceDN w:val="0"/>
              <w:adjustRightInd w:val="0"/>
              <w:rPr>
                <w:sz w:val="20"/>
                <w:szCs w:val="20"/>
              </w:rPr>
            </w:pPr>
            <w:r w:rsidRPr="00AC37DD">
              <w:rPr>
                <w:sz w:val="20"/>
                <w:szCs w:val="20"/>
              </w:rPr>
              <w:t>3.1.2</w:t>
            </w:r>
          </w:p>
        </w:tc>
        <w:tc>
          <w:tcPr>
            <w:tcW w:w="9356" w:type="dxa"/>
            <w:tcBorders>
              <w:top w:val="dashSmallGap" w:sz="4" w:space="0" w:color="1F497D" w:themeColor="text2"/>
            </w:tcBorders>
            <w:vAlign w:val="center"/>
          </w:tcPr>
          <w:p w14:paraId="7A93C047" w14:textId="0FC2016D" w:rsidR="009F2547" w:rsidRPr="00AC37DD" w:rsidRDefault="009F2547" w:rsidP="009F2547">
            <w:pPr>
              <w:ind w:right="34"/>
              <w:rPr>
                <w:i/>
                <w:sz w:val="20"/>
                <w:szCs w:val="20"/>
              </w:rPr>
            </w:pPr>
            <w:r w:rsidRPr="00AC37DD">
              <w:rPr>
                <w:i/>
                <w:sz w:val="20"/>
                <w:szCs w:val="20"/>
              </w:rPr>
              <w:t>I feel like I’m always dropping a bombshell, that this happened. Like, like, even with, like, things like, I don’t know, dating someone new and things like that, I don’t quite know. I haven’t sort of really, like, broached that sort of bit yet and I don’t know how I will. – female breast cancer</w:t>
            </w:r>
            <w:r w:rsidR="00182204" w:rsidRPr="00AC37DD">
              <w:rPr>
                <w:i/>
                <w:sz w:val="20"/>
                <w:szCs w:val="20"/>
              </w:rPr>
              <w:t xml:space="preserve"> patient in follow-up</w:t>
            </w:r>
          </w:p>
        </w:tc>
      </w:tr>
      <w:tr w:rsidR="00AC37DD" w:rsidRPr="00AC37DD" w14:paraId="5236227A" w14:textId="77777777" w:rsidTr="009F2547">
        <w:trPr>
          <w:trHeight w:val="20"/>
        </w:trPr>
        <w:tc>
          <w:tcPr>
            <w:tcW w:w="817" w:type="dxa"/>
            <w:vMerge/>
          </w:tcPr>
          <w:p w14:paraId="06DCC97A" w14:textId="77777777" w:rsidR="009F2547" w:rsidRPr="00AC37DD" w:rsidRDefault="009F2547" w:rsidP="009F2547">
            <w:pPr>
              <w:widowControl w:val="0"/>
              <w:autoSpaceDE w:val="0"/>
              <w:autoSpaceDN w:val="0"/>
              <w:adjustRightInd w:val="0"/>
              <w:rPr>
                <w:b/>
                <w:sz w:val="20"/>
                <w:szCs w:val="20"/>
              </w:rPr>
            </w:pPr>
          </w:p>
        </w:tc>
        <w:tc>
          <w:tcPr>
            <w:tcW w:w="1418" w:type="dxa"/>
            <w:vMerge/>
          </w:tcPr>
          <w:p w14:paraId="5F29EF7C"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bottom w:val="single" w:sz="4" w:space="0" w:color="1F497D" w:themeColor="text2"/>
            </w:tcBorders>
          </w:tcPr>
          <w:p w14:paraId="66D561A7" w14:textId="0D5D6FA4" w:rsidR="009F2547" w:rsidRPr="00AC37DD" w:rsidRDefault="009F2547" w:rsidP="009F2547">
            <w:pPr>
              <w:ind w:right="34"/>
              <w:rPr>
                <w:i/>
                <w:sz w:val="20"/>
                <w:szCs w:val="20"/>
              </w:rPr>
            </w:pPr>
            <w:r w:rsidRPr="00AC37DD">
              <w:rPr>
                <w:i/>
                <w:sz w:val="20"/>
                <w:szCs w:val="20"/>
              </w:rPr>
              <w:t>Want</w:t>
            </w:r>
            <w:r w:rsidR="0045436B" w:rsidRPr="00AC37DD">
              <w:rPr>
                <w:i/>
                <w:sz w:val="20"/>
                <w:szCs w:val="20"/>
              </w:rPr>
              <w:t>ing</w:t>
            </w:r>
            <w:r w:rsidRPr="00AC37DD">
              <w:rPr>
                <w:i/>
                <w:sz w:val="20"/>
                <w:szCs w:val="20"/>
              </w:rPr>
              <w:t xml:space="preserve"> to protect loved ones</w:t>
            </w:r>
          </w:p>
        </w:tc>
        <w:tc>
          <w:tcPr>
            <w:tcW w:w="992" w:type="dxa"/>
            <w:tcBorders>
              <w:top w:val="dashSmallGap" w:sz="4" w:space="0" w:color="1F497D" w:themeColor="text2"/>
              <w:bottom w:val="single" w:sz="4" w:space="0" w:color="1F497D" w:themeColor="text2"/>
            </w:tcBorders>
          </w:tcPr>
          <w:p w14:paraId="23103C4E" w14:textId="77777777" w:rsidR="009F2547" w:rsidRPr="00AC37DD" w:rsidRDefault="009F2547" w:rsidP="009F2547">
            <w:pPr>
              <w:widowControl w:val="0"/>
              <w:autoSpaceDE w:val="0"/>
              <w:autoSpaceDN w:val="0"/>
              <w:adjustRightInd w:val="0"/>
              <w:rPr>
                <w:sz w:val="20"/>
                <w:szCs w:val="20"/>
              </w:rPr>
            </w:pPr>
            <w:r w:rsidRPr="00AC37DD">
              <w:rPr>
                <w:sz w:val="20"/>
                <w:szCs w:val="20"/>
              </w:rPr>
              <w:t>3.1.3</w:t>
            </w:r>
          </w:p>
        </w:tc>
        <w:tc>
          <w:tcPr>
            <w:tcW w:w="9356" w:type="dxa"/>
            <w:tcBorders>
              <w:top w:val="dashSmallGap" w:sz="4" w:space="0" w:color="1F497D" w:themeColor="text2"/>
              <w:bottom w:val="single" w:sz="4" w:space="0" w:color="1F497D" w:themeColor="text2"/>
            </w:tcBorders>
            <w:vAlign w:val="center"/>
          </w:tcPr>
          <w:p w14:paraId="40E640BF" w14:textId="766D5C04" w:rsidR="009F2547" w:rsidRPr="00AC37DD" w:rsidRDefault="009F2547" w:rsidP="009F2547">
            <w:pPr>
              <w:spacing w:after="120"/>
              <w:ind w:right="34"/>
              <w:rPr>
                <w:i/>
                <w:sz w:val="20"/>
                <w:szCs w:val="20"/>
              </w:rPr>
            </w:pPr>
            <w:r w:rsidRPr="00AC37DD">
              <w:rPr>
                <w:i/>
                <w:sz w:val="20"/>
                <w:szCs w:val="20"/>
              </w:rPr>
              <w:t>I was trying to protect people, to some extent, because I remember certain people being really affected and emotional or freaked out and even distancing themselves because they didn’t know what to say or how to be around me. – female gastrointestinal cancer</w:t>
            </w:r>
            <w:r w:rsidR="00182204" w:rsidRPr="00AC37DD">
              <w:rPr>
                <w:i/>
                <w:sz w:val="20"/>
                <w:szCs w:val="20"/>
              </w:rPr>
              <w:t xml:space="preserve"> patient in follow-up</w:t>
            </w:r>
          </w:p>
          <w:p w14:paraId="5C4EB301" w14:textId="5CC98182" w:rsidR="009F2547" w:rsidRPr="00AC37DD" w:rsidRDefault="009F2547" w:rsidP="009F2547">
            <w:pPr>
              <w:ind w:right="34"/>
              <w:rPr>
                <w:i/>
                <w:sz w:val="20"/>
                <w:szCs w:val="20"/>
              </w:rPr>
            </w:pPr>
            <w:r w:rsidRPr="00AC37DD">
              <w:rPr>
                <w:i/>
                <w:sz w:val="20"/>
                <w:szCs w:val="20"/>
              </w:rPr>
              <w:t>I think sometimes you don’t realize as well, how much you are holding in… the hardest part is seeing how it affects other people.  For me, it was seeing the way my father reacted when I told him… he just totally broke down and flopped his arms on the table in front of me. – male gastrointestinal cancer</w:t>
            </w:r>
            <w:r w:rsidR="00182204" w:rsidRPr="00AC37DD">
              <w:rPr>
                <w:i/>
                <w:sz w:val="20"/>
                <w:szCs w:val="20"/>
              </w:rPr>
              <w:t xml:space="preserve"> patient </w:t>
            </w:r>
            <w:r w:rsidR="00C564A5" w:rsidRPr="00AC37DD">
              <w:rPr>
                <w:i/>
                <w:sz w:val="20"/>
                <w:szCs w:val="20"/>
              </w:rPr>
              <w:t>o</w:t>
            </w:r>
            <w:r w:rsidR="00182204" w:rsidRPr="00AC37DD">
              <w:rPr>
                <w:i/>
                <w:sz w:val="20"/>
                <w:szCs w:val="20"/>
              </w:rPr>
              <w:t>n treatment</w:t>
            </w:r>
          </w:p>
        </w:tc>
      </w:tr>
      <w:tr w:rsidR="00AC37DD" w:rsidRPr="00AC37DD" w14:paraId="18A3C717" w14:textId="77777777" w:rsidTr="009F2547">
        <w:tc>
          <w:tcPr>
            <w:tcW w:w="817" w:type="dxa"/>
            <w:vMerge/>
          </w:tcPr>
          <w:p w14:paraId="01D5787E" w14:textId="77777777" w:rsidR="009F2547" w:rsidRPr="00AC37DD" w:rsidRDefault="009F2547" w:rsidP="009F2547">
            <w:pPr>
              <w:widowControl w:val="0"/>
              <w:autoSpaceDE w:val="0"/>
              <w:autoSpaceDN w:val="0"/>
              <w:adjustRightInd w:val="0"/>
              <w:rPr>
                <w:b/>
                <w:sz w:val="20"/>
                <w:szCs w:val="20"/>
              </w:rPr>
            </w:pPr>
          </w:p>
        </w:tc>
        <w:tc>
          <w:tcPr>
            <w:tcW w:w="1418" w:type="dxa"/>
            <w:vMerge w:val="restart"/>
          </w:tcPr>
          <w:p w14:paraId="757C28E7" w14:textId="5E9A3E59" w:rsidR="009F2547" w:rsidRPr="00AC37DD" w:rsidRDefault="009F2547" w:rsidP="009F2547">
            <w:pPr>
              <w:widowControl w:val="0"/>
              <w:autoSpaceDE w:val="0"/>
              <w:autoSpaceDN w:val="0"/>
              <w:adjustRightInd w:val="0"/>
              <w:rPr>
                <w:sz w:val="20"/>
                <w:szCs w:val="20"/>
              </w:rPr>
            </w:pPr>
            <w:r w:rsidRPr="00AC37DD">
              <w:rPr>
                <w:sz w:val="20"/>
                <w:szCs w:val="20"/>
              </w:rPr>
              <w:t xml:space="preserve">3.2 </w:t>
            </w:r>
            <w:r w:rsidR="00531FA8" w:rsidRPr="00AC37DD">
              <w:rPr>
                <w:sz w:val="20"/>
                <w:szCs w:val="20"/>
              </w:rPr>
              <w:t>Feeling y</w:t>
            </w:r>
            <w:r w:rsidRPr="00AC37DD">
              <w:rPr>
                <w:sz w:val="20"/>
                <w:szCs w:val="20"/>
              </w:rPr>
              <w:t xml:space="preserve">ounger than </w:t>
            </w:r>
            <w:r w:rsidRPr="00AC37DD">
              <w:rPr>
                <w:sz w:val="20"/>
                <w:szCs w:val="20"/>
              </w:rPr>
              <w:lastRenderedPageBreak/>
              <w:t>other</w:t>
            </w:r>
            <w:r w:rsidR="0045436B" w:rsidRPr="00AC37DD">
              <w:rPr>
                <w:sz w:val="20"/>
                <w:szCs w:val="20"/>
              </w:rPr>
              <w:t xml:space="preserve"> cancer</w:t>
            </w:r>
            <w:r w:rsidRPr="00AC37DD">
              <w:rPr>
                <w:sz w:val="20"/>
                <w:szCs w:val="20"/>
              </w:rPr>
              <w:t xml:space="preserve"> patients</w:t>
            </w:r>
          </w:p>
        </w:tc>
        <w:tc>
          <w:tcPr>
            <w:tcW w:w="1417" w:type="dxa"/>
            <w:tcBorders>
              <w:bottom w:val="dashSmallGap" w:sz="4" w:space="0" w:color="1F497D" w:themeColor="text2"/>
            </w:tcBorders>
          </w:tcPr>
          <w:p w14:paraId="373A096D" w14:textId="77777777" w:rsidR="009F2547" w:rsidRPr="00AC37DD" w:rsidRDefault="009F2547" w:rsidP="009F2547">
            <w:pPr>
              <w:ind w:right="34"/>
              <w:rPr>
                <w:i/>
                <w:sz w:val="20"/>
                <w:szCs w:val="20"/>
              </w:rPr>
            </w:pPr>
            <w:r w:rsidRPr="00AC37DD">
              <w:rPr>
                <w:i/>
                <w:sz w:val="20"/>
                <w:szCs w:val="20"/>
              </w:rPr>
              <w:lastRenderedPageBreak/>
              <w:t>Can’t relate to older patients</w:t>
            </w:r>
          </w:p>
        </w:tc>
        <w:tc>
          <w:tcPr>
            <w:tcW w:w="992" w:type="dxa"/>
            <w:tcBorders>
              <w:bottom w:val="dashSmallGap" w:sz="4" w:space="0" w:color="1F497D" w:themeColor="text2"/>
            </w:tcBorders>
          </w:tcPr>
          <w:p w14:paraId="48886D65" w14:textId="77777777" w:rsidR="009F2547" w:rsidRPr="00AC37DD" w:rsidRDefault="009F2547" w:rsidP="009F2547">
            <w:pPr>
              <w:widowControl w:val="0"/>
              <w:autoSpaceDE w:val="0"/>
              <w:autoSpaceDN w:val="0"/>
              <w:adjustRightInd w:val="0"/>
              <w:rPr>
                <w:sz w:val="20"/>
                <w:szCs w:val="20"/>
              </w:rPr>
            </w:pPr>
            <w:r w:rsidRPr="00AC37DD">
              <w:rPr>
                <w:sz w:val="20"/>
                <w:szCs w:val="20"/>
              </w:rPr>
              <w:t>3.2.1</w:t>
            </w:r>
          </w:p>
        </w:tc>
        <w:tc>
          <w:tcPr>
            <w:tcW w:w="9356" w:type="dxa"/>
            <w:tcBorders>
              <w:bottom w:val="dashSmallGap" w:sz="4" w:space="0" w:color="1F497D" w:themeColor="text2"/>
            </w:tcBorders>
            <w:vAlign w:val="center"/>
          </w:tcPr>
          <w:p w14:paraId="34D98A84" w14:textId="1C9A79AA" w:rsidR="009F2547" w:rsidRPr="00AC37DD" w:rsidRDefault="009F2547" w:rsidP="009F2547">
            <w:pPr>
              <w:ind w:right="34"/>
              <w:rPr>
                <w:i/>
                <w:sz w:val="20"/>
                <w:szCs w:val="20"/>
              </w:rPr>
            </w:pPr>
            <w:r w:rsidRPr="00AC37DD">
              <w:rPr>
                <w:i/>
                <w:sz w:val="20"/>
                <w:szCs w:val="20"/>
              </w:rPr>
              <w:t xml:space="preserve">The people who were in there with cancer had generally retired, so there was very little in common when it came to my wife taking time off work, working hours, what type of job you did, those type of things weren't on their </w:t>
            </w:r>
            <w:r w:rsidRPr="00AC37DD">
              <w:rPr>
                <w:i/>
                <w:sz w:val="20"/>
                <w:szCs w:val="20"/>
              </w:rPr>
              <w:lastRenderedPageBreak/>
              <w:t>agenda. – male haematological cancer</w:t>
            </w:r>
            <w:r w:rsidR="00182204" w:rsidRPr="00AC37DD">
              <w:rPr>
                <w:i/>
                <w:sz w:val="20"/>
                <w:szCs w:val="20"/>
              </w:rPr>
              <w:t xml:space="preserve"> patient in follow-up</w:t>
            </w:r>
          </w:p>
        </w:tc>
      </w:tr>
      <w:tr w:rsidR="00AC37DD" w:rsidRPr="00AC37DD" w14:paraId="46EE1DDE" w14:textId="77777777" w:rsidTr="009F2547">
        <w:tc>
          <w:tcPr>
            <w:tcW w:w="817" w:type="dxa"/>
            <w:vMerge/>
          </w:tcPr>
          <w:p w14:paraId="5E198EBA" w14:textId="77777777" w:rsidR="009F2547" w:rsidRPr="00AC37DD" w:rsidRDefault="009F2547" w:rsidP="009F2547">
            <w:pPr>
              <w:widowControl w:val="0"/>
              <w:autoSpaceDE w:val="0"/>
              <w:autoSpaceDN w:val="0"/>
              <w:adjustRightInd w:val="0"/>
              <w:rPr>
                <w:b/>
                <w:sz w:val="20"/>
                <w:szCs w:val="20"/>
              </w:rPr>
            </w:pPr>
          </w:p>
        </w:tc>
        <w:tc>
          <w:tcPr>
            <w:tcW w:w="1418" w:type="dxa"/>
            <w:vMerge/>
          </w:tcPr>
          <w:p w14:paraId="15855974"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bottom w:val="single" w:sz="4" w:space="0" w:color="1F497D" w:themeColor="text2"/>
            </w:tcBorders>
          </w:tcPr>
          <w:p w14:paraId="37C56F7D" w14:textId="4D80B995" w:rsidR="009F2547" w:rsidRPr="00AC37DD" w:rsidRDefault="0045436B" w:rsidP="009F2547">
            <w:pPr>
              <w:ind w:right="34"/>
              <w:rPr>
                <w:i/>
                <w:sz w:val="20"/>
                <w:szCs w:val="20"/>
              </w:rPr>
            </w:pPr>
            <w:r w:rsidRPr="00AC37DD">
              <w:rPr>
                <w:i/>
                <w:sz w:val="20"/>
                <w:szCs w:val="20"/>
              </w:rPr>
              <w:t>Feeling o</w:t>
            </w:r>
            <w:r w:rsidR="009F2547" w:rsidRPr="00AC37DD">
              <w:rPr>
                <w:i/>
                <w:sz w:val="20"/>
                <w:szCs w:val="20"/>
              </w:rPr>
              <w:t>ut of place in hospital</w:t>
            </w:r>
          </w:p>
        </w:tc>
        <w:tc>
          <w:tcPr>
            <w:tcW w:w="992" w:type="dxa"/>
            <w:tcBorders>
              <w:top w:val="dashSmallGap" w:sz="4" w:space="0" w:color="1F497D" w:themeColor="text2"/>
              <w:bottom w:val="single" w:sz="4" w:space="0" w:color="1F497D" w:themeColor="text2"/>
            </w:tcBorders>
          </w:tcPr>
          <w:p w14:paraId="2C52D8AA" w14:textId="77777777" w:rsidR="009F2547" w:rsidRPr="00AC37DD" w:rsidRDefault="009F2547" w:rsidP="009F2547">
            <w:pPr>
              <w:widowControl w:val="0"/>
              <w:autoSpaceDE w:val="0"/>
              <w:autoSpaceDN w:val="0"/>
              <w:adjustRightInd w:val="0"/>
              <w:rPr>
                <w:sz w:val="20"/>
                <w:szCs w:val="20"/>
              </w:rPr>
            </w:pPr>
            <w:r w:rsidRPr="00AC37DD">
              <w:rPr>
                <w:sz w:val="20"/>
                <w:szCs w:val="20"/>
              </w:rPr>
              <w:t>3.2.2</w:t>
            </w:r>
          </w:p>
        </w:tc>
        <w:tc>
          <w:tcPr>
            <w:tcW w:w="9356" w:type="dxa"/>
            <w:tcBorders>
              <w:top w:val="dashSmallGap" w:sz="4" w:space="0" w:color="1F497D" w:themeColor="text2"/>
              <w:bottom w:val="single" w:sz="4" w:space="0" w:color="1F497D" w:themeColor="text2"/>
            </w:tcBorders>
            <w:vAlign w:val="center"/>
          </w:tcPr>
          <w:p w14:paraId="014ECBD3" w14:textId="6C0EF4A5" w:rsidR="009F2547" w:rsidRPr="00AC37DD" w:rsidRDefault="009F2547" w:rsidP="009F2547">
            <w:pPr>
              <w:ind w:right="34"/>
              <w:rPr>
                <w:i/>
                <w:sz w:val="20"/>
                <w:szCs w:val="20"/>
              </w:rPr>
            </w:pPr>
            <w:r w:rsidRPr="00AC37DD">
              <w:rPr>
                <w:i/>
                <w:sz w:val="20"/>
                <w:szCs w:val="20"/>
              </w:rPr>
              <w:t>I don’t enjoy sitting in the waiting room mainly because I do feel everyone there is so much older than me… I walk through and people are, What’s that person doing there? What’s she doing there? She’s too young to be here. – female melanoma</w:t>
            </w:r>
            <w:r w:rsidR="00182204" w:rsidRPr="00AC37DD">
              <w:rPr>
                <w:i/>
                <w:sz w:val="20"/>
                <w:szCs w:val="20"/>
              </w:rPr>
              <w:t xml:space="preserve"> patient in follow-up</w:t>
            </w:r>
          </w:p>
        </w:tc>
      </w:tr>
      <w:tr w:rsidR="00AC37DD" w:rsidRPr="00AC37DD" w14:paraId="59514012" w14:textId="77777777" w:rsidTr="009F2547">
        <w:tc>
          <w:tcPr>
            <w:tcW w:w="817" w:type="dxa"/>
            <w:vMerge/>
          </w:tcPr>
          <w:p w14:paraId="37FC9AAD" w14:textId="77777777" w:rsidR="009F2547" w:rsidRPr="00AC37DD" w:rsidRDefault="009F2547" w:rsidP="009F2547">
            <w:pPr>
              <w:widowControl w:val="0"/>
              <w:autoSpaceDE w:val="0"/>
              <w:autoSpaceDN w:val="0"/>
              <w:adjustRightInd w:val="0"/>
              <w:rPr>
                <w:b/>
                <w:sz w:val="20"/>
                <w:szCs w:val="20"/>
              </w:rPr>
            </w:pPr>
          </w:p>
        </w:tc>
        <w:tc>
          <w:tcPr>
            <w:tcW w:w="1418" w:type="dxa"/>
            <w:vMerge w:val="restart"/>
          </w:tcPr>
          <w:p w14:paraId="70C6B9A8" w14:textId="77777777" w:rsidR="009F2547" w:rsidRPr="00AC37DD" w:rsidRDefault="009F2547" w:rsidP="009F2547">
            <w:pPr>
              <w:widowControl w:val="0"/>
              <w:autoSpaceDE w:val="0"/>
              <w:autoSpaceDN w:val="0"/>
              <w:adjustRightInd w:val="0"/>
              <w:rPr>
                <w:sz w:val="20"/>
                <w:szCs w:val="20"/>
              </w:rPr>
            </w:pPr>
            <w:r w:rsidRPr="00AC37DD">
              <w:rPr>
                <w:sz w:val="20"/>
                <w:szCs w:val="20"/>
              </w:rPr>
              <w:t xml:space="preserve">3.3 Missing out </w:t>
            </w:r>
          </w:p>
        </w:tc>
        <w:tc>
          <w:tcPr>
            <w:tcW w:w="1417" w:type="dxa"/>
            <w:tcBorders>
              <w:bottom w:val="dashSmallGap" w:sz="4" w:space="0" w:color="1F497D" w:themeColor="text2"/>
            </w:tcBorders>
          </w:tcPr>
          <w:p w14:paraId="12CD67EE" w14:textId="77777777" w:rsidR="009F2547" w:rsidRPr="00AC37DD" w:rsidRDefault="009F2547" w:rsidP="009F2547">
            <w:pPr>
              <w:ind w:right="34"/>
              <w:rPr>
                <w:i/>
                <w:sz w:val="20"/>
                <w:szCs w:val="20"/>
              </w:rPr>
            </w:pPr>
            <w:r w:rsidRPr="00AC37DD">
              <w:rPr>
                <w:i/>
                <w:sz w:val="20"/>
                <w:szCs w:val="20"/>
              </w:rPr>
              <w:t>Miss children due to treatments</w:t>
            </w:r>
          </w:p>
        </w:tc>
        <w:tc>
          <w:tcPr>
            <w:tcW w:w="992" w:type="dxa"/>
            <w:tcBorders>
              <w:bottom w:val="dashSmallGap" w:sz="4" w:space="0" w:color="1F497D" w:themeColor="text2"/>
            </w:tcBorders>
          </w:tcPr>
          <w:p w14:paraId="6D18DFB6" w14:textId="77777777" w:rsidR="009F2547" w:rsidRPr="00AC37DD" w:rsidRDefault="009F2547" w:rsidP="009F2547">
            <w:pPr>
              <w:widowControl w:val="0"/>
              <w:autoSpaceDE w:val="0"/>
              <w:autoSpaceDN w:val="0"/>
              <w:adjustRightInd w:val="0"/>
              <w:rPr>
                <w:sz w:val="20"/>
                <w:szCs w:val="20"/>
              </w:rPr>
            </w:pPr>
            <w:r w:rsidRPr="00AC37DD">
              <w:rPr>
                <w:sz w:val="20"/>
                <w:szCs w:val="20"/>
              </w:rPr>
              <w:t>3.3.1</w:t>
            </w:r>
          </w:p>
        </w:tc>
        <w:tc>
          <w:tcPr>
            <w:tcW w:w="9356" w:type="dxa"/>
            <w:tcBorders>
              <w:bottom w:val="dashSmallGap" w:sz="4" w:space="0" w:color="1F497D" w:themeColor="text2"/>
            </w:tcBorders>
            <w:vAlign w:val="center"/>
          </w:tcPr>
          <w:p w14:paraId="6E4B498B" w14:textId="7D84175C" w:rsidR="009F2547" w:rsidRPr="00AC37DD" w:rsidRDefault="009F2547" w:rsidP="009F2547">
            <w:pPr>
              <w:ind w:right="34"/>
              <w:rPr>
                <w:i/>
                <w:sz w:val="20"/>
                <w:szCs w:val="20"/>
              </w:rPr>
            </w:pPr>
            <w:r w:rsidRPr="00AC37DD">
              <w:rPr>
                <w:i/>
                <w:sz w:val="20"/>
                <w:szCs w:val="20"/>
              </w:rPr>
              <w:t>There wasn’t really a good place to take him while we were [in hospital], so that was quite difficult and we stopped bringing him up… It was quite hard. Especially, I’d see such a change in him when I’d go in and then come home afterwards. It was quite tough. – male sarcoma</w:t>
            </w:r>
            <w:r w:rsidR="00182204" w:rsidRPr="00AC37DD">
              <w:rPr>
                <w:i/>
                <w:sz w:val="20"/>
                <w:szCs w:val="20"/>
              </w:rPr>
              <w:t xml:space="preserve"> patient in follow-up</w:t>
            </w:r>
          </w:p>
        </w:tc>
      </w:tr>
      <w:tr w:rsidR="00AC37DD" w:rsidRPr="00AC37DD" w14:paraId="1652C8D0" w14:textId="77777777" w:rsidTr="009F2547">
        <w:tc>
          <w:tcPr>
            <w:tcW w:w="817" w:type="dxa"/>
            <w:vMerge/>
          </w:tcPr>
          <w:p w14:paraId="1D13E602" w14:textId="77777777" w:rsidR="009F2547" w:rsidRPr="00AC37DD" w:rsidRDefault="009F2547" w:rsidP="009F2547">
            <w:pPr>
              <w:widowControl w:val="0"/>
              <w:autoSpaceDE w:val="0"/>
              <w:autoSpaceDN w:val="0"/>
              <w:adjustRightInd w:val="0"/>
              <w:rPr>
                <w:b/>
                <w:sz w:val="20"/>
                <w:szCs w:val="20"/>
              </w:rPr>
            </w:pPr>
          </w:p>
        </w:tc>
        <w:tc>
          <w:tcPr>
            <w:tcW w:w="1418" w:type="dxa"/>
            <w:vMerge/>
          </w:tcPr>
          <w:p w14:paraId="1F6B8AAF"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bottom w:val="dashSmallGap" w:sz="4" w:space="0" w:color="1F497D" w:themeColor="text2"/>
            </w:tcBorders>
          </w:tcPr>
          <w:p w14:paraId="7BB418A3" w14:textId="77777777" w:rsidR="009F2547" w:rsidRPr="00AC37DD" w:rsidRDefault="009F2547" w:rsidP="009F2547">
            <w:pPr>
              <w:ind w:right="34"/>
              <w:rPr>
                <w:i/>
                <w:sz w:val="20"/>
                <w:szCs w:val="20"/>
              </w:rPr>
            </w:pPr>
            <w:r w:rsidRPr="00AC37DD">
              <w:rPr>
                <w:i/>
                <w:sz w:val="20"/>
                <w:szCs w:val="20"/>
              </w:rPr>
              <w:t>Miss social life</w:t>
            </w:r>
          </w:p>
        </w:tc>
        <w:tc>
          <w:tcPr>
            <w:tcW w:w="992" w:type="dxa"/>
            <w:tcBorders>
              <w:top w:val="dashSmallGap" w:sz="4" w:space="0" w:color="1F497D" w:themeColor="text2"/>
              <w:bottom w:val="dashSmallGap" w:sz="4" w:space="0" w:color="1F497D" w:themeColor="text2"/>
            </w:tcBorders>
          </w:tcPr>
          <w:p w14:paraId="472226D7" w14:textId="77777777" w:rsidR="009F2547" w:rsidRPr="00AC37DD" w:rsidRDefault="009F2547" w:rsidP="009F2547">
            <w:pPr>
              <w:widowControl w:val="0"/>
              <w:autoSpaceDE w:val="0"/>
              <w:autoSpaceDN w:val="0"/>
              <w:adjustRightInd w:val="0"/>
              <w:rPr>
                <w:sz w:val="20"/>
                <w:szCs w:val="20"/>
              </w:rPr>
            </w:pPr>
            <w:r w:rsidRPr="00AC37DD">
              <w:rPr>
                <w:sz w:val="20"/>
                <w:szCs w:val="20"/>
              </w:rPr>
              <w:t>3.3.2</w:t>
            </w:r>
          </w:p>
        </w:tc>
        <w:tc>
          <w:tcPr>
            <w:tcW w:w="9356" w:type="dxa"/>
            <w:tcBorders>
              <w:top w:val="dashSmallGap" w:sz="4" w:space="0" w:color="1F497D" w:themeColor="text2"/>
              <w:bottom w:val="dashSmallGap" w:sz="4" w:space="0" w:color="1F497D" w:themeColor="text2"/>
            </w:tcBorders>
            <w:vAlign w:val="center"/>
          </w:tcPr>
          <w:p w14:paraId="0438E917" w14:textId="27FC84BC" w:rsidR="009F2547" w:rsidRPr="00AC37DD" w:rsidRDefault="009F2547" w:rsidP="009F2547">
            <w:pPr>
              <w:ind w:right="34"/>
              <w:rPr>
                <w:i/>
                <w:sz w:val="20"/>
                <w:szCs w:val="20"/>
              </w:rPr>
            </w:pPr>
            <w:r w:rsidRPr="00AC37DD">
              <w:rPr>
                <w:i/>
                <w:sz w:val="20"/>
                <w:szCs w:val="20"/>
              </w:rPr>
              <w:t>There are certain activities I can't take part in any more, like big nights out drinking... I can't do big physical activities, like going for runs... there's a longing in me sometimes, I wish I could train for this and take part. So there are things I do miss out on now. – male CNS tumour</w:t>
            </w:r>
            <w:r w:rsidR="00182204" w:rsidRPr="00AC37DD">
              <w:rPr>
                <w:i/>
                <w:sz w:val="20"/>
                <w:szCs w:val="20"/>
              </w:rPr>
              <w:t xml:space="preserve"> patient in follow-up</w:t>
            </w:r>
          </w:p>
        </w:tc>
      </w:tr>
      <w:tr w:rsidR="00AC37DD" w:rsidRPr="00AC37DD" w14:paraId="2843EC26" w14:textId="77777777" w:rsidTr="009F2547">
        <w:tc>
          <w:tcPr>
            <w:tcW w:w="817" w:type="dxa"/>
            <w:vMerge w:val="restart"/>
            <w:textDirection w:val="btLr"/>
          </w:tcPr>
          <w:p w14:paraId="00EE828C" w14:textId="77777777" w:rsidR="009F2547" w:rsidRPr="00AC37DD" w:rsidRDefault="009F2547" w:rsidP="009F2547">
            <w:pPr>
              <w:widowControl w:val="0"/>
              <w:autoSpaceDE w:val="0"/>
              <w:autoSpaceDN w:val="0"/>
              <w:adjustRightInd w:val="0"/>
              <w:ind w:left="113" w:right="113"/>
              <w:rPr>
                <w:b/>
                <w:sz w:val="20"/>
                <w:szCs w:val="20"/>
              </w:rPr>
            </w:pPr>
            <w:r w:rsidRPr="00AC37DD">
              <w:rPr>
                <w:b/>
                <w:sz w:val="20"/>
                <w:szCs w:val="20"/>
              </w:rPr>
              <w:t>4. Coping with uncertainty</w:t>
            </w:r>
          </w:p>
        </w:tc>
        <w:tc>
          <w:tcPr>
            <w:tcW w:w="1418" w:type="dxa"/>
            <w:vMerge w:val="restart"/>
          </w:tcPr>
          <w:p w14:paraId="5912E410" w14:textId="77777777" w:rsidR="009F2547" w:rsidRPr="00AC37DD" w:rsidRDefault="009F2547" w:rsidP="009F2547">
            <w:pPr>
              <w:widowControl w:val="0"/>
              <w:autoSpaceDE w:val="0"/>
              <w:autoSpaceDN w:val="0"/>
              <w:adjustRightInd w:val="0"/>
              <w:rPr>
                <w:sz w:val="20"/>
                <w:szCs w:val="20"/>
              </w:rPr>
            </w:pPr>
            <w:r w:rsidRPr="00AC37DD">
              <w:rPr>
                <w:sz w:val="20"/>
                <w:szCs w:val="20"/>
              </w:rPr>
              <w:t>4.1 Uncertain life circumstances</w:t>
            </w:r>
          </w:p>
        </w:tc>
        <w:tc>
          <w:tcPr>
            <w:tcW w:w="1417" w:type="dxa"/>
            <w:tcBorders>
              <w:top w:val="dashSmallGap" w:sz="4" w:space="0" w:color="1F497D" w:themeColor="text2"/>
              <w:bottom w:val="dashSmallGap" w:sz="4" w:space="0" w:color="1F497D" w:themeColor="text2"/>
            </w:tcBorders>
          </w:tcPr>
          <w:p w14:paraId="44C42449" w14:textId="5E5C5A20" w:rsidR="009F2547" w:rsidRPr="00AC37DD" w:rsidRDefault="009F2547" w:rsidP="009F2547">
            <w:pPr>
              <w:ind w:right="34"/>
              <w:rPr>
                <w:i/>
                <w:sz w:val="20"/>
                <w:szCs w:val="20"/>
              </w:rPr>
            </w:pPr>
            <w:r w:rsidRPr="00AC37DD">
              <w:rPr>
                <w:i/>
                <w:sz w:val="20"/>
                <w:szCs w:val="20"/>
              </w:rPr>
              <w:t>Unexpected</w:t>
            </w:r>
            <w:r w:rsidR="0045436B" w:rsidRPr="00AC37DD">
              <w:rPr>
                <w:i/>
                <w:sz w:val="20"/>
                <w:szCs w:val="20"/>
              </w:rPr>
              <w:t xml:space="preserve"> illness</w:t>
            </w:r>
          </w:p>
        </w:tc>
        <w:tc>
          <w:tcPr>
            <w:tcW w:w="992" w:type="dxa"/>
            <w:tcBorders>
              <w:top w:val="dashSmallGap" w:sz="4" w:space="0" w:color="1F497D" w:themeColor="text2"/>
              <w:bottom w:val="dashSmallGap" w:sz="4" w:space="0" w:color="1F497D" w:themeColor="text2"/>
            </w:tcBorders>
          </w:tcPr>
          <w:p w14:paraId="33B0EE18" w14:textId="77777777" w:rsidR="009F2547" w:rsidRPr="00AC37DD" w:rsidRDefault="009F2547" w:rsidP="009F2547">
            <w:pPr>
              <w:widowControl w:val="0"/>
              <w:autoSpaceDE w:val="0"/>
              <w:autoSpaceDN w:val="0"/>
              <w:adjustRightInd w:val="0"/>
              <w:rPr>
                <w:sz w:val="20"/>
                <w:szCs w:val="20"/>
              </w:rPr>
            </w:pPr>
            <w:r w:rsidRPr="00AC37DD">
              <w:rPr>
                <w:sz w:val="20"/>
                <w:szCs w:val="20"/>
              </w:rPr>
              <w:t>4.1.1</w:t>
            </w:r>
          </w:p>
        </w:tc>
        <w:tc>
          <w:tcPr>
            <w:tcW w:w="9356" w:type="dxa"/>
            <w:tcBorders>
              <w:top w:val="dashSmallGap" w:sz="4" w:space="0" w:color="1F497D" w:themeColor="text2"/>
              <w:bottom w:val="dashSmallGap" w:sz="4" w:space="0" w:color="1F497D" w:themeColor="text2"/>
            </w:tcBorders>
            <w:vAlign w:val="center"/>
          </w:tcPr>
          <w:p w14:paraId="25AAE5F0" w14:textId="201EC501" w:rsidR="009F2547" w:rsidRPr="00AC37DD" w:rsidRDefault="009F2547" w:rsidP="009F2547">
            <w:pPr>
              <w:ind w:right="34"/>
              <w:rPr>
                <w:i/>
                <w:sz w:val="20"/>
                <w:szCs w:val="20"/>
              </w:rPr>
            </w:pPr>
            <w:r w:rsidRPr="00AC37DD">
              <w:rPr>
                <w:i/>
                <w:sz w:val="20"/>
                <w:szCs w:val="20"/>
              </w:rPr>
              <w:t>I was well, I was running, just fit and healthy. There was no symptoms of the lung cancer and obviously I’m not really in the demographic… it’s a lot more shocking I think for a young adult. – female lung cancer</w:t>
            </w:r>
            <w:r w:rsidR="00182204" w:rsidRPr="00AC37DD">
              <w:rPr>
                <w:i/>
                <w:sz w:val="20"/>
                <w:szCs w:val="20"/>
              </w:rPr>
              <w:t xml:space="preserve"> patient </w:t>
            </w:r>
            <w:r w:rsidR="00C564A5" w:rsidRPr="00AC37DD">
              <w:rPr>
                <w:i/>
                <w:sz w:val="20"/>
                <w:szCs w:val="20"/>
              </w:rPr>
              <w:t>o</w:t>
            </w:r>
            <w:r w:rsidR="00182204" w:rsidRPr="00AC37DD">
              <w:rPr>
                <w:i/>
                <w:sz w:val="20"/>
                <w:szCs w:val="20"/>
              </w:rPr>
              <w:t>n treatment</w:t>
            </w:r>
          </w:p>
        </w:tc>
      </w:tr>
      <w:tr w:rsidR="00AC37DD" w:rsidRPr="00AC37DD" w14:paraId="1A179DB3" w14:textId="77777777" w:rsidTr="009F2547">
        <w:tc>
          <w:tcPr>
            <w:tcW w:w="817" w:type="dxa"/>
            <w:vMerge/>
          </w:tcPr>
          <w:p w14:paraId="50C73DFA" w14:textId="77777777" w:rsidR="009F2547" w:rsidRPr="00AC37DD" w:rsidRDefault="009F2547" w:rsidP="009F2547">
            <w:pPr>
              <w:widowControl w:val="0"/>
              <w:autoSpaceDE w:val="0"/>
              <w:autoSpaceDN w:val="0"/>
              <w:adjustRightInd w:val="0"/>
              <w:rPr>
                <w:b/>
                <w:sz w:val="20"/>
                <w:szCs w:val="20"/>
              </w:rPr>
            </w:pPr>
          </w:p>
        </w:tc>
        <w:tc>
          <w:tcPr>
            <w:tcW w:w="1418" w:type="dxa"/>
            <w:vMerge/>
          </w:tcPr>
          <w:p w14:paraId="06A1874D"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bottom w:val="dashSmallGap" w:sz="4" w:space="0" w:color="1F497D" w:themeColor="text2"/>
            </w:tcBorders>
          </w:tcPr>
          <w:p w14:paraId="7DD04287" w14:textId="77777777" w:rsidR="009F2547" w:rsidRPr="00AC37DD" w:rsidRDefault="009F2547" w:rsidP="009F2547">
            <w:pPr>
              <w:ind w:right="34"/>
              <w:rPr>
                <w:i/>
                <w:sz w:val="20"/>
                <w:szCs w:val="20"/>
              </w:rPr>
            </w:pPr>
            <w:r w:rsidRPr="00AC37DD">
              <w:rPr>
                <w:i/>
                <w:sz w:val="20"/>
                <w:szCs w:val="20"/>
              </w:rPr>
              <w:t>Transitional period</w:t>
            </w:r>
          </w:p>
        </w:tc>
        <w:tc>
          <w:tcPr>
            <w:tcW w:w="992" w:type="dxa"/>
            <w:tcBorders>
              <w:top w:val="dashSmallGap" w:sz="4" w:space="0" w:color="1F497D" w:themeColor="text2"/>
              <w:bottom w:val="dashSmallGap" w:sz="4" w:space="0" w:color="1F497D" w:themeColor="text2"/>
            </w:tcBorders>
          </w:tcPr>
          <w:p w14:paraId="39951FAB" w14:textId="77777777" w:rsidR="009F2547" w:rsidRPr="00AC37DD" w:rsidRDefault="009F2547" w:rsidP="009F2547">
            <w:pPr>
              <w:widowControl w:val="0"/>
              <w:autoSpaceDE w:val="0"/>
              <w:autoSpaceDN w:val="0"/>
              <w:adjustRightInd w:val="0"/>
              <w:rPr>
                <w:sz w:val="20"/>
                <w:szCs w:val="20"/>
              </w:rPr>
            </w:pPr>
            <w:r w:rsidRPr="00AC37DD">
              <w:rPr>
                <w:sz w:val="20"/>
                <w:szCs w:val="20"/>
              </w:rPr>
              <w:t>4.1.2</w:t>
            </w:r>
          </w:p>
        </w:tc>
        <w:tc>
          <w:tcPr>
            <w:tcW w:w="9356" w:type="dxa"/>
            <w:tcBorders>
              <w:top w:val="dashSmallGap" w:sz="4" w:space="0" w:color="1F497D" w:themeColor="text2"/>
              <w:bottom w:val="dashSmallGap" w:sz="4" w:space="0" w:color="1F497D" w:themeColor="text2"/>
            </w:tcBorders>
            <w:vAlign w:val="center"/>
          </w:tcPr>
          <w:p w14:paraId="28ECA8E2" w14:textId="6F88208C" w:rsidR="009F2547" w:rsidRPr="00AC37DD" w:rsidRDefault="009F2547" w:rsidP="009F2547">
            <w:pPr>
              <w:ind w:right="34"/>
              <w:rPr>
                <w:i/>
                <w:sz w:val="20"/>
                <w:szCs w:val="20"/>
              </w:rPr>
            </w:pPr>
            <w:r w:rsidRPr="00AC37DD">
              <w:rPr>
                <w:i/>
                <w:sz w:val="20"/>
                <w:szCs w:val="20"/>
              </w:rPr>
              <w:t>I was 31 and I was not expecting it.  I’d resigned from my job as well.  It was loads going on.  I had to go back and tell my employer that it’s come up and that I couldn’t start the new job, and then it was all a bit of a blur… we were actually going to start IVF.  It was a tough, tough time. – female breast cancer</w:t>
            </w:r>
            <w:r w:rsidR="00182204" w:rsidRPr="00AC37DD">
              <w:rPr>
                <w:i/>
                <w:sz w:val="20"/>
                <w:szCs w:val="20"/>
              </w:rPr>
              <w:t xml:space="preserve"> </w:t>
            </w:r>
            <w:r w:rsidR="00F123D4" w:rsidRPr="00AC37DD">
              <w:rPr>
                <w:i/>
                <w:sz w:val="20"/>
                <w:szCs w:val="20"/>
              </w:rPr>
              <w:t>patient in follow-up</w:t>
            </w:r>
          </w:p>
        </w:tc>
      </w:tr>
      <w:tr w:rsidR="00AC37DD" w:rsidRPr="00AC37DD" w14:paraId="6815119D" w14:textId="77777777" w:rsidTr="009F2547">
        <w:tc>
          <w:tcPr>
            <w:tcW w:w="817" w:type="dxa"/>
            <w:vMerge/>
          </w:tcPr>
          <w:p w14:paraId="1709AD54" w14:textId="77777777" w:rsidR="009F2547" w:rsidRPr="00AC37DD" w:rsidRDefault="009F2547" w:rsidP="009F2547">
            <w:pPr>
              <w:widowControl w:val="0"/>
              <w:autoSpaceDE w:val="0"/>
              <w:autoSpaceDN w:val="0"/>
              <w:adjustRightInd w:val="0"/>
              <w:rPr>
                <w:b/>
                <w:sz w:val="20"/>
                <w:szCs w:val="20"/>
              </w:rPr>
            </w:pPr>
          </w:p>
        </w:tc>
        <w:tc>
          <w:tcPr>
            <w:tcW w:w="1418" w:type="dxa"/>
            <w:vMerge w:val="restart"/>
          </w:tcPr>
          <w:p w14:paraId="694B2610" w14:textId="77777777" w:rsidR="009F2547" w:rsidRPr="00AC37DD" w:rsidRDefault="009F2547" w:rsidP="009F2547">
            <w:pPr>
              <w:widowControl w:val="0"/>
              <w:autoSpaceDE w:val="0"/>
              <w:autoSpaceDN w:val="0"/>
              <w:adjustRightInd w:val="0"/>
              <w:rPr>
                <w:sz w:val="20"/>
                <w:szCs w:val="20"/>
              </w:rPr>
            </w:pPr>
            <w:r w:rsidRPr="00AC37DD">
              <w:rPr>
                <w:sz w:val="20"/>
                <w:szCs w:val="20"/>
              </w:rPr>
              <w:t>4.2 Uncertain clinical outcomes</w:t>
            </w:r>
          </w:p>
        </w:tc>
        <w:tc>
          <w:tcPr>
            <w:tcW w:w="1417" w:type="dxa"/>
            <w:tcBorders>
              <w:top w:val="dashSmallGap" w:sz="4" w:space="0" w:color="1F497D" w:themeColor="text2"/>
              <w:bottom w:val="dashSmallGap" w:sz="4" w:space="0" w:color="1F497D" w:themeColor="text2"/>
            </w:tcBorders>
          </w:tcPr>
          <w:p w14:paraId="030016A6" w14:textId="77777777" w:rsidR="009F2547" w:rsidRPr="00AC37DD" w:rsidRDefault="009F2547" w:rsidP="009F2547">
            <w:pPr>
              <w:ind w:right="34"/>
              <w:rPr>
                <w:i/>
                <w:sz w:val="20"/>
                <w:szCs w:val="20"/>
              </w:rPr>
            </w:pPr>
            <w:r w:rsidRPr="00AC37DD">
              <w:rPr>
                <w:i/>
                <w:sz w:val="20"/>
                <w:szCs w:val="20"/>
              </w:rPr>
              <w:t>Life on hold</w:t>
            </w:r>
          </w:p>
        </w:tc>
        <w:tc>
          <w:tcPr>
            <w:tcW w:w="992" w:type="dxa"/>
            <w:tcBorders>
              <w:top w:val="dashSmallGap" w:sz="4" w:space="0" w:color="1F497D" w:themeColor="text2"/>
              <w:bottom w:val="dashSmallGap" w:sz="4" w:space="0" w:color="1F497D" w:themeColor="text2"/>
            </w:tcBorders>
          </w:tcPr>
          <w:p w14:paraId="357181D2" w14:textId="77777777" w:rsidR="009F2547" w:rsidRPr="00AC37DD" w:rsidRDefault="009F2547" w:rsidP="009F2547">
            <w:pPr>
              <w:widowControl w:val="0"/>
              <w:autoSpaceDE w:val="0"/>
              <w:autoSpaceDN w:val="0"/>
              <w:adjustRightInd w:val="0"/>
              <w:rPr>
                <w:sz w:val="20"/>
                <w:szCs w:val="20"/>
              </w:rPr>
            </w:pPr>
            <w:r w:rsidRPr="00AC37DD">
              <w:rPr>
                <w:sz w:val="20"/>
                <w:szCs w:val="20"/>
              </w:rPr>
              <w:t>4.2.1</w:t>
            </w:r>
          </w:p>
        </w:tc>
        <w:tc>
          <w:tcPr>
            <w:tcW w:w="9356" w:type="dxa"/>
            <w:tcBorders>
              <w:top w:val="dashSmallGap" w:sz="4" w:space="0" w:color="1F497D" w:themeColor="text2"/>
              <w:bottom w:val="dashSmallGap" w:sz="4" w:space="0" w:color="1F497D" w:themeColor="text2"/>
            </w:tcBorders>
            <w:vAlign w:val="center"/>
          </w:tcPr>
          <w:p w14:paraId="5E8E32E0" w14:textId="514BC38E" w:rsidR="009F2547" w:rsidRPr="00AC37DD" w:rsidRDefault="009F2547" w:rsidP="009F2547">
            <w:pPr>
              <w:spacing w:after="120"/>
              <w:ind w:right="34"/>
              <w:rPr>
                <w:i/>
                <w:sz w:val="20"/>
                <w:szCs w:val="20"/>
              </w:rPr>
            </w:pPr>
            <w:r w:rsidRPr="00AC37DD">
              <w:rPr>
                <w:i/>
                <w:sz w:val="20"/>
                <w:szCs w:val="20"/>
              </w:rPr>
              <w:t>It’s not knowing what to do next. If I can find a job… Anything feels permanent I can’t put my foot into it, because I don’t know when I’ll have to take my foot out of it... I feel like I’m floating through my life. – female sarcoma</w:t>
            </w:r>
            <w:r w:rsidR="00182204" w:rsidRPr="00AC37DD">
              <w:rPr>
                <w:i/>
                <w:sz w:val="20"/>
                <w:szCs w:val="20"/>
              </w:rPr>
              <w:t xml:space="preserve"> patient in follow-up</w:t>
            </w:r>
          </w:p>
          <w:p w14:paraId="1042A733" w14:textId="044A494A" w:rsidR="009F2547" w:rsidRPr="00AC37DD" w:rsidRDefault="009F2547" w:rsidP="009F2547">
            <w:pPr>
              <w:ind w:right="34"/>
              <w:rPr>
                <w:i/>
                <w:sz w:val="20"/>
                <w:szCs w:val="20"/>
              </w:rPr>
            </w:pPr>
            <w:r w:rsidRPr="00AC37DD">
              <w:rPr>
                <w:i/>
                <w:sz w:val="20"/>
                <w:szCs w:val="20"/>
              </w:rPr>
              <w:t>It’s the fear of always waiting for the next blood test, always waiting to see are the markers going to go down. It’s the fear of the unknown. Fear of… not knowing if you’re going to be alive any more or not in the near future. It’s very hard, it’s extremely hard. – male urological cancer</w:t>
            </w:r>
            <w:r w:rsidR="00F123D4" w:rsidRPr="00AC37DD">
              <w:rPr>
                <w:i/>
                <w:sz w:val="20"/>
                <w:szCs w:val="20"/>
              </w:rPr>
              <w:t xml:space="preserve"> patient in follow-up</w:t>
            </w:r>
          </w:p>
        </w:tc>
      </w:tr>
      <w:tr w:rsidR="00AC37DD" w:rsidRPr="00AC37DD" w14:paraId="04A48177" w14:textId="77777777" w:rsidTr="00933ED9">
        <w:tc>
          <w:tcPr>
            <w:tcW w:w="817" w:type="dxa"/>
            <w:vMerge/>
          </w:tcPr>
          <w:p w14:paraId="0B5195D2" w14:textId="77777777" w:rsidR="009F2547" w:rsidRPr="00AC37DD" w:rsidRDefault="009F2547" w:rsidP="009F2547">
            <w:pPr>
              <w:widowControl w:val="0"/>
              <w:autoSpaceDE w:val="0"/>
              <w:autoSpaceDN w:val="0"/>
              <w:adjustRightInd w:val="0"/>
              <w:rPr>
                <w:b/>
                <w:sz w:val="20"/>
                <w:szCs w:val="20"/>
              </w:rPr>
            </w:pPr>
          </w:p>
        </w:tc>
        <w:tc>
          <w:tcPr>
            <w:tcW w:w="1418" w:type="dxa"/>
            <w:vMerge/>
          </w:tcPr>
          <w:p w14:paraId="53ED4E56"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bottom w:val="dashSmallGap" w:sz="4" w:space="0" w:color="1F497D" w:themeColor="text2"/>
            </w:tcBorders>
          </w:tcPr>
          <w:p w14:paraId="51E32A29" w14:textId="75604441" w:rsidR="009F2547" w:rsidRPr="00AC37DD" w:rsidRDefault="009F2547" w:rsidP="009F2547">
            <w:pPr>
              <w:ind w:right="34"/>
              <w:rPr>
                <w:i/>
                <w:sz w:val="20"/>
                <w:szCs w:val="20"/>
              </w:rPr>
            </w:pPr>
            <w:r w:rsidRPr="00AC37DD">
              <w:rPr>
                <w:i/>
                <w:sz w:val="20"/>
                <w:szCs w:val="20"/>
              </w:rPr>
              <w:t xml:space="preserve">Coping </w:t>
            </w:r>
            <w:r w:rsidR="006075B2" w:rsidRPr="00AC37DD">
              <w:rPr>
                <w:i/>
                <w:sz w:val="20"/>
                <w:szCs w:val="20"/>
              </w:rPr>
              <w:t>with uncertainty</w:t>
            </w:r>
          </w:p>
        </w:tc>
        <w:tc>
          <w:tcPr>
            <w:tcW w:w="992" w:type="dxa"/>
            <w:tcBorders>
              <w:top w:val="dashSmallGap" w:sz="4" w:space="0" w:color="1F497D" w:themeColor="text2"/>
              <w:bottom w:val="dashSmallGap" w:sz="4" w:space="0" w:color="1F497D" w:themeColor="text2"/>
            </w:tcBorders>
          </w:tcPr>
          <w:p w14:paraId="12D53679" w14:textId="77777777" w:rsidR="009F2547" w:rsidRPr="00AC37DD" w:rsidRDefault="009F2547" w:rsidP="009F2547">
            <w:pPr>
              <w:widowControl w:val="0"/>
              <w:autoSpaceDE w:val="0"/>
              <w:autoSpaceDN w:val="0"/>
              <w:adjustRightInd w:val="0"/>
              <w:rPr>
                <w:sz w:val="20"/>
                <w:szCs w:val="20"/>
              </w:rPr>
            </w:pPr>
            <w:r w:rsidRPr="00AC37DD">
              <w:rPr>
                <w:sz w:val="20"/>
                <w:szCs w:val="20"/>
              </w:rPr>
              <w:t>4.2.2</w:t>
            </w:r>
          </w:p>
        </w:tc>
        <w:tc>
          <w:tcPr>
            <w:tcW w:w="9356" w:type="dxa"/>
            <w:tcBorders>
              <w:top w:val="dashSmallGap" w:sz="4" w:space="0" w:color="1F497D" w:themeColor="text2"/>
              <w:bottom w:val="dashSmallGap" w:sz="4" w:space="0" w:color="1F497D" w:themeColor="text2"/>
            </w:tcBorders>
            <w:vAlign w:val="center"/>
          </w:tcPr>
          <w:p w14:paraId="18976FB0" w14:textId="3D0758AB" w:rsidR="009F2547" w:rsidRPr="00AC37DD" w:rsidRDefault="009F2547" w:rsidP="009F2547">
            <w:pPr>
              <w:ind w:right="34"/>
              <w:rPr>
                <w:i/>
                <w:sz w:val="20"/>
                <w:szCs w:val="20"/>
              </w:rPr>
            </w:pPr>
            <w:r w:rsidRPr="00AC37DD">
              <w:rPr>
                <w:i/>
                <w:sz w:val="20"/>
                <w:szCs w:val="20"/>
              </w:rPr>
              <w:t>When I sit down and have two minutes to myself and I think of what’s happened and what’s going to happen for the future.  Yes it can be a bit worrying if it ever comes back and how am I going to tackle that and what is going to happen.  As I said, all I can do is take one day at a time.  It happens. – male CNS tumour</w:t>
            </w:r>
            <w:r w:rsidR="00AE1901" w:rsidRPr="00AC37DD">
              <w:rPr>
                <w:i/>
                <w:sz w:val="20"/>
                <w:szCs w:val="20"/>
              </w:rPr>
              <w:t xml:space="preserve"> patient </w:t>
            </w:r>
            <w:r w:rsidR="00C564A5" w:rsidRPr="00AC37DD">
              <w:rPr>
                <w:i/>
                <w:sz w:val="20"/>
                <w:szCs w:val="20"/>
              </w:rPr>
              <w:t>o</w:t>
            </w:r>
            <w:r w:rsidR="00AE1901" w:rsidRPr="00AC37DD">
              <w:rPr>
                <w:i/>
                <w:sz w:val="20"/>
                <w:szCs w:val="20"/>
              </w:rPr>
              <w:t>n treatment</w:t>
            </w:r>
          </w:p>
        </w:tc>
      </w:tr>
      <w:tr w:rsidR="00AC37DD" w:rsidRPr="00AC37DD" w14:paraId="706C205A" w14:textId="77777777" w:rsidTr="00933ED9">
        <w:tc>
          <w:tcPr>
            <w:tcW w:w="817" w:type="dxa"/>
            <w:vMerge/>
          </w:tcPr>
          <w:p w14:paraId="3607737E" w14:textId="77777777" w:rsidR="009F2547" w:rsidRPr="00AC37DD" w:rsidRDefault="009F2547" w:rsidP="009F2547">
            <w:pPr>
              <w:widowControl w:val="0"/>
              <w:autoSpaceDE w:val="0"/>
              <w:autoSpaceDN w:val="0"/>
              <w:adjustRightInd w:val="0"/>
              <w:rPr>
                <w:b/>
                <w:sz w:val="20"/>
                <w:szCs w:val="20"/>
              </w:rPr>
            </w:pPr>
          </w:p>
        </w:tc>
        <w:tc>
          <w:tcPr>
            <w:tcW w:w="1418" w:type="dxa"/>
            <w:vMerge/>
          </w:tcPr>
          <w:p w14:paraId="56E68AA1" w14:textId="77777777" w:rsidR="009F2547" w:rsidRPr="00AC37DD" w:rsidRDefault="009F2547" w:rsidP="009F2547">
            <w:pPr>
              <w:widowControl w:val="0"/>
              <w:autoSpaceDE w:val="0"/>
              <w:autoSpaceDN w:val="0"/>
              <w:adjustRightInd w:val="0"/>
              <w:rPr>
                <w:sz w:val="20"/>
                <w:szCs w:val="20"/>
              </w:rPr>
            </w:pPr>
          </w:p>
        </w:tc>
        <w:tc>
          <w:tcPr>
            <w:tcW w:w="1417" w:type="dxa"/>
            <w:tcBorders>
              <w:top w:val="dashSmallGap" w:sz="4" w:space="0" w:color="1F497D" w:themeColor="text2"/>
              <w:bottom w:val="single" w:sz="4" w:space="0" w:color="1F497D" w:themeColor="text2"/>
            </w:tcBorders>
          </w:tcPr>
          <w:p w14:paraId="656124DE" w14:textId="77777777" w:rsidR="009F2547" w:rsidRPr="00AC37DD" w:rsidRDefault="009F2547" w:rsidP="009F2547">
            <w:pPr>
              <w:ind w:right="34"/>
              <w:rPr>
                <w:i/>
                <w:sz w:val="20"/>
                <w:szCs w:val="20"/>
              </w:rPr>
            </w:pPr>
            <w:r w:rsidRPr="00AC37DD">
              <w:rPr>
                <w:i/>
                <w:sz w:val="20"/>
                <w:szCs w:val="20"/>
              </w:rPr>
              <w:t>Fear of recurrence</w:t>
            </w:r>
          </w:p>
        </w:tc>
        <w:tc>
          <w:tcPr>
            <w:tcW w:w="992" w:type="dxa"/>
            <w:tcBorders>
              <w:top w:val="dashSmallGap" w:sz="4" w:space="0" w:color="1F497D" w:themeColor="text2"/>
              <w:bottom w:val="single" w:sz="4" w:space="0" w:color="1F497D" w:themeColor="text2"/>
            </w:tcBorders>
          </w:tcPr>
          <w:p w14:paraId="5AD04571" w14:textId="77777777" w:rsidR="009F2547" w:rsidRPr="00AC37DD" w:rsidRDefault="009F2547" w:rsidP="009F2547">
            <w:pPr>
              <w:widowControl w:val="0"/>
              <w:autoSpaceDE w:val="0"/>
              <w:autoSpaceDN w:val="0"/>
              <w:adjustRightInd w:val="0"/>
              <w:rPr>
                <w:sz w:val="20"/>
                <w:szCs w:val="20"/>
              </w:rPr>
            </w:pPr>
            <w:r w:rsidRPr="00AC37DD">
              <w:rPr>
                <w:sz w:val="20"/>
                <w:szCs w:val="20"/>
              </w:rPr>
              <w:t>4.2.3</w:t>
            </w:r>
          </w:p>
        </w:tc>
        <w:tc>
          <w:tcPr>
            <w:tcW w:w="9356" w:type="dxa"/>
            <w:tcBorders>
              <w:top w:val="dashSmallGap" w:sz="4" w:space="0" w:color="1F497D" w:themeColor="text2"/>
              <w:bottom w:val="single" w:sz="4" w:space="0" w:color="1F497D" w:themeColor="text2"/>
            </w:tcBorders>
            <w:vAlign w:val="center"/>
          </w:tcPr>
          <w:p w14:paraId="0304F65E" w14:textId="604AE02A" w:rsidR="009F2547" w:rsidRPr="00AC37DD" w:rsidRDefault="009F2547" w:rsidP="009F2547">
            <w:pPr>
              <w:ind w:right="34"/>
              <w:rPr>
                <w:i/>
                <w:sz w:val="20"/>
                <w:szCs w:val="20"/>
              </w:rPr>
            </w:pPr>
            <w:r w:rsidRPr="00AC37DD">
              <w:rPr>
                <w:i/>
                <w:sz w:val="20"/>
                <w:szCs w:val="20"/>
              </w:rPr>
              <w:t>I think that, when you first finish treatment as a cancer patient, I think you literally live with a fear all of the time that something is going to return. So, every headache you get, every time your arm hurts, everything… You feel that’s it, it’s coming back. – female breast</w:t>
            </w:r>
            <w:r w:rsidR="00AE1901" w:rsidRPr="00AC37DD">
              <w:rPr>
                <w:i/>
                <w:sz w:val="20"/>
                <w:szCs w:val="20"/>
              </w:rPr>
              <w:t xml:space="preserve"> patient in follow-up</w:t>
            </w:r>
          </w:p>
        </w:tc>
      </w:tr>
    </w:tbl>
    <w:p w14:paraId="7F222357" w14:textId="184CA666" w:rsidR="009F2547" w:rsidRPr="00AC37DD" w:rsidRDefault="00662ED1" w:rsidP="009F2547">
      <w:pPr>
        <w:widowControl w:val="0"/>
        <w:autoSpaceDE w:val="0"/>
        <w:autoSpaceDN w:val="0"/>
        <w:adjustRightInd w:val="0"/>
        <w:spacing w:line="480" w:lineRule="auto"/>
        <w:ind w:right="208"/>
        <w:jc w:val="right"/>
        <w:rPr>
          <w:b/>
          <w:sz w:val="20"/>
          <w:szCs w:val="20"/>
        </w:rPr>
      </w:pPr>
      <w:r w:rsidRPr="00AC37DD">
        <w:rPr>
          <w:sz w:val="20"/>
          <w:szCs w:val="20"/>
          <w:vertAlign w:val="superscript"/>
        </w:rPr>
        <w:t>a</w:t>
      </w:r>
      <w:r w:rsidR="00465A12" w:rsidRPr="00AC37DD">
        <w:rPr>
          <w:sz w:val="20"/>
          <w:szCs w:val="20"/>
        </w:rPr>
        <w:t>CNS Central nervous system</w:t>
      </w:r>
    </w:p>
    <w:sectPr w:rsidR="009F2547" w:rsidRPr="00AC37DD" w:rsidSect="001B74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F0AF" w14:textId="77777777" w:rsidR="00383C0E" w:rsidRDefault="00383C0E" w:rsidP="000611D5">
      <w:pPr>
        <w:spacing w:after="0" w:line="240" w:lineRule="auto"/>
      </w:pPr>
      <w:r>
        <w:separator/>
      </w:r>
    </w:p>
  </w:endnote>
  <w:endnote w:type="continuationSeparator" w:id="0">
    <w:p w14:paraId="063F5BF0" w14:textId="77777777" w:rsidR="00383C0E" w:rsidRDefault="00383C0E" w:rsidP="000611D5">
      <w:pPr>
        <w:spacing w:after="0" w:line="240" w:lineRule="auto"/>
      </w:pPr>
      <w:r>
        <w:continuationSeparator/>
      </w:r>
    </w:p>
  </w:endnote>
  <w:endnote w:type="continuationNotice" w:id="1">
    <w:p w14:paraId="4ACC2019" w14:textId="77777777" w:rsidR="00383C0E" w:rsidRDefault="00383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559246"/>
      <w:docPartObj>
        <w:docPartGallery w:val="Page Numbers (Bottom of Page)"/>
        <w:docPartUnique/>
      </w:docPartObj>
    </w:sdtPr>
    <w:sdtEndPr/>
    <w:sdtContent>
      <w:sdt>
        <w:sdtPr>
          <w:id w:val="-1669238322"/>
          <w:docPartObj>
            <w:docPartGallery w:val="Page Numbers (Top of Page)"/>
            <w:docPartUnique/>
          </w:docPartObj>
        </w:sdtPr>
        <w:sdtEndPr/>
        <w:sdtContent>
          <w:p w14:paraId="7E5C61CE" w14:textId="74A830CA" w:rsidR="00383C0E" w:rsidRDefault="00383C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p>
        </w:sdtContent>
      </w:sdt>
    </w:sdtContent>
  </w:sdt>
  <w:p w14:paraId="0FD46C84" w14:textId="77777777" w:rsidR="00383C0E" w:rsidRDefault="00383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F2AB" w14:textId="77777777" w:rsidR="00383C0E" w:rsidRDefault="00383C0E" w:rsidP="000611D5">
      <w:pPr>
        <w:spacing w:after="0" w:line="240" w:lineRule="auto"/>
      </w:pPr>
      <w:r>
        <w:separator/>
      </w:r>
    </w:p>
  </w:footnote>
  <w:footnote w:type="continuationSeparator" w:id="0">
    <w:p w14:paraId="7A309032" w14:textId="77777777" w:rsidR="00383C0E" w:rsidRDefault="00383C0E" w:rsidP="000611D5">
      <w:pPr>
        <w:spacing w:after="0" w:line="240" w:lineRule="auto"/>
      </w:pPr>
      <w:r>
        <w:continuationSeparator/>
      </w:r>
    </w:p>
  </w:footnote>
  <w:footnote w:type="continuationNotice" w:id="1">
    <w:p w14:paraId="36BD544F" w14:textId="77777777" w:rsidR="00383C0E" w:rsidRDefault="00383C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53002"/>
    <w:multiLevelType w:val="hybridMultilevel"/>
    <w:tmpl w:val="43B04D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1D5"/>
    <w:rsid w:val="00001B91"/>
    <w:rsid w:val="000021CE"/>
    <w:rsid w:val="00003DC7"/>
    <w:rsid w:val="0000444E"/>
    <w:rsid w:val="000048D7"/>
    <w:rsid w:val="00005320"/>
    <w:rsid w:val="00011296"/>
    <w:rsid w:val="0001389F"/>
    <w:rsid w:val="000162DB"/>
    <w:rsid w:val="0002251C"/>
    <w:rsid w:val="00023684"/>
    <w:rsid w:val="00023C6E"/>
    <w:rsid w:val="00024E5D"/>
    <w:rsid w:val="00027FFA"/>
    <w:rsid w:val="000324E4"/>
    <w:rsid w:val="0003623B"/>
    <w:rsid w:val="00043BEF"/>
    <w:rsid w:val="000611D5"/>
    <w:rsid w:val="00061589"/>
    <w:rsid w:val="0006293D"/>
    <w:rsid w:val="00067C79"/>
    <w:rsid w:val="000706DC"/>
    <w:rsid w:val="000713E4"/>
    <w:rsid w:val="0007188D"/>
    <w:rsid w:val="000725BB"/>
    <w:rsid w:val="0007598A"/>
    <w:rsid w:val="000839D2"/>
    <w:rsid w:val="000842C7"/>
    <w:rsid w:val="000847B3"/>
    <w:rsid w:val="0008560F"/>
    <w:rsid w:val="00087202"/>
    <w:rsid w:val="00087DA9"/>
    <w:rsid w:val="000903C0"/>
    <w:rsid w:val="00097402"/>
    <w:rsid w:val="000A2332"/>
    <w:rsid w:val="000A2443"/>
    <w:rsid w:val="000A348E"/>
    <w:rsid w:val="000A41B2"/>
    <w:rsid w:val="000A7E12"/>
    <w:rsid w:val="000B3326"/>
    <w:rsid w:val="000B476D"/>
    <w:rsid w:val="000C0CD9"/>
    <w:rsid w:val="000C23F9"/>
    <w:rsid w:val="000C513C"/>
    <w:rsid w:val="000C6B8E"/>
    <w:rsid w:val="000C6E4E"/>
    <w:rsid w:val="000D4441"/>
    <w:rsid w:val="000D6B7A"/>
    <w:rsid w:val="000D6F04"/>
    <w:rsid w:val="000E3D57"/>
    <w:rsid w:val="000F1EDA"/>
    <w:rsid w:val="000F2BE4"/>
    <w:rsid w:val="000F3921"/>
    <w:rsid w:val="000F3E05"/>
    <w:rsid w:val="000F49B9"/>
    <w:rsid w:val="000F4FB0"/>
    <w:rsid w:val="000F57C1"/>
    <w:rsid w:val="000F628A"/>
    <w:rsid w:val="000F6379"/>
    <w:rsid w:val="00102846"/>
    <w:rsid w:val="00104276"/>
    <w:rsid w:val="00104747"/>
    <w:rsid w:val="00105193"/>
    <w:rsid w:val="00110ACE"/>
    <w:rsid w:val="00115797"/>
    <w:rsid w:val="00116CB2"/>
    <w:rsid w:val="00117A71"/>
    <w:rsid w:val="00121D58"/>
    <w:rsid w:val="00124396"/>
    <w:rsid w:val="001331EF"/>
    <w:rsid w:val="00135833"/>
    <w:rsid w:val="0013620A"/>
    <w:rsid w:val="00140299"/>
    <w:rsid w:val="00144197"/>
    <w:rsid w:val="00147355"/>
    <w:rsid w:val="00151904"/>
    <w:rsid w:val="00152013"/>
    <w:rsid w:val="00153F84"/>
    <w:rsid w:val="001563C9"/>
    <w:rsid w:val="00157E4D"/>
    <w:rsid w:val="00164A43"/>
    <w:rsid w:val="00165918"/>
    <w:rsid w:val="001758AF"/>
    <w:rsid w:val="00177C28"/>
    <w:rsid w:val="00182157"/>
    <w:rsid w:val="00182204"/>
    <w:rsid w:val="00185765"/>
    <w:rsid w:val="0018576A"/>
    <w:rsid w:val="00185E74"/>
    <w:rsid w:val="00185FE5"/>
    <w:rsid w:val="00192770"/>
    <w:rsid w:val="0019457F"/>
    <w:rsid w:val="0019666E"/>
    <w:rsid w:val="001A41AC"/>
    <w:rsid w:val="001A5A5F"/>
    <w:rsid w:val="001A75CF"/>
    <w:rsid w:val="001B3B1C"/>
    <w:rsid w:val="001B4980"/>
    <w:rsid w:val="001B672C"/>
    <w:rsid w:val="001B7439"/>
    <w:rsid w:val="001B747D"/>
    <w:rsid w:val="001C00E6"/>
    <w:rsid w:val="001C18F4"/>
    <w:rsid w:val="001C36C6"/>
    <w:rsid w:val="001C65C2"/>
    <w:rsid w:val="001C71BC"/>
    <w:rsid w:val="001C795A"/>
    <w:rsid w:val="001D007E"/>
    <w:rsid w:val="001D0B2F"/>
    <w:rsid w:val="001E03A3"/>
    <w:rsid w:val="001E3384"/>
    <w:rsid w:val="001F2563"/>
    <w:rsid w:val="001F47C2"/>
    <w:rsid w:val="002039BD"/>
    <w:rsid w:val="00204539"/>
    <w:rsid w:val="002061E0"/>
    <w:rsid w:val="0021212F"/>
    <w:rsid w:val="00213121"/>
    <w:rsid w:val="0021606B"/>
    <w:rsid w:val="0021621E"/>
    <w:rsid w:val="00220AFF"/>
    <w:rsid w:val="00222DB4"/>
    <w:rsid w:val="00223906"/>
    <w:rsid w:val="00224247"/>
    <w:rsid w:val="00224D8E"/>
    <w:rsid w:val="00225212"/>
    <w:rsid w:val="0023454C"/>
    <w:rsid w:val="00240E1B"/>
    <w:rsid w:val="00242C07"/>
    <w:rsid w:val="00247A82"/>
    <w:rsid w:val="00252821"/>
    <w:rsid w:val="00254FDB"/>
    <w:rsid w:val="00255A64"/>
    <w:rsid w:val="002627E5"/>
    <w:rsid w:val="002636FD"/>
    <w:rsid w:val="00264DF0"/>
    <w:rsid w:val="0027361F"/>
    <w:rsid w:val="002738C9"/>
    <w:rsid w:val="002746E0"/>
    <w:rsid w:val="0028299C"/>
    <w:rsid w:val="002863A1"/>
    <w:rsid w:val="002869F7"/>
    <w:rsid w:val="00290AE4"/>
    <w:rsid w:val="00290CDD"/>
    <w:rsid w:val="00293C9C"/>
    <w:rsid w:val="002A3700"/>
    <w:rsid w:val="002A41FC"/>
    <w:rsid w:val="002B1996"/>
    <w:rsid w:val="002B1CC8"/>
    <w:rsid w:val="002B52D1"/>
    <w:rsid w:val="002B53FB"/>
    <w:rsid w:val="002B7C3A"/>
    <w:rsid w:val="002B7F36"/>
    <w:rsid w:val="002C2BEC"/>
    <w:rsid w:val="002D0E6F"/>
    <w:rsid w:val="002D3671"/>
    <w:rsid w:val="002D3D83"/>
    <w:rsid w:val="002D4366"/>
    <w:rsid w:val="002E1374"/>
    <w:rsid w:val="002E13D3"/>
    <w:rsid w:val="002E6378"/>
    <w:rsid w:val="002E7D23"/>
    <w:rsid w:val="002F0765"/>
    <w:rsid w:val="002F1E38"/>
    <w:rsid w:val="002F3D5F"/>
    <w:rsid w:val="002F5863"/>
    <w:rsid w:val="002F6FC5"/>
    <w:rsid w:val="002F75FB"/>
    <w:rsid w:val="00300B92"/>
    <w:rsid w:val="00304967"/>
    <w:rsid w:val="00306F05"/>
    <w:rsid w:val="00311360"/>
    <w:rsid w:val="0031470B"/>
    <w:rsid w:val="00314931"/>
    <w:rsid w:val="00320F05"/>
    <w:rsid w:val="00324279"/>
    <w:rsid w:val="00333DD5"/>
    <w:rsid w:val="00341B10"/>
    <w:rsid w:val="00342E9F"/>
    <w:rsid w:val="00344A0E"/>
    <w:rsid w:val="00346766"/>
    <w:rsid w:val="00346EAA"/>
    <w:rsid w:val="003504BB"/>
    <w:rsid w:val="0035154F"/>
    <w:rsid w:val="00352360"/>
    <w:rsid w:val="003524AF"/>
    <w:rsid w:val="00352700"/>
    <w:rsid w:val="003553AC"/>
    <w:rsid w:val="003633F4"/>
    <w:rsid w:val="00365B8C"/>
    <w:rsid w:val="00372839"/>
    <w:rsid w:val="003777C6"/>
    <w:rsid w:val="00377FB7"/>
    <w:rsid w:val="00380B4C"/>
    <w:rsid w:val="00382829"/>
    <w:rsid w:val="00383817"/>
    <w:rsid w:val="00383C0E"/>
    <w:rsid w:val="003847FD"/>
    <w:rsid w:val="003850C8"/>
    <w:rsid w:val="00385A39"/>
    <w:rsid w:val="00387D81"/>
    <w:rsid w:val="00390B6B"/>
    <w:rsid w:val="00391B5A"/>
    <w:rsid w:val="00391EF0"/>
    <w:rsid w:val="00397F66"/>
    <w:rsid w:val="003A05E4"/>
    <w:rsid w:val="003A1904"/>
    <w:rsid w:val="003A2BC0"/>
    <w:rsid w:val="003A5558"/>
    <w:rsid w:val="003A594D"/>
    <w:rsid w:val="003B0BD7"/>
    <w:rsid w:val="003B1E97"/>
    <w:rsid w:val="003B20B6"/>
    <w:rsid w:val="003B7457"/>
    <w:rsid w:val="003C367A"/>
    <w:rsid w:val="003C6B6D"/>
    <w:rsid w:val="003C7AE7"/>
    <w:rsid w:val="003D34C9"/>
    <w:rsid w:val="003D3646"/>
    <w:rsid w:val="003D3D5E"/>
    <w:rsid w:val="003D3DAC"/>
    <w:rsid w:val="003D534D"/>
    <w:rsid w:val="003E5C73"/>
    <w:rsid w:val="003E697E"/>
    <w:rsid w:val="00400D85"/>
    <w:rsid w:val="00400DCF"/>
    <w:rsid w:val="00403363"/>
    <w:rsid w:val="00406B21"/>
    <w:rsid w:val="00406E2A"/>
    <w:rsid w:val="00411498"/>
    <w:rsid w:val="00413EEF"/>
    <w:rsid w:val="00413F52"/>
    <w:rsid w:val="00414CE0"/>
    <w:rsid w:val="00415DD6"/>
    <w:rsid w:val="00415F8C"/>
    <w:rsid w:val="00416472"/>
    <w:rsid w:val="00417060"/>
    <w:rsid w:val="004207F8"/>
    <w:rsid w:val="0042339F"/>
    <w:rsid w:val="00426D1C"/>
    <w:rsid w:val="00427311"/>
    <w:rsid w:val="004323A5"/>
    <w:rsid w:val="004364BD"/>
    <w:rsid w:val="00443992"/>
    <w:rsid w:val="0044621A"/>
    <w:rsid w:val="004463E2"/>
    <w:rsid w:val="004506EC"/>
    <w:rsid w:val="00450935"/>
    <w:rsid w:val="00453DCC"/>
    <w:rsid w:val="0045436B"/>
    <w:rsid w:val="00455796"/>
    <w:rsid w:val="00455ED2"/>
    <w:rsid w:val="0046085C"/>
    <w:rsid w:val="00463411"/>
    <w:rsid w:val="00465A12"/>
    <w:rsid w:val="00466D3D"/>
    <w:rsid w:val="00475141"/>
    <w:rsid w:val="004834F8"/>
    <w:rsid w:val="004869D3"/>
    <w:rsid w:val="00487012"/>
    <w:rsid w:val="00487F41"/>
    <w:rsid w:val="0049228C"/>
    <w:rsid w:val="004957F6"/>
    <w:rsid w:val="00497960"/>
    <w:rsid w:val="00497B00"/>
    <w:rsid w:val="004A027F"/>
    <w:rsid w:val="004A1780"/>
    <w:rsid w:val="004A2120"/>
    <w:rsid w:val="004A308F"/>
    <w:rsid w:val="004A4CB6"/>
    <w:rsid w:val="004A7DA8"/>
    <w:rsid w:val="004B2CAB"/>
    <w:rsid w:val="004B6AED"/>
    <w:rsid w:val="004B6DD6"/>
    <w:rsid w:val="004C11AD"/>
    <w:rsid w:val="004C11D0"/>
    <w:rsid w:val="004C5E60"/>
    <w:rsid w:val="004D2C24"/>
    <w:rsid w:val="004D6402"/>
    <w:rsid w:val="004D71B1"/>
    <w:rsid w:val="004D73B2"/>
    <w:rsid w:val="004E0332"/>
    <w:rsid w:val="004E7524"/>
    <w:rsid w:val="004F2E91"/>
    <w:rsid w:val="004F7DA2"/>
    <w:rsid w:val="00501F72"/>
    <w:rsid w:val="005035B0"/>
    <w:rsid w:val="00504012"/>
    <w:rsid w:val="005046D1"/>
    <w:rsid w:val="00504970"/>
    <w:rsid w:val="00505600"/>
    <w:rsid w:val="00505729"/>
    <w:rsid w:val="00505CA0"/>
    <w:rsid w:val="005114B3"/>
    <w:rsid w:val="00512399"/>
    <w:rsid w:val="005146E9"/>
    <w:rsid w:val="00516AEA"/>
    <w:rsid w:val="005208AC"/>
    <w:rsid w:val="005213F2"/>
    <w:rsid w:val="005230AF"/>
    <w:rsid w:val="00523628"/>
    <w:rsid w:val="0052407D"/>
    <w:rsid w:val="005246A9"/>
    <w:rsid w:val="00531FA8"/>
    <w:rsid w:val="005323F5"/>
    <w:rsid w:val="00533F88"/>
    <w:rsid w:val="005401B3"/>
    <w:rsid w:val="00541261"/>
    <w:rsid w:val="00541A26"/>
    <w:rsid w:val="00541F94"/>
    <w:rsid w:val="00542171"/>
    <w:rsid w:val="00544DC3"/>
    <w:rsid w:val="005471BC"/>
    <w:rsid w:val="00551BCC"/>
    <w:rsid w:val="00552E81"/>
    <w:rsid w:val="005614EB"/>
    <w:rsid w:val="00561FA0"/>
    <w:rsid w:val="00575E0A"/>
    <w:rsid w:val="00575F59"/>
    <w:rsid w:val="00590D59"/>
    <w:rsid w:val="005A2242"/>
    <w:rsid w:val="005A4D5E"/>
    <w:rsid w:val="005A516C"/>
    <w:rsid w:val="005B127B"/>
    <w:rsid w:val="005B12F1"/>
    <w:rsid w:val="005B4635"/>
    <w:rsid w:val="005D5152"/>
    <w:rsid w:val="005D745C"/>
    <w:rsid w:val="005E0ABF"/>
    <w:rsid w:val="005E160B"/>
    <w:rsid w:val="005F0721"/>
    <w:rsid w:val="005F33B7"/>
    <w:rsid w:val="0060258D"/>
    <w:rsid w:val="00604330"/>
    <w:rsid w:val="00605661"/>
    <w:rsid w:val="00605993"/>
    <w:rsid w:val="00606514"/>
    <w:rsid w:val="00606B35"/>
    <w:rsid w:val="006075B2"/>
    <w:rsid w:val="00607AB0"/>
    <w:rsid w:val="00611BC9"/>
    <w:rsid w:val="00611E19"/>
    <w:rsid w:val="0061379E"/>
    <w:rsid w:val="006201ED"/>
    <w:rsid w:val="00622C62"/>
    <w:rsid w:val="0062359E"/>
    <w:rsid w:val="00627201"/>
    <w:rsid w:val="0063174D"/>
    <w:rsid w:val="00631E44"/>
    <w:rsid w:val="006341C5"/>
    <w:rsid w:val="0064106B"/>
    <w:rsid w:val="006446C3"/>
    <w:rsid w:val="00650A6A"/>
    <w:rsid w:val="00654BB3"/>
    <w:rsid w:val="00661E3D"/>
    <w:rsid w:val="00662D1E"/>
    <w:rsid w:val="00662ED1"/>
    <w:rsid w:val="0066361C"/>
    <w:rsid w:val="00663BD9"/>
    <w:rsid w:val="006670A8"/>
    <w:rsid w:val="00674DCB"/>
    <w:rsid w:val="006752C8"/>
    <w:rsid w:val="00677C49"/>
    <w:rsid w:val="006A0E8B"/>
    <w:rsid w:val="006A1AEF"/>
    <w:rsid w:val="006A294F"/>
    <w:rsid w:val="006A3FDA"/>
    <w:rsid w:val="006A427A"/>
    <w:rsid w:val="006A4C0A"/>
    <w:rsid w:val="006B68E0"/>
    <w:rsid w:val="006C0A34"/>
    <w:rsid w:val="006C1102"/>
    <w:rsid w:val="006C2B32"/>
    <w:rsid w:val="006C3772"/>
    <w:rsid w:val="006C49AC"/>
    <w:rsid w:val="006D282B"/>
    <w:rsid w:val="006D7318"/>
    <w:rsid w:val="006E1E54"/>
    <w:rsid w:val="006E7B9E"/>
    <w:rsid w:val="006F17CF"/>
    <w:rsid w:val="006F6546"/>
    <w:rsid w:val="006F79C3"/>
    <w:rsid w:val="0070009A"/>
    <w:rsid w:val="0070379F"/>
    <w:rsid w:val="00707AC5"/>
    <w:rsid w:val="00710BEC"/>
    <w:rsid w:val="007127C3"/>
    <w:rsid w:val="007141ED"/>
    <w:rsid w:val="007224A1"/>
    <w:rsid w:val="0073424A"/>
    <w:rsid w:val="00734A15"/>
    <w:rsid w:val="00736821"/>
    <w:rsid w:val="00740191"/>
    <w:rsid w:val="00740780"/>
    <w:rsid w:val="00747511"/>
    <w:rsid w:val="00747C17"/>
    <w:rsid w:val="00761E99"/>
    <w:rsid w:val="0076579C"/>
    <w:rsid w:val="00772B49"/>
    <w:rsid w:val="007854B2"/>
    <w:rsid w:val="00787400"/>
    <w:rsid w:val="00790CBA"/>
    <w:rsid w:val="00792DBB"/>
    <w:rsid w:val="00796963"/>
    <w:rsid w:val="007A117B"/>
    <w:rsid w:val="007A3D98"/>
    <w:rsid w:val="007A49AE"/>
    <w:rsid w:val="007B2990"/>
    <w:rsid w:val="007B4F42"/>
    <w:rsid w:val="007B5A16"/>
    <w:rsid w:val="007C01A1"/>
    <w:rsid w:val="007C23B9"/>
    <w:rsid w:val="007C2A05"/>
    <w:rsid w:val="007C5A87"/>
    <w:rsid w:val="007C5E5C"/>
    <w:rsid w:val="007C72D5"/>
    <w:rsid w:val="007C762D"/>
    <w:rsid w:val="007D2CA2"/>
    <w:rsid w:val="007D4D29"/>
    <w:rsid w:val="007E297B"/>
    <w:rsid w:val="007E53BF"/>
    <w:rsid w:val="007E5995"/>
    <w:rsid w:val="007F3A5A"/>
    <w:rsid w:val="00800812"/>
    <w:rsid w:val="00803F5F"/>
    <w:rsid w:val="0080578C"/>
    <w:rsid w:val="00815E6A"/>
    <w:rsid w:val="00816A76"/>
    <w:rsid w:val="00817216"/>
    <w:rsid w:val="00820D56"/>
    <w:rsid w:val="00823AF6"/>
    <w:rsid w:val="00826854"/>
    <w:rsid w:val="00831CEE"/>
    <w:rsid w:val="00846868"/>
    <w:rsid w:val="00853634"/>
    <w:rsid w:val="00853CE1"/>
    <w:rsid w:val="00857825"/>
    <w:rsid w:val="0086004F"/>
    <w:rsid w:val="00862B69"/>
    <w:rsid w:val="00864590"/>
    <w:rsid w:val="00865685"/>
    <w:rsid w:val="00865A17"/>
    <w:rsid w:val="00865C54"/>
    <w:rsid w:val="00870B7C"/>
    <w:rsid w:val="0087539A"/>
    <w:rsid w:val="00880645"/>
    <w:rsid w:val="008836FB"/>
    <w:rsid w:val="0088435D"/>
    <w:rsid w:val="00884C08"/>
    <w:rsid w:val="0088552B"/>
    <w:rsid w:val="008869BF"/>
    <w:rsid w:val="00890CC2"/>
    <w:rsid w:val="00893015"/>
    <w:rsid w:val="00893D12"/>
    <w:rsid w:val="008964CF"/>
    <w:rsid w:val="008A3D7D"/>
    <w:rsid w:val="008A3E82"/>
    <w:rsid w:val="008B2962"/>
    <w:rsid w:val="008B3D69"/>
    <w:rsid w:val="008B5AA0"/>
    <w:rsid w:val="008B668A"/>
    <w:rsid w:val="008C09F1"/>
    <w:rsid w:val="008C1026"/>
    <w:rsid w:val="008C4C3A"/>
    <w:rsid w:val="008C5477"/>
    <w:rsid w:val="008C6E01"/>
    <w:rsid w:val="008D1524"/>
    <w:rsid w:val="008D2918"/>
    <w:rsid w:val="008D2D4D"/>
    <w:rsid w:val="008D5869"/>
    <w:rsid w:val="008E1481"/>
    <w:rsid w:val="008E1806"/>
    <w:rsid w:val="008E3E9A"/>
    <w:rsid w:val="0090048A"/>
    <w:rsid w:val="00904855"/>
    <w:rsid w:val="00906827"/>
    <w:rsid w:val="00910F07"/>
    <w:rsid w:val="00911567"/>
    <w:rsid w:val="009115BF"/>
    <w:rsid w:val="00912ACE"/>
    <w:rsid w:val="00913370"/>
    <w:rsid w:val="009160EE"/>
    <w:rsid w:val="009161E1"/>
    <w:rsid w:val="00921CB2"/>
    <w:rsid w:val="009228F3"/>
    <w:rsid w:val="00925E06"/>
    <w:rsid w:val="0092646E"/>
    <w:rsid w:val="00926852"/>
    <w:rsid w:val="00933B83"/>
    <w:rsid w:val="00933ED9"/>
    <w:rsid w:val="00936A03"/>
    <w:rsid w:val="00943A75"/>
    <w:rsid w:val="00946A5E"/>
    <w:rsid w:val="009513B2"/>
    <w:rsid w:val="009532B9"/>
    <w:rsid w:val="0095519A"/>
    <w:rsid w:val="0095612F"/>
    <w:rsid w:val="009619BD"/>
    <w:rsid w:val="00961FCB"/>
    <w:rsid w:val="009637A7"/>
    <w:rsid w:val="00965A17"/>
    <w:rsid w:val="009665F8"/>
    <w:rsid w:val="0097169D"/>
    <w:rsid w:val="00973778"/>
    <w:rsid w:val="0097572D"/>
    <w:rsid w:val="00975B33"/>
    <w:rsid w:val="00980F92"/>
    <w:rsid w:val="009869B3"/>
    <w:rsid w:val="00991532"/>
    <w:rsid w:val="00993276"/>
    <w:rsid w:val="009939E6"/>
    <w:rsid w:val="00993CBC"/>
    <w:rsid w:val="00994E01"/>
    <w:rsid w:val="00995F56"/>
    <w:rsid w:val="0099633C"/>
    <w:rsid w:val="009A268F"/>
    <w:rsid w:val="009A646C"/>
    <w:rsid w:val="009A7390"/>
    <w:rsid w:val="009B1861"/>
    <w:rsid w:val="009B5398"/>
    <w:rsid w:val="009B53E9"/>
    <w:rsid w:val="009C037F"/>
    <w:rsid w:val="009C0FFE"/>
    <w:rsid w:val="009C3788"/>
    <w:rsid w:val="009C5E3F"/>
    <w:rsid w:val="009C7277"/>
    <w:rsid w:val="009C73A3"/>
    <w:rsid w:val="009D3643"/>
    <w:rsid w:val="009D4396"/>
    <w:rsid w:val="009D4871"/>
    <w:rsid w:val="009D53FF"/>
    <w:rsid w:val="009F0B8C"/>
    <w:rsid w:val="009F2547"/>
    <w:rsid w:val="009F4ADE"/>
    <w:rsid w:val="00A05069"/>
    <w:rsid w:val="00A1116A"/>
    <w:rsid w:val="00A147A1"/>
    <w:rsid w:val="00A16640"/>
    <w:rsid w:val="00A276E4"/>
    <w:rsid w:val="00A315B6"/>
    <w:rsid w:val="00A337A3"/>
    <w:rsid w:val="00A3391D"/>
    <w:rsid w:val="00A33BBC"/>
    <w:rsid w:val="00A34008"/>
    <w:rsid w:val="00A344DB"/>
    <w:rsid w:val="00A34677"/>
    <w:rsid w:val="00A35894"/>
    <w:rsid w:val="00A36894"/>
    <w:rsid w:val="00A4489E"/>
    <w:rsid w:val="00A46108"/>
    <w:rsid w:val="00A463B9"/>
    <w:rsid w:val="00A503FD"/>
    <w:rsid w:val="00A554D2"/>
    <w:rsid w:val="00A56A36"/>
    <w:rsid w:val="00A604B0"/>
    <w:rsid w:val="00A6309E"/>
    <w:rsid w:val="00A635EA"/>
    <w:rsid w:val="00A66D8A"/>
    <w:rsid w:val="00A67C27"/>
    <w:rsid w:val="00A70E98"/>
    <w:rsid w:val="00A7628C"/>
    <w:rsid w:val="00A817B4"/>
    <w:rsid w:val="00A82565"/>
    <w:rsid w:val="00A857F9"/>
    <w:rsid w:val="00A85C2C"/>
    <w:rsid w:val="00A90A4E"/>
    <w:rsid w:val="00A9118A"/>
    <w:rsid w:val="00A91B62"/>
    <w:rsid w:val="00A91BED"/>
    <w:rsid w:val="00A936BD"/>
    <w:rsid w:val="00A93814"/>
    <w:rsid w:val="00A95101"/>
    <w:rsid w:val="00A9671F"/>
    <w:rsid w:val="00A96EDA"/>
    <w:rsid w:val="00AA00A9"/>
    <w:rsid w:val="00AA676C"/>
    <w:rsid w:val="00AB4778"/>
    <w:rsid w:val="00AB7B06"/>
    <w:rsid w:val="00AB7E21"/>
    <w:rsid w:val="00AC06B6"/>
    <w:rsid w:val="00AC37DD"/>
    <w:rsid w:val="00AC4CFD"/>
    <w:rsid w:val="00AE050F"/>
    <w:rsid w:val="00AE1901"/>
    <w:rsid w:val="00AE4C60"/>
    <w:rsid w:val="00AE7836"/>
    <w:rsid w:val="00AE7A7F"/>
    <w:rsid w:val="00AE7E97"/>
    <w:rsid w:val="00AF1423"/>
    <w:rsid w:val="00AF3951"/>
    <w:rsid w:val="00AF48D7"/>
    <w:rsid w:val="00AF4F9A"/>
    <w:rsid w:val="00AF64B7"/>
    <w:rsid w:val="00B041AE"/>
    <w:rsid w:val="00B05068"/>
    <w:rsid w:val="00B074BC"/>
    <w:rsid w:val="00B10D33"/>
    <w:rsid w:val="00B12F80"/>
    <w:rsid w:val="00B24479"/>
    <w:rsid w:val="00B25DD0"/>
    <w:rsid w:val="00B25F79"/>
    <w:rsid w:val="00B2689F"/>
    <w:rsid w:val="00B32AB9"/>
    <w:rsid w:val="00B3541B"/>
    <w:rsid w:val="00B354E3"/>
    <w:rsid w:val="00B36BD7"/>
    <w:rsid w:val="00B440CF"/>
    <w:rsid w:val="00B44B46"/>
    <w:rsid w:val="00B501F7"/>
    <w:rsid w:val="00B52C25"/>
    <w:rsid w:val="00B566B0"/>
    <w:rsid w:val="00B65909"/>
    <w:rsid w:val="00B66285"/>
    <w:rsid w:val="00B72943"/>
    <w:rsid w:val="00B77089"/>
    <w:rsid w:val="00B806B6"/>
    <w:rsid w:val="00B84943"/>
    <w:rsid w:val="00B921A5"/>
    <w:rsid w:val="00B946A3"/>
    <w:rsid w:val="00BA357E"/>
    <w:rsid w:val="00BA3CBE"/>
    <w:rsid w:val="00BA4900"/>
    <w:rsid w:val="00BA66A3"/>
    <w:rsid w:val="00BB290C"/>
    <w:rsid w:val="00BB2F16"/>
    <w:rsid w:val="00BB5A4D"/>
    <w:rsid w:val="00BC01A3"/>
    <w:rsid w:val="00BC26C3"/>
    <w:rsid w:val="00BC400B"/>
    <w:rsid w:val="00BC6968"/>
    <w:rsid w:val="00BC7590"/>
    <w:rsid w:val="00BD04CC"/>
    <w:rsid w:val="00BD3A9F"/>
    <w:rsid w:val="00BD66A7"/>
    <w:rsid w:val="00BD6AC7"/>
    <w:rsid w:val="00BE0274"/>
    <w:rsid w:val="00BE4763"/>
    <w:rsid w:val="00BE586E"/>
    <w:rsid w:val="00BE7997"/>
    <w:rsid w:val="00BF4EA5"/>
    <w:rsid w:val="00BF5C5B"/>
    <w:rsid w:val="00C05CC6"/>
    <w:rsid w:val="00C106EF"/>
    <w:rsid w:val="00C124C3"/>
    <w:rsid w:val="00C204CB"/>
    <w:rsid w:val="00C20B77"/>
    <w:rsid w:val="00C25BFA"/>
    <w:rsid w:val="00C30A26"/>
    <w:rsid w:val="00C33E90"/>
    <w:rsid w:val="00C41DE0"/>
    <w:rsid w:val="00C42011"/>
    <w:rsid w:val="00C42D76"/>
    <w:rsid w:val="00C434A1"/>
    <w:rsid w:val="00C461FF"/>
    <w:rsid w:val="00C46245"/>
    <w:rsid w:val="00C46DA3"/>
    <w:rsid w:val="00C46EE4"/>
    <w:rsid w:val="00C53334"/>
    <w:rsid w:val="00C53490"/>
    <w:rsid w:val="00C54AA1"/>
    <w:rsid w:val="00C550E8"/>
    <w:rsid w:val="00C564A5"/>
    <w:rsid w:val="00C672C9"/>
    <w:rsid w:val="00C71488"/>
    <w:rsid w:val="00C778AF"/>
    <w:rsid w:val="00C80196"/>
    <w:rsid w:val="00C837A0"/>
    <w:rsid w:val="00C84484"/>
    <w:rsid w:val="00C84FF2"/>
    <w:rsid w:val="00C85AC7"/>
    <w:rsid w:val="00C863F1"/>
    <w:rsid w:val="00C95B5D"/>
    <w:rsid w:val="00CA348C"/>
    <w:rsid w:val="00CA3C10"/>
    <w:rsid w:val="00CA67DD"/>
    <w:rsid w:val="00CA7058"/>
    <w:rsid w:val="00CB5783"/>
    <w:rsid w:val="00CB59E0"/>
    <w:rsid w:val="00CB6ECB"/>
    <w:rsid w:val="00CC0973"/>
    <w:rsid w:val="00CC3078"/>
    <w:rsid w:val="00CC5FA6"/>
    <w:rsid w:val="00CD1D4F"/>
    <w:rsid w:val="00CD241D"/>
    <w:rsid w:val="00CD313B"/>
    <w:rsid w:val="00CD4409"/>
    <w:rsid w:val="00CD4C70"/>
    <w:rsid w:val="00CD57C0"/>
    <w:rsid w:val="00CD5AE9"/>
    <w:rsid w:val="00CE360E"/>
    <w:rsid w:val="00CE6245"/>
    <w:rsid w:val="00CE6717"/>
    <w:rsid w:val="00CF3B76"/>
    <w:rsid w:val="00CF3C21"/>
    <w:rsid w:val="00CF41F2"/>
    <w:rsid w:val="00CF47D5"/>
    <w:rsid w:val="00CF6122"/>
    <w:rsid w:val="00D035EA"/>
    <w:rsid w:val="00D04F08"/>
    <w:rsid w:val="00D07001"/>
    <w:rsid w:val="00D10217"/>
    <w:rsid w:val="00D1221E"/>
    <w:rsid w:val="00D1225D"/>
    <w:rsid w:val="00D143C5"/>
    <w:rsid w:val="00D168B2"/>
    <w:rsid w:val="00D2282C"/>
    <w:rsid w:val="00D2295C"/>
    <w:rsid w:val="00D253CE"/>
    <w:rsid w:val="00D26058"/>
    <w:rsid w:val="00D27A2B"/>
    <w:rsid w:val="00D27DAE"/>
    <w:rsid w:val="00D36818"/>
    <w:rsid w:val="00D37533"/>
    <w:rsid w:val="00D506DE"/>
    <w:rsid w:val="00D5212E"/>
    <w:rsid w:val="00D522EB"/>
    <w:rsid w:val="00D52E00"/>
    <w:rsid w:val="00D54FD8"/>
    <w:rsid w:val="00D6035C"/>
    <w:rsid w:val="00D60572"/>
    <w:rsid w:val="00D60CB9"/>
    <w:rsid w:val="00D62BF0"/>
    <w:rsid w:val="00D70243"/>
    <w:rsid w:val="00D76628"/>
    <w:rsid w:val="00D80477"/>
    <w:rsid w:val="00D80E77"/>
    <w:rsid w:val="00D83372"/>
    <w:rsid w:val="00D87172"/>
    <w:rsid w:val="00D8764E"/>
    <w:rsid w:val="00D92857"/>
    <w:rsid w:val="00D9380A"/>
    <w:rsid w:val="00D94019"/>
    <w:rsid w:val="00DA7E4B"/>
    <w:rsid w:val="00DB09DF"/>
    <w:rsid w:val="00DB223F"/>
    <w:rsid w:val="00DD0950"/>
    <w:rsid w:val="00DD1992"/>
    <w:rsid w:val="00DF092C"/>
    <w:rsid w:val="00DF4642"/>
    <w:rsid w:val="00DF5752"/>
    <w:rsid w:val="00DF6529"/>
    <w:rsid w:val="00DF7011"/>
    <w:rsid w:val="00E0651F"/>
    <w:rsid w:val="00E11E64"/>
    <w:rsid w:val="00E252EF"/>
    <w:rsid w:val="00E26953"/>
    <w:rsid w:val="00E27552"/>
    <w:rsid w:val="00E337BA"/>
    <w:rsid w:val="00E36E8E"/>
    <w:rsid w:val="00E420F0"/>
    <w:rsid w:val="00E42E7C"/>
    <w:rsid w:val="00E46769"/>
    <w:rsid w:val="00E51211"/>
    <w:rsid w:val="00E54E00"/>
    <w:rsid w:val="00E64AA9"/>
    <w:rsid w:val="00E65EA1"/>
    <w:rsid w:val="00E6671D"/>
    <w:rsid w:val="00E672A6"/>
    <w:rsid w:val="00E72314"/>
    <w:rsid w:val="00E74D0E"/>
    <w:rsid w:val="00E762E2"/>
    <w:rsid w:val="00E81E21"/>
    <w:rsid w:val="00E8743B"/>
    <w:rsid w:val="00E93179"/>
    <w:rsid w:val="00E96F1E"/>
    <w:rsid w:val="00EA411A"/>
    <w:rsid w:val="00EA73CF"/>
    <w:rsid w:val="00EA74C2"/>
    <w:rsid w:val="00EB4619"/>
    <w:rsid w:val="00EC01B5"/>
    <w:rsid w:val="00EC2E53"/>
    <w:rsid w:val="00EC58A1"/>
    <w:rsid w:val="00EC7B57"/>
    <w:rsid w:val="00ED0C66"/>
    <w:rsid w:val="00ED1B65"/>
    <w:rsid w:val="00ED3338"/>
    <w:rsid w:val="00ED749B"/>
    <w:rsid w:val="00EE13DA"/>
    <w:rsid w:val="00EE77C5"/>
    <w:rsid w:val="00F006C4"/>
    <w:rsid w:val="00F013BF"/>
    <w:rsid w:val="00F0428D"/>
    <w:rsid w:val="00F06456"/>
    <w:rsid w:val="00F123D4"/>
    <w:rsid w:val="00F12C88"/>
    <w:rsid w:val="00F13FC9"/>
    <w:rsid w:val="00F1535A"/>
    <w:rsid w:val="00F15C25"/>
    <w:rsid w:val="00F171DD"/>
    <w:rsid w:val="00F17968"/>
    <w:rsid w:val="00F203F6"/>
    <w:rsid w:val="00F300B9"/>
    <w:rsid w:val="00F318DD"/>
    <w:rsid w:val="00F3573B"/>
    <w:rsid w:val="00F42384"/>
    <w:rsid w:val="00F52F3F"/>
    <w:rsid w:val="00F53B36"/>
    <w:rsid w:val="00F555CE"/>
    <w:rsid w:val="00F60D49"/>
    <w:rsid w:val="00F61046"/>
    <w:rsid w:val="00F630EB"/>
    <w:rsid w:val="00F64AD1"/>
    <w:rsid w:val="00F72A51"/>
    <w:rsid w:val="00F72F54"/>
    <w:rsid w:val="00F73BD0"/>
    <w:rsid w:val="00F740DF"/>
    <w:rsid w:val="00F772EB"/>
    <w:rsid w:val="00F8037B"/>
    <w:rsid w:val="00F8333D"/>
    <w:rsid w:val="00F942E7"/>
    <w:rsid w:val="00FA24B7"/>
    <w:rsid w:val="00FA2BD2"/>
    <w:rsid w:val="00FA7A5D"/>
    <w:rsid w:val="00FB035F"/>
    <w:rsid w:val="00FB6152"/>
    <w:rsid w:val="00FC413D"/>
    <w:rsid w:val="00FD302A"/>
    <w:rsid w:val="00FD4AD6"/>
    <w:rsid w:val="00FE040A"/>
    <w:rsid w:val="00FE2CAB"/>
    <w:rsid w:val="00FE3FDB"/>
    <w:rsid w:val="00FE4D90"/>
    <w:rsid w:val="00FE731F"/>
    <w:rsid w:val="00FF0509"/>
    <w:rsid w:val="00FF15B7"/>
    <w:rsid w:val="00FF4AAB"/>
    <w:rsid w:val="00FF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B24E3A"/>
  <w15:docId w15:val="{0961245B-7DC6-4E18-BDFF-7CE59EA0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1D5"/>
  </w:style>
  <w:style w:type="paragraph" w:styleId="Footer">
    <w:name w:val="footer"/>
    <w:basedOn w:val="Normal"/>
    <w:link w:val="FooterChar"/>
    <w:uiPriority w:val="99"/>
    <w:unhideWhenUsed/>
    <w:rsid w:val="00061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1D5"/>
  </w:style>
  <w:style w:type="character" w:styleId="LineNumber">
    <w:name w:val="line number"/>
    <w:basedOn w:val="DefaultParagraphFont"/>
    <w:uiPriority w:val="99"/>
    <w:semiHidden/>
    <w:unhideWhenUsed/>
    <w:rsid w:val="000611D5"/>
  </w:style>
  <w:style w:type="character" w:styleId="Hyperlink">
    <w:name w:val="Hyperlink"/>
    <w:basedOn w:val="DefaultParagraphFont"/>
    <w:uiPriority w:val="99"/>
    <w:unhideWhenUsed/>
    <w:rsid w:val="00314931"/>
    <w:rPr>
      <w:color w:val="0000FF" w:themeColor="hyperlink"/>
      <w:u w:val="single"/>
    </w:rPr>
  </w:style>
  <w:style w:type="character" w:styleId="CommentReference">
    <w:name w:val="annotation reference"/>
    <w:basedOn w:val="DefaultParagraphFont"/>
    <w:uiPriority w:val="99"/>
    <w:semiHidden/>
    <w:unhideWhenUsed/>
    <w:rsid w:val="002738C9"/>
    <w:rPr>
      <w:sz w:val="16"/>
      <w:szCs w:val="16"/>
    </w:rPr>
  </w:style>
  <w:style w:type="paragraph" w:styleId="CommentText">
    <w:name w:val="annotation text"/>
    <w:basedOn w:val="Normal"/>
    <w:link w:val="CommentTextChar"/>
    <w:uiPriority w:val="99"/>
    <w:unhideWhenUsed/>
    <w:rsid w:val="002738C9"/>
    <w:pPr>
      <w:spacing w:line="240" w:lineRule="auto"/>
    </w:pPr>
    <w:rPr>
      <w:sz w:val="20"/>
      <w:szCs w:val="20"/>
    </w:rPr>
  </w:style>
  <w:style w:type="character" w:customStyle="1" w:styleId="CommentTextChar">
    <w:name w:val="Comment Text Char"/>
    <w:basedOn w:val="DefaultParagraphFont"/>
    <w:link w:val="CommentText"/>
    <w:uiPriority w:val="99"/>
    <w:rsid w:val="002738C9"/>
    <w:rPr>
      <w:sz w:val="20"/>
      <w:szCs w:val="20"/>
    </w:rPr>
  </w:style>
  <w:style w:type="paragraph" w:styleId="CommentSubject">
    <w:name w:val="annotation subject"/>
    <w:basedOn w:val="CommentText"/>
    <w:next w:val="CommentText"/>
    <w:link w:val="CommentSubjectChar"/>
    <w:uiPriority w:val="99"/>
    <w:semiHidden/>
    <w:unhideWhenUsed/>
    <w:rsid w:val="002738C9"/>
    <w:rPr>
      <w:b/>
      <w:bCs/>
    </w:rPr>
  </w:style>
  <w:style w:type="character" w:customStyle="1" w:styleId="CommentSubjectChar">
    <w:name w:val="Comment Subject Char"/>
    <w:basedOn w:val="CommentTextChar"/>
    <w:link w:val="CommentSubject"/>
    <w:uiPriority w:val="99"/>
    <w:semiHidden/>
    <w:rsid w:val="002738C9"/>
    <w:rPr>
      <w:b/>
      <w:bCs/>
      <w:sz w:val="20"/>
      <w:szCs w:val="20"/>
    </w:rPr>
  </w:style>
  <w:style w:type="paragraph" w:styleId="BalloonText">
    <w:name w:val="Balloon Text"/>
    <w:basedOn w:val="Normal"/>
    <w:link w:val="BalloonTextChar"/>
    <w:uiPriority w:val="99"/>
    <w:semiHidden/>
    <w:unhideWhenUsed/>
    <w:rsid w:val="00273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8C9"/>
    <w:rPr>
      <w:rFonts w:ascii="Segoe UI" w:hAnsi="Segoe UI" w:cs="Segoe UI"/>
      <w:sz w:val="18"/>
      <w:szCs w:val="18"/>
    </w:rPr>
  </w:style>
  <w:style w:type="table" w:styleId="TableGrid">
    <w:name w:val="Table Grid"/>
    <w:basedOn w:val="TableNormal"/>
    <w:uiPriority w:val="59"/>
    <w:unhideWhenUsed/>
    <w:rsid w:val="00087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8720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023C6E"/>
    <w:pPr>
      <w:spacing w:after="0" w:line="240" w:lineRule="auto"/>
    </w:pPr>
  </w:style>
  <w:style w:type="paragraph" w:styleId="ListParagraph">
    <w:name w:val="List Paragraph"/>
    <w:basedOn w:val="Normal"/>
    <w:uiPriority w:val="34"/>
    <w:qFormat/>
    <w:rsid w:val="00A70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19950">
      <w:bodyDiv w:val="1"/>
      <w:marLeft w:val="0"/>
      <w:marRight w:val="0"/>
      <w:marTop w:val="0"/>
      <w:marBottom w:val="0"/>
      <w:divBdr>
        <w:top w:val="none" w:sz="0" w:space="0" w:color="auto"/>
        <w:left w:val="none" w:sz="0" w:space="0" w:color="auto"/>
        <w:bottom w:val="none" w:sz="0" w:space="0" w:color="auto"/>
        <w:right w:val="none" w:sz="0" w:space="0" w:color="auto"/>
      </w:divBdr>
    </w:div>
    <w:div w:id="11087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1662E-2006-4AAB-B58A-9586ED8E062C}">
  <ds:schemaRefs>
    <ds:schemaRef ds:uri="http://schemas.openxmlformats.org/officeDocument/2006/bibliography"/>
  </ds:schemaRefs>
</ds:datastoreItem>
</file>

<file path=customXml/itemProps2.xml><?xml version="1.0" encoding="utf-8"?>
<ds:datastoreItem xmlns:ds="http://schemas.openxmlformats.org/officeDocument/2006/customXml" ds:itemID="{0B0CBB33-5B1B-46F4-BB4D-304F9DAE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22734</Words>
  <Characters>129588</Characters>
  <Application>Microsoft Office Word</Application>
  <DocSecurity>0</DocSecurity>
  <Lines>1079</Lines>
  <Paragraphs>304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Royal Marsden Hospital (NHS Foundation Trust)</Company>
  <LinksUpToDate>false</LinksUpToDate>
  <CharactersWithSpaces>152018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Lidington, Emma</dc:creator>
  <cp:lastModifiedBy>Emma Lidington</cp:lastModifiedBy>
  <cp:revision>5</cp:revision>
  <cp:lastPrinted>2019-12-20T17:44:00Z</cp:lastPrinted>
  <dcterms:created xsi:type="dcterms:W3CDTF">2021-02-18T12:27:00Z</dcterms:created>
  <dcterms:modified xsi:type="dcterms:W3CDTF">2021-04-13T13:37:00Z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http://csl.mendeley.com/styles/512510611/apa-6th-edition-2-removehttps</vt:lpwstr>
  </property>
  <property fmtid="{D5CDD505-2E9C-101B-9397-08002B2CF9AE}" pid="5" name="Mendeley Recent Style Name 1_1">
    <vt:lpwstr>American Psychological Association 6th edition - Emma Lidington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http://www.zotero.org/styles/clinical-oncology</vt:lpwstr>
  </property>
  <property fmtid="{D5CDD505-2E9C-101B-9397-08002B2CF9AE}" pid="13" name="Mendeley Recent Style Name 5_1">
    <vt:lpwstr>Clinical Oncology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http://csl.mendeley.com/styles/512510611/vancouver-Emma</vt:lpwstr>
  </property>
  <property fmtid="{D5CDD505-2E9C-101B-9397-08002B2CF9AE}" pid="19" name="Mendeley Recent Style Name 8_1">
    <vt:lpwstr>Vancouver - Emma Lidington</vt:lpwstr>
  </property>
  <property fmtid="{D5CDD505-2E9C-101B-9397-08002B2CF9AE}" pid="20" name="Mendeley Recent Style Id 9_1">
    <vt:lpwstr>http://csl.mendeley.com/styles/512510611/vancouver-Emma-brackets</vt:lpwstr>
  </property>
  <property fmtid="{D5CDD505-2E9C-101B-9397-08002B2CF9AE}" pid="21" name="Mendeley Recent Style Name 9_1">
    <vt:lpwstr>Vancouver - Emma Lidington - text ref brackets</vt:lpwstr>
  </property>
  <property fmtid="{D5CDD505-2E9C-101B-9397-08002B2CF9AE}" pid="22" name="Mendeley Document_1">
    <vt:lpwstr>True</vt:lpwstr>
  </property>
  <property fmtid="{D5CDD505-2E9C-101B-9397-08002B2CF9AE}" pid="23" name="Mendeley Unique User Id_1">
    <vt:lpwstr>5a0d8d5a-4b83-3e5e-8e37-a1261c6d1d1d</vt:lpwstr>
  </property>
  <property fmtid="{D5CDD505-2E9C-101B-9397-08002B2CF9AE}" pid="24" name="Mendeley Citation Style_1">
    <vt:lpwstr>http://csl.mendeley.com/styles/512510611/apa-6th-edition-2-removehttps</vt:lpwstr>
  </property>
</Properties>
</file>