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7144A" w14:textId="77777777" w:rsidR="00532C03" w:rsidRPr="005A54C3" w:rsidRDefault="00E8712F">
      <w:pPr>
        <w:spacing w:before="240" w:after="240"/>
        <w:rPr>
          <w:rFonts w:asciiTheme="majorBidi" w:hAnsiTheme="majorBidi" w:cstheme="majorBidi"/>
          <w:b/>
        </w:rPr>
      </w:pPr>
      <w:r w:rsidRPr="005A54C3">
        <w:rPr>
          <w:rFonts w:asciiTheme="majorBidi" w:hAnsiTheme="majorBidi" w:cstheme="majorBidi"/>
          <w:b/>
        </w:rPr>
        <w:t>Abstract</w:t>
      </w:r>
    </w:p>
    <w:p w14:paraId="68422609" w14:textId="77777777" w:rsidR="00532C03" w:rsidRPr="005A54C3" w:rsidRDefault="00E8712F">
      <w:pPr>
        <w:spacing w:before="240" w:after="240"/>
        <w:rPr>
          <w:rFonts w:asciiTheme="majorBidi" w:hAnsiTheme="majorBidi" w:cstheme="majorBidi"/>
        </w:rPr>
      </w:pPr>
      <w:r w:rsidRPr="005A54C3">
        <w:rPr>
          <w:rFonts w:asciiTheme="majorBidi" w:hAnsiTheme="majorBidi" w:cstheme="majorBidi"/>
          <w:b/>
        </w:rPr>
        <w:t xml:space="preserve">Objective: </w:t>
      </w:r>
      <w:r w:rsidRPr="005A54C3">
        <w:rPr>
          <w:rFonts w:asciiTheme="majorBidi" w:hAnsiTheme="majorBidi" w:cstheme="majorBidi"/>
        </w:rPr>
        <w:t xml:space="preserve">Patients with ADHD were found to be at increased risk of acquiring COVID-19. The present study assessed the possibility that ADHD is also a risk factor for greater severity of COVID-19 infection. </w:t>
      </w:r>
    </w:p>
    <w:p w14:paraId="4CBA083A" w14:textId="77777777" w:rsidR="00532C03" w:rsidRPr="005A54C3" w:rsidRDefault="00E8712F">
      <w:pPr>
        <w:spacing w:before="240" w:after="240"/>
        <w:rPr>
          <w:rFonts w:asciiTheme="majorBidi" w:hAnsiTheme="majorBidi" w:cstheme="majorBidi"/>
        </w:rPr>
      </w:pPr>
      <w:r w:rsidRPr="005A54C3">
        <w:rPr>
          <w:rFonts w:asciiTheme="majorBidi" w:hAnsiTheme="majorBidi" w:cstheme="majorBidi"/>
          <w:b/>
        </w:rPr>
        <w:t>Method:</w:t>
      </w:r>
      <w:r w:rsidRPr="005A54C3">
        <w:rPr>
          <w:rFonts w:asciiTheme="majorBidi" w:hAnsiTheme="majorBidi" w:cstheme="majorBidi"/>
        </w:rPr>
        <w:t xml:space="preserve"> We assessed 1870 COVID-19 positive patients, aged 5-60 years, registered in the database of </w:t>
      </w:r>
      <w:proofErr w:type="spellStart"/>
      <w:r w:rsidRPr="005A54C3">
        <w:rPr>
          <w:rFonts w:asciiTheme="majorBidi" w:hAnsiTheme="majorBidi" w:cstheme="majorBidi"/>
        </w:rPr>
        <w:t>Leumit</w:t>
      </w:r>
      <w:proofErr w:type="spellEnd"/>
      <w:r w:rsidRPr="005A54C3">
        <w:rPr>
          <w:rFonts w:asciiTheme="majorBidi" w:hAnsiTheme="majorBidi" w:cstheme="majorBidi"/>
        </w:rPr>
        <w:t xml:space="preserve"> Health Services (LHS, Israel), February-June, 2020, of whom 231 with ADHD. Logistic regression analysis models evaluated the association between ADHD and the dependent variables of being symptomatic/referral to hospitalization, controlling for demographic and medical variables.</w:t>
      </w:r>
    </w:p>
    <w:p w14:paraId="17DA748F" w14:textId="77777777" w:rsidR="00532C03" w:rsidRPr="005A54C3" w:rsidRDefault="00E8712F">
      <w:pPr>
        <w:rPr>
          <w:rFonts w:asciiTheme="majorBidi" w:hAnsiTheme="majorBidi" w:cstheme="majorBidi"/>
          <w:b/>
          <w:i/>
        </w:rPr>
      </w:pPr>
      <w:r w:rsidRPr="005A54C3">
        <w:rPr>
          <w:rFonts w:asciiTheme="majorBidi" w:hAnsiTheme="majorBidi" w:cstheme="majorBidi"/>
          <w:b/>
        </w:rPr>
        <w:t xml:space="preserve">Results: </w:t>
      </w:r>
      <w:r w:rsidRPr="005A54C3">
        <w:rPr>
          <w:rFonts w:asciiTheme="majorBidi" w:hAnsiTheme="majorBidi" w:cstheme="majorBidi"/>
          <w:sz w:val="25"/>
          <w:szCs w:val="25"/>
        </w:rPr>
        <w:t>Age, male sex and BMI were confirmed to be significant risk factors for increased COVID-19 severity. ADHD was found to be associated with increased severity of COVID-19 symptoms (</w:t>
      </w:r>
      <w:r w:rsidRPr="005A54C3">
        <w:rPr>
          <w:rFonts w:asciiTheme="majorBidi" w:hAnsiTheme="majorBidi" w:cstheme="majorBidi"/>
          <w:i/>
          <w:iCs/>
          <w:sz w:val="25"/>
          <w:szCs w:val="25"/>
        </w:rPr>
        <w:t>OR</w:t>
      </w:r>
      <w:r w:rsidRPr="005A54C3">
        <w:rPr>
          <w:rFonts w:asciiTheme="majorBidi" w:hAnsiTheme="majorBidi" w:cstheme="majorBidi"/>
          <w:sz w:val="25"/>
          <w:szCs w:val="25"/>
        </w:rPr>
        <w:t>= 1.81,</w:t>
      </w:r>
      <w:r w:rsidRPr="005A54C3">
        <w:rPr>
          <w:rFonts w:asciiTheme="majorBidi" w:hAnsiTheme="majorBidi" w:cstheme="majorBidi"/>
        </w:rPr>
        <w:t xml:space="preserve">95%CI [1.29,2.52], </w:t>
      </w:r>
      <w:r w:rsidRPr="005A54C3">
        <w:rPr>
          <w:rFonts w:asciiTheme="majorBidi" w:hAnsiTheme="majorBidi" w:cstheme="majorBidi"/>
          <w:i/>
          <w:iCs/>
        </w:rPr>
        <w:t>p</w:t>
      </w:r>
      <w:r w:rsidRPr="005A54C3">
        <w:rPr>
          <w:rFonts w:asciiTheme="majorBidi" w:hAnsiTheme="majorBidi" w:cstheme="majorBidi"/>
        </w:rPr>
        <w:t>&lt;.05)</w:t>
      </w:r>
      <w:r w:rsidRPr="005A54C3">
        <w:rPr>
          <w:rFonts w:asciiTheme="majorBidi" w:hAnsiTheme="majorBidi" w:cstheme="majorBidi"/>
          <w:sz w:val="25"/>
          <w:szCs w:val="25"/>
        </w:rPr>
        <w:t xml:space="preserve"> and referral to hospitalization (</w:t>
      </w:r>
      <w:r w:rsidRPr="005A54C3">
        <w:rPr>
          <w:rFonts w:asciiTheme="majorBidi" w:hAnsiTheme="majorBidi" w:cstheme="majorBidi"/>
          <w:i/>
          <w:iCs/>
          <w:sz w:val="25"/>
          <w:szCs w:val="25"/>
        </w:rPr>
        <w:t>OR</w:t>
      </w:r>
      <w:r w:rsidRPr="005A54C3">
        <w:rPr>
          <w:rFonts w:asciiTheme="majorBidi" w:hAnsiTheme="majorBidi" w:cstheme="majorBidi"/>
          <w:sz w:val="25"/>
          <w:szCs w:val="25"/>
        </w:rPr>
        <w:t xml:space="preserve"> =1.93,</w:t>
      </w:r>
      <w:r w:rsidRPr="005A54C3">
        <w:rPr>
          <w:rFonts w:asciiTheme="majorBidi" w:hAnsiTheme="majorBidi" w:cstheme="majorBidi"/>
        </w:rPr>
        <w:t xml:space="preserve">95%CI [1.06, 3.51, </w:t>
      </w:r>
      <w:r w:rsidRPr="005A54C3">
        <w:rPr>
          <w:rFonts w:asciiTheme="majorBidi" w:hAnsiTheme="majorBidi" w:cstheme="majorBidi"/>
          <w:i/>
          <w:iCs/>
        </w:rPr>
        <w:t>p</w:t>
      </w:r>
      <w:r w:rsidRPr="005A54C3">
        <w:rPr>
          <w:rFonts w:asciiTheme="majorBidi" w:hAnsiTheme="majorBidi" w:cstheme="majorBidi"/>
        </w:rPr>
        <w:t>=.03).</w:t>
      </w:r>
    </w:p>
    <w:p w14:paraId="32B66379" w14:textId="77777777" w:rsidR="00532C03" w:rsidRPr="005A54C3" w:rsidRDefault="00E8712F">
      <w:pPr>
        <w:rPr>
          <w:rFonts w:asciiTheme="majorBidi" w:hAnsiTheme="majorBidi" w:cstheme="majorBidi"/>
        </w:rPr>
      </w:pPr>
      <w:r w:rsidRPr="005A54C3">
        <w:rPr>
          <w:rFonts w:asciiTheme="majorBidi" w:hAnsiTheme="majorBidi" w:cstheme="majorBidi"/>
          <w:sz w:val="25"/>
          <w:szCs w:val="25"/>
        </w:rPr>
        <w:t xml:space="preserve"> </w:t>
      </w:r>
      <w:r w:rsidRPr="005A54C3">
        <w:rPr>
          <w:rFonts w:asciiTheme="majorBidi" w:hAnsiTheme="majorBidi" w:cstheme="majorBidi"/>
          <w:b/>
        </w:rPr>
        <w:t xml:space="preserve">Conclusion: </w:t>
      </w:r>
      <w:r w:rsidRPr="005A54C3">
        <w:rPr>
          <w:rFonts w:asciiTheme="majorBidi" w:hAnsiTheme="majorBidi" w:cstheme="majorBidi"/>
        </w:rPr>
        <w:t xml:space="preserve">ADHD is associated with poorer outcomes in COVID-19 infection. </w:t>
      </w:r>
    </w:p>
    <w:p w14:paraId="1A12E46A" w14:textId="77777777" w:rsidR="00532C03" w:rsidRPr="005A54C3" w:rsidRDefault="00E8712F">
      <w:pPr>
        <w:rPr>
          <w:rFonts w:asciiTheme="majorBidi" w:hAnsiTheme="majorBidi" w:cstheme="majorBidi"/>
        </w:rPr>
      </w:pPr>
      <w:r w:rsidRPr="005A54C3">
        <w:rPr>
          <w:rFonts w:asciiTheme="majorBidi" w:hAnsiTheme="majorBidi" w:cstheme="majorBidi"/>
          <w:i/>
        </w:rPr>
        <w:t>Keywords</w:t>
      </w:r>
      <w:r w:rsidRPr="005A54C3">
        <w:rPr>
          <w:rFonts w:asciiTheme="majorBidi" w:hAnsiTheme="majorBidi" w:cstheme="majorBidi"/>
        </w:rPr>
        <w:t>: ADHD, COVID-19, symptom severity, referral to hospitalization</w:t>
      </w:r>
    </w:p>
    <w:p w14:paraId="61D1669C" w14:textId="77777777" w:rsidR="00532C03" w:rsidRPr="005A54C3" w:rsidRDefault="00532C03">
      <w:pPr>
        <w:rPr>
          <w:rFonts w:asciiTheme="majorBidi" w:hAnsiTheme="majorBidi" w:cstheme="majorBidi"/>
        </w:rPr>
      </w:pPr>
    </w:p>
    <w:p w14:paraId="395A600A" w14:textId="77777777" w:rsidR="00532C03" w:rsidRPr="005A54C3" w:rsidRDefault="00532C03">
      <w:pPr>
        <w:rPr>
          <w:rFonts w:asciiTheme="majorBidi" w:hAnsiTheme="majorBidi" w:cstheme="majorBidi"/>
        </w:rPr>
      </w:pPr>
    </w:p>
    <w:p w14:paraId="5B2332A7" w14:textId="77777777" w:rsidR="00532C03" w:rsidRPr="005A54C3" w:rsidRDefault="00E8712F">
      <w:pPr>
        <w:pStyle w:val="Heading1"/>
        <w:jc w:val="left"/>
        <w:rPr>
          <w:rFonts w:asciiTheme="majorBidi" w:hAnsiTheme="majorBidi" w:cstheme="majorBidi"/>
        </w:rPr>
      </w:pPr>
      <w:bookmarkStart w:id="0" w:name="_heading=h.egppx6244dno" w:colFirst="0" w:colLast="0"/>
      <w:bookmarkEnd w:id="0"/>
      <w:r w:rsidRPr="005A54C3">
        <w:rPr>
          <w:rFonts w:asciiTheme="majorBidi" w:hAnsiTheme="majorBidi" w:cstheme="majorBidi"/>
        </w:rPr>
        <w:br w:type="page"/>
      </w:r>
    </w:p>
    <w:p w14:paraId="705B1465" w14:textId="77777777" w:rsidR="00532C03" w:rsidRPr="005A54C3" w:rsidRDefault="00E8712F">
      <w:pPr>
        <w:pStyle w:val="Heading1"/>
        <w:jc w:val="left"/>
        <w:rPr>
          <w:rFonts w:asciiTheme="majorBidi" w:hAnsiTheme="majorBidi" w:cstheme="majorBidi"/>
        </w:rPr>
      </w:pPr>
      <w:bookmarkStart w:id="1" w:name="_heading=h.chcac5epsca2" w:colFirst="0" w:colLast="0"/>
      <w:bookmarkEnd w:id="1"/>
      <w:r w:rsidRPr="005A54C3">
        <w:rPr>
          <w:rFonts w:asciiTheme="majorBidi" w:hAnsiTheme="majorBidi" w:cstheme="majorBidi"/>
        </w:rPr>
        <w:lastRenderedPageBreak/>
        <w:t>Introduction</w:t>
      </w:r>
    </w:p>
    <w:p w14:paraId="712A5DD3" w14:textId="77777777" w:rsidR="00532C03" w:rsidRPr="005A54C3" w:rsidRDefault="00E8712F">
      <w:pPr>
        <w:ind w:firstLine="720"/>
        <w:rPr>
          <w:rFonts w:asciiTheme="majorBidi" w:hAnsiTheme="majorBidi" w:cstheme="majorBidi"/>
        </w:rPr>
      </w:pPr>
      <w:r w:rsidRPr="005A54C3">
        <w:rPr>
          <w:rFonts w:asciiTheme="majorBidi" w:hAnsiTheme="majorBidi" w:cstheme="majorBidi"/>
        </w:rPr>
        <w:t xml:space="preserve">The COVID-19 pandemic has been associated with a global healthcare crisis. One of the unique features of the COVID-19 pandemic has been the extraordinary interindividual variability in presentation. Between 30 and 58% of COVID-19 infections are asymptomatic (Oran &amp; </w:t>
      </w:r>
      <w:proofErr w:type="spellStart"/>
      <w:r w:rsidRPr="005A54C3">
        <w:rPr>
          <w:rFonts w:asciiTheme="majorBidi" w:hAnsiTheme="majorBidi" w:cstheme="majorBidi"/>
        </w:rPr>
        <w:t>Topol</w:t>
      </w:r>
      <w:proofErr w:type="spellEnd"/>
      <w:r w:rsidRPr="005A54C3">
        <w:rPr>
          <w:rFonts w:asciiTheme="majorBidi" w:hAnsiTheme="majorBidi" w:cstheme="majorBidi"/>
        </w:rPr>
        <w:t xml:space="preserve">, 2020; </w:t>
      </w:r>
      <w:proofErr w:type="spellStart"/>
      <w:r w:rsidRPr="005A54C3">
        <w:rPr>
          <w:rFonts w:asciiTheme="majorBidi" w:hAnsiTheme="majorBidi" w:cstheme="majorBidi"/>
        </w:rPr>
        <w:t>Pollán</w:t>
      </w:r>
      <w:proofErr w:type="spellEnd"/>
      <w:r w:rsidRPr="005A54C3">
        <w:rPr>
          <w:rFonts w:asciiTheme="majorBidi" w:hAnsiTheme="majorBidi" w:cstheme="majorBidi"/>
        </w:rPr>
        <w:t xml:space="preserve"> et al., 2020; Sakurai et al., 2020), and a majority of patients present with a mild self-limited respiratory disease. At the other end of the spectrum, as of December 13th, 2020 COVID-19 has also led to 1.59 million deaths worldwide and the death toll continues to increase dramatically (Verity et al., 2020; World Health Organization, 2020; Wu &amp; McGoogan, 2020). Identification of risk factors for disease severity is critical to identify those who may require priority in testing, close observation, early treatment, or hospitalization and who should be prioritized for possible vaccination. Given this variability in severity and the possible dramatic course of sudden deterioration, research into </w:t>
      </w:r>
      <w:r w:rsidR="00E635D0" w:rsidRPr="005A54C3">
        <w:rPr>
          <w:rFonts w:asciiTheme="majorBidi" w:hAnsiTheme="majorBidi" w:cstheme="majorBidi"/>
        </w:rPr>
        <w:t xml:space="preserve">predictors of Covid-19 </w:t>
      </w:r>
      <w:r w:rsidRPr="005A54C3">
        <w:rPr>
          <w:rFonts w:asciiTheme="majorBidi" w:hAnsiTheme="majorBidi" w:cstheme="majorBidi"/>
        </w:rPr>
        <w:t>severity is critical to improve prevention efforts and to optimize health service delivery (Adams et al., 2020). This becomes even more significant as the strain in health care resources requires prioritizing levels of care.</w:t>
      </w:r>
    </w:p>
    <w:p w14:paraId="015E60AA" w14:textId="77777777" w:rsidR="00532C03" w:rsidRPr="005A54C3" w:rsidRDefault="00E8712F">
      <w:pPr>
        <w:ind w:firstLine="720"/>
        <w:rPr>
          <w:rFonts w:asciiTheme="majorBidi" w:hAnsiTheme="majorBidi" w:cstheme="majorBidi"/>
        </w:rPr>
      </w:pPr>
      <w:r w:rsidRPr="005A54C3">
        <w:rPr>
          <w:rFonts w:asciiTheme="majorBidi" w:hAnsiTheme="majorBidi" w:cstheme="majorBidi"/>
        </w:rPr>
        <w:t xml:space="preserve"> Known predictors of severity of COVID-19 illness include advanced age, male sex, cardiovascular disease (CVD), diabetes mellitus (DM) (</w:t>
      </w:r>
      <w:proofErr w:type="spellStart"/>
      <w:r w:rsidRPr="005A54C3">
        <w:rPr>
          <w:rFonts w:asciiTheme="majorBidi" w:hAnsiTheme="majorBidi" w:cstheme="majorBidi"/>
        </w:rPr>
        <w:t>Williomson</w:t>
      </w:r>
      <w:proofErr w:type="spellEnd"/>
      <w:r w:rsidRPr="005A54C3">
        <w:rPr>
          <w:rFonts w:asciiTheme="majorBidi" w:hAnsiTheme="majorBidi" w:cstheme="majorBidi"/>
        </w:rPr>
        <w:t xml:space="preserve"> et al., 2020), hypertension (HTN) (Deng et al., 2020), chronic obstructive pulmonary disease (COPD), cancer (Liang et al., 2020), chronic kidney disease (CKD), smoking (Reddy et al., 2020) and obesity (BMI &gt; 30 Kg/m</w:t>
      </w:r>
      <w:r w:rsidRPr="005A54C3">
        <w:rPr>
          <w:rFonts w:asciiTheme="majorBidi" w:hAnsiTheme="majorBidi" w:cstheme="majorBidi"/>
          <w:vertAlign w:val="superscript"/>
        </w:rPr>
        <w:t>2</w:t>
      </w:r>
      <w:r w:rsidRPr="005A54C3">
        <w:rPr>
          <w:rFonts w:asciiTheme="majorBidi" w:hAnsiTheme="majorBidi" w:cstheme="majorBidi"/>
        </w:rPr>
        <w:t>) (</w:t>
      </w:r>
      <w:proofErr w:type="spellStart"/>
      <w:r w:rsidRPr="005A54C3">
        <w:rPr>
          <w:rFonts w:asciiTheme="majorBidi" w:hAnsiTheme="majorBidi" w:cstheme="majorBidi"/>
        </w:rPr>
        <w:t>Petrilli</w:t>
      </w:r>
      <w:proofErr w:type="spellEnd"/>
      <w:r w:rsidRPr="005A54C3">
        <w:rPr>
          <w:rFonts w:asciiTheme="majorBidi" w:hAnsiTheme="majorBidi" w:cstheme="majorBidi"/>
        </w:rPr>
        <w:t xml:space="preserve"> et al, 2020; </w:t>
      </w:r>
      <w:proofErr w:type="spellStart"/>
      <w:r w:rsidRPr="005A54C3">
        <w:rPr>
          <w:rFonts w:asciiTheme="majorBidi" w:hAnsiTheme="majorBidi" w:cstheme="majorBidi"/>
        </w:rPr>
        <w:t>Williomson</w:t>
      </w:r>
      <w:proofErr w:type="spellEnd"/>
      <w:r w:rsidRPr="005A54C3">
        <w:rPr>
          <w:rFonts w:asciiTheme="majorBidi" w:hAnsiTheme="majorBidi" w:cstheme="majorBidi"/>
        </w:rPr>
        <w:t xml:space="preserve"> et al., 2020; Zheng et al., 2020). Epidemiological research in the United States (US) has also shown an increased risk of severe outcomes for disadvantaged populations, including low income populations, people of color, Hispanics and aboriginal populations (</w:t>
      </w:r>
      <w:proofErr w:type="spellStart"/>
      <w:r w:rsidRPr="005A54C3">
        <w:rPr>
          <w:rFonts w:asciiTheme="majorBidi" w:hAnsiTheme="majorBidi" w:cstheme="majorBidi"/>
        </w:rPr>
        <w:t>Alcendor</w:t>
      </w:r>
      <w:proofErr w:type="spellEnd"/>
      <w:r w:rsidRPr="005A54C3">
        <w:rPr>
          <w:rFonts w:asciiTheme="majorBidi" w:hAnsiTheme="majorBidi" w:cstheme="majorBidi"/>
        </w:rPr>
        <w:t xml:space="preserve">, 2020). </w:t>
      </w:r>
    </w:p>
    <w:p w14:paraId="1CAF1AB9" w14:textId="77777777" w:rsidR="00532C03" w:rsidRPr="005A54C3" w:rsidRDefault="00E8712F">
      <w:pPr>
        <w:ind w:firstLine="720"/>
        <w:rPr>
          <w:rFonts w:asciiTheme="majorBidi" w:hAnsiTheme="majorBidi" w:cstheme="majorBidi"/>
        </w:rPr>
      </w:pPr>
      <w:r w:rsidRPr="005A54C3">
        <w:rPr>
          <w:rFonts w:asciiTheme="majorBidi" w:hAnsiTheme="majorBidi" w:cstheme="majorBidi"/>
        </w:rPr>
        <w:t xml:space="preserve">Patients with mental illness in general are a high- risk population for medical conditions, (Cortese et al., 2020) raising the question of whether they may also suffer </w:t>
      </w:r>
      <w:r w:rsidRPr="005A54C3">
        <w:rPr>
          <w:rFonts w:asciiTheme="majorBidi" w:hAnsiTheme="majorBidi" w:cstheme="majorBidi"/>
        </w:rPr>
        <w:lastRenderedPageBreak/>
        <w:t>significantly worse outcomes due to COVID-19. Indeed, psychiatric populations in general are known to be high risk for adverse outcomes of infection. For instance, a large population study in Denmark suggested that a diagnosis of depression was associated with a higher 30-day mortality for those hospitalized with an infection (</w:t>
      </w:r>
      <w:proofErr w:type="spellStart"/>
      <w:r w:rsidRPr="005A54C3">
        <w:rPr>
          <w:rFonts w:asciiTheme="majorBidi" w:hAnsiTheme="majorBidi" w:cstheme="majorBidi"/>
        </w:rPr>
        <w:t>Davydow</w:t>
      </w:r>
      <w:proofErr w:type="spellEnd"/>
      <w:r w:rsidRPr="005A54C3">
        <w:rPr>
          <w:rFonts w:asciiTheme="majorBidi" w:hAnsiTheme="majorBidi" w:cstheme="majorBidi"/>
        </w:rPr>
        <w:t xml:space="preserve"> et al., 2016). This also appears true for COVID-19. For example, a psychiatric diagnosis for patients hospitalized with COVID-19 was linked to a 1.5-fold increased risk of a COVID-19-related death in comparison with COVID-19 patients who had not received a psychiatric diagnosis (Li et al., 2020). Additionally, a large analysis of US electronic health records concluded that a recent diagnosis of a mental disorder, including ADHD, was associated with both increased infection rates and increased morbidity and mortality from COVID-19 (Wang et al., 202</w:t>
      </w:r>
      <w:r w:rsidR="00D844A2" w:rsidRPr="005A54C3">
        <w:rPr>
          <w:rFonts w:asciiTheme="majorBidi" w:hAnsiTheme="majorBidi" w:cstheme="majorBidi"/>
        </w:rPr>
        <w:t>1</w:t>
      </w:r>
      <w:r w:rsidRPr="005A54C3">
        <w:rPr>
          <w:rFonts w:asciiTheme="majorBidi" w:hAnsiTheme="majorBidi" w:cstheme="majorBidi"/>
        </w:rPr>
        <w:t>).</w:t>
      </w:r>
    </w:p>
    <w:p w14:paraId="04A0F132" w14:textId="77777777" w:rsidR="00532C03" w:rsidRPr="005A54C3" w:rsidRDefault="00E8712F" w:rsidP="00222C88">
      <w:pPr>
        <w:ind w:firstLine="720"/>
        <w:rPr>
          <w:rFonts w:asciiTheme="majorBidi" w:hAnsiTheme="majorBidi" w:cstheme="majorBidi"/>
        </w:rPr>
      </w:pPr>
      <w:r w:rsidRPr="005A54C3">
        <w:rPr>
          <w:rFonts w:asciiTheme="majorBidi" w:hAnsiTheme="majorBidi" w:cstheme="majorBidi"/>
        </w:rPr>
        <w:t xml:space="preserve">ADHD is a common disorder with an </w:t>
      </w:r>
      <w:r w:rsidRPr="005A54C3">
        <w:rPr>
          <w:rFonts w:asciiTheme="majorBidi" w:hAnsiTheme="majorBidi" w:cstheme="majorBidi"/>
          <w:sz w:val="25"/>
          <w:szCs w:val="25"/>
        </w:rPr>
        <w:t>estimated worldwide pooled prevalence of between 5 and 7.5% in school aged children</w:t>
      </w:r>
      <w:r w:rsidRPr="005A54C3">
        <w:rPr>
          <w:rFonts w:asciiTheme="majorBidi" w:hAnsiTheme="majorBidi" w:cstheme="majorBidi"/>
          <w:sz w:val="28"/>
          <w:szCs w:val="28"/>
        </w:rPr>
        <w:t xml:space="preserve"> </w:t>
      </w:r>
      <w:r w:rsidRPr="005A54C3">
        <w:rPr>
          <w:rFonts w:asciiTheme="majorBidi" w:hAnsiTheme="majorBidi" w:cstheme="majorBidi"/>
        </w:rPr>
        <w:t>(Cortese &amp; Coghill, 2018)</w:t>
      </w:r>
      <w:r w:rsidRPr="005A54C3">
        <w:rPr>
          <w:rFonts w:asciiTheme="majorBidi" w:hAnsiTheme="majorBidi" w:cstheme="majorBidi"/>
          <w:sz w:val="28"/>
          <w:szCs w:val="28"/>
        </w:rPr>
        <w:t xml:space="preserve"> </w:t>
      </w:r>
      <w:r w:rsidRPr="005A54C3">
        <w:rPr>
          <w:rFonts w:asciiTheme="majorBidi" w:hAnsiTheme="majorBidi" w:cstheme="majorBidi"/>
        </w:rPr>
        <w:t>and 4.4% in adults (</w:t>
      </w:r>
      <w:proofErr w:type="spellStart"/>
      <w:r w:rsidRPr="005A54C3">
        <w:rPr>
          <w:rFonts w:asciiTheme="majorBidi" w:hAnsiTheme="majorBidi" w:cstheme="majorBidi"/>
        </w:rPr>
        <w:t>Kooij</w:t>
      </w:r>
      <w:proofErr w:type="spellEnd"/>
      <w:r w:rsidRPr="005A54C3">
        <w:rPr>
          <w:rFonts w:asciiTheme="majorBidi" w:hAnsiTheme="majorBidi" w:cstheme="majorBidi"/>
        </w:rPr>
        <w:t xml:space="preserve"> et al., 2016), although ADHD might be underdiagnosed in the adult population. ADHD is less likely to be recognized or diagnosed in the preschool (Childress &amp; Stark, 2018) or geriatric population (</w:t>
      </w:r>
      <w:proofErr w:type="spellStart"/>
      <w:r w:rsidRPr="005A54C3">
        <w:rPr>
          <w:rFonts w:asciiTheme="majorBidi" w:hAnsiTheme="majorBidi" w:cstheme="majorBidi"/>
        </w:rPr>
        <w:t>Kooij</w:t>
      </w:r>
      <w:proofErr w:type="spellEnd"/>
      <w:r w:rsidRPr="005A54C3">
        <w:rPr>
          <w:rFonts w:asciiTheme="majorBidi" w:hAnsiTheme="majorBidi" w:cstheme="majorBidi"/>
        </w:rPr>
        <w:t xml:space="preserve"> et al., 2016; </w:t>
      </w:r>
      <w:proofErr w:type="spellStart"/>
      <w:r w:rsidRPr="005A54C3">
        <w:rPr>
          <w:rFonts w:asciiTheme="majorBidi" w:hAnsiTheme="majorBidi" w:cstheme="majorBidi"/>
        </w:rPr>
        <w:t>Ojo</w:t>
      </w:r>
      <w:proofErr w:type="spellEnd"/>
      <w:r w:rsidRPr="005A54C3">
        <w:rPr>
          <w:rFonts w:asciiTheme="majorBidi" w:hAnsiTheme="majorBidi" w:cstheme="majorBidi"/>
        </w:rPr>
        <w:t xml:space="preserve"> et al., 2020). ADHD is associated with</w:t>
      </w:r>
      <w:r w:rsidR="00222C88" w:rsidRPr="005A54C3">
        <w:rPr>
          <w:rFonts w:asciiTheme="majorBidi" w:hAnsiTheme="majorBidi" w:cstheme="majorBidi"/>
        </w:rPr>
        <w:t xml:space="preserve"> significant impairment (Simon et al.,</w:t>
      </w:r>
      <w:r w:rsidRPr="005A54C3">
        <w:rPr>
          <w:rFonts w:asciiTheme="majorBidi" w:hAnsiTheme="majorBidi" w:cstheme="majorBidi"/>
        </w:rPr>
        <w:t xml:space="preserve"> 2009), poor self-care, and other health cond</w:t>
      </w:r>
      <w:r w:rsidR="00222C88" w:rsidRPr="005A54C3">
        <w:rPr>
          <w:rFonts w:asciiTheme="majorBidi" w:hAnsiTheme="majorBidi" w:cstheme="majorBidi"/>
        </w:rPr>
        <w:t>itions, such as sleep disorders</w:t>
      </w:r>
      <w:r w:rsidRPr="005A54C3">
        <w:rPr>
          <w:rFonts w:asciiTheme="majorBidi" w:hAnsiTheme="majorBidi" w:cstheme="majorBidi"/>
        </w:rPr>
        <w:t xml:space="preserve"> (Cortese et al., 2009), obesity (Cortese et al., 2016) or asthma (Cortese et al., 2018) which could lead to increased risk for deleterious COVID-19 outcomes. Adverse outcomes adults with ADHD include smoking, drug use, accidents, poor diabetes control and shortened life span (Vinker-Shuster et al., 2019). ADHD would therefore be predicted to be associated with poor COVID-19 outcome, even if only by association with other clinical correlates. Given the extent to which ADHD patients are a high-risk group on many other known and unknown variables, it may even be possible that ADHD may predict poor COVID-19 outcomes. Previous research demonstrated that untreated ADHD is a risk factor for acquiring COVID-19 (Merzon et al., 2020; Wang et al., 202</w:t>
      </w:r>
      <w:r w:rsidR="00D844A2" w:rsidRPr="005A54C3">
        <w:rPr>
          <w:rFonts w:asciiTheme="majorBidi" w:hAnsiTheme="majorBidi" w:cstheme="majorBidi"/>
        </w:rPr>
        <w:t>1</w:t>
      </w:r>
      <w:r w:rsidRPr="005A54C3">
        <w:rPr>
          <w:rFonts w:asciiTheme="majorBidi" w:hAnsiTheme="majorBidi" w:cstheme="majorBidi"/>
        </w:rPr>
        <w:t xml:space="preserve">), further suggesting the </w:t>
      </w:r>
      <w:r w:rsidRPr="005A54C3">
        <w:rPr>
          <w:rFonts w:asciiTheme="majorBidi" w:hAnsiTheme="majorBidi" w:cstheme="majorBidi"/>
        </w:rPr>
        <w:lastRenderedPageBreak/>
        <w:t>possibility that ADHD might also be a risk factor for severity of COVID-19 symptoms, but so far evidence supporting this claim is limited  Indeed, in a  recent large national US study of electronic health records Wang et al. (202</w:t>
      </w:r>
      <w:r w:rsidR="00D844A2" w:rsidRPr="005A54C3">
        <w:rPr>
          <w:rFonts w:asciiTheme="majorBidi" w:hAnsiTheme="majorBidi" w:cstheme="majorBidi"/>
        </w:rPr>
        <w:t>1</w:t>
      </w:r>
      <w:r w:rsidRPr="005A54C3">
        <w:rPr>
          <w:rFonts w:asciiTheme="majorBidi" w:hAnsiTheme="majorBidi" w:cstheme="majorBidi"/>
        </w:rPr>
        <w:t xml:space="preserve">),  found an increased risk of acquiring COVID-19 in individuals with ADHD (adjusted odds ratio: 7.31, 95% CI [6.78, 7.87], </w:t>
      </w:r>
      <w:r w:rsidRPr="005A54C3">
        <w:rPr>
          <w:rFonts w:asciiTheme="majorBidi" w:hAnsiTheme="majorBidi" w:cstheme="majorBidi"/>
          <w:i/>
          <w:iCs/>
        </w:rPr>
        <w:t>p</w:t>
      </w:r>
      <w:r w:rsidR="003D5F28" w:rsidRPr="005A54C3">
        <w:rPr>
          <w:rFonts w:asciiTheme="majorBidi" w:hAnsiTheme="majorBidi" w:cstheme="majorBidi"/>
        </w:rPr>
        <w:t xml:space="preserve"> &lt;</w:t>
      </w:r>
      <w:r w:rsidRPr="005A54C3">
        <w:rPr>
          <w:rFonts w:asciiTheme="majorBidi" w:hAnsiTheme="majorBidi" w:cstheme="majorBidi"/>
        </w:rPr>
        <w:t xml:space="preserve">.001). However, this study did not explore relative risk for death or hospitalization specific to ADHD. The study was also limited to adults older than 18 years and only 0.2% or 220 patients were described as having a recent diagnosis of ADHD, which suggests that that ADHD diagnosis was underrepresented. Given these findings suggestive of mental illness as a possible risk factor for poor COVID-19 outcome, the objective of the study reported here was to determine if ADHD is an independent risk factor for symptomatology and hospitalization with COVID-19. </w:t>
      </w:r>
    </w:p>
    <w:p w14:paraId="2D51BCCE" w14:textId="77777777" w:rsidR="00532C03" w:rsidRPr="005A54C3" w:rsidRDefault="00E8712F">
      <w:pPr>
        <w:ind w:firstLine="720"/>
        <w:rPr>
          <w:rFonts w:asciiTheme="majorBidi" w:hAnsiTheme="majorBidi" w:cstheme="majorBidi"/>
        </w:rPr>
      </w:pPr>
      <w:r w:rsidRPr="005A54C3">
        <w:rPr>
          <w:rFonts w:asciiTheme="majorBidi" w:hAnsiTheme="majorBidi" w:cstheme="majorBidi"/>
        </w:rPr>
        <w:t xml:space="preserve">We hypothesized that ADHD diagnosis would be associated with severity of COVID-19 symptoms and referral for hospitalization. </w:t>
      </w:r>
    </w:p>
    <w:p w14:paraId="33C4FE6B" w14:textId="77777777" w:rsidR="00532C03" w:rsidRPr="005A54C3" w:rsidRDefault="00E8712F">
      <w:pPr>
        <w:pStyle w:val="Heading1"/>
        <w:rPr>
          <w:rFonts w:asciiTheme="majorBidi" w:hAnsiTheme="majorBidi" w:cstheme="majorBidi"/>
        </w:rPr>
      </w:pPr>
      <w:bookmarkStart w:id="2" w:name="_heading=h.3znysh7" w:colFirst="0" w:colLast="0"/>
      <w:bookmarkEnd w:id="2"/>
      <w:r w:rsidRPr="005A54C3">
        <w:rPr>
          <w:rFonts w:asciiTheme="majorBidi" w:hAnsiTheme="majorBidi" w:cstheme="majorBidi"/>
        </w:rPr>
        <w:t>Methods</w:t>
      </w:r>
    </w:p>
    <w:p w14:paraId="27612D52" w14:textId="77777777" w:rsidR="00532C03" w:rsidRPr="005A54C3" w:rsidRDefault="00E8712F">
      <w:pPr>
        <w:spacing w:before="240" w:after="240"/>
        <w:rPr>
          <w:rFonts w:asciiTheme="majorBidi" w:hAnsiTheme="majorBidi" w:cstheme="majorBidi"/>
          <w:b/>
        </w:rPr>
      </w:pPr>
      <w:r w:rsidRPr="005A54C3">
        <w:rPr>
          <w:rFonts w:asciiTheme="majorBidi" w:hAnsiTheme="majorBidi" w:cstheme="majorBidi"/>
          <w:b/>
        </w:rPr>
        <w:t>Participants and Procedures</w:t>
      </w:r>
    </w:p>
    <w:p w14:paraId="561467D6" w14:textId="77777777" w:rsidR="00532C03" w:rsidRPr="005A54C3" w:rsidRDefault="00E8712F">
      <w:pPr>
        <w:spacing w:before="240" w:after="240"/>
        <w:ind w:firstLine="720"/>
        <w:rPr>
          <w:rFonts w:asciiTheme="majorBidi" w:hAnsiTheme="majorBidi" w:cstheme="majorBidi"/>
        </w:rPr>
      </w:pPr>
      <w:r w:rsidRPr="005A54C3">
        <w:rPr>
          <w:rFonts w:asciiTheme="majorBidi" w:hAnsiTheme="majorBidi" w:cstheme="majorBidi"/>
        </w:rPr>
        <w:t>Participants (</w:t>
      </w:r>
      <w:r w:rsidRPr="005A54C3">
        <w:rPr>
          <w:rFonts w:asciiTheme="majorBidi" w:hAnsiTheme="majorBidi" w:cstheme="majorBidi"/>
          <w:i/>
        </w:rPr>
        <w:t>N</w:t>
      </w:r>
      <w:r w:rsidRPr="005A54C3">
        <w:rPr>
          <w:rFonts w:asciiTheme="majorBidi" w:hAnsiTheme="majorBidi" w:cstheme="majorBidi"/>
        </w:rPr>
        <w:t xml:space="preserve"> = 1870) were drawn from a database of patients serviced by the </w:t>
      </w:r>
      <w:proofErr w:type="spellStart"/>
      <w:r w:rsidRPr="005A54C3">
        <w:rPr>
          <w:rFonts w:asciiTheme="majorBidi" w:hAnsiTheme="majorBidi" w:cstheme="majorBidi"/>
        </w:rPr>
        <w:t>Leumit</w:t>
      </w:r>
      <w:proofErr w:type="spellEnd"/>
      <w:r w:rsidRPr="005A54C3">
        <w:rPr>
          <w:rFonts w:asciiTheme="majorBidi" w:hAnsiTheme="majorBidi" w:cstheme="majorBidi"/>
        </w:rPr>
        <w:t xml:space="preserve"> Health Services (LHS) in Israel, which is continuously updated in relation to subjects’ demographics, medical visits, laboratory tests, medication prescriptions and hospitalizations. The study was conducted between February 1</w:t>
      </w:r>
      <w:r w:rsidRPr="005A54C3">
        <w:rPr>
          <w:rFonts w:asciiTheme="majorBidi" w:hAnsiTheme="majorBidi" w:cstheme="majorBidi"/>
          <w:vertAlign w:val="superscript"/>
        </w:rPr>
        <w:t>st</w:t>
      </w:r>
      <w:r w:rsidRPr="005A54C3">
        <w:rPr>
          <w:rFonts w:asciiTheme="majorBidi" w:hAnsiTheme="majorBidi" w:cstheme="majorBidi"/>
        </w:rPr>
        <w:t xml:space="preserve"> and June 30</w:t>
      </w:r>
      <w:r w:rsidRPr="005A54C3">
        <w:rPr>
          <w:rFonts w:asciiTheme="majorBidi" w:hAnsiTheme="majorBidi" w:cstheme="majorBidi"/>
          <w:vertAlign w:val="superscript"/>
        </w:rPr>
        <w:t>th</w:t>
      </w:r>
      <w:r w:rsidRPr="005A54C3">
        <w:rPr>
          <w:rFonts w:asciiTheme="majorBidi" w:hAnsiTheme="majorBidi" w:cstheme="majorBidi"/>
        </w:rPr>
        <w:t xml:space="preserve">, 2020. </w:t>
      </w:r>
      <w:r w:rsidRPr="005A54C3">
        <w:rPr>
          <w:rFonts w:asciiTheme="majorBidi" w:hAnsiTheme="majorBidi" w:cstheme="majorBidi"/>
          <w:color w:val="231F20"/>
        </w:rPr>
        <w:t>The study population included all the COVID-19 positive (COVID-19+) patients. All study participants had similar health insurance and similar access</w:t>
      </w:r>
      <w:r w:rsidRPr="005A54C3">
        <w:rPr>
          <w:rFonts w:asciiTheme="majorBidi" w:hAnsiTheme="majorBidi" w:cstheme="majorBidi"/>
          <w:color w:val="231F20"/>
          <w:vertAlign w:val="superscript"/>
        </w:rPr>
        <w:t xml:space="preserve"> </w:t>
      </w:r>
      <w:r w:rsidRPr="005A54C3">
        <w:rPr>
          <w:rFonts w:asciiTheme="majorBidi" w:hAnsiTheme="majorBidi" w:cstheme="majorBidi"/>
          <w:color w:val="231F20"/>
        </w:rPr>
        <w:t>to health services.</w:t>
      </w:r>
      <w:r w:rsidRPr="005A54C3">
        <w:rPr>
          <w:rFonts w:asciiTheme="majorBidi" w:hAnsiTheme="majorBidi" w:cstheme="majorBidi"/>
        </w:rPr>
        <w:t xml:space="preserve"> Data were collected from the LHS computerized database, including demographics for the entire cohort. Socioeconomic status (SES) was coded based on the patient’s home address, using the Israeli Central Bureau of Statistics’ classification, which includes 20 subgroups, with groups 1-10 classified as low-</w:t>
      </w:r>
      <w:r w:rsidRPr="005A54C3">
        <w:rPr>
          <w:rFonts w:asciiTheme="majorBidi" w:hAnsiTheme="majorBidi" w:cstheme="majorBidi"/>
        </w:rPr>
        <w:lastRenderedPageBreak/>
        <w:t xml:space="preserve">medium SES and groups 10-20 as high SES. The electronic </w:t>
      </w:r>
      <w:r w:rsidR="00756B8A" w:rsidRPr="005A54C3">
        <w:rPr>
          <w:rFonts w:asciiTheme="majorBidi" w:hAnsiTheme="majorBidi" w:cstheme="majorBidi"/>
        </w:rPr>
        <w:t>health</w:t>
      </w:r>
      <w:r w:rsidRPr="005A54C3">
        <w:rPr>
          <w:rFonts w:asciiTheme="majorBidi" w:hAnsiTheme="majorBidi" w:cstheme="majorBidi"/>
        </w:rPr>
        <w:t xml:space="preserve"> record (</w:t>
      </w:r>
      <w:r w:rsidR="00756B8A" w:rsidRPr="005A54C3">
        <w:rPr>
          <w:rFonts w:asciiTheme="majorBidi" w:hAnsiTheme="majorBidi" w:cstheme="majorBidi"/>
        </w:rPr>
        <w:t>EHR</w:t>
      </w:r>
      <w:r w:rsidRPr="005A54C3">
        <w:rPr>
          <w:rFonts w:asciiTheme="majorBidi" w:hAnsiTheme="majorBidi" w:cstheme="majorBidi"/>
        </w:rPr>
        <w:t>) and database includes whether participants reported smoking, or were diagnosed with obesity, asthma, chronic obstructive lung disease (COPD), diabetes mellitus (DM), hypertension and various other chronic medical diagnoses. Participants were limited to age</w:t>
      </w:r>
      <w:r w:rsidR="00154F8A" w:rsidRPr="005A54C3">
        <w:rPr>
          <w:rFonts w:asciiTheme="majorBidi" w:hAnsiTheme="majorBidi" w:cstheme="majorBidi"/>
        </w:rPr>
        <w:t xml:space="preserve"> range</w:t>
      </w:r>
      <w:r w:rsidRPr="005A54C3">
        <w:rPr>
          <w:rFonts w:asciiTheme="majorBidi" w:hAnsiTheme="majorBidi" w:cstheme="majorBidi"/>
        </w:rPr>
        <w:t xml:space="preserve"> of </w:t>
      </w:r>
      <w:r w:rsidR="00415482" w:rsidRPr="005A54C3">
        <w:rPr>
          <w:rFonts w:asciiTheme="majorBidi" w:hAnsiTheme="majorBidi" w:cstheme="majorBidi"/>
        </w:rPr>
        <w:t>5-60-year-old</w:t>
      </w:r>
      <w:r w:rsidR="00154F8A" w:rsidRPr="005A54C3">
        <w:rPr>
          <w:rFonts w:asciiTheme="majorBidi" w:hAnsiTheme="majorBidi" w:cstheme="majorBidi"/>
        </w:rPr>
        <w:t xml:space="preserve"> </w:t>
      </w:r>
      <w:r w:rsidRPr="005A54C3">
        <w:rPr>
          <w:rFonts w:asciiTheme="majorBidi" w:hAnsiTheme="majorBidi" w:cstheme="majorBidi"/>
        </w:rPr>
        <w:t>since this is the group which can be most reliably diagnosed with ADHD</w:t>
      </w:r>
      <w:r w:rsidR="003D5F28" w:rsidRPr="005A54C3">
        <w:rPr>
          <w:rFonts w:asciiTheme="majorBidi" w:hAnsiTheme="majorBidi" w:cstheme="majorBidi"/>
        </w:rPr>
        <w:t xml:space="preserve"> (</w:t>
      </w:r>
      <w:proofErr w:type="spellStart"/>
      <w:r w:rsidR="003D5F28" w:rsidRPr="005A54C3">
        <w:rPr>
          <w:rFonts w:asciiTheme="majorBidi" w:hAnsiTheme="majorBidi" w:cstheme="majorBidi"/>
        </w:rPr>
        <w:t>Dobrosavljevic</w:t>
      </w:r>
      <w:proofErr w:type="spellEnd"/>
      <w:r w:rsidR="003D5F28" w:rsidRPr="005A54C3">
        <w:rPr>
          <w:rFonts w:asciiTheme="majorBidi" w:hAnsiTheme="majorBidi" w:cstheme="majorBidi"/>
        </w:rPr>
        <w:t xml:space="preserve"> et al., 2020)</w:t>
      </w:r>
      <w:r w:rsidR="00802AB8" w:rsidRPr="005A54C3">
        <w:rPr>
          <w:rFonts w:asciiTheme="majorBidi" w:eastAsia="Georgia" w:hAnsiTheme="majorBidi" w:cstheme="majorBidi"/>
          <w:i/>
          <w:iCs/>
        </w:rPr>
        <w:t>.</w:t>
      </w:r>
      <w:r w:rsidRPr="005A54C3">
        <w:rPr>
          <w:rFonts w:asciiTheme="majorBidi" w:hAnsiTheme="majorBidi" w:cstheme="majorBidi"/>
        </w:rPr>
        <w:t xml:space="preserve">  </w:t>
      </w:r>
    </w:p>
    <w:p w14:paraId="67E0520C" w14:textId="77777777" w:rsidR="008057EB" w:rsidRPr="005A54C3" w:rsidRDefault="00E8712F" w:rsidP="008057EB">
      <w:pPr>
        <w:spacing w:before="240" w:after="240"/>
        <w:ind w:firstLine="720"/>
        <w:rPr>
          <w:rFonts w:asciiTheme="majorBidi" w:hAnsiTheme="majorBidi" w:cstheme="majorBidi"/>
        </w:rPr>
      </w:pPr>
      <w:r w:rsidRPr="005A54C3">
        <w:rPr>
          <w:rFonts w:asciiTheme="majorBidi" w:hAnsiTheme="majorBidi" w:cstheme="majorBidi"/>
        </w:rPr>
        <w:t>Psychiatric diagnoses in the E</w:t>
      </w:r>
      <w:r w:rsidR="004E12F3" w:rsidRPr="005A54C3">
        <w:rPr>
          <w:rFonts w:asciiTheme="majorBidi" w:hAnsiTheme="majorBidi" w:cstheme="majorBidi"/>
        </w:rPr>
        <w:t>H</w:t>
      </w:r>
      <w:r w:rsidRPr="005A54C3">
        <w:rPr>
          <w:rFonts w:asciiTheme="majorBidi" w:hAnsiTheme="majorBidi" w:cstheme="majorBidi"/>
        </w:rPr>
        <w:t xml:space="preserve">R </w:t>
      </w:r>
      <w:r w:rsidR="00415482" w:rsidRPr="005A54C3">
        <w:rPr>
          <w:rFonts w:asciiTheme="majorBidi" w:hAnsiTheme="majorBidi" w:cstheme="majorBidi"/>
        </w:rPr>
        <w:t>included</w:t>
      </w:r>
      <w:r w:rsidRPr="005A54C3">
        <w:rPr>
          <w:rFonts w:asciiTheme="majorBidi" w:hAnsiTheme="majorBidi" w:cstheme="majorBidi"/>
        </w:rPr>
        <w:t xml:space="preserve"> depression/anxiety and schizophrenia as per the International Classification of Disease, ninth revision (ICD-9) or tenth revision (ICD-10) codes. </w:t>
      </w:r>
      <w:r w:rsidR="008057EB" w:rsidRPr="005A54C3">
        <w:rPr>
          <w:rFonts w:asciiTheme="majorBidi" w:hAnsiTheme="majorBidi" w:cstheme="majorBidi"/>
        </w:rPr>
        <w:t xml:space="preserve">A limitation of the EHR was that depression and anxiety were combined together as one entity, thus </w:t>
      </w:r>
      <w:r w:rsidR="008057EB" w:rsidRPr="005A54C3">
        <w:rPr>
          <w:rFonts w:asciiTheme="majorBidi" w:hAnsiTheme="majorBidi" w:cstheme="majorBidi"/>
          <w:bCs/>
          <w:sz w:val="22"/>
          <w:szCs w:val="22"/>
        </w:rPr>
        <w:t>depression and anxiety were not differentiated in the EHR to separate clinical entities.</w:t>
      </w:r>
    </w:p>
    <w:p w14:paraId="23B87BAA" w14:textId="77777777" w:rsidR="00532C03" w:rsidRPr="005A54C3" w:rsidRDefault="00E8712F">
      <w:pPr>
        <w:spacing w:before="240" w:after="240"/>
        <w:ind w:firstLine="720"/>
        <w:rPr>
          <w:rFonts w:asciiTheme="majorBidi" w:hAnsiTheme="majorBidi" w:cstheme="majorBidi"/>
        </w:rPr>
      </w:pPr>
      <w:r w:rsidRPr="005A54C3">
        <w:rPr>
          <w:rFonts w:asciiTheme="majorBidi" w:hAnsiTheme="majorBidi" w:cstheme="majorBidi"/>
        </w:rPr>
        <w:t>Diagnosis of ADHD was based on the American Psychiatric Association’s Diagnostic and Statistical Manual</w:t>
      </w:r>
      <w:r w:rsidR="00415482" w:rsidRPr="005A54C3">
        <w:rPr>
          <w:rFonts w:asciiTheme="majorBidi" w:hAnsiTheme="majorBidi" w:cstheme="majorBidi"/>
        </w:rPr>
        <w:t>s</w:t>
      </w:r>
      <w:r w:rsidRPr="005A54C3">
        <w:rPr>
          <w:rFonts w:asciiTheme="majorBidi" w:hAnsiTheme="majorBidi" w:cstheme="majorBidi"/>
        </w:rPr>
        <w:t xml:space="preserve"> 4</w:t>
      </w:r>
      <w:r w:rsidRPr="005A54C3">
        <w:rPr>
          <w:rFonts w:asciiTheme="majorBidi" w:hAnsiTheme="majorBidi" w:cstheme="majorBidi"/>
          <w:vertAlign w:val="superscript"/>
        </w:rPr>
        <w:t>th</w:t>
      </w:r>
      <w:r w:rsidRPr="005A54C3">
        <w:rPr>
          <w:rFonts w:asciiTheme="majorBidi" w:hAnsiTheme="majorBidi" w:cstheme="majorBidi"/>
        </w:rPr>
        <w:t xml:space="preserve"> or 5</w:t>
      </w:r>
      <w:r w:rsidRPr="005A54C3">
        <w:rPr>
          <w:rFonts w:asciiTheme="majorBidi" w:hAnsiTheme="majorBidi" w:cstheme="majorBidi"/>
          <w:vertAlign w:val="superscript"/>
        </w:rPr>
        <w:t>th</w:t>
      </w:r>
      <w:r w:rsidRPr="005A54C3">
        <w:rPr>
          <w:rFonts w:asciiTheme="majorBidi" w:hAnsiTheme="majorBidi" w:cstheme="majorBidi"/>
        </w:rPr>
        <w:t xml:space="preserve"> </w:t>
      </w:r>
      <w:r w:rsidR="00415482" w:rsidRPr="005A54C3">
        <w:rPr>
          <w:rFonts w:asciiTheme="majorBidi" w:hAnsiTheme="majorBidi" w:cstheme="majorBidi"/>
        </w:rPr>
        <w:t>edition, depending</w:t>
      </w:r>
      <w:r w:rsidRPr="005A54C3">
        <w:rPr>
          <w:rFonts w:asciiTheme="majorBidi" w:hAnsiTheme="majorBidi" w:cstheme="majorBidi"/>
        </w:rPr>
        <w:t xml:space="preserve"> on </w:t>
      </w:r>
      <w:r w:rsidR="00415482" w:rsidRPr="005A54C3">
        <w:rPr>
          <w:rFonts w:asciiTheme="majorBidi" w:hAnsiTheme="majorBidi" w:cstheme="majorBidi"/>
        </w:rPr>
        <w:t xml:space="preserve">the date of ADHD </w:t>
      </w:r>
      <w:r w:rsidRPr="005A54C3">
        <w:rPr>
          <w:rFonts w:asciiTheme="majorBidi" w:hAnsiTheme="majorBidi" w:cstheme="majorBidi"/>
        </w:rPr>
        <w:t xml:space="preserve">assessment. </w:t>
      </w:r>
      <w:r w:rsidR="00EE23DB" w:rsidRPr="005A54C3">
        <w:rPr>
          <w:rFonts w:asciiTheme="majorBidi" w:hAnsiTheme="majorBidi" w:cstheme="majorBidi"/>
        </w:rPr>
        <w:t xml:space="preserve">Diagnosis was </w:t>
      </w:r>
      <w:r w:rsidR="00415482" w:rsidRPr="005A54C3">
        <w:rPr>
          <w:rFonts w:asciiTheme="majorBidi" w:hAnsiTheme="majorBidi" w:cstheme="majorBidi"/>
        </w:rPr>
        <w:t>established</w:t>
      </w:r>
      <w:r w:rsidR="00EE23DB" w:rsidRPr="005A54C3">
        <w:rPr>
          <w:rFonts w:asciiTheme="majorBidi" w:hAnsiTheme="majorBidi" w:cstheme="majorBidi"/>
        </w:rPr>
        <w:t xml:space="preserve"> by </w:t>
      </w:r>
      <w:r w:rsidRPr="005A54C3">
        <w:rPr>
          <w:rFonts w:asciiTheme="majorBidi" w:hAnsiTheme="majorBidi" w:cstheme="majorBidi"/>
        </w:rPr>
        <w:t>senior physician</w:t>
      </w:r>
      <w:r w:rsidR="00EE23DB" w:rsidRPr="005A54C3">
        <w:rPr>
          <w:rFonts w:asciiTheme="majorBidi" w:hAnsiTheme="majorBidi" w:cstheme="majorBidi"/>
        </w:rPr>
        <w:t xml:space="preserve">s, </w:t>
      </w:r>
      <w:r w:rsidRPr="005A54C3">
        <w:rPr>
          <w:rFonts w:asciiTheme="majorBidi" w:hAnsiTheme="majorBidi" w:cstheme="majorBidi"/>
        </w:rPr>
        <w:t>specializing in ADHD</w:t>
      </w:r>
      <w:r w:rsidR="00EE23DB" w:rsidRPr="005A54C3">
        <w:rPr>
          <w:rFonts w:asciiTheme="majorBidi" w:hAnsiTheme="majorBidi" w:cstheme="majorBidi"/>
        </w:rPr>
        <w:t>,</w:t>
      </w:r>
      <w:r w:rsidRPr="005A54C3">
        <w:rPr>
          <w:rFonts w:asciiTheme="majorBidi" w:hAnsiTheme="majorBidi" w:cstheme="majorBidi"/>
        </w:rPr>
        <w:t xml:space="preserve"> </w:t>
      </w:r>
      <w:r w:rsidR="00EE23DB" w:rsidRPr="005A54C3">
        <w:rPr>
          <w:rFonts w:asciiTheme="majorBidi" w:hAnsiTheme="majorBidi" w:cstheme="majorBidi"/>
        </w:rPr>
        <w:t xml:space="preserve">which is the </w:t>
      </w:r>
      <w:r w:rsidR="00415482" w:rsidRPr="005A54C3">
        <w:rPr>
          <w:rFonts w:asciiTheme="majorBidi" w:hAnsiTheme="majorBidi" w:cstheme="majorBidi"/>
        </w:rPr>
        <w:t xml:space="preserve">standard </w:t>
      </w:r>
      <w:r w:rsidR="00EE23DB" w:rsidRPr="005A54C3">
        <w:rPr>
          <w:rFonts w:asciiTheme="majorBidi" w:hAnsiTheme="majorBidi" w:cstheme="majorBidi"/>
        </w:rPr>
        <w:t xml:space="preserve">of care for assessment in Israel. These </w:t>
      </w:r>
      <w:r w:rsidR="00415482" w:rsidRPr="005A54C3">
        <w:rPr>
          <w:rFonts w:asciiTheme="majorBidi" w:hAnsiTheme="majorBidi" w:cstheme="majorBidi"/>
        </w:rPr>
        <w:t>clinicians include</w:t>
      </w:r>
      <w:r w:rsidR="00EE23DB" w:rsidRPr="005A54C3">
        <w:rPr>
          <w:rFonts w:asciiTheme="majorBidi" w:hAnsiTheme="majorBidi" w:cstheme="majorBidi"/>
        </w:rPr>
        <w:t xml:space="preserve"> </w:t>
      </w:r>
      <w:r w:rsidRPr="005A54C3">
        <w:rPr>
          <w:rFonts w:asciiTheme="majorBidi" w:hAnsiTheme="majorBidi" w:cstheme="majorBidi"/>
        </w:rPr>
        <w:t xml:space="preserve">child or adult psychiatrists, child or adult neurologists, or pediatricians and family physicians with certified ADHD training based on Spitzer's LEAD criteria (L = Longitudinal evaluation of symptomatology, E = Evaluation by expert consensus, AD = All Data from multiple sources)  which has been shown to be as reliable as structured interviews (Miller et al., 2001). Of note, access to diagnosis of ADHD in Israel is equitably distributed across all age groups, although referral may be limited by decreased recognition of ADHD in adults. The number of participants with ADHD was 231. </w:t>
      </w:r>
    </w:p>
    <w:p w14:paraId="776CF269" w14:textId="77777777" w:rsidR="00532C03" w:rsidRPr="005A54C3" w:rsidRDefault="00E8712F">
      <w:pPr>
        <w:spacing w:before="240" w:after="240"/>
        <w:ind w:firstLine="720"/>
        <w:rPr>
          <w:rFonts w:asciiTheme="majorBidi" w:hAnsiTheme="majorBidi" w:cstheme="majorBidi"/>
          <w:color w:val="231F20"/>
        </w:rPr>
      </w:pPr>
      <w:r w:rsidRPr="005A54C3">
        <w:rPr>
          <w:rFonts w:asciiTheme="majorBidi" w:hAnsiTheme="majorBidi" w:cstheme="majorBidi"/>
          <w:color w:val="231F20"/>
        </w:rPr>
        <w:t xml:space="preserve">Referral for COVID-19 testing was made at the discretion of the primary care  physician (PCP) according to the Israeli Ministry of Health’s </w:t>
      </w:r>
      <w:r w:rsidRPr="005A54C3">
        <w:rPr>
          <w:rFonts w:asciiTheme="majorBidi" w:hAnsiTheme="majorBidi" w:cstheme="majorBidi"/>
        </w:rPr>
        <w:t xml:space="preserve">criteria: direct, close unprotected exposure to a confirmed COVID-19 positive (COVID-19 +) patient and/or </w:t>
      </w:r>
      <w:r w:rsidRPr="005A54C3">
        <w:rPr>
          <w:rFonts w:asciiTheme="majorBidi" w:hAnsiTheme="majorBidi" w:cstheme="majorBidi"/>
        </w:rPr>
        <w:lastRenderedPageBreak/>
        <w:t>presenting symptoms suggesting COVID-19 infection.</w:t>
      </w:r>
      <w:r w:rsidRPr="005A54C3">
        <w:rPr>
          <w:rFonts w:asciiTheme="majorBidi" w:hAnsiTheme="majorBidi" w:cstheme="majorBidi"/>
          <w:color w:val="231F20"/>
        </w:rPr>
        <w:t xml:space="preserve"> Testing was performed with nasopharyngeal swabs evaluated for COVID-19 by an RT-PCR assay with internal positive and negative controls according to the guidelines of the World Health Organization. The </w:t>
      </w:r>
      <w:proofErr w:type="spellStart"/>
      <w:r w:rsidRPr="005A54C3">
        <w:rPr>
          <w:rFonts w:asciiTheme="majorBidi" w:hAnsiTheme="majorBidi" w:cstheme="majorBidi"/>
          <w:color w:val="231F20"/>
        </w:rPr>
        <w:t>Allplex</w:t>
      </w:r>
      <w:proofErr w:type="spellEnd"/>
      <w:r w:rsidRPr="005A54C3">
        <w:rPr>
          <w:rFonts w:asciiTheme="majorBidi" w:hAnsiTheme="majorBidi" w:cstheme="majorBidi"/>
          <w:color w:val="231F20"/>
        </w:rPr>
        <w:t>™ 2019-nCoV Assay (</w:t>
      </w:r>
      <w:proofErr w:type="spellStart"/>
      <w:r w:rsidRPr="005A54C3">
        <w:rPr>
          <w:rFonts w:asciiTheme="majorBidi" w:hAnsiTheme="majorBidi" w:cstheme="majorBidi"/>
          <w:color w:val="231F20"/>
        </w:rPr>
        <w:t>Seegene</w:t>
      </w:r>
      <w:proofErr w:type="spellEnd"/>
      <w:r w:rsidRPr="005A54C3">
        <w:rPr>
          <w:rFonts w:asciiTheme="majorBidi" w:hAnsiTheme="majorBidi" w:cstheme="majorBidi"/>
          <w:color w:val="231F20"/>
        </w:rPr>
        <w:t xml:space="preserve"> Inc., Seoul, Republic of Korea) was used until March 10</w:t>
      </w:r>
      <w:r w:rsidRPr="005A54C3">
        <w:rPr>
          <w:rFonts w:asciiTheme="majorBidi" w:hAnsiTheme="majorBidi" w:cstheme="majorBidi"/>
          <w:color w:val="231F20"/>
          <w:vertAlign w:val="superscript"/>
        </w:rPr>
        <w:t>th</w:t>
      </w:r>
      <w:r w:rsidRPr="005A54C3">
        <w:rPr>
          <w:rFonts w:asciiTheme="majorBidi" w:hAnsiTheme="majorBidi" w:cstheme="majorBidi"/>
          <w:color w:val="231F20"/>
        </w:rPr>
        <w:t>, 2020, and since then – the COBAS SARS-Cov-2 6800/8800 (Roche Pharmaceuticals, Switzerland).</w:t>
      </w:r>
    </w:p>
    <w:p w14:paraId="299C9531" w14:textId="77777777" w:rsidR="00532C03" w:rsidRPr="005A54C3" w:rsidRDefault="00E8712F">
      <w:pPr>
        <w:spacing w:before="240" w:after="240"/>
        <w:ind w:firstLine="720"/>
        <w:rPr>
          <w:rFonts w:asciiTheme="majorBidi" w:hAnsiTheme="majorBidi" w:cstheme="majorBidi"/>
          <w:color w:val="231F20"/>
        </w:rPr>
      </w:pPr>
      <w:r w:rsidRPr="005A54C3">
        <w:rPr>
          <w:rFonts w:asciiTheme="majorBidi" w:hAnsiTheme="majorBidi" w:cstheme="majorBidi"/>
          <w:color w:val="231F20"/>
        </w:rPr>
        <w:t xml:space="preserve">All COVID-19+ patients </w:t>
      </w:r>
      <w:r w:rsidRPr="005A54C3">
        <w:rPr>
          <w:rFonts w:asciiTheme="majorBidi" w:hAnsiTheme="majorBidi" w:cstheme="majorBidi"/>
        </w:rPr>
        <w:t>underwent a telephone intake and triage by a board-certified physician</w:t>
      </w:r>
      <w:r w:rsidRPr="005A54C3">
        <w:rPr>
          <w:rFonts w:asciiTheme="majorBidi" w:hAnsiTheme="majorBidi" w:cstheme="majorBidi"/>
          <w:color w:val="231F20"/>
        </w:rPr>
        <w:t xml:space="preserve"> </w:t>
      </w:r>
      <w:r w:rsidRPr="005A54C3">
        <w:rPr>
          <w:rFonts w:asciiTheme="majorBidi" w:hAnsiTheme="majorBidi" w:cstheme="majorBidi"/>
        </w:rPr>
        <w:t xml:space="preserve">on the day </w:t>
      </w:r>
      <w:r w:rsidRPr="005A54C3">
        <w:rPr>
          <w:rFonts w:asciiTheme="majorBidi" w:hAnsiTheme="majorBidi" w:cstheme="majorBidi"/>
          <w:color w:val="231F20"/>
        </w:rPr>
        <w:t xml:space="preserve">of receiving a positive test result, and the need for hospitalization was determined according to subjective assessment, based on a checklist of symptoms severity (Appendix 1). This checklist was updated during these months according to the changing instructions of the Israeli Health Ministry, based on WHO’s instructions. </w:t>
      </w:r>
    </w:p>
    <w:p w14:paraId="771433C4" w14:textId="77777777" w:rsidR="00532C03" w:rsidRPr="005A54C3" w:rsidRDefault="00E8712F">
      <w:pPr>
        <w:spacing w:before="240" w:after="240"/>
        <w:ind w:firstLine="720"/>
        <w:rPr>
          <w:rFonts w:asciiTheme="majorBidi" w:hAnsiTheme="majorBidi" w:cstheme="majorBidi"/>
        </w:rPr>
      </w:pPr>
      <w:r w:rsidRPr="005A54C3">
        <w:rPr>
          <w:rFonts w:asciiTheme="majorBidi" w:hAnsiTheme="majorBidi" w:cstheme="majorBidi"/>
          <w:color w:val="231F20"/>
        </w:rPr>
        <w:t>We selected confounders based on research establishing known risk factors for poor COVID-19 outcome, which include demographic variables such as age, sex and SES, high risk behaviors such as smoking and pr</w:t>
      </w:r>
      <w:r w:rsidR="00837560" w:rsidRPr="005A54C3">
        <w:rPr>
          <w:rFonts w:asciiTheme="majorBidi" w:hAnsiTheme="majorBidi" w:cstheme="majorBidi"/>
          <w:color w:val="231F20"/>
        </w:rPr>
        <w:t xml:space="preserve">e-existing medical conditions. </w:t>
      </w:r>
      <w:r w:rsidRPr="005A54C3">
        <w:rPr>
          <w:rFonts w:asciiTheme="majorBidi" w:hAnsiTheme="majorBidi" w:cstheme="majorBidi"/>
          <w:color w:val="231F20"/>
        </w:rPr>
        <w:t xml:space="preserve">Age was found to be the strongest risk factor for severity as was measured by hospitalization </w:t>
      </w:r>
      <w:r w:rsidRPr="005A54C3">
        <w:rPr>
          <w:rFonts w:asciiTheme="majorBidi" w:hAnsiTheme="majorBidi" w:cstheme="majorBidi"/>
        </w:rPr>
        <w:t>(</w:t>
      </w:r>
      <w:proofErr w:type="spellStart"/>
      <w:r w:rsidRPr="005A54C3">
        <w:rPr>
          <w:rFonts w:asciiTheme="majorBidi" w:hAnsiTheme="majorBidi" w:cstheme="majorBidi"/>
        </w:rPr>
        <w:t>Petrilli</w:t>
      </w:r>
      <w:proofErr w:type="spellEnd"/>
      <w:r w:rsidRPr="005A54C3">
        <w:rPr>
          <w:rFonts w:asciiTheme="majorBidi" w:hAnsiTheme="majorBidi" w:cstheme="majorBidi"/>
        </w:rPr>
        <w:t xml:space="preserve"> et al., 2020; Williamson et al., 2020). Chronic heart disease, BMI&gt;40 and male sex were also found to be risk factors for critical outcomes besides age (</w:t>
      </w:r>
      <w:proofErr w:type="spellStart"/>
      <w:r w:rsidRPr="005A54C3">
        <w:rPr>
          <w:rFonts w:asciiTheme="majorBidi" w:hAnsiTheme="majorBidi" w:cstheme="majorBidi"/>
        </w:rPr>
        <w:t>Petrilli</w:t>
      </w:r>
      <w:proofErr w:type="spellEnd"/>
      <w:r w:rsidRPr="005A54C3">
        <w:rPr>
          <w:rFonts w:asciiTheme="majorBidi" w:hAnsiTheme="majorBidi" w:cstheme="majorBidi"/>
        </w:rPr>
        <w:t xml:space="preserve"> et al., 2020; Williamson et al., 2020). Smoking was found as an increased risk for critical outcome for both current smokers and for patients with a smoking history (Reddy et al., 2020). Other risk factors that were found to be associated with the severity of COVID-19 were diabetes mellitus (DM), COPD and asthma (Williamson et al., 2020). Hypertension was also reported to be a risk factor alongside the </w:t>
      </w:r>
      <w:r w:rsidR="00837560" w:rsidRPr="005A54C3">
        <w:rPr>
          <w:rFonts w:asciiTheme="majorBidi" w:hAnsiTheme="majorBidi" w:cstheme="majorBidi"/>
        </w:rPr>
        <w:t>male sex, DM</w:t>
      </w:r>
      <w:r w:rsidRPr="005A54C3">
        <w:rPr>
          <w:rFonts w:asciiTheme="majorBidi" w:hAnsiTheme="majorBidi" w:cstheme="majorBidi"/>
        </w:rPr>
        <w:t>, COPD and CHD (Deng et al., 2020). In their above mentioned study about mental disorders, Wang et al reported that depression and schizophrenia, as well as SES level were also a risk factor for severity (Wang et al., 202</w:t>
      </w:r>
      <w:r w:rsidR="00D844A2" w:rsidRPr="005A54C3">
        <w:rPr>
          <w:rFonts w:asciiTheme="majorBidi" w:hAnsiTheme="majorBidi" w:cstheme="majorBidi"/>
        </w:rPr>
        <w:t>1</w:t>
      </w:r>
      <w:r w:rsidRPr="005A54C3">
        <w:rPr>
          <w:rFonts w:asciiTheme="majorBidi" w:hAnsiTheme="majorBidi" w:cstheme="majorBidi"/>
        </w:rPr>
        <w:t>).</w:t>
      </w:r>
    </w:p>
    <w:p w14:paraId="5D12E488" w14:textId="77777777" w:rsidR="00532C03" w:rsidRPr="005A54C3" w:rsidRDefault="00E8712F">
      <w:pPr>
        <w:spacing w:before="240" w:after="240"/>
        <w:ind w:firstLine="720"/>
        <w:rPr>
          <w:rFonts w:asciiTheme="majorBidi" w:hAnsiTheme="majorBidi" w:cstheme="majorBidi"/>
          <w:color w:val="231F20"/>
        </w:rPr>
      </w:pPr>
      <w:r w:rsidRPr="005A54C3">
        <w:rPr>
          <w:rFonts w:asciiTheme="majorBidi" w:hAnsiTheme="majorBidi" w:cstheme="majorBidi"/>
          <w:b/>
          <w:color w:val="231F20"/>
        </w:rPr>
        <w:lastRenderedPageBreak/>
        <w:t>Statistical analysis:</w:t>
      </w:r>
      <w:r w:rsidRPr="005A54C3">
        <w:rPr>
          <w:rFonts w:asciiTheme="majorBidi" w:hAnsiTheme="majorBidi" w:cstheme="majorBidi"/>
          <w:color w:val="231F20"/>
        </w:rPr>
        <w:t xml:space="preserve"> Descriptive statistics were used to report demographic characteristics between the study groups.  The relationship between demographics and COVID-19 was evaluated using </w:t>
      </w:r>
      <w:r w:rsidRPr="005A54C3">
        <w:rPr>
          <w:rFonts w:asciiTheme="majorBidi" w:hAnsiTheme="majorBidi" w:cstheme="majorBidi"/>
          <w:i/>
          <w:color w:val="231F20"/>
        </w:rPr>
        <w:t>t-test</w:t>
      </w:r>
      <w:r w:rsidRPr="005A54C3">
        <w:rPr>
          <w:rFonts w:asciiTheme="majorBidi" w:hAnsiTheme="majorBidi" w:cstheme="majorBidi"/>
          <w:color w:val="231F20"/>
        </w:rPr>
        <w:t xml:space="preserve"> and Fischer exact/ </w:t>
      </w:r>
      <w:r w:rsidRPr="005A54C3">
        <w:rPr>
          <w:rFonts w:asciiTheme="majorBidi" w:hAnsiTheme="majorBidi" w:cstheme="majorBidi"/>
          <w:i/>
          <w:color w:val="231F20"/>
        </w:rPr>
        <w:t>χ</w:t>
      </w:r>
      <w:r w:rsidRPr="005A54C3">
        <w:rPr>
          <w:rFonts w:asciiTheme="majorBidi" w:hAnsiTheme="majorBidi" w:cstheme="majorBidi"/>
          <w:i/>
          <w:color w:val="231F20"/>
          <w:vertAlign w:val="superscript"/>
        </w:rPr>
        <w:t>2</w:t>
      </w:r>
      <w:r w:rsidRPr="005A54C3">
        <w:rPr>
          <w:rFonts w:asciiTheme="majorBidi" w:hAnsiTheme="majorBidi" w:cstheme="majorBidi"/>
          <w:color w:val="231F20"/>
        </w:rPr>
        <w:t xml:space="preserve"> test for continuous and categorical variables, respectively, based on normal distribution and variable characteristics. Preliminary evaluation of association between ADHD diagnosis and the severity of COVID-19 was conducted by stratified analyses. Subsequently, to estimate severity, as reflected by the existence of symptoms and by referral to hospitalization, we used two multivariate logistic regression models. Thus, an evaluation of the odds ratios (</w:t>
      </w:r>
      <w:r w:rsidRPr="005A54C3">
        <w:rPr>
          <w:rFonts w:asciiTheme="majorBidi" w:hAnsiTheme="majorBidi" w:cstheme="majorBidi"/>
          <w:i/>
          <w:color w:val="231F20"/>
        </w:rPr>
        <w:t>OR</w:t>
      </w:r>
      <w:r w:rsidRPr="005A54C3">
        <w:rPr>
          <w:rFonts w:asciiTheme="majorBidi" w:hAnsiTheme="majorBidi" w:cstheme="majorBidi"/>
          <w:color w:val="231F20"/>
        </w:rPr>
        <w:t>) and 95% confidence interval (</w:t>
      </w:r>
      <w:r w:rsidRPr="005A54C3">
        <w:rPr>
          <w:rFonts w:asciiTheme="majorBidi" w:hAnsiTheme="majorBidi" w:cstheme="majorBidi"/>
          <w:iCs/>
          <w:color w:val="231F20"/>
        </w:rPr>
        <w:t>CI</w:t>
      </w:r>
      <w:r w:rsidRPr="005A54C3">
        <w:rPr>
          <w:rFonts w:asciiTheme="majorBidi" w:hAnsiTheme="majorBidi" w:cstheme="majorBidi"/>
          <w:i/>
          <w:color w:val="231F20"/>
        </w:rPr>
        <w:t>)</w:t>
      </w:r>
      <w:r w:rsidRPr="005A54C3">
        <w:rPr>
          <w:rFonts w:asciiTheme="majorBidi" w:hAnsiTheme="majorBidi" w:cstheme="majorBidi"/>
          <w:color w:val="231F20"/>
        </w:rPr>
        <w:t xml:space="preserve"> for the independent association between both factors and ADHD diagnosis was done while controlling potential confounders. A sample size of 1870 gave the study approximately 80% power to detect at least 5% higher prevalence of ADHD among COVID-19 positive patients as comp</w:t>
      </w:r>
      <w:r w:rsidR="00837560" w:rsidRPr="005A54C3">
        <w:rPr>
          <w:rFonts w:asciiTheme="majorBidi" w:hAnsiTheme="majorBidi" w:cstheme="majorBidi"/>
          <w:color w:val="231F20"/>
        </w:rPr>
        <w:t>ared with COVID-19 negative.</w:t>
      </w:r>
    </w:p>
    <w:p w14:paraId="38D618D6" w14:textId="77777777" w:rsidR="00532C03" w:rsidRPr="005A54C3" w:rsidRDefault="00E8712F">
      <w:pPr>
        <w:spacing w:before="240" w:after="240"/>
        <w:ind w:firstLine="720"/>
        <w:rPr>
          <w:rFonts w:asciiTheme="majorBidi" w:hAnsiTheme="majorBidi" w:cstheme="majorBidi"/>
        </w:rPr>
      </w:pPr>
      <w:r w:rsidRPr="005A54C3">
        <w:rPr>
          <w:rFonts w:asciiTheme="majorBidi" w:hAnsiTheme="majorBidi" w:cstheme="majorBidi"/>
        </w:rPr>
        <w:t>The study protocol was approved by the Shamir Medical Center Review Board and the Research Committee of LHS (0129-20-LEU-31.5.2020)</w:t>
      </w:r>
    </w:p>
    <w:p w14:paraId="0883A502" w14:textId="77777777" w:rsidR="00532C03" w:rsidRPr="005A54C3" w:rsidRDefault="00E8712F">
      <w:pPr>
        <w:pStyle w:val="Heading1"/>
        <w:spacing w:line="360" w:lineRule="auto"/>
        <w:rPr>
          <w:rFonts w:asciiTheme="majorBidi" w:hAnsiTheme="majorBidi" w:cstheme="majorBidi"/>
        </w:rPr>
      </w:pPr>
      <w:bookmarkStart w:id="3" w:name="_heading=h.2et92p0" w:colFirst="0" w:colLast="0"/>
      <w:bookmarkEnd w:id="3"/>
      <w:r w:rsidRPr="005A54C3">
        <w:rPr>
          <w:rFonts w:asciiTheme="majorBidi" w:hAnsiTheme="majorBidi" w:cstheme="majorBidi"/>
        </w:rPr>
        <w:t>Results</w:t>
      </w:r>
    </w:p>
    <w:p w14:paraId="3D5DFA58" w14:textId="77777777" w:rsidR="00532C03" w:rsidRPr="005A54C3" w:rsidRDefault="00E8712F">
      <w:pPr>
        <w:pStyle w:val="Heading2"/>
        <w:rPr>
          <w:rFonts w:asciiTheme="majorBidi" w:hAnsiTheme="majorBidi" w:cstheme="majorBidi"/>
        </w:rPr>
      </w:pPr>
      <w:bookmarkStart w:id="4" w:name="_heading=h.tt2s3wiyjuha" w:colFirst="0" w:colLast="0"/>
      <w:bookmarkEnd w:id="4"/>
      <w:r w:rsidRPr="005A54C3">
        <w:rPr>
          <w:rFonts w:asciiTheme="majorBidi" w:hAnsiTheme="majorBidi" w:cstheme="majorBidi"/>
        </w:rPr>
        <w:t>Demographics</w:t>
      </w:r>
    </w:p>
    <w:p w14:paraId="5959D9C9" w14:textId="77777777" w:rsidR="00532C03" w:rsidRPr="005A54C3" w:rsidRDefault="00E8712F">
      <w:pPr>
        <w:spacing w:after="120"/>
        <w:ind w:firstLine="720"/>
        <w:rPr>
          <w:rFonts w:asciiTheme="majorBidi" w:hAnsiTheme="majorBidi" w:cstheme="majorBidi"/>
          <w:color w:val="212121"/>
        </w:rPr>
      </w:pPr>
      <w:r w:rsidRPr="005A54C3">
        <w:rPr>
          <w:rFonts w:asciiTheme="majorBidi" w:hAnsiTheme="majorBidi" w:cstheme="majorBidi"/>
        </w:rPr>
        <w:t>The population of this study included 1870 COVID-19 positive patients. Mean age was 29.03 (</w:t>
      </w:r>
      <w:r w:rsidRPr="005A54C3">
        <w:rPr>
          <w:rFonts w:asciiTheme="majorBidi" w:hAnsiTheme="majorBidi" w:cstheme="majorBidi"/>
          <w:i/>
        </w:rPr>
        <w:t>SD</w:t>
      </w:r>
      <w:r w:rsidRPr="005A54C3">
        <w:rPr>
          <w:rFonts w:asciiTheme="majorBidi" w:hAnsiTheme="majorBidi" w:cstheme="majorBidi"/>
        </w:rPr>
        <w:t xml:space="preserve"> = 14.80 years), distributed as 32.2% &lt; 20 years, 40.5% 21-40 years and 27.3% &gt; 40 years. 82.6% were from low-medium SES levels and 52.7% were male. Prevalence of </w:t>
      </w:r>
      <w:r w:rsidR="00837560" w:rsidRPr="005A54C3">
        <w:rPr>
          <w:rFonts w:asciiTheme="majorBidi" w:hAnsiTheme="majorBidi" w:cstheme="majorBidi"/>
        </w:rPr>
        <w:t>medical comorbidities included:</w:t>
      </w:r>
      <w:r w:rsidRPr="005A54C3">
        <w:rPr>
          <w:rFonts w:asciiTheme="majorBidi" w:hAnsiTheme="majorBidi" w:cstheme="majorBidi"/>
        </w:rPr>
        <w:t xml:space="preserve"> </w:t>
      </w:r>
      <w:r w:rsidRPr="005A54C3">
        <w:rPr>
          <w:rFonts w:asciiTheme="majorBidi" w:hAnsiTheme="majorBidi" w:cstheme="majorBidi"/>
          <w:color w:val="212121"/>
        </w:rPr>
        <w:t xml:space="preserve">obesity 17.6%, diabetes mellitus </w:t>
      </w:r>
      <w:r w:rsidRPr="005A54C3">
        <w:rPr>
          <w:rFonts w:asciiTheme="majorBidi" w:hAnsiTheme="majorBidi" w:cstheme="majorBidi"/>
        </w:rPr>
        <w:t xml:space="preserve">(DM), </w:t>
      </w:r>
      <w:r w:rsidRPr="005A54C3">
        <w:rPr>
          <w:rFonts w:asciiTheme="majorBidi" w:hAnsiTheme="majorBidi" w:cstheme="majorBidi"/>
          <w:color w:val="212121"/>
        </w:rPr>
        <w:t xml:space="preserve">4.4%, hypertension </w:t>
      </w:r>
      <w:r w:rsidRPr="005A54C3">
        <w:rPr>
          <w:rFonts w:asciiTheme="majorBidi" w:hAnsiTheme="majorBidi" w:cstheme="majorBidi"/>
        </w:rPr>
        <w:t>(HTN)</w:t>
      </w:r>
      <w:r w:rsidRPr="005A54C3">
        <w:rPr>
          <w:rFonts w:asciiTheme="majorBidi" w:hAnsiTheme="majorBidi" w:cstheme="majorBidi"/>
          <w:color w:val="212121"/>
        </w:rPr>
        <w:t xml:space="preserve"> 5.5%, cardiovascular disease (CVD) 2.2%, chronic obstructive pulmonary disease (COPD) 0.3%, smoking 4.7%, and asthma 6.5%.</w:t>
      </w:r>
      <w:r w:rsidRPr="005A54C3">
        <w:rPr>
          <w:rFonts w:asciiTheme="majorBidi" w:hAnsiTheme="majorBidi" w:cstheme="majorBidi"/>
        </w:rPr>
        <w:t xml:space="preserve"> Prevalence of psychiatric comorbidities included: ADHD 12.4%, depression 2.2%, and </w:t>
      </w:r>
      <w:r w:rsidRPr="005A54C3">
        <w:rPr>
          <w:rFonts w:asciiTheme="majorBidi" w:hAnsiTheme="majorBidi" w:cstheme="majorBidi"/>
          <w:color w:val="212121"/>
        </w:rPr>
        <w:t xml:space="preserve">schizophrenia 1.2%. The high percent of </w:t>
      </w:r>
      <w:r w:rsidRPr="005A54C3">
        <w:rPr>
          <w:rFonts w:asciiTheme="majorBidi" w:hAnsiTheme="majorBidi" w:cstheme="majorBidi"/>
          <w:color w:val="212121"/>
        </w:rPr>
        <w:lastRenderedPageBreak/>
        <w:t>ADHD patients is in accordance with finding</w:t>
      </w:r>
      <w:r w:rsidR="00415482" w:rsidRPr="005A54C3">
        <w:rPr>
          <w:rFonts w:asciiTheme="majorBidi" w:hAnsiTheme="majorBidi" w:cstheme="majorBidi"/>
          <w:color w:val="212121"/>
        </w:rPr>
        <w:t>s</w:t>
      </w:r>
      <w:r w:rsidRPr="005A54C3">
        <w:rPr>
          <w:rFonts w:asciiTheme="majorBidi" w:hAnsiTheme="majorBidi" w:cstheme="majorBidi"/>
          <w:color w:val="212121"/>
        </w:rPr>
        <w:t xml:space="preserve"> in former studies (Merzon et al, 2020, Wang et al, 202</w:t>
      </w:r>
      <w:r w:rsidR="00D844A2" w:rsidRPr="005A54C3">
        <w:rPr>
          <w:rFonts w:asciiTheme="majorBidi" w:hAnsiTheme="majorBidi" w:cstheme="majorBidi"/>
          <w:color w:val="212121"/>
        </w:rPr>
        <w:t>1</w:t>
      </w:r>
      <w:r w:rsidRPr="005A54C3">
        <w:rPr>
          <w:rFonts w:asciiTheme="majorBidi" w:hAnsiTheme="majorBidi" w:cstheme="majorBidi"/>
          <w:color w:val="212121"/>
        </w:rPr>
        <w:t xml:space="preserve">) </w:t>
      </w:r>
      <w:r w:rsidR="00415482" w:rsidRPr="005A54C3">
        <w:rPr>
          <w:rFonts w:asciiTheme="majorBidi" w:hAnsiTheme="majorBidi" w:cstheme="majorBidi"/>
          <w:color w:val="212121"/>
        </w:rPr>
        <w:t xml:space="preserve">indicating </w:t>
      </w:r>
      <w:r w:rsidRPr="005A54C3">
        <w:rPr>
          <w:rFonts w:asciiTheme="majorBidi" w:hAnsiTheme="majorBidi" w:cstheme="majorBidi"/>
          <w:color w:val="212121"/>
        </w:rPr>
        <w:t>that ADHD is a risk factor for being infected by COVID-19.</w:t>
      </w:r>
    </w:p>
    <w:p w14:paraId="6704C95C" w14:textId="77777777" w:rsidR="00532C03" w:rsidRPr="005A54C3" w:rsidRDefault="00E8712F">
      <w:pPr>
        <w:pStyle w:val="Heading2"/>
        <w:rPr>
          <w:rFonts w:asciiTheme="majorBidi" w:hAnsiTheme="majorBidi" w:cstheme="majorBidi"/>
        </w:rPr>
      </w:pPr>
      <w:bookmarkStart w:id="5" w:name="_heading=h.u7109xr5aq7p" w:colFirst="0" w:colLast="0"/>
      <w:bookmarkEnd w:id="5"/>
      <w:r w:rsidRPr="005A54C3">
        <w:rPr>
          <w:rFonts w:asciiTheme="majorBidi" w:hAnsiTheme="majorBidi" w:cstheme="majorBidi"/>
        </w:rPr>
        <w:t>Symptomatic status</w:t>
      </w:r>
    </w:p>
    <w:p w14:paraId="3DADCA5B" w14:textId="77777777" w:rsidR="00532C03" w:rsidRPr="005A54C3" w:rsidRDefault="002F3161" w:rsidP="00E8712F">
      <w:pPr>
        <w:spacing w:after="120"/>
        <w:ind w:firstLine="720"/>
        <w:rPr>
          <w:rFonts w:asciiTheme="majorBidi" w:hAnsiTheme="majorBidi" w:cstheme="majorBidi"/>
        </w:rPr>
      </w:pPr>
      <w:r w:rsidRPr="005A54C3">
        <w:rPr>
          <w:rFonts w:asciiTheme="majorBidi" w:hAnsiTheme="majorBidi" w:cstheme="majorBidi"/>
        </w:rPr>
        <w:t>T</w:t>
      </w:r>
      <w:r w:rsidR="00E8712F" w:rsidRPr="005A54C3">
        <w:rPr>
          <w:rFonts w:asciiTheme="majorBidi" w:hAnsiTheme="majorBidi" w:cstheme="majorBidi"/>
        </w:rPr>
        <w:t>here were significant differences between the symptomatic and asymptomatic patients. The asymptomatic patients were significantly younger, tended to be female, and had lower BMI (Table 1). The SES distribution was similar in the two groups. Among symptomatic patients the following chronic health disorders were more prevalent: obesi</w:t>
      </w:r>
      <w:r w:rsidR="00837560" w:rsidRPr="005A54C3">
        <w:rPr>
          <w:rFonts w:asciiTheme="majorBidi" w:hAnsiTheme="majorBidi" w:cstheme="majorBidi"/>
        </w:rPr>
        <w:t>ty, CVD, DM, and HTN (Table 2).</w:t>
      </w:r>
    </w:p>
    <w:p w14:paraId="4F38C92B" w14:textId="77777777" w:rsidR="00532C03" w:rsidRPr="005A54C3" w:rsidRDefault="00E8712F">
      <w:pPr>
        <w:spacing w:after="120"/>
        <w:ind w:firstLine="720"/>
        <w:rPr>
          <w:rFonts w:asciiTheme="majorBidi" w:hAnsiTheme="majorBidi" w:cstheme="majorBidi"/>
        </w:rPr>
      </w:pPr>
      <w:r w:rsidRPr="005A54C3">
        <w:rPr>
          <w:rFonts w:asciiTheme="majorBidi" w:hAnsiTheme="majorBidi" w:cstheme="majorBidi"/>
        </w:rPr>
        <w:t>Symptomatic status was also compared across ADHD diagnosis. Individuals with ADHD were significantly more likely to be symptomatic. The prominent symptoms that differed significantly between ADHD and non-ADHD symptomatic patients were fever (above 38 °C), and presence of</w:t>
      </w:r>
      <w:r w:rsidR="00837560" w:rsidRPr="005A54C3">
        <w:rPr>
          <w:rFonts w:asciiTheme="majorBidi" w:hAnsiTheme="majorBidi" w:cstheme="majorBidi"/>
        </w:rPr>
        <w:t xml:space="preserve"> suspected pneumonia (Table 3).</w:t>
      </w:r>
    </w:p>
    <w:p w14:paraId="508A54BB" w14:textId="77777777" w:rsidR="00532C03" w:rsidRPr="005A54C3" w:rsidRDefault="00E8712F">
      <w:pPr>
        <w:spacing w:after="120"/>
        <w:ind w:firstLine="720"/>
        <w:rPr>
          <w:rFonts w:asciiTheme="majorBidi" w:eastAsia="Roboto" w:hAnsiTheme="majorBidi" w:cstheme="majorBidi"/>
          <w:color w:val="3C4043"/>
          <w:sz w:val="21"/>
          <w:szCs w:val="21"/>
        </w:rPr>
      </w:pPr>
      <w:r w:rsidRPr="005A54C3">
        <w:rPr>
          <w:rFonts w:asciiTheme="majorBidi" w:hAnsiTheme="majorBidi" w:cstheme="majorBidi"/>
        </w:rPr>
        <w:t>A multiple logistic regression analysis for symptomat</w:t>
      </w:r>
      <w:r w:rsidR="00837560" w:rsidRPr="005A54C3">
        <w:rPr>
          <w:rFonts w:asciiTheme="majorBidi" w:hAnsiTheme="majorBidi" w:cstheme="majorBidi"/>
        </w:rPr>
        <w:t xml:space="preserve">ic presentation was conducted </w:t>
      </w:r>
      <w:r w:rsidRPr="005A54C3">
        <w:rPr>
          <w:rFonts w:asciiTheme="majorBidi" w:hAnsiTheme="majorBidi" w:cstheme="majorBidi"/>
        </w:rPr>
        <w:t>controlling for the demographic and clinical comorbidities (Table 4). Si</w:t>
      </w:r>
      <w:r w:rsidR="007F3B79" w:rsidRPr="005A54C3">
        <w:rPr>
          <w:rFonts w:asciiTheme="majorBidi" w:hAnsiTheme="majorBidi" w:cstheme="majorBidi"/>
        </w:rPr>
        <w:t>gnificant associations included</w:t>
      </w:r>
      <w:r w:rsidRPr="005A54C3">
        <w:rPr>
          <w:rFonts w:asciiTheme="majorBidi" w:hAnsiTheme="majorBidi" w:cstheme="majorBidi"/>
        </w:rPr>
        <w:t xml:space="preserve"> being a male </w:t>
      </w:r>
      <w:r w:rsidRPr="005A54C3">
        <w:rPr>
          <w:rFonts w:asciiTheme="majorBidi" w:hAnsiTheme="majorBidi" w:cstheme="majorBidi"/>
          <w:color w:val="000000"/>
        </w:rPr>
        <w:t>(</w:t>
      </w:r>
      <w:r w:rsidRPr="005A54C3">
        <w:rPr>
          <w:rFonts w:asciiTheme="majorBidi" w:hAnsiTheme="majorBidi" w:cstheme="majorBidi"/>
          <w:i/>
          <w:color w:val="000000"/>
        </w:rPr>
        <w:t>OR</w:t>
      </w:r>
      <w:r w:rsidR="007F3B79" w:rsidRPr="005A54C3">
        <w:rPr>
          <w:rFonts w:asciiTheme="majorBidi" w:hAnsiTheme="majorBidi" w:cstheme="majorBidi"/>
          <w:color w:val="000000"/>
        </w:rPr>
        <w:t xml:space="preserve"> = 1.34, 95%</w:t>
      </w:r>
      <w:r w:rsidRPr="005A54C3">
        <w:rPr>
          <w:rFonts w:asciiTheme="majorBidi" w:hAnsiTheme="majorBidi" w:cstheme="majorBidi"/>
          <w:color w:val="000000"/>
        </w:rPr>
        <w:t xml:space="preserve"> CI [</w:t>
      </w:r>
      <w:r w:rsidRPr="005A54C3">
        <w:rPr>
          <w:rFonts w:asciiTheme="majorBidi" w:hAnsiTheme="majorBidi" w:cstheme="majorBidi"/>
        </w:rPr>
        <w:t xml:space="preserve">1.07, 1.68], </w:t>
      </w:r>
      <w:r w:rsidRPr="005A54C3">
        <w:rPr>
          <w:rFonts w:asciiTheme="majorBidi" w:hAnsiTheme="majorBidi" w:cstheme="majorBidi"/>
          <w:i/>
          <w:color w:val="000000"/>
        </w:rPr>
        <w:t>p</w:t>
      </w:r>
      <w:r w:rsidRPr="005A54C3">
        <w:rPr>
          <w:rFonts w:asciiTheme="majorBidi" w:hAnsiTheme="majorBidi" w:cstheme="majorBidi"/>
          <w:color w:val="000000"/>
        </w:rPr>
        <w:t xml:space="preserve"> </w:t>
      </w:r>
      <w:r w:rsidR="006239B3" w:rsidRPr="005A54C3">
        <w:rPr>
          <w:rFonts w:asciiTheme="majorBidi" w:hAnsiTheme="majorBidi" w:cstheme="majorBidi"/>
        </w:rPr>
        <w:t>&lt;</w:t>
      </w:r>
      <w:r w:rsidRPr="005A54C3">
        <w:rPr>
          <w:rFonts w:asciiTheme="majorBidi" w:hAnsiTheme="majorBidi" w:cstheme="majorBidi"/>
        </w:rPr>
        <w:t>.05</w:t>
      </w:r>
      <w:r w:rsidRPr="005A54C3">
        <w:rPr>
          <w:rFonts w:asciiTheme="majorBidi" w:hAnsiTheme="majorBidi" w:cstheme="majorBidi"/>
          <w:color w:val="000000"/>
        </w:rPr>
        <w:t>), age (</w:t>
      </w:r>
      <w:r w:rsidRPr="005A54C3">
        <w:rPr>
          <w:rFonts w:asciiTheme="majorBidi" w:hAnsiTheme="majorBidi" w:cstheme="majorBidi"/>
          <w:i/>
          <w:color w:val="000000"/>
        </w:rPr>
        <w:t>OR</w:t>
      </w:r>
      <w:r w:rsidRPr="005A54C3">
        <w:rPr>
          <w:rFonts w:asciiTheme="majorBidi" w:hAnsiTheme="majorBidi" w:cstheme="majorBidi"/>
          <w:color w:val="000000"/>
        </w:rPr>
        <w:t xml:space="preserve"> = 1.02, 95% CI [</w:t>
      </w:r>
      <w:r w:rsidR="007F3B79" w:rsidRPr="005A54C3">
        <w:rPr>
          <w:rFonts w:asciiTheme="majorBidi" w:hAnsiTheme="majorBidi" w:cstheme="majorBidi"/>
        </w:rPr>
        <w:t>1.01, 1.03],</w:t>
      </w:r>
      <w:r w:rsidRPr="005A54C3">
        <w:rPr>
          <w:rFonts w:asciiTheme="majorBidi" w:hAnsiTheme="majorBidi" w:cstheme="majorBidi"/>
          <w:color w:val="000000"/>
        </w:rPr>
        <w:t xml:space="preserve"> </w:t>
      </w:r>
      <w:r w:rsidRPr="005A54C3">
        <w:rPr>
          <w:rFonts w:asciiTheme="majorBidi" w:hAnsiTheme="majorBidi" w:cstheme="majorBidi"/>
          <w:i/>
          <w:color w:val="000000"/>
        </w:rPr>
        <w:t>p</w:t>
      </w:r>
      <w:r w:rsidRPr="005A54C3">
        <w:rPr>
          <w:rFonts w:asciiTheme="majorBidi" w:hAnsiTheme="majorBidi" w:cstheme="majorBidi"/>
          <w:color w:val="000000"/>
        </w:rPr>
        <w:t xml:space="preserve"> </w:t>
      </w:r>
      <w:r w:rsidRPr="005A54C3">
        <w:rPr>
          <w:rFonts w:asciiTheme="majorBidi" w:hAnsiTheme="majorBidi" w:cstheme="majorBidi"/>
          <w:color w:val="000000"/>
          <w:u w:val="single"/>
        </w:rPr>
        <w:t>&lt;</w:t>
      </w:r>
      <w:r w:rsidRPr="005A54C3">
        <w:rPr>
          <w:rFonts w:asciiTheme="majorBidi" w:hAnsiTheme="majorBidi" w:cstheme="majorBidi"/>
          <w:color w:val="000000"/>
        </w:rPr>
        <w:t xml:space="preserve">.001), </w:t>
      </w:r>
      <w:r w:rsidRPr="005A54C3">
        <w:rPr>
          <w:rFonts w:asciiTheme="majorBidi" w:hAnsiTheme="majorBidi" w:cstheme="majorBidi"/>
        </w:rPr>
        <w:t>and having ADHD (</w:t>
      </w:r>
      <w:r w:rsidRPr="005A54C3">
        <w:rPr>
          <w:rFonts w:asciiTheme="majorBidi" w:hAnsiTheme="majorBidi" w:cstheme="majorBidi"/>
          <w:i/>
        </w:rPr>
        <w:t>OR</w:t>
      </w:r>
      <w:r w:rsidRPr="005A54C3">
        <w:rPr>
          <w:rFonts w:asciiTheme="majorBidi" w:hAnsiTheme="majorBidi" w:cstheme="majorBidi"/>
        </w:rPr>
        <w:t xml:space="preserve"> = 1.81, 95% CI [1.29, 2.52], </w:t>
      </w:r>
      <w:r w:rsidRPr="005A54C3">
        <w:rPr>
          <w:rFonts w:asciiTheme="majorBidi" w:hAnsiTheme="majorBidi" w:cstheme="majorBidi"/>
          <w:i/>
        </w:rPr>
        <w:t>p</w:t>
      </w:r>
      <w:r w:rsidR="006239B3" w:rsidRPr="005A54C3">
        <w:rPr>
          <w:rFonts w:asciiTheme="majorBidi" w:hAnsiTheme="majorBidi" w:cstheme="majorBidi"/>
        </w:rPr>
        <w:t xml:space="preserve"> &lt;</w:t>
      </w:r>
      <w:r w:rsidRPr="005A54C3">
        <w:rPr>
          <w:rFonts w:asciiTheme="majorBidi" w:hAnsiTheme="majorBidi" w:cstheme="majorBidi"/>
        </w:rPr>
        <w:t>.05). ADHD was the only significant predictor among the</w:t>
      </w:r>
      <w:r w:rsidR="007F3B79" w:rsidRPr="005A54C3">
        <w:rPr>
          <w:rFonts w:asciiTheme="majorBidi" w:hAnsiTheme="majorBidi" w:cstheme="majorBidi"/>
        </w:rPr>
        <w:t xml:space="preserve"> mental and physical disorders.</w:t>
      </w:r>
    </w:p>
    <w:p w14:paraId="65E1692A" w14:textId="77777777" w:rsidR="00532C03" w:rsidRPr="005A54C3" w:rsidRDefault="00E8712F">
      <w:pPr>
        <w:spacing w:after="120"/>
        <w:rPr>
          <w:rFonts w:asciiTheme="majorBidi" w:hAnsiTheme="majorBidi" w:cstheme="majorBidi"/>
          <w:color w:val="231F20"/>
        </w:rPr>
      </w:pPr>
      <w:r w:rsidRPr="005A54C3">
        <w:rPr>
          <w:rFonts w:asciiTheme="majorBidi" w:hAnsiTheme="majorBidi" w:cstheme="majorBidi"/>
          <w:b/>
          <w:color w:val="231F20"/>
        </w:rPr>
        <w:t>Hospitalization Rates</w:t>
      </w:r>
    </w:p>
    <w:p w14:paraId="138C6B4B" w14:textId="77777777" w:rsidR="00532C03" w:rsidRPr="005A54C3" w:rsidRDefault="00E8712F">
      <w:pPr>
        <w:spacing w:after="120"/>
        <w:ind w:firstLine="720"/>
        <w:rPr>
          <w:rFonts w:asciiTheme="majorBidi" w:hAnsiTheme="majorBidi" w:cstheme="majorBidi"/>
        </w:rPr>
      </w:pPr>
      <w:r w:rsidRPr="005A54C3">
        <w:rPr>
          <w:rFonts w:asciiTheme="majorBidi" w:hAnsiTheme="majorBidi" w:cstheme="majorBidi"/>
        </w:rPr>
        <w:t>One hundred and seventeen COVID-19+ patients (6.2%) were hospitalized. Referral to hospitalization was significantly associated with older age, male, and high BMI (Table 1). Hospitalization was also significantly correlated with HTN, DM, CVD, and obesity, but not asthma (Table 2). Among the psychiatric disorders, both schizophrenia and depression were associated with significantly increased rates of hospital referral. ADHD was also associated with a significantly higher rate</w:t>
      </w:r>
      <w:r w:rsidR="007F3B79" w:rsidRPr="005A54C3">
        <w:rPr>
          <w:rFonts w:asciiTheme="majorBidi" w:hAnsiTheme="majorBidi" w:cstheme="majorBidi"/>
        </w:rPr>
        <w:t xml:space="preserve"> of </w:t>
      </w:r>
      <w:proofErr w:type="spellStart"/>
      <w:r w:rsidR="007F3B79" w:rsidRPr="005A54C3">
        <w:rPr>
          <w:rFonts w:asciiTheme="majorBidi" w:hAnsiTheme="majorBidi" w:cstheme="majorBidi"/>
        </w:rPr>
        <w:t>hospitalisation</w:t>
      </w:r>
      <w:proofErr w:type="spellEnd"/>
      <w:r w:rsidR="007F3B79" w:rsidRPr="005A54C3">
        <w:rPr>
          <w:rFonts w:asciiTheme="majorBidi" w:hAnsiTheme="majorBidi" w:cstheme="majorBidi"/>
        </w:rPr>
        <w:t xml:space="preserve"> (Table 2).</w:t>
      </w:r>
    </w:p>
    <w:p w14:paraId="0CFCD977" w14:textId="77777777" w:rsidR="00532C03" w:rsidRPr="005A54C3" w:rsidRDefault="00E8712F">
      <w:pPr>
        <w:spacing w:after="120"/>
        <w:ind w:firstLine="720"/>
        <w:rPr>
          <w:rFonts w:asciiTheme="majorBidi" w:hAnsiTheme="majorBidi" w:cstheme="majorBidi"/>
        </w:rPr>
      </w:pPr>
      <w:r w:rsidRPr="005A54C3">
        <w:rPr>
          <w:rFonts w:asciiTheme="majorBidi" w:hAnsiTheme="majorBidi" w:cstheme="majorBidi"/>
        </w:rPr>
        <w:lastRenderedPageBreak/>
        <w:t>A multiple logistic regression analysis for hospitalization was conducted controlling for demographic variables and comorbidities (Table 5). When adjusted ORs were calculated, several factors were found to be significant: CVD (</w:t>
      </w:r>
      <w:r w:rsidRPr="005A54C3">
        <w:rPr>
          <w:rFonts w:asciiTheme="majorBidi" w:hAnsiTheme="majorBidi" w:cstheme="majorBidi"/>
          <w:i/>
        </w:rPr>
        <w:t>OR</w:t>
      </w:r>
      <w:r w:rsidRPr="005A54C3">
        <w:rPr>
          <w:rFonts w:asciiTheme="majorBidi" w:hAnsiTheme="majorBidi" w:cstheme="majorBidi"/>
        </w:rPr>
        <w:t xml:space="preserve"> = 2.71, 95% </w:t>
      </w:r>
      <w:r w:rsidRPr="005A54C3">
        <w:rPr>
          <w:rFonts w:asciiTheme="majorBidi" w:hAnsiTheme="majorBidi" w:cstheme="majorBidi"/>
          <w:i/>
        </w:rPr>
        <w:t>CI</w:t>
      </w:r>
      <w:r w:rsidRPr="005A54C3">
        <w:rPr>
          <w:rFonts w:asciiTheme="majorBidi" w:hAnsiTheme="majorBidi" w:cstheme="majorBidi"/>
        </w:rPr>
        <w:t xml:space="preserve"> [</w:t>
      </w:r>
      <w:r w:rsidRPr="005A54C3">
        <w:rPr>
          <w:rFonts w:asciiTheme="majorBidi" w:hAnsiTheme="majorBidi" w:cstheme="majorBidi"/>
          <w:color w:val="212121"/>
        </w:rPr>
        <w:t xml:space="preserve">1.09, 6.73], </w:t>
      </w:r>
      <w:r w:rsidRPr="005A54C3">
        <w:rPr>
          <w:rFonts w:asciiTheme="majorBidi" w:hAnsiTheme="majorBidi" w:cstheme="majorBidi"/>
          <w:i/>
        </w:rPr>
        <w:t>p</w:t>
      </w:r>
      <w:r w:rsidR="006239B3" w:rsidRPr="005A54C3">
        <w:rPr>
          <w:rFonts w:asciiTheme="majorBidi" w:hAnsiTheme="majorBidi" w:cstheme="majorBidi"/>
        </w:rPr>
        <w:t xml:space="preserve"> &lt;</w:t>
      </w:r>
      <w:r w:rsidR="007F3B79" w:rsidRPr="005A54C3">
        <w:rPr>
          <w:rFonts w:asciiTheme="majorBidi" w:hAnsiTheme="majorBidi" w:cstheme="majorBidi"/>
        </w:rPr>
        <w:t xml:space="preserve">.05), </w:t>
      </w:r>
      <w:r w:rsidRPr="005A54C3">
        <w:rPr>
          <w:rFonts w:asciiTheme="majorBidi" w:hAnsiTheme="majorBidi" w:cstheme="majorBidi"/>
        </w:rPr>
        <w:t>DM (</w:t>
      </w:r>
      <w:r w:rsidRPr="005A54C3">
        <w:rPr>
          <w:rFonts w:asciiTheme="majorBidi" w:hAnsiTheme="majorBidi" w:cstheme="majorBidi"/>
          <w:i/>
        </w:rPr>
        <w:t>OR</w:t>
      </w:r>
      <w:r w:rsidRPr="005A54C3">
        <w:rPr>
          <w:rFonts w:asciiTheme="majorBidi" w:hAnsiTheme="majorBidi" w:cstheme="majorBidi"/>
        </w:rPr>
        <w:t xml:space="preserve"> = 2.23, 95% </w:t>
      </w:r>
      <w:r w:rsidRPr="005A54C3">
        <w:rPr>
          <w:rFonts w:asciiTheme="majorBidi" w:hAnsiTheme="majorBidi" w:cstheme="majorBidi"/>
          <w:i/>
        </w:rPr>
        <w:t>CI</w:t>
      </w:r>
      <w:r w:rsidRPr="005A54C3">
        <w:rPr>
          <w:rFonts w:asciiTheme="majorBidi" w:hAnsiTheme="majorBidi" w:cstheme="majorBidi"/>
        </w:rPr>
        <w:t xml:space="preserve"> [</w:t>
      </w:r>
      <w:r w:rsidRPr="005A54C3">
        <w:rPr>
          <w:rFonts w:asciiTheme="majorBidi" w:hAnsiTheme="majorBidi" w:cstheme="majorBidi"/>
          <w:color w:val="212121"/>
        </w:rPr>
        <w:t xml:space="preserve">1.11, 4.47], </w:t>
      </w:r>
      <w:r w:rsidRPr="005A54C3">
        <w:rPr>
          <w:rFonts w:asciiTheme="majorBidi" w:hAnsiTheme="majorBidi" w:cstheme="majorBidi"/>
          <w:i/>
        </w:rPr>
        <w:t>p</w:t>
      </w:r>
      <w:r w:rsidR="006239B3" w:rsidRPr="005A54C3">
        <w:rPr>
          <w:rFonts w:asciiTheme="majorBidi" w:hAnsiTheme="majorBidi" w:cstheme="majorBidi"/>
        </w:rPr>
        <w:t xml:space="preserve"> &lt;</w:t>
      </w:r>
      <w:r w:rsidRPr="005A54C3">
        <w:rPr>
          <w:rFonts w:asciiTheme="majorBidi" w:hAnsiTheme="majorBidi" w:cstheme="majorBidi"/>
        </w:rPr>
        <w:t>.01), ADHD (</w:t>
      </w:r>
      <w:r w:rsidRPr="005A54C3">
        <w:rPr>
          <w:rFonts w:asciiTheme="majorBidi" w:hAnsiTheme="majorBidi" w:cstheme="majorBidi"/>
          <w:i/>
        </w:rPr>
        <w:t>OR</w:t>
      </w:r>
      <w:r w:rsidRPr="005A54C3">
        <w:rPr>
          <w:rFonts w:asciiTheme="majorBidi" w:hAnsiTheme="majorBidi" w:cstheme="majorBidi"/>
        </w:rPr>
        <w:t xml:space="preserve"> = 1.93, 95% </w:t>
      </w:r>
      <w:r w:rsidRPr="005A54C3">
        <w:rPr>
          <w:rFonts w:asciiTheme="majorBidi" w:hAnsiTheme="majorBidi" w:cstheme="majorBidi"/>
          <w:i/>
        </w:rPr>
        <w:t>CI</w:t>
      </w:r>
      <w:r w:rsidRPr="005A54C3">
        <w:rPr>
          <w:rFonts w:asciiTheme="majorBidi" w:hAnsiTheme="majorBidi" w:cstheme="majorBidi"/>
        </w:rPr>
        <w:t xml:space="preserve"> </w:t>
      </w:r>
      <w:r w:rsidRPr="005A54C3">
        <w:rPr>
          <w:rFonts w:asciiTheme="majorBidi" w:hAnsiTheme="majorBidi" w:cstheme="majorBidi"/>
          <w:color w:val="212121"/>
        </w:rPr>
        <w:t>[1.06, 3.51],</w:t>
      </w:r>
      <w:r w:rsidRPr="005A54C3">
        <w:rPr>
          <w:rFonts w:asciiTheme="majorBidi" w:hAnsiTheme="majorBidi" w:cstheme="majorBidi"/>
        </w:rPr>
        <w:t xml:space="preserve"> </w:t>
      </w:r>
      <w:r w:rsidRPr="005A54C3">
        <w:rPr>
          <w:rFonts w:asciiTheme="majorBidi" w:hAnsiTheme="majorBidi" w:cstheme="majorBidi"/>
          <w:i/>
        </w:rPr>
        <w:t>p</w:t>
      </w:r>
      <w:r w:rsidR="006239B3" w:rsidRPr="005A54C3">
        <w:rPr>
          <w:rFonts w:asciiTheme="majorBidi" w:hAnsiTheme="majorBidi" w:cstheme="majorBidi"/>
        </w:rPr>
        <w:t xml:space="preserve"> &lt;</w:t>
      </w:r>
      <w:r w:rsidRPr="005A54C3">
        <w:rPr>
          <w:rFonts w:asciiTheme="majorBidi" w:hAnsiTheme="majorBidi" w:cstheme="majorBidi"/>
        </w:rPr>
        <w:t>.05) and age (</w:t>
      </w:r>
      <w:r w:rsidRPr="005A54C3">
        <w:rPr>
          <w:rFonts w:asciiTheme="majorBidi" w:hAnsiTheme="majorBidi" w:cstheme="majorBidi"/>
          <w:i/>
        </w:rPr>
        <w:t>OR</w:t>
      </w:r>
      <w:r w:rsidRPr="005A54C3">
        <w:rPr>
          <w:rFonts w:asciiTheme="majorBidi" w:hAnsiTheme="majorBidi" w:cstheme="majorBidi"/>
        </w:rPr>
        <w:t xml:space="preserve"> = 1.02, 95% </w:t>
      </w:r>
      <w:r w:rsidRPr="005A54C3">
        <w:rPr>
          <w:rFonts w:asciiTheme="majorBidi" w:hAnsiTheme="majorBidi" w:cstheme="majorBidi"/>
          <w:i/>
        </w:rPr>
        <w:t>CI</w:t>
      </w:r>
      <w:r w:rsidRPr="005A54C3">
        <w:rPr>
          <w:rFonts w:asciiTheme="majorBidi" w:hAnsiTheme="majorBidi" w:cstheme="majorBidi"/>
        </w:rPr>
        <w:t xml:space="preserve"> [</w:t>
      </w:r>
      <w:r w:rsidRPr="005A54C3">
        <w:rPr>
          <w:rFonts w:asciiTheme="majorBidi" w:hAnsiTheme="majorBidi" w:cstheme="majorBidi"/>
          <w:color w:val="212121"/>
        </w:rPr>
        <w:t>1.01, 1.04]</w:t>
      </w:r>
      <w:r w:rsidR="007F3B79" w:rsidRPr="005A54C3">
        <w:rPr>
          <w:rFonts w:asciiTheme="majorBidi" w:hAnsiTheme="majorBidi" w:cstheme="majorBidi"/>
        </w:rPr>
        <w:t>,</w:t>
      </w:r>
      <w:r w:rsidRPr="005A54C3">
        <w:rPr>
          <w:rFonts w:asciiTheme="majorBidi" w:hAnsiTheme="majorBidi" w:cstheme="majorBidi"/>
        </w:rPr>
        <w:t xml:space="preserve"> </w:t>
      </w:r>
      <w:r w:rsidRPr="005A54C3">
        <w:rPr>
          <w:rFonts w:asciiTheme="majorBidi" w:hAnsiTheme="majorBidi" w:cstheme="majorBidi"/>
          <w:i/>
        </w:rPr>
        <w:t xml:space="preserve">p </w:t>
      </w:r>
      <w:r w:rsidR="006239B3" w:rsidRPr="005A54C3">
        <w:rPr>
          <w:rFonts w:asciiTheme="majorBidi" w:hAnsiTheme="majorBidi" w:cstheme="majorBidi"/>
        </w:rPr>
        <w:t>&lt;</w:t>
      </w:r>
      <w:r w:rsidRPr="005A54C3">
        <w:rPr>
          <w:rFonts w:asciiTheme="majorBidi" w:hAnsiTheme="majorBidi" w:cstheme="majorBidi"/>
        </w:rPr>
        <w:t xml:space="preserve">.01). It should be noted that every year of age increases the likelihood to be referred for hospitalization by 2%. Notably, within the current sample of ADHD patients, the presence of allergic/autoimmune diseases and smoking status did not affect the presence of symptoms or the rate of referral to hospitalization (data available upon request). </w:t>
      </w:r>
    </w:p>
    <w:p w14:paraId="5B2F6D11" w14:textId="77777777" w:rsidR="00532C03" w:rsidRPr="005A54C3" w:rsidRDefault="00E8712F" w:rsidP="0048613D">
      <w:pPr>
        <w:bidi/>
        <w:spacing w:after="120"/>
        <w:jc w:val="right"/>
        <w:rPr>
          <w:rFonts w:asciiTheme="majorBidi" w:hAnsiTheme="majorBidi" w:cstheme="majorBidi"/>
          <w:b/>
          <w:rtl/>
        </w:rPr>
      </w:pPr>
      <w:r w:rsidRPr="005A54C3">
        <w:rPr>
          <w:rFonts w:asciiTheme="majorBidi" w:hAnsiTheme="majorBidi" w:cstheme="majorBidi"/>
          <w:b/>
        </w:rPr>
        <w:t xml:space="preserve">Post-hoc analysis of age </w:t>
      </w:r>
      <w:r w:rsidR="0048613D" w:rsidRPr="005A54C3">
        <w:rPr>
          <w:rFonts w:asciiTheme="majorBidi" w:hAnsiTheme="majorBidi" w:cstheme="majorBidi"/>
          <w:b/>
        </w:rPr>
        <w:t>as a categorical variable</w:t>
      </w:r>
      <w:r w:rsidR="0048613D" w:rsidRPr="005A54C3">
        <w:rPr>
          <w:rFonts w:asciiTheme="majorBidi" w:hAnsiTheme="majorBidi" w:cstheme="majorBidi"/>
          <w:b/>
          <w:rtl/>
        </w:rPr>
        <w:t xml:space="preserve"> </w:t>
      </w:r>
      <w:r w:rsidR="0048613D" w:rsidRPr="005A54C3">
        <w:rPr>
          <w:rFonts w:asciiTheme="majorBidi" w:hAnsiTheme="majorBidi" w:cstheme="majorBidi"/>
          <w:b/>
        </w:rPr>
        <w:t xml:space="preserve"> </w:t>
      </w:r>
      <w:r w:rsidR="0048613D" w:rsidRPr="005A54C3">
        <w:rPr>
          <w:rFonts w:asciiTheme="majorBidi" w:hAnsiTheme="majorBidi" w:cstheme="majorBidi"/>
          <w:b/>
          <w:rtl/>
        </w:rPr>
        <w:t xml:space="preserve"> </w:t>
      </w:r>
    </w:p>
    <w:p w14:paraId="4577FFEA" w14:textId="77777777" w:rsidR="005A64E1" w:rsidRPr="005A54C3" w:rsidRDefault="00C60476" w:rsidP="007F3B79">
      <w:pPr>
        <w:spacing w:after="120"/>
        <w:ind w:firstLine="720"/>
        <w:rPr>
          <w:rFonts w:asciiTheme="majorBidi" w:hAnsiTheme="majorBidi" w:cstheme="majorBidi"/>
        </w:rPr>
      </w:pPr>
      <w:r w:rsidRPr="005A54C3">
        <w:rPr>
          <w:rFonts w:asciiTheme="majorBidi" w:hAnsiTheme="majorBidi" w:cstheme="majorBidi"/>
          <w:color w:val="231F20"/>
        </w:rPr>
        <w:t>Due to the significant effect of age</w:t>
      </w:r>
      <w:r w:rsidRPr="005A54C3">
        <w:rPr>
          <w:rFonts w:asciiTheme="majorBidi" w:hAnsiTheme="majorBidi" w:cstheme="majorBidi"/>
        </w:rPr>
        <w:t xml:space="preserve"> we conducted a</w:t>
      </w:r>
      <w:r w:rsidR="0048613D" w:rsidRPr="005A54C3">
        <w:rPr>
          <w:rFonts w:asciiTheme="majorBidi" w:hAnsiTheme="majorBidi" w:cstheme="majorBidi"/>
        </w:rPr>
        <w:t xml:space="preserve"> sub-analysis of the effect of age, as a categorical variable, on COVID-19+ severity </w:t>
      </w:r>
      <w:r w:rsidRPr="005A54C3">
        <w:rPr>
          <w:rFonts w:asciiTheme="majorBidi" w:hAnsiTheme="majorBidi" w:cstheme="majorBidi"/>
        </w:rPr>
        <w:t>i</w:t>
      </w:r>
      <w:r w:rsidR="002F3161" w:rsidRPr="005A54C3">
        <w:rPr>
          <w:rFonts w:asciiTheme="majorBidi" w:hAnsiTheme="majorBidi" w:cstheme="majorBidi"/>
        </w:rPr>
        <w:t>n the total study population</w:t>
      </w:r>
      <w:r w:rsidR="00141FD8" w:rsidRPr="005A54C3">
        <w:rPr>
          <w:rFonts w:asciiTheme="majorBidi" w:hAnsiTheme="majorBidi" w:cstheme="majorBidi"/>
        </w:rPr>
        <w:t xml:space="preserve"> divided to three groups: 5-20</w:t>
      </w:r>
      <w:r w:rsidR="00200FB7" w:rsidRPr="005A54C3">
        <w:rPr>
          <w:rFonts w:asciiTheme="majorBidi" w:hAnsiTheme="majorBidi" w:cstheme="majorBidi"/>
        </w:rPr>
        <w:t xml:space="preserve"> years old (</w:t>
      </w:r>
      <w:r w:rsidR="00200FB7" w:rsidRPr="005A54C3">
        <w:rPr>
          <w:rFonts w:asciiTheme="majorBidi" w:hAnsiTheme="majorBidi" w:cstheme="majorBidi"/>
          <w:i/>
          <w:iCs/>
        </w:rPr>
        <w:t>n</w:t>
      </w:r>
      <w:r w:rsidR="006239B3" w:rsidRPr="005A54C3">
        <w:rPr>
          <w:rFonts w:asciiTheme="majorBidi" w:hAnsiTheme="majorBidi" w:cstheme="majorBidi"/>
        </w:rPr>
        <w:t xml:space="preserve"> </w:t>
      </w:r>
      <w:r w:rsidR="00200FB7" w:rsidRPr="005A54C3">
        <w:rPr>
          <w:rFonts w:asciiTheme="majorBidi" w:hAnsiTheme="majorBidi" w:cstheme="majorBidi"/>
        </w:rPr>
        <w:t>=</w:t>
      </w:r>
      <w:r w:rsidR="006239B3" w:rsidRPr="005A54C3">
        <w:rPr>
          <w:rFonts w:asciiTheme="majorBidi" w:hAnsiTheme="majorBidi" w:cstheme="majorBidi"/>
        </w:rPr>
        <w:t xml:space="preserve"> </w:t>
      </w:r>
      <w:r w:rsidR="00200FB7" w:rsidRPr="005A54C3">
        <w:rPr>
          <w:rFonts w:asciiTheme="majorBidi" w:hAnsiTheme="majorBidi" w:cstheme="majorBidi"/>
        </w:rPr>
        <w:t>607)</w:t>
      </w:r>
      <w:r w:rsidR="00141FD8" w:rsidRPr="005A54C3">
        <w:rPr>
          <w:rFonts w:asciiTheme="majorBidi" w:hAnsiTheme="majorBidi" w:cstheme="majorBidi"/>
        </w:rPr>
        <w:t>, 21-40</w:t>
      </w:r>
      <w:r w:rsidR="00200FB7" w:rsidRPr="005A54C3">
        <w:rPr>
          <w:rFonts w:asciiTheme="majorBidi" w:hAnsiTheme="majorBidi" w:cstheme="majorBidi"/>
        </w:rPr>
        <w:t xml:space="preserve"> years old (</w:t>
      </w:r>
      <w:r w:rsidR="00200FB7" w:rsidRPr="005A54C3">
        <w:rPr>
          <w:rFonts w:asciiTheme="majorBidi" w:hAnsiTheme="majorBidi" w:cstheme="majorBidi"/>
          <w:i/>
          <w:iCs/>
        </w:rPr>
        <w:t>n</w:t>
      </w:r>
      <w:r w:rsidR="006239B3" w:rsidRPr="005A54C3">
        <w:rPr>
          <w:rFonts w:asciiTheme="majorBidi" w:hAnsiTheme="majorBidi" w:cstheme="majorBidi"/>
        </w:rPr>
        <w:t xml:space="preserve"> </w:t>
      </w:r>
      <w:r w:rsidR="00200FB7" w:rsidRPr="005A54C3">
        <w:rPr>
          <w:rFonts w:asciiTheme="majorBidi" w:hAnsiTheme="majorBidi" w:cstheme="majorBidi"/>
        </w:rPr>
        <w:t>=</w:t>
      </w:r>
      <w:r w:rsidR="006239B3" w:rsidRPr="005A54C3">
        <w:rPr>
          <w:rFonts w:asciiTheme="majorBidi" w:hAnsiTheme="majorBidi" w:cstheme="majorBidi"/>
        </w:rPr>
        <w:t xml:space="preserve"> </w:t>
      </w:r>
      <w:r w:rsidR="00200FB7" w:rsidRPr="005A54C3">
        <w:rPr>
          <w:rFonts w:asciiTheme="majorBidi" w:hAnsiTheme="majorBidi" w:cstheme="majorBidi"/>
        </w:rPr>
        <w:t>758),</w:t>
      </w:r>
      <w:r w:rsidR="00141FD8" w:rsidRPr="005A54C3">
        <w:rPr>
          <w:rFonts w:asciiTheme="majorBidi" w:hAnsiTheme="majorBidi" w:cstheme="majorBidi"/>
        </w:rPr>
        <w:t xml:space="preserve"> 41-60 years</w:t>
      </w:r>
      <w:r w:rsidR="00200FB7" w:rsidRPr="005A54C3">
        <w:rPr>
          <w:rFonts w:asciiTheme="majorBidi" w:hAnsiTheme="majorBidi" w:cstheme="majorBidi"/>
        </w:rPr>
        <w:t xml:space="preserve"> old (</w:t>
      </w:r>
      <w:r w:rsidR="00200FB7" w:rsidRPr="005A54C3">
        <w:rPr>
          <w:rFonts w:asciiTheme="majorBidi" w:hAnsiTheme="majorBidi" w:cstheme="majorBidi"/>
          <w:i/>
          <w:iCs/>
        </w:rPr>
        <w:t>n</w:t>
      </w:r>
      <w:r w:rsidR="006239B3" w:rsidRPr="005A54C3">
        <w:rPr>
          <w:rFonts w:asciiTheme="majorBidi" w:hAnsiTheme="majorBidi" w:cstheme="majorBidi"/>
        </w:rPr>
        <w:t xml:space="preserve"> </w:t>
      </w:r>
      <w:r w:rsidR="00200FB7" w:rsidRPr="005A54C3">
        <w:rPr>
          <w:rFonts w:asciiTheme="majorBidi" w:hAnsiTheme="majorBidi" w:cstheme="majorBidi"/>
        </w:rPr>
        <w:t>=</w:t>
      </w:r>
      <w:r w:rsidR="006239B3" w:rsidRPr="005A54C3">
        <w:rPr>
          <w:rFonts w:asciiTheme="majorBidi" w:hAnsiTheme="majorBidi" w:cstheme="majorBidi"/>
        </w:rPr>
        <w:t xml:space="preserve"> </w:t>
      </w:r>
      <w:r w:rsidR="00200FB7" w:rsidRPr="005A54C3">
        <w:rPr>
          <w:rFonts w:asciiTheme="majorBidi" w:hAnsiTheme="majorBidi" w:cstheme="majorBidi"/>
        </w:rPr>
        <w:t>505)</w:t>
      </w:r>
      <w:r w:rsidR="00141FD8" w:rsidRPr="005A54C3">
        <w:rPr>
          <w:rFonts w:asciiTheme="majorBidi" w:hAnsiTheme="majorBidi" w:cstheme="majorBidi"/>
        </w:rPr>
        <w:t xml:space="preserve">. </w:t>
      </w:r>
      <w:r w:rsidR="00200FB7" w:rsidRPr="005A54C3">
        <w:rPr>
          <w:rFonts w:asciiTheme="majorBidi" w:hAnsiTheme="majorBidi" w:cstheme="majorBidi"/>
        </w:rPr>
        <w:t xml:space="preserve">Both groups of adults </w:t>
      </w:r>
      <w:r w:rsidR="006C79EC" w:rsidRPr="005A54C3">
        <w:rPr>
          <w:rFonts w:asciiTheme="majorBidi" w:hAnsiTheme="majorBidi" w:cstheme="majorBidi"/>
        </w:rPr>
        <w:t>(21-40, 41-60 years)</w:t>
      </w:r>
      <w:r w:rsidR="002F3161" w:rsidRPr="005A54C3">
        <w:rPr>
          <w:rFonts w:asciiTheme="majorBidi" w:hAnsiTheme="majorBidi" w:cstheme="majorBidi"/>
        </w:rPr>
        <w:t xml:space="preserve"> exhibited higher rate</w:t>
      </w:r>
      <w:r w:rsidR="0005334C" w:rsidRPr="005A54C3">
        <w:rPr>
          <w:rFonts w:asciiTheme="majorBidi" w:hAnsiTheme="majorBidi" w:cstheme="majorBidi"/>
        </w:rPr>
        <w:t>s</w:t>
      </w:r>
      <w:r w:rsidR="002F3161" w:rsidRPr="005A54C3">
        <w:rPr>
          <w:rFonts w:asciiTheme="majorBidi" w:hAnsiTheme="majorBidi" w:cstheme="majorBidi"/>
        </w:rPr>
        <w:t xml:space="preserve"> of symptomatic status</w:t>
      </w:r>
      <w:r w:rsidR="005D5056" w:rsidRPr="005A54C3">
        <w:rPr>
          <w:rFonts w:asciiTheme="majorBidi" w:hAnsiTheme="majorBidi" w:cstheme="majorBidi"/>
        </w:rPr>
        <w:t xml:space="preserve"> (</w:t>
      </w:r>
      <w:r w:rsidR="005D5056" w:rsidRPr="005A54C3">
        <w:rPr>
          <w:rFonts w:asciiTheme="majorBidi" w:hAnsiTheme="majorBidi" w:cstheme="majorBidi"/>
          <w:i/>
          <w:iCs/>
        </w:rPr>
        <w:t>OR</w:t>
      </w:r>
      <w:r w:rsidR="00B6553B" w:rsidRPr="005A54C3">
        <w:rPr>
          <w:rFonts w:asciiTheme="majorBidi" w:hAnsiTheme="majorBidi" w:cstheme="majorBidi"/>
        </w:rPr>
        <w:t xml:space="preserve"> </w:t>
      </w:r>
      <w:r w:rsidR="005D5056" w:rsidRPr="005A54C3">
        <w:rPr>
          <w:rFonts w:asciiTheme="majorBidi" w:hAnsiTheme="majorBidi" w:cstheme="majorBidi"/>
        </w:rPr>
        <w:t>=</w:t>
      </w:r>
      <w:r w:rsidR="00B6553B" w:rsidRPr="005A54C3">
        <w:rPr>
          <w:rFonts w:asciiTheme="majorBidi" w:hAnsiTheme="majorBidi" w:cstheme="majorBidi"/>
        </w:rPr>
        <w:t xml:space="preserve"> </w:t>
      </w:r>
      <w:r w:rsidR="005D5056" w:rsidRPr="005A54C3">
        <w:rPr>
          <w:rFonts w:asciiTheme="majorBidi" w:hAnsiTheme="majorBidi" w:cstheme="majorBidi"/>
        </w:rPr>
        <w:t>2.84</w:t>
      </w:r>
      <w:r w:rsidR="005A64E1" w:rsidRPr="005A54C3">
        <w:rPr>
          <w:rFonts w:asciiTheme="majorBidi" w:hAnsiTheme="majorBidi" w:cstheme="majorBidi"/>
        </w:rPr>
        <w:t>,</w:t>
      </w:r>
      <w:r w:rsidR="00B6553B" w:rsidRPr="005A54C3">
        <w:rPr>
          <w:rFonts w:asciiTheme="majorBidi" w:hAnsiTheme="majorBidi" w:cstheme="majorBidi"/>
        </w:rPr>
        <w:t xml:space="preserve"> </w:t>
      </w:r>
      <w:r w:rsidR="005D5056" w:rsidRPr="005A54C3">
        <w:rPr>
          <w:rFonts w:asciiTheme="majorBidi" w:hAnsiTheme="majorBidi" w:cstheme="majorBidi"/>
        </w:rPr>
        <w:t>95%</w:t>
      </w:r>
      <w:r w:rsidR="00B6553B" w:rsidRPr="005A54C3">
        <w:rPr>
          <w:rFonts w:asciiTheme="majorBidi" w:hAnsiTheme="majorBidi" w:cstheme="majorBidi"/>
        </w:rPr>
        <w:t xml:space="preserve"> </w:t>
      </w:r>
      <w:r w:rsidR="005D5056" w:rsidRPr="005A54C3">
        <w:rPr>
          <w:rFonts w:asciiTheme="majorBidi" w:hAnsiTheme="majorBidi" w:cstheme="majorBidi"/>
        </w:rPr>
        <w:t xml:space="preserve">CI </w:t>
      </w:r>
      <w:r w:rsidR="00B6553B" w:rsidRPr="005A54C3">
        <w:rPr>
          <w:rFonts w:asciiTheme="majorBidi" w:hAnsiTheme="majorBidi" w:cstheme="majorBidi"/>
        </w:rPr>
        <w:t>[</w:t>
      </w:r>
      <w:r w:rsidR="005D5056" w:rsidRPr="005A54C3">
        <w:rPr>
          <w:rFonts w:asciiTheme="majorBidi" w:hAnsiTheme="majorBidi" w:cstheme="majorBidi"/>
        </w:rPr>
        <w:t>2.23</w:t>
      </w:r>
      <w:r w:rsidR="00B6553B" w:rsidRPr="005A54C3">
        <w:rPr>
          <w:rFonts w:asciiTheme="majorBidi" w:hAnsiTheme="majorBidi" w:cstheme="majorBidi"/>
        </w:rPr>
        <w:t xml:space="preserve">, </w:t>
      </w:r>
      <w:r w:rsidR="005D5056" w:rsidRPr="005A54C3">
        <w:rPr>
          <w:rFonts w:asciiTheme="majorBidi" w:hAnsiTheme="majorBidi" w:cstheme="majorBidi"/>
        </w:rPr>
        <w:t>3.61]</w:t>
      </w:r>
      <w:r w:rsidR="005A64E1" w:rsidRPr="005A54C3">
        <w:rPr>
          <w:rFonts w:asciiTheme="majorBidi" w:hAnsiTheme="majorBidi" w:cstheme="majorBidi"/>
        </w:rPr>
        <w:t xml:space="preserve">, </w:t>
      </w:r>
      <w:r w:rsidR="00B6553B" w:rsidRPr="005A54C3">
        <w:rPr>
          <w:rFonts w:asciiTheme="majorBidi" w:hAnsiTheme="majorBidi" w:cstheme="majorBidi"/>
          <w:i/>
          <w:iCs/>
          <w:color w:val="212121"/>
        </w:rPr>
        <w:t>χ</w:t>
      </w:r>
      <w:r w:rsidR="00B6553B" w:rsidRPr="005A54C3">
        <w:rPr>
          <w:rFonts w:asciiTheme="majorBidi" w:hAnsiTheme="majorBidi" w:cstheme="majorBidi"/>
          <w:i/>
          <w:iCs/>
          <w:color w:val="212121"/>
          <w:vertAlign w:val="superscript"/>
        </w:rPr>
        <w:t>2</w:t>
      </w:r>
      <w:r w:rsidR="007F3B79" w:rsidRPr="005A54C3">
        <w:rPr>
          <w:rFonts w:asciiTheme="majorBidi" w:hAnsiTheme="majorBidi" w:cstheme="majorBidi"/>
        </w:rPr>
        <w:t xml:space="preserve"> =</w:t>
      </w:r>
      <w:r w:rsidR="005A64E1" w:rsidRPr="005A54C3">
        <w:rPr>
          <w:rFonts w:asciiTheme="majorBidi" w:hAnsiTheme="majorBidi" w:cstheme="majorBidi"/>
        </w:rPr>
        <w:t xml:space="preserve"> 79.76 </w:t>
      </w:r>
      <w:r w:rsidR="005D5056" w:rsidRPr="005A54C3">
        <w:rPr>
          <w:rFonts w:asciiTheme="majorBidi" w:hAnsiTheme="majorBidi" w:cstheme="majorBidi"/>
        </w:rPr>
        <w:t xml:space="preserve">and </w:t>
      </w:r>
      <w:r w:rsidR="005D5056" w:rsidRPr="005A54C3">
        <w:rPr>
          <w:rFonts w:asciiTheme="majorBidi" w:hAnsiTheme="majorBidi" w:cstheme="majorBidi"/>
          <w:i/>
          <w:iCs/>
        </w:rPr>
        <w:t>OR</w:t>
      </w:r>
      <w:r w:rsidR="00B6553B" w:rsidRPr="005A54C3">
        <w:rPr>
          <w:rFonts w:asciiTheme="majorBidi" w:hAnsiTheme="majorBidi" w:cstheme="majorBidi"/>
        </w:rPr>
        <w:t xml:space="preserve"> </w:t>
      </w:r>
      <w:r w:rsidR="005D5056" w:rsidRPr="005A54C3">
        <w:rPr>
          <w:rFonts w:asciiTheme="majorBidi" w:hAnsiTheme="majorBidi" w:cstheme="majorBidi"/>
        </w:rPr>
        <w:t>= 2.23 95%</w:t>
      </w:r>
      <w:r w:rsidR="00B6553B" w:rsidRPr="005A54C3">
        <w:rPr>
          <w:rFonts w:asciiTheme="majorBidi" w:hAnsiTheme="majorBidi" w:cstheme="majorBidi"/>
        </w:rPr>
        <w:t xml:space="preserve"> </w:t>
      </w:r>
      <w:r w:rsidR="005D5056" w:rsidRPr="005A54C3">
        <w:rPr>
          <w:rFonts w:asciiTheme="majorBidi" w:hAnsiTheme="majorBidi" w:cstheme="majorBidi"/>
        </w:rPr>
        <w:t xml:space="preserve">CI </w:t>
      </w:r>
      <w:r w:rsidR="00B6553B" w:rsidRPr="005A54C3">
        <w:rPr>
          <w:rFonts w:asciiTheme="majorBidi" w:hAnsiTheme="majorBidi" w:cstheme="majorBidi"/>
        </w:rPr>
        <w:t>[</w:t>
      </w:r>
      <w:r w:rsidR="005D5056" w:rsidRPr="005A54C3">
        <w:rPr>
          <w:rFonts w:asciiTheme="majorBidi" w:hAnsiTheme="majorBidi" w:cstheme="majorBidi"/>
        </w:rPr>
        <w:t>1.73</w:t>
      </w:r>
      <w:r w:rsidR="00B6553B" w:rsidRPr="005A54C3">
        <w:rPr>
          <w:rFonts w:asciiTheme="majorBidi" w:hAnsiTheme="majorBidi" w:cstheme="majorBidi"/>
        </w:rPr>
        <w:t>,</w:t>
      </w:r>
      <w:r w:rsidR="005D5056" w:rsidRPr="005A54C3">
        <w:rPr>
          <w:rFonts w:asciiTheme="majorBidi" w:hAnsiTheme="majorBidi" w:cstheme="majorBidi"/>
        </w:rPr>
        <w:t xml:space="preserve"> 3.00]</w:t>
      </w:r>
      <w:r w:rsidR="0005334C" w:rsidRPr="005A54C3">
        <w:rPr>
          <w:rFonts w:asciiTheme="majorBidi" w:hAnsiTheme="majorBidi" w:cstheme="majorBidi"/>
        </w:rPr>
        <w:t xml:space="preserve">, </w:t>
      </w:r>
      <w:r w:rsidR="00B6553B" w:rsidRPr="005A54C3">
        <w:rPr>
          <w:rFonts w:asciiTheme="majorBidi" w:hAnsiTheme="majorBidi" w:cstheme="majorBidi"/>
          <w:i/>
          <w:iCs/>
          <w:color w:val="212121"/>
        </w:rPr>
        <w:t>χ</w:t>
      </w:r>
      <w:r w:rsidR="00B6553B" w:rsidRPr="005A54C3">
        <w:rPr>
          <w:rFonts w:asciiTheme="majorBidi" w:hAnsiTheme="majorBidi" w:cstheme="majorBidi"/>
          <w:i/>
          <w:iCs/>
          <w:color w:val="212121"/>
          <w:vertAlign w:val="superscript"/>
        </w:rPr>
        <w:t>2</w:t>
      </w:r>
      <w:r w:rsidR="005A64E1" w:rsidRPr="005A54C3">
        <w:rPr>
          <w:rFonts w:asciiTheme="majorBidi" w:hAnsiTheme="majorBidi" w:cstheme="majorBidi"/>
        </w:rPr>
        <w:t xml:space="preserve"> = 39.11, </w:t>
      </w:r>
      <w:r w:rsidR="0005334C" w:rsidRPr="005A54C3">
        <w:rPr>
          <w:rFonts w:asciiTheme="majorBidi" w:hAnsiTheme="majorBidi" w:cstheme="majorBidi"/>
        </w:rPr>
        <w:t xml:space="preserve">respectively, </w:t>
      </w:r>
      <w:r w:rsidR="0005334C" w:rsidRPr="005A54C3">
        <w:rPr>
          <w:rFonts w:asciiTheme="majorBidi" w:hAnsiTheme="majorBidi" w:cstheme="majorBidi"/>
          <w:i/>
          <w:iCs/>
        </w:rPr>
        <w:t>p</w:t>
      </w:r>
      <w:r w:rsidR="006239B3" w:rsidRPr="005A54C3">
        <w:rPr>
          <w:rFonts w:asciiTheme="majorBidi" w:hAnsiTheme="majorBidi" w:cstheme="majorBidi"/>
        </w:rPr>
        <w:t xml:space="preserve"> &lt;</w:t>
      </w:r>
      <w:r w:rsidR="0005334C" w:rsidRPr="005A54C3">
        <w:rPr>
          <w:rFonts w:asciiTheme="majorBidi" w:hAnsiTheme="majorBidi" w:cstheme="majorBidi"/>
        </w:rPr>
        <w:t>.00</w:t>
      </w:r>
      <w:r w:rsidR="00B6553B" w:rsidRPr="005A54C3">
        <w:rPr>
          <w:rFonts w:asciiTheme="majorBidi" w:hAnsiTheme="majorBidi" w:cstheme="majorBidi"/>
        </w:rPr>
        <w:t>1</w:t>
      </w:r>
      <w:r w:rsidR="0005334C" w:rsidRPr="005A54C3">
        <w:rPr>
          <w:rFonts w:asciiTheme="majorBidi" w:hAnsiTheme="majorBidi" w:cstheme="majorBidi"/>
        </w:rPr>
        <w:t xml:space="preserve"> for both)</w:t>
      </w:r>
      <w:r w:rsidR="002F3161" w:rsidRPr="005A54C3">
        <w:rPr>
          <w:rFonts w:asciiTheme="majorBidi" w:hAnsiTheme="majorBidi" w:cstheme="majorBidi"/>
        </w:rPr>
        <w:t xml:space="preserve"> compared </w:t>
      </w:r>
      <w:r w:rsidR="005D5056" w:rsidRPr="005A54C3">
        <w:rPr>
          <w:rFonts w:asciiTheme="majorBidi" w:hAnsiTheme="majorBidi" w:cstheme="majorBidi"/>
        </w:rPr>
        <w:t xml:space="preserve">to </w:t>
      </w:r>
      <w:r w:rsidR="002F3161" w:rsidRPr="005A54C3">
        <w:rPr>
          <w:rFonts w:asciiTheme="majorBidi" w:hAnsiTheme="majorBidi" w:cstheme="majorBidi"/>
        </w:rPr>
        <w:t>children and adolescents</w:t>
      </w:r>
      <w:r w:rsidR="00B6553B" w:rsidRPr="005A54C3">
        <w:rPr>
          <w:rFonts w:asciiTheme="majorBidi" w:hAnsiTheme="majorBidi" w:cstheme="majorBidi"/>
        </w:rPr>
        <w:t>.</w:t>
      </w:r>
      <w:r w:rsidR="002F3161" w:rsidRPr="005A54C3">
        <w:rPr>
          <w:rFonts w:asciiTheme="majorBidi" w:hAnsiTheme="majorBidi" w:cstheme="majorBidi"/>
        </w:rPr>
        <w:t xml:space="preserve"> </w:t>
      </w:r>
      <w:r w:rsidR="005A64E1" w:rsidRPr="005A54C3">
        <w:rPr>
          <w:rFonts w:asciiTheme="majorBidi" w:hAnsiTheme="majorBidi" w:cstheme="majorBidi"/>
        </w:rPr>
        <w:t>The same was true for referral to hospitalization status (</w:t>
      </w:r>
      <w:r w:rsidR="005A64E1" w:rsidRPr="005A54C3">
        <w:rPr>
          <w:rFonts w:asciiTheme="majorBidi" w:hAnsiTheme="majorBidi" w:cstheme="majorBidi"/>
          <w:i/>
          <w:iCs/>
        </w:rPr>
        <w:t>OR</w:t>
      </w:r>
      <w:r w:rsidR="00B6553B" w:rsidRPr="005A54C3">
        <w:rPr>
          <w:rFonts w:asciiTheme="majorBidi" w:hAnsiTheme="majorBidi" w:cstheme="majorBidi"/>
        </w:rPr>
        <w:t xml:space="preserve"> </w:t>
      </w:r>
      <w:r w:rsidR="005A64E1" w:rsidRPr="005A54C3">
        <w:rPr>
          <w:rFonts w:asciiTheme="majorBidi" w:hAnsiTheme="majorBidi" w:cstheme="majorBidi"/>
        </w:rPr>
        <w:t>=</w:t>
      </w:r>
      <w:r w:rsidR="00B6553B" w:rsidRPr="005A54C3">
        <w:rPr>
          <w:rFonts w:asciiTheme="majorBidi" w:hAnsiTheme="majorBidi" w:cstheme="majorBidi"/>
        </w:rPr>
        <w:t xml:space="preserve"> </w:t>
      </w:r>
      <w:r w:rsidR="005A64E1" w:rsidRPr="005A54C3">
        <w:rPr>
          <w:rFonts w:asciiTheme="majorBidi" w:hAnsiTheme="majorBidi" w:cstheme="majorBidi"/>
        </w:rPr>
        <w:t>2.61, 95%</w:t>
      </w:r>
      <w:r w:rsidR="00B6553B" w:rsidRPr="005A54C3">
        <w:rPr>
          <w:rFonts w:asciiTheme="majorBidi" w:hAnsiTheme="majorBidi" w:cstheme="majorBidi"/>
        </w:rPr>
        <w:t xml:space="preserve"> </w:t>
      </w:r>
      <w:r w:rsidR="005A64E1" w:rsidRPr="005A54C3">
        <w:rPr>
          <w:rFonts w:asciiTheme="majorBidi" w:hAnsiTheme="majorBidi" w:cstheme="majorBidi"/>
        </w:rPr>
        <w:t xml:space="preserve">CI </w:t>
      </w:r>
      <w:r w:rsidR="00B6553B" w:rsidRPr="005A54C3">
        <w:rPr>
          <w:rFonts w:asciiTheme="majorBidi" w:hAnsiTheme="majorBidi" w:cstheme="majorBidi"/>
        </w:rPr>
        <w:t>[</w:t>
      </w:r>
      <w:r w:rsidR="005A64E1" w:rsidRPr="005A54C3">
        <w:rPr>
          <w:rFonts w:asciiTheme="majorBidi" w:hAnsiTheme="majorBidi" w:cstheme="majorBidi"/>
        </w:rPr>
        <w:t>1.44</w:t>
      </w:r>
      <w:r w:rsidR="00B6553B" w:rsidRPr="005A54C3">
        <w:rPr>
          <w:rFonts w:asciiTheme="majorBidi" w:hAnsiTheme="majorBidi" w:cstheme="majorBidi"/>
        </w:rPr>
        <w:t>,</w:t>
      </w:r>
      <w:r w:rsidR="005A64E1" w:rsidRPr="005A54C3">
        <w:rPr>
          <w:rFonts w:asciiTheme="majorBidi" w:hAnsiTheme="majorBidi" w:cstheme="majorBidi"/>
        </w:rPr>
        <w:t xml:space="preserve"> 4.73], </w:t>
      </w:r>
      <w:r w:rsidR="00B6553B" w:rsidRPr="005A54C3">
        <w:rPr>
          <w:rFonts w:asciiTheme="majorBidi" w:hAnsiTheme="majorBidi" w:cstheme="majorBidi"/>
          <w:i/>
          <w:iCs/>
          <w:color w:val="212121"/>
        </w:rPr>
        <w:t>χ</w:t>
      </w:r>
      <w:r w:rsidR="00B6553B" w:rsidRPr="005A54C3">
        <w:rPr>
          <w:rFonts w:asciiTheme="majorBidi" w:hAnsiTheme="majorBidi" w:cstheme="majorBidi"/>
          <w:i/>
          <w:iCs/>
          <w:color w:val="212121"/>
          <w:vertAlign w:val="superscript"/>
        </w:rPr>
        <w:t>2</w:t>
      </w:r>
      <w:r w:rsidR="007F3B79" w:rsidRPr="005A54C3">
        <w:rPr>
          <w:rFonts w:asciiTheme="majorBidi" w:hAnsiTheme="majorBidi" w:cstheme="majorBidi"/>
        </w:rPr>
        <w:t xml:space="preserve"> =</w:t>
      </w:r>
      <w:r w:rsidR="005A64E1" w:rsidRPr="005A54C3">
        <w:rPr>
          <w:rFonts w:asciiTheme="majorBidi" w:hAnsiTheme="majorBidi" w:cstheme="majorBidi"/>
        </w:rPr>
        <w:t xml:space="preserve"> 10.80 and </w:t>
      </w:r>
      <w:r w:rsidR="005A64E1" w:rsidRPr="005A54C3">
        <w:rPr>
          <w:rFonts w:asciiTheme="majorBidi" w:hAnsiTheme="majorBidi" w:cstheme="majorBidi"/>
          <w:i/>
          <w:iCs/>
        </w:rPr>
        <w:t>OR</w:t>
      </w:r>
      <w:r w:rsidR="00B6553B" w:rsidRPr="005A54C3">
        <w:rPr>
          <w:rFonts w:asciiTheme="majorBidi" w:hAnsiTheme="majorBidi" w:cstheme="majorBidi"/>
        </w:rPr>
        <w:t xml:space="preserve"> </w:t>
      </w:r>
      <w:r w:rsidR="005A64E1" w:rsidRPr="005A54C3">
        <w:rPr>
          <w:rFonts w:asciiTheme="majorBidi" w:hAnsiTheme="majorBidi" w:cstheme="majorBidi"/>
        </w:rPr>
        <w:t>= 4.82</w:t>
      </w:r>
      <w:r w:rsidR="00B6553B" w:rsidRPr="005A54C3">
        <w:rPr>
          <w:rFonts w:asciiTheme="majorBidi" w:hAnsiTheme="majorBidi" w:cstheme="majorBidi"/>
        </w:rPr>
        <w:t>,</w:t>
      </w:r>
      <w:r w:rsidR="005A64E1" w:rsidRPr="005A54C3">
        <w:rPr>
          <w:rFonts w:asciiTheme="majorBidi" w:hAnsiTheme="majorBidi" w:cstheme="majorBidi"/>
        </w:rPr>
        <w:t xml:space="preserve"> 95%</w:t>
      </w:r>
      <w:r w:rsidR="00B6553B" w:rsidRPr="005A54C3">
        <w:rPr>
          <w:rFonts w:asciiTheme="majorBidi" w:hAnsiTheme="majorBidi" w:cstheme="majorBidi"/>
        </w:rPr>
        <w:t xml:space="preserve"> </w:t>
      </w:r>
      <w:r w:rsidR="005A64E1" w:rsidRPr="005A54C3">
        <w:rPr>
          <w:rFonts w:asciiTheme="majorBidi" w:hAnsiTheme="majorBidi" w:cstheme="majorBidi"/>
        </w:rPr>
        <w:t xml:space="preserve">CI </w:t>
      </w:r>
      <w:r w:rsidR="00B6553B" w:rsidRPr="005A54C3">
        <w:rPr>
          <w:rFonts w:asciiTheme="majorBidi" w:hAnsiTheme="majorBidi" w:cstheme="majorBidi"/>
        </w:rPr>
        <w:t>[</w:t>
      </w:r>
      <w:r w:rsidR="005A64E1" w:rsidRPr="005A54C3">
        <w:rPr>
          <w:rFonts w:asciiTheme="majorBidi" w:hAnsiTheme="majorBidi" w:cstheme="majorBidi"/>
        </w:rPr>
        <w:t>2.6</w:t>
      </w:r>
      <w:r w:rsidR="00E9244C" w:rsidRPr="005A54C3">
        <w:rPr>
          <w:rFonts w:asciiTheme="majorBidi" w:hAnsiTheme="majorBidi" w:cstheme="majorBidi"/>
        </w:rPr>
        <w:t>7</w:t>
      </w:r>
      <w:r w:rsidR="00B6553B" w:rsidRPr="005A54C3">
        <w:rPr>
          <w:rFonts w:asciiTheme="majorBidi" w:hAnsiTheme="majorBidi" w:cstheme="majorBidi"/>
        </w:rPr>
        <w:t>,</w:t>
      </w:r>
      <w:r w:rsidR="005A64E1" w:rsidRPr="005A54C3">
        <w:rPr>
          <w:rFonts w:asciiTheme="majorBidi" w:hAnsiTheme="majorBidi" w:cstheme="majorBidi"/>
        </w:rPr>
        <w:t xml:space="preserve"> 8.7</w:t>
      </w:r>
      <w:r w:rsidR="00E9244C" w:rsidRPr="005A54C3">
        <w:rPr>
          <w:rFonts w:asciiTheme="majorBidi" w:hAnsiTheme="majorBidi" w:cstheme="majorBidi"/>
        </w:rPr>
        <w:t>3</w:t>
      </w:r>
      <w:r w:rsidR="005A64E1" w:rsidRPr="005A54C3">
        <w:rPr>
          <w:rFonts w:asciiTheme="majorBidi" w:hAnsiTheme="majorBidi" w:cstheme="majorBidi"/>
        </w:rPr>
        <w:t xml:space="preserve">], </w:t>
      </w:r>
      <w:r w:rsidR="00B6553B" w:rsidRPr="005A54C3">
        <w:rPr>
          <w:rFonts w:asciiTheme="majorBidi" w:hAnsiTheme="majorBidi" w:cstheme="majorBidi"/>
          <w:i/>
          <w:iCs/>
          <w:color w:val="212121"/>
        </w:rPr>
        <w:t>χ</w:t>
      </w:r>
      <w:r w:rsidR="00B6553B" w:rsidRPr="005A54C3">
        <w:rPr>
          <w:rFonts w:asciiTheme="majorBidi" w:hAnsiTheme="majorBidi" w:cstheme="majorBidi"/>
          <w:i/>
          <w:iCs/>
          <w:color w:val="212121"/>
          <w:vertAlign w:val="superscript"/>
        </w:rPr>
        <w:t>2</w:t>
      </w:r>
      <w:r w:rsidR="005A64E1" w:rsidRPr="005A54C3">
        <w:rPr>
          <w:rFonts w:asciiTheme="majorBidi" w:hAnsiTheme="majorBidi" w:cstheme="majorBidi"/>
        </w:rPr>
        <w:t xml:space="preserve"> = 3</w:t>
      </w:r>
      <w:r w:rsidR="00E9244C" w:rsidRPr="005A54C3">
        <w:rPr>
          <w:rFonts w:asciiTheme="majorBidi" w:hAnsiTheme="majorBidi" w:cstheme="majorBidi"/>
        </w:rPr>
        <w:t>3</w:t>
      </w:r>
      <w:r w:rsidR="005A64E1" w:rsidRPr="005A54C3">
        <w:rPr>
          <w:rFonts w:asciiTheme="majorBidi" w:hAnsiTheme="majorBidi" w:cstheme="majorBidi"/>
        </w:rPr>
        <w:t>.1</w:t>
      </w:r>
      <w:r w:rsidR="00E9244C" w:rsidRPr="005A54C3">
        <w:rPr>
          <w:rFonts w:asciiTheme="majorBidi" w:hAnsiTheme="majorBidi" w:cstheme="majorBidi"/>
        </w:rPr>
        <w:t>0</w:t>
      </w:r>
      <w:r w:rsidR="005A64E1" w:rsidRPr="005A54C3">
        <w:rPr>
          <w:rFonts w:asciiTheme="majorBidi" w:hAnsiTheme="majorBidi" w:cstheme="majorBidi"/>
        </w:rPr>
        <w:t xml:space="preserve">, respectively, </w:t>
      </w:r>
      <w:r w:rsidR="005A64E1" w:rsidRPr="005A54C3">
        <w:rPr>
          <w:rFonts w:asciiTheme="majorBidi" w:hAnsiTheme="majorBidi" w:cstheme="majorBidi"/>
          <w:i/>
          <w:iCs/>
        </w:rPr>
        <w:t>p</w:t>
      </w:r>
      <w:r w:rsidR="00B6553B" w:rsidRPr="005A54C3">
        <w:rPr>
          <w:rFonts w:asciiTheme="majorBidi" w:hAnsiTheme="majorBidi" w:cstheme="majorBidi"/>
        </w:rPr>
        <w:t xml:space="preserve"> &lt;</w:t>
      </w:r>
      <w:r w:rsidR="005A64E1" w:rsidRPr="005A54C3">
        <w:rPr>
          <w:rFonts w:asciiTheme="majorBidi" w:hAnsiTheme="majorBidi" w:cstheme="majorBidi"/>
        </w:rPr>
        <w:t>.00</w:t>
      </w:r>
      <w:r w:rsidR="00B6553B" w:rsidRPr="005A54C3">
        <w:rPr>
          <w:rFonts w:asciiTheme="majorBidi" w:hAnsiTheme="majorBidi" w:cstheme="majorBidi"/>
        </w:rPr>
        <w:t>1</w:t>
      </w:r>
      <w:r w:rsidR="005A64E1" w:rsidRPr="005A54C3">
        <w:rPr>
          <w:rFonts w:asciiTheme="majorBidi" w:hAnsiTheme="majorBidi" w:cstheme="majorBidi"/>
        </w:rPr>
        <w:t xml:space="preserve"> for both) compared to children and adolescents</w:t>
      </w:r>
      <w:r w:rsidR="00E9244C" w:rsidRPr="005A54C3">
        <w:rPr>
          <w:rFonts w:asciiTheme="majorBidi" w:hAnsiTheme="majorBidi" w:cstheme="majorBidi"/>
        </w:rPr>
        <w:t>.</w:t>
      </w:r>
    </w:p>
    <w:p w14:paraId="27A18C93" w14:textId="77777777" w:rsidR="00E9244C" w:rsidRPr="005A54C3" w:rsidRDefault="00C60476">
      <w:pPr>
        <w:spacing w:after="120"/>
        <w:ind w:firstLine="720"/>
        <w:rPr>
          <w:rFonts w:asciiTheme="majorBidi" w:hAnsiTheme="majorBidi" w:cstheme="majorBidi"/>
          <w:color w:val="231F20"/>
        </w:rPr>
      </w:pPr>
      <w:r w:rsidRPr="005A54C3">
        <w:rPr>
          <w:rFonts w:asciiTheme="majorBidi" w:hAnsiTheme="majorBidi" w:cstheme="majorBidi"/>
          <w:color w:val="231F20"/>
        </w:rPr>
        <w:t xml:space="preserve">In addition, </w:t>
      </w:r>
      <w:r w:rsidR="00E9244C" w:rsidRPr="005A54C3">
        <w:rPr>
          <w:rFonts w:asciiTheme="majorBidi" w:hAnsiTheme="majorBidi" w:cstheme="majorBidi"/>
          <w:color w:val="231F20"/>
        </w:rPr>
        <w:t>we</w:t>
      </w:r>
      <w:r w:rsidR="00E8712F" w:rsidRPr="005A54C3">
        <w:rPr>
          <w:rFonts w:asciiTheme="majorBidi" w:hAnsiTheme="majorBidi" w:cstheme="majorBidi"/>
          <w:color w:val="231F20"/>
        </w:rPr>
        <w:t xml:space="preserve"> conducted a post-hoc analysis examining differences in the association between </w:t>
      </w:r>
      <w:r w:rsidR="001D5F6D" w:rsidRPr="005A54C3">
        <w:rPr>
          <w:rFonts w:asciiTheme="majorBidi" w:hAnsiTheme="majorBidi" w:cstheme="majorBidi"/>
          <w:color w:val="231F20"/>
        </w:rPr>
        <w:t>age and</w:t>
      </w:r>
      <w:r w:rsidR="00E9244C" w:rsidRPr="005A54C3">
        <w:rPr>
          <w:rFonts w:asciiTheme="majorBidi" w:hAnsiTheme="majorBidi" w:cstheme="majorBidi"/>
          <w:color w:val="231F20"/>
        </w:rPr>
        <w:t xml:space="preserve"> ADHD with</w:t>
      </w:r>
      <w:r w:rsidR="00E8712F" w:rsidRPr="005A54C3">
        <w:rPr>
          <w:rFonts w:asciiTheme="majorBidi" w:hAnsiTheme="majorBidi" w:cstheme="majorBidi"/>
          <w:color w:val="231F20"/>
        </w:rPr>
        <w:t xml:space="preserve"> symptomatic status and </w:t>
      </w:r>
      <w:r w:rsidR="00E9244C" w:rsidRPr="005A54C3">
        <w:rPr>
          <w:rFonts w:asciiTheme="majorBidi" w:hAnsiTheme="majorBidi" w:cstheme="majorBidi"/>
          <w:color w:val="231F20"/>
        </w:rPr>
        <w:t xml:space="preserve">referral to </w:t>
      </w:r>
      <w:r w:rsidR="00E8712F" w:rsidRPr="005A54C3">
        <w:rPr>
          <w:rFonts w:asciiTheme="majorBidi" w:hAnsiTheme="majorBidi" w:cstheme="majorBidi"/>
          <w:color w:val="231F20"/>
        </w:rPr>
        <w:t>hospitalization</w:t>
      </w:r>
      <w:r w:rsidR="00E9244C" w:rsidRPr="005A54C3">
        <w:rPr>
          <w:rFonts w:asciiTheme="majorBidi" w:hAnsiTheme="majorBidi" w:cstheme="majorBidi"/>
          <w:color w:val="231F20"/>
        </w:rPr>
        <w:t xml:space="preserve"> status</w:t>
      </w:r>
      <w:r w:rsidR="00E8712F" w:rsidRPr="005A54C3">
        <w:rPr>
          <w:rFonts w:asciiTheme="majorBidi" w:hAnsiTheme="majorBidi" w:cstheme="majorBidi"/>
          <w:color w:val="231F20"/>
        </w:rPr>
        <w:t>, using the Mantel-</w:t>
      </w:r>
      <w:proofErr w:type="spellStart"/>
      <w:r w:rsidR="00E8712F" w:rsidRPr="005A54C3">
        <w:rPr>
          <w:rFonts w:asciiTheme="majorBidi" w:hAnsiTheme="majorBidi" w:cstheme="majorBidi"/>
          <w:color w:val="231F20"/>
        </w:rPr>
        <w:t>Hanzel</w:t>
      </w:r>
      <w:proofErr w:type="spellEnd"/>
      <w:r w:rsidR="00E8712F" w:rsidRPr="005A54C3">
        <w:rPr>
          <w:rFonts w:asciiTheme="majorBidi" w:hAnsiTheme="majorBidi" w:cstheme="majorBidi"/>
          <w:color w:val="231F20"/>
        </w:rPr>
        <w:t xml:space="preserve"> method (Table 6).</w:t>
      </w:r>
    </w:p>
    <w:p w14:paraId="7B9AB1B3" w14:textId="77777777" w:rsidR="00AE4E22" w:rsidRPr="005A54C3" w:rsidRDefault="00E8712F">
      <w:pPr>
        <w:spacing w:after="120"/>
        <w:ind w:firstLine="720"/>
        <w:rPr>
          <w:rFonts w:asciiTheme="majorBidi" w:eastAsia="Georgia" w:hAnsiTheme="majorBidi" w:cstheme="majorBidi"/>
        </w:rPr>
      </w:pPr>
      <w:r w:rsidRPr="005A54C3">
        <w:rPr>
          <w:rFonts w:asciiTheme="majorBidi" w:hAnsiTheme="majorBidi" w:cstheme="majorBidi"/>
          <w:color w:val="231F20"/>
        </w:rPr>
        <w:t xml:space="preserve"> </w:t>
      </w:r>
      <w:r w:rsidR="00E9244C" w:rsidRPr="005A54C3">
        <w:rPr>
          <w:rFonts w:asciiTheme="majorBidi" w:hAnsiTheme="majorBidi" w:cstheme="majorBidi"/>
          <w:color w:val="231F20"/>
        </w:rPr>
        <w:t xml:space="preserve">Two hundred and thirty-one </w:t>
      </w:r>
      <w:r w:rsidRPr="005A54C3">
        <w:rPr>
          <w:rFonts w:asciiTheme="majorBidi" w:hAnsiTheme="majorBidi" w:cstheme="majorBidi"/>
          <w:color w:val="231F20"/>
        </w:rPr>
        <w:t>COVID-19+ patients were diagnosed with ADHD. They were analy</w:t>
      </w:r>
      <w:r w:rsidR="00E9244C" w:rsidRPr="005A54C3">
        <w:rPr>
          <w:rFonts w:asciiTheme="majorBidi" w:hAnsiTheme="majorBidi" w:cstheme="majorBidi"/>
          <w:color w:val="231F20"/>
        </w:rPr>
        <w:t>z</w:t>
      </w:r>
      <w:r w:rsidRPr="005A54C3">
        <w:rPr>
          <w:rFonts w:asciiTheme="majorBidi" w:hAnsiTheme="majorBidi" w:cstheme="majorBidi"/>
          <w:color w:val="231F20"/>
        </w:rPr>
        <w:t>ed categorically divided to t</w:t>
      </w:r>
      <w:r w:rsidR="00E9244C" w:rsidRPr="005A54C3">
        <w:rPr>
          <w:rFonts w:asciiTheme="majorBidi" w:hAnsiTheme="majorBidi" w:cstheme="majorBidi"/>
          <w:color w:val="231F20"/>
        </w:rPr>
        <w:t xml:space="preserve">he same age </w:t>
      </w:r>
      <w:r w:rsidRPr="005A54C3">
        <w:rPr>
          <w:rFonts w:asciiTheme="majorBidi" w:hAnsiTheme="majorBidi" w:cstheme="majorBidi"/>
          <w:color w:val="231F20"/>
        </w:rPr>
        <w:t>groups, 5-</w:t>
      </w:r>
      <w:r w:rsidR="00E9244C" w:rsidRPr="005A54C3">
        <w:rPr>
          <w:rFonts w:asciiTheme="majorBidi" w:hAnsiTheme="majorBidi" w:cstheme="majorBidi"/>
          <w:color w:val="231F20"/>
        </w:rPr>
        <w:t>20</w:t>
      </w:r>
      <w:r w:rsidRPr="005A54C3">
        <w:rPr>
          <w:rFonts w:asciiTheme="majorBidi" w:hAnsiTheme="majorBidi" w:cstheme="majorBidi"/>
          <w:color w:val="231F20"/>
        </w:rPr>
        <w:t xml:space="preserve"> year</w:t>
      </w:r>
      <w:r w:rsidR="00B6553B" w:rsidRPr="005A54C3">
        <w:rPr>
          <w:rFonts w:asciiTheme="majorBidi" w:hAnsiTheme="majorBidi" w:cstheme="majorBidi"/>
          <w:color w:val="231F20"/>
        </w:rPr>
        <w:t>s</w:t>
      </w:r>
      <w:r w:rsidRPr="005A54C3">
        <w:rPr>
          <w:rFonts w:asciiTheme="majorBidi" w:hAnsiTheme="majorBidi" w:cstheme="majorBidi"/>
          <w:color w:val="231F20"/>
        </w:rPr>
        <w:t xml:space="preserve"> (</w:t>
      </w:r>
      <w:r w:rsidRPr="005A54C3">
        <w:rPr>
          <w:rFonts w:asciiTheme="majorBidi" w:hAnsiTheme="majorBidi" w:cstheme="majorBidi"/>
          <w:i/>
          <w:color w:val="231F20"/>
        </w:rPr>
        <w:t>n</w:t>
      </w:r>
      <w:r w:rsidRPr="005A54C3">
        <w:rPr>
          <w:rFonts w:asciiTheme="majorBidi" w:hAnsiTheme="majorBidi" w:cstheme="majorBidi"/>
          <w:color w:val="231F20"/>
        </w:rPr>
        <w:t xml:space="preserve"> = 111), 2</w:t>
      </w:r>
      <w:r w:rsidR="00E9244C" w:rsidRPr="005A54C3">
        <w:rPr>
          <w:rFonts w:asciiTheme="majorBidi" w:hAnsiTheme="majorBidi" w:cstheme="majorBidi"/>
          <w:color w:val="231F20"/>
        </w:rPr>
        <w:t>1</w:t>
      </w:r>
      <w:r w:rsidRPr="005A54C3">
        <w:rPr>
          <w:rFonts w:asciiTheme="majorBidi" w:hAnsiTheme="majorBidi" w:cstheme="majorBidi"/>
          <w:color w:val="231F20"/>
        </w:rPr>
        <w:t>-</w:t>
      </w:r>
      <w:r w:rsidR="00E9244C" w:rsidRPr="005A54C3">
        <w:rPr>
          <w:rFonts w:asciiTheme="majorBidi" w:hAnsiTheme="majorBidi" w:cstheme="majorBidi"/>
          <w:color w:val="231F20"/>
        </w:rPr>
        <w:t>40</w:t>
      </w:r>
      <w:r w:rsidRPr="005A54C3">
        <w:rPr>
          <w:rFonts w:asciiTheme="majorBidi" w:hAnsiTheme="majorBidi" w:cstheme="majorBidi"/>
          <w:color w:val="231F20"/>
        </w:rPr>
        <w:t xml:space="preserve"> </w:t>
      </w:r>
      <w:r w:rsidRPr="005A54C3">
        <w:rPr>
          <w:rFonts w:asciiTheme="majorBidi" w:hAnsiTheme="majorBidi" w:cstheme="majorBidi"/>
          <w:color w:val="231F20"/>
        </w:rPr>
        <w:lastRenderedPageBreak/>
        <w:t>year</w:t>
      </w:r>
      <w:r w:rsidR="00B6553B" w:rsidRPr="005A54C3">
        <w:rPr>
          <w:rFonts w:asciiTheme="majorBidi" w:hAnsiTheme="majorBidi" w:cstheme="majorBidi"/>
          <w:color w:val="231F20"/>
        </w:rPr>
        <w:t>s</w:t>
      </w:r>
      <w:r w:rsidRPr="005A54C3">
        <w:rPr>
          <w:rFonts w:asciiTheme="majorBidi" w:hAnsiTheme="majorBidi" w:cstheme="majorBidi"/>
          <w:color w:val="231F20"/>
        </w:rPr>
        <w:t xml:space="preserve"> (</w:t>
      </w:r>
      <w:r w:rsidRPr="005A54C3">
        <w:rPr>
          <w:rFonts w:asciiTheme="majorBidi" w:hAnsiTheme="majorBidi" w:cstheme="majorBidi"/>
          <w:i/>
          <w:color w:val="231F20"/>
        </w:rPr>
        <w:t>n</w:t>
      </w:r>
      <w:r w:rsidRPr="005A54C3">
        <w:rPr>
          <w:rFonts w:asciiTheme="majorBidi" w:hAnsiTheme="majorBidi" w:cstheme="majorBidi"/>
          <w:color w:val="231F20"/>
        </w:rPr>
        <w:t xml:space="preserve"> = 111), 4</w:t>
      </w:r>
      <w:r w:rsidR="00E9244C" w:rsidRPr="005A54C3">
        <w:rPr>
          <w:rFonts w:asciiTheme="majorBidi" w:hAnsiTheme="majorBidi" w:cstheme="majorBidi"/>
          <w:color w:val="231F20"/>
        </w:rPr>
        <w:t>1</w:t>
      </w:r>
      <w:r w:rsidRPr="005A54C3">
        <w:rPr>
          <w:rFonts w:asciiTheme="majorBidi" w:hAnsiTheme="majorBidi" w:cstheme="majorBidi"/>
          <w:color w:val="231F20"/>
        </w:rPr>
        <w:t>-60 years old, (</w:t>
      </w:r>
      <w:r w:rsidRPr="005A54C3">
        <w:rPr>
          <w:rFonts w:asciiTheme="majorBidi" w:hAnsiTheme="majorBidi" w:cstheme="majorBidi"/>
          <w:i/>
          <w:color w:val="231F20"/>
        </w:rPr>
        <w:t>n</w:t>
      </w:r>
      <w:r w:rsidRPr="005A54C3">
        <w:rPr>
          <w:rFonts w:asciiTheme="majorBidi" w:hAnsiTheme="majorBidi" w:cstheme="majorBidi"/>
          <w:color w:val="231F20"/>
        </w:rPr>
        <w:t xml:space="preserve"> = 17)</w:t>
      </w:r>
      <w:r w:rsidR="00E9244C" w:rsidRPr="005A54C3">
        <w:rPr>
          <w:rFonts w:asciiTheme="majorBidi" w:hAnsiTheme="majorBidi" w:cstheme="majorBidi"/>
          <w:color w:val="231F20"/>
        </w:rPr>
        <w:t>.</w:t>
      </w:r>
      <w:r w:rsidRPr="005A54C3">
        <w:rPr>
          <w:rFonts w:asciiTheme="majorBidi" w:hAnsiTheme="majorBidi" w:cstheme="majorBidi"/>
          <w:color w:val="231F20"/>
        </w:rPr>
        <w:t xml:space="preserve"> </w:t>
      </w:r>
      <w:r w:rsidR="00E9244C" w:rsidRPr="005A54C3">
        <w:rPr>
          <w:rFonts w:asciiTheme="majorBidi" w:eastAsia="Georgia" w:hAnsiTheme="majorBidi" w:cstheme="majorBidi"/>
        </w:rPr>
        <w:t>T</w:t>
      </w:r>
      <w:r w:rsidRPr="005A54C3">
        <w:rPr>
          <w:rFonts w:asciiTheme="majorBidi" w:eastAsia="Georgia" w:hAnsiTheme="majorBidi" w:cstheme="majorBidi"/>
        </w:rPr>
        <w:t>he young</w:t>
      </w:r>
      <w:r w:rsidR="00E9244C" w:rsidRPr="005A54C3">
        <w:rPr>
          <w:rFonts w:asciiTheme="majorBidi" w:eastAsia="Georgia" w:hAnsiTheme="majorBidi" w:cstheme="majorBidi"/>
        </w:rPr>
        <w:t xml:space="preserve"> ADHD</w:t>
      </w:r>
      <w:r w:rsidRPr="005A54C3">
        <w:rPr>
          <w:rFonts w:asciiTheme="majorBidi" w:eastAsia="Georgia" w:hAnsiTheme="majorBidi" w:cstheme="majorBidi"/>
        </w:rPr>
        <w:t xml:space="preserve"> age group (5-</w:t>
      </w:r>
      <w:r w:rsidR="00E9244C" w:rsidRPr="005A54C3">
        <w:rPr>
          <w:rFonts w:asciiTheme="majorBidi" w:eastAsia="Georgia" w:hAnsiTheme="majorBidi" w:cstheme="majorBidi"/>
        </w:rPr>
        <w:t>20</w:t>
      </w:r>
      <w:r w:rsidRPr="005A54C3">
        <w:rPr>
          <w:rFonts w:asciiTheme="majorBidi" w:eastAsia="Georgia" w:hAnsiTheme="majorBidi" w:cstheme="majorBidi"/>
        </w:rPr>
        <w:t xml:space="preserve"> years)</w:t>
      </w:r>
      <w:r w:rsidR="00E9244C" w:rsidRPr="005A54C3">
        <w:rPr>
          <w:rFonts w:asciiTheme="majorBidi" w:eastAsia="Georgia" w:hAnsiTheme="majorBidi" w:cstheme="majorBidi"/>
        </w:rPr>
        <w:t xml:space="preserve"> revealed significant</w:t>
      </w:r>
      <w:r w:rsidR="00AE4E22" w:rsidRPr="005A54C3">
        <w:rPr>
          <w:rFonts w:asciiTheme="majorBidi" w:eastAsia="Georgia" w:hAnsiTheme="majorBidi" w:cstheme="majorBidi"/>
        </w:rPr>
        <w:t>ly higher rate of symptomatic status, compared to the non-ADHD children and adolescents</w:t>
      </w:r>
      <w:r w:rsidRPr="005A54C3">
        <w:rPr>
          <w:rFonts w:asciiTheme="majorBidi" w:eastAsia="Georgia" w:hAnsiTheme="majorBidi" w:cstheme="majorBidi"/>
        </w:rPr>
        <w:t xml:space="preserve"> (adjusted </w:t>
      </w:r>
      <w:r w:rsidRPr="005A54C3">
        <w:rPr>
          <w:rFonts w:asciiTheme="majorBidi" w:eastAsia="Georgia" w:hAnsiTheme="majorBidi" w:cstheme="majorBidi"/>
          <w:i/>
          <w:iCs/>
        </w:rPr>
        <w:t>OR</w:t>
      </w:r>
      <w:r w:rsidR="00BF5FE1" w:rsidRPr="005A54C3">
        <w:rPr>
          <w:rFonts w:asciiTheme="majorBidi" w:eastAsia="Georgia" w:hAnsiTheme="majorBidi" w:cstheme="majorBidi"/>
        </w:rPr>
        <w:t xml:space="preserve"> </w:t>
      </w:r>
      <w:r w:rsidRPr="005A54C3">
        <w:rPr>
          <w:rFonts w:asciiTheme="majorBidi" w:eastAsia="Georgia" w:hAnsiTheme="majorBidi" w:cstheme="majorBidi"/>
        </w:rPr>
        <w:t>= 3.22 95%</w:t>
      </w:r>
      <w:r w:rsidR="00BF5FE1" w:rsidRPr="005A54C3">
        <w:rPr>
          <w:rFonts w:asciiTheme="majorBidi" w:eastAsia="Georgia" w:hAnsiTheme="majorBidi" w:cstheme="majorBidi"/>
        </w:rPr>
        <w:t xml:space="preserve"> </w:t>
      </w:r>
      <w:r w:rsidRPr="005A54C3">
        <w:rPr>
          <w:rFonts w:asciiTheme="majorBidi" w:eastAsia="Georgia" w:hAnsiTheme="majorBidi" w:cstheme="majorBidi"/>
        </w:rPr>
        <w:t xml:space="preserve">CI </w:t>
      </w:r>
      <w:r w:rsidR="00BF5FE1" w:rsidRPr="005A54C3">
        <w:rPr>
          <w:rFonts w:asciiTheme="majorBidi" w:eastAsia="Georgia" w:hAnsiTheme="majorBidi" w:cstheme="majorBidi"/>
        </w:rPr>
        <w:t>[</w:t>
      </w:r>
      <w:r w:rsidRPr="005A54C3">
        <w:rPr>
          <w:rFonts w:asciiTheme="majorBidi" w:eastAsia="Georgia" w:hAnsiTheme="majorBidi" w:cstheme="majorBidi"/>
        </w:rPr>
        <w:t>2.04</w:t>
      </w:r>
      <w:r w:rsidR="00BF5FE1" w:rsidRPr="005A54C3">
        <w:rPr>
          <w:rFonts w:asciiTheme="majorBidi" w:eastAsia="Georgia" w:hAnsiTheme="majorBidi" w:cstheme="majorBidi"/>
        </w:rPr>
        <w:t>,</w:t>
      </w:r>
      <w:r w:rsidRPr="005A54C3">
        <w:rPr>
          <w:rFonts w:asciiTheme="majorBidi" w:eastAsia="Georgia" w:hAnsiTheme="majorBidi" w:cstheme="majorBidi"/>
        </w:rPr>
        <w:t xml:space="preserve"> 5.09], </w:t>
      </w:r>
      <w:r w:rsidRPr="005A54C3">
        <w:rPr>
          <w:rFonts w:asciiTheme="majorBidi" w:eastAsia="Georgia" w:hAnsiTheme="majorBidi" w:cstheme="majorBidi"/>
          <w:i/>
          <w:iCs/>
        </w:rPr>
        <w:t>p</w:t>
      </w:r>
      <w:r w:rsidR="00BF5FE1" w:rsidRPr="005A54C3">
        <w:rPr>
          <w:rFonts w:asciiTheme="majorBidi" w:eastAsia="Georgia" w:hAnsiTheme="majorBidi" w:cstheme="majorBidi"/>
        </w:rPr>
        <w:t xml:space="preserve"> </w:t>
      </w:r>
      <w:r w:rsidR="006239B3" w:rsidRPr="005A54C3">
        <w:rPr>
          <w:rFonts w:asciiTheme="majorBidi" w:eastAsia="Georgia" w:hAnsiTheme="majorBidi" w:cstheme="majorBidi"/>
        </w:rPr>
        <w:t>&lt;</w:t>
      </w:r>
      <w:r w:rsidRPr="005A54C3">
        <w:rPr>
          <w:rFonts w:asciiTheme="majorBidi" w:eastAsia="Georgia" w:hAnsiTheme="majorBidi" w:cstheme="majorBidi"/>
        </w:rPr>
        <w:t>.001). Such difference was not demonstrated for being referred to hospital</w:t>
      </w:r>
      <w:r w:rsidR="00AE4E22" w:rsidRPr="005A54C3">
        <w:rPr>
          <w:rFonts w:asciiTheme="majorBidi" w:eastAsia="Georgia" w:hAnsiTheme="majorBidi" w:cstheme="majorBidi"/>
        </w:rPr>
        <w:t>ization.</w:t>
      </w:r>
      <w:r w:rsidRPr="005A54C3">
        <w:rPr>
          <w:rFonts w:asciiTheme="majorBidi" w:eastAsia="Georgia" w:hAnsiTheme="majorBidi" w:cstheme="majorBidi"/>
        </w:rPr>
        <w:t xml:space="preserve"> </w:t>
      </w:r>
      <w:r w:rsidR="00AE4E22" w:rsidRPr="005A54C3">
        <w:rPr>
          <w:rFonts w:asciiTheme="majorBidi" w:eastAsia="Georgia" w:hAnsiTheme="majorBidi" w:cstheme="majorBidi"/>
        </w:rPr>
        <w:t>This</w:t>
      </w:r>
      <w:r w:rsidRPr="005A54C3">
        <w:rPr>
          <w:rFonts w:asciiTheme="majorBidi" w:eastAsia="Georgia" w:hAnsiTheme="majorBidi" w:cstheme="majorBidi"/>
        </w:rPr>
        <w:t xml:space="preserve"> insignificance </w:t>
      </w:r>
      <w:r w:rsidR="00AE4E22" w:rsidRPr="005A54C3">
        <w:rPr>
          <w:rFonts w:asciiTheme="majorBidi" w:eastAsia="Georgia" w:hAnsiTheme="majorBidi" w:cstheme="majorBidi"/>
        </w:rPr>
        <w:t xml:space="preserve">may be related to </w:t>
      </w:r>
      <w:r w:rsidRPr="005A54C3">
        <w:rPr>
          <w:rFonts w:asciiTheme="majorBidi" w:eastAsia="Georgia" w:hAnsiTheme="majorBidi" w:cstheme="majorBidi"/>
        </w:rPr>
        <w:t>the small number (</w:t>
      </w:r>
      <w:r w:rsidRPr="005A54C3">
        <w:rPr>
          <w:rFonts w:asciiTheme="majorBidi" w:eastAsia="Georgia" w:hAnsiTheme="majorBidi" w:cstheme="majorBidi"/>
          <w:i/>
          <w:iCs/>
        </w:rPr>
        <w:t>n</w:t>
      </w:r>
      <w:r w:rsidR="00BF5FE1" w:rsidRPr="005A54C3">
        <w:rPr>
          <w:rFonts w:asciiTheme="majorBidi" w:eastAsia="Georgia" w:hAnsiTheme="majorBidi" w:cstheme="majorBidi"/>
        </w:rPr>
        <w:t xml:space="preserve"> </w:t>
      </w:r>
      <w:r w:rsidRPr="005A54C3">
        <w:rPr>
          <w:rFonts w:asciiTheme="majorBidi" w:eastAsia="Georgia" w:hAnsiTheme="majorBidi" w:cstheme="majorBidi"/>
        </w:rPr>
        <w:t>=</w:t>
      </w:r>
      <w:r w:rsidR="00BF5FE1" w:rsidRPr="005A54C3">
        <w:rPr>
          <w:rFonts w:asciiTheme="majorBidi" w:eastAsia="Georgia" w:hAnsiTheme="majorBidi" w:cstheme="majorBidi"/>
        </w:rPr>
        <w:t xml:space="preserve"> </w:t>
      </w:r>
      <w:r w:rsidRPr="005A54C3">
        <w:rPr>
          <w:rFonts w:asciiTheme="majorBidi" w:eastAsia="Georgia" w:hAnsiTheme="majorBidi" w:cstheme="majorBidi"/>
        </w:rPr>
        <w:t xml:space="preserve">15) of hospitalized children and adolescents (adjusted </w:t>
      </w:r>
      <w:r w:rsidRPr="005A54C3">
        <w:rPr>
          <w:rFonts w:asciiTheme="majorBidi" w:eastAsia="Georgia" w:hAnsiTheme="majorBidi" w:cstheme="majorBidi"/>
          <w:i/>
          <w:iCs/>
        </w:rPr>
        <w:t>OR</w:t>
      </w:r>
      <w:r w:rsidR="00BF5FE1" w:rsidRPr="005A54C3">
        <w:rPr>
          <w:rFonts w:asciiTheme="majorBidi" w:eastAsia="Georgia" w:hAnsiTheme="majorBidi" w:cstheme="majorBidi"/>
        </w:rPr>
        <w:t xml:space="preserve"> </w:t>
      </w:r>
      <w:r w:rsidRPr="005A54C3">
        <w:rPr>
          <w:rFonts w:asciiTheme="majorBidi" w:eastAsia="Georgia" w:hAnsiTheme="majorBidi" w:cstheme="majorBidi"/>
        </w:rPr>
        <w:t>= 1.54 95%</w:t>
      </w:r>
      <w:r w:rsidR="00BF5FE1" w:rsidRPr="005A54C3">
        <w:rPr>
          <w:rFonts w:asciiTheme="majorBidi" w:eastAsia="Georgia" w:hAnsiTheme="majorBidi" w:cstheme="majorBidi"/>
        </w:rPr>
        <w:t xml:space="preserve"> </w:t>
      </w:r>
      <w:r w:rsidRPr="005A54C3">
        <w:rPr>
          <w:rFonts w:asciiTheme="majorBidi" w:eastAsia="Georgia" w:hAnsiTheme="majorBidi" w:cstheme="majorBidi"/>
        </w:rPr>
        <w:t xml:space="preserve">CI </w:t>
      </w:r>
      <w:r w:rsidR="00BF5FE1" w:rsidRPr="005A54C3">
        <w:rPr>
          <w:rFonts w:asciiTheme="majorBidi" w:eastAsia="Georgia" w:hAnsiTheme="majorBidi" w:cstheme="majorBidi"/>
        </w:rPr>
        <w:t>[</w:t>
      </w:r>
      <w:r w:rsidRPr="005A54C3">
        <w:rPr>
          <w:rFonts w:asciiTheme="majorBidi" w:eastAsia="Georgia" w:hAnsiTheme="majorBidi" w:cstheme="majorBidi"/>
        </w:rPr>
        <w:t>0.47</w:t>
      </w:r>
      <w:r w:rsidR="00BF5FE1" w:rsidRPr="005A54C3">
        <w:rPr>
          <w:rFonts w:asciiTheme="majorBidi" w:eastAsia="Georgia" w:hAnsiTheme="majorBidi" w:cstheme="majorBidi"/>
        </w:rPr>
        <w:t xml:space="preserve">, </w:t>
      </w:r>
      <w:r w:rsidRPr="005A54C3">
        <w:rPr>
          <w:rFonts w:asciiTheme="majorBidi" w:eastAsia="Georgia" w:hAnsiTheme="majorBidi" w:cstheme="majorBidi"/>
        </w:rPr>
        <w:t>5.03</w:t>
      </w:r>
      <w:r w:rsidR="00AE4E22" w:rsidRPr="005A54C3">
        <w:rPr>
          <w:rFonts w:asciiTheme="majorBidi" w:eastAsia="Georgia" w:hAnsiTheme="majorBidi" w:cstheme="majorBidi"/>
        </w:rPr>
        <w:t>]</w:t>
      </w:r>
      <w:r w:rsidR="00BF5FE1" w:rsidRPr="005A54C3">
        <w:rPr>
          <w:rFonts w:asciiTheme="majorBidi" w:eastAsia="Georgia" w:hAnsiTheme="majorBidi" w:cstheme="majorBidi"/>
        </w:rPr>
        <w:t>,</w:t>
      </w:r>
      <w:r w:rsidRPr="005A54C3">
        <w:rPr>
          <w:rFonts w:asciiTheme="majorBidi" w:eastAsia="Georgia" w:hAnsiTheme="majorBidi" w:cstheme="majorBidi"/>
        </w:rPr>
        <w:t xml:space="preserve"> </w:t>
      </w:r>
      <w:r w:rsidRPr="005A54C3">
        <w:rPr>
          <w:rFonts w:asciiTheme="majorBidi" w:eastAsia="Georgia" w:hAnsiTheme="majorBidi" w:cstheme="majorBidi"/>
          <w:i/>
          <w:iCs/>
        </w:rPr>
        <w:t>p</w:t>
      </w:r>
      <w:r w:rsidR="00A25780" w:rsidRPr="005A54C3">
        <w:rPr>
          <w:rFonts w:asciiTheme="majorBidi" w:eastAsia="Georgia" w:hAnsiTheme="majorBidi" w:cstheme="majorBidi"/>
        </w:rPr>
        <w:t xml:space="preserve"> </w:t>
      </w:r>
      <w:r w:rsidR="006239B3" w:rsidRPr="005A54C3">
        <w:rPr>
          <w:rFonts w:asciiTheme="majorBidi" w:eastAsia="Georgia" w:hAnsiTheme="majorBidi" w:cstheme="majorBidi"/>
        </w:rPr>
        <w:t>=</w:t>
      </w:r>
      <w:r w:rsidRPr="005A54C3">
        <w:rPr>
          <w:rFonts w:asciiTheme="majorBidi" w:eastAsia="Georgia" w:hAnsiTheme="majorBidi" w:cstheme="majorBidi"/>
        </w:rPr>
        <w:t xml:space="preserve">.475). </w:t>
      </w:r>
    </w:p>
    <w:p w14:paraId="78A0191C" w14:textId="77777777" w:rsidR="00532C03" w:rsidRPr="005A54C3" w:rsidRDefault="00E8712F" w:rsidP="00B6553B">
      <w:pPr>
        <w:rPr>
          <w:rFonts w:asciiTheme="majorBidi" w:eastAsia="Georgia" w:hAnsiTheme="majorBidi" w:cstheme="majorBidi"/>
          <w:i/>
        </w:rPr>
      </w:pPr>
      <w:r w:rsidRPr="005A54C3">
        <w:rPr>
          <w:rFonts w:asciiTheme="majorBidi" w:eastAsia="Georgia" w:hAnsiTheme="majorBidi" w:cstheme="majorBidi"/>
        </w:rPr>
        <w:t xml:space="preserve"> </w:t>
      </w:r>
      <w:r w:rsidR="00AE4E22" w:rsidRPr="005A54C3">
        <w:rPr>
          <w:rFonts w:asciiTheme="majorBidi" w:eastAsia="Georgia" w:hAnsiTheme="majorBidi" w:cstheme="majorBidi"/>
        </w:rPr>
        <w:t xml:space="preserve">In </w:t>
      </w:r>
      <w:r w:rsidR="006411A7" w:rsidRPr="005A54C3">
        <w:rPr>
          <w:rFonts w:asciiTheme="majorBidi" w:eastAsia="Georgia" w:hAnsiTheme="majorBidi" w:cstheme="majorBidi"/>
        </w:rPr>
        <w:t>the older age groups (21-40, 41-60 years), having ADHD was associated with higher rates of referral to hospitalization (Table 6). No significant difference was observed with regard to the symptomatic status.</w:t>
      </w:r>
    </w:p>
    <w:p w14:paraId="30F03565" w14:textId="77777777" w:rsidR="00BF5FE1" w:rsidRPr="005A54C3" w:rsidRDefault="00BF5FE1">
      <w:pPr>
        <w:spacing w:after="160" w:line="259" w:lineRule="auto"/>
        <w:rPr>
          <w:rFonts w:asciiTheme="majorBidi" w:hAnsiTheme="majorBidi" w:cstheme="majorBidi"/>
          <w:b/>
          <w:sz w:val="28"/>
          <w:szCs w:val="28"/>
        </w:rPr>
      </w:pPr>
      <w:bookmarkStart w:id="6" w:name="_heading=h.tyjcwt" w:colFirst="0" w:colLast="0"/>
      <w:bookmarkEnd w:id="6"/>
    </w:p>
    <w:p w14:paraId="0A3D1EAA" w14:textId="77777777" w:rsidR="00532C03" w:rsidRPr="005A54C3" w:rsidRDefault="00E8712F">
      <w:pPr>
        <w:pStyle w:val="Heading1"/>
        <w:spacing w:line="360" w:lineRule="auto"/>
        <w:rPr>
          <w:rFonts w:asciiTheme="majorBidi" w:hAnsiTheme="majorBidi" w:cstheme="majorBidi"/>
        </w:rPr>
      </w:pPr>
      <w:r w:rsidRPr="005A54C3">
        <w:rPr>
          <w:rFonts w:asciiTheme="majorBidi" w:hAnsiTheme="majorBidi" w:cstheme="majorBidi"/>
        </w:rPr>
        <w:t>Discussion</w:t>
      </w:r>
    </w:p>
    <w:p w14:paraId="65CE115C" w14:textId="77777777" w:rsidR="00532C03" w:rsidRPr="005A54C3" w:rsidRDefault="00E8712F">
      <w:pPr>
        <w:ind w:firstLine="720"/>
        <w:rPr>
          <w:rFonts w:asciiTheme="majorBidi" w:hAnsiTheme="majorBidi" w:cstheme="majorBidi"/>
        </w:rPr>
      </w:pPr>
      <w:r w:rsidRPr="005A54C3">
        <w:rPr>
          <w:rFonts w:asciiTheme="majorBidi" w:hAnsiTheme="majorBidi" w:cstheme="majorBidi"/>
        </w:rPr>
        <w:t xml:space="preserve">The aim of this study was to assess in COVID-19 infected subjects the association between ADHD and the severity of COVID-19 infection, as was defined by an increased risk of being symptomatic, suffering from greater symptom severity and being referred to hospitalization after controlling for possible confounding factors, including demographic, </w:t>
      </w:r>
      <w:r w:rsidR="00C934F2" w:rsidRPr="005A54C3">
        <w:rPr>
          <w:rFonts w:asciiTheme="majorBidi" w:hAnsiTheme="majorBidi" w:cstheme="majorBidi"/>
        </w:rPr>
        <w:t>medical</w:t>
      </w:r>
      <w:r w:rsidRPr="005A54C3">
        <w:rPr>
          <w:rFonts w:asciiTheme="majorBidi" w:hAnsiTheme="majorBidi" w:cstheme="majorBidi"/>
        </w:rPr>
        <w:t>, psychiatric, and lifestyle variables. In addition to replicate previous findings demonstrating that age, obesity and chronic medical conditions are risk factors for COVID-19 symptom severity and hospitalization (</w:t>
      </w:r>
      <w:proofErr w:type="spellStart"/>
      <w:r w:rsidRPr="005A54C3">
        <w:rPr>
          <w:rFonts w:asciiTheme="majorBidi" w:hAnsiTheme="majorBidi" w:cstheme="majorBidi"/>
        </w:rPr>
        <w:t>Petrilli</w:t>
      </w:r>
      <w:proofErr w:type="spellEnd"/>
      <w:r w:rsidRPr="005A54C3">
        <w:rPr>
          <w:rFonts w:asciiTheme="majorBidi" w:hAnsiTheme="majorBidi" w:cstheme="majorBidi"/>
        </w:rPr>
        <w:t xml:space="preserve"> et al, 2020; Williamson et al., 2020; Zheng et al., 2020), we found that that </w:t>
      </w:r>
      <w:r w:rsidR="00C934F2" w:rsidRPr="005A54C3">
        <w:rPr>
          <w:rFonts w:asciiTheme="majorBidi" w:hAnsiTheme="majorBidi" w:cstheme="majorBidi"/>
        </w:rPr>
        <w:t xml:space="preserve">having </w:t>
      </w:r>
      <w:r w:rsidRPr="005A54C3">
        <w:rPr>
          <w:rFonts w:asciiTheme="majorBidi" w:hAnsiTheme="majorBidi" w:cstheme="majorBidi"/>
        </w:rPr>
        <w:t xml:space="preserve">COVID-19 </w:t>
      </w:r>
      <w:r w:rsidR="00C934F2" w:rsidRPr="005A54C3">
        <w:rPr>
          <w:rFonts w:asciiTheme="majorBidi" w:hAnsiTheme="majorBidi" w:cstheme="majorBidi"/>
        </w:rPr>
        <w:t>infection in</w:t>
      </w:r>
      <w:r w:rsidRPr="005A54C3">
        <w:rPr>
          <w:rFonts w:asciiTheme="majorBidi" w:hAnsiTheme="majorBidi" w:cstheme="majorBidi"/>
        </w:rPr>
        <w:t xml:space="preserve"> patients with ADHD was associated with more severe symptoms and an increased rate of referral to hospitalization, even after accounting for variables known to increase the risk for both disorders. It is of note, that </w:t>
      </w:r>
      <w:r w:rsidR="007574DF" w:rsidRPr="005A54C3">
        <w:rPr>
          <w:rFonts w:asciiTheme="majorBidi" w:hAnsiTheme="majorBidi" w:cstheme="majorBidi"/>
        </w:rPr>
        <w:t>in this</w:t>
      </w:r>
      <w:r w:rsidRPr="005A54C3">
        <w:rPr>
          <w:rFonts w:asciiTheme="majorBidi" w:hAnsiTheme="majorBidi" w:cstheme="majorBidi"/>
        </w:rPr>
        <w:t xml:space="preserve"> cohort, ADHD was </w:t>
      </w:r>
      <w:r w:rsidR="00C934F2" w:rsidRPr="005A54C3">
        <w:rPr>
          <w:rFonts w:asciiTheme="majorBidi" w:hAnsiTheme="majorBidi" w:cstheme="majorBidi"/>
        </w:rPr>
        <w:t>a</w:t>
      </w:r>
      <w:r w:rsidR="007574DF" w:rsidRPr="005A54C3">
        <w:rPr>
          <w:rFonts w:asciiTheme="majorBidi" w:hAnsiTheme="majorBidi" w:cstheme="majorBidi"/>
        </w:rPr>
        <w:t>s a</w:t>
      </w:r>
      <w:r w:rsidRPr="005A54C3">
        <w:rPr>
          <w:rFonts w:asciiTheme="majorBidi" w:hAnsiTheme="majorBidi" w:cstheme="majorBidi"/>
        </w:rPr>
        <w:t xml:space="preserve"> strong predictor for </w:t>
      </w:r>
      <w:r w:rsidR="007574DF" w:rsidRPr="005A54C3">
        <w:rPr>
          <w:rFonts w:asciiTheme="majorBidi" w:hAnsiTheme="majorBidi" w:cstheme="majorBidi"/>
        </w:rPr>
        <w:t xml:space="preserve">COVID </w:t>
      </w:r>
      <w:r w:rsidR="00C934F2" w:rsidRPr="005A54C3">
        <w:rPr>
          <w:rFonts w:asciiTheme="majorBidi" w:hAnsiTheme="majorBidi" w:cstheme="majorBidi"/>
        </w:rPr>
        <w:t>illness</w:t>
      </w:r>
      <w:r w:rsidR="007574DF" w:rsidRPr="005A54C3">
        <w:rPr>
          <w:rFonts w:asciiTheme="majorBidi" w:hAnsiTheme="majorBidi" w:cstheme="majorBidi"/>
        </w:rPr>
        <w:t xml:space="preserve"> </w:t>
      </w:r>
      <w:r w:rsidR="00C934F2" w:rsidRPr="005A54C3">
        <w:rPr>
          <w:rFonts w:asciiTheme="majorBidi" w:hAnsiTheme="majorBidi" w:cstheme="majorBidi"/>
        </w:rPr>
        <w:t>as</w:t>
      </w:r>
      <w:r w:rsidRPr="005A54C3">
        <w:rPr>
          <w:rFonts w:asciiTheme="majorBidi" w:hAnsiTheme="majorBidi" w:cstheme="majorBidi"/>
        </w:rPr>
        <w:t xml:space="preserve"> diabetes mellitus and cardiovascular diseases, and </w:t>
      </w:r>
      <w:r w:rsidR="00C934F2" w:rsidRPr="005A54C3">
        <w:rPr>
          <w:rFonts w:asciiTheme="majorBidi" w:hAnsiTheme="majorBidi" w:cstheme="majorBidi"/>
        </w:rPr>
        <w:t>much</w:t>
      </w:r>
      <w:r w:rsidRPr="005A54C3">
        <w:rPr>
          <w:rFonts w:asciiTheme="majorBidi" w:hAnsiTheme="majorBidi" w:cstheme="majorBidi"/>
        </w:rPr>
        <w:t xml:space="preserve"> stronger than obesity or asthma</w:t>
      </w:r>
      <w:r w:rsidR="00EB5E19" w:rsidRPr="005A54C3">
        <w:rPr>
          <w:rFonts w:asciiTheme="majorBidi" w:eastAsia="Georgia" w:hAnsiTheme="majorBidi" w:cstheme="majorBidi"/>
        </w:rPr>
        <w:t xml:space="preserve">. It is </w:t>
      </w:r>
      <w:r w:rsidRPr="005A54C3">
        <w:rPr>
          <w:rFonts w:asciiTheme="majorBidi" w:hAnsiTheme="majorBidi" w:cstheme="majorBidi"/>
        </w:rPr>
        <w:t>suggest</w:t>
      </w:r>
      <w:r w:rsidR="00EB5E19" w:rsidRPr="005A54C3">
        <w:rPr>
          <w:rFonts w:asciiTheme="majorBidi" w:hAnsiTheme="majorBidi" w:cstheme="majorBidi"/>
        </w:rPr>
        <w:t>ed</w:t>
      </w:r>
      <w:r w:rsidRPr="005A54C3">
        <w:rPr>
          <w:rFonts w:asciiTheme="majorBidi" w:hAnsiTheme="majorBidi" w:cstheme="majorBidi"/>
        </w:rPr>
        <w:t xml:space="preserve"> that ADHD is by itself a risk factor for severity of COVID-19 illness.</w:t>
      </w:r>
    </w:p>
    <w:p w14:paraId="2D7CD9B4" w14:textId="2CB85352" w:rsidR="00532C03" w:rsidRPr="005A54C3" w:rsidRDefault="00E8712F" w:rsidP="00C934F2">
      <w:pPr>
        <w:ind w:firstLine="720"/>
        <w:rPr>
          <w:rFonts w:asciiTheme="majorBidi" w:hAnsiTheme="majorBidi" w:cstheme="majorBidi"/>
          <w:strike/>
        </w:rPr>
      </w:pPr>
      <w:bookmarkStart w:id="7" w:name="_heading=h.1fob9te" w:colFirst="0" w:colLast="0"/>
      <w:bookmarkEnd w:id="7"/>
      <w:r w:rsidRPr="005A54C3">
        <w:rPr>
          <w:rFonts w:asciiTheme="majorBidi" w:hAnsiTheme="majorBidi" w:cstheme="majorBidi"/>
        </w:rPr>
        <w:lastRenderedPageBreak/>
        <w:t>To our knowledge, the only other empirical study of the association between ADHD and severity of COVID</w:t>
      </w:r>
      <w:r w:rsidR="00C934F2" w:rsidRPr="005A54C3">
        <w:rPr>
          <w:rFonts w:asciiTheme="majorBidi" w:hAnsiTheme="majorBidi" w:cstheme="majorBidi"/>
        </w:rPr>
        <w:t>-19</w:t>
      </w:r>
      <w:r w:rsidRPr="005A54C3">
        <w:rPr>
          <w:rFonts w:asciiTheme="majorBidi" w:hAnsiTheme="majorBidi" w:cstheme="majorBidi"/>
        </w:rPr>
        <w:t>+ outcome is the Wang</w:t>
      </w:r>
      <w:r w:rsidR="00C934F2" w:rsidRPr="005A54C3">
        <w:rPr>
          <w:rFonts w:asciiTheme="majorBidi" w:hAnsiTheme="majorBidi" w:cstheme="majorBidi"/>
        </w:rPr>
        <w:t xml:space="preserve"> et al.</w:t>
      </w:r>
      <w:r w:rsidRPr="005A54C3">
        <w:rPr>
          <w:rFonts w:asciiTheme="majorBidi" w:hAnsiTheme="majorBidi" w:cstheme="majorBidi"/>
        </w:rPr>
        <w:t xml:space="preserve"> study (Wang et al., 202</w:t>
      </w:r>
      <w:r w:rsidR="00D844A2" w:rsidRPr="005A54C3">
        <w:rPr>
          <w:rFonts w:asciiTheme="majorBidi" w:hAnsiTheme="majorBidi" w:cstheme="majorBidi"/>
        </w:rPr>
        <w:t>1</w:t>
      </w:r>
      <w:r w:rsidRPr="005A54C3">
        <w:rPr>
          <w:rFonts w:asciiTheme="majorBidi" w:hAnsiTheme="majorBidi" w:cstheme="majorBidi"/>
        </w:rPr>
        <w:t xml:space="preserve">). </w:t>
      </w:r>
      <w:r w:rsidR="00C934F2" w:rsidRPr="005A54C3">
        <w:rPr>
          <w:rFonts w:asciiTheme="majorBidi" w:hAnsiTheme="majorBidi" w:cstheme="majorBidi"/>
        </w:rPr>
        <w:t>They</w:t>
      </w:r>
      <w:r w:rsidRPr="005A54C3">
        <w:rPr>
          <w:rFonts w:asciiTheme="majorBidi" w:hAnsiTheme="majorBidi" w:cstheme="majorBidi"/>
        </w:rPr>
        <w:t xml:space="preserve"> replicated our finding that ADHD is a risk factor for acquiring COVID-19 infection, but did not explore the relationship between ADHD and the severity of COVID-19 infection.  Methodological differences between the two studies may explain some of the discrepancies in the results. Our sample included a younger population (29.03</w:t>
      </w:r>
      <w:r w:rsidRPr="005A54C3">
        <w:rPr>
          <w:rFonts w:asciiTheme="majorBidi" w:hAnsiTheme="majorBidi" w:cstheme="majorBidi"/>
          <w:u w:val="single"/>
        </w:rPr>
        <w:t>+</w:t>
      </w:r>
      <w:r w:rsidRPr="005A54C3">
        <w:rPr>
          <w:rFonts w:asciiTheme="majorBidi" w:hAnsiTheme="majorBidi" w:cstheme="majorBidi"/>
        </w:rPr>
        <w:t xml:space="preserve">14.80 years), </w:t>
      </w:r>
      <w:r w:rsidR="00C934F2" w:rsidRPr="005A54C3">
        <w:rPr>
          <w:rFonts w:asciiTheme="majorBidi" w:hAnsiTheme="majorBidi" w:cstheme="majorBidi"/>
        </w:rPr>
        <w:t xml:space="preserve">and the age range was restricted to 5-60 years, </w:t>
      </w:r>
      <w:r w:rsidRPr="005A54C3">
        <w:rPr>
          <w:rFonts w:asciiTheme="majorBidi" w:hAnsiTheme="majorBidi" w:cstheme="majorBidi"/>
        </w:rPr>
        <w:t>whereas the Wang</w:t>
      </w:r>
      <w:r w:rsidR="00C934F2" w:rsidRPr="005A54C3">
        <w:rPr>
          <w:rFonts w:asciiTheme="majorBidi" w:hAnsiTheme="majorBidi" w:cstheme="majorBidi"/>
        </w:rPr>
        <w:t xml:space="preserve"> et al.</w:t>
      </w:r>
      <w:r w:rsidRPr="005A54C3">
        <w:rPr>
          <w:rFonts w:asciiTheme="majorBidi" w:hAnsiTheme="majorBidi" w:cstheme="majorBidi"/>
        </w:rPr>
        <w:t xml:space="preserve"> study included only adults, with 29% of the sample older than 65 years. Given the lower prevalence of ADHD in adults, and even lower prevalence of ADHD in the geriatric population (</w:t>
      </w:r>
      <w:proofErr w:type="spellStart"/>
      <w:r w:rsidRPr="005A54C3">
        <w:rPr>
          <w:rFonts w:asciiTheme="majorBidi" w:hAnsiTheme="majorBidi" w:cstheme="majorBidi"/>
        </w:rPr>
        <w:t>Kooij</w:t>
      </w:r>
      <w:proofErr w:type="spellEnd"/>
      <w:r w:rsidRPr="005A54C3">
        <w:rPr>
          <w:rFonts w:asciiTheme="majorBidi" w:hAnsiTheme="majorBidi" w:cstheme="majorBidi"/>
        </w:rPr>
        <w:t xml:space="preserve"> et al., 2016; </w:t>
      </w:r>
      <w:proofErr w:type="spellStart"/>
      <w:r w:rsidRPr="005A54C3">
        <w:rPr>
          <w:rFonts w:asciiTheme="majorBidi" w:hAnsiTheme="majorBidi" w:cstheme="majorBidi"/>
        </w:rPr>
        <w:t>Ojo</w:t>
      </w:r>
      <w:proofErr w:type="spellEnd"/>
      <w:r w:rsidRPr="005A54C3">
        <w:rPr>
          <w:rFonts w:asciiTheme="majorBidi" w:hAnsiTheme="majorBidi" w:cstheme="majorBidi"/>
        </w:rPr>
        <w:t xml:space="preserve"> et al., 2020), it is not surprising that the Wang </w:t>
      </w:r>
      <w:r w:rsidR="00C934F2" w:rsidRPr="005A54C3">
        <w:rPr>
          <w:rFonts w:asciiTheme="majorBidi" w:hAnsiTheme="majorBidi" w:cstheme="majorBidi"/>
        </w:rPr>
        <w:t xml:space="preserve">et al. </w:t>
      </w:r>
      <w:r w:rsidRPr="005A54C3">
        <w:rPr>
          <w:rFonts w:asciiTheme="majorBidi" w:hAnsiTheme="majorBidi" w:cstheme="majorBidi"/>
        </w:rPr>
        <w:t xml:space="preserve">study found only 1.7% of the patient population had lifetime ADHD, and only 0.7% had current ADHD, well below the known prevalence of the disorder. In our sample 12.4% of COVID-19+ patients had ADHD, consistent with the known world prevalence of the disorder and </w:t>
      </w:r>
      <w:r w:rsidR="00821BEE" w:rsidRPr="005A54C3">
        <w:rPr>
          <w:rFonts w:asciiTheme="majorBidi" w:hAnsiTheme="majorBidi" w:cstheme="majorBidi"/>
        </w:rPr>
        <w:t xml:space="preserve">supporting </w:t>
      </w:r>
      <w:r w:rsidRPr="005A54C3">
        <w:rPr>
          <w:rFonts w:asciiTheme="majorBidi" w:hAnsiTheme="majorBidi" w:cstheme="majorBidi"/>
        </w:rPr>
        <w:t xml:space="preserve">the </w:t>
      </w:r>
      <w:r w:rsidR="00821BEE" w:rsidRPr="005A54C3">
        <w:rPr>
          <w:rFonts w:asciiTheme="majorBidi" w:hAnsiTheme="majorBidi" w:cstheme="majorBidi"/>
        </w:rPr>
        <w:t xml:space="preserve">finding of </w:t>
      </w:r>
      <w:r w:rsidRPr="005A54C3">
        <w:rPr>
          <w:rFonts w:asciiTheme="majorBidi" w:hAnsiTheme="majorBidi" w:cstheme="majorBidi"/>
        </w:rPr>
        <w:t>overrepresentation of ADHD in a COVID-19+ sample</w:t>
      </w:r>
      <w:r w:rsidR="00821BEE" w:rsidRPr="005A54C3">
        <w:rPr>
          <w:rFonts w:asciiTheme="majorBidi" w:hAnsiTheme="majorBidi" w:cstheme="majorBidi"/>
        </w:rPr>
        <w:t xml:space="preserve"> (Merzon</w:t>
      </w:r>
      <w:r w:rsidR="00222C88" w:rsidRPr="005A54C3">
        <w:rPr>
          <w:rFonts w:asciiTheme="majorBidi" w:hAnsiTheme="majorBidi" w:cstheme="majorBidi"/>
        </w:rPr>
        <w:t xml:space="preserve"> et al., 2020; Wang et al., 2021</w:t>
      </w:r>
      <w:r w:rsidR="00821BEE" w:rsidRPr="005A54C3">
        <w:rPr>
          <w:rFonts w:asciiTheme="majorBidi" w:hAnsiTheme="majorBidi" w:cstheme="majorBidi"/>
        </w:rPr>
        <w:t xml:space="preserve">This study explored benign and common outcomes (COVID-19 symptoms and referral to hospitalization) and there is a need to explore a more severe outcome (need for respiration and mortality). </w:t>
      </w:r>
    </w:p>
    <w:p w14:paraId="29B89BB8" w14:textId="77777777" w:rsidR="00532C03" w:rsidRPr="005A54C3" w:rsidRDefault="00821BEE">
      <w:pPr>
        <w:ind w:firstLine="720"/>
        <w:rPr>
          <w:rFonts w:asciiTheme="majorBidi" w:eastAsia="Roboto" w:hAnsiTheme="majorBidi" w:cstheme="majorBidi"/>
          <w:color w:val="3C4043"/>
          <w:sz w:val="21"/>
          <w:szCs w:val="21"/>
        </w:rPr>
      </w:pPr>
      <w:r w:rsidRPr="005A54C3">
        <w:rPr>
          <w:rFonts w:asciiTheme="majorBidi" w:hAnsiTheme="majorBidi" w:cstheme="majorBidi"/>
        </w:rPr>
        <w:t xml:space="preserve">Similar to previous studies, we found that older </w:t>
      </w:r>
      <w:r w:rsidR="00E8712F" w:rsidRPr="005A54C3">
        <w:rPr>
          <w:rFonts w:asciiTheme="majorBidi" w:hAnsiTheme="majorBidi" w:cstheme="majorBidi"/>
        </w:rPr>
        <w:t xml:space="preserve">age </w:t>
      </w:r>
      <w:r w:rsidRPr="005A54C3">
        <w:rPr>
          <w:rFonts w:asciiTheme="majorBidi" w:hAnsiTheme="majorBidi" w:cstheme="majorBidi"/>
        </w:rPr>
        <w:t xml:space="preserve">is </w:t>
      </w:r>
      <w:r w:rsidR="000F39C6" w:rsidRPr="005A54C3">
        <w:rPr>
          <w:rFonts w:asciiTheme="majorBidi" w:hAnsiTheme="majorBidi" w:cstheme="majorBidi"/>
        </w:rPr>
        <w:t>a</w:t>
      </w:r>
      <w:r w:rsidRPr="005A54C3">
        <w:rPr>
          <w:rFonts w:asciiTheme="majorBidi" w:hAnsiTheme="majorBidi" w:cstheme="majorBidi"/>
        </w:rPr>
        <w:t>ssociated with</w:t>
      </w:r>
      <w:r w:rsidR="00E8712F" w:rsidRPr="005A54C3">
        <w:rPr>
          <w:rFonts w:asciiTheme="majorBidi" w:hAnsiTheme="majorBidi" w:cstheme="majorBidi"/>
        </w:rPr>
        <w:t xml:space="preserve"> the likelihood of being symptomatic and of being referred to hospitalization. </w:t>
      </w:r>
      <w:r w:rsidRPr="005A54C3">
        <w:rPr>
          <w:rFonts w:asciiTheme="majorBidi" w:hAnsiTheme="majorBidi" w:cstheme="majorBidi"/>
        </w:rPr>
        <w:t xml:space="preserve">However, </w:t>
      </w:r>
      <w:r w:rsidR="000F39C6" w:rsidRPr="005A54C3">
        <w:rPr>
          <w:rFonts w:asciiTheme="majorBidi" w:hAnsiTheme="majorBidi" w:cstheme="majorBidi"/>
        </w:rPr>
        <w:t xml:space="preserve">in the youngest age group </w:t>
      </w:r>
      <w:r w:rsidRPr="005A54C3">
        <w:rPr>
          <w:rFonts w:asciiTheme="majorBidi" w:hAnsiTheme="majorBidi" w:cstheme="majorBidi"/>
        </w:rPr>
        <w:t>in our sample</w:t>
      </w:r>
      <w:r w:rsidR="000F39C6" w:rsidRPr="005A54C3">
        <w:rPr>
          <w:rFonts w:asciiTheme="majorBidi" w:hAnsiTheme="majorBidi" w:cstheme="majorBidi"/>
        </w:rPr>
        <w:t xml:space="preserve"> (5-20 years)</w:t>
      </w:r>
      <w:r w:rsidRPr="005A54C3">
        <w:rPr>
          <w:rFonts w:asciiTheme="majorBidi" w:hAnsiTheme="majorBidi" w:cstheme="majorBidi"/>
        </w:rPr>
        <w:t xml:space="preserve">, </w:t>
      </w:r>
      <w:r w:rsidR="000F39C6" w:rsidRPr="005A54C3">
        <w:rPr>
          <w:rFonts w:asciiTheme="majorBidi" w:hAnsiTheme="majorBidi" w:cstheme="majorBidi"/>
        </w:rPr>
        <w:t xml:space="preserve">in </w:t>
      </w:r>
      <w:r w:rsidRPr="005A54C3">
        <w:rPr>
          <w:rFonts w:asciiTheme="majorBidi" w:hAnsiTheme="majorBidi" w:cstheme="majorBidi"/>
        </w:rPr>
        <w:t xml:space="preserve">patients with ADHD, the </w:t>
      </w:r>
      <w:r w:rsidR="000F39C6" w:rsidRPr="005A54C3">
        <w:rPr>
          <w:rFonts w:asciiTheme="majorBidi" w:hAnsiTheme="majorBidi" w:cstheme="majorBidi"/>
        </w:rPr>
        <w:t>OR for being</w:t>
      </w:r>
      <w:r w:rsidRPr="005A54C3">
        <w:rPr>
          <w:rFonts w:asciiTheme="majorBidi" w:hAnsiTheme="majorBidi" w:cstheme="majorBidi"/>
        </w:rPr>
        <w:t xml:space="preserve"> symptomatic was </w:t>
      </w:r>
      <w:r w:rsidR="000F39C6" w:rsidRPr="005A54C3">
        <w:rPr>
          <w:rFonts w:asciiTheme="majorBidi" w:hAnsiTheme="majorBidi" w:cstheme="majorBidi"/>
        </w:rPr>
        <w:t>3.31</w:t>
      </w:r>
      <w:r w:rsidRPr="005A54C3">
        <w:rPr>
          <w:rFonts w:asciiTheme="majorBidi" w:hAnsiTheme="majorBidi" w:cstheme="majorBidi"/>
        </w:rPr>
        <w:t xml:space="preserve"> </w:t>
      </w:r>
      <w:r w:rsidR="000F39C6" w:rsidRPr="005A54C3">
        <w:rPr>
          <w:rFonts w:asciiTheme="majorBidi" w:hAnsiTheme="majorBidi" w:cstheme="majorBidi"/>
        </w:rPr>
        <w:t>compared to</w:t>
      </w:r>
      <w:r w:rsidRPr="005A54C3">
        <w:rPr>
          <w:rFonts w:asciiTheme="majorBidi" w:hAnsiTheme="majorBidi" w:cstheme="majorBidi"/>
        </w:rPr>
        <w:t xml:space="preserve"> the non-ADHD </w:t>
      </w:r>
      <w:r w:rsidR="000F39C6" w:rsidRPr="005A54C3">
        <w:rPr>
          <w:rFonts w:asciiTheme="majorBidi" w:hAnsiTheme="majorBidi" w:cstheme="majorBidi"/>
        </w:rPr>
        <w:t>patients</w:t>
      </w:r>
      <w:r w:rsidRPr="005A54C3">
        <w:rPr>
          <w:rFonts w:asciiTheme="majorBidi" w:hAnsiTheme="majorBidi" w:cstheme="majorBidi"/>
        </w:rPr>
        <w:t xml:space="preserve"> (Table 6). </w:t>
      </w:r>
      <w:r w:rsidR="000F39C6" w:rsidRPr="005A54C3">
        <w:rPr>
          <w:rFonts w:asciiTheme="majorBidi" w:hAnsiTheme="majorBidi" w:cstheme="majorBidi"/>
        </w:rPr>
        <w:t>In this age group the referral to hospitalization was not associated with having ADHD, most probably due to the small sample size of ADHD patients (</w:t>
      </w:r>
      <w:r w:rsidR="000F39C6" w:rsidRPr="005A54C3">
        <w:rPr>
          <w:rFonts w:asciiTheme="majorBidi" w:hAnsiTheme="majorBidi" w:cstheme="majorBidi"/>
          <w:i/>
          <w:iCs/>
        </w:rPr>
        <w:t>n</w:t>
      </w:r>
      <w:r w:rsidR="006239B3" w:rsidRPr="005A54C3">
        <w:rPr>
          <w:rFonts w:asciiTheme="majorBidi" w:hAnsiTheme="majorBidi" w:cstheme="majorBidi"/>
        </w:rPr>
        <w:t xml:space="preserve"> </w:t>
      </w:r>
      <w:r w:rsidR="000F39C6" w:rsidRPr="005A54C3">
        <w:rPr>
          <w:rFonts w:asciiTheme="majorBidi" w:hAnsiTheme="majorBidi" w:cstheme="majorBidi"/>
        </w:rPr>
        <w:t>=</w:t>
      </w:r>
      <w:r w:rsidR="006239B3" w:rsidRPr="005A54C3">
        <w:rPr>
          <w:rFonts w:asciiTheme="majorBidi" w:hAnsiTheme="majorBidi" w:cstheme="majorBidi"/>
        </w:rPr>
        <w:t xml:space="preserve"> </w:t>
      </w:r>
      <w:r w:rsidR="000F39C6" w:rsidRPr="005A54C3">
        <w:rPr>
          <w:rFonts w:asciiTheme="majorBidi" w:hAnsiTheme="majorBidi" w:cstheme="majorBidi"/>
        </w:rPr>
        <w:t>15).</w:t>
      </w:r>
      <w:r w:rsidR="004B49CE" w:rsidRPr="005A54C3">
        <w:rPr>
          <w:rFonts w:asciiTheme="majorBidi" w:hAnsiTheme="majorBidi" w:cstheme="majorBidi"/>
        </w:rPr>
        <w:t xml:space="preserve"> S</w:t>
      </w:r>
      <w:r w:rsidR="000F39C6" w:rsidRPr="005A54C3">
        <w:rPr>
          <w:rFonts w:asciiTheme="majorBidi" w:hAnsiTheme="majorBidi" w:cstheme="majorBidi"/>
        </w:rPr>
        <w:t>uch a significant association</w:t>
      </w:r>
      <w:r w:rsidR="004B49CE" w:rsidRPr="005A54C3">
        <w:rPr>
          <w:rFonts w:asciiTheme="majorBidi" w:hAnsiTheme="majorBidi" w:cstheme="majorBidi"/>
        </w:rPr>
        <w:t xml:space="preserve"> between having ADHD and being referred to hospitalization was found in the </w:t>
      </w:r>
      <w:r w:rsidR="00E8712F" w:rsidRPr="005A54C3">
        <w:rPr>
          <w:rFonts w:asciiTheme="majorBidi" w:hAnsiTheme="majorBidi" w:cstheme="majorBidi"/>
        </w:rPr>
        <w:t>21-40 year</w:t>
      </w:r>
      <w:r w:rsidR="004B49CE" w:rsidRPr="005A54C3">
        <w:rPr>
          <w:rFonts w:asciiTheme="majorBidi" w:hAnsiTheme="majorBidi" w:cstheme="majorBidi"/>
        </w:rPr>
        <w:t>s group, but disappeared in the age group of 41-60 years, maybe due to the low rate of ADHD in this group, as well as the common presence of other significant risk factors</w:t>
      </w:r>
      <w:r w:rsidR="00E8712F" w:rsidRPr="005A54C3">
        <w:rPr>
          <w:rFonts w:asciiTheme="majorBidi" w:hAnsiTheme="majorBidi" w:cstheme="majorBidi"/>
        </w:rPr>
        <w:t xml:space="preserve">. </w:t>
      </w:r>
      <w:r w:rsidR="00E8712F" w:rsidRPr="005A54C3">
        <w:rPr>
          <w:rFonts w:asciiTheme="majorBidi" w:hAnsiTheme="majorBidi" w:cstheme="majorBidi"/>
          <w:strike/>
        </w:rPr>
        <w:t xml:space="preserve">Our findings would </w:t>
      </w:r>
      <w:r w:rsidR="00E8712F" w:rsidRPr="005A54C3">
        <w:rPr>
          <w:rFonts w:asciiTheme="majorBidi" w:hAnsiTheme="majorBidi" w:cstheme="majorBidi"/>
          <w:strike/>
        </w:rPr>
        <w:lastRenderedPageBreak/>
        <w:t>suggest that when clinicians are considering the need for hospitalization, they may be less likely to hospitalize children and youth with comparable symptoms, because they are considered to be at less risk by virtue of age (</w:t>
      </w:r>
      <w:proofErr w:type="spellStart"/>
      <w:r w:rsidR="00E8712F" w:rsidRPr="005A54C3">
        <w:rPr>
          <w:rFonts w:asciiTheme="majorBidi" w:hAnsiTheme="majorBidi" w:cstheme="majorBidi"/>
          <w:strike/>
        </w:rPr>
        <w:t>Ludvigsson</w:t>
      </w:r>
      <w:proofErr w:type="spellEnd"/>
      <w:r w:rsidR="00E8712F" w:rsidRPr="005A54C3">
        <w:rPr>
          <w:rFonts w:asciiTheme="majorBidi" w:hAnsiTheme="majorBidi" w:cstheme="majorBidi"/>
          <w:strike/>
        </w:rPr>
        <w:t>, 2020).</w:t>
      </w:r>
      <w:r w:rsidR="00E8712F" w:rsidRPr="005A54C3">
        <w:rPr>
          <w:rFonts w:asciiTheme="majorBidi" w:hAnsiTheme="majorBidi" w:cstheme="majorBidi"/>
        </w:rPr>
        <w:t xml:space="preserve"> </w:t>
      </w:r>
      <w:r w:rsidR="00E8712F" w:rsidRPr="005A54C3">
        <w:rPr>
          <w:rFonts w:asciiTheme="majorBidi" w:hAnsiTheme="majorBidi" w:cstheme="majorBidi"/>
          <w:strike/>
        </w:rPr>
        <w:t>Given the current evidence that youth are at risk of becoming severely ill, clinicians should give this careful thought.</w:t>
      </w:r>
      <w:r w:rsidR="00E8712F" w:rsidRPr="005A54C3">
        <w:rPr>
          <w:rFonts w:asciiTheme="majorBidi" w:hAnsiTheme="majorBidi" w:cstheme="majorBidi"/>
        </w:rPr>
        <w:t xml:space="preserve"> Clearly, age is a potent risk factor for negative outcomes, as are pre-existing conditions, but while youth may be at a lesser risk,</w:t>
      </w:r>
      <w:r w:rsidR="007F3B79" w:rsidRPr="005A54C3">
        <w:rPr>
          <w:rFonts w:asciiTheme="majorBidi" w:hAnsiTheme="majorBidi" w:cstheme="majorBidi"/>
        </w:rPr>
        <w:t xml:space="preserve"> they are not immune from risk.</w:t>
      </w:r>
    </w:p>
    <w:p w14:paraId="271A1E76" w14:textId="137FE3D4" w:rsidR="007F7880" w:rsidRPr="005A54C3" w:rsidRDefault="007F7880" w:rsidP="003C1095">
      <w:pPr>
        <w:ind w:firstLine="720"/>
        <w:rPr>
          <w:rFonts w:asciiTheme="majorBidi" w:hAnsiTheme="majorBidi" w:cstheme="majorBidi"/>
        </w:rPr>
      </w:pPr>
      <w:r w:rsidRPr="005A54C3">
        <w:rPr>
          <w:rFonts w:asciiTheme="majorBidi" w:hAnsiTheme="majorBidi" w:cstheme="majorBidi"/>
        </w:rPr>
        <w:t>Specific characteristics of ADHD in particular may be hypothesized to drive increased risk for severe COVID-19 outcomes. ADHD patients may be less likely to practice appropriate self-care, to seek medical attention, or to remain at home. It is also possible that COVID-19 severity is related to the exposed viral load (</w:t>
      </w:r>
      <w:proofErr w:type="spellStart"/>
      <w:r w:rsidRPr="005A54C3">
        <w:rPr>
          <w:rFonts w:asciiTheme="majorBidi" w:hAnsiTheme="majorBidi" w:cstheme="majorBidi"/>
        </w:rPr>
        <w:t>Fajnzylber</w:t>
      </w:r>
      <w:proofErr w:type="spellEnd"/>
      <w:r w:rsidRPr="005A54C3">
        <w:rPr>
          <w:rFonts w:asciiTheme="majorBidi" w:hAnsiTheme="majorBidi" w:cstheme="majorBidi"/>
        </w:rPr>
        <w:t xml:space="preserve"> et al., 2020), </w:t>
      </w:r>
      <w:r w:rsidR="0098573E" w:rsidRPr="005A54C3">
        <w:rPr>
          <w:rFonts w:asciiTheme="majorBidi" w:hAnsiTheme="majorBidi" w:cstheme="majorBidi"/>
          <w:strike/>
        </w:rPr>
        <w:t>and that</w:t>
      </w:r>
      <w:r w:rsidR="0098573E" w:rsidRPr="005A54C3">
        <w:rPr>
          <w:rFonts w:asciiTheme="majorBidi" w:hAnsiTheme="majorBidi" w:cstheme="majorBidi"/>
        </w:rPr>
        <w:t xml:space="preserve"> </w:t>
      </w:r>
      <w:r w:rsidR="0098573E" w:rsidRPr="005A54C3">
        <w:rPr>
          <w:rFonts w:asciiTheme="majorBidi" w:hAnsiTheme="majorBidi" w:cstheme="majorBidi"/>
          <w:strike/>
        </w:rPr>
        <w:t>ADHD patients put themselves in high risk situations in bars or at parties</w:t>
      </w:r>
      <w:r w:rsidR="0098573E" w:rsidRPr="005A54C3">
        <w:rPr>
          <w:rFonts w:asciiTheme="majorBidi" w:hAnsiTheme="majorBidi" w:cstheme="majorBidi"/>
        </w:rPr>
        <w:t xml:space="preserve"> and that </w:t>
      </w:r>
      <w:r w:rsidRPr="005A54C3">
        <w:rPr>
          <w:rFonts w:asciiTheme="majorBidi" w:hAnsiTheme="majorBidi" w:cstheme="majorBidi"/>
        </w:rPr>
        <w:t>ADHD patients put themselves in high risk situations, as well as being inattentive and impulsive, whi</w:t>
      </w:r>
      <w:r w:rsidR="003C1095" w:rsidRPr="005A54C3">
        <w:rPr>
          <w:rFonts w:asciiTheme="majorBidi" w:hAnsiTheme="majorBidi" w:cstheme="majorBidi"/>
        </w:rPr>
        <w:t>ch</w:t>
      </w:r>
      <w:r w:rsidRPr="005A54C3">
        <w:rPr>
          <w:rFonts w:asciiTheme="majorBidi" w:hAnsiTheme="majorBidi" w:cstheme="majorBidi"/>
        </w:rPr>
        <w:t xml:space="preserve"> might explain the elevated probability of exposure that expose them to a higher viral load</w:t>
      </w:r>
      <w:r w:rsidR="00A43A67" w:rsidRPr="005A54C3">
        <w:rPr>
          <w:rFonts w:asciiTheme="majorBidi" w:hAnsiTheme="majorBidi" w:cstheme="majorBidi"/>
        </w:rPr>
        <w:t>, thus to suffer from more symptoms and having higher risk to be referred to hospitalization.</w:t>
      </w:r>
    </w:p>
    <w:p w14:paraId="300F4AE4" w14:textId="77777777" w:rsidR="007F7880" w:rsidRPr="005A54C3" w:rsidRDefault="00E8712F" w:rsidP="007F7880">
      <w:pPr>
        <w:ind w:firstLine="720"/>
        <w:rPr>
          <w:rFonts w:asciiTheme="majorBidi" w:hAnsiTheme="majorBidi" w:cstheme="majorBidi"/>
          <w:rtl/>
        </w:rPr>
      </w:pPr>
      <w:r w:rsidRPr="005A54C3">
        <w:rPr>
          <w:rFonts w:asciiTheme="majorBidi" w:hAnsiTheme="majorBidi" w:cstheme="majorBidi"/>
        </w:rPr>
        <w:t xml:space="preserve">It was also suggested that common biological factors for serious mental illnesses and COVID-19 such as inflammation may be involved (Cortese et al., 2019; Li et al., 2020). </w:t>
      </w:r>
    </w:p>
    <w:p w14:paraId="55B8E53E" w14:textId="77777777" w:rsidR="00646DDA" w:rsidRPr="005A54C3" w:rsidRDefault="00646DDA" w:rsidP="007F7880">
      <w:pPr>
        <w:ind w:firstLine="720"/>
        <w:rPr>
          <w:rFonts w:asciiTheme="majorBidi" w:hAnsiTheme="majorBidi" w:cstheme="majorBidi"/>
        </w:rPr>
      </w:pPr>
    </w:p>
    <w:p w14:paraId="313F6240" w14:textId="77777777" w:rsidR="00646DDA" w:rsidRPr="005A54C3" w:rsidRDefault="00646DDA" w:rsidP="007F7880">
      <w:pPr>
        <w:ind w:firstLine="720"/>
        <w:rPr>
          <w:rFonts w:asciiTheme="majorBidi" w:hAnsiTheme="majorBidi" w:cstheme="majorBidi"/>
        </w:rPr>
      </w:pPr>
      <w:r w:rsidRPr="005A54C3">
        <w:rPr>
          <w:rFonts w:asciiTheme="majorBidi" w:hAnsiTheme="majorBidi" w:cstheme="majorBidi"/>
          <w:b/>
          <w:bCs/>
        </w:rPr>
        <w:t>Strengths and limitations</w:t>
      </w:r>
      <w:r w:rsidRPr="005A54C3">
        <w:rPr>
          <w:rFonts w:asciiTheme="majorBidi" w:hAnsiTheme="majorBidi" w:cstheme="majorBidi"/>
        </w:rPr>
        <w:t>:</w:t>
      </w:r>
    </w:p>
    <w:p w14:paraId="67A90C36" w14:textId="77777777" w:rsidR="00532C03" w:rsidRPr="005A54C3" w:rsidRDefault="00E8712F" w:rsidP="007F7880">
      <w:pPr>
        <w:ind w:firstLine="720"/>
        <w:rPr>
          <w:rFonts w:asciiTheme="majorBidi" w:hAnsiTheme="majorBidi" w:cstheme="majorBidi"/>
        </w:rPr>
      </w:pPr>
      <w:r w:rsidRPr="005A54C3">
        <w:rPr>
          <w:rFonts w:asciiTheme="majorBidi" w:hAnsiTheme="majorBidi" w:cstheme="majorBidi"/>
        </w:rPr>
        <w:t xml:space="preserve">The strengths of the study include the fact that data were drawn from a clinical community, during the first wave in which only high-risk patients were being referred for COVID-19 screening. Our sample size was sufficient to be able to control for several demographic and health variables that might otherwise explain the increased relative risk of ADHD to severe COVID-19 illness. Another strength of the sample is the inclusion of a wide </w:t>
      </w:r>
      <w:r w:rsidRPr="005A54C3">
        <w:rPr>
          <w:rFonts w:asciiTheme="majorBidi" w:hAnsiTheme="majorBidi" w:cstheme="majorBidi"/>
        </w:rPr>
        <w:lastRenderedPageBreak/>
        <w:t xml:space="preserve">spectrum of ages, including children, youth and young adults where ADHD is most common </w:t>
      </w:r>
      <w:r w:rsidR="003C1095" w:rsidRPr="005A54C3">
        <w:rPr>
          <w:rFonts w:asciiTheme="majorBidi" w:hAnsiTheme="majorBidi" w:cstheme="majorBidi"/>
        </w:rPr>
        <w:t>and is more commonly diagnosed.</w:t>
      </w:r>
    </w:p>
    <w:p w14:paraId="5B466116" w14:textId="77777777" w:rsidR="00532C03" w:rsidRPr="005A54C3" w:rsidRDefault="00E8712F">
      <w:pPr>
        <w:ind w:firstLine="720"/>
        <w:rPr>
          <w:rFonts w:asciiTheme="majorBidi" w:hAnsiTheme="majorBidi" w:cstheme="majorBidi"/>
        </w:rPr>
      </w:pPr>
      <w:r w:rsidRPr="005A54C3">
        <w:rPr>
          <w:rFonts w:asciiTheme="majorBidi" w:hAnsiTheme="majorBidi" w:cstheme="majorBidi"/>
        </w:rPr>
        <w:t>Notably, this study was done in Israel, providing an important comparison with studies of COVID-19 patients' vulnerability in the United States. The median age of the population in Israel is 30.5 years, while in the United States it is 38.3 years, providing a better understanding of the relative risk in a younger population (Worldometers.info, 2020a, 2020b). Other differences between Israel and the US may have impacted our findings including greater homogeneity in race, access to health care and paid sick days. These between-country differences and our grouping low and moderate SES together, may together explain the relative lack</w:t>
      </w:r>
      <w:r w:rsidR="007F3B79" w:rsidRPr="005A54C3">
        <w:rPr>
          <w:rFonts w:asciiTheme="majorBidi" w:hAnsiTheme="majorBidi" w:cstheme="majorBidi"/>
        </w:rPr>
        <w:t xml:space="preserve"> of impact of SES in our study.</w:t>
      </w:r>
    </w:p>
    <w:p w14:paraId="3607714B" w14:textId="77777777" w:rsidR="00EB33E3" w:rsidRPr="005A54C3" w:rsidRDefault="00AB6B6A">
      <w:pPr>
        <w:ind w:firstLine="720"/>
        <w:rPr>
          <w:rFonts w:asciiTheme="majorBidi" w:hAnsiTheme="majorBidi" w:cstheme="majorBidi"/>
        </w:rPr>
      </w:pPr>
      <w:r w:rsidRPr="005A54C3">
        <w:rPr>
          <w:rFonts w:asciiTheme="majorBidi" w:hAnsiTheme="majorBidi" w:cstheme="majorBidi"/>
          <w:b/>
          <w:bCs/>
        </w:rPr>
        <w:t>Limitations</w:t>
      </w:r>
      <w:r w:rsidRPr="005A54C3">
        <w:rPr>
          <w:rFonts w:asciiTheme="majorBidi" w:hAnsiTheme="majorBidi" w:cstheme="majorBidi"/>
        </w:rPr>
        <w:t>:</w:t>
      </w:r>
      <w:r w:rsidR="00E8712F" w:rsidRPr="005A54C3">
        <w:rPr>
          <w:rFonts w:asciiTheme="majorBidi" w:hAnsiTheme="majorBidi" w:cstheme="majorBidi"/>
        </w:rPr>
        <w:t xml:space="preserve"> </w:t>
      </w:r>
    </w:p>
    <w:p w14:paraId="6DA0E72E" w14:textId="7694F809" w:rsidR="00B33975" w:rsidRPr="005A54C3" w:rsidRDefault="00E37C8E" w:rsidP="00A43A67">
      <w:pPr>
        <w:pStyle w:val="CommentText"/>
        <w:spacing w:line="480" w:lineRule="auto"/>
        <w:rPr>
          <w:rFonts w:asciiTheme="majorBidi" w:hAnsiTheme="majorBidi" w:cstheme="majorBidi"/>
          <w:sz w:val="24"/>
          <w:szCs w:val="24"/>
        </w:rPr>
      </w:pPr>
      <w:r w:rsidRPr="005A54C3">
        <w:rPr>
          <w:rFonts w:asciiTheme="majorBidi" w:hAnsiTheme="majorBidi" w:cstheme="majorBidi"/>
          <w:sz w:val="24"/>
          <w:szCs w:val="24"/>
        </w:rPr>
        <w:t>The population in this study was relatively homogenous and so we were not able to differentiate effects of race.</w:t>
      </w:r>
      <w:r w:rsidR="0042297E" w:rsidRPr="005A54C3">
        <w:rPr>
          <w:rFonts w:asciiTheme="majorBidi" w:hAnsiTheme="majorBidi" w:cstheme="majorBidi"/>
          <w:sz w:val="24"/>
          <w:szCs w:val="24"/>
        </w:rPr>
        <w:t xml:space="preserve"> This may limit generalization to other settings. </w:t>
      </w:r>
      <w:r w:rsidRPr="005A54C3">
        <w:rPr>
          <w:rFonts w:asciiTheme="majorBidi" w:hAnsiTheme="majorBidi" w:cstheme="majorBidi"/>
          <w:sz w:val="24"/>
          <w:szCs w:val="24"/>
        </w:rPr>
        <w:t xml:space="preserve"> In addition, our measure of socioeconomic status did not differentiate poverty but mixed </w:t>
      </w:r>
      <w:r w:rsidR="00B33975" w:rsidRPr="005A54C3">
        <w:rPr>
          <w:rFonts w:asciiTheme="majorBidi" w:hAnsiTheme="majorBidi" w:cstheme="majorBidi"/>
          <w:sz w:val="24"/>
          <w:szCs w:val="24"/>
        </w:rPr>
        <w:t>lower- and middle-class</w:t>
      </w:r>
      <w:r w:rsidRPr="005A54C3">
        <w:rPr>
          <w:rFonts w:asciiTheme="majorBidi" w:hAnsiTheme="majorBidi" w:cstheme="majorBidi"/>
          <w:sz w:val="24"/>
          <w:szCs w:val="24"/>
        </w:rPr>
        <w:t xml:space="preserve"> patients into one group.  Our findings might not generalize to other settings.</w:t>
      </w:r>
      <w:r w:rsidR="00A43A67" w:rsidRPr="005A54C3">
        <w:rPr>
          <w:rFonts w:asciiTheme="majorBidi" w:hAnsiTheme="majorBidi" w:cstheme="majorBidi"/>
          <w:sz w:val="24"/>
          <w:szCs w:val="24"/>
        </w:rPr>
        <w:t xml:space="preserve"> The</w:t>
      </w:r>
      <w:r w:rsidR="00A43A67" w:rsidRPr="005A54C3">
        <w:rPr>
          <w:rFonts w:asciiTheme="majorBidi" w:hAnsiTheme="majorBidi" w:cstheme="majorBidi"/>
          <w:bCs/>
          <w:sz w:val="24"/>
          <w:szCs w:val="24"/>
        </w:rPr>
        <w:t xml:space="preserve"> diagnosis of ADHD in Israel is done by senior clinicians who are specialists in neurodevelopmental disorders using longitudinal, expert evaluation, in accordance to international recommendations, which is is typical in a majority of countries and health care systems. However, it could also limit generalization.</w:t>
      </w:r>
    </w:p>
    <w:p w14:paraId="3E993C03" w14:textId="38B4F443" w:rsidR="00AB6B6A" w:rsidRPr="005A54C3" w:rsidRDefault="00EC4D53" w:rsidP="00B33975">
      <w:pPr>
        <w:pStyle w:val="CommentText"/>
        <w:spacing w:line="480" w:lineRule="auto"/>
        <w:ind w:firstLine="720"/>
        <w:rPr>
          <w:rFonts w:asciiTheme="majorBidi" w:hAnsiTheme="majorBidi" w:cstheme="majorBidi"/>
          <w:bCs/>
          <w:sz w:val="22"/>
          <w:szCs w:val="22"/>
        </w:rPr>
      </w:pPr>
      <w:r w:rsidRPr="005A54C3">
        <w:rPr>
          <w:rFonts w:asciiTheme="majorBidi" w:hAnsiTheme="majorBidi" w:cstheme="majorBidi"/>
          <w:sz w:val="24"/>
          <w:szCs w:val="24"/>
        </w:rPr>
        <w:t xml:space="preserve">The use of EHR data has inherent limitations in differentiating current and past conditions, and in the accuracy of the data recorded. In addition, the EHR combined depression/anxiety as one entity.    </w:t>
      </w:r>
    </w:p>
    <w:p w14:paraId="71820FCE" w14:textId="77777777" w:rsidR="00EB33E3" w:rsidRPr="005A54C3" w:rsidRDefault="003D386C" w:rsidP="002E1B53">
      <w:pPr>
        <w:ind w:firstLine="720"/>
        <w:rPr>
          <w:rFonts w:asciiTheme="majorBidi" w:hAnsiTheme="majorBidi" w:cstheme="majorBidi"/>
          <w:color w:val="222222"/>
          <w:shd w:val="clear" w:color="auto" w:fill="FFFFFF"/>
        </w:rPr>
      </w:pPr>
      <w:r w:rsidRPr="005A54C3">
        <w:rPr>
          <w:rFonts w:asciiTheme="majorBidi" w:hAnsiTheme="majorBidi" w:cstheme="majorBidi"/>
          <w:color w:val="222222"/>
          <w:shd w:val="clear" w:color="auto" w:fill="FFFFFF"/>
        </w:rPr>
        <w:t>A potential limitation of this study was underrepresentation of depression, given that we found a point prevalence of depression of 2%</w:t>
      </w:r>
      <w:r w:rsidR="00E01D0C" w:rsidRPr="005A54C3">
        <w:rPr>
          <w:rFonts w:asciiTheme="majorBidi" w:hAnsiTheme="majorBidi" w:cstheme="majorBidi"/>
          <w:color w:val="222222"/>
          <w:shd w:val="clear" w:color="auto" w:fill="FFFFFF"/>
        </w:rPr>
        <w:t xml:space="preserve">, while </w:t>
      </w:r>
      <w:r w:rsidRPr="005A54C3">
        <w:rPr>
          <w:rFonts w:asciiTheme="majorBidi" w:hAnsiTheme="majorBidi" w:cstheme="majorBidi"/>
          <w:color w:val="222222"/>
          <w:shd w:val="clear" w:color="auto" w:fill="FFFFFF"/>
        </w:rPr>
        <w:t>prevale</w:t>
      </w:r>
      <w:r w:rsidR="009C3A1D" w:rsidRPr="005A54C3">
        <w:rPr>
          <w:rFonts w:asciiTheme="majorBidi" w:hAnsiTheme="majorBidi" w:cstheme="majorBidi"/>
          <w:color w:val="222222"/>
          <w:shd w:val="clear" w:color="auto" w:fill="FFFFFF"/>
        </w:rPr>
        <w:t>nce of depression in Israel is 4.6</w:t>
      </w:r>
      <w:r w:rsidRPr="005A54C3">
        <w:rPr>
          <w:rFonts w:asciiTheme="majorBidi" w:hAnsiTheme="majorBidi" w:cstheme="majorBidi"/>
          <w:color w:val="222222"/>
          <w:shd w:val="clear" w:color="auto" w:fill="FFFFFF"/>
        </w:rPr>
        <w:t>%</w:t>
      </w:r>
      <w:r w:rsidR="00E01D0C" w:rsidRPr="005A54C3">
        <w:rPr>
          <w:rFonts w:asciiTheme="majorBidi" w:hAnsiTheme="majorBidi" w:cstheme="majorBidi"/>
          <w:color w:val="222222"/>
          <w:shd w:val="clear" w:color="auto" w:fill="FFFFFF"/>
        </w:rPr>
        <w:t xml:space="preserve"> (</w:t>
      </w:r>
      <w:r w:rsidR="009C3A1D" w:rsidRPr="005A54C3">
        <w:rPr>
          <w:rFonts w:asciiTheme="majorBidi" w:hAnsiTheme="majorBidi" w:cstheme="majorBidi"/>
        </w:rPr>
        <w:t>World Health Organization, 2017</w:t>
      </w:r>
      <w:r w:rsidR="00E01D0C" w:rsidRPr="005A54C3">
        <w:rPr>
          <w:rFonts w:asciiTheme="majorBidi" w:hAnsiTheme="majorBidi" w:cstheme="majorBidi"/>
          <w:color w:val="222222"/>
          <w:shd w:val="clear" w:color="auto" w:fill="FFFFFF"/>
        </w:rPr>
        <w:t>).</w:t>
      </w:r>
      <w:r w:rsidRPr="005A54C3">
        <w:rPr>
          <w:rFonts w:asciiTheme="majorBidi" w:hAnsiTheme="majorBidi" w:cstheme="majorBidi"/>
          <w:color w:val="222222"/>
          <w:shd w:val="clear" w:color="auto" w:fill="FFFFFF"/>
        </w:rPr>
        <w:t xml:space="preserve">This </w:t>
      </w:r>
      <w:r w:rsidR="00E01D0C" w:rsidRPr="005A54C3">
        <w:rPr>
          <w:rFonts w:asciiTheme="majorBidi" w:hAnsiTheme="majorBidi" w:cstheme="majorBidi"/>
          <w:color w:val="222222"/>
          <w:shd w:val="clear" w:color="auto" w:fill="FFFFFF"/>
        </w:rPr>
        <w:t>discrepancy may</w:t>
      </w:r>
      <w:r w:rsidRPr="005A54C3">
        <w:rPr>
          <w:rFonts w:asciiTheme="majorBidi" w:hAnsiTheme="majorBidi" w:cstheme="majorBidi"/>
          <w:color w:val="222222"/>
          <w:shd w:val="clear" w:color="auto" w:fill="FFFFFF"/>
        </w:rPr>
        <w:t xml:space="preserve"> be </w:t>
      </w:r>
      <w:r w:rsidR="00E01D0C" w:rsidRPr="005A54C3">
        <w:rPr>
          <w:rFonts w:asciiTheme="majorBidi" w:hAnsiTheme="majorBidi" w:cstheme="majorBidi"/>
          <w:color w:val="222222"/>
          <w:shd w:val="clear" w:color="auto" w:fill="FFFFFF"/>
        </w:rPr>
        <w:t xml:space="preserve">related to the inclusion of </w:t>
      </w:r>
      <w:r w:rsidRPr="005A54C3">
        <w:rPr>
          <w:rFonts w:asciiTheme="majorBidi" w:hAnsiTheme="majorBidi" w:cstheme="majorBidi"/>
          <w:color w:val="222222"/>
          <w:shd w:val="clear" w:color="auto" w:fill="FFFFFF"/>
        </w:rPr>
        <w:lastRenderedPageBreak/>
        <w:t>children and youth who may be under diagnosed, and</w:t>
      </w:r>
      <w:r w:rsidR="00E01D0C" w:rsidRPr="005A54C3">
        <w:rPr>
          <w:rFonts w:asciiTheme="majorBidi" w:hAnsiTheme="majorBidi" w:cstheme="majorBidi"/>
          <w:color w:val="222222"/>
          <w:shd w:val="clear" w:color="auto" w:fill="FFFFFF"/>
        </w:rPr>
        <w:t xml:space="preserve"> to the fact that</w:t>
      </w:r>
      <w:r w:rsidRPr="005A54C3">
        <w:rPr>
          <w:rFonts w:asciiTheme="majorBidi" w:hAnsiTheme="majorBidi" w:cstheme="majorBidi"/>
          <w:color w:val="222222"/>
          <w:shd w:val="clear" w:color="auto" w:fill="FFFFFF"/>
        </w:rPr>
        <w:t xml:space="preserve"> anxious or depressed </w:t>
      </w:r>
      <w:r w:rsidR="00E01D0C" w:rsidRPr="005A54C3">
        <w:rPr>
          <w:rFonts w:asciiTheme="majorBidi" w:hAnsiTheme="majorBidi" w:cstheme="majorBidi"/>
          <w:color w:val="222222"/>
          <w:shd w:val="clear" w:color="auto" w:fill="FFFFFF"/>
        </w:rPr>
        <w:t>patients tended to avoid visits with</w:t>
      </w:r>
      <w:r w:rsidRPr="005A54C3">
        <w:rPr>
          <w:rFonts w:asciiTheme="majorBidi" w:hAnsiTheme="majorBidi" w:cstheme="majorBidi"/>
          <w:color w:val="222222"/>
          <w:shd w:val="clear" w:color="auto" w:fill="FFFFFF"/>
        </w:rPr>
        <w:t xml:space="preserve"> their physician</w:t>
      </w:r>
      <w:r w:rsidR="00E01D0C" w:rsidRPr="005A54C3">
        <w:rPr>
          <w:rFonts w:asciiTheme="majorBidi" w:hAnsiTheme="majorBidi" w:cstheme="majorBidi"/>
          <w:color w:val="222222"/>
          <w:shd w:val="clear" w:color="auto" w:fill="FFFFFF"/>
        </w:rPr>
        <w:t>s</w:t>
      </w:r>
      <w:r w:rsidR="003C1095" w:rsidRPr="005A54C3">
        <w:rPr>
          <w:rFonts w:asciiTheme="majorBidi" w:hAnsiTheme="majorBidi" w:cstheme="majorBidi"/>
          <w:color w:val="222222"/>
          <w:shd w:val="clear" w:color="auto" w:fill="FFFFFF"/>
        </w:rPr>
        <w:t xml:space="preserve"> during the pandemic. </w:t>
      </w:r>
      <w:r w:rsidRPr="005A54C3">
        <w:rPr>
          <w:rFonts w:asciiTheme="majorBidi" w:hAnsiTheme="majorBidi" w:cstheme="majorBidi"/>
          <w:color w:val="222222"/>
          <w:shd w:val="clear" w:color="auto" w:fill="FFFFFF"/>
        </w:rPr>
        <w:t>Alternatively, this may be a limitation of a community</w:t>
      </w:r>
      <w:r w:rsidR="00E01D0C" w:rsidRPr="005A54C3">
        <w:rPr>
          <w:rFonts w:asciiTheme="majorBidi" w:hAnsiTheme="majorBidi" w:cstheme="majorBidi"/>
          <w:color w:val="222222"/>
          <w:shd w:val="clear" w:color="auto" w:fill="FFFFFF"/>
        </w:rPr>
        <w:t>-</w:t>
      </w:r>
      <w:r w:rsidRPr="005A54C3">
        <w:rPr>
          <w:rFonts w:asciiTheme="majorBidi" w:hAnsiTheme="majorBidi" w:cstheme="majorBidi"/>
          <w:color w:val="222222"/>
          <w:shd w:val="clear" w:color="auto" w:fill="FFFFFF"/>
        </w:rPr>
        <w:t xml:space="preserve">based EHR study in which clinicians </w:t>
      </w:r>
      <w:r w:rsidR="00E01D0C" w:rsidRPr="005A54C3">
        <w:rPr>
          <w:rFonts w:asciiTheme="majorBidi" w:hAnsiTheme="majorBidi" w:cstheme="majorBidi"/>
          <w:color w:val="222222"/>
          <w:shd w:val="clear" w:color="auto" w:fill="FFFFFF"/>
        </w:rPr>
        <w:t>were reluctant to</w:t>
      </w:r>
      <w:r w:rsidRPr="005A54C3">
        <w:rPr>
          <w:rFonts w:asciiTheme="majorBidi" w:hAnsiTheme="majorBidi" w:cstheme="majorBidi"/>
          <w:color w:val="222222"/>
          <w:shd w:val="clear" w:color="auto" w:fill="FFFFFF"/>
        </w:rPr>
        <w:t xml:space="preserve"> document depression and anxiety, especially during a pandemic.</w:t>
      </w:r>
      <w:r w:rsidR="003C1095" w:rsidRPr="005A54C3">
        <w:rPr>
          <w:rFonts w:asciiTheme="majorBidi" w:hAnsiTheme="majorBidi" w:cstheme="majorBidi"/>
          <w:color w:val="222222"/>
          <w:shd w:val="clear" w:color="auto" w:fill="FFFFFF"/>
        </w:rPr>
        <w:t xml:space="preserve"> </w:t>
      </w:r>
      <w:r w:rsidR="00E01D0C" w:rsidRPr="005A54C3">
        <w:rPr>
          <w:rFonts w:asciiTheme="majorBidi" w:hAnsiTheme="majorBidi" w:cstheme="majorBidi"/>
          <w:bCs/>
          <w:sz w:val="22"/>
          <w:szCs w:val="22"/>
        </w:rPr>
        <w:t xml:space="preserve">This possibility is consistent with the observation that in our </w:t>
      </w:r>
      <w:r w:rsidR="003C1095" w:rsidRPr="005A54C3">
        <w:rPr>
          <w:rFonts w:asciiTheme="majorBidi" w:hAnsiTheme="majorBidi" w:cstheme="majorBidi"/>
          <w:bCs/>
          <w:sz w:val="22"/>
          <w:szCs w:val="22"/>
        </w:rPr>
        <w:t xml:space="preserve">sample </w:t>
      </w:r>
      <w:r w:rsidR="0015352D" w:rsidRPr="005A54C3">
        <w:rPr>
          <w:rFonts w:asciiTheme="majorBidi" w:hAnsiTheme="majorBidi" w:cstheme="majorBidi"/>
        </w:rPr>
        <w:t>COPD and schizophrenia</w:t>
      </w:r>
      <w:r w:rsidR="00E01D0C" w:rsidRPr="005A54C3">
        <w:rPr>
          <w:rFonts w:asciiTheme="majorBidi" w:hAnsiTheme="majorBidi" w:cstheme="majorBidi"/>
        </w:rPr>
        <w:t xml:space="preserve"> clinical groups also</w:t>
      </w:r>
      <w:r w:rsidR="0015352D" w:rsidRPr="005A54C3">
        <w:rPr>
          <w:rFonts w:asciiTheme="majorBidi" w:hAnsiTheme="majorBidi" w:cstheme="majorBidi"/>
        </w:rPr>
        <w:t xml:space="preserve"> included a very small number of patients, decreasing the likelihood of an association with COVID-19.</w:t>
      </w:r>
    </w:p>
    <w:p w14:paraId="25A55124" w14:textId="77777777" w:rsidR="0015352D" w:rsidRPr="005A54C3" w:rsidRDefault="00EB33E3">
      <w:pPr>
        <w:ind w:firstLine="720"/>
        <w:rPr>
          <w:rFonts w:asciiTheme="majorBidi" w:hAnsiTheme="majorBidi" w:cstheme="majorBidi"/>
        </w:rPr>
      </w:pPr>
      <w:r w:rsidRPr="005A54C3">
        <w:rPr>
          <w:rFonts w:asciiTheme="majorBidi" w:hAnsiTheme="majorBidi" w:cstheme="majorBidi"/>
        </w:rPr>
        <w:t>Noteworthy, the f</w:t>
      </w:r>
      <w:r w:rsidR="00E8712F" w:rsidRPr="005A54C3">
        <w:rPr>
          <w:rFonts w:asciiTheme="majorBidi" w:hAnsiTheme="majorBidi" w:cstheme="majorBidi"/>
        </w:rPr>
        <w:t xml:space="preserve">indings from this study are correlational, not causal, and need to be validated </w:t>
      </w:r>
      <w:r w:rsidR="00E01D0C" w:rsidRPr="005A54C3">
        <w:rPr>
          <w:rFonts w:asciiTheme="majorBidi" w:hAnsiTheme="majorBidi" w:cstheme="majorBidi"/>
        </w:rPr>
        <w:t xml:space="preserve">and confirmed </w:t>
      </w:r>
      <w:r w:rsidR="00E8712F" w:rsidRPr="005A54C3">
        <w:rPr>
          <w:rFonts w:asciiTheme="majorBidi" w:hAnsiTheme="majorBidi" w:cstheme="majorBidi"/>
        </w:rPr>
        <w:t>in other databases or populations</w:t>
      </w:r>
      <w:r w:rsidR="003C1095" w:rsidRPr="005A54C3">
        <w:rPr>
          <w:rFonts w:asciiTheme="majorBidi" w:hAnsiTheme="majorBidi" w:cstheme="majorBidi"/>
        </w:rPr>
        <w:t>.</w:t>
      </w:r>
    </w:p>
    <w:p w14:paraId="52269CEE" w14:textId="77777777" w:rsidR="0015352D" w:rsidRPr="005A54C3" w:rsidRDefault="00E8712F">
      <w:pPr>
        <w:ind w:firstLine="720"/>
        <w:rPr>
          <w:rFonts w:asciiTheme="majorBidi" w:hAnsiTheme="majorBidi" w:cstheme="majorBidi"/>
        </w:rPr>
      </w:pPr>
      <w:r w:rsidRPr="005A54C3">
        <w:rPr>
          <w:rFonts w:asciiTheme="majorBidi" w:hAnsiTheme="majorBidi" w:cstheme="majorBidi"/>
        </w:rPr>
        <w:t>The telephone triage of patients was done at a single point in time, and so some patients with ADHD may have developed COVID-19 symptoms later on, possibly leading to underestimat</w:t>
      </w:r>
      <w:r w:rsidR="005E7B3D" w:rsidRPr="005A54C3">
        <w:rPr>
          <w:rFonts w:asciiTheme="majorBidi" w:hAnsiTheme="majorBidi" w:cstheme="majorBidi"/>
        </w:rPr>
        <w:t>ion of</w:t>
      </w:r>
      <w:r w:rsidRPr="005A54C3">
        <w:rPr>
          <w:rFonts w:asciiTheme="majorBidi" w:hAnsiTheme="majorBidi" w:cstheme="majorBidi"/>
        </w:rPr>
        <w:t xml:space="preserve"> th</w:t>
      </w:r>
      <w:r w:rsidR="003C1095" w:rsidRPr="005A54C3">
        <w:rPr>
          <w:rFonts w:asciiTheme="majorBidi" w:hAnsiTheme="majorBidi" w:cstheme="majorBidi"/>
        </w:rPr>
        <w:t>e strength of the association.</w:t>
      </w:r>
    </w:p>
    <w:p w14:paraId="2E5F41E9" w14:textId="36612F0E" w:rsidR="00532C03" w:rsidRPr="005A54C3" w:rsidRDefault="00E8712F">
      <w:pPr>
        <w:ind w:firstLine="720"/>
        <w:rPr>
          <w:rFonts w:asciiTheme="majorBidi" w:hAnsiTheme="majorBidi" w:cstheme="majorBidi"/>
          <w:strike/>
        </w:rPr>
      </w:pPr>
      <w:r w:rsidRPr="005A54C3">
        <w:rPr>
          <w:rFonts w:asciiTheme="majorBidi" w:hAnsiTheme="majorBidi" w:cstheme="majorBidi"/>
        </w:rPr>
        <w:t xml:space="preserve">The sample size of 231 COVID-19 infected ADHD patients, may have limited the power of our ADHD analyses, given the number of variables. Triage for symptom severity and referral for hospitalization was based on the patient’s report in a telephone interview, rather than direct clinical examination. There may be unknown variables impacting the association of ADHD with poor COVID-19 outcomes that are not included in our analyses. </w:t>
      </w:r>
    </w:p>
    <w:p w14:paraId="17704D41" w14:textId="77777777" w:rsidR="005E7B3D" w:rsidRPr="005A54C3" w:rsidRDefault="005E7B3D">
      <w:pPr>
        <w:ind w:firstLine="720"/>
        <w:rPr>
          <w:rFonts w:asciiTheme="majorBidi" w:hAnsiTheme="majorBidi" w:cstheme="majorBidi"/>
          <w:b/>
          <w:bCs/>
        </w:rPr>
      </w:pPr>
      <w:r w:rsidRPr="005A54C3">
        <w:rPr>
          <w:rFonts w:asciiTheme="majorBidi" w:hAnsiTheme="majorBidi" w:cstheme="majorBidi"/>
          <w:b/>
          <w:bCs/>
        </w:rPr>
        <w:t>Implications</w:t>
      </w:r>
    </w:p>
    <w:p w14:paraId="4A5086A3" w14:textId="77777777" w:rsidR="00532C03" w:rsidRPr="005A54C3" w:rsidRDefault="005E7B3D">
      <w:pPr>
        <w:ind w:firstLine="720"/>
        <w:rPr>
          <w:rFonts w:asciiTheme="majorBidi" w:hAnsiTheme="majorBidi" w:cstheme="majorBidi"/>
        </w:rPr>
      </w:pPr>
      <w:r w:rsidRPr="005A54C3">
        <w:rPr>
          <w:rFonts w:asciiTheme="majorBidi" w:hAnsiTheme="majorBidi" w:cstheme="majorBidi"/>
        </w:rPr>
        <w:t xml:space="preserve">This study </w:t>
      </w:r>
      <w:r w:rsidR="00E8712F" w:rsidRPr="005A54C3">
        <w:rPr>
          <w:rFonts w:asciiTheme="majorBidi" w:hAnsiTheme="majorBidi" w:cstheme="majorBidi"/>
        </w:rPr>
        <w:t>raise</w:t>
      </w:r>
      <w:r w:rsidRPr="005A54C3">
        <w:rPr>
          <w:rFonts w:asciiTheme="majorBidi" w:hAnsiTheme="majorBidi" w:cstheme="majorBidi"/>
        </w:rPr>
        <w:t xml:space="preserve">s the </w:t>
      </w:r>
      <w:r w:rsidR="00E8712F" w:rsidRPr="005A54C3">
        <w:rPr>
          <w:rFonts w:asciiTheme="majorBidi" w:hAnsiTheme="majorBidi" w:cstheme="majorBidi"/>
        </w:rPr>
        <w:t xml:space="preserve">awareness of the increased risk of patients with ADHD to </w:t>
      </w:r>
      <w:r w:rsidRPr="005A54C3">
        <w:rPr>
          <w:rFonts w:asciiTheme="majorBidi" w:hAnsiTheme="majorBidi" w:cstheme="majorBidi"/>
        </w:rPr>
        <w:t xml:space="preserve">develop symptomatic </w:t>
      </w:r>
      <w:r w:rsidR="00E8712F" w:rsidRPr="005A54C3">
        <w:rPr>
          <w:rFonts w:asciiTheme="majorBidi" w:hAnsiTheme="majorBidi" w:cstheme="majorBidi"/>
        </w:rPr>
        <w:t>COVID-19</w:t>
      </w:r>
      <w:r w:rsidRPr="005A54C3">
        <w:rPr>
          <w:rFonts w:asciiTheme="majorBidi" w:hAnsiTheme="majorBidi" w:cstheme="majorBidi"/>
        </w:rPr>
        <w:t xml:space="preserve"> clinical picture that may requi</w:t>
      </w:r>
      <w:r w:rsidR="003C1095" w:rsidRPr="005A54C3">
        <w:rPr>
          <w:rFonts w:asciiTheme="majorBidi" w:hAnsiTheme="majorBidi" w:cstheme="majorBidi"/>
        </w:rPr>
        <w:t>re referral to hospitalization.</w:t>
      </w:r>
      <w:r w:rsidR="00E8712F" w:rsidRPr="005A54C3">
        <w:rPr>
          <w:rFonts w:asciiTheme="majorBidi" w:hAnsiTheme="majorBidi" w:cstheme="majorBidi"/>
          <w:b/>
        </w:rPr>
        <w:t xml:space="preserve"> </w:t>
      </w:r>
      <w:r w:rsidR="00E8712F" w:rsidRPr="005A54C3">
        <w:rPr>
          <w:rFonts w:asciiTheme="majorBidi" w:hAnsiTheme="majorBidi" w:cstheme="majorBidi"/>
        </w:rPr>
        <w:t xml:space="preserve">Clinicians aware of this association </w:t>
      </w:r>
      <w:r w:rsidRPr="005A54C3">
        <w:rPr>
          <w:rFonts w:asciiTheme="majorBidi" w:hAnsiTheme="majorBidi" w:cstheme="majorBidi"/>
        </w:rPr>
        <w:t>should</w:t>
      </w:r>
      <w:r w:rsidR="00E8712F" w:rsidRPr="005A54C3">
        <w:rPr>
          <w:rFonts w:asciiTheme="majorBidi" w:hAnsiTheme="majorBidi" w:cstheme="majorBidi"/>
        </w:rPr>
        <w:t xml:space="preserve"> practice a higher degree of vigilance not only in screening for COVID-19</w:t>
      </w:r>
      <w:r w:rsidRPr="005A54C3">
        <w:rPr>
          <w:rFonts w:asciiTheme="majorBidi" w:hAnsiTheme="majorBidi" w:cstheme="majorBidi"/>
        </w:rPr>
        <w:t xml:space="preserve"> infection </w:t>
      </w:r>
      <w:r w:rsidR="00E8712F" w:rsidRPr="005A54C3">
        <w:rPr>
          <w:rFonts w:asciiTheme="majorBidi" w:hAnsiTheme="majorBidi" w:cstheme="majorBidi"/>
        </w:rPr>
        <w:t>in individuals with ADHD, but also in monitoring outcome, and providing a prompt effective treat</w:t>
      </w:r>
      <w:r w:rsidR="007F3B79" w:rsidRPr="005A54C3">
        <w:rPr>
          <w:rFonts w:asciiTheme="majorBidi" w:hAnsiTheme="majorBidi" w:cstheme="majorBidi"/>
        </w:rPr>
        <w:t>ment for the COVID-19 symptoms</w:t>
      </w:r>
      <w:r w:rsidRPr="005A54C3">
        <w:rPr>
          <w:rFonts w:asciiTheme="majorBidi" w:hAnsiTheme="majorBidi" w:cstheme="majorBidi"/>
        </w:rPr>
        <w:t xml:space="preserve"> in this population.</w:t>
      </w:r>
    </w:p>
    <w:p w14:paraId="0E49F4C2" w14:textId="77777777" w:rsidR="005E7B3D" w:rsidRPr="005A54C3" w:rsidRDefault="005E7B3D">
      <w:pPr>
        <w:ind w:firstLine="720"/>
        <w:rPr>
          <w:rFonts w:asciiTheme="majorBidi" w:hAnsiTheme="majorBidi" w:cstheme="majorBidi"/>
        </w:rPr>
      </w:pPr>
    </w:p>
    <w:p w14:paraId="463F6C46" w14:textId="77777777" w:rsidR="00532C03" w:rsidRPr="005A54C3" w:rsidRDefault="00E8712F">
      <w:pPr>
        <w:rPr>
          <w:rFonts w:asciiTheme="majorBidi" w:hAnsiTheme="majorBidi" w:cstheme="majorBidi"/>
          <w:b/>
        </w:rPr>
      </w:pPr>
      <w:r w:rsidRPr="005A54C3">
        <w:rPr>
          <w:rFonts w:asciiTheme="majorBidi" w:hAnsiTheme="majorBidi" w:cstheme="majorBidi"/>
          <w:b/>
        </w:rPr>
        <w:t>Conclusions</w:t>
      </w:r>
    </w:p>
    <w:p w14:paraId="0A29A34F" w14:textId="77777777" w:rsidR="00532C03" w:rsidRPr="005A54C3" w:rsidRDefault="00E8712F">
      <w:pPr>
        <w:ind w:firstLine="720"/>
        <w:rPr>
          <w:rFonts w:asciiTheme="majorBidi" w:hAnsiTheme="majorBidi" w:cstheme="majorBidi"/>
        </w:rPr>
      </w:pPr>
      <w:r w:rsidRPr="005A54C3">
        <w:rPr>
          <w:rFonts w:asciiTheme="majorBidi" w:hAnsiTheme="majorBidi" w:cstheme="majorBidi"/>
        </w:rPr>
        <w:lastRenderedPageBreak/>
        <w:t>ADHD was found to be associated with an increased risk of symptomatic COVID-19</w:t>
      </w:r>
      <w:r w:rsidR="005E7B3D" w:rsidRPr="005A54C3">
        <w:rPr>
          <w:rFonts w:asciiTheme="majorBidi" w:hAnsiTheme="majorBidi" w:cstheme="majorBidi"/>
        </w:rPr>
        <w:t xml:space="preserve">+ </w:t>
      </w:r>
      <w:r w:rsidRPr="005A54C3">
        <w:rPr>
          <w:rFonts w:asciiTheme="majorBidi" w:hAnsiTheme="majorBidi" w:cstheme="majorBidi"/>
        </w:rPr>
        <w:t xml:space="preserve">and </w:t>
      </w:r>
      <w:r w:rsidR="005E7B3D" w:rsidRPr="005A54C3">
        <w:rPr>
          <w:rFonts w:asciiTheme="majorBidi" w:hAnsiTheme="majorBidi" w:cstheme="majorBidi"/>
        </w:rPr>
        <w:t xml:space="preserve">higher rates of </w:t>
      </w:r>
      <w:r w:rsidRPr="005A54C3">
        <w:rPr>
          <w:rFonts w:asciiTheme="majorBidi" w:hAnsiTheme="majorBidi" w:cstheme="majorBidi"/>
        </w:rPr>
        <w:t xml:space="preserve">referral </w:t>
      </w:r>
      <w:r w:rsidR="005E7B3D" w:rsidRPr="005A54C3">
        <w:rPr>
          <w:rFonts w:asciiTheme="majorBidi" w:hAnsiTheme="majorBidi" w:cstheme="majorBidi"/>
        </w:rPr>
        <w:t>to</w:t>
      </w:r>
      <w:r w:rsidRPr="005A54C3">
        <w:rPr>
          <w:rFonts w:asciiTheme="majorBidi" w:hAnsiTheme="majorBidi" w:cstheme="majorBidi"/>
        </w:rPr>
        <w:t xml:space="preserve"> hospitalization over and above other known risk factors. Clinicians should be aware of the increased need for vigilance in caring for ADHD patients who are COVID-19 positive. Future research is needed to evaluate whether ADHD is a risk factor for long</w:t>
      </w:r>
      <w:r w:rsidR="005E7B3D" w:rsidRPr="005A54C3">
        <w:rPr>
          <w:rFonts w:asciiTheme="majorBidi" w:hAnsiTheme="majorBidi" w:cstheme="majorBidi"/>
        </w:rPr>
        <w:t>er duration of symptomatic</w:t>
      </w:r>
      <w:r w:rsidRPr="005A54C3">
        <w:rPr>
          <w:rFonts w:asciiTheme="majorBidi" w:hAnsiTheme="majorBidi" w:cstheme="majorBidi"/>
        </w:rPr>
        <w:t xml:space="preserve"> COVID-19, and whether antecedent ADHD and/or other </w:t>
      </w:r>
      <w:r w:rsidR="005E7B3D" w:rsidRPr="005A54C3">
        <w:rPr>
          <w:rFonts w:asciiTheme="majorBidi" w:hAnsiTheme="majorBidi" w:cstheme="majorBidi"/>
        </w:rPr>
        <w:t>neurodevelopmental</w:t>
      </w:r>
      <w:r w:rsidRPr="005A54C3">
        <w:rPr>
          <w:rFonts w:asciiTheme="majorBidi" w:hAnsiTheme="majorBidi" w:cstheme="majorBidi"/>
        </w:rPr>
        <w:t xml:space="preserve"> </w:t>
      </w:r>
      <w:r w:rsidR="005E7B3D" w:rsidRPr="005A54C3">
        <w:rPr>
          <w:rFonts w:asciiTheme="majorBidi" w:hAnsiTheme="majorBidi" w:cstheme="majorBidi"/>
        </w:rPr>
        <w:t>disorders</w:t>
      </w:r>
      <w:r w:rsidRPr="005A54C3">
        <w:rPr>
          <w:rFonts w:asciiTheme="majorBidi" w:hAnsiTheme="majorBidi" w:cstheme="majorBidi"/>
        </w:rPr>
        <w:t xml:space="preserve"> are risk factors for neuropsychiatric sequelae from COVID-19 infection.</w:t>
      </w:r>
    </w:p>
    <w:p w14:paraId="7A6AB40F" w14:textId="77777777" w:rsidR="00532C03" w:rsidRPr="005A54C3" w:rsidRDefault="00532C03">
      <w:pPr>
        <w:spacing w:line="360" w:lineRule="auto"/>
        <w:rPr>
          <w:rFonts w:asciiTheme="majorBidi" w:hAnsiTheme="majorBidi" w:cstheme="majorBidi"/>
        </w:rPr>
      </w:pPr>
    </w:p>
    <w:p w14:paraId="6A8AA3A6" w14:textId="77777777" w:rsidR="00532C03" w:rsidRPr="005A54C3" w:rsidRDefault="00E8712F">
      <w:pPr>
        <w:pStyle w:val="Heading1"/>
        <w:rPr>
          <w:rFonts w:asciiTheme="majorBidi" w:hAnsiTheme="majorBidi" w:cstheme="majorBidi"/>
        </w:rPr>
      </w:pPr>
      <w:bookmarkStart w:id="8" w:name="_heading=h.1t3h5sf" w:colFirst="0" w:colLast="0"/>
      <w:bookmarkEnd w:id="8"/>
      <w:r w:rsidRPr="005A54C3">
        <w:rPr>
          <w:rFonts w:asciiTheme="majorBidi" w:hAnsiTheme="majorBidi" w:cstheme="majorBidi"/>
        </w:rPr>
        <w:br w:type="page"/>
      </w:r>
    </w:p>
    <w:p w14:paraId="63B50F6A" w14:textId="77777777" w:rsidR="00532C03" w:rsidRPr="005A54C3" w:rsidRDefault="00E8712F">
      <w:pPr>
        <w:pStyle w:val="Heading1"/>
        <w:rPr>
          <w:rFonts w:asciiTheme="majorBidi" w:hAnsiTheme="majorBidi" w:cstheme="majorBidi"/>
        </w:rPr>
      </w:pPr>
      <w:bookmarkStart w:id="9" w:name="_heading=h.xd0ey6iitq7f" w:colFirst="0" w:colLast="0"/>
      <w:bookmarkEnd w:id="9"/>
      <w:r w:rsidRPr="005A54C3">
        <w:rPr>
          <w:rFonts w:asciiTheme="majorBidi" w:hAnsiTheme="majorBidi" w:cstheme="majorBidi"/>
        </w:rPr>
        <w:lastRenderedPageBreak/>
        <w:t>References</w:t>
      </w:r>
    </w:p>
    <w:p w14:paraId="341D35DE" w14:textId="77777777" w:rsidR="00532C03" w:rsidRPr="005A54C3" w:rsidRDefault="00E8712F">
      <w:pPr>
        <w:spacing w:after="200" w:line="240" w:lineRule="auto"/>
        <w:ind w:left="566" w:hanging="566"/>
        <w:rPr>
          <w:rFonts w:asciiTheme="majorBidi" w:hAnsiTheme="majorBidi" w:cstheme="majorBidi"/>
        </w:rPr>
      </w:pPr>
      <w:r w:rsidRPr="005A54C3">
        <w:rPr>
          <w:rFonts w:asciiTheme="majorBidi" w:hAnsiTheme="majorBidi" w:cstheme="majorBidi"/>
        </w:rPr>
        <w:t xml:space="preserve">Adams, M. L., Katz, D. L., &amp; Grandpre, J. (2020). Population-based estimates of chronic conditions affecting risk for complications from coronavirus disease, United States. </w:t>
      </w:r>
      <w:r w:rsidRPr="005A54C3">
        <w:rPr>
          <w:rFonts w:asciiTheme="majorBidi" w:hAnsiTheme="majorBidi" w:cstheme="majorBidi"/>
          <w:i/>
        </w:rPr>
        <w:t>Emerging Infectious Diseases, 26</w:t>
      </w:r>
      <w:r w:rsidRPr="005A54C3">
        <w:rPr>
          <w:rFonts w:asciiTheme="majorBidi" w:hAnsiTheme="majorBidi" w:cstheme="majorBidi"/>
        </w:rPr>
        <w:t xml:space="preserve">(8), 1831-1833. </w:t>
      </w:r>
      <w:hyperlink r:id="rId8">
        <w:r w:rsidRPr="005A54C3">
          <w:rPr>
            <w:rFonts w:asciiTheme="majorBidi" w:hAnsiTheme="majorBidi" w:cstheme="majorBidi"/>
            <w:color w:val="1155CC"/>
            <w:u w:val="single"/>
          </w:rPr>
          <w:t>https://doi.org/10.3201/eid2608.200679</w:t>
        </w:r>
      </w:hyperlink>
    </w:p>
    <w:p w14:paraId="5FA84FC0" w14:textId="77777777" w:rsidR="00532C03" w:rsidRPr="005A54C3" w:rsidRDefault="00E8712F">
      <w:pPr>
        <w:spacing w:after="200" w:line="240" w:lineRule="auto"/>
        <w:ind w:left="566" w:hanging="566"/>
        <w:rPr>
          <w:rFonts w:asciiTheme="majorBidi" w:hAnsiTheme="majorBidi" w:cstheme="majorBidi"/>
        </w:rPr>
      </w:pPr>
      <w:proofErr w:type="spellStart"/>
      <w:r w:rsidRPr="005A54C3">
        <w:rPr>
          <w:rFonts w:asciiTheme="majorBidi" w:hAnsiTheme="majorBidi" w:cstheme="majorBidi"/>
        </w:rPr>
        <w:t>Alcendor</w:t>
      </w:r>
      <w:proofErr w:type="spellEnd"/>
      <w:r w:rsidRPr="005A54C3">
        <w:rPr>
          <w:rFonts w:asciiTheme="majorBidi" w:hAnsiTheme="majorBidi" w:cstheme="majorBidi"/>
        </w:rPr>
        <w:t xml:space="preserve">, D. J. (2020). Racial disparities-associated COVID-19 mortality among minority populations in the US. </w:t>
      </w:r>
      <w:r w:rsidRPr="005A54C3">
        <w:rPr>
          <w:rFonts w:asciiTheme="majorBidi" w:hAnsiTheme="majorBidi" w:cstheme="majorBidi"/>
          <w:i/>
        </w:rPr>
        <w:t>Journal of Clinical Medicine, 9</w:t>
      </w:r>
      <w:r w:rsidRPr="005A54C3">
        <w:rPr>
          <w:rFonts w:asciiTheme="majorBidi" w:hAnsiTheme="majorBidi" w:cstheme="majorBidi"/>
        </w:rPr>
        <w:t xml:space="preserve">(8), 2442. </w:t>
      </w:r>
      <w:hyperlink r:id="rId9">
        <w:r w:rsidRPr="005A54C3">
          <w:rPr>
            <w:rFonts w:asciiTheme="majorBidi" w:hAnsiTheme="majorBidi" w:cstheme="majorBidi"/>
            <w:color w:val="1155CC"/>
            <w:u w:val="single"/>
          </w:rPr>
          <w:t>https://doi.org/10.3390/jcm9082442</w:t>
        </w:r>
      </w:hyperlink>
    </w:p>
    <w:p w14:paraId="57086B3D" w14:textId="77777777" w:rsidR="00A52638" w:rsidRPr="005A54C3" w:rsidRDefault="00A52638" w:rsidP="00A52638">
      <w:pPr>
        <w:spacing w:after="200" w:line="240" w:lineRule="auto"/>
        <w:ind w:left="566" w:hanging="566"/>
        <w:rPr>
          <w:rFonts w:asciiTheme="majorBidi" w:hAnsiTheme="majorBidi" w:cstheme="majorBidi"/>
        </w:rPr>
      </w:pPr>
      <w:r w:rsidRPr="005A54C3">
        <w:rPr>
          <w:rFonts w:asciiTheme="majorBidi" w:hAnsiTheme="majorBidi" w:cstheme="majorBidi"/>
        </w:rPr>
        <w:t xml:space="preserve">Childress, A. C., &amp; Stark, J. G. (2018). Diagnosis and treatment of attention-deficit/hyperactivity disorder in preschool-aged children. </w:t>
      </w:r>
      <w:r w:rsidRPr="005A54C3">
        <w:rPr>
          <w:rFonts w:asciiTheme="majorBidi" w:hAnsiTheme="majorBidi" w:cstheme="majorBidi"/>
          <w:i/>
          <w:iCs/>
        </w:rPr>
        <w:t>Journal of child and adolescent psychopharmacology</w:t>
      </w:r>
      <w:r w:rsidRPr="005A54C3">
        <w:rPr>
          <w:rFonts w:asciiTheme="majorBidi" w:hAnsiTheme="majorBidi" w:cstheme="majorBidi"/>
        </w:rPr>
        <w:t xml:space="preserve">, </w:t>
      </w:r>
      <w:r w:rsidRPr="005A54C3">
        <w:rPr>
          <w:rFonts w:asciiTheme="majorBidi" w:hAnsiTheme="majorBidi" w:cstheme="majorBidi"/>
          <w:i/>
          <w:iCs/>
        </w:rPr>
        <w:t>28</w:t>
      </w:r>
      <w:r w:rsidRPr="005A54C3">
        <w:rPr>
          <w:rFonts w:asciiTheme="majorBidi" w:hAnsiTheme="majorBidi" w:cstheme="majorBidi"/>
        </w:rPr>
        <w:t>(9), 606-614.</w:t>
      </w:r>
      <w:r w:rsidRPr="005A54C3">
        <w:rPr>
          <w:rFonts w:asciiTheme="majorBidi" w:hAnsiTheme="majorBidi" w:cstheme="majorBidi"/>
          <w:rtl/>
        </w:rPr>
        <w:t>‏</w:t>
      </w:r>
      <w:r w:rsidRPr="005A54C3">
        <w:rPr>
          <w:rFonts w:asciiTheme="majorBidi" w:hAnsiTheme="majorBidi" w:cstheme="majorBidi"/>
        </w:rPr>
        <w:t xml:space="preserve"> </w:t>
      </w:r>
      <w:hyperlink r:id="rId10" w:history="1">
        <w:r w:rsidRPr="005A54C3">
          <w:rPr>
            <w:rStyle w:val="Hyperlink"/>
            <w:rFonts w:asciiTheme="majorBidi" w:hAnsiTheme="majorBidi" w:cstheme="majorBidi"/>
          </w:rPr>
          <w:t>https://doi.org/10.1089/cap.2018.0057</w:t>
        </w:r>
      </w:hyperlink>
    </w:p>
    <w:p w14:paraId="7906F1FA" w14:textId="77777777" w:rsidR="00532C03" w:rsidRPr="005A54C3" w:rsidRDefault="00E8712F">
      <w:pPr>
        <w:spacing w:after="200" w:line="240" w:lineRule="auto"/>
        <w:ind w:left="566" w:hanging="566"/>
        <w:rPr>
          <w:rFonts w:asciiTheme="majorBidi" w:hAnsiTheme="majorBidi" w:cstheme="majorBidi"/>
        </w:rPr>
      </w:pPr>
      <w:r w:rsidRPr="005A54C3">
        <w:rPr>
          <w:rFonts w:asciiTheme="majorBidi" w:hAnsiTheme="majorBidi" w:cstheme="majorBidi"/>
          <w:lang w:val="it-IT"/>
        </w:rPr>
        <w:t xml:space="preserve">Cortese, S., </w:t>
      </w:r>
      <w:proofErr w:type="spellStart"/>
      <w:r w:rsidRPr="005A54C3">
        <w:rPr>
          <w:rFonts w:asciiTheme="majorBidi" w:hAnsiTheme="majorBidi" w:cstheme="majorBidi"/>
          <w:lang w:val="it-IT"/>
        </w:rPr>
        <w:t>Angriman</w:t>
      </w:r>
      <w:proofErr w:type="spellEnd"/>
      <w:r w:rsidRPr="005A54C3">
        <w:rPr>
          <w:rFonts w:asciiTheme="majorBidi" w:hAnsiTheme="majorBidi" w:cstheme="majorBidi"/>
          <w:lang w:val="it-IT"/>
        </w:rPr>
        <w:t xml:space="preserve">, M., Comencini, E., Vincenzi, B., &amp; Maffeis, C. (2019). </w:t>
      </w:r>
      <w:r w:rsidRPr="005A54C3">
        <w:rPr>
          <w:rFonts w:asciiTheme="majorBidi" w:hAnsiTheme="majorBidi" w:cstheme="majorBidi"/>
        </w:rPr>
        <w:t xml:space="preserve">Association between inflammatory cytokines and ADHD symptoms in children and adolescents with obesity: A pilot study. </w:t>
      </w:r>
      <w:r w:rsidRPr="005A54C3">
        <w:rPr>
          <w:rFonts w:asciiTheme="majorBidi" w:hAnsiTheme="majorBidi" w:cstheme="majorBidi"/>
          <w:i/>
        </w:rPr>
        <w:t>Psychiatry research</w:t>
      </w:r>
      <w:r w:rsidRPr="005A54C3">
        <w:rPr>
          <w:rFonts w:asciiTheme="majorBidi" w:hAnsiTheme="majorBidi" w:cstheme="majorBidi"/>
        </w:rPr>
        <w:t>, 278, 7-11.</w:t>
      </w:r>
      <w:r w:rsidRPr="005A54C3">
        <w:rPr>
          <w:rFonts w:asciiTheme="majorBidi" w:hAnsiTheme="majorBidi" w:cstheme="majorBidi"/>
          <w:rtl/>
        </w:rPr>
        <w:t>‏</w:t>
      </w:r>
      <w:r w:rsidRPr="005A54C3">
        <w:rPr>
          <w:rFonts w:asciiTheme="majorBidi" w:hAnsiTheme="majorBidi" w:cstheme="majorBidi"/>
        </w:rPr>
        <w:t xml:space="preserve"> </w:t>
      </w:r>
      <w:hyperlink r:id="rId11">
        <w:r w:rsidRPr="005A54C3">
          <w:rPr>
            <w:rFonts w:asciiTheme="majorBidi" w:hAnsiTheme="majorBidi" w:cstheme="majorBidi"/>
            <w:color w:val="0000FF"/>
            <w:u w:val="single"/>
          </w:rPr>
          <w:t>https://doi.org/10.1016/j.psychres.2019.05.030</w:t>
        </w:r>
      </w:hyperlink>
    </w:p>
    <w:p w14:paraId="1A7DF677" w14:textId="77777777" w:rsidR="00532C03" w:rsidRPr="005A54C3" w:rsidRDefault="00E8712F">
      <w:pPr>
        <w:spacing w:after="200" w:line="240" w:lineRule="auto"/>
        <w:ind w:left="566" w:hanging="566"/>
        <w:rPr>
          <w:rFonts w:asciiTheme="majorBidi" w:hAnsiTheme="majorBidi" w:cstheme="majorBidi"/>
        </w:rPr>
      </w:pPr>
      <w:r w:rsidRPr="005A54C3">
        <w:rPr>
          <w:rFonts w:asciiTheme="majorBidi" w:hAnsiTheme="majorBidi" w:cstheme="majorBidi"/>
        </w:rPr>
        <w:t xml:space="preserve">Cortese, S., &amp; Coghill, D. (2018). Twenty years of research on attention-deficit/hyperactivity disorder (ADHD): looking back, looking forward. </w:t>
      </w:r>
      <w:r w:rsidRPr="005A54C3">
        <w:rPr>
          <w:rFonts w:asciiTheme="majorBidi" w:hAnsiTheme="majorBidi" w:cstheme="majorBidi"/>
          <w:i/>
        </w:rPr>
        <w:t>Evidence-based mental health, 21</w:t>
      </w:r>
      <w:r w:rsidRPr="005A54C3">
        <w:rPr>
          <w:rFonts w:asciiTheme="majorBidi" w:hAnsiTheme="majorBidi" w:cstheme="majorBidi"/>
        </w:rPr>
        <w:t xml:space="preserve">(4), 173-176. </w:t>
      </w:r>
      <w:hyperlink r:id="rId12">
        <w:r w:rsidRPr="005A54C3">
          <w:rPr>
            <w:rFonts w:asciiTheme="majorBidi" w:hAnsiTheme="majorBidi" w:cstheme="majorBidi"/>
            <w:color w:val="1155CC"/>
            <w:u w:val="single"/>
          </w:rPr>
          <w:t>http://doi.org/10.1136/ebmental-2018-300050</w:t>
        </w:r>
      </w:hyperlink>
    </w:p>
    <w:p w14:paraId="6D64E368" w14:textId="77777777" w:rsidR="00532C03" w:rsidRPr="005A54C3" w:rsidRDefault="00E8712F">
      <w:pPr>
        <w:spacing w:after="200" w:line="240" w:lineRule="auto"/>
        <w:ind w:left="566" w:hanging="566"/>
        <w:rPr>
          <w:rFonts w:asciiTheme="majorBidi" w:hAnsiTheme="majorBidi" w:cstheme="majorBidi"/>
        </w:rPr>
      </w:pPr>
      <w:r w:rsidRPr="005A54C3">
        <w:rPr>
          <w:rFonts w:asciiTheme="majorBidi" w:hAnsiTheme="majorBidi" w:cstheme="majorBidi"/>
        </w:rPr>
        <w:t xml:space="preserve">Cortese, S., Faraone, S. V., Konofal, E., &amp; Lecendreux, M. (2009). Sleep in children with attention-deficit/hyperactivity disorder: meta-analysis of subjective and objective studies. </w:t>
      </w:r>
      <w:r w:rsidRPr="005A54C3">
        <w:rPr>
          <w:rFonts w:asciiTheme="majorBidi" w:hAnsiTheme="majorBidi" w:cstheme="majorBidi"/>
          <w:i/>
        </w:rPr>
        <w:t>Journal of the American Academy of Child and Adolescent Psychiatry, 48</w:t>
      </w:r>
      <w:r w:rsidRPr="005A54C3">
        <w:rPr>
          <w:rFonts w:asciiTheme="majorBidi" w:hAnsiTheme="majorBidi" w:cstheme="majorBidi"/>
        </w:rPr>
        <w:t xml:space="preserve">(9), 894–908. </w:t>
      </w:r>
      <w:hyperlink r:id="rId13">
        <w:r w:rsidRPr="005A54C3">
          <w:rPr>
            <w:rFonts w:asciiTheme="majorBidi" w:hAnsiTheme="majorBidi" w:cstheme="majorBidi"/>
            <w:color w:val="1155CC"/>
            <w:u w:val="single"/>
          </w:rPr>
          <w:t>https://doi.org/10.1097/CHI.0b013e3181ac09c9</w:t>
        </w:r>
      </w:hyperlink>
    </w:p>
    <w:p w14:paraId="5275051E" w14:textId="77777777" w:rsidR="00532C03" w:rsidRPr="005A54C3" w:rsidRDefault="00E8712F">
      <w:pPr>
        <w:spacing w:after="200" w:line="240" w:lineRule="auto"/>
        <w:ind w:left="566" w:hanging="566"/>
        <w:rPr>
          <w:rFonts w:asciiTheme="majorBidi" w:hAnsiTheme="majorBidi" w:cstheme="majorBidi"/>
          <w:strike/>
        </w:rPr>
      </w:pPr>
      <w:r w:rsidRPr="005A54C3">
        <w:rPr>
          <w:rFonts w:asciiTheme="majorBidi" w:hAnsiTheme="majorBidi" w:cstheme="majorBidi"/>
        </w:rPr>
        <w:t xml:space="preserve">Cortese, S., Moreira-Maia, C. R., St. Fleur, D., </w:t>
      </w:r>
      <w:proofErr w:type="spellStart"/>
      <w:r w:rsidRPr="005A54C3">
        <w:rPr>
          <w:rFonts w:asciiTheme="majorBidi" w:hAnsiTheme="majorBidi" w:cstheme="majorBidi"/>
        </w:rPr>
        <w:t>Morcillo-Peñalver</w:t>
      </w:r>
      <w:proofErr w:type="spellEnd"/>
      <w:r w:rsidRPr="005A54C3">
        <w:rPr>
          <w:rFonts w:asciiTheme="majorBidi" w:hAnsiTheme="majorBidi" w:cstheme="majorBidi"/>
        </w:rPr>
        <w:t xml:space="preserve">, C., Rohde, L. A., &amp; Faraone, S. V. (2016). Association between ADHD and obesity: a systematic review and meta-analysis. </w:t>
      </w:r>
      <w:r w:rsidRPr="005A54C3">
        <w:rPr>
          <w:rFonts w:asciiTheme="majorBidi" w:hAnsiTheme="majorBidi" w:cstheme="majorBidi"/>
          <w:i/>
        </w:rPr>
        <w:t>American Journal of Psychiatry, 173</w:t>
      </w:r>
      <w:r w:rsidRPr="005A54C3">
        <w:rPr>
          <w:rFonts w:asciiTheme="majorBidi" w:hAnsiTheme="majorBidi" w:cstheme="majorBidi"/>
        </w:rPr>
        <w:t xml:space="preserve">(1), 34-43. </w:t>
      </w:r>
      <w:hyperlink r:id="rId14">
        <w:r w:rsidRPr="005A54C3">
          <w:rPr>
            <w:rFonts w:asciiTheme="majorBidi" w:hAnsiTheme="majorBidi" w:cstheme="majorBidi"/>
            <w:color w:val="1155CC"/>
            <w:u w:val="single"/>
          </w:rPr>
          <w:t>https://doi.org/10.1176/appi.ajp.2015.15020266</w:t>
        </w:r>
      </w:hyperlink>
    </w:p>
    <w:p w14:paraId="6E521EF2" w14:textId="77777777" w:rsidR="00532C03" w:rsidRPr="005A54C3" w:rsidRDefault="00E8712F">
      <w:pPr>
        <w:spacing w:after="200" w:line="240" w:lineRule="auto"/>
        <w:ind w:left="566" w:hanging="566"/>
        <w:rPr>
          <w:rFonts w:asciiTheme="majorBidi" w:hAnsiTheme="majorBidi" w:cstheme="majorBidi"/>
        </w:rPr>
      </w:pPr>
      <w:r w:rsidRPr="005A54C3">
        <w:rPr>
          <w:rFonts w:asciiTheme="majorBidi" w:hAnsiTheme="majorBidi" w:cstheme="majorBidi"/>
        </w:rPr>
        <w:t xml:space="preserve">Cortese, S., Solmi, M., </w:t>
      </w:r>
      <w:proofErr w:type="spellStart"/>
      <w:r w:rsidRPr="005A54C3">
        <w:rPr>
          <w:rFonts w:asciiTheme="majorBidi" w:hAnsiTheme="majorBidi" w:cstheme="majorBidi"/>
        </w:rPr>
        <w:t>Arrondo</w:t>
      </w:r>
      <w:proofErr w:type="spellEnd"/>
      <w:r w:rsidRPr="005A54C3">
        <w:rPr>
          <w:rFonts w:asciiTheme="majorBidi" w:hAnsiTheme="majorBidi" w:cstheme="majorBidi"/>
        </w:rPr>
        <w:t xml:space="preserve">, G., Cipriani, A., </w:t>
      </w:r>
      <w:proofErr w:type="spellStart"/>
      <w:r w:rsidRPr="005A54C3">
        <w:rPr>
          <w:rFonts w:asciiTheme="majorBidi" w:hAnsiTheme="majorBidi" w:cstheme="majorBidi"/>
        </w:rPr>
        <w:t>Fusar-Poli</w:t>
      </w:r>
      <w:proofErr w:type="spellEnd"/>
      <w:r w:rsidRPr="005A54C3">
        <w:rPr>
          <w:rFonts w:asciiTheme="majorBidi" w:hAnsiTheme="majorBidi" w:cstheme="majorBidi"/>
        </w:rPr>
        <w:t xml:space="preserve">, P., Larsson, H., &amp; </w:t>
      </w:r>
      <w:proofErr w:type="spellStart"/>
      <w:r w:rsidRPr="005A54C3">
        <w:rPr>
          <w:rFonts w:asciiTheme="majorBidi" w:hAnsiTheme="majorBidi" w:cstheme="majorBidi"/>
        </w:rPr>
        <w:t>Correll</w:t>
      </w:r>
      <w:proofErr w:type="spellEnd"/>
      <w:r w:rsidRPr="005A54C3">
        <w:rPr>
          <w:rFonts w:asciiTheme="majorBidi" w:hAnsiTheme="majorBidi" w:cstheme="majorBidi"/>
        </w:rPr>
        <w:t xml:space="preserve">, C. (2020). Association between mental disorders and somatic conditions: protocol for an umbrella review. </w:t>
      </w:r>
      <w:r w:rsidRPr="005A54C3">
        <w:rPr>
          <w:rFonts w:asciiTheme="majorBidi" w:hAnsiTheme="majorBidi" w:cstheme="majorBidi"/>
          <w:i/>
        </w:rPr>
        <w:t>Evidence-based mental health, 23</w:t>
      </w:r>
      <w:r w:rsidRPr="005A54C3">
        <w:rPr>
          <w:rFonts w:asciiTheme="majorBidi" w:hAnsiTheme="majorBidi" w:cstheme="majorBidi"/>
        </w:rPr>
        <w:t xml:space="preserve">(4), 135–139. </w:t>
      </w:r>
      <w:hyperlink r:id="rId15">
        <w:r w:rsidRPr="005A54C3">
          <w:rPr>
            <w:rFonts w:asciiTheme="majorBidi" w:hAnsiTheme="majorBidi" w:cstheme="majorBidi"/>
            <w:color w:val="1155CC"/>
            <w:u w:val="single"/>
          </w:rPr>
          <w:t>https://doi.org/10.1136/ebmental-2020-300158</w:t>
        </w:r>
      </w:hyperlink>
    </w:p>
    <w:p w14:paraId="5F7A1BF4" w14:textId="77777777" w:rsidR="00532C03" w:rsidRPr="005A54C3" w:rsidRDefault="00E8712F">
      <w:pPr>
        <w:spacing w:after="200" w:line="240" w:lineRule="auto"/>
        <w:ind w:left="566" w:hanging="566"/>
        <w:rPr>
          <w:rFonts w:asciiTheme="majorBidi" w:hAnsiTheme="majorBidi" w:cstheme="majorBidi"/>
        </w:rPr>
      </w:pPr>
      <w:r w:rsidRPr="005A54C3">
        <w:rPr>
          <w:rFonts w:asciiTheme="majorBidi" w:hAnsiTheme="majorBidi" w:cstheme="majorBidi"/>
        </w:rPr>
        <w:t xml:space="preserve">Cortese, S., Sun, S., Zhang, J., Sharma, E., Chang, Z., </w:t>
      </w:r>
      <w:proofErr w:type="spellStart"/>
      <w:r w:rsidRPr="005A54C3">
        <w:rPr>
          <w:rFonts w:asciiTheme="majorBidi" w:hAnsiTheme="majorBidi" w:cstheme="majorBidi"/>
        </w:rPr>
        <w:t>Kuja-Halkola</w:t>
      </w:r>
      <w:proofErr w:type="spellEnd"/>
      <w:r w:rsidRPr="005A54C3">
        <w:rPr>
          <w:rFonts w:asciiTheme="majorBidi" w:hAnsiTheme="majorBidi" w:cstheme="majorBidi"/>
        </w:rPr>
        <w:t xml:space="preserve">, R., Almqvist, C., Larsson, H., &amp; Faraone, S. V. (2018). Association between attention deficit hyperactivity disorder and asthma: a systematic review and meta-analysis and a Swedish population-based study. </w:t>
      </w:r>
      <w:r w:rsidRPr="005A54C3">
        <w:rPr>
          <w:rFonts w:asciiTheme="majorBidi" w:hAnsiTheme="majorBidi" w:cstheme="majorBidi"/>
          <w:i/>
        </w:rPr>
        <w:t>The Lancet. Psychiatry, 5</w:t>
      </w:r>
      <w:r w:rsidRPr="005A54C3">
        <w:rPr>
          <w:rFonts w:asciiTheme="majorBidi" w:hAnsiTheme="majorBidi" w:cstheme="majorBidi"/>
        </w:rPr>
        <w:t xml:space="preserve">(9), 717–726. </w:t>
      </w:r>
      <w:hyperlink r:id="rId16">
        <w:r w:rsidRPr="005A54C3">
          <w:rPr>
            <w:rFonts w:asciiTheme="majorBidi" w:hAnsiTheme="majorBidi" w:cstheme="majorBidi"/>
            <w:color w:val="1155CC"/>
            <w:u w:val="single"/>
          </w:rPr>
          <w:t>https://doi.org/10.1016/S2215-0366(18)30224-4</w:t>
        </w:r>
      </w:hyperlink>
    </w:p>
    <w:p w14:paraId="6A8F4B29" w14:textId="77777777" w:rsidR="00532C03" w:rsidRPr="005A54C3" w:rsidRDefault="00E8712F">
      <w:pPr>
        <w:spacing w:after="200" w:line="240" w:lineRule="auto"/>
        <w:ind w:left="566" w:hanging="566"/>
        <w:rPr>
          <w:rFonts w:asciiTheme="majorBidi" w:hAnsiTheme="majorBidi" w:cstheme="majorBidi"/>
        </w:rPr>
      </w:pPr>
      <w:proofErr w:type="spellStart"/>
      <w:r w:rsidRPr="005A54C3">
        <w:rPr>
          <w:rFonts w:asciiTheme="majorBidi" w:hAnsiTheme="majorBidi" w:cstheme="majorBidi"/>
        </w:rPr>
        <w:t>Davydow</w:t>
      </w:r>
      <w:proofErr w:type="spellEnd"/>
      <w:r w:rsidRPr="005A54C3">
        <w:rPr>
          <w:rFonts w:asciiTheme="majorBidi" w:hAnsiTheme="majorBidi" w:cstheme="majorBidi"/>
        </w:rPr>
        <w:t xml:space="preserve">, D. S., </w:t>
      </w:r>
      <w:proofErr w:type="spellStart"/>
      <w:r w:rsidRPr="005A54C3">
        <w:rPr>
          <w:rFonts w:asciiTheme="majorBidi" w:hAnsiTheme="majorBidi" w:cstheme="majorBidi"/>
        </w:rPr>
        <w:t>Ribe</w:t>
      </w:r>
      <w:proofErr w:type="spellEnd"/>
      <w:r w:rsidRPr="005A54C3">
        <w:rPr>
          <w:rFonts w:asciiTheme="majorBidi" w:hAnsiTheme="majorBidi" w:cstheme="majorBidi"/>
        </w:rPr>
        <w:t xml:space="preserve">, A. R., Pedersen, H. S., Vestergaard, M., &amp; </w:t>
      </w:r>
      <w:proofErr w:type="spellStart"/>
      <w:r w:rsidRPr="005A54C3">
        <w:rPr>
          <w:rFonts w:asciiTheme="majorBidi" w:hAnsiTheme="majorBidi" w:cstheme="majorBidi"/>
        </w:rPr>
        <w:t>Fenger-Grøn</w:t>
      </w:r>
      <w:proofErr w:type="spellEnd"/>
      <w:r w:rsidRPr="005A54C3">
        <w:rPr>
          <w:rFonts w:asciiTheme="majorBidi" w:hAnsiTheme="majorBidi" w:cstheme="majorBidi"/>
        </w:rPr>
        <w:t xml:space="preserve">, M. (2016). The association of unipolar depression with thirty-day mortality after hospitalization for infection: A population-based cohort study in Denmark. </w:t>
      </w:r>
      <w:r w:rsidRPr="005A54C3">
        <w:rPr>
          <w:rFonts w:asciiTheme="majorBidi" w:hAnsiTheme="majorBidi" w:cstheme="majorBidi"/>
          <w:i/>
        </w:rPr>
        <w:t>Journal of Psychosomatic Research, 89</w:t>
      </w:r>
      <w:r w:rsidRPr="005A54C3">
        <w:rPr>
          <w:rFonts w:asciiTheme="majorBidi" w:hAnsiTheme="majorBidi" w:cstheme="majorBidi"/>
        </w:rPr>
        <w:t xml:space="preserve">, 32-38. </w:t>
      </w:r>
      <w:hyperlink r:id="rId17">
        <w:r w:rsidRPr="005A54C3">
          <w:rPr>
            <w:rFonts w:asciiTheme="majorBidi" w:hAnsiTheme="majorBidi" w:cstheme="majorBidi"/>
            <w:color w:val="1155CC"/>
            <w:u w:val="single"/>
          </w:rPr>
          <w:t>https://doi.org/10.1016/j.jpsychores.2016.08.006</w:t>
        </w:r>
      </w:hyperlink>
    </w:p>
    <w:p w14:paraId="164356D6" w14:textId="77777777" w:rsidR="00532C03" w:rsidRPr="005A54C3" w:rsidRDefault="00E8712F">
      <w:pPr>
        <w:spacing w:after="200" w:line="240" w:lineRule="auto"/>
        <w:ind w:left="566" w:hanging="566"/>
        <w:rPr>
          <w:rFonts w:asciiTheme="majorBidi" w:hAnsiTheme="majorBidi" w:cstheme="majorBidi"/>
          <w:color w:val="1155CC"/>
          <w:u w:val="single"/>
        </w:rPr>
      </w:pPr>
      <w:r w:rsidRPr="005A54C3">
        <w:rPr>
          <w:rFonts w:asciiTheme="majorBidi" w:hAnsiTheme="majorBidi" w:cstheme="majorBidi"/>
        </w:rPr>
        <w:lastRenderedPageBreak/>
        <w:t xml:space="preserve">Deng, G., Yin, M., Chen, X., &amp; Zeng, F. (2020). Clinical determinants for fatality of 44,672 patients with COVID-19. </w:t>
      </w:r>
      <w:r w:rsidRPr="005A54C3">
        <w:rPr>
          <w:rFonts w:asciiTheme="majorBidi" w:hAnsiTheme="majorBidi" w:cstheme="majorBidi"/>
          <w:i/>
        </w:rPr>
        <w:t>Critical Care, 24</w:t>
      </w:r>
      <w:r w:rsidRPr="005A54C3">
        <w:rPr>
          <w:rFonts w:asciiTheme="majorBidi" w:hAnsiTheme="majorBidi" w:cstheme="majorBidi"/>
        </w:rPr>
        <w:t xml:space="preserve">(1), 179. </w:t>
      </w:r>
      <w:hyperlink r:id="rId18">
        <w:r w:rsidRPr="005A54C3">
          <w:rPr>
            <w:rFonts w:asciiTheme="majorBidi" w:hAnsiTheme="majorBidi" w:cstheme="majorBidi"/>
            <w:color w:val="1155CC"/>
            <w:u w:val="single"/>
          </w:rPr>
          <w:t>https://doi.org/10.1186/s13054-020-02902-w</w:t>
        </w:r>
      </w:hyperlink>
    </w:p>
    <w:p w14:paraId="30671BA5" w14:textId="77777777" w:rsidR="003D5F28" w:rsidRPr="005A54C3" w:rsidRDefault="003D5F28">
      <w:pPr>
        <w:spacing w:after="200" w:line="240" w:lineRule="auto"/>
        <w:ind w:left="566" w:hanging="566"/>
        <w:rPr>
          <w:rFonts w:asciiTheme="majorBidi" w:hAnsiTheme="majorBidi" w:cstheme="majorBidi"/>
        </w:rPr>
      </w:pPr>
      <w:proofErr w:type="spellStart"/>
      <w:r w:rsidRPr="005A54C3">
        <w:rPr>
          <w:rFonts w:asciiTheme="majorBidi" w:hAnsiTheme="majorBidi" w:cstheme="majorBidi"/>
        </w:rPr>
        <w:t>Dobrosavljevic</w:t>
      </w:r>
      <w:proofErr w:type="spellEnd"/>
      <w:r w:rsidRPr="005A54C3">
        <w:rPr>
          <w:rFonts w:asciiTheme="majorBidi" w:hAnsiTheme="majorBidi" w:cstheme="majorBidi"/>
        </w:rPr>
        <w:t xml:space="preserve">, M., </w:t>
      </w:r>
      <w:proofErr w:type="spellStart"/>
      <w:r w:rsidRPr="005A54C3">
        <w:rPr>
          <w:rFonts w:asciiTheme="majorBidi" w:hAnsiTheme="majorBidi" w:cstheme="majorBidi"/>
        </w:rPr>
        <w:t>Solares</w:t>
      </w:r>
      <w:proofErr w:type="spellEnd"/>
      <w:r w:rsidRPr="005A54C3">
        <w:rPr>
          <w:rFonts w:asciiTheme="majorBidi" w:hAnsiTheme="majorBidi" w:cstheme="majorBidi"/>
        </w:rPr>
        <w:t xml:space="preserve">, C., Cortese, S., </w:t>
      </w:r>
      <w:proofErr w:type="spellStart"/>
      <w:r w:rsidRPr="005A54C3">
        <w:rPr>
          <w:rFonts w:asciiTheme="majorBidi" w:hAnsiTheme="majorBidi" w:cstheme="majorBidi"/>
        </w:rPr>
        <w:t>Andershed</w:t>
      </w:r>
      <w:proofErr w:type="spellEnd"/>
      <w:r w:rsidRPr="005A54C3">
        <w:rPr>
          <w:rFonts w:asciiTheme="majorBidi" w:hAnsiTheme="majorBidi" w:cstheme="majorBidi"/>
        </w:rPr>
        <w:t xml:space="preserve">, H., &amp; Larsson, H. (2020). Prevalence of attention-deficit/hyperactivity disorder in older adults: A systematic review and meta-analysis. Neuroscience and Biobehavioral Reviews, 118, 282–289. </w:t>
      </w:r>
      <w:hyperlink r:id="rId19" w:history="1">
        <w:r w:rsidRPr="005A54C3">
          <w:rPr>
            <w:rStyle w:val="Hyperlink"/>
            <w:rFonts w:asciiTheme="majorBidi" w:hAnsiTheme="majorBidi" w:cstheme="majorBidi"/>
          </w:rPr>
          <w:t>https://doi.org/10.1016/j.neubiorev.2020.07.042</w:t>
        </w:r>
      </w:hyperlink>
    </w:p>
    <w:p w14:paraId="7E9C62DA" w14:textId="77777777" w:rsidR="00532C03" w:rsidRPr="005A54C3" w:rsidRDefault="00E8712F">
      <w:pPr>
        <w:spacing w:after="200" w:line="240" w:lineRule="auto"/>
        <w:ind w:left="566" w:hanging="566"/>
        <w:rPr>
          <w:rFonts w:asciiTheme="majorBidi" w:hAnsiTheme="majorBidi" w:cstheme="majorBidi"/>
          <w:strike/>
        </w:rPr>
      </w:pPr>
      <w:r w:rsidRPr="005A54C3">
        <w:rPr>
          <w:rFonts w:asciiTheme="majorBidi" w:hAnsiTheme="majorBidi" w:cstheme="majorBidi"/>
          <w:strike/>
        </w:rPr>
        <w:t xml:space="preserve">Douglas, M., </w:t>
      </w:r>
      <w:proofErr w:type="spellStart"/>
      <w:r w:rsidRPr="005A54C3">
        <w:rPr>
          <w:rFonts w:asciiTheme="majorBidi" w:hAnsiTheme="majorBidi" w:cstheme="majorBidi"/>
          <w:strike/>
        </w:rPr>
        <w:t>Katikireddi</w:t>
      </w:r>
      <w:proofErr w:type="spellEnd"/>
      <w:r w:rsidRPr="005A54C3">
        <w:rPr>
          <w:rFonts w:asciiTheme="majorBidi" w:hAnsiTheme="majorBidi" w:cstheme="majorBidi"/>
          <w:strike/>
        </w:rPr>
        <w:t xml:space="preserve">, S. V., </w:t>
      </w:r>
      <w:proofErr w:type="spellStart"/>
      <w:r w:rsidRPr="005A54C3">
        <w:rPr>
          <w:rFonts w:asciiTheme="majorBidi" w:hAnsiTheme="majorBidi" w:cstheme="majorBidi"/>
          <w:strike/>
        </w:rPr>
        <w:t>Taulbut</w:t>
      </w:r>
      <w:proofErr w:type="spellEnd"/>
      <w:r w:rsidRPr="005A54C3">
        <w:rPr>
          <w:rFonts w:asciiTheme="majorBidi" w:hAnsiTheme="majorBidi" w:cstheme="majorBidi"/>
          <w:strike/>
        </w:rPr>
        <w:t xml:space="preserve">, M., McKee, M., &amp; McCartney, G. (2020). Mitigating the wider health effects of covid-19 pandemic response. </w:t>
      </w:r>
      <w:r w:rsidRPr="005A54C3">
        <w:rPr>
          <w:rFonts w:asciiTheme="majorBidi" w:hAnsiTheme="majorBidi" w:cstheme="majorBidi"/>
          <w:i/>
          <w:strike/>
        </w:rPr>
        <w:t>BMJ, 369</w:t>
      </w:r>
      <w:r w:rsidRPr="005A54C3">
        <w:rPr>
          <w:rFonts w:asciiTheme="majorBidi" w:hAnsiTheme="majorBidi" w:cstheme="majorBidi"/>
          <w:strike/>
        </w:rPr>
        <w:t xml:space="preserve">, m1557. </w:t>
      </w:r>
      <w:hyperlink r:id="rId20">
        <w:r w:rsidRPr="005A54C3">
          <w:rPr>
            <w:rFonts w:asciiTheme="majorBidi" w:hAnsiTheme="majorBidi" w:cstheme="majorBidi"/>
            <w:strike/>
            <w:color w:val="1155CC"/>
            <w:u w:val="single"/>
          </w:rPr>
          <w:t>https://doi.org/10.1136/bmj.m1557</w:t>
        </w:r>
      </w:hyperlink>
    </w:p>
    <w:p w14:paraId="50894433" w14:textId="77777777" w:rsidR="00532C03" w:rsidRPr="005A54C3" w:rsidRDefault="00E8712F">
      <w:pPr>
        <w:spacing w:after="200" w:line="240" w:lineRule="auto"/>
        <w:ind w:left="566" w:hanging="566"/>
        <w:rPr>
          <w:rFonts w:asciiTheme="majorBidi" w:hAnsiTheme="majorBidi" w:cstheme="majorBidi"/>
          <w:strike/>
        </w:rPr>
      </w:pPr>
      <w:proofErr w:type="spellStart"/>
      <w:r w:rsidRPr="005A54C3">
        <w:rPr>
          <w:rFonts w:asciiTheme="majorBidi" w:hAnsiTheme="majorBidi" w:cstheme="majorBidi"/>
          <w:strike/>
        </w:rPr>
        <w:t>Druss</w:t>
      </w:r>
      <w:proofErr w:type="spellEnd"/>
      <w:r w:rsidRPr="005A54C3">
        <w:rPr>
          <w:rFonts w:asciiTheme="majorBidi" w:hAnsiTheme="majorBidi" w:cstheme="majorBidi"/>
          <w:strike/>
        </w:rPr>
        <w:t xml:space="preserve"> B. G. (2020). Addressing the COVID-19 Pandemic in Populations With Serious Mental Illness. </w:t>
      </w:r>
      <w:r w:rsidRPr="005A54C3">
        <w:rPr>
          <w:rFonts w:asciiTheme="majorBidi" w:hAnsiTheme="majorBidi" w:cstheme="majorBidi"/>
          <w:i/>
          <w:strike/>
        </w:rPr>
        <w:t>JAMA psychiatry, 77</w:t>
      </w:r>
      <w:r w:rsidRPr="005A54C3">
        <w:rPr>
          <w:rFonts w:asciiTheme="majorBidi" w:hAnsiTheme="majorBidi" w:cstheme="majorBidi"/>
          <w:strike/>
        </w:rPr>
        <w:t xml:space="preserve">(9), 891–892. </w:t>
      </w:r>
      <w:hyperlink r:id="rId21">
        <w:r w:rsidRPr="005A54C3">
          <w:rPr>
            <w:rFonts w:asciiTheme="majorBidi" w:hAnsiTheme="majorBidi" w:cstheme="majorBidi"/>
            <w:strike/>
            <w:color w:val="1155CC"/>
            <w:u w:val="single"/>
          </w:rPr>
          <w:t>https://doi.org/10.1001/jamapsychiatry.2020.0894</w:t>
        </w:r>
      </w:hyperlink>
    </w:p>
    <w:p w14:paraId="3D0A2DDF" w14:textId="77777777" w:rsidR="00532C03" w:rsidRPr="005A54C3" w:rsidRDefault="00E8712F">
      <w:pPr>
        <w:spacing w:after="200" w:line="240" w:lineRule="auto"/>
        <w:ind w:left="566" w:hanging="566"/>
        <w:rPr>
          <w:rFonts w:asciiTheme="majorBidi" w:hAnsiTheme="majorBidi" w:cstheme="majorBidi"/>
          <w:lang w:val="fr-FR"/>
        </w:rPr>
      </w:pPr>
      <w:proofErr w:type="spellStart"/>
      <w:r w:rsidRPr="005A54C3">
        <w:rPr>
          <w:rFonts w:asciiTheme="majorBidi" w:hAnsiTheme="majorBidi" w:cstheme="majorBidi"/>
        </w:rPr>
        <w:t>Fajnzylber</w:t>
      </w:r>
      <w:proofErr w:type="spellEnd"/>
      <w:r w:rsidRPr="005A54C3">
        <w:rPr>
          <w:rFonts w:asciiTheme="majorBidi" w:hAnsiTheme="majorBidi" w:cstheme="majorBidi"/>
        </w:rPr>
        <w:t xml:space="preserve">, J., Regan, J., </w:t>
      </w:r>
      <w:proofErr w:type="spellStart"/>
      <w:r w:rsidRPr="005A54C3">
        <w:rPr>
          <w:rFonts w:asciiTheme="majorBidi" w:hAnsiTheme="majorBidi" w:cstheme="majorBidi"/>
        </w:rPr>
        <w:t>Coxen</w:t>
      </w:r>
      <w:proofErr w:type="spellEnd"/>
      <w:r w:rsidRPr="005A54C3">
        <w:rPr>
          <w:rFonts w:asciiTheme="majorBidi" w:hAnsiTheme="majorBidi" w:cstheme="majorBidi"/>
        </w:rPr>
        <w:t xml:space="preserve">, K., Corry, H., Wong, C., Rosenthal, A., Worrall, D., </w:t>
      </w:r>
      <w:proofErr w:type="spellStart"/>
      <w:r w:rsidRPr="005A54C3">
        <w:rPr>
          <w:rFonts w:asciiTheme="majorBidi" w:hAnsiTheme="majorBidi" w:cstheme="majorBidi"/>
        </w:rPr>
        <w:t>Giguel</w:t>
      </w:r>
      <w:proofErr w:type="spellEnd"/>
      <w:r w:rsidRPr="005A54C3">
        <w:rPr>
          <w:rFonts w:asciiTheme="majorBidi" w:hAnsiTheme="majorBidi" w:cstheme="majorBidi"/>
        </w:rPr>
        <w:t xml:space="preserve">, F., </w:t>
      </w:r>
      <w:proofErr w:type="spellStart"/>
      <w:r w:rsidRPr="005A54C3">
        <w:rPr>
          <w:rFonts w:asciiTheme="majorBidi" w:hAnsiTheme="majorBidi" w:cstheme="majorBidi"/>
        </w:rPr>
        <w:t>Piechocka</w:t>
      </w:r>
      <w:proofErr w:type="spellEnd"/>
      <w:r w:rsidRPr="005A54C3">
        <w:rPr>
          <w:rFonts w:asciiTheme="majorBidi" w:hAnsiTheme="majorBidi" w:cstheme="majorBidi"/>
        </w:rPr>
        <w:t xml:space="preserve">-Trocha, A., </w:t>
      </w:r>
      <w:proofErr w:type="spellStart"/>
      <w:r w:rsidRPr="005A54C3">
        <w:rPr>
          <w:rFonts w:asciiTheme="majorBidi" w:hAnsiTheme="majorBidi" w:cstheme="majorBidi"/>
        </w:rPr>
        <w:t>Atyeo</w:t>
      </w:r>
      <w:proofErr w:type="spellEnd"/>
      <w:r w:rsidRPr="005A54C3">
        <w:rPr>
          <w:rFonts w:asciiTheme="majorBidi" w:hAnsiTheme="majorBidi" w:cstheme="majorBidi"/>
        </w:rPr>
        <w:t xml:space="preserve">, C., &amp; </w:t>
      </w:r>
      <w:proofErr w:type="spellStart"/>
      <w:r w:rsidRPr="005A54C3">
        <w:rPr>
          <w:rFonts w:asciiTheme="majorBidi" w:hAnsiTheme="majorBidi" w:cstheme="majorBidi"/>
        </w:rPr>
        <w:t>Fischinger</w:t>
      </w:r>
      <w:proofErr w:type="spellEnd"/>
      <w:r w:rsidRPr="005A54C3">
        <w:rPr>
          <w:rFonts w:asciiTheme="majorBidi" w:hAnsiTheme="majorBidi" w:cstheme="majorBidi"/>
        </w:rPr>
        <w:t xml:space="preserve">, S. (2020). SARS-CoV-2 viral load is associated with increased disease severity and mortality. </w:t>
      </w:r>
      <w:r w:rsidRPr="005A54C3">
        <w:rPr>
          <w:rFonts w:asciiTheme="majorBidi" w:hAnsiTheme="majorBidi" w:cstheme="majorBidi"/>
          <w:i/>
          <w:lang w:val="fr-FR"/>
        </w:rPr>
        <w:t>Nature communications, 11</w:t>
      </w:r>
      <w:r w:rsidRPr="005A54C3">
        <w:rPr>
          <w:rFonts w:asciiTheme="majorBidi" w:hAnsiTheme="majorBidi" w:cstheme="majorBidi"/>
          <w:lang w:val="fr-FR"/>
        </w:rPr>
        <w:t xml:space="preserve">(1), 1-9. </w:t>
      </w:r>
      <w:hyperlink r:id="rId22">
        <w:r w:rsidRPr="005A54C3">
          <w:rPr>
            <w:rFonts w:asciiTheme="majorBidi" w:hAnsiTheme="majorBidi" w:cstheme="majorBidi"/>
            <w:color w:val="1155CC"/>
            <w:u w:val="single"/>
            <w:lang w:val="fr-FR"/>
          </w:rPr>
          <w:t>https://doi.org/10.1038/s41467-020-19057-5</w:t>
        </w:r>
      </w:hyperlink>
    </w:p>
    <w:p w14:paraId="4A8E9994" w14:textId="77777777" w:rsidR="00532C03" w:rsidRPr="005A54C3" w:rsidRDefault="00E8712F">
      <w:pPr>
        <w:spacing w:after="200" w:line="240" w:lineRule="auto"/>
        <w:ind w:left="566" w:hanging="566"/>
        <w:rPr>
          <w:rFonts w:asciiTheme="majorBidi" w:hAnsiTheme="majorBidi" w:cstheme="majorBidi"/>
        </w:rPr>
      </w:pPr>
      <w:proofErr w:type="spellStart"/>
      <w:r w:rsidRPr="005A54C3">
        <w:rPr>
          <w:rFonts w:asciiTheme="majorBidi" w:hAnsiTheme="majorBidi" w:cstheme="majorBidi"/>
          <w:lang w:val="fr-FR"/>
        </w:rPr>
        <w:t>Kooij</w:t>
      </w:r>
      <w:proofErr w:type="spellEnd"/>
      <w:r w:rsidRPr="005A54C3">
        <w:rPr>
          <w:rFonts w:asciiTheme="majorBidi" w:hAnsiTheme="majorBidi" w:cstheme="majorBidi"/>
          <w:lang w:val="fr-FR"/>
        </w:rPr>
        <w:t xml:space="preserve">, J. S., </w:t>
      </w:r>
      <w:proofErr w:type="spellStart"/>
      <w:r w:rsidRPr="005A54C3">
        <w:rPr>
          <w:rFonts w:asciiTheme="majorBidi" w:hAnsiTheme="majorBidi" w:cstheme="majorBidi"/>
          <w:lang w:val="fr-FR"/>
        </w:rPr>
        <w:t>Michielsen</w:t>
      </w:r>
      <w:proofErr w:type="spellEnd"/>
      <w:r w:rsidRPr="005A54C3">
        <w:rPr>
          <w:rFonts w:asciiTheme="majorBidi" w:hAnsiTheme="majorBidi" w:cstheme="majorBidi"/>
          <w:lang w:val="fr-FR"/>
        </w:rPr>
        <w:t xml:space="preserve">, M., </w:t>
      </w:r>
      <w:proofErr w:type="spellStart"/>
      <w:r w:rsidRPr="005A54C3">
        <w:rPr>
          <w:rFonts w:asciiTheme="majorBidi" w:hAnsiTheme="majorBidi" w:cstheme="majorBidi"/>
          <w:lang w:val="fr-FR"/>
        </w:rPr>
        <w:t>Kruithof</w:t>
      </w:r>
      <w:proofErr w:type="spellEnd"/>
      <w:r w:rsidRPr="005A54C3">
        <w:rPr>
          <w:rFonts w:asciiTheme="majorBidi" w:hAnsiTheme="majorBidi" w:cstheme="majorBidi"/>
          <w:lang w:val="fr-FR"/>
        </w:rPr>
        <w:t xml:space="preserve">, H., &amp; </w:t>
      </w:r>
      <w:proofErr w:type="spellStart"/>
      <w:r w:rsidRPr="005A54C3">
        <w:rPr>
          <w:rFonts w:asciiTheme="majorBidi" w:hAnsiTheme="majorBidi" w:cstheme="majorBidi"/>
          <w:lang w:val="fr-FR"/>
        </w:rPr>
        <w:t>Bijlenga</w:t>
      </w:r>
      <w:proofErr w:type="spellEnd"/>
      <w:r w:rsidRPr="005A54C3">
        <w:rPr>
          <w:rFonts w:asciiTheme="majorBidi" w:hAnsiTheme="majorBidi" w:cstheme="majorBidi"/>
          <w:lang w:val="fr-FR"/>
        </w:rPr>
        <w:t xml:space="preserve">, D. (2016). </w:t>
      </w:r>
      <w:r w:rsidRPr="005A54C3">
        <w:rPr>
          <w:rFonts w:asciiTheme="majorBidi" w:hAnsiTheme="majorBidi" w:cstheme="majorBidi"/>
        </w:rPr>
        <w:t xml:space="preserve">ADHD in old age: a review of the literature and proposal for assessment and treatment. </w:t>
      </w:r>
      <w:r w:rsidRPr="005A54C3">
        <w:rPr>
          <w:rFonts w:asciiTheme="majorBidi" w:hAnsiTheme="majorBidi" w:cstheme="majorBidi"/>
          <w:i/>
        </w:rPr>
        <w:t>Expert review of neurotherapeutics, 16</w:t>
      </w:r>
      <w:r w:rsidRPr="005A54C3">
        <w:rPr>
          <w:rFonts w:asciiTheme="majorBidi" w:hAnsiTheme="majorBidi" w:cstheme="majorBidi"/>
        </w:rPr>
        <w:t>(12), 1371-1381.</w:t>
      </w:r>
      <w:r w:rsidRPr="005A54C3">
        <w:rPr>
          <w:rFonts w:asciiTheme="majorBidi" w:hAnsiTheme="majorBidi" w:cstheme="majorBidi"/>
          <w:rtl/>
        </w:rPr>
        <w:t>‏</w:t>
      </w:r>
      <w:r w:rsidRPr="005A54C3">
        <w:rPr>
          <w:rFonts w:asciiTheme="majorBidi" w:hAnsiTheme="majorBidi" w:cstheme="majorBidi"/>
        </w:rPr>
        <w:t xml:space="preserve"> </w:t>
      </w:r>
      <w:hyperlink r:id="rId23">
        <w:r w:rsidRPr="005A54C3">
          <w:rPr>
            <w:rFonts w:asciiTheme="majorBidi" w:hAnsiTheme="majorBidi" w:cstheme="majorBidi"/>
            <w:color w:val="0000FF"/>
            <w:u w:val="single"/>
          </w:rPr>
          <w:t>https://doi.org/10.1080/14737175.2016.1204914</w:t>
        </w:r>
      </w:hyperlink>
    </w:p>
    <w:p w14:paraId="5BA6AD3D" w14:textId="77777777" w:rsidR="00532C03" w:rsidRPr="005A54C3" w:rsidRDefault="00E8712F">
      <w:pPr>
        <w:spacing w:after="200" w:line="240" w:lineRule="auto"/>
        <w:ind w:left="566" w:hanging="566"/>
        <w:rPr>
          <w:rFonts w:asciiTheme="majorBidi" w:hAnsiTheme="majorBidi" w:cstheme="majorBidi"/>
          <w:lang w:val="it-IT"/>
        </w:rPr>
      </w:pPr>
      <w:r w:rsidRPr="005A54C3">
        <w:rPr>
          <w:rFonts w:asciiTheme="majorBidi" w:hAnsiTheme="majorBidi" w:cstheme="majorBidi"/>
        </w:rPr>
        <w:t xml:space="preserve">Li, L., Li, F., </w:t>
      </w:r>
      <w:proofErr w:type="spellStart"/>
      <w:r w:rsidRPr="005A54C3">
        <w:rPr>
          <w:rFonts w:asciiTheme="majorBidi" w:hAnsiTheme="majorBidi" w:cstheme="majorBidi"/>
        </w:rPr>
        <w:t>Fortunati</w:t>
      </w:r>
      <w:proofErr w:type="spellEnd"/>
      <w:r w:rsidRPr="005A54C3">
        <w:rPr>
          <w:rFonts w:asciiTheme="majorBidi" w:hAnsiTheme="majorBidi" w:cstheme="majorBidi"/>
        </w:rPr>
        <w:t xml:space="preserve">, F., &amp; Krystal, J. H. (2020). Association of a prior psychiatric diagnosis with mortality among hospitalized patients with coronavirus disease 2019 (COVID-19) infection. </w:t>
      </w:r>
      <w:r w:rsidRPr="005A54C3">
        <w:rPr>
          <w:rFonts w:asciiTheme="majorBidi" w:hAnsiTheme="majorBidi" w:cstheme="majorBidi"/>
          <w:i/>
          <w:lang w:val="it-IT"/>
        </w:rPr>
        <w:t>JAMA Network Open, 3</w:t>
      </w:r>
      <w:r w:rsidRPr="005A54C3">
        <w:rPr>
          <w:rFonts w:asciiTheme="majorBidi" w:hAnsiTheme="majorBidi" w:cstheme="majorBidi"/>
          <w:lang w:val="it-IT"/>
        </w:rPr>
        <w:t xml:space="preserve">(9), e2023282. </w:t>
      </w:r>
      <w:hyperlink r:id="rId24">
        <w:r w:rsidRPr="005A54C3">
          <w:rPr>
            <w:rFonts w:asciiTheme="majorBidi" w:hAnsiTheme="majorBidi" w:cstheme="majorBidi"/>
            <w:color w:val="1155CC"/>
            <w:u w:val="single"/>
            <w:lang w:val="it-IT"/>
          </w:rPr>
          <w:t>https://doi.org/10.1001/jamanetworkopen.2020.23282</w:t>
        </w:r>
      </w:hyperlink>
    </w:p>
    <w:p w14:paraId="2450DB46" w14:textId="77777777" w:rsidR="00532C03" w:rsidRPr="005A54C3" w:rsidRDefault="00E8712F">
      <w:pPr>
        <w:spacing w:after="200" w:line="240" w:lineRule="auto"/>
        <w:ind w:left="566" w:hanging="566"/>
        <w:rPr>
          <w:rFonts w:asciiTheme="majorBidi" w:hAnsiTheme="majorBidi" w:cstheme="majorBidi"/>
        </w:rPr>
      </w:pPr>
      <w:proofErr w:type="spellStart"/>
      <w:r w:rsidRPr="005A54C3">
        <w:rPr>
          <w:rFonts w:asciiTheme="majorBidi" w:hAnsiTheme="majorBidi" w:cstheme="majorBidi"/>
          <w:lang w:val="it-IT"/>
        </w:rPr>
        <w:t>Liang</w:t>
      </w:r>
      <w:proofErr w:type="spellEnd"/>
      <w:r w:rsidRPr="005A54C3">
        <w:rPr>
          <w:rFonts w:asciiTheme="majorBidi" w:hAnsiTheme="majorBidi" w:cstheme="majorBidi"/>
          <w:lang w:val="it-IT"/>
        </w:rPr>
        <w:t xml:space="preserve">, W., </w:t>
      </w:r>
      <w:proofErr w:type="spellStart"/>
      <w:r w:rsidRPr="005A54C3">
        <w:rPr>
          <w:rFonts w:asciiTheme="majorBidi" w:hAnsiTheme="majorBidi" w:cstheme="majorBidi"/>
          <w:lang w:val="it-IT"/>
        </w:rPr>
        <w:t>Guan</w:t>
      </w:r>
      <w:proofErr w:type="spellEnd"/>
      <w:r w:rsidRPr="005A54C3">
        <w:rPr>
          <w:rFonts w:asciiTheme="majorBidi" w:hAnsiTheme="majorBidi" w:cstheme="majorBidi"/>
          <w:lang w:val="it-IT"/>
        </w:rPr>
        <w:t xml:space="preserve">, W., Chen, R., </w:t>
      </w:r>
      <w:proofErr w:type="spellStart"/>
      <w:r w:rsidRPr="005A54C3">
        <w:rPr>
          <w:rFonts w:asciiTheme="majorBidi" w:hAnsiTheme="majorBidi" w:cstheme="majorBidi"/>
          <w:lang w:val="it-IT"/>
        </w:rPr>
        <w:t>Wang</w:t>
      </w:r>
      <w:proofErr w:type="spellEnd"/>
      <w:r w:rsidRPr="005A54C3">
        <w:rPr>
          <w:rFonts w:asciiTheme="majorBidi" w:hAnsiTheme="majorBidi" w:cstheme="majorBidi"/>
          <w:lang w:val="it-IT"/>
        </w:rPr>
        <w:t xml:space="preserve">, W., Li, J., </w:t>
      </w:r>
      <w:proofErr w:type="spellStart"/>
      <w:r w:rsidRPr="005A54C3">
        <w:rPr>
          <w:rFonts w:asciiTheme="majorBidi" w:hAnsiTheme="majorBidi" w:cstheme="majorBidi"/>
          <w:lang w:val="it-IT"/>
        </w:rPr>
        <w:t>Xu</w:t>
      </w:r>
      <w:proofErr w:type="spellEnd"/>
      <w:r w:rsidRPr="005A54C3">
        <w:rPr>
          <w:rFonts w:asciiTheme="majorBidi" w:hAnsiTheme="majorBidi" w:cstheme="majorBidi"/>
          <w:lang w:val="it-IT"/>
        </w:rPr>
        <w:t xml:space="preserve">, K., Li, C., Ai, Q., Lu, W., </w:t>
      </w:r>
      <w:proofErr w:type="spellStart"/>
      <w:r w:rsidRPr="005A54C3">
        <w:rPr>
          <w:rFonts w:asciiTheme="majorBidi" w:hAnsiTheme="majorBidi" w:cstheme="majorBidi"/>
          <w:lang w:val="it-IT"/>
        </w:rPr>
        <w:t>Liang</w:t>
      </w:r>
      <w:proofErr w:type="spellEnd"/>
      <w:r w:rsidRPr="005A54C3">
        <w:rPr>
          <w:rFonts w:asciiTheme="majorBidi" w:hAnsiTheme="majorBidi" w:cstheme="majorBidi"/>
          <w:lang w:val="it-IT"/>
        </w:rPr>
        <w:t xml:space="preserve">, H., Li, S., &amp; He, J. (2020). </w:t>
      </w:r>
      <w:r w:rsidRPr="005A54C3">
        <w:rPr>
          <w:rFonts w:asciiTheme="majorBidi" w:hAnsiTheme="majorBidi" w:cstheme="majorBidi"/>
        </w:rPr>
        <w:t xml:space="preserve">Cancer patients in SARS-Cov-2 infection: A nationwide analysis in China. </w:t>
      </w:r>
      <w:r w:rsidRPr="005A54C3">
        <w:rPr>
          <w:rFonts w:asciiTheme="majorBidi" w:hAnsiTheme="majorBidi" w:cstheme="majorBidi"/>
          <w:i/>
        </w:rPr>
        <w:t>The Lancet Oncology, 21</w:t>
      </w:r>
      <w:r w:rsidRPr="005A54C3">
        <w:rPr>
          <w:rFonts w:asciiTheme="majorBidi" w:hAnsiTheme="majorBidi" w:cstheme="majorBidi"/>
        </w:rPr>
        <w:t xml:space="preserve">(3), 335-337. </w:t>
      </w:r>
      <w:hyperlink r:id="rId25">
        <w:r w:rsidRPr="005A54C3">
          <w:rPr>
            <w:rFonts w:asciiTheme="majorBidi" w:hAnsiTheme="majorBidi" w:cstheme="majorBidi"/>
            <w:color w:val="1155CC"/>
            <w:u w:val="single"/>
          </w:rPr>
          <w:t>https://doi.org/10.1016/s1470-2045(20)30096-6</w:t>
        </w:r>
      </w:hyperlink>
    </w:p>
    <w:p w14:paraId="4CF8C54D" w14:textId="77777777" w:rsidR="006239B3" w:rsidRPr="005A54C3" w:rsidRDefault="006239B3" w:rsidP="006239B3">
      <w:pPr>
        <w:spacing w:after="200" w:line="240" w:lineRule="auto"/>
        <w:ind w:left="566" w:hanging="566"/>
        <w:rPr>
          <w:rFonts w:asciiTheme="majorBidi" w:hAnsiTheme="majorBidi" w:cstheme="majorBidi"/>
          <w:strike/>
        </w:rPr>
      </w:pPr>
      <w:proofErr w:type="spellStart"/>
      <w:r w:rsidRPr="005A54C3">
        <w:rPr>
          <w:rFonts w:asciiTheme="majorBidi" w:hAnsiTheme="majorBidi" w:cstheme="majorBidi"/>
          <w:strike/>
        </w:rPr>
        <w:t>Ludvigsson</w:t>
      </w:r>
      <w:proofErr w:type="spellEnd"/>
      <w:r w:rsidRPr="005A54C3">
        <w:rPr>
          <w:rFonts w:asciiTheme="majorBidi" w:hAnsiTheme="majorBidi" w:cstheme="majorBidi"/>
          <w:strike/>
        </w:rPr>
        <w:t>, J. F. (2020). Systematic review of COVID</w:t>
      </w:r>
      <w:r w:rsidRPr="005A54C3">
        <w:rPr>
          <w:rFonts w:ascii="Cambria Math" w:hAnsi="Cambria Math" w:cs="Cambria Math"/>
          <w:strike/>
        </w:rPr>
        <w:t>‐</w:t>
      </w:r>
      <w:r w:rsidRPr="005A54C3">
        <w:rPr>
          <w:rFonts w:asciiTheme="majorBidi" w:hAnsiTheme="majorBidi" w:cstheme="majorBidi"/>
          <w:strike/>
        </w:rPr>
        <w:t xml:space="preserve">19 in children shows milder cases and a better prognosis than adults. </w:t>
      </w:r>
      <w:r w:rsidRPr="005A54C3">
        <w:rPr>
          <w:rFonts w:asciiTheme="majorBidi" w:hAnsiTheme="majorBidi" w:cstheme="majorBidi"/>
          <w:i/>
          <w:strike/>
        </w:rPr>
        <w:t xml:space="preserve">Acta </w:t>
      </w:r>
      <w:proofErr w:type="spellStart"/>
      <w:r w:rsidRPr="005A54C3">
        <w:rPr>
          <w:rFonts w:asciiTheme="majorBidi" w:hAnsiTheme="majorBidi" w:cstheme="majorBidi"/>
          <w:i/>
          <w:strike/>
        </w:rPr>
        <w:t>Paediatrica</w:t>
      </w:r>
      <w:proofErr w:type="spellEnd"/>
      <w:r w:rsidRPr="005A54C3">
        <w:rPr>
          <w:rFonts w:asciiTheme="majorBidi" w:hAnsiTheme="majorBidi" w:cstheme="majorBidi"/>
          <w:i/>
          <w:strike/>
        </w:rPr>
        <w:t>, 109</w:t>
      </w:r>
      <w:r w:rsidRPr="005A54C3">
        <w:rPr>
          <w:rFonts w:asciiTheme="majorBidi" w:hAnsiTheme="majorBidi" w:cstheme="majorBidi"/>
          <w:strike/>
        </w:rPr>
        <w:t xml:space="preserve">(6), 1088–1095. </w:t>
      </w:r>
      <w:hyperlink r:id="rId26">
        <w:r w:rsidRPr="005A54C3">
          <w:rPr>
            <w:rFonts w:asciiTheme="majorBidi" w:hAnsiTheme="majorBidi" w:cstheme="majorBidi"/>
            <w:strike/>
            <w:color w:val="1155CC"/>
            <w:u w:val="single"/>
          </w:rPr>
          <w:t>https://doi.org/10.1111/apa.15270</w:t>
        </w:r>
      </w:hyperlink>
    </w:p>
    <w:p w14:paraId="7EB5EFA3" w14:textId="77777777" w:rsidR="00532C03" w:rsidRPr="005A54C3" w:rsidRDefault="00E8712F">
      <w:pPr>
        <w:spacing w:after="200" w:line="240" w:lineRule="auto"/>
        <w:ind w:left="566" w:hanging="566"/>
        <w:rPr>
          <w:rFonts w:asciiTheme="majorBidi" w:hAnsiTheme="majorBidi" w:cstheme="majorBidi"/>
        </w:rPr>
      </w:pPr>
      <w:r w:rsidRPr="005A54C3">
        <w:rPr>
          <w:rFonts w:asciiTheme="majorBidi" w:hAnsiTheme="majorBidi" w:cstheme="majorBidi"/>
        </w:rPr>
        <w:t xml:space="preserve">Merzon, E., Manor, I., </w:t>
      </w:r>
      <w:proofErr w:type="spellStart"/>
      <w:r w:rsidRPr="005A54C3">
        <w:rPr>
          <w:rFonts w:asciiTheme="majorBidi" w:hAnsiTheme="majorBidi" w:cstheme="majorBidi"/>
        </w:rPr>
        <w:t>Rotem</w:t>
      </w:r>
      <w:proofErr w:type="spellEnd"/>
      <w:r w:rsidRPr="005A54C3">
        <w:rPr>
          <w:rFonts w:asciiTheme="majorBidi" w:hAnsiTheme="majorBidi" w:cstheme="majorBidi"/>
        </w:rPr>
        <w:t xml:space="preserve">, A., Schneider, T., Vinker, S., Golan Cohen, A., </w:t>
      </w:r>
      <w:proofErr w:type="spellStart"/>
      <w:r w:rsidRPr="005A54C3">
        <w:rPr>
          <w:rFonts w:asciiTheme="majorBidi" w:hAnsiTheme="majorBidi" w:cstheme="majorBidi"/>
        </w:rPr>
        <w:t>Lauden</w:t>
      </w:r>
      <w:proofErr w:type="spellEnd"/>
      <w:r w:rsidRPr="005A54C3">
        <w:rPr>
          <w:rFonts w:asciiTheme="majorBidi" w:hAnsiTheme="majorBidi" w:cstheme="majorBidi"/>
        </w:rPr>
        <w:t xml:space="preserve">, A., </w:t>
      </w:r>
      <w:proofErr w:type="spellStart"/>
      <w:r w:rsidRPr="005A54C3">
        <w:rPr>
          <w:rFonts w:asciiTheme="majorBidi" w:hAnsiTheme="majorBidi" w:cstheme="majorBidi"/>
        </w:rPr>
        <w:t>Weizman</w:t>
      </w:r>
      <w:proofErr w:type="spellEnd"/>
      <w:r w:rsidRPr="005A54C3">
        <w:rPr>
          <w:rFonts w:asciiTheme="majorBidi" w:hAnsiTheme="majorBidi" w:cstheme="majorBidi"/>
        </w:rPr>
        <w:t xml:space="preserve">, A., &amp; Green, I. (2020). ADHD as a Risk Factor for Infection With Covid-19. </w:t>
      </w:r>
      <w:r w:rsidRPr="005A54C3">
        <w:rPr>
          <w:rFonts w:asciiTheme="majorBidi" w:hAnsiTheme="majorBidi" w:cstheme="majorBidi"/>
          <w:i/>
        </w:rPr>
        <w:t>Journal of Attention Disorders</w:t>
      </w:r>
      <w:r w:rsidRPr="005A54C3">
        <w:rPr>
          <w:rFonts w:asciiTheme="majorBidi" w:hAnsiTheme="majorBidi" w:cstheme="majorBidi"/>
        </w:rPr>
        <w:t xml:space="preserve">. </w:t>
      </w:r>
      <w:hyperlink r:id="rId27">
        <w:r w:rsidRPr="005A54C3">
          <w:rPr>
            <w:rFonts w:asciiTheme="majorBidi" w:hAnsiTheme="majorBidi" w:cstheme="majorBidi"/>
            <w:color w:val="1155CC"/>
            <w:u w:val="single"/>
          </w:rPr>
          <w:t>https://doi.org/10.1177/1087054720943271</w:t>
        </w:r>
      </w:hyperlink>
    </w:p>
    <w:p w14:paraId="24B74A29" w14:textId="77777777" w:rsidR="00532C03" w:rsidRPr="005A54C3" w:rsidRDefault="00E8712F">
      <w:pPr>
        <w:spacing w:after="200" w:line="240" w:lineRule="auto"/>
        <w:ind w:left="566" w:hanging="566"/>
        <w:rPr>
          <w:rFonts w:asciiTheme="majorBidi" w:hAnsiTheme="majorBidi" w:cstheme="majorBidi"/>
          <w:lang w:val="it-IT"/>
        </w:rPr>
      </w:pPr>
      <w:r w:rsidRPr="005A54C3">
        <w:rPr>
          <w:rFonts w:asciiTheme="majorBidi" w:hAnsiTheme="majorBidi" w:cstheme="majorBidi"/>
        </w:rPr>
        <w:t xml:space="preserve">Miller, P. R., Dasher, R., Collins, R., Griffiths, P., &amp; Brown, F. (2001). Inpatient diagnostic assessments: 1. Accuracy of structured vs. unstructured interviews. </w:t>
      </w:r>
      <w:r w:rsidRPr="005A54C3">
        <w:rPr>
          <w:rFonts w:asciiTheme="majorBidi" w:hAnsiTheme="majorBidi" w:cstheme="majorBidi"/>
          <w:i/>
        </w:rPr>
        <w:t>Psychiatry Research, 105</w:t>
      </w:r>
      <w:r w:rsidRPr="005A54C3">
        <w:rPr>
          <w:rFonts w:asciiTheme="majorBidi" w:hAnsiTheme="majorBidi" w:cstheme="majorBidi"/>
        </w:rPr>
        <w:t xml:space="preserve">(3), 255-264. </w:t>
      </w:r>
      <w:hyperlink r:id="rId28">
        <w:r w:rsidRPr="005A54C3">
          <w:rPr>
            <w:rFonts w:asciiTheme="majorBidi" w:hAnsiTheme="majorBidi" w:cstheme="majorBidi"/>
            <w:color w:val="1155CC"/>
            <w:u w:val="single"/>
            <w:lang w:val="it-IT"/>
          </w:rPr>
          <w:t>https://doi.org/10.1016/s0165-1781(01)00317-1</w:t>
        </w:r>
      </w:hyperlink>
    </w:p>
    <w:p w14:paraId="26A4C9CF" w14:textId="77777777" w:rsidR="00532C03" w:rsidRPr="005A54C3" w:rsidRDefault="00E8712F">
      <w:pPr>
        <w:spacing w:after="200" w:line="240" w:lineRule="auto"/>
        <w:ind w:left="566" w:hanging="566"/>
        <w:rPr>
          <w:rFonts w:asciiTheme="majorBidi" w:hAnsiTheme="majorBidi" w:cstheme="majorBidi"/>
        </w:rPr>
      </w:pPr>
      <w:proofErr w:type="spellStart"/>
      <w:r w:rsidRPr="005A54C3">
        <w:rPr>
          <w:rFonts w:asciiTheme="majorBidi" w:hAnsiTheme="majorBidi" w:cstheme="majorBidi"/>
          <w:lang w:val="it-IT"/>
        </w:rPr>
        <w:t>Ojo</w:t>
      </w:r>
      <w:proofErr w:type="spellEnd"/>
      <w:r w:rsidRPr="005A54C3">
        <w:rPr>
          <w:rFonts w:asciiTheme="majorBidi" w:hAnsiTheme="majorBidi" w:cstheme="majorBidi"/>
          <w:lang w:val="it-IT"/>
        </w:rPr>
        <w:t xml:space="preserve">, K. Y., </w:t>
      </w:r>
      <w:proofErr w:type="spellStart"/>
      <w:r w:rsidRPr="005A54C3">
        <w:rPr>
          <w:rFonts w:asciiTheme="majorBidi" w:hAnsiTheme="majorBidi" w:cstheme="majorBidi"/>
          <w:lang w:val="it-IT"/>
        </w:rPr>
        <w:t>Balasubramaniam</w:t>
      </w:r>
      <w:proofErr w:type="spellEnd"/>
      <w:r w:rsidRPr="005A54C3">
        <w:rPr>
          <w:rFonts w:asciiTheme="majorBidi" w:hAnsiTheme="majorBidi" w:cstheme="majorBidi"/>
          <w:lang w:val="it-IT"/>
        </w:rPr>
        <w:t xml:space="preserve">, M., </w:t>
      </w:r>
      <w:proofErr w:type="spellStart"/>
      <w:r w:rsidRPr="005A54C3">
        <w:rPr>
          <w:rFonts w:asciiTheme="majorBidi" w:hAnsiTheme="majorBidi" w:cstheme="majorBidi"/>
          <w:lang w:val="it-IT"/>
        </w:rPr>
        <w:t>Gurin</w:t>
      </w:r>
      <w:proofErr w:type="spellEnd"/>
      <w:r w:rsidRPr="005A54C3">
        <w:rPr>
          <w:rFonts w:asciiTheme="majorBidi" w:hAnsiTheme="majorBidi" w:cstheme="majorBidi"/>
          <w:lang w:val="it-IT"/>
        </w:rPr>
        <w:t xml:space="preserve">, L., &amp; Mitra, P. (2020). </w:t>
      </w:r>
      <w:r w:rsidRPr="005A54C3">
        <w:rPr>
          <w:rFonts w:asciiTheme="majorBidi" w:hAnsiTheme="majorBidi" w:cstheme="majorBidi"/>
        </w:rPr>
        <w:t xml:space="preserve">ADHD in older adults: A case report literature and review of the. </w:t>
      </w:r>
      <w:r w:rsidRPr="005A54C3">
        <w:rPr>
          <w:rFonts w:asciiTheme="majorBidi" w:hAnsiTheme="majorBidi" w:cstheme="majorBidi"/>
          <w:i/>
        </w:rPr>
        <w:t>The American Journal of Geriatric Psychiatry, 28</w:t>
      </w:r>
      <w:r w:rsidRPr="005A54C3">
        <w:rPr>
          <w:rFonts w:asciiTheme="majorBidi" w:hAnsiTheme="majorBidi" w:cstheme="majorBidi"/>
        </w:rPr>
        <w:t xml:space="preserve">(4), S116-S117. </w:t>
      </w:r>
      <w:hyperlink r:id="rId29">
        <w:r w:rsidRPr="005A54C3">
          <w:rPr>
            <w:rFonts w:asciiTheme="majorBidi" w:hAnsiTheme="majorBidi" w:cstheme="majorBidi"/>
            <w:color w:val="1155CC"/>
            <w:u w:val="single"/>
          </w:rPr>
          <w:t>https://doi.org/10.1016/j.jagp.2020.01.145</w:t>
        </w:r>
      </w:hyperlink>
    </w:p>
    <w:p w14:paraId="1ADEC58C" w14:textId="77777777" w:rsidR="00532C03" w:rsidRPr="005A54C3" w:rsidRDefault="00E8712F">
      <w:pPr>
        <w:spacing w:after="200" w:line="240" w:lineRule="auto"/>
        <w:ind w:left="566" w:hanging="566"/>
        <w:rPr>
          <w:rFonts w:asciiTheme="majorBidi" w:hAnsiTheme="majorBidi" w:cstheme="majorBidi"/>
        </w:rPr>
      </w:pPr>
      <w:r w:rsidRPr="005A54C3">
        <w:rPr>
          <w:rFonts w:asciiTheme="majorBidi" w:hAnsiTheme="majorBidi" w:cstheme="majorBidi"/>
        </w:rPr>
        <w:lastRenderedPageBreak/>
        <w:t xml:space="preserve">Oran, D. P., &amp; </w:t>
      </w:r>
      <w:proofErr w:type="spellStart"/>
      <w:r w:rsidRPr="005A54C3">
        <w:rPr>
          <w:rFonts w:asciiTheme="majorBidi" w:hAnsiTheme="majorBidi" w:cstheme="majorBidi"/>
        </w:rPr>
        <w:t>Topol</w:t>
      </w:r>
      <w:proofErr w:type="spellEnd"/>
      <w:r w:rsidRPr="005A54C3">
        <w:rPr>
          <w:rFonts w:asciiTheme="majorBidi" w:hAnsiTheme="majorBidi" w:cstheme="majorBidi"/>
        </w:rPr>
        <w:t xml:space="preserve">, E. J. (2020). Prevalence of Asymptomatic SARS-Cov-2 Infection: A Narrative Review. </w:t>
      </w:r>
      <w:r w:rsidRPr="005A54C3">
        <w:rPr>
          <w:rFonts w:asciiTheme="majorBidi" w:hAnsiTheme="majorBidi" w:cstheme="majorBidi"/>
          <w:i/>
        </w:rPr>
        <w:t>Annals of Internal Medicine, 173</w:t>
      </w:r>
      <w:r w:rsidRPr="005A54C3">
        <w:rPr>
          <w:rFonts w:asciiTheme="majorBidi" w:hAnsiTheme="majorBidi" w:cstheme="majorBidi"/>
        </w:rPr>
        <w:t xml:space="preserve">(5), 362-367. </w:t>
      </w:r>
      <w:hyperlink r:id="rId30">
        <w:r w:rsidRPr="005A54C3">
          <w:rPr>
            <w:rFonts w:asciiTheme="majorBidi" w:hAnsiTheme="majorBidi" w:cstheme="majorBidi"/>
            <w:color w:val="0000FF"/>
            <w:u w:val="single"/>
          </w:rPr>
          <w:t>https://doi.org/10.7326/m20-3012</w:t>
        </w:r>
      </w:hyperlink>
    </w:p>
    <w:p w14:paraId="6F4D39F0" w14:textId="77777777" w:rsidR="00532C03" w:rsidRPr="005A54C3" w:rsidRDefault="00E8712F">
      <w:pPr>
        <w:spacing w:after="200" w:line="240" w:lineRule="auto"/>
        <w:ind w:left="566" w:hanging="566"/>
        <w:rPr>
          <w:rFonts w:asciiTheme="majorBidi" w:hAnsiTheme="majorBidi" w:cstheme="majorBidi"/>
        </w:rPr>
      </w:pPr>
      <w:proofErr w:type="spellStart"/>
      <w:r w:rsidRPr="005A54C3">
        <w:rPr>
          <w:rFonts w:asciiTheme="majorBidi" w:hAnsiTheme="majorBidi" w:cstheme="majorBidi"/>
        </w:rPr>
        <w:t>Petrilli</w:t>
      </w:r>
      <w:proofErr w:type="spellEnd"/>
      <w:r w:rsidRPr="005A54C3">
        <w:rPr>
          <w:rFonts w:asciiTheme="majorBidi" w:hAnsiTheme="majorBidi" w:cstheme="majorBidi"/>
        </w:rPr>
        <w:t xml:space="preserve">, C.M., Jones, S.A., Yang, J., Rajagopalan, H., O’Donnell, L., </w:t>
      </w:r>
      <w:proofErr w:type="spellStart"/>
      <w:r w:rsidRPr="005A54C3">
        <w:rPr>
          <w:rFonts w:asciiTheme="majorBidi" w:hAnsiTheme="majorBidi" w:cstheme="majorBidi"/>
        </w:rPr>
        <w:t>Chernyak</w:t>
      </w:r>
      <w:proofErr w:type="spellEnd"/>
      <w:r w:rsidRPr="005A54C3">
        <w:rPr>
          <w:rFonts w:asciiTheme="majorBidi" w:hAnsiTheme="majorBidi" w:cstheme="majorBidi"/>
        </w:rPr>
        <w:t xml:space="preserve">, Y., Tobin, K.A., </w:t>
      </w:r>
      <w:proofErr w:type="spellStart"/>
      <w:r w:rsidRPr="005A54C3">
        <w:rPr>
          <w:rFonts w:asciiTheme="majorBidi" w:hAnsiTheme="majorBidi" w:cstheme="majorBidi"/>
        </w:rPr>
        <w:t>Cerfolio</w:t>
      </w:r>
      <w:proofErr w:type="spellEnd"/>
      <w:r w:rsidRPr="005A54C3">
        <w:rPr>
          <w:rFonts w:asciiTheme="majorBidi" w:hAnsiTheme="majorBidi" w:cstheme="majorBidi"/>
        </w:rPr>
        <w:t xml:space="preserve">, R.J., Francois, F., &amp; Horwitz, L.I. (2020). Factors associated with hospital admission and critical illness among 5279 people with coronavirus disease 2019 in New York City: prospective cohort study. </w:t>
      </w:r>
      <w:r w:rsidRPr="005A54C3">
        <w:rPr>
          <w:rFonts w:asciiTheme="majorBidi" w:hAnsiTheme="majorBidi" w:cstheme="majorBidi"/>
          <w:i/>
        </w:rPr>
        <w:t>BMJ, 369</w:t>
      </w:r>
      <w:r w:rsidRPr="005A54C3">
        <w:rPr>
          <w:rFonts w:asciiTheme="majorBidi" w:hAnsiTheme="majorBidi" w:cstheme="majorBidi"/>
        </w:rPr>
        <w:t xml:space="preserve">. </w:t>
      </w:r>
      <w:hyperlink r:id="rId31">
        <w:r w:rsidRPr="005A54C3">
          <w:rPr>
            <w:rFonts w:asciiTheme="majorBidi" w:hAnsiTheme="majorBidi" w:cstheme="majorBidi"/>
            <w:color w:val="0000FF"/>
            <w:u w:val="single"/>
          </w:rPr>
          <w:t>https://doi.org/10.1136/bmj.m1966</w:t>
        </w:r>
      </w:hyperlink>
    </w:p>
    <w:p w14:paraId="00B4A13B" w14:textId="77777777" w:rsidR="00532C03" w:rsidRPr="005A54C3" w:rsidRDefault="00E8712F">
      <w:pPr>
        <w:spacing w:after="200" w:line="240" w:lineRule="auto"/>
        <w:ind w:left="566" w:hanging="566"/>
        <w:rPr>
          <w:rFonts w:asciiTheme="majorBidi" w:hAnsiTheme="majorBidi" w:cstheme="majorBidi"/>
          <w:color w:val="000000"/>
          <w:lang w:val="fr-FR"/>
        </w:rPr>
      </w:pPr>
      <w:proofErr w:type="spellStart"/>
      <w:r w:rsidRPr="005A54C3">
        <w:rPr>
          <w:rFonts w:asciiTheme="majorBidi" w:hAnsiTheme="majorBidi" w:cstheme="majorBidi"/>
        </w:rPr>
        <w:t>Pollán</w:t>
      </w:r>
      <w:proofErr w:type="spellEnd"/>
      <w:r w:rsidRPr="005A54C3">
        <w:rPr>
          <w:rFonts w:asciiTheme="majorBidi" w:hAnsiTheme="majorBidi" w:cstheme="majorBidi"/>
        </w:rPr>
        <w:t>, M., Pérez-Gómez, B., Pastor-</w:t>
      </w:r>
      <w:proofErr w:type="spellStart"/>
      <w:r w:rsidRPr="005A54C3">
        <w:rPr>
          <w:rFonts w:asciiTheme="majorBidi" w:hAnsiTheme="majorBidi" w:cstheme="majorBidi"/>
        </w:rPr>
        <w:t>Barriuso</w:t>
      </w:r>
      <w:proofErr w:type="spellEnd"/>
      <w:r w:rsidRPr="005A54C3">
        <w:rPr>
          <w:rFonts w:asciiTheme="majorBidi" w:hAnsiTheme="majorBidi" w:cstheme="majorBidi"/>
        </w:rPr>
        <w:t xml:space="preserve">, R., </w:t>
      </w:r>
      <w:proofErr w:type="spellStart"/>
      <w:r w:rsidRPr="005A54C3">
        <w:rPr>
          <w:rFonts w:asciiTheme="majorBidi" w:hAnsiTheme="majorBidi" w:cstheme="majorBidi"/>
        </w:rPr>
        <w:t>Oteo</w:t>
      </w:r>
      <w:proofErr w:type="spellEnd"/>
      <w:r w:rsidRPr="005A54C3">
        <w:rPr>
          <w:rFonts w:asciiTheme="majorBidi" w:hAnsiTheme="majorBidi" w:cstheme="majorBidi"/>
        </w:rPr>
        <w:t xml:space="preserve">, J., </w:t>
      </w:r>
      <w:proofErr w:type="spellStart"/>
      <w:r w:rsidRPr="005A54C3">
        <w:rPr>
          <w:rFonts w:asciiTheme="majorBidi" w:hAnsiTheme="majorBidi" w:cstheme="majorBidi"/>
        </w:rPr>
        <w:t>Hernán</w:t>
      </w:r>
      <w:proofErr w:type="spellEnd"/>
      <w:r w:rsidRPr="005A54C3">
        <w:rPr>
          <w:rFonts w:asciiTheme="majorBidi" w:hAnsiTheme="majorBidi" w:cstheme="majorBidi"/>
        </w:rPr>
        <w:t>, M.A., Pérez-</w:t>
      </w:r>
      <w:proofErr w:type="spellStart"/>
      <w:r w:rsidRPr="005A54C3">
        <w:rPr>
          <w:rFonts w:asciiTheme="majorBidi" w:hAnsiTheme="majorBidi" w:cstheme="majorBidi"/>
        </w:rPr>
        <w:t>Olmeda</w:t>
      </w:r>
      <w:proofErr w:type="spellEnd"/>
      <w:r w:rsidRPr="005A54C3">
        <w:rPr>
          <w:rFonts w:asciiTheme="majorBidi" w:hAnsiTheme="majorBidi" w:cstheme="majorBidi"/>
        </w:rPr>
        <w:t xml:space="preserve">, M., </w:t>
      </w:r>
      <w:proofErr w:type="spellStart"/>
      <w:r w:rsidRPr="005A54C3">
        <w:rPr>
          <w:rFonts w:asciiTheme="majorBidi" w:hAnsiTheme="majorBidi" w:cstheme="majorBidi"/>
        </w:rPr>
        <w:t>Sanmartín</w:t>
      </w:r>
      <w:proofErr w:type="spellEnd"/>
      <w:r w:rsidRPr="005A54C3">
        <w:rPr>
          <w:rFonts w:asciiTheme="majorBidi" w:hAnsiTheme="majorBidi" w:cstheme="majorBidi"/>
        </w:rPr>
        <w:t xml:space="preserve">, J.L., Fernández-García, A., Cruz, I., de Larrea, N.F., &amp; Molina, M. (2020). Prevalence of SARS-CoV-2 in Spain (ENE-COVID): a nationwide, population-based </w:t>
      </w:r>
      <w:proofErr w:type="spellStart"/>
      <w:r w:rsidRPr="005A54C3">
        <w:rPr>
          <w:rFonts w:asciiTheme="majorBidi" w:hAnsiTheme="majorBidi" w:cstheme="majorBidi"/>
        </w:rPr>
        <w:t>seroepidemiological</w:t>
      </w:r>
      <w:proofErr w:type="spellEnd"/>
      <w:r w:rsidRPr="005A54C3">
        <w:rPr>
          <w:rFonts w:asciiTheme="majorBidi" w:hAnsiTheme="majorBidi" w:cstheme="majorBidi"/>
        </w:rPr>
        <w:t xml:space="preserve"> study. </w:t>
      </w:r>
      <w:r w:rsidRPr="005A54C3">
        <w:rPr>
          <w:rFonts w:asciiTheme="majorBidi" w:hAnsiTheme="majorBidi" w:cstheme="majorBidi"/>
          <w:i/>
          <w:lang w:val="fr-FR"/>
        </w:rPr>
        <w:t>The Lancet, 396</w:t>
      </w:r>
      <w:r w:rsidRPr="005A54C3">
        <w:rPr>
          <w:rFonts w:asciiTheme="majorBidi" w:hAnsiTheme="majorBidi" w:cstheme="majorBidi"/>
          <w:lang w:val="fr-FR"/>
        </w:rPr>
        <w:t xml:space="preserve">(10250), 535-544. </w:t>
      </w:r>
      <w:hyperlink r:id="rId32">
        <w:r w:rsidRPr="005A54C3">
          <w:rPr>
            <w:rFonts w:asciiTheme="majorBidi" w:hAnsiTheme="majorBidi" w:cstheme="majorBidi"/>
            <w:color w:val="0000FF"/>
            <w:u w:val="single"/>
            <w:lang w:val="fr-FR"/>
          </w:rPr>
          <w:t>https://doi.org/10.1016/S0140-6736(20)31483-5</w:t>
        </w:r>
      </w:hyperlink>
    </w:p>
    <w:p w14:paraId="2C99FD6C" w14:textId="77777777" w:rsidR="00532C03" w:rsidRPr="005A54C3" w:rsidRDefault="00E8712F">
      <w:pPr>
        <w:spacing w:after="200" w:line="240" w:lineRule="auto"/>
        <w:ind w:left="566" w:hanging="566"/>
        <w:rPr>
          <w:rFonts w:asciiTheme="majorBidi" w:hAnsiTheme="majorBidi" w:cstheme="majorBidi"/>
        </w:rPr>
      </w:pPr>
      <w:proofErr w:type="spellStart"/>
      <w:r w:rsidRPr="005A54C3">
        <w:rPr>
          <w:rFonts w:asciiTheme="majorBidi" w:hAnsiTheme="majorBidi" w:cstheme="majorBidi"/>
          <w:lang w:val="fr-FR"/>
        </w:rPr>
        <w:t>Reddy</w:t>
      </w:r>
      <w:proofErr w:type="spellEnd"/>
      <w:r w:rsidRPr="005A54C3">
        <w:rPr>
          <w:rFonts w:asciiTheme="majorBidi" w:hAnsiTheme="majorBidi" w:cstheme="majorBidi"/>
          <w:lang w:val="fr-FR"/>
        </w:rPr>
        <w:t xml:space="preserve">, R. K., Charles, W. N., </w:t>
      </w:r>
      <w:proofErr w:type="spellStart"/>
      <w:r w:rsidRPr="005A54C3">
        <w:rPr>
          <w:rFonts w:asciiTheme="majorBidi" w:hAnsiTheme="majorBidi" w:cstheme="majorBidi"/>
          <w:lang w:val="fr-FR"/>
        </w:rPr>
        <w:t>Sklavounos</w:t>
      </w:r>
      <w:proofErr w:type="spellEnd"/>
      <w:r w:rsidRPr="005A54C3">
        <w:rPr>
          <w:rFonts w:asciiTheme="majorBidi" w:hAnsiTheme="majorBidi" w:cstheme="majorBidi"/>
          <w:lang w:val="fr-FR"/>
        </w:rPr>
        <w:t xml:space="preserve">, A., Dutt, A., </w:t>
      </w:r>
      <w:proofErr w:type="spellStart"/>
      <w:r w:rsidRPr="005A54C3">
        <w:rPr>
          <w:rFonts w:asciiTheme="majorBidi" w:hAnsiTheme="majorBidi" w:cstheme="majorBidi"/>
          <w:lang w:val="fr-FR"/>
        </w:rPr>
        <w:t>Seed</w:t>
      </w:r>
      <w:proofErr w:type="spellEnd"/>
      <w:r w:rsidRPr="005A54C3">
        <w:rPr>
          <w:rFonts w:asciiTheme="majorBidi" w:hAnsiTheme="majorBidi" w:cstheme="majorBidi"/>
          <w:lang w:val="fr-FR"/>
        </w:rPr>
        <w:t xml:space="preserve">, P. T., &amp; </w:t>
      </w:r>
      <w:proofErr w:type="spellStart"/>
      <w:r w:rsidRPr="005A54C3">
        <w:rPr>
          <w:rFonts w:asciiTheme="majorBidi" w:hAnsiTheme="majorBidi" w:cstheme="majorBidi"/>
          <w:lang w:val="fr-FR"/>
        </w:rPr>
        <w:t>Khajuria</w:t>
      </w:r>
      <w:proofErr w:type="spellEnd"/>
      <w:r w:rsidRPr="005A54C3">
        <w:rPr>
          <w:rFonts w:asciiTheme="majorBidi" w:hAnsiTheme="majorBidi" w:cstheme="majorBidi"/>
          <w:lang w:val="fr-FR"/>
        </w:rPr>
        <w:t xml:space="preserve">, A. (2020). </w:t>
      </w:r>
      <w:r w:rsidRPr="005A54C3">
        <w:rPr>
          <w:rFonts w:asciiTheme="majorBidi" w:hAnsiTheme="majorBidi" w:cstheme="majorBidi"/>
        </w:rPr>
        <w:t xml:space="preserve">The effect of smoking on COVID-19 severity: A systematic review and meta-analysis. </w:t>
      </w:r>
      <w:r w:rsidRPr="005A54C3">
        <w:rPr>
          <w:rFonts w:asciiTheme="majorBidi" w:hAnsiTheme="majorBidi" w:cstheme="majorBidi"/>
          <w:i/>
        </w:rPr>
        <w:t>Journal of medical virology</w:t>
      </w:r>
      <w:r w:rsidRPr="005A54C3">
        <w:rPr>
          <w:rFonts w:asciiTheme="majorBidi" w:hAnsiTheme="majorBidi" w:cstheme="majorBidi"/>
        </w:rPr>
        <w:t xml:space="preserve">, 10.1002/jmv.26389. Advance online publication. </w:t>
      </w:r>
      <w:hyperlink r:id="rId33">
        <w:r w:rsidRPr="005A54C3">
          <w:rPr>
            <w:rFonts w:asciiTheme="majorBidi" w:hAnsiTheme="majorBidi" w:cstheme="majorBidi"/>
            <w:color w:val="1155CC"/>
            <w:u w:val="single"/>
          </w:rPr>
          <w:t>https://doi.org/10.1002/jmv.26389</w:t>
        </w:r>
      </w:hyperlink>
    </w:p>
    <w:p w14:paraId="2A9BD96D" w14:textId="77777777" w:rsidR="00532C03" w:rsidRPr="005A54C3" w:rsidRDefault="00E8712F">
      <w:pPr>
        <w:spacing w:after="200" w:line="240" w:lineRule="auto"/>
        <w:ind w:left="566" w:hanging="566"/>
        <w:rPr>
          <w:rFonts w:asciiTheme="majorBidi" w:hAnsiTheme="majorBidi" w:cstheme="majorBidi"/>
        </w:rPr>
      </w:pPr>
      <w:r w:rsidRPr="005A54C3">
        <w:rPr>
          <w:rFonts w:asciiTheme="majorBidi" w:hAnsiTheme="majorBidi" w:cstheme="majorBidi"/>
        </w:rPr>
        <w:t xml:space="preserve">Sakurai, A., Sasaki, T., Kato, S., Hayashi, M., Tsuzuki, S.I., Ishihara, T., Iwata, M., </w:t>
      </w:r>
      <w:proofErr w:type="spellStart"/>
      <w:r w:rsidRPr="005A54C3">
        <w:rPr>
          <w:rFonts w:asciiTheme="majorBidi" w:hAnsiTheme="majorBidi" w:cstheme="majorBidi"/>
        </w:rPr>
        <w:t>Morise</w:t>
      </w:r>
      <w:proofErr w:type="spellEnd"/>
      <w:r w:rsidRPr="005A54C3">
        <w:rPr>
          <w:rFonts w:asciiTheme="majorBidi" w:hAnsiTheme="majorBidi" w:cstheme="majorBidi"/>
        </w:rPr>
        <w:t xml:space="preserve">, Z., &amp; Doi, Y. (2020). Natural History of Asymptomatic SARS-CoV-2 Infection. </w:t>
      </w:r>
      <w:r w:rsidRPr="005A54C3">
        <w:rPr>
          <w:rFonts w:asciiTheme="majorBidi" w:hAnsiTheme="majorBidi" w:cstheme="majorBidi"/>
          <w:i/>
        </w:rPr>
        <w:t>New England Journal of Medicine, 383</w:t>
      </w:r>
      <w:r w:rsidRPr="005A54C3">
        <w:rPr>
          <w:rFonts w:asciiTheme="majorBidi" w:hAnsiTheme="majorBidi" w:cstheme="majorBidi"/>
        </w:rPr>
        <w:t xml:space="preserve">(9), 885-886. </w:t>
      </w:r>
      <w:hyperlink r:id="rId34">
        <w:r w:rsidRPr="005A54C3">
          <w:rPr>
            <w:rFonts w:asciiTheme="majorBidi" w:hAnsiTheme="majorBidi" w:cstheme="majorBidi"/>
            <w:color w:val="1155CC"/>
            <w:u w:val="single"/>
          </w:rPr>
          <w:t>https://doi.org/10.1056/NEJMc2013020</w:t>
        </w:r>
      </w:hyperlink>
    </w:p>
    <w:p w14:paraId="37F0EAA0" w14:textId="77777777" w:rsidR="00532C03" w:rsidRPr="005A54C3" w:rsidRDefault="00E8712F">
      <w:pPr>
        <w:spacing w:after="200" w:line="240" w:lineRule="auto"/>
        <w:ind w:left="566" w:hanging="566"/>
        <w:rPr>
          <w:rFonts w:asciiTheme="majorBidi" w:hAnsiTheme="majorBidi" w:cstheme="majorBidi"/>
          <w:strike/>
        </w:rPr>
      </w:pPr>
      <w:r w:rsidRPr="005A54C3">
        <w:rPr>
          <w:rFonts w:asciiTheme="majorBidi" w:hAnsiTheme="majorBidi" w:cstheme="majorBidi"/>
        </w:rPr>
        <w:t xml:space="preserve">Simon, V., </w:t>
      </w:r>
      <w:proofErr w:type="spellStart"/>
      <w:r w:rsidRPr="005A54C3">
        <w:rPr>
          <w:rFonts w:asciiTheme="majorBidi" w:hAnsiTheme="majorBidi" w:cstheme="majorBidi"/>
        </w:rPr>
        <w:t>Czobor</w:t>
      </w:r>
      <w:proofErr w:type="spellEnd"/>
      <w:r w:rsidRPr="005A54C3">
        <w:rPr>
          <w:rFonts w:asciiTheme="majorBidi" w:hAnsiTheme="majorBidi" w:cstheme="majorBidi"/>
        </w:rPr>
        <w:t xml:space="preserve">, P., </w:t>
      </w:r>
      <w:proofErr w:type="spellStart"/>
      <w:r w:rsidRPr="005A54C3">
        <w:rPr>
          <w:rFonts w:asciiTheme="majorBidi" w:hAnsiTheme="majorBidi" w:cstheme="majorBidi"/>
        </w:rPr>
        <w:t>Bálint</w:t>
      </w:r>
      <w:proofErr w:type="spellEnd"/>
      <w:r w:rsidRPr="005A54C3">
        <w:rPr>
          <w:rFonts w:asciiTheme="majorBidi" w:hAnsiTheme="majorBidi" w:cstheme="majorBidi"/>
        </w:rPr>
        <w:t xml:space="preserve">, S., </w:t>
      </w:r>
      <w:proofErr w:type="spellStart"/>
      <w:r w:rsidRPr="005A54C3">
        <w:rPr>
          <w:rFonts w:asciiTheme="majorBidi" w:hAnsiTheme="majorBidi" w:cstheme="majorBidi"/>
        </w:rPr>
        <w:t>Mészáros</w:t>
      </w:r>
      <w:proofErr w:type="spellEnd"/>
      <w:r w:rsidRPr="005A54C3">
        <w:rPr>
          <w:rFonts w:asciiTheme="majorBidi" w:hAnsiTheme="majorBidi" w:cstheme="majorBidi"/>
        </w:rPr>
        <w:t xml:space="preserve">, Á., &amp; Bitter, I. (2009). Prevalence and correlates of adult attention-deficit hyperactivity disorder: Meta-analysis. </w:t>
      </w:r>
      <w:r w:rsidRPr="005A54C3">
        <w:rPr>
          <w:rFonts w:asciiTheme="majorBidi" w:hAnsiTheme="majorBidi" w:cstheme="majorBidi"/>
          <w:i/>
        </w:rPr>
        <w:t>British Journal of Psychiatry, 194</w:t>
      </w:r>
      <w:r w:rsidRPr="005A54C3">
        <w:rPr>
          <w:rFonts w:asciiTheme="majorBidi" w:hAnsiTheme="majorBidi" w:cstheme="majorBidi"/>
        </w:rPr>
        <w:t xml:space="preserve">(3), 204-211. </w:t>
      </w:r>
      <w:hyperlink r:id="rId35">
        <w:r w:rsidRPr="005A54C3">
          <w:rPr>
            <w:rFonts w:asciiTheme="majorBidi" w:hAnsiTheme="majorBidi" w:cstheme="majorBidi"/>
            <w:color w:val="1155CC"/>
            <w:u w:val="single"/>
          </w:rPr>
          <w:t>https://doi.org/10.1192/bjp.bp.107.048827</w:t>
        </w:r>
      </w:hyperlink>
    </w:p>
    <w:p w14:paraId="3065CAEA" w14:textId="77777777" w:rsidR="00532C03" w:rsidRPr="005A54C3" w:rsidRDefault="00E8712F">
      <w:pPr>
        <w:spacing w:after="200" w:line="240" w:lineRule="auto"/>
        <w:ind w:left="566" w:hanging="566"/>
        <w:rPr>
          <w:rFonts w:asciiTheme="majorBidi" w:hAnsiTheme="majorBidi" w:cstheme="majorBidi"/>
        </w:rPr>
      </w:pPr>
      <w:r w:rsidRPr="005A54C3">
        <w:rPr>
          <w:rFonts w:asciiTheme="majorBidi" w:hAnsiTheme="majorBidi" w:cstheme="majorBidi"/>
        </w:rPr>
        <w:t xml:space="preserve">Verity, R., </w:t>
      </w:r>
      <w:proofErr w:type="spellStart"/>
      <w:r w:rsidRPr="005A54C3">
        <w:rPr>
          <w:rFonts w:asciiTheme="majorBidi" w:hAnsiTheme="majorBidi" w:cstheme="majorBidi"/>
        </w:rPr>
        <w:t>Okell</w:t>
      </w:r>
      <w:proofErr w:type="spellEnd"/>
      <w:r w:rsidRPr="005A54C3">
        <w:rPr>
          <w:rFonts w:asciiTheme="majorBidi" w:hAnsiTheme="majorBidi" w:cstheme="majorBidi"/>
        </w:rPr>
        <w:t xml:space="preserve">, L. C., </w:t>
      </w:r>
      <w:proofErr w:type="spellStart"/>
      <w:r w:rsidRPr="005A54C3">
        <w:rPr>
          <w:rFonts w:asciiTheme="majorBidi" w:hAnsiTheme="majorBidi" w:cstheme="majorBidi"/>
        </w:rPr>
        <w:t>Dorigatti</w:t>
      </w:r>
      <w:proofErr w:type="spellEnd"/>
      <w:r w:rsidRPr="005A54C3">
        <w:rPr>
          <w:rFonts w:asciiTheme="majorBidi" w:hAnsiTheme="majorBidi" w:cstheme="majorBidi"/>
        </w:rPr>
        <w:t>, I., Winskill, P., Whittaker, C., Imai, N., Cuomo-</w:t>
      </w:r>
      <w:proofErr w:type="spellStart"/>
      <w:r w:rsidRPr="005A54C3">
        <w:rPr>
          <w:rFonts w:asciiTheme="majorBidi" w:hAnsiTheme="majorBidi" w:cstheme="majorBidi"/>
        </w:rPr>
        <w:t>Dannenburg</w:t>
      </w:r>
      <w:proofErr w:type="spellEnd"/>
      <w:r w:rsidRPr="005A54C3">
        <w:rPr>
          <w:rFonts w:asciiTheme="majorBidi" w:hAnsiTheme="majorBidi" w:cstheme="majorBidi"/>
        </w:rPr>
        <w:t xml:space="preserve">, G., Thompson, H., Walker, P., Fu, H., </w:t>
      </w:r>
      <w:proofErr w:type="spellStart"/>
      <w:r w:rsidRPr="005A54C3">
        <w:rPr>
          <w:rFonts w:asciiTheme="majorBidi" w:hAnsiTheme="majorBidi" w:cstheme="majorBidi"/>
        </w:rPr>
        <w:t>Dighe</w:t>
      </w:r>
      <w:proofErr w:type="spellEnd"/>
      <w:r w:rsidRPr="005A54C3">
        <w:rPr>
          <w:rFonts w:asciiTheme="majorBidi" w:hAnsiTheme="majorBidi" w:cstheme="majorBidi"/>
        </w:rPr>
        <w:t xml:space="preserve">, A., Griffin, J. T., </w:t>
      </w:r>
      <w:proofErr w:type="spellStart"/>
      <w:r w:rsidRPr="005A54C3">
        <w:rPr>
          <w:rFonts w:asciiTheme="majorBidi" w:hAnsiTheme="majorBidi" w:cstheme="majorBidi"/>
        </w:rPr>
        <w:t>Baguelin</w:t>
      </w:r>
      <w:proofErr w:type="spellEnd"/>
      <w:r w:rsidRPr="005A54C3">
        <w:rPr>
          <w:rFonts w:asciiTheme="majorBidi" w:hAnsiTheme="majorBidi" w:cstheme="majorBidi"/>
        </w:rPr>
        <w:t xml:space="preserve">, M., Bhatia, S., </w:t>
      </w:r>
      <w:proofErr w:type="spellStart"/>
      <w:r w:rsidRPr="005A54C3">
        <w:rPr>
          <w:rFonts w:asciiTheme="majorBidi" w:hAnsiTheme="majorBidi" w:cstheme="majorBidi"/>
        </w:rPr>
        <w:t>Boonyasiri</w:t>
      </w:r>
      <w:proofErr w:type="spellEnd"/>
      <w:r w:rsidRPr="005A54C3">
        <w:rPr>
          <w:rFonts w:asciiTheme="majorBidi" w:hAnsiTheme="majorBidi" w:cstheme="majorBidi"/>
        </w:rPr>
        <w:t xml:space="preserve">, A., Cori, A., </w:t>
      </w:r>
      <w:proofErr w:type="spellStart"/>
      <w:r w:rsidRPr="005A54C3">
        <w:rPr>
          <w:rFonts w:asciiTheme="majorBidi" w:hAnsiTheme="majorBidi" w:cstheme="majorBidi"/>
        </w:rPr>
        <w:t>Cucunubá</w:t>
      </w:r>
      <w:proofErr w:type="spellEnd"/>
      <w:r w:rsidRPr="005A54C3">
        <w:rPr>
          <w:rFonts w:asciiTheme="majorBidi" w:hAnsiTheme="majorBidi" w:cstheme="majorBidi"/>
        </w:rPr>
        <w:t xml:space="preserve">, Z., </w:t>
      </w:r>
      <w:proofErr w:type="spellStart"/>
      <w:r w:rsidRPr="005A54C3">
        <w:rPr>
          <w:rFonts w:asciiTheme="majorBidi" w:hAnsiTheme="majorBidi" w:cstheme="majorBidi"/>
        </w:rPr>
        <w:t>FitzJohn</w:t>
      </w:r>
      <w:proofErr w:type="spellEnd"/>
      <w:r w:rsidRPr="005A54C3">
        <w:rPr>
          <w:rFonts w:asciiTheme="majorBidi" w:hAnsiTheme="majorBidi" w:cstheme="majorBidi"/>
        </w:rPr>
        <w:t xml:space="preserve">, R., </w:t>
      </w:r>
      <w:proofErr w:type="spellStart"/>
      <w:r w:rsidRPr="005A54C3">
        <w:rPr>
          <w:rFonts w:asciiTheme="majorBidi" w:hAnsiTheme="majorBidi" w:cstheme="majorBidi"/>
        </w:rPr>
        <w:t>Gaythorpe</w:t>
      </w:r>
      <w:proofErr w:type="spellEnd"/>
      <w:r w:rsidRPr="005A54C3">
        <w:rPr>
          <w:rFonts w:asciiTheme="majorBidi" w:hAnsiTheme="majorBidi" w:cstheme="majorBidi"/>
        </w:rPr>
        <w:t xml:space="preserve">, K., Green, W., … Ferguson, N. M. (2020). Estimates of the severity of coronavirus disease 2019: a model-based analysis. </w:t>
      </w:r>
      <w:r w:rsidRPr="005A54C3">
        <w:rPr>
          <w:rFonts w:asciiTheme="majorBidi" w:hAnsiTheme="majorBidi" w:cstheme="majorBidi"/>
          <w:i/>
        </w:rPr>
        <w:t>The Lancet. Infectious diseases, 20</w:t>
      </w:r>
      <w:r w:rsidRPr="005A54C3">
        <w:rPr>
          <w:rFonts w:asciiTheme="majorBidi" w:hAnsiTheme="majorBidi" w:cstheme="majorBidi"/>
        </w:rPr>
        <w:t xml:space="preserve">(6), 669–677. </w:t>
      </w:r>
      <w:hyperlink r:id="rId36">
        <w:r w:rsidRPr="005A54C3">
          <w:rPr>
            <w:rFonts w:asciiTheme="majorBidi" w:hAnsiTheme="majorBidi" w:cstheme="majorBidi"/>
            <w:color w:val="1155CC"/>
            <w:u w:val="single"/>
          </w:rPr>
          <w:t>https://doi.org/10.1016/S1473-3099(20)30243-7</w:t>
        </w:r>
      </w:hyperlink>
    </w:p>
    <w:p w14:paraId="4C263971" w14:textId="77777777" w:rsidR="00532C03" w:rsidRPr="005A54C3" w:rsidRDefault="00E8712F">
      <w:pPr>
        <w:spacing w:after="200" w:line="240" w:lineRule="auto"/>
        <w:ind w:left="566" w:hanging="566"/>
        <w:rPr>
          <w:rFonts w:asciiTheme="majorBidi" w:hAnsiTheme="majorBidi" w:cstheme="majorBidi"/>
        </w:rPr>
      </w:pPr>
      <w:r w:rsidRPr="005A54C3">
        <w:rPr>
          <w:rFonts w:asciiTheme="majorBidi" w:hAnsiTheme="majorBidi" w:cstheme="majorBidi"/>
        </w:rPr>
        <w:t xml:space="preserve">Vinker-Shuster, M., Golan-Cohen, A., </w:t>
      </w:r>
      <w:proofErr w:type="spellStart"/>
      <w:r w:rsidRPr="005A54C3">
        <w:rPr>
          <w:rFonts w:asciiTheme="majorBidi" w:hAnsiTheme="majorBidi" w:cstheme="majorBidi"/>
        </w:rPr>
        <w:t>Merhasin</w:t>
      </w:r>
      <w:proofErr w:type="spellEnd"/>
      <w:r w:rsidRPr="005A54C3">
        <w:rPr>
          <w:rFonts w:asciiTheme="majorBidi" w:hAnsiTheme="majorBidi" w:cstheme="majorBidi"/>
        </w:rPr>
        <w:t xml:space="preserve">, I., &amp; Merzon, E. (2019). Attention-deficit hyperactivity disorder in pediatric patients with type 1 diabetes mellitus. </w:t>
      </w:r>
      <w:r w:rsidRPr="005A54C3">
        <w:rPr>
          <w:rFonts w:asciiTheme="majorBidi" w:hAnsiTheme="majorBidi" w:cstheme="majorBidi"/>
          <w:i/>
        </w:rPr>
        <w:t>Journal of Developmental &amp; Behavioral Pediatrics, 40</w:t>
      </w:r>
      <w:r w:rsidRPr="005A54C3">
        <w:rPr>
          <w:rFonts w:asciiTheme="majorBidi" w:hAnsiTheme="majorBidi" w:cstheme="majorBidi"/>
        </w:rPr>
        <w:t xml:space="preserve">(5), 330-334. </w:t>
      </w:r>
      <w:hyperlink r:id="rId37">
        <w:r w:rsidRPr="005A54C3">
          <w:rPr>
            <w:rFonts w:asciiTheme="majorBidi" w:hAnsiTheme="majorBidi" w:cstheme="majorBidi"/>
            <w:color w:val="1155CC"/>
            <w:u w:val="single"/>
          </w:rPr>
          <w:t>https://doi.org/10.1097/DBP.0000000000000670</w:t>
        </w:r>
      </w:hyperlink>
    </w:p>
    <w:p w14:paraId="717673FF" w14:textId="77777777" w:rsidR="00D844A2" w:rsidRPr="005A54C3" w:rsidRDefault="00D844A2" w:rsidP="00EF3941">
      <w:pPr>
        <w:spacing w:after="200" w:line="240" w:lineRule="auto"/>
        <w:ind w:left="567" w:hanging="567"/>
        <w:rPr>
          <w:rFonts w:asciiTheme="majorBidi" w:hAnsiTheme="majorBidi" w:cstheme="majorBidi"/>
        </w:rPr>
      </w:pPr>
      <w:r w:rsidRPr="005A54C3">
        <w:rPr>
          <w:rFonts w:asciiTheme="majorBidi" w:hAnsiTheme="majorBidi" w:cstheme="majorBidi"/>
        </w:rPr>
        <w:t xml:space="preserve">Wang, Q., Xu, R., &amp; Volkow, N. D. (2021). Increased risk of COVID-19 infection and mortality in people with mental disorders: Analysis from electronic health records in the United States. World Psychiatry, 20(1), 124–130. </w:t>
      </w:r>
      <w:hyperlink r:id="rId38" w:history="1">
        <w:r w:rsidRPr="005A54C3">
          <w:rPr>
            <w:rStyle w:val="Hyperlink"/>
            <w:rFonts w:asciiTheme="majorBidi" w:hAnsiTheme="majorBidi" w:cstheme="majorBidi"/>
          </w:rPr>
          <w:t>https://doi.org/10.1002/wps.20806</w:t>
        </w:r>
      </w:hyperlink>
    </w:p>
    <w:p w14:paraId="684CF692" w14:textId="77777777" w:rsidR="00532C03" w:rsidRPr="005A54C3" w:rsidRDefault="00E8712F">
      <w:pPr>
        <w:spacing w:after="200" w:line="240" w:lineRule="auto"/>
        <w:ind w:left="566" w:hanging="566"/>
        <w:rPr>
          <w:rFonts w:asciiTheme="majorBidi" w:hAnsiTheme="majorBidi" w:cstheme="majorBidi"/>
        </w:rPr>
      </w:pPr>
      <w:r w:rsidRPr="005A54C3">
        <w:rPr>
          <w:rFonts w:asciiTheme="majorBidi" w:hAnsiTheme="majorBidi" w:cstheme="majorBidi"/>
        </w:rPr>
        <w:t xml:space="preserve">Williamson, E. J., Walker, A. J., </w:t>
      </w:r>
      <w:proofErr w:type="spellStart"/>
      <w:r w:rsidRPr="005A54C3">
        <w:rPr>
          <w:rFonts w:asciiTheme="majorBidi" w:hAnsiTheme="majorBidi" w:cstheme="majorBidi"/>
        </w:rPr>
        <w:t>Bhaskaran</w:t>
      </w:r>
      <w:proofErr w:type="spellEnd"/>
      <w:r w:rsidRPr="005A54C3">
        <w:rPr>
          <w:rFonts w:asciiTheme="majorBidi" w:hAnsiTheme="majorBidi" w:cstheme="majorBidi"/>
        </w:rPr>
        <w:t xml:space="preserve">, K., Bacon, S., Bates, C., Morton, C. E., Curtis, H. J., </w:t>
      </w:r>
      <w:proofErr w:type="spellStart"/>
      <w:r w:rsidRPr="005A54C3">
        <w:rPr>
          <w:rFonts w:asciiTheme="majorBidi" w:hAnsiTheme="majorBidi" w:cstheme="majorBidi"/>
        </w:rPr>
        <w:t>Mehrkar</w:t>
      </w:r>
      <w:proofErr w:type="spellEnd"/>
      <w:r w:rsidRPr="005A54C3">
        <w:rPr>
          <w:rFonts w:asciiTheme="majorBidi" w:hAnsiTheme="majorBidi" w:cstheme="majorBidi"/>
        </w:rPr>
        <w:t xml:space="preserve">, A., Evans, D., </w:t>
      </w:r>
      <w:proofErr w:type="spellStart"/>
      <w:r w:rsidRPr="005A54C3">
        <w:rPr>
          <w:rFonts w:asciiTheme="majorBidi" w:hAnsiTheme="majorBidi" w:cstheme="majorBidi"/>
        </w:rPr>
        <w:t>Inglesby</w:t>
      </w:r>
      <w:proofErr w:type="spellEnd"/>
      <w:r w:rsidRPr="005A54C3">
        <w:rPr>
          <w:rFonts w:asciiTheme="majorBidi" w:hAnsiTheme="majorBidi" w:cstheme="majorBidi"/>
        </w:rPr>
        <w:t xml:space="preserve">, P., Cockburn, J., McDonald, H. I., </w:t>
      </w:r>
      <w:proofErr w:type="spellStart"/>
      <w:r w:rsidRPr="005A54C3">
        <w:rPr>
          <w:rFonts w:asciiTheme="majorBidi" w:hAnsiTheme="majorBidi" w:cstheme="majorBidi"/>
        </w:rPr>
        <w:t>MacKenna</w:t>
      </w:r>
      <w:proofErr w:type="spellEnd"/>
      <w:r w:rsidRPr="005A54C3">
        <w:rPr>
          <w:rFonts w:asciiTheme="majorBidi" w:hAnsiTheme="majorBidi" w:cstheme="majorBidi"/>
        </w:rPr>
        <w:t xml:space="preserve">, B., Tomlinson, L., Douglas, I. J., </w:t>
      </w:r>
      <w:proofErr w:type="spellStart"/>
      <w:r w:rsidRPr="005A54C3">
        <w:rPr>
          <w:rFonts w:asciiTheme="majorBidi" w:hAnsiTheme="majorBidi" w:cstheme="majorBidi"/>
        </w:rPr>
        <w:t>Rentsch</w:t>
      </w:r>
      <w:proofErr w:type="spellEnd"/>
      <w:r w:rsidRPr="005A54C3">
        <w:rPr>
          <w:rFonts w:asciiTheme="majorBidi" w:hAnsiTheme="majorBidi" w:cstheme="majorBidi"/>
        </w:rPr>
        <w:t xml:space="preserve">, C. T., Mathur, R., Wong, A., Grieve, R., Harrison, D., … Goldacre, B. (2020). Factors associated with COVID-19-related death using </w:t>
      </w:r>
      <w:proofErr w:type="spellStart"/>
      <w:r w:rsidRPr="005A54C3">
        <w:rPr>
          <w:rFonts w:asciiTheme="majorBidi" w:hAnsiTheme="majorBidi" w:cstheme="majorBidi"/>
        </w:rPr>
        <w:t>OpenSAFELY</w:t>
      </w:r>
      <w:proofErr w:type="spellEnd"/>
      <w:r w:rsidRPr="005A54C3">
        <w:rPr>
          <w:rFonts w:asciiTheme="majorBidi" w:hAnsiTheme="majorBidi" w:cstheme="majorBidi"/>
        </w:rPr>
        <w:t xml:space="preserve">. </w:t>
      </w:r>
      <w:r w:rsidRPr="005A54C3">
        <w:rPr>
          <w:rFonts w:asciiTheme="majorBidi" w:hAnsiTheme="majorBidi" w:cstheme="majorBidi"/>
          <w:i/>
        </w:rPr>
        <w:t>Nature, 584</w:t>
      </w:r>
      <w:r w:rsidRPr="005A54C3">
        <w:rPr>
          <w:rFonts w:asciiTheme="majorBidi" w:hAnsiTheme="majorBidi" w:cstheme="majorBidi"/>
        </w:rPr>
        <w:t xml:space="preserve">(7821), 430–436. </w:t>
      </w:r>
      <w:hyperlink r:id="rId39">
        <w:r w:rsidRPr="005A54C3">
          <w:rPr>
            <w:rFonts w:asciiTheme="majorBidi" w:hAnsiTheme="majorBidi" w:cstheme="majorBidi"/>
            <w:color w:val="1155CC"/>
            <w:u w:val="single"/>
          </w:rPr>
          <w:t>https://doi.org/10.1038/s41586-020-2521-4</w:t>
        </w:r>
      </w:hyperlink>
    </w:p>
    <w:p w14:paraId="6B9C1F78" w14:textId="77777777" w:rsidR="009C3A1D" w:rsidRPr="005A54C3" w:rsidRDefault="009C3A1D" w:rsidP="009C3A1D">
      <w:pPr>
        <w:spacing w:after="200" w:line="240" w:lineRule="auto"/>
        <w:ind w:left="566" w:hanging="566"/>
        <w:rPr>
          <w:rFonts w:asciiTheme="majorBidi" w:hAnsiTheme="majorBidi" w:cstheme="majorBidi"/>
        </w:rPr>
      </w:pPr>
      <w:r w:rsidRPr="005A54C3">
        <w:rPr>
          <w:rFonts w:asciiTheme="majorBidi" w:hAnsiTheme="majorBidi" w:cstheme="majorBidi"/>
        </w:rPr>
        <w:lastRenderedPageBreak/>
        <w:t xml:space="preserve">World Health Organization. (2017). </w:t>
      </w:r>
      <w:r w:rsidRPr="005A54C3">
        <w:rPr>
          <w:rFonts w:asciiTheme="majorBidi" w:hAnsiTheme="majorBidi" w:cstheme="majorBidi"/>
          <w:i/>
          <w:iCs/>
        </w:rPr>
        <w:t>Depression and other common mental disorders: global health estimates</w:t>
      </w:r>
      <w:r w:rsidRPr="005A54C3">
        <w:rPr>
          <w:rFonts w:asciiTheme="majorBidi" w:hAnsiTheme="majorBidi" w:cstheme="majorBidi"/>
        </w:rPr>
        <w:t xml:space="preserve"> (No. WHO/MSD/MER/2017.2). World Health Organization. Retrieved February 11, 2021, from </w:t>
      </w:r>
      <w:r w:rsidRPr="005A54C3">
        <w:rPr>
          <w:rFonts w:asciiTheme="majorBidi" w:hAnsiTheme="majorBidi" w:cstheme="majorBidi"/>
          <w:rtl/>
        </w:rPr>
        <w:t>‏</w:t>
      </w:r>
      <w:r w:rsidRPr="005A54C3">
        <w:t xml:space="preserve"> </w:t>
      </w:r>
      <w:hyperlink r:id="rId40" w:history="1">
        <w:r w:rsidRPr="005A54C3">
          <w:rPr>
            <w:rStyle w:val="Hyperlink"/>
            <w:rFonts w:asciiTheme="majorBidi" w:hAnsiTheme="majorBidi" w:cstheme="majorBidi"/>
          </w:rPr>
          <w:t>https://apps.who.int/iris/bitstream/handle/10665/254610/WHO-MSD-MER-2017.2-eng.pdf</w:t>
        </w:r>
      </w:hyperlink>
    </w:p>
    <w:p w14:paraId="5F703607" w14:textId="77777777" w:rsidR="00532C03" w:rsidRPr="005A54C3" w:rsidRDefault="00E8712F" w:rsidP="005D3F24">
      <w:pPr>
        <w:spacing w:after="200" w:line="240" w:lineRule="auto"/>
        <w:ind w:left="566" w:hanging="566"/>
        <w:rPr>
          <w:rFonts w:asciiTheme="majorBidi" w:hAnsiTheme="majorBidi" w:cstheme="majorBidi"/>
        </w:rPr>
      </w:pPr>
      <w:r w:rsidRPr="005A54C3">
        <w:rPr>
          <w:rFonts w:asciiTheme="majorBidi" w:hAnsiTheme="majorBidi" w:cstheme="majorBidi"/>
        </w:rPr>
        <w:t>World Health Organization</w:t>
      </w:r>
      <w:r w:rsidR="005D3F24" w:rsidRPr="005A54C3">
        <w:rPr>
          <w:rFonts w:asciiTheme="majorBidi" w:hAnsiTheme="majorBidi" w:cstheme="majorBidi"/>
        </w:rPr>
        <w:t xml:space="preserve"> (2020)</w:t>
      </w:r>
      <w:r w:rsidRPr="005A54C3">
        <w:rPr>
          <w:rFonts w:asciiTheme="majorBidi" w:hAnsiTheme="majorBidi" w:cstheme="majorBidi"/>
        </w:rPr>
        <w:t>.</w:t>
      </w:r>
      <w:r w:rsidR="005D3F24" w:rsidRPr="005A54C3">
        <w:rPr>
          <w:rFonts w:asciiTheme="majorBidi" w:hAnsiTheme="majorBidi" w:cstheme="majorBidi"/>
        </w:rPr>
        <w:t xml:space="preserve"> Coronavirus Disease (COVID-19) Dashboard .</w:t>
      </w:r>
      <w:r w:rsidRPr="005A54C3">
        <w:rPr>
          <w:rFonts w:asciiTheme="majorBidi" w:hAnsiTheme="majorBidi" w:cstheme="majorBidi"/>
        </w:rPr>
        <w:t xml:space="preserve">Retrieved December 13, 2020, from </w:t>
      </w:r>
      <w:hyperlink r:id="rId41">
        <w:r w:rsidRPr="005A54C3">
          <w:rPr>
            <w:rFonts w:asciiTheme="majorBidi" w:hAnsiTheme="majorBidi" w:cstheme="majorBidi"/>
            <w:color w:val="1155CC"/>
            <w:u w:val="single"/>
          </w:rPr>
          <w:t>https://covid19.who.int</w:t>
        </w:r>
      </w:hyperlink>
    </w:p>
    <w:p w14:paraId="6ED5990F" w14:textId="77777777" w:rsidR="00532C03" w:rsidRPr="005A54C3" w:rsidRDefault="00E8712F">
      <w:pPr>
        <w:spacing w:after="200" w:line="240" w:lineRule="auto"/>
        <w:ind w:left="566" w:hanging="566"/>
        <w:rPr>
          <w:rFonts w:asciiTheme="majorBidi" w:hAnsiTheme="majorBidi" w:cstheme="majorBidi"/>
        </w:rPr>
      </w:pPr>
      <w:r w:rsidRPr="005A54C3">
        <w:rPr>
          <w:rFonts w:asciiTheme="majorBidi" w:hAnsiTheme="majorBidi" w:cstheme="majorBidi"/>
        </w:rPr>
        <w:t>Worldometers.info (2020a). Israel Population —</w:t>
      </w:r>
      <w:proofErr w:type="spellStart"/>
      <w:r w:rsidRPr="005A54C3">
        <w:rPr>
          <w:rFonts w:asciiTheme="majorBidi" w:hAnsiTheme="majorBidi" w:cstheme="majorBidi"/>
        </w:rPr>
        <w:t>Worldometer</w:t>
      </w:r>
      <w:proofErr w:type="spellEnd"/>
      <w:r w:rsidRPr="005A54C3">
        <w:rPr>
          <w:rFonts w:asciiTheme="majorBidi" w:hAnsiTheme="majorBidi" w:cstheme="majorBidi"/>
        </w:rPr>
        <w:t xml:space="preserve">. Retrieved December 10, 2020, from </w:t>
      </w:r>
      <w:hyperlink r:id="rId42">
        <w:r w:rsidRPr="005A54C3">
          <w:rPr>
            <w:rFonts w:asciiTheme="majorBidi" w:hAnsiTheme="majorBidi" w:cstheme="majorBidi"/>
            <w:color w:val="1155CC"/>
            <w:u w:val="single"/>
          </w:rPr>
          <w:t>https://www.worldometers.info/world-population/israel-population/</w:t>
        </w:r>
      </w:hyperlink>
    </w:p>
    <w:p w14:paraId="135DD195" w14:textId="77777777" w:rsidR="00532C03" w:rsidRPr="005A54C3" w:rsidRDefault="00E8712F">
      <w:pPr>
        <w:spacing w:after="200" w:line="240" w:lineRule="auto"/>
        <w:ind w:left="566" w:hanging="566"/>
        <w:rPr>
          <w:rFonts w:asciiTheme="majorBidi" w:hAnsiTheme="majorBidi" w:cstheme="majorBidi"/>
        </w:rPr>
      </w:pPr>
      <w:r w:rsidRPr="005A54C3">
        <w:rPr>
          <w:rFonts w:asciiTheme="majorBidi" w:hAnsiTheme="majorBidi" w:cstheme="majorBidi"/>
        </w:rPr>
        <w:t>Worldometers.info (2020b). United States —</w:t>
      </w:r>
      <w:proofErr w:type="spellStart"/>
      <w:r w:rsidRPr="005A54C3">
        <w:rPr>
          <w:rFonts w:asciiTheme="majorBidi" w:hAnsiTheme="majorBidi" w:cstheme="majorBidi"/>
        </w:rPr>
        <w:t>Worldometer</w:t>
      </w:r>
      <w:proofErr w:type="spellEnd"/>
      <w:r w:rsidRPr="005A54C3">
        <w:rPr>
          <w:rFonts w:asciiTheme="majorBidi" w:hAnsiTheme="majorBidi" w:cstheme="majorBidi"/>
        </w:rPr>
        <w:t xml:space="preserve">. Retrieved December 10, 2020, from </w:t>
      </w:r>
      <w:hyperlink r:id="rId43">
        <w:r w:rsidRPr="005A54C3">
          <w:rPr>
            <w:rFonts w:asciiTheme="majorBidi" w:hAnsiTheme="majorBidi" w:cstheme="majorBidi"/>
            <w:color w:val="1155CC"/>
            <w:u w:val="single"/>
          </w:rPr>
          <w:t>https://www.worldometers.info/world-population/us-population/</w:t>
        </w:r>
      </w:hyperlink>
    </w:p>
    <w:p w14:paraId="113E01CC" w14:textId="77777777" w:rsidR="00532C03" w:rsidRPr="005A54C3" w:rsidRDefault="00E8712F">
      <w:pPr>
        <w:spacing w:after="200" w:line="240" w:lineRule="auto"/>
        <w:ind w:left="566" w:hanging="566"/>
        <w:rPr>
          <w:rFonts w:asciiTheme="majorBidi" w:hAnsiTheme="majorBidi" w:cstheme="majorBidi"/>
        </w:rPr>
      </w:pPr>
      <w:r w:rsidRPr="005A54C3">
        <w:rPr>
          <w:rFonts w:asciiTheme="majorBidi" w:hAnsiTheme="majorBidi" w:cstheme="majorBidi"/>
        </w:rPr>
        <w:t xml:space="preserve">Wu, Z., &amp; McGoogan, J. M. (2020). Characteristics of and important lessons from the coronavirus disease 2019 (COVID-19) outbreak in China. </w:t>
      </w:r>
      <w:r w:rsidRPr="005A54C3">
        <w:rPr>
          <w:rFonts w:asciiTheme="majorBidi" w:hAnsiTheme="majorBidi" w:cstheme="majorBidi"/>
          <w:i/>
        </w:rPr>
        <w:t>JAMA</w:t>
      </w:r>
      <w:r w:rsidRPr="005A54C3">
        <w:rPr>
          <w:rFonts w:asciiTheme="majorBidi" w:hAnsiTheme="majorBidi" w:cstheme="majorBidi"/>
        </w:rPr>
        <w:t xml:space="preserve">, 323(13), 1239. </w:t>
      </w:r>
      <w:hyperlink r:id="rId44">
        <w:r w:rsidRPr="005A54C3">
          <w:rPr>
            <w:rFonts w:asciiTheme="majorBidi" w:hAnsiTheme="majorBidi" w:cstheme="majorBidi"/>
            <w:color w:val="1155CC"/>
            <w:u w:val="single"/>
          </w:rPr>
          <w:t>https://doi.org/10.1001/jama.2020.2648</w:t>
        </w:r>
      </w:hyperlink>
    </w:p>
    <w:p w14:paraId="12D79939" w14:textId="77777777" w:rsidR="00532C03" w:rsidRPr="005A54C3" w:rsidRDefault="00E8712F">
      <w:pPr>
        <w:spacing w:after="200" w:line="240" w:lineRule="auto"/>
        <w:ind w:left="566" w:hanging="566"/>
        <w:rPr>
          <w:rFonts w:asciiTheme="majorBidi" w:hAnsiTheme="majorBidi" w:cstheme="majorBidi"/>
        </w:rPr>
      </w:pPr>
      <w:r w:rsidRPr="005A54C3">
        <w:rPr>
          <w:rFonts w:asciiTheme="majorBidi" w:hAnsiTheme="majorBidi" w:cstheme="majorBidi"/>
        </w:rPr>
        <w:t xml:space="preserve">Zheng, Z., Peng, F., Xu, B., Zhao, J., Liu, H., Peng, J., Li, Q., Jiang, C., Zhou, Y., Liu, S., Ye, C., Zhang, P., Xing, Y., Guo, H., &amp; Tang, W. (2020). Risk factors of critical &amp; mortal COVID-19 cases: A systematic literature review and meta-analysis. </w:t>
      </w:r>
      <w:r w:rsidRPr="005A54C3">
        <w:rPr>
          <w:rFonts w:asciiTheme="majorBidi" w:hAnsiTheme="majorBidi" w:cstheme="majorBidi"/>
          <w:i/>
        </w:rPr>
        <w:t>Journal of Infection, 81</w:t>
      </w:r>
      <w:r w:rsidRPr="005A54C3">
        <w:rPr>
          <w:rFonts w:asciiTheme="majorBidi" w:hAnsiTheme="majorBidi" w:cstheme="majorBidi"/>
        </w:rPr>
        <w:t xml:space="preserve">(2), e16–e25. </w:t>
      </w:r>
      <w:hyperlink r:id="rId45">
        <w:r w:rsidRPr="005A54C3">
          <w:rPr>
            <w:rFonts w:asciiTheme="majorBidi" w:hAnsiTheme="majorBidi" w:cstheme="majorBidi"/>
            <w:color w:val="1155CC"/>
            <w:u w:val="single"/>
          </w:rPr>
          <w:t>https://doi.org/10.1016/j.jinf.2020.04.021</w:t>
        </w:r>
      </w:hyperlink>
    </w:p>
    <w:p w14:paraId="741DD654" w14:textId="77777777" w:rsidR="00532C03" w:rsidRPr="005A54C3" w:rsidRDefault="00532C03">
      <w:pPr>
        <w:spacing w:after="200" w:line="240" w:lineRule="auto"/>
        <w:ind w:left="566" w:hanging="566"/>
        <w:rPr>
          <w:rFonts w:asciiTheme="majorBidi" w:hAnsiTheme="majorBidi" w:cstheme="majorBidi"/>
        </w:rPr>
      </w:pPr>
    </w:p>
    <w:p w14:paraId="37B43E51" w14:textId="77777777" w:rsidR="00532C03" w:rsidRPr="005A54C3" w:rsidRDefault="00E8712F">
      <w:pPr>
        <w:pStyle w:val="Heading2"/>
        <w:rPr>
          <w:rFonts w:asciiTheme="majorBidi" w:hAnsiTheme="majorBidi" w:cstheme="majorBidi"/>
        </w:rPr>
      </w:pPr>
      <w:bookmarkStart w:id="10" w:name="_heading=h.b05hjw84eyfj" w:colFirst="0" w:colLast="0"/>
      <w:bookmarkEnd w:id="10"/>
      <w:r w:rsidRPr="005A54C3">
        <w:rPr>
          <w:rFonts w:asciiTheme="majorBidi" w:hAnsiTheme="majorBidi" w:cstheme="majorBidi"/>
        </w:rPr>
        <w:br w:type="page"/>
      </w:r>
    </w:p>
    <w:p w14:paraId="18C76F30" w14:textId="77777777" w:rsidR="00532C03" w:rsidRPr="005A54C3" w:rsidRDefault="00E8712F">
      <w:pPr>
        <w:pStyle w:val="Heading2"/>
        <w:rPr>
          <w:rFonts w:asciiTheme="majorBidi" w:hAnsiTheme="majorBidi" w:cstheme="majorBidi"/>
        </w:rPr>
      </w:pPr>
      <w:bookmarkStart w:id="11" w:name="_heading=h.g03vfgh0mliy" w:colFirst="0" w:colLast="0"/>
      <w:bookmarkEnd w:id="11"/>
      <w:r w:rsidRPr="005A54C3">
        <w:rPr>
          <w:rFonts w:asciiTheme="majorBidi" w:hAnsiTheme="majorBidi" w:cstheme="majorBidi"/>
        </w:rPr>
        <w:lastRenderedPageBreak/>
        <w:t>Table 1</w:t>
      </w:r>
    </w:p>
    <w:p w14:paraId="36013C09" w14:textId="77777777" w:rsidR="00532C03" w:rsidRPr="005A54C3" w:rsidRDefault="00E8712F">
      <w:pPr>
        <w:rPr>
          <w:rFonts w:asciiTheme="majorBidi" w:hAnsiTheme="majorBidi" w:cstheme="majorBidi"/>
        </w:rPr>
      </w:pPr>
      <w:r w:rsidRPr="005A54C3">
        <w:rPr>
          <w:rFonts w:asciiTheme="majorBidi" w:hAnsiTheme="majorBidi" w:cstheme="majorBidi"/>
          <w:i/>
        </w:rPr>
        <w:t xml:space="preserve">Demographic characteristics of the COVID-19 positive patients (total population: N=1870) divided by symptom presentation and Referral for hospitalization </w:t>
      </w:r>
    </w:p>
    <w:tbl>
      <w:tblPr>
        <w:tblStyle w:val="af4"/>
        <w:tblW w:w="8789" w:type="dxa"/>
        <w:tblLayout w:type="fixed"/>
        <w:tblLook w:val="0600" w:firstRow="0" w:lastRow="0" w:firstColumn="0" w:lastColumn="0" w:noHBand="1" w:noVBand="1"/>
      </w:tblPr>
      <w:tblGrid>
        <w:gridCol w:w="1701"/>
        <w:gridCol w:w="1276"/>
        <w:gridCol w:w="1276"/>
        <w:gridCol w:w="850"/>
        <w:gridCol w:w="1276"/>
        <w:gridCol w:w="1276"/>
        <w:gridCol w:w="1134"/>
      </w:tblGrid>
      <w:tr w:rsidR="006D38CE" w:rsidRPr="005A54C3" w14:paraId="6566E697" w14:textId="77777777" w:rsidTr="006D38CE">
        <w:trPr>
          <w:trHeight w:val="340"/>
        </w:trPr>
        <w:tc>
          <w:tcPr>
            <w:tcW w:w="1701" w:type="dxa"/>
            <w:tcBorders>
              <w:top w:val="single" w:sz="4" w:space="0" w:color="auto"/>
            </w:tcBorders>
            <w:tcMar>
              <w:top w:w="56" w:type="dxa"/>
              <w:left w:w="56" w:type="dxa"/>
              <w:bottom w:w="56" w:type="dxa"/>
              <w:right w:w="56" w:type="dxa"/>
            </w:tcMar>
            <w:vAlign w:val="bottom"/>
          </w:tcPr>
          <w:p w14:paraId="6868F691" w14:textId="77777777" w:rsidR="00532C03" w:rsidRPr="005A54C3" w:rsidRDefault="00532C03" w:rsidP="006D38CE">
            <w:pPr>
              <w:spacing w:line="360" w:lineRule="auto"/>
              <w:rPr>
                <w:rFonts w:asciiTheme="majorBidi" w:hAnsiTheme="majorBidi" w:cstheme="majorBidi"/>
              </w:rPr>
            </w:pPr>
          </w:p>
        </w:tc>
        <w:tc>
          <w:tcPr>
            <w:tcW w:w="2552" w:type="dxa"/>
            <w:gridSpan w:val="2"/>
            <w:tcBorders>
              <w:top w:val="single" w:sz="4" w:space="0" w:color="auto"/>
              <w:bottom w:val="single" w:sz="4" w:space="0" w:color="auto"/>
            </w:tcBorders>
            <w:tcMar>
              <w:top w:w="56" w:type="dxa"/>
              <w:left w:w="56" w:type="dxa"/>
              <w:bottom w:w="56" w:type="dxa"/>
              <w:right w:w="56" w:type="dxa"/>
            </w:tcMar>
            <w:vAlign w:val="bottom"/>
          </w:tcPr>
          <w:p w14:paraId="1DC7F597" w14:textId="77777777" w:rsidR="00532C03" w:rsidRPr="005A54C3" w:rsidRDefault="00E8712F" w:rsidP="006D38CE">
            <w:pPr>
              <w:spacing w:line="360" w:lineRule="auto"/>
              <w:jc w:val="center"/>
              <w:rPr>
                <w:rFonts w:asciiTheme="majorBidi" w:hAnsiTheme="majorBidi" w:cstheme="majorBidi"/>
              </w:rPr>
            </w:pPr>
            <w:r w:rsidRPr="005A54C3">
              <w:rPr>
                <w:rFonts w:asciiTheme="majorBidi" w:hAnsiTheme="majorBidi" w:cstheme="majorBidi"/>
              </w:rPr>
              <w:t>Symptoms</w:t>
            </w:r>
          </w:p>
        </w:tc>
        <w:tc>
          <w:tcPr>
            <w:tcW w:w="850" w:type="dxa"/>
            <w:tcBorders>
              <w:top w:val="single" w:sz="4" w:space="0" w:color="auto"/>
            </w:tcBorders>
            <w:tcMar>
              <w:top w:w="56" w:type="dxa"/>
              <w:left w:w="56" w:type="dxa"/>
              <w:bottom w:w="56" w:type="dxa"/>
              <w:right w:w="56" w:type="dxa"/>
            </w:tcMar>
            <w:vAlign w:val="bottom"/>
          </w:tcPr>
          <w:p w14:paraId="1B255E53" w14:textId="77777777" w:rsidR="00532C03" w:rsidRPr="005A54C3" w:rsidRDefault="00532C03" w:rsidP="006D38CE">
            <w:pPr>
              <w:spacing w:line="360" w:lineRule="auto"/>
              <w:rPr>
                <w:rFonts w:asciiTheme="majorBidi" w:hAnsiTheme="majorBidi" w:cstheme="majorBidi"/>
                <w:vertAlign w:val="superscript"/>
              </w:rPr>
            </w:pPr>
          </w:p>
        </w:tc>
        <w:tc>
          <w:tcPr>
            <w:tcW w:w="2552" w:type="dxa"/>
            <w:gridSpan w:val="2"/>
            <w:tcBorders>
              <w:top w:val="single" w:sz="4" w:space="0" w:color="auto"/>
              <w:bottom w:val="single" w:sz="4" w:space="0" w:color="auto"/>
            </w:tcBorders>
            <w:tcMar>
              <w:top w:w="56" w:type="dxa"/>
              <w:left w:w="56" w:type="dxa"/>
              <w:bottom w:w="56" w:type="dxa"/>
              <w:right w:w="56" w:type="dxa"/>
            </w:tcMar>
            <w:vAlign w:val="bottom"/>
          </w:tcPr>
          <w:p w14:paraId="03A06009" w14:textId="77777777" w:rsidR="00532C03" w:rsidRPr="005A54C3" w:rsidRDefault="00E8712F" w:rsidP="006D38CE">
            <w:pPr>
              <w:spacing w:line="360" w:lineRule="auto"/>
              <w:jc w:val="center"/>
              <w:rPr>
                <w:rFonts w:asciiTheme="majorBidi" w:hAnsiTheme="majorBidi" w:cstheme="majorBidi"/>
              </w:rPr>
            </w:pPr>
            <w:r w:rsidRPr="005A54C3">
              <w:rPr>
                <w:rFonts w:asciiTheme="majorBidi" w:hAnsiTheme="majorBidi" w:cstheme="majorBidi"/>
              </w:rPr>
              <w:t>Hospitalization</w:t>
            </w:r>
          </w:p>
        </w:tc>
        <w:tc>
          <w:tcPr>
            <w:tcW w:w="1134" w:type="dxa"/>
            <w:tcBorders>
              <w:top w:val="single" w:sz="4" w:space="0" w:color="auto"/>
            </w:tcBorders>
            <w:tcMar>
              <w:top w:w="56" w:type="dxa"/>
              <w:left w:w="56" w:type="dxa"/>
              <w:bottom w:w="56" w:type="dxa"/>
              <w:right w:w="56" w:type="dxa"/>
            </w:tcMar>
            <w:vAlign w:val="bottom"/>
          </w:tcPr>
          <w:p w14:paraId="3A90F07E" w14:textId="77777777" w:rsidR="00532C03" w:rsidRPr="005A54C3" w:rsidRDefault="00532C03" w:rsidP="006D38CE">
            <w:pPr>
              <w:spacing w:line="360" w:lineRule="auto"/>
              <w:rPr>
                <w:rFonts w:asciiTheme="majorBidi" w:hAnsiTheme="majorBidi" w:cstheme="majorBidi"/>
              </w:rPr>
            </w:pPr>
          </w:p>
        </w:tc>
      </w:tr>
      <w:tr w:rsidR="006D38CE" w:rsidRPr="005A54C3" w14:paraId="44E7FFBE" w14:textId="77777777" w:rsidTr="006D38CE">
        <w:trPr>
          <w:trHeight w:val="340"/>
        </w:trPr>
        <w:tc>
          <w:tcPr>
            <w:tcW w:w="1701" w:type="dxa"/>
            <w:tcBorders>
              <w:bottom w:val="single" w:sz="4" w:space="0" w:color="auto"/>
            </w:tcBorders>
            <w:tcMar>
              <w:top w:w="56" w:type="dxa"/>
              <w:left w:w="56" w:type="dxa"/>
              <w:bottom w:w="56" w:type="dxa"/>
              <w:right w:w="56" w:type="dxa"/>
            </w:tcMar>
            <w:vAlign w:val="bottom"/>
          </w:tcPr>
          <w:p w14:paraId="37A9205F" w14:textId="77777777" w:rsidR="00532C03" w:rsidRPr="005A54C3" w:rsidRDefault="006D38CE" w:rsidP="006D38CE">
            <w:pPr>
              <w:spacing w:line="240" w:lineRule="auto"/>
              <w:rPr>
                <w:rFonts w:asciiTheme="majorBidi" w:hAnsiTheme="majorBidi" w:cstheme="majorBidi"/>
              </w:rPr>
            </w:pPr>
            <w:r w:rsidRPr="005A54C3">
              <w:rPr>
                <w:rFonts w:asciiTheme="majorBidi" w:hAnsiTheme="majorBidi" w:cstheme="majorBidi"/>
              </w:rPr>
              <w:t>Variable</w:t>
            </w:r>
          </w:p>
        </w:tc>
        <w:tc>
          <w:tcPr>
            <w:tcW w:w="1276" w:type="dxa"/>
            <w:tcBorders>
              <w:top w:val="single" w:sz="4" w:space="0" w:color="auto"/>
              <w:bottom w:val="single" w:sz="4" w:space="0" w:color="auto"/>
            </w:tcBorders>
            <w:tcMar>
              <w:top w:w="56" w:type="dxa"/>
              <w:left w:w="56" w:type="dxa"/>
              <w:bottom w:w="56" w:type="dxa"/>
              <w:right w:w="56" w:type="dxa"/>
            </w:tcMar>
            <w:vAlign w:val="bottom"/>
          </w:tcPr>
          <w:p w14:paraId="6E4BBD77" w14:textId="77777777" w:rsidR="00532C03" w:rsidRPr="005A54C3" w:rsidRDefault="00E8712F" w:rsidP="006D38CE">
            <w:pPr>
              <w:spacing w:line="240" w:lineRule="auto"/>
              <w:rPr>
                <w:rFonts w:asciiTheme="majorBidi" w:hAnsiTheme="majorBidi" w:cstheme="majorBidi"/>
              </w:rPr>
            </w:pPr>
            <w:r w:rsidRPr="005A54C3">
              <w:rPr>
                <w:rFonts w:asciiTheme="majorBidi" w:hAnsiTheme="majorBidi" w:cstheme="majorBidi"/>
              </w:rPr>
              <w:t>Yes</w:t>
            </w:r>
          </w:p>
          <w:p w14:paraId="6AB08014" w14:textId="77777777" w:rsidR="00532C03" w:rsidRPr="005A54C3" w:rsidRDefault="00E8712F" w:rsidP="006D38CE">
            <w:pPr>
              <w:spacing w:line="240" w:lineRule="auto"/>
              <w:rPr>
                <w:rFonts w:asciiTheme="majorBidi" w:hAnsiTheme="majorBidi" w:cstheme="majorBidi"/>
              </w:rPr>
            </w:pPr>
            <w:r w:rsidRPr="005A54C3">
              <w:rPr>
                <w:rFonts w:asciiTheme="majorBidi" w:hAnsiTheme="majorBidi" w:cstheme="majorBidi"/>
                <w:i/>
                <w:sz w:val="20"/>
                <w:szCs w:val="20"/>
              </w:rPr>
              <w:t>M (SD)/ n</w:t>
            </w:r>
            <w:r w:rsidRPr="005A54C3">
              <w:rPr>
                <w:rFonts w:asciiTheme="majorBidi" w:hAnsiTheme="majorBidi" w:cstheme="majorBidi"/>
                <w:sz w:val="20"/>
                <w:szCs w:val="20"/>
              </w:rPr>
              <w:t xml:space="preserve"> (%)</w:t>
            </w:r>
          </w:p>
        </w:tc>
        <w:tc>
          <w:tcPr>
            <w:tcW w:w="1276" w:type="dxa"/>
            <w:tcBorders>
              <w:top w:val="single" w:sz="4" w:space="0" w:color="auto"/>
              <w:bottom w:val="single" w:sz="4" w:space="0" w:color="auto"/>
            </w:tcBorders>
            <w:tcMar>
              <w:top w:w="56" w:type="dxa"/>
              <w:left w:w="56" w:type="dxa"/>
              <w:bottom w:w="56" w:type="dxa"/>
              <w:right w:w="56" w:type="dxa"/>
            </w:tcMar>
            <w:vAlign w:val="bottom"/>
          </w:tcPr>
          <w:p w14:paraId="102E773B" w14:textId="77777777" w:rsidR="00532C03" w:rsidRPr="005A54C3" w:rsidRDefault="00E8712F" w:rsidP="006D38CE">
            <w:pPr>
              <w:spacing w:line="240" w:lineRule="auto"/>
              <w:rPr>
                <w:rFonts w:asciiTheme="majorBidi" w:hAnsiTheme="majorBidi" w:cstheme="majorBidi"/>
              </w:rPr>
            </w:pPr>
            <w:r w:rsidRPr="005A54C3">
              <w:rPr>
                <w:rFonts w:asciiTheme="majorBidi" w:hAnsiTheme="majorBidi" w:cstheme="majorBidi"/>
              </w:rPr>
              <w:t>No</w:t>
            </w:r>
          </w:p>
          <w:p w14:paraId="61A0BE7D" w14:textId="77777777" w:rsidR="00532C03" w:rsidRPr="005A54C3" w:rsidRDefault="00E8712F" w:rsidP="006D38CE">
            <w:pPr>
              <w:spacing w:line="240" w:lineRule="auto"/>
              <w:rPr>
                <w:rFonts w:asciiTheme="majorBidi" w:hAnsiTheme="majorBidi" w:cstheme="majorBidi"/>
              </w:rPr>
            </w:pPr>
            <w:r w:rsidRPr="005A54C3">
              <w:rPr>
                <w:rFonts w:asciiTheme="majorBidi" w:hAnsiTheme="majorBidi" w:cstheme="majorBidi"/>
                <w:i/>
                <w:sz w:val="20"/>
                <w:szCs w:val="20"/>
              </w:rPr>
              <w:t>M (SD)/ n</w:t>
            </w:r>
            <w:r w:rsidRPr="005A54C3">
              <w:rPr>
                <w:rFonts w:asciiTheme="majorBidi" w:hAnsiTheme="majorBidi" w:cstheme="majorBidi"/>
                <w:sz w:val="20"/>
                <w:szCs w:val="20"/>
              </w:rPr>
              <w:t xml:space="preserve"> (%)</w:t>
            </w:r>
          </w:p>
        </w:tc>
        <w:tc>
          <w:tcPr>
            <w:tcW w:w="850" w:type="dxa"/>
            <w:tcBorders>
              <w:bottom w:val="single" w:sz="4" w:space="0" w:color="auto"/>
            </w:tcBorders>
            <w:tcMar>
              <w:top w:w="56" w:type="dxa"/>
              <w:left w:w="56" w:type="dxa"/>
              <w:bottom w:w="56" w:type="dxa"/>
              <w:right w:w="56" w:type="dxa"/>
            </w:tcMar>
            <w:vAlign w:val="bottom"/>
          </w:tcPr>
          <w:p w14:paraId="6EB8BA1E" w14:textId="77777777" w:rsidR="00532C03" w:rsidRPr="005A54C3" w:rsidRDefault="00E8712F" w:rsidP="006D38CE">
            <w:pPr>
              <w:spacing w:line="240" w:lineRule="auto"/>
              <w:rPr>
                <w:rFonts w:asciiTheme="majorBidi" w:hAnsiTheme="majorBidi" w:cstheme="majorBidi"/>
                <w:vertAlign w:val="superscript"/>
              </w:rPr>
            </w:pPr>
            <w:r w:rsidRPr="005A54C3">
              <w:rPr>
                <w:rFonts w:asciiTheme="majorBidi" w:hAnsiTheme="majorBidi" w:cstheme="majorBidi"/>
              </w:rPr>
              <w:t>t/χ</w:t>
            </w:r>
            <w:r w:rsidRPr="005A54C3">
              <w:rPr>
                <w:rFonts w:asciiTheme="majorBidi" w:hAnsiTheme="majorBidi" w:cstheme="majorBidi"/>
                <w:vertAlign w:val="superscript"/>
              </w:rPr>
              <w:t>2</w:t>
            </w:r>
          </w:p>
        </w:tc>
        <w:tc>
          <w:tcPr>
            <w:tcW w:w="1276" w:type="dxa"/>
            <w:tcBorders>
              <w:top w:val="single" w:sz="4" w:space="0" w:color="auto"/>
              <w:bottom w:val="single" w:sz="4" w:space="0" w:color="auto"/>
            </w:tcBorders>
            <w:tcMar>
              <w:top w:w="56" w:type="dxa"/>
              <w:left w:w="56" w:type="dxa"/>
              <w:bottom w:w="56" w:type="dxa"/>
              <w:right w:w="56" w:type="dxa"/>
            </w:tcMar>
            <w:vAlign w:val="bottom"/>
          </w:tcPr>
          <w:p w14:paraId="3FC902A4" w14:textId="77777777" w:rsidR="00532C03" w:rsidRPr="005A54C3" w:rsidRDefault="00E8712F" w:rsidP="006D38CE">
            <w:pPr>
              <w:spacing w:line="240" w:lineRule="auto"/>
              <w:rPr>
                <w:rFonts w:asciiTheme="majorBidi" w:hAnsiTheme="majorBidi" w:cstheme="majorBidi"/>
              </w:rPr>
            </w:pPr>
            <w:r w:rsidRPr="005A54C3">
              <w:rPr>
                <w:rFonts w:asciiTheme="majorBidi" w:hAnsiTheme="majorBidi" w:cstheme="majorBidi"/>
              </w:rPr>
              <w:t>Yes</w:t>
            </w:r>
          </w:p>
          <w:p w14:paraId="1D771D3B" w14:textId="77777777" w:rsidR="00532C03" w:rsidRPr="005A54C3" w:rsidRDefault="00E8712F" w:rsidP="006D38CE">
            <w:pPr>
              <w:spacing w:line="240" w:lineRule="auto"/>
              <w:rPr>
                <w:rFonts w:asciiTheme="majorBidi" w:hAnsiTheme="majorBidi" w:cstheme="majorBidi"/>
              </w:rPr>
            </w:pPr>
            <w:r w:rsidRPr="005A54C3">
              <w:rPr>
                <w:rFonts w:asciiTheme="majorBidi" w:hAnsiTheme="majorBidi" w:cstheme="majorBidi"/>
                <w:i/>
                <w:sz w:val="20"/>
                <w:szCs w:val="20"/>
              </w:rPr>
              <w:t>M (SD)/ n</w:t>
            </w:r>
            <w:r w:rsidRPr="005A54C3">
              <w:rPr>
                <w:rFonts w:asciiTheme="majorBidi" w:hAnsiTheme="majorBidi" w:cstheme="majorBidi"/>
                <w:sz w:val="20"/>
                <w:szCs w:val="20"/>
              </w:rPr>
              <w:t xml:space="preserve"> (%)</w:t>
            </w:r>
          </w:p>
        </w:tc>
        <w:tc>
          <w:tcPr>
            <w:tcW w:w="1276" w:type="dxa"/>
            <w:tcBorders>
              <w:top w:val="single" w:sz="4" w:space="0" w:color="auto"/>
              <w:bottom w:val="single" w:sz="4" w:space="0" w:color="auto"/>
            </w:tcBorders>
            <w:tcMar>
              <w:top w:w="56" w:type="dxa"/>
              <w:left w:w="56" w:type="dxa"/>
              <w:bottom w:w="56" w:type="dxa"/>
              <w:right w:w="56" w:type="dxa"/>
            </w:tcMar>
            <w:vAlign w:val="bottom"/>
          </w:tcPr>
          <w:p w14:paraId="7DA91721" w14:textId="77777777" w:rsidR="00532C03" w:rsidRPr="005A54C3" w:rsidRDefault="00E8712F" w:rsidP="006D38CE">
            <w:pPr>
              <w:spacing w:line="240" w:lineRule="auto"/>
              <w:rPr>
                <w:rFonts w:asciiTheme="majorBidi" w:hAnsiTheme="majorBidi" w:cstheme="majorBidi"/>
              </w:rPr>
            </w:pPr>
            <w:r w:rsidRPr="005A54C3">
              <w:rPr>
                <w:rFonts w:asciiTheme="majorBidi" w:hAnsiTheme="majorBidi" w:cstheme="majorBidi"/>
              </w:rPr>
              <w:t>No</w:t>
            </w:r>
          </w:p>
          <w:p w14:paraId="5AE93DC1" w14:textId="77777777" w:rsidR="00532C03" w:rsidRPr="005A54C3" w:rsidRDefault="00E8712F" w:rsidP="006D38CE">
            <w:pPr>
              <w:spacing w:line="240" w:lineRule="auto"/>
              <w:rPr>
                <w:rFonts w:asciiTheme="majorBidi" w:hAnsiTheme="majorBidi" w:cstheme="majorBidi"/>
              </w:rPr>
            </w:pPr>
            <w:r w:rsidRPr="005A54C3">
              <w:rPr>
                <w:rFonts w:asciiTheme="majorBidi" w:hAnsiTheme="majorBidi" w:cstheme="majorBidi"/>
                <w:i/>
                <w:sz w:val="20"/>
                <w:szCs w:val="20"/>
              </w:rPr>
              <w:t>M (SD)/ n</w:t>
            </w:r>
            <w:r w:rsidRPr="005A54C3">
              <w:rPr>
                <w:rFonts w:asciiTheme="majorBidi" w:hAnsiTheme="majorBidi" w:cstheme="majorBidi"/>
                <w:sz w:val="20"/>
                <w:szCs w:val="20"/>
              </w:rPr>
              <w:t xml:space="preserve"> (%)</w:t>
            </w:r>
          </w:p>
        </w:tc>
        <w:tc>
          <w:tcPr>
            <w:tcW w:w="1134" w:type="dxa"/>
            <w:tcBorders>
              <w:bottom w:val="single" w:sz="4" w:space="0" w:color="auto"/>
            </w:tcBorders>
            <w:tcMar>
              <w:top w:w="56" w:type="dxa"/>
              <w:left w:w="56" w:type="dxa"/>
              <w:bottom w:w="56" w:type="dxa"/>
              <w:right w:w="56" w:type="dxa"/>
            </w:tcMar>
            <w:vAlign w:val="bottom"/>
          </w:tcPr>
          <w:p w14:paraId="40F2FD30" w14:textId="77777777" w:rsidR="00532C03" w:rsidRPr="005A54C3" w:rsidRDefault="00E8712F" w:rsidP="006D38CE">
            <w:pPr>
              <w:spacing w:line="240" w:lineRule="auto"/>
              <w:rPr>
                <w:rFonts w:asciiTheme="majorBidi" w:hAnsiTheme="majorBidi" w:cstheme="majorBidi"/>
                <w:i/>
              </w:rPr>
            </w:pPr>
            <w:r w:rsidRPr="005A54C3">
              <w:rPr>
                <w:rFonts w:asciiTheme="majorBidi" w:hAnsiTheme="majorBidi" w:cstheme="majorBidi"/>
              </w:rPr>
              <w:t>t/χ</w:t>
            </w:r>
            <w:r w:rsidRPr="005A54C3">
              <w:rPr>
                <w:rFonts w:asciiTheme="majorBidi" w:hAnsiTheme="majorBidi" w:cstheme="majorBidi"/>
                <w:vertAlign w:val="superscript"/>
              </w:rPr>
              <w:t>2</w:t>
            </w:r>
          </w:p>
        </w:tc>
      </w:tr>
      <w:tr w:rsidR="006D38CE" w:rsidRPr="005A54C3" w14:paraId="7D820E08" w14:textId="77777777" w:rsidTr="006D38CE">
        <w:trPr>
          <w:trHeight w:val="340"/>
        </w:trPr>
        <w:tc>
          <w:tcPr>
            <w:tcW w:w="1701" w:type="dxa"/>
            <w:tcBorders>
              <w:top w:val="single" w:sz="4" w:space="0" w:color="auto"/>
            </w:tcBorders>
            <w:tcMar>
              <w:top w:w="56" w:type="dxa"/>
              <w:left w:w="56" w:type="dxa"/>
              <w:bottom w:w="56" w:type="dxa"/>
              <w:right w:w="56" w:type="dxa"/>
            </w:tcMar>
            <w:vAlign w:val="bottom"/>
          </w:tcPr>
          <w:p w14:paraId="134AE5AE"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i/>
                <w:sz w:val="22"/>
                <w:szCs w:val="22"/>
              </w:rPr>
              <w:t>n</w:t>
            </w:r>
          </w:p>
        </w:tc>
        <w:tc>
          <w:tcPr>
            <w:tcW w:w="1276" w:type="dxa"/>
            <w:tcBorders>
              <w:top w:val="single" w:sz="4" w:space="0" w:color="auto"/>
            </w:tcBorders>
            <w:tcMar>
              <w:top w:w="56" w:type="dxa"/>
              <w:left w:w="56" w:type="dxa"/>
              <w:bottom w:w="56" w:type="dxa"/>
              <w:right w:w="56" w:type="dxa"/>
            </w:tcMar>
            <w:vAlign w:val="bottom"/>
          </w:tcPr>
          <w:p w14:paraId="3B5A0CE4"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737 (39.4)</w:t>
            </w:r>
          </w:p>
        </w:tc>
        <w:tc>
          <w:tcPr>
            <w:tcW w:w="1276" w:type="dxa"/>
            <w:tcBorders>
              <w:top w:val="single" w:sz="4" w:space="0" w:color="auto"/>
            </w:tcBorders>
            <w:tcMar>
              <w:top w:w="56" w:type="dxa"/>
              <w:left w:w="56" w:type="dxa"/>
              <w:bottom w:w="56" w:type="dxa"/>
              <w:right w:w="56" w:type="dxa"/>
            </w:tcMar>
            <w:vAlign w:val="bottom"/>
          </w:tcPr>
          <w:p w14:paraId="08AD6804"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1133 (60.6)</w:t>
            </w:r>
          </w:p>
        </w:tc>
        <w:tc>
          <w:tcPr>
            <w:tcW w:w="850" w:type="dxa"/>
            <w:tcBorders>
              <w:top w:val="single" w:sz="4" w:space="0" w:color="auto"/>
            </w:tcBorders>
            <w:tcMar>
              <w:top w:w="56" w:type="dxa"/>
              <w:left w:w="56" w:type="dxa"/>
              <w:bottom w:w="56" w:type="dxa"/>
              <w:right w:w="56" w:type="dxa"/>
            </w:tcMar>
            <w:vAlign w:val="bottom"/>
          </w:tcPr>
          <w:p w14:paraId="7F7C051E" w14:textId="77777777" w:rsidR="00532C03" w:rsidRPr="005A54C3" w:rsidRDefault="00532C03" w:rsidP="006D38CE">
            <w:pPr>
              <w:spacing w:line="360" w:lineRule="auto"/>
              <w:rPr>
                <w:rFonts w:asciiTheme="majorBidi" w:hAnsiTheme="majorBidi" w:cstheme="majorBidi"/>
                <w:b/>
                <w:sz w:val="22"/>
                <w:szCs w:val="22"/>
              </w:rPr>
            </w:pPr>
          </w:p>
        </w:tc>
        <w:tc>
          <w:tcPr>
            <w:tcW w:w="1276" w:type="dxa"/>
            <w:tcBorders>
              <w:top w:val="single" w:sz="4" w:space="0" w:color="auto"/>
            </w:tcBorders>
            <w:tcMar>
              <w:top w:w="56" w:type="dxa"/>
              <w:left w:w="56" w:type="dxa"/>
              <w:bottom w:w="56" w:type="dxa"/>
              <w:right w:w="56" w:type="dxa"/>
            </w:tcMar>
            <w:vAlign w:val="bottom"/>
          </w:tcPr>
          <w:p w14:paraId="53DD3B6B"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117 (6.3)</w:t>
            </w:r>
          </w:p>
        </w:tc>
        <w:tc>
          <w:tcPr>
            <w:tcW w:w="1276" w:type="dxa"/>
            <w:tcBorders>
              <w:top w:val="single" w:sz="4" w:space="0" w:color="auto"/>
            </w:tcBorders>
            <w:tcMar>
              <w:top w:w="56" w:type="dxa"/>
              <w:left w:w="56" w:type="dxa"/>
              <w:bottom w:w="56" w:type="dxa"/>
              <w:right w:w="56" w:type="dxa"/>
            </w:tcMar>
            <w:vAlign w:val="bottom"/>
          </w:tcPr>
          <w:p w14:paraId="693D6AE2"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1753 (93.7)</w:t>
            </w:r>
          </w:p>
        </w:tc>
        <w:tc>
          <w:tcPr>
            <w:tcW w:w="1134" w:type="dxa"/>
            <w:tcBorders>
              <w:top w:val="single" w:sz="4" w:space="0" w:color="auto"/>
            </w:tcBorders>
            <w:tcMar>
              <w:top w:w="56" w:type="dxa"/>
              <w:left w:w="56" w:type="dxa"/>
              <w:bottom w:w="56" w:type="dxa"/>
              <w:right w:w="56" w:type="dxa"/>
            </w:tcMar>
            <w:vAlign w:val="bottom"/>
          </w:tcPr>
          <w:p w14:paraId="743A5955" w14:textId="77777777" w:rsidR="00532C03" w:rsidRPr="005A54C3" w:rsidRDefault="00532C03" w:rsidP="006D38CE">
            <w:pPr>
              <w:spacing w:line="360" w:lineRule="auto"/>
              <w:rPr>
                <w:rFonts w:asciiTheme="majorBidi" w:hAnsiTheme="majorBidi" w:cstheme="majorBidi"/>
                <w:sz w:val="22"/>
                <w:szCs w:val="22"/>
              </w:rPr>
            </w:pPr>
          </w:p>
        </w:tc>
      </w:tr>
      <w:tr w:rsidR="006D38CE" w:rsidRPr="005A54C3" w14:paraId="55467D90" w14:textId="77777777" w:rsidTr="006D38CE">
        <w:trPr>
          <w:trHeight w:val="340"/>
        </w:trPr>
        <w:tc>
          <w:tcPr>
            <w:tcW w:w="1701" w:type="dxa"/>
            <w:tcMar>
              <w:top w:w="56" w:type="dxa"/>
              <w:left w:w="56" w:type="dxa"/>
              <w:bottom w:w="56" w:type="dxa"/>
              <w:right w:w="56" w:type="dxa"/>
            </w:tcMar>
            <w:vAlign w:val="bottom"/>
          </w:tcPr>
          <w:p w14:paraId="0161485D"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Age (years)</w:t>
            </w:r>
          </w:p>
        </w:tc>
        <w:tc>
          <w:tcPr>
            <w:tcW w:w="1276" w:type="dxa"/>
            <w:tcMar>
              <w:top w:w="56" w:type="dxa"/>
              <w:left w:w="56" w:type="dxa"/>
              <w:bottom w:w="56" w:type="dxa"/>
              <w:right w:w="56" w:type="dxa"/>
            </w:tcMar>
            <w:vAlign w:val="bottom"/>
          </w:tcPr>
          <w:p w14:paraId="0C21CA37"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32.6 ± 14.6</w:t>
            </w:r>
          </w:p>
        </w:tc>
        <w:tc>
          <w:tcPr>
            <w:tcW w:w="1276" w:type="dxa"/>
            <w:tcMar>
              <w:top w:w="56" w:type="dxa"/>
              <w:left w:w="56" w:type="dxa"/>
              <w:bottom w:w="56" w:type="dxa"/>
              <w:right w:w="56" w:type="dxa"/>
            </w:tcMar>
            <w:vAlign w:val="bottom"/>
          </w:tcPr>
          <w:p w14:paraId="07575CD4"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26.7 ± 14.4</w:t>
            </w:r>
          </w:p>
        </w:tc>
        <w:tc>
          <w:tcPr>
            <w:tcW w:w="850" w:type="dxa"/>
            <w:tcMar>
              <w:top w:w="56" w:type="dxa"/>
              <w:left w:w="56" w:type="dxa"/>
              <w:bottom w:w="56" w:type="dxa"/>
              <w:right w:w="56" w:type="dxa"/>
            </w:tcMar>
            <w:vAlign w:val="bottom"/>
          </w:tcPr>
          <w:p w14:paraId="3D90DC83" w14:textId="77777777" w:rsidR="00532C03" w:rsidRPr="005A54C3" w:rsidRDefault="00E8712F" w:rsidP="006D38CE">
            <w:pPr>
              <w:spacing w:line="360" w:lineRule="auto"/>
              <w:rPr>
                <w:rFonts w:asciiTheme="majorBidi" w:hAnsiTheme="majorBidi" w:cstheme="majorBidi"/>
                <w:sz w:val="22"/>
                <w:szCs w:val="22"/>
                <w:vertAlign w:val="superscript"/>
              </w:rPr>
            </w:pPr>
            <w:r w:rsidRPr="005A54C3">
              <w:rPr>
                <w:rFonts w:asciiTheme="majorBidi" w:hAnsiTheme="majorBidi" w:cstheme="majorBidi"/>
                <w:sz w:val="22"/>
                <w:szCs w:val="22"/>
              </w:rPr>
              <w:t>-8.64**</w:t>
            </w:r>
          </w:p>
        </w:tc>
        <w:tc>
          <w:tcPr>
            <w:tcW w:w="1276" w:type="dxa"/>
            <w:tcMar>
              <w:top w:w="56" w:type="dxa"/>
              <w:left w:w="56" w:type="dxa"/>
              <w:bottom w:w="56" w:type="dxa"/>
              <w:right w:w="56" w:type="dxa"/>
            </w:tcMar>
            <w:vAlign w:val="bottom"/>
          </w:tcPr>
          <w:p w14:paraId="79686537"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36.4 ± 14.9</w:t>
            </w:r>
          </w:p>
        </w:tc>
        <w:tc>
          <w:tcPr>
            <w:tcW w:w="1276" w:type="dxa"/>
            <w:tcMar>
              <w:top w:w="56" w:type="dxa"/>
              <w:left w:w="56" w:type="dxa"/>
              <w:bottom w:w="56" w:type="dxa"/>
              <w:right w:w="56" w:type="dxa"/>
            </w:tcMar>
            <w:vAlign w:val="bottom"/>
          </w:tcPr>
          <w:p w14:paraId="34FFEC69"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28.6 ± 14.7</w:t>
            </w:r>
          </w:p>
        </w:tc>
        <w:tc>
          <w:tcPr>
            <w:tcW w:w="1134" w:type="dxa"/>
            <w:tcMar>
              <w:top w:w="56" w:type="dxa"/>
              <w:left w:w="56" w:type="dxa"/>
              <w:bottom w:w="56" w:type="dxa"/>
              <w:right w:w="56" w:type="dxa"/>
            </w:tcMar>
            <w:vAlign w:val="bottom"/>
          </w:tcPr>
          <w:p w14:paraId="591D54AE"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-5.61**</w:t>
            </w:r>
          </w:p>
        </w:tc>
      </w:tr>
      <w:tr w:rsidR="006D38CE" w:rsidRPr="005A54C3" w14:paraId="4A725E3E" w14:textId="77777777" w:rsidTr="006D38CE">
        <w:trPr>
          <w:trHeight w:val="340"/>
        </w:trPr>
        <w:tc>
          <w:tcPr>
            <w:tcW w:w="1701" w:type="dxa"/>
            <w:tcMar>
              <w:top w:w="56" w:type="dxa"/>
              <w:left w:w="56" w:type="dxa"/>
              <w:bottom w:w="56" w:type="dxa"/>
              <w:right w:w="56" w:type="dxa"/>
            </w:tcMar>
            <w:vAlign w:val="bottom"/>
          </w:tcPr>
          <w:p w14:paraId="0C4BDBCD"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SES</w:t>
            </w:r>
            <w:r w:rsidR="00ED6A98" w:rsidRPr="005A54C3">
              <w:rPr>
                <w:rFonts w:asciiTheme="majorBidi" w:hAnsiTheme="majorBidi" w:cstheme="majorBidi"/>
                <w:sz w:val="22"/>
                <w:szCs w:val="22"/>
                <w:vertAlign w:val="superscript"/>
              </w:rPr>
              <w:t xml:space="preserve"> a</w:t>
            </w:r>
          </w:p>
        </w:tc>
        <w:tc>
          <w:tcPr>
            <w:tcW w:w="1276" w:type="dxa"/>
            <w:tcMar>
              <w:top w:w="56" w:type="dxa"/>
              <w:left w:w="56" w:type="dxa"/>
              <w:bottom w:w="56" w:type="dxa"/>
              <w:right w:w="56" w:type="dxa"/>
            </w:tcMar>
            <w:vAlign w:val="bottom"/>
          </w:tcPr>
          <w:p w14:paraId="553BFCD2" w14:textId="77777777" w:rsidR="00532C03" w:rsidRPr="005A54C3" w:rsidRDefault="00532C03" w:rsidP="006D38CE">
            <w:pPr>
              <w:spacing w:line="360" w:lineRule="auto"/>
              <w:rPr>
                <w:rFonts w:asciiTheme="majorBidi" w:hAnsiTheme="majorBidi" w:cstheme="majorBidi"/>
                <w:sz w:val="22"/>
                <w:szCs w:val="22"/>
              </w:rPr>
            </w:pPr>
          </w:p>
        </w:tc>
        <w:tc>
          <w:tcPr>
            <w:tcW w:w="1276" w:type="dxa"/>
            <w:tcMar>
              <w:top w:w="56" w:type="dxa"/>
              <w:left w:w="56" w:type="dxa"/>
              <w:bottom w:w="56" w:type="dxa"/>
              <w:right w:w="56" w:type="dxa"/>
            </w:tcMar>
            <w:vAlign w:val="bottom"/>
          </w:tcPr>
          <w:p w14:paraId="795EEAB6" w14:textId="77777777" w:rsidR="00532C03" w:rsidRPr="005A54C3" w:rsidRDefault="00532C03" w:rsidP="006D38CE">
            <w:pPr>
              <w:spacing w:line="360" w:lineRule="auto"/>
              <w:rPr>
                <w:rFonts w:asciiTheme="majorBidi" w:hAnsiTheme="majorBidi" w:cstheme="majorBidi"/>
                <w:sz w:val="22"/>
                <w:szCs w:val="22"/>
              </w:rPr>
            </w:pPr>
          </w:p>
        </w:tc>
        <w:tc>
          <w:tcPr>
            <w:tcW w:w="850" w:type="dxa"/>
            <w:tcMar>
              <w:top w:w="56" w:type="dxa"/>
              <w:left w:w="56" w:type="dxa"/>
              <w:bottom w:w="56" w:type="dxa"/>
              <w:right w:w="56" w:type="dxa"/>
            </w:tcMar>
            <w:vAlign w:val="bottom"/>
          </w:tcPr>
          <w:p w14:paraId="495F53EF" w14:textId="77777777" w:rsidR="00532C03" w:rsidRPr="005A54C3" w:rsidRDefault="00532C03" w:rsidP="006D38CE">
            <w:pPr>
              <w:spacing w:line="360" w:lineRule="auto"/>
              <w:rPr>
                <w:rFonts w:asciiTheme="majorBidi" w:hAnsiTheme="majorBidi" w:cstheme="majorBidi"/>
                <w:sz w:val="22"/>
                <w:szCs w:val="22"/>
              </w:rPr>
            </w:pPr>
          </w:p>
        </w:tc>
        <w:tc>
          <w:tcPr>
            <w:tcW w:w="1276" w:type="dxa"/>
            <w:tcMar>
              <w:top w:w="56" w:type="dxa"/>
              <w:left w:w="56" w:type="dxa"/>
              <w:bottom w:w="56" w:type="dxa"/>
              <w:right w:w="56" w:type="dxa"/>
            </w:tcMar>
            <w:vAlign w:val="bottom"/>
          </w:tcPr>
          <w:p w14:paraId="6923CF90" w14:textId="77777777" w:rsidR="00532C03" w:rsidRPr="005A54C3" w:rsidRDefault="00532C03" w:rsidP="006D38CE">
            <w:pPr>
              <w:spacing w:line="360" w:lineRule="auto"/>
              <w:rPr>
                <w:rFonts w:asciiTheme="majorBidi" w:hAnsiTheme="majorBidi" w:cstheme="majorBidi"/>
                <w:sz w:val="22"/>
                <w:szCs w:val="22"/>
              </w:rPr>
            </w:pPr>
          </w:p>
        </w:tc>
        <w:tc>
          <w:tcPr>
            <w:tcW w:w="1276" w:type="dxa"/>
            <w:tcMar>
              <w:top w:w="56" w:type="dxa"/>
              <w:left w:w="56" w:type="dxa"/>
              <w:bottom w:w="56" w:type="dxa"/>
              <w:right w:w="56" w:type="dxa"/>
            </w:tcMar>
            <w:vAlign w:val="bottom"/>
          </w:tcPr>
          <w:p w14:paraId="1DDEBC0E" w14:textId="77777777" w:rsidR="00532C03" w:rsidRPr="005A54C3" w:rsidRDefault="00532C03" w:rsidP="006D38CE">
            <w:pPr>
              <w:spacing w:line="360" w:lineRule="auto"/>
              <w:rPr>
                <w:rFonts w:asciiTheme="majorBidi" w:hAnsiTheme="majorBidi" w:cstheme="majorBidi"/>
                <w:sz w:val="22"/>
                <w:szCs w:val="22"/>
              </w:rPr>
            </w:pPr>
          </w:p>
        </w:tc>
        <w:tc>
          <w:tcPr>
            <w:tcW w:w="1134" w:type="dxa"/>
            <w:tcMar>
              <w:top w:w="56" w:type="dxa"/>
              <w:left w:w="56" w:type="dxa"/>
              <w:bottom w:w="56" w:type="dxa"/>
              <w:right w:w="56" w:type="dxa"/>
            </w:tcMar>
            <w:vAlign w:val="bottom"/>
          </w:tcPr>
          <w:p w14:paraId="04E1186A" w14:textId="77777777" w:rsidR="00532C03" w:rsidRPr="005A54C3" w:rsidRDefault="00532C03" w:rsidP="006D38CE">
            <w:pPr>
              <w:spacing w:line="360" w:lineRule="auto"/>
              <w:rPr>
                <w:rFonts w:asciiTheme="majorBidi" w:hAnsiTheme="majorBidi" w:cstheme="majorBidi"/>
                <w:sz w:val="22"/>
                <w:szCs w:val="22"/>
              </w:rPr>
            </w:pPr>
          </w:p>
        </w:tc>
      </w:tr>
      <w:tr w:rsidR="006D38CE" w:rsidRPr="005A54C3" w14:paraId="79153A1C" w14:textId="77777777" w:rsidTr="006D38CE">
        <w:trPr>
          <w:trHeight w:val="340"/>
        </w:trPr>
        <w:tc>
          <w:tcPr>
            <w:tcW w:w="1701" w:type="dxa"/>
            <w:tcMar>
              <w:top w:w="56" w:type="dxa"/>
              <w:left w:w="56" w:type="dxa"/>
              <w:bottom w:w="56" w:type="dxa"/>
              <w:right w:w="56" w:type="dxa"/>
            </w:tcMar>
            <w:vAlign w:val="bottom"/>
          </w:tcPr>
          <w:p w14:paraId="20965228"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 xml:space="preserve">   Low-Medium  </w:t>
            </w:r>
          </w:p>
        </w:tc>
        <w:tc>
          <w:tcPr>
            <w:tcW w:w="1276" w:type="dxa"/>
            <w:tcMar>
              <w:top w:w="56" w:type="dxa"/>
              <w:left w:w="56" w:type="dxa"/>
              <w:bottom w:w="56" w:type="dxa"/>
              <w:right w:w="56" w:type="dxa"/>
            </w:tcMar>
            <w:vAlign w:val="bottom"/>
          </w:tcPr>
          <w:p w14:paraId="41DA9602"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591 (87.0)</w:t>
            </w:r>
          </w:p>
        </w:tc>
        <w:tc>
          <w:tcPr>
            <w:tcW w:w="1276" w:type="dxa"/>
            <w:tcMar>
              <w:top w:w="56" w:type="dxa"/>
              <w:left w:w="56" w:type="dxa"/>
              <w:bottom w:w="56" w:type="dxa"/>
              <w:right w:w="56" w:type="dxa"/>
            </w:tcMar>
            <w:vAlign w:val="bottom"/>
          </w:tcPr>
          <w:p w14:paraId="79B99D85"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954 (90.0)</w:t>
            </w:r>
          </w:p>
        </w:tc>
        <w:tc>
          <w:tcPr>
            <w:tcW w:w="850" w:type="dxa"/>
            <w:vMerge w:val="restart"/>
            <w:tcMar>
              <w:top w:w="56" w:type="dxa"/>
              <w:left w:w="56" w:type="dxa"/>
              <w:bottom w:w="56" w:type="dxa"/>
              <w:right w:w="56" w:type="dxa"/>
            </w:tcMar>
            <w:vAlign w:val="bottom"/>
          </w:tcPr>
          <w:p w14:paraId="60DCEC81"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1.91</w:t>
            </w:r>
          </w:p>
        </w:tc>
        <w:tc>
          <w:tcPr>
            <w:tcW w:w="1276" w:type="dxa"/>
            <w:tcMar>
              <w:top w:w="56" w:type="dxa"/>
              <w:left w:w="56" w:type="dxa"/>
              <w:bottom w:w="56" w:type="dxa"/>
              <w:right w:w="56" w:type="dxa"/>
            </w:tcMar>
            <w:vAlign w:val="bottom"/>
          </w:tcPr>
          <w:p w14:paraId="1669EE01"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93 (79.5)</w:t>
            </w:r>
          </w:p>
        </w:tc>
        <w:tc>
          <w:tcPr>
            <w:tcW w:w="1276" w:type="dxa"/>
            <w:tcMar>
              <w:top w:w="56" w:type="dxa"/>
              <w:left w:w="56" w:type="dxa"/>
              <w:bottom w:w="56" w:type="dxa"/>
              <w:right w:w="56" w:type="dxa"/>
            </w:tcMar>
            <w:vAlign w:val="bottom"/>
          </w:tcPr>
          <w:p w14:paraId="78DC475E"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1452 (82.8)</w:t>
            </w:r>
          </w:p>
        </w:tc>
        <w:tc>
          <w:tcPr>
            <w:tcW w:w="1134" w:type="dxa"/>
            <w:vMerge w:val="restart"/>
            <w:tcMar>
              <w:top w:w="56" w:type="dxa"/>
              <w:left w:w="56" w:type="dxa"/>
              <w:bottom w:w="56" w:type="dxa"/>
              <w:right w:w="56" w:type="dxa"/>
            </w:tcMar>
            <w:vAlign w:val="bottom"/>
          </w:tcPr>
          <w:p w14:paraId="35AAEB64"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1.75</w:t>
            </w:r>
          </w:p>
        </w:tc>
      </w:tr>
      <w:tr w:rsidR="006D38CE" w:rsidRPr="005A54C3" w14:paraId="70F823F4" w14:textId="77777777" w:rsidTr="006D38CE">
        <w:trPr>
          <w:trHeight w:val="340"/>
        </w:trPr>
        <w:tc>
          <w:tcPr>
            <w:tcW w:w="1701" w:type="dxa"/>
            <w:tcMar>
              <w:top w:w="56" w:type="dxa"/>
              <w:left w:w="56" w:type="dxa"/>
              <w:bottom w:w="56" w:type="dxa"/>
              <w:right w:w="56" w:type="dxa"/>
            </w:tcMar>
            <w:vAlign w:val="bottom"/>
          </w:tcPr>
          <w:p w14:paraId="3E633BC2"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 xml:space="preserve">   High</w:t>
            </w:r>
          </w:p>
        </w:tc>
        <w:tc>
          <w:tcPr>
            <w:tcW w:w="1276" w:type="dxa"/>
            <w:tcMar>
              <w:top w:w="56" w:type="dxa"/>
              <w:left w:w="56" w:type="dxa"/>
              <w:bottom w:w="56" w:type="dxa"/>
              <w:right w:w="56" w:type="dxa"/>
            </w:tcMar>
            <w:vAlign w:val="bottom"/>
          </w:tcPr>
          <w:p w14:paraId="7FF8576A"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88 (13.0)</w:t>
            </w:r>
          </w:p>
        </w:tc>
        <w:tc>
          <w:tcPr>
            <w:tcW w:w="1276" w:type="dxa"/>
            <w:tcMar>
              <w:top w:w="56" w:type="dxa"/>
              <w:left w:w="56" w:type="dxa"/>
              <w:bottom w:w="56" w:type="dxa"/>
              <w:right w:w="56" w:type="dxa"/>
            </w:tcMar>
            <w:vAlign w:val="bottom"/>
          </w:tcPr>
          <w:p w14:paraId="753E8AD2"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106 (10.0)</w:t>
            </w:r>
          </w:p>
        </w:tc>
        <w:tc>
          <w:tcPr>
            <w:tcW w:w="850" w:type="dxa"/>
            <w:vMerge/>
            <w:tcMar>
              <w:top w:w="56" w:type="dxa"/>
              <w:left w:w="56" w:type="dxa"/>
              <w:bottom w:w="56" w:type="dxa"/>
              <w:right w:w="56" w:type="dxa"/>
            </w:tcMar>
            <w:vAlign w:val="bottom"/>
          </w:tcPr>
          <w:p w14:paraId="7B608A4E" w14:textId="77777777" w:rsidR="00532C03" w:rsidRPr="005A54C3" w:rsidRDefault="00532C03" w:rsidP="006D38CE">
            <w:pPr>
              <w:widowControl w:val="0"/>
              <w:pBdr>
                <w:top w:val="nil"/>
                <w:left w:val="nil"/>
                <w:bottom w:val="nil"/>
                <w:right w:val="nil"/>
                <w:between w:val="nil"/>
              </w:pBdr>
              <w:spacing w:line="360" w:lineRule="auto"/>
              <w:rPr>
                <w:rFonts w:asciiTheme="majorBidi" w:hAnsiTheme="majorBidi" w:cstheme="majorBidi"/>
                <w:sz w:val="22"/>
                <w:szCs w:val="22"/>
              </w:rPr>
            </w:pPr>
          </w:p>
        </w:tc>
        <w:tc>
          <w:tcPr>
            <w:tcW w:w="1276" w:type="dxa"/>
            <w:tcMar>
              <w:top w:w="56" w:type="dxa"/>
              <w:left w:w="56" w:type="dxa"/>
              <w:bottom w:w="56" w:type="dxa"/>
              <w:right w:w="56" w:type="dxa"/>
            </w:tcMar>
            <w:vAlign w:val="bottom"/>
          </w:tcPr>
          <w:p w14:paraId="41A6C174"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18 (15.4)</w:t>
            </w:r>
          </w:p>
        </w:tc>
        <w:tc>
          <w:tcPr>
            <w:tcW w:w="1276" w:type="dxa"/>
            <w:tcMar>
              <w:top w:w="56" w:type="dxa"/>
              <w:left w:w="56" w:type="dxa"/>
              <w:bottom w:w="56" w:type="dxa"/>
              <w:right w:w="56" w:type="dxa"/>
            </w:tcMar>
            <w:vAlign w:val="bottom"/>
          </w:tcPr>
          <w:p w14:paraId="3558675E"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176 (10.0)</w:t>
            </w:r>
          </w:p>
        </w:tc>
        <w:tc>
          <w:tcPr>
            <w:tcW w:w="1134" w:type="dxa"/>
            <w:vMerge/>
            <w:tcMar>
              <w:top w:w="56" w:type="dxa"/>
              <w:left w:w="56" w:type="dxa"/>
              <w:bottom w:w="56" w:type="dxa"/>
              <w:right w:w="56" w:type="dxa"/>
            </w:tcMar>
            <w:vAlign w:val="bottom"/>
          </w:tcPr>
          <w:p w14:paraId="1B824E07" w14:textId="77777777" w:rsidR="00532C03" w:rsidRPr="005A54C3" w:rsidRDefault="00532C03" w:rsidP="006D38CE">
            <w:pPr>
              <w:widowControl w:val="0"/>
              <w:pBdr>
                <w:top w:val="nil"/>
                <w:left w:val="nil"/>
                <w:bottom w:val="nil"/>
                <w:right w:val="nil"/>
                <w:between w:val="nil"/>
              </w:pBdr>
              <w:spacing w:line="360" w:lineRule="auto"/>
              <w:rPr>
                <w:rFonts w:asciiTheme="majorBidi" w:hAnsiTheme="majorBidi" w:cstheme="majorBidi"/>
                <w:sz w:val="22"/>
                <w:szCs w:val="22"/>
              </w:rPr>
            </w:pPr>
          </w:p>
        </w:tc>
      </w:tr>
      <w:tr w:rsidR="006D38CE" w:rsidRPr="005A54C3" w14:paraId="0B470EE0" w14:textId="77777777" w:rsidTr="006D38CE">
        <w:trPr>
          <w:trHeight w:val="340"/>
        </w:trPr>
        <w:tc>
          <w:tcPr>
            <w:tcW w:w="1701" w:type="dxa"/>
            <w:tcMar>
              <w:top w:w="56" w:type="dxa"/>
              <w:left w:w="56" w:type="dxa"/>
              <w:bottom w:w="56" w:type="dxa"/>
              <w:right w:w="56" w:type="dxa"/>
            </w:tcMar>
            <w:vAlign w:val="bottom"/>
          </w:tcPr>
          <w:p w14:paraId="7A88376E"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Gender</w:t>
            </w:r>
          </w:p>
        </w:tc>
        <w:tc>
          <w:tcPr>
            <w:tcW w:w="1276" w:type="dxa"/>
            <w:tcMar>
              <w:top w:w="56" w:type="dxa"/>
              <w:left w:w="56" w:type="dxa"/>
              <w:bottom w:w="56" w:type="dxa"/>
              <w:right w:w="56" w:type="dxa"/>
            </w:tcMar>
            <w:vAlign w:val="bottom"/>
          </w:tcPr>
          <w:p w14:paraId="56C37776" w14:textId="77777777" w:rsidR="00532C03" w:rsidRPr="005A54C3" w:rsidRDefault="00532C03" w:rsidP="006D38CE">
            <w:pPr>
              <w:spacing w:line="360" w:lineRule="auto"/>
              <w:rPr>
                <w:rFonts w:asciiTheme="majorBidi" w:hAnsiTheme="majorBidi" w:cstheme="majorBidi"/>
                <w:sz w:val="22"/>
                <w:szCs w:val="22"/>
              </w:rPr>
            </w:pPr>
          </w:p>
        </w:tc>
        <w:tc>
          <w:tcPr>
            <w:tcW w:w="1276" w:type="dxa"/>
            <w:tcMar>
              <w:top w:w="56" w:type="dxa"/>
              <w:left w:w="56" w:type="dxa"/>
              <w:bottom w:w="56" w:type="dxa"/>
              <w:right w:w="56" w:type="dxa"/>
            </w:tcMar>
            <w:vAlign w:val="bottom"/>
          </w:tcPr>
          <w:p w14:paraId="23CAD77D" w14:textId="77777777" w:rsidR="00532C03" w:rsidRPr="005A54C3" w:rsidRDefault="00532C03" w:rsidP="006D38CE">
            <w:pPr>
              <w:spacing w:line="360" w:lineRule="auto"/>
              <w:rPr>
                <w:rFonts w:asciiTheme="majorBidi" w:hAnsiTheme="majorBidi" w:cstheme="majorBidi"/>
                <w:sz w:val="22"/>
                <w:szCs w:val="22"/>
              </w:rPr>
            </w:pPr>
          </w:p>
        </w:tc>
        <w:tc>
          <w:tcPr>
            <w:tcW w:w="850" w:type="dxa"/>
            <w:tcMar>
              <w:top w:w="56" w:type="dxa"/>
              <w:left w:w="56" w:type="dxa"/>
              <w:bottom w:w="56" w:type="dxa"/>
              <w:right w:w="56" w:type="dxa"/>
            </w:tcMar>
            <w:vAlign w:val="bottom"/>
          </w:tcPr>
          <w:p w14:paraId="37B9A649" w14:textId="77777777" w:rsidR="00532C03" w:rsidRPr="005A54C3" w:rsidRDefault="00532C03" w:rsidP="006D38CE">
            <w:pPr>
              <w:spacing w:line="360" w:lineRule="auto"/>
              <w:rPr>
                <w:rFonts w:asciiTheme="majorBidi" w:hAnsiTheme="majorBidi" w:cstheme="majorBidi"/>
                <w:sz w:val="22"/>
                <w:szCs w:val="22"/>
              </w:rPr>
            </w:pPr>
          </w:p>
        </w:tc>
        <w:tc>
          <w:tcPr>
            <w:tcW w:w="1276" w:type="dxa"/>
            <w:tcMar>
              <w:top w:w="56" w:type="dxa"/>
              <w:left w:w="56" w:type="dxa"/>
              <w:bottom w:w="56" w:type="dxa"/>
              <w:right w:w="56" w:type="dxa"/>
            </w:tcMar>
            <w:vAlign w:val="bottom"/>
          </w:tcPr>
          <w:p w14:paraId="682D0A1F" w14:textId="77777777" w:rsidR="00532C03" w:rsidRPr="005A54C3" w:rsidRDefault="00532C03" w:rsidP="006D38CE">
            <w:pPr>
              <w:spacing w:line="360" w:lineRule="auto"/>
              <w:rPr>
                <w:rFonts w:asciiTheme="majorBidi" w:hAnsiTheme="majorBidi" w:cstheme="majorBidi"/>
                <w:sz w:val="22"/>
                <w:szCs w:val="22"/>
              </w:rPr>
            </w:pPr>
          </w:p>
        </w:tc>
        <w:tc>
          <w:tcPr>
            <w:tcW w:w="1276" w:type="dxa"/>
            <w:tcMar>
              <w:top w:w="56" w:type="dxa"/>
              <w:left w:w="56" w:type="dxa"/>
              <w:bottom w:w="56" w:type="dxa"/>
              <w:right w:w="56" w:type="dxa"/>
            </w:tcMar>
            <w:vAlign w:val="bottom"/>
          </w:tcPr>
          <w:p w14:paraId="22EA2BAB" w14:textId="77777777" w:rsidR="00532C03" w:rsidRPr="005A54C3" w:rsidRDefault="00532C03" w:rsidP="006D38CE">
            <w:pPr>
              <w:spacing w:line="360" w:lineRule="auto"/>
              <w:rPr>
                <w:rFonts w:asciiTheme="majorBidi" w:hAnsiTheme="majorBidi" w:cstheme="majorBidi"/>
                <w:sz w:val="22"/>
                <w:szCs w:val="22"/>
              </w:rPr>
            </w:pPr>
          </w:p>
        </w:tc>
        <w:tc>
          <w:tcPr>
            <w:tcW w:w="1134" w:type="dxa"/>
            <w:tcMar>
              <w:top w:w="56" w:type="dxa"/>
              <w:left w:w="56" w:type="dxa"/>
              <w:bottom w:w="56" w:type="dxa"/>
              <w:right w:w="56" w:type="dxa"/>
            </w:tcMar>
            <w:vAlign w:val="bottom"/>
          </w:tcPr>
          <w:p w14:paraId="0C9A01E3" w14:textId="77777777" w:rsidR="00532C03" w:rsidRPr="005A54C3" w:rsidRDefault="00532C03" w:rsidP="006D38CE">
            <w:pPr>
              <w:spacing w:line="360" w:lineRule="auto"/>
              <w:rPr>
                <w:rFonts w:asciiTheme="majorBidi" w:hAnsiTheme="majorBidi" w:cstheme="majorBidi"/>
                <w:sz w:val="22"/>
                <w:szCs w:val="22"/>
              </w:rPr>
            </w:pPr>
          </w:p>
        </w:tc>
      </w:tr>
      <w:tr w:rsidR="006D38CE" w:rsidRPr="005A54C3" w14:paraId="4FD20AD6" w14:textId="77777777" w:rsidTr="006D38CE">
        <w:trPr>
          <w:trHeight w:val="340"/>
        </w:trPr>
        <w:tc>
          <w:tcPr>
            <w:tcW w:w="1701" w:type="dxa"/>
            <w:tcMar>
              <w:top w:w="56" w:type="dxa"/>
              <w:left w:w="56" w:type="dxa"/>
              <w:bottom w:w="56" w:type="dxa"/>
              <w:right w:w="56" w:type="dxa"/>
            </w:tcMar>
            <w:vAlign w:val="bottom"/>
          </w:tcPr>
          <w:p w14:paraId="40125DB3"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 xml:space="preserve">   Male</w:t>
            </w:r>
          </w:p>
        </w:tc>
        <w:tc>
          <w:tcPr>
            <w:tcW w:w="1276" w:type="dxa"/>
            <w:tcMar>
              <w:top w:w="56" w:type="dxa"/>
              <w:left w:w="56" w:type="dxa"/>
              <w:bottom w:w="56" w:type="dxa"/>
              <w:right w:w="56" w:type="dxa"/>
            </w:tcMar>
            <w:vAlign w:val="bottom"/>
          </w:tcPr>
          <w:p w14:paraId="1BA169F5"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424 (47.5)</w:t>
            </w:r>
          </w:p>
        </w:tc>
        <w:tc>
          <w:tcPr>
            <w:tcW w:w="1276" w:type="dxa"/>
            <w:tcMar>
              <w:top w:w="56" w:type="dxa"/>
              <w:left w:w="56" w:type="dxa"/>
              <w:bottom w:w="56" w:type="dxa"/>
              <w:right w:w="56" w:type="dxa"/>
            </w:tcMar>
            <w:vAlign w:val="bottom"/>
          </w:tcPr>
          <w:p w14:paraId="1A6A8BE3"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561 (49.5)</w:t>
            </w:r>
          </w:p>
        </w:tc>
        <w:tc>
          <w:tcPr>
            <w:tcW w:w="850" w:type="dxa"/>
            <w:vMerge w:val="restart"/>
            <w:tcMar>
              <w:top w:w="56" w:type="dxa"/>
              <w:left w:w="56" w:type="dxa"/>
              <w:bottom w:w="56" w:type="dxa"/>
              <w:right w:w="56" w:type="dxa"/>
            </w:tcMar>
            <w:vAlign w:val="bottom"/>
          </w:tcPr>
          <w:p w14:paraId="04853991" w14:textId="77777777" w:rsidR="00532C03" w:rsidRPr="005A54C3" w:rsidRDefault="00E8712F" w:rsidP="006D38CE">
            <w:pPr>
              <w:spacing w:line="360" w:lineRule="auto"/>
              <w:rPr>
                <w:rFonts w:asciiTheme="majorBidi" w:hAnsiTheme="majorBidi" w:cstheme="majorBidi"/>
                <w:sz w:val="22"/>
                <w:szCs w:val="22"/>
                <w:vertAlign w:val="superscript"/>
              </w:rPr>
            </w:pPr>
            <w:r w:rsidRPr="005A54C3">
              <w:rPr>
                <w:rFonts w:asciiTheme="majorBidi" w:hAnsiTheme="majorBidi" w:cstheme="majorBidi"/>
                <w:sz w:val="22"/>
                <w:szCs w:val="22"/>
              </w:rPr>
              <w:t>-3.39**</w:t>
            </w:r>
          </w:p>
          <w:p w14:paraId="05FE28B3" w14:textId="77777777" w:rsidR="00532C03" w:rsidRPr="005A54C3" w:rsidRDefault="00532C03" w:rsidP="006D38CE">
            <w:pPr>
              <w:spacing w:line="360" w:lineRule="auto"/>
              <w:rPr>
                <w:rFonts w:asciiTheme="majorBidi" w:hAnsiTheme="majorBidi" w:cstheme="majorBidi"/>
                <w:sz w:val="22"/>
                <w:szCs w:val="22"/>
              </w:rPr>
            </w:pPr>
          </w:p>
        </w:tc>
        <w:tc>
          <w:tcPr>
            <w:tcW w:w="1276" w:type="dxa"/>
            <w:tcMar>
              <w:top w:w="56" w:type="dxa"/>
              <w:left w:w="56" w:type="dxa"/>
              <w:bottom w:w="56" w:type="dxa"/>
              <w:right w:w="56" w:type="dxa"/>
            </w:tcMar>
            <w:vAlign w:val="bottom"/>
          </w:tcPr>
          <w:p w14:paraId="026C1746"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74 (63.3)</w:t>
            </w:r>
          </w:p>
        </w:tc>
        <w:tc>
          <w:tcPr>
            <w:tcW w:w="1276" w:type="dxa"/>
            <w:tcMar>
              <w:top w:w="56" w:type="dxa"/>
              <w:left w:w="56" w:type="dxa"/>
              <w:bottom w:w="56" w:type="dxa"/>
              <w:right w:w="56" w:type="dxa"/>
            </w:tcMar>
            <w:vAlign w:val="bottom"/>
          </w:tcPr>
          <w:p w14:paraId="07C58D68"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911 (52.0)</w:t>
            </w:r>
          </w:p>
        </w:tc>
        <w:tc>
          <w:tcPr>
            <w:tcW w:w="1134" w:type="dxa"/>
            <w:vMerge w:val="restart"/>
            <w:tcMar>
              <w:top w:w="56" w:type="dxa"/>
              <w:left w:w="56" w:type="dxa"/>
              <w:bottom w:w="56" w:type="dxa"/>
              <w:right w:w="56" w:type="dxa"/>
            </w:tcMar>
            <w:vAlign w:val="bottom"/>
          </w:tcPr>
          <w:p w14:paraId="40CE925F"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-2.37*</w:t>
            </w:r>
          </w:p>
        </w:tc>
      </w:tr>
      <w:tr w:rsidR="006D38CE" w:rsidRPr="005A54C3" w14:paraId="3275AF4C" w14:textId="77777777" w:rsidTr="006D38CE">
        <w:trPr>
          <w:trHeight w:val="340"/>
        </w:trPr>
        <w:tc>
          <w:tcPr>
            <w:tcW w:w="1701" w:type="dxa"/>
            <w:tcMar>
              <w:top w:w="56" w:type="dxa"/>
              <w:left w:w="56" w:type="dxa"/>
              <w:bottom w:w="56" w:type="dxa"/>
              <w:right w:w="56" w:type="dxa"/>
            </w:tcMar>
            <w:vAlign w:val="bottom"/>
          </w:tcPr>
          <w:p w14:paraId="47F69779"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 xml:space="preserve">   Female</w:t>
            </w:r>
          </w:p>
        </w:tc>
        <w:tc>
          <w:tcPr>
            <w:tcW w:w="1276" w:type="dxa"/>
            <w:tcMar>
              <w:top w:w="56" w:type="dxa"/>
              <w:left w:w="56" w:type="dxa"/>
              <w:bottom w:w="56" w:type="dxa"/>
              <w:right w:w="56" w:type="dxa"/>
            </w:tcMar>
            <w:vAlign w:val="bottom"/>
          </w:tcPr>
          <w:p w14:paraId="5A1DCDBA"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313 (42.5)</w:t>
            </w:r>
          </w:p>
        </w:tc>
        <w:tc>
          <w:tcPr>
            <w:tcW w:w="1276" w:type="dxa"/>
            <w:tcMar>
              <w:top w:w="56" w:type="dxa"/>
              <w:left w:w="56" w:type="dxa"/>
              <w:bottom w:w="56" w:type="dxa"/>
              <w:right w:w="56" w:type="dxa"/>
            </w:tcMar>
            <w:vAlign w:val="bottom"/>
          </w:tcPr>
          <w:p w14:paraId="446A516E"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572 (50.5)</w:t>
            </w:r>
          </w:p>
        </w:tc>
        <w:tc>
          <w:tcPr>
            <w:tcW w:w="850" w:type="dxa"/>
            <w:vMerge/>
            <w:tcMar>
              <w:top w:w="56" w:type="dxa"/>
              <w:left w:w="56" w:type="dxa"/>
              <w:bottom w:w="56" w:type="dxa"/>
              <w:right w:w="56" w:type="dxa"/>
            </w:tcMar>
            <w:vAlign w:val="bottom"/>
          </w:tcPr>
          <w:p w14:paraId="3DC2C247" w14:textId="77777777" w:rsidR="00532C03" w:rsidRPr="005A54C3" w:rsidRDefault="00532C03" w:rsidP="006D38CE">
            <w:pPr>
              <w:widowControl w:val="0"/>
              <w:pBdr>
                <w:top w:val="nil"/>
                <w:left w:val="nil"/>
                <w:bottom w:val="nil"/>
                <w:right w:val="nil"/>
                <w:between w:val="nil"/>
              </w:pBdr>
              <w:spacing w:line="360" w:lineRule="auto"/>
              <w:rPr>
                <w:rFonts w:asciiTheme="majorBidi" w:hAnsiTheme="majorBidi" w:cstheme="majorBidi"/>
                <w:sz w:val="22"/>
                <w:szCs w:val="22"/>
              </w:rPr>
            </w:pPr>
          </w:p>
        </w:tc>
        <w:tc>
          <w:tcPr>
            <w:tcW w:w="1276" w:type="dxa"/>
            <w:tcMar>
              <w:top w:w="56" w:type="dxa"/>
              <w:left w:w="56" w:type="dxa"/>
              <w:bottom w:w="56" w:type="dxa"/>
              <w:right w:w="56" w:type="dxa"/>
            </w:tcMar>
            <w:vAlign w:val="bottom"/>
          </w:tcPr>
          <w:p w14:paraId="73A3E50C"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43 (36.8)</w:t>
            </w:r>
          </w:p>
        </w:tc>
        <w:tc>
          <w:tcPr>
            <w:tcW w:w="1276" w:type="dxa"/>
            <w:tcMar>
              <w:top w:w="56" w:type="dxa"/>
              <w:left w:w="56" w:type="dxa"/>
              <w:bottom w:w="56" w:type="dxa"/>
              <w:right w:w="56" w:type="dxa"/>
            </w:tcMar>
            <w:vAlign w:val="bottom"/>
          </w:tcPr>
          <w:p w14:paraId="7196F398"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842 (48.0)</w:t>
            </w:r>
          </w:p>
        </w:tc>
        <w:tc>
          <w:tcPr>
            <w:tcW w:w="1134" w:type="dxa"/>
            <w:vMerge/>
            <w:tcMar>
              <w:top w:w="56" w:type="dxa"/>
              <w:left w:w="56" w:type="dxa"/>
              <w:bottom w:w="56" w:type="dxa"/>
              <w:right w:w="56" w:type="dxa"/>
            </w:tcMar>
            <w:vAlign w:val="bottom"/>
          </w:tcPr>
          <w:p w14:paraId="470C0056" w14:textId="77777777" w:rsidR="00532C03" w:rsidRPr="005A54C3" w:rsidRDefault="00532C03" w:rsidP="006D38CE">
            <w:pPr>
              <w:widowControl w:val="0"/>
              <w:pBdr>
                <w:top w:val="nil"/>
                <w:left w:val="nil"/>
                <w:bottom w:val="nil"/>
                <w:right w:val="nil"/>
                <w:between w:val="nil"/>
              </w:pBdr>
              <w:spacing w:line="360" w:lineRule="auto"/>
              <w:rPr>
                <w:rFonts w:asciiTheme="majorBidi" w:hAnsiTheme="majorBidi" w:cstheme="majorBidi"/>
                <w:sz w:val="22"/>
                <w:szCs w:val="22"/>
              </w:rPr>
            </w:pPr>
          </w:p>
        </w:tc>
      </w:tr>
      <w:tr w:rsidR="006D38CE" w:rsidRPr="005A54C3" w14:paraId="46283BD5" w14:textId="77777777" w:rsidTr="006D38CE">
        <w:trPr>
          <w:trHeight w:val="340"/>
        </w:trPr>
        <w:tc>
          <w:tcPr>
            <w:tcW w:w="1701" w:type="dxa"/>
            <w:tcBorders>
              <w:bottom w:val="single" w:sz="4" w:space="0" w:color="auto"/>
            </w:tcBorders>
            <w:tcMar>
              <w:top w:w="56" w:type="dxa"/>
              <w:left w:w="56" w:type="dxa"/>
              <w:bottom w:w="56" w:type="dxa"/>
              <w:right w:w="56" w:type="dxa"/>
            </w:tcMar>
            <w:vAlign w:val="bottom"/>
          </w:tcPr>
          <w:p w14:paraId="67D2B818"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BMI</w:t>
            </w:r>
            <w:r w:rsidR="00ED6A98" w:rsidRPr="005A54C3">
              <w:rPr>
                <w:rFonts w:asciiTheme="majorBidi" w:hAnsiTheme="majorBidi" w:cstheme="majorBidi"/>
                <w:sz w:val="22"/>
                <w:szCs w:val="22"/>
              </w:rPr>
              <w:t xml:space="preserve"> </w:t>
            </w:r>
            <w:r w:rsidR="00ED6A98" w:rsidRPr="005A54C3">
              <w:rPr>
                <w:rFonts w:asciiTheme="majorBidi" w:hAnsiTheme="majorBidi" w:cstheme="majorBidi"/>
                <w:sz w:val="22"/>
                <w:szCs w:val="22"/>
                <w:vertAlign w:val="superscript"/>
              </w:rPr>
              <w:t>b</w:t>
            </w:r>
            <w:r w:rsidRPr="005A54C3">
              <w:rPr>
                <w:rFonts w:asciiTheme="majorBidi" w:hAnsiTheme="majorBidi" w:cstheme="majorBidi"/>
                <w:sz w:val="22"/>
                <w:szCs w:val="22"/>
              </w:rPr>
              <w:t>, Kg/m</w:t>
            </w:r>
            <w:r w:rsidRPr="005A54C3">
              <w:rPr>
                <w:rFonts w:asciiTheme="majorBidi" w:hAnsiTheme="majorBidi" w:cstheme="majorBidi"/>
                <w:sz w:val="22"/>
                <w:szCs w:val="22"/>
                <w:vertAlign w:val="superscript"/>
              </w:rPr>
              <w:t>2</w:t>
            </w:r>
          </w:p>
        </w:tc>
        <w:tc>
          <w:tcPr>
            <w:tcW w:w="1276" w:type="dxa"/>
            <w:tcBorders>
              <w:bottom w:val="single" w:sz="4" w:space="0" w:color="auto"/>
            </w:tcBorders>
            <w:tcMar>
              <w:top w:w="56" w:type="dxa"/>
              <w:left w:w="56" w:type="dxa"/>
              <w:bottom w:w="56" w:type="dxa"/>
              <w:right w:w="56" w:type="dxa"/>
            </w:tcMar>
            <w:vAlign w:val="bottom"/>
          </w:tcPr>
          <w:p w14:paraId="19ED677C"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26.3 ± 6.5</w:t>
            </w:r>
          </w:p>
        </w:tc>
        <w:tc>
          <w:tcPr>
            <w:tcW w:w="1276" w:type="dxa"/>
            <w:tcBorders>
              <w:bottom w:val="single" w:sz="4" w:space="0" w:color="auto"/>
            </w:tcBorders>
            <w:tcMar>
              <w:top w:w="56" w:type="dxa"/>
              <w:left w:w="56" w:type="dxa"/>
              <w:bottom w:w="56" w:type="dxa"/>
              <w:right w:w="56" w:type="dxa"/>
            </w:tcMar>
            <w:vAlign w:val="bottom"/>
          </w:tcPr>
          <w:p w14:paraId="43A7AFB4"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24.1 ± 6.5</w:t>
            </w:r>
          </w:p>
        </w:tc>
        <w:tc>
          <w:tcPr>
            <w:tcW w:w="850" w:type="dxa"/>
            <w:tcBorders>
              <w:bottom w:val="single" w:sz="4" w:space="0" w:color="auto"/>
            </w:tcBorders>
            <w:tcMar>
              <w:top w:w="56" w:type="dxa"/>
              <w:left w:w="56" w:type="dxa"/>
              <w:bottom w:w="56" w:type="dxa"/>
              <w:right w:w="56" w:type="dxa"/>
            </w:tcMar>
            <w:vAlign w:val="bottom"/>
          </w:tcPr>
          <w:p w14:paraId="130C53F3"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-6.34**</w:t>
            </w:r>
          </w:p>
        </w:tc>
        <w:tc>
          <w:tcPr>
            <w:tcW w:w="1276" w:type="dxa"/>
            <w:tcBorders>
              <w:bottom w:val="single" w:sz="4" w:space="0" w:color="auto"/>
            </w:tcBorders>
            <w:tcMar>
              <w:top w:w="56" w:type="dxa"/>
              <w:left w:w="56" w:type="dxa"/>
              <w:bottom w:w="56" w:type="dxa"/>
              <w:right w:w="56" w:type="dxa"/>
            </w:tcMar>
            <w:vAlign w:val="bottom"/>
          </w:tcPr>
          <w:p w14:paraId="5AFD56A9"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26.9 ± 6.7</w:t>
            </w:r>
          </w:p>
        </w:tc>
        <w:tc>
          <w:tcPr>
            <w:tcW w:w="1276" w:type="dxa"/>
            <w:tcBorders>
              <w:bottom w:val="single" w:sz="4" w:space="0" w:color="auto"/>
            </w:tcBorders>
            <w:tcMar>
              <w:top w:w="56" w:type="dxa"/>
              <w:left w:w="56" w:type="dxa"/>
              <w:bottom w:w="56" w:type="dxa"/>
              <w:right w:w="56" w:type="dxa"/>
            </w:tcMar>
            <w:vAlign w:val="bottom"/>
          </w:tcPr>
          <w:p w14:paraId="43F272E0"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24.8 ± 6.5</w:t>
            </w:r>
          </w:p>
        </w:tc>
        <w:tc>
          <w:tcPr>
            <w:tcW w:w="1134" w:type="dxa"/>
            <w:tcBorders>
              <w:bottom w:val="single" w:sz="4" w:space="0" w:color="auto"/>
            </w:tcBorders>
            <w:tcMar>
              <w:top w:w="56" w:type="dxa"/>
              <w:left w:w="56" w:type="dxa"/>
              <w:bottom w:w="56" w:type="dxa"/>
              <w:right w:w="56" w:type="dxa"/>
            </w:tcMar>
            <w:vAlign w:val="bottom"/>
          </w:tcPr>
          <w:p w14:paraId="472DE147" w14:textId="77777777" w:rsidR="00532C03" w:rsidRPr="005A54C3" w:rsidRDefault="00E8712F" w:rsidP="006D38CE">
            <w:pPr>
              <w:spacing w:line="360" w:lineRule="auto"/>
              <w:rPr>
                <w:rFonts w:asciiTheme="majorBidi" w:hAnsiTheme="majorBidi" w:cstheme="majorBidi"/>
                <w:sz w:val="22"/>
                <w:szCs w:val="22"/>
              </w:rPr>
            </w:pPr>
            <w:r w:rsidRPr="005A54C3">
              <w:rPr>
                <w:rFonts w:asciiTheme="majorBidi" w:hAnsiTheme="majorBidi" w:cstheme="majorBidi"/>
                <w:sz w:val="22"/>
                <w:szCs w:val="22"/>
              </w:rPr>
              <w:t>-3.34**</w:t>
            </w:r>
          </w:p>
        </w:tc>
      </w:tr>
    </w:tbl>
    <w:p w14:paraId="108C2875" w14:textId="77777777" w:rsidR="00532C03" w:rsidRPr="005A54C3" w:rsidRDefault="00E8712F" w:rsidP="00A25780">
      <w:pPr>
        <w:spacing w:line="276" w:lineRule="auto"/>
        <w:rPr>
          <w:rFonts w:asciiTheme="majorBidi" w:hAnsiTheme="majorBidi" w:cstheme="majorBidi"/>
          <w:sz w:val="22"/>
          <w:szCs w:val="22"/>
        </w:rPr>
      </w:pPr>
      <w:r w:rsidRPr="005A54C3">
        <w:rPr>
          <w:rFonts w:asciiTheme="majorBidi" w:hAnsiTheme="majorBidi" w:cstheme="majorBidi"/>
          <w:i/>
          <w:sz w:val="22"/>
          <w:szCs w:val="22"/>
        </w:rPr>
        <w:t>Note.</w:t>
      </w:r>
      <w:r w:rsidRPr="005A54C3">
        <w:rPr>
          <w:rFonts w:asciiTheme="majorBidi" w:hAnsiTheme="majorBidi" w:cstheme="majorBidi"/>
          <w:sz w:val="22"/>
          <w:szCs w:val="22"/>
        </w:rPr>
        <w:t xml:space="preserve"> SES = socioeconomic status; BMI = body mass index.</w:t>
      </w:r>
    </w:p>
    <w:p w14:paraId="6BF8CE51" w14:textId="77777777" w:rsidR="00ED6A98" w:rsidRPr="005A54C3" w:rsidRDefault="00E8712F" w:rsidP="00A25780">
      <w:pPr>
        <w:spacing w:line="276" w:lineRule="auto"/>
        <w:rPr>
          <w:rFonts w:asciiTheme="majorBidi" w:hAnsiTheme="majorBidi" w:cstheme="majorBidi"/>
          <w:sz w:val="22"/>
          <w:szCs w:val="22"/>
        </w:rPr>
      </w:pPr>
      <w:r w:rsidRPr="005A54C3">
        <w:rPr>
          <w:rFonts w:asciiTheme="majorBidi" w:hAnsiTheme="majorBidi" w:cstheme="majorBidi"/>
          <w:sz w:val="22"/>
          <w:szCs w:val="22"/>
          <w:vertAlign w:val="superscript"/>
        </w:rPr>
        <w:t>a</w:t>
      </w:r>
      <w:r w:rsidRPr="005A54C3">
        <w:rPr>
          <w:rFonts w:asciiTheme="majorBidi" w:hAnsiTheme="majorBidi" w:cstheme="majorBidi"/>
          <w:sz w:val="22"/>
          <w:szCs w:val="22"/>
        </w:rPr>
        <w:t xml:space="preserve"> SES Missing data for Any symptoms group is 21 (9%) and for Non-Symptoms group 73 (6.4%). </w:t>
      </w:r>
    </w:p>
    <w:p w14:paraId="430FF402" w14:textId="77777777" w:rsidR="00532C03" w:rsidRPr="005A54C3" w:rsidRDefault="00E8712F" w:rsidP="00A25780">
      <w:pPr>
        <w:spacing w:line="276" w:lineRule="auto"/>
        <w:rPr>
          <w:rFonts w:asciiTheme="majorBidi" w:hAnsiTheme="majorBidi" w:cstheme="majorBidi"/>
          <w:sz w:val="22"/>
          <w:szCs w:val="22"/>
        </w:rPr>
      </w:pPr>
      <w:r w:rsidRPr="005A54C3">
        <w:rPr>
          <w:rFonts w:asciiTheme="majorBidi" w:hAnsiTheme="majorBidi" w:cstheme="majorBidi"/>
          <w:sz w:val="22"/>
          <w:szCs w:val="22"/>
          <w:vertAlign w:val="superscript"/>
        </w:rPr>
        <w:t>b</w:t>
      </w:r>
      <w:r w:rsidRPr="005A54C3">
        <w:rPr>
          <w:rFonts w:asciiTheme="majorBidi" w:hAnsiTheme="majorBidi" w:cstheme="majorBidi"/>
          <w:sz w:val="22"/>
          <w:szCs w:val="22"/>
        </w:rPr>
        <w:t xml:space="preserve"> BMI Missing data for Any group is 28%.</w:t>
      </w:r>
    </w:p>
    <w:p w14:paraId="5610D0DC" w14:textId="77777777" w:rsidR="00532C03" w:rsidRPr="005A54C3" w:rsidRDefault="00E8712F" w:rsidP="00A25780">
      <w:pPr>
        <w:spacing w:line="276" w:lineRule="auto"/>
        <w:rPr>
          <w:rFonts w:asciiTheme="majorBidi" w:hAnsiTheme="majorBidi" w:cstheme="majorBidi"/>
          <w:i/>
        </w:rPr>
      </w:pPr>
      <w:r w:rsidRPr="005A54C3">
        <w:rPr>
          <w:rFonts w:asciiTheme="majorBidi" w:hAnsiTheme="majorBidi" w:cstheme="majorBidi"/>
          <w:sz w:val="22"/>
          <w:szCs w:val="22"/>
        </w:rPr>
        <w:t>*</w:t>
      </w:r>
      <w:r w:rsidRPr="005A54C3">
        <w:rPr>
          <w:rFonts w:asciiTheme="majorBidi" w:hAnsiTheme="majorBidi" w:cstheme="majorBidi"/>
          <w:i/>
          <w:sz w:val="22"/>
          <w:szCs w:val="22"/>
        </w:rPr>
        <w:t xml:space="preserve">p </w:t>
      </w:r>
      <w:r w:rsidRPr="005A54C3">
        <w:rPr>
          <w:rFonts w:asciiTheme="majorBidi" w:hAnsiTheme="majorBidi" w:cstheme="majorBidi"/>
          <w:sz w:val="22"/>
          <w:szCs w:val="22"/>
        </w:rPr>
        <w:t>&lt;.05, **</w:t>
      </w:r>
      <w:r w:rsidRPr="005A54C3">
        <w:rPr>
          <w:rFonts w:asciiTheme="majorBidi" w:hAnsiTheme="majorBidi" w:cstheme="majorBidi"/>
          <w:i/>
          <w:sz w:val="22"/>
          <w:szCs w:val="22"/>
        </w:rPr>
        <w:t xml:space="preserve">p </w:t>
      </w:r>
      <w:r w:rsidRPr="005A54C3">
        <w:rPr>
          <w:rFonts w:asciiTheme="majorBidi" w:hAnsiTheme="majorBidi" w:cstheme="majorBidi"/>
          <w:sz w:val="22"/>
          <w:szCs w:val="22"/>
        </w:rPr>
        <w:t>&lt;.01, ***</w:t>
      </w:r>
      <w:r w:rsidRPr="005A54C3">
        <w:rPr>
          <w:rFonts w:asciiTheme="majorBidi" w:hAnsiTheme="majorBidi" w:cstheme="majorBidi"/>
          <w:i/>
          <w:sz w:val="22"/>
          <w:szCs w:val="22"/>
        </w:rPr>
        <w:t>p</w:t>
      </w:r>
      <w:r w:rsidRPr="005A54C3">
        <w:rPr>
          <w:rFonts w:asciiTheme="majorBidi" w:hAnsiTheme="majorBidi" w:cstheme="majorBidi"/>
          <w:sz w:val="22"/>
          <w:szCs w:val="22"/>
        </w:rPr>
        <w:t xml:space="preserve"> &lt;.001.</w:t>
      </w:r>
    </w:p>
    <w:p w14:paraId="5E29637C" w14:textId="77777777" w:rsidR="00532C03" w:rsidRPr="005A54C3" w:rsidRDefault="00532C03">
      <w:pPr>
        <w:rPr>
          <w:rFonts w:asciiTheme="majorBidi" w:hAnsiTheme="majorBidi" w:cstheme="majorBidi"/>
          <w:i/>
        </w:rPr>
      </w:pPr>
    </w:p>
    <w:p w14:paraId="74DA6489" w14:textId="77777777" w:rsidR="00532C03" w:rsidRPr="005A54C3" w:rsidRDefault="00532C03">
      <w:pPr>
        <w:rPr>
          <w:rFonts w:asciiTheme="majorBidi" w:hAnsiTheme="majorBidi" w:cstheme="majorBidi"/>
        </w:rPr>
      </w:pPr>
    </w:p>
    <w:p w14:paraId="794FC976" w14:textId="77777777" w:rsidR="00532C03" w:rsidRPr="005A54C3" w:rsidRDefault="00532C03">
      <w:pPr>
        <w:rPr>
          <w:rFonts w:asciiTheme="majorBidi" w:hAnsiTheme="majorBidi" w:cstheme="majorBidi"/>
        </w:rPr>
      </w:pPr>
    </w:p>
    <w:p w14:paraId="04F0B114" w14:textId="77777777" w:rsidR="00532C03" w:rsidRPr="005A54C3" w:rsidRDefault="00532C03">
      <w:pPr>
        <w:rPr>
          <w:rFonts w:asciiTheme="majorBidi" w:hAnsiTheme="majorBidi" w:cstheme="majorBidi"/>
        </w:rPr>
      </w:pPr>
    </w:p>
    <w:p w14:paraId="20C5ED76" w14:textId="77777777" w:rsidR="00532C03" w:rsidRPr="005A54C3" w:rsidRDefault="00E8712F">
      <w:pPr>
        <w:pStyle w:val="Heading2"/>
        <w:rPr>
          <w:rFonts w:asciiTheme="majorBidi" w:hAnsiTheme="majorBidi" w:cstheme="majorBidi"/>
        </w:rPr>
      </w:pPr>
      <w:bookmarkStart w:id="12" w:name="_heading=h.jb2aeor715os" w:colFirst="0" w:colLast="0"/>
      <w:bookmarkEnd w:id="12"/>
      <w:r w:rsidRPr="005A54C3">
        <w:rPr>
          <w:rFonts w:asciiTheme="majorBidi" w:hAnsiTheme="majorBidi" w:cstheme="majorBidi"/>
        </w:rPr>
        <w:br w:type="page"/>
      </w:r>
    </w:p>
    <w:p w14:paraId="64338D40" w14:textId="77777777" w:rsidR="00532C03" w:rsidRPr="005A54C3" w:rsidRDefault="00E8712F">
      <w:pPr>
        <w:pStyle w:val="Heading2"/>
        <w:rPr>
          <w:rFonts w:asciiTheme="majorBidi" w:hAnsiTheme="majorBidi" w:cstheme="majorBidi"/>
        </w:rPr>
      </w:pPr>
      <w:bookmarkStart w:id="13" w:name="_heading=h.j9pnhlptbxe8" w:colFirst="0" w:colLast="0"/>
      <w:bookmarkEnd w:id="13"/>
      <w:r w:rsidRPr="005A54C3">
        <w:rPr>
          <w:rFonts w:asciiTheme="majorBidi" w:hAnsiTheme="majorBidi" w:cstheme="majorBidi"/>
        </w:rPr>
        <w:lastRenderedPageBreak/>
        <w:t xml:space="preserve">Table 2 </w:t>
      </w:r>
    </w:p>
    <w:p w14:paraId="28BEB1BC" w14:textId="77777777" w:rsidR="00532C03" w:rsidRPr="005A54C3" w:rsidRDefault="00E8712F">
      <w:pPr>
        <w:rPr>
          <w:rFonts w:asciiTheme="majorBidi" w:hAnsiTheme="majorBidi" w:cstheme="majorBidi"/>
        </w:rPr>
      </w:pPr>
      <w:r w:rsidRPr="005A54C3">
        <w:rPr>
          <w:rFonts w:asciiTheme="majorBidi" w:hAnsiTheme="majorBidi" w:cstheme="majorBidi"/>
          <w:i/>
        </w:rPr>
        <w:t>Distribution of mental and physical diagnoses of the COVID-19+ patients, divided by:  Symptom presentation and Patients referred to hospitalization</w:t>
      </w:r>
    </w:p>
    <w:tbl>
      <w:tblPr>
        <w:tblStyle w:val="af5"/>
        <w:tblW w:w="8931" w:type="dxa"/>
        <w:tblLayout w:type="fixed"/>
        <w:tblLook w:val="0600" w:firstRow="0" w:lastRow="0" w:firstColumn="0" w:lastColumn="0" w:noHBand="1" w:noVBand="1"/>
      </w:tblPr>
      <w:tblGrid>
        <w:gridCol w:w="1485"/>
        <w:gridCol w:w="1035"/>
        <w:gridCol w:w="1260"/>
        <w:gridCol w:w="1182"/>
        <w:gridCol w:w="992"/>
        <w:gridCol w:w="992"/>
        <w:gridCol w:w="1134"/>
        <w:gridCol w:w="851"/>
      </w:tblGrid>
      <w:tr w:rsidR="00B34D8E" w:rsidRPr="005A54C3" w14:paraId="2AD02073" w14:textId="77777777" w:rsidTr="00B34D8E">
        <w:trPr>
          <w:trHeight w:val="561"/>
        </w:trPr>
        <w:tc>
          <w:tcPr>
            <w:tcW w:w="1485" w:type="dxa"/>
            <w:tcBorders>
              <w:top w:val="single" w:sz="4" w:space="0" w:color="auto"/>
            </w:tcBorders>
            <w:vAlign w:val="center"/>
          </w:tcPr>
          <w:p w14:paraId="36B538D6" w14:textId="77777777" w:rsidR="00B34D8E" w:rsidRPr="005A54C3" w:rsidRDefault="00B34D8E" w:rsidP="00A25780">
            <w:pPr>
              <w:spacing w:line="240" w:lineRule="auto"/>
              <w:jc w:val="center"/>
              <w:rPr>
                <w:rFonts w:asciiTheme="majorBidi" w:hAnsiTheme="majorBidi" w:cstheme="majorBidi"/>
                <w:color w:val="212121"/>
              </w:rPr>
            </w:pPr>
          </w:p>
        </w:tc>
        <w:tc>
          <w:tcPr>
            <w:tcW w:w="1035" w:type="dxa"/>
            <w:tcBorders>
              <w:top w:val="single" w:sz="4" w:space="0" w:color="auto"/>
            </w:tcBorders>
            <w:vAlign w:val="center"/>
          </w:tcPr>
          <w:p w14:paraId="615244C7" w14:textId="77777777" w:rsidR="00B34D8E" w:rsidRPr="005A54C3" w:rsidRDefault="00B34D8E" w:rsidP="00A25780">
            <w:pPr>
              <w:spacing w:line="240" w:lineRule="auto"/>
              <w:jc w:val="center"/>
              <w:rPr>
                <w:rFonts w:asciiTheme="majorBidi" w:hAnsiTheme="majorBidi" w:cstheme="majorBidi"/>
                <w:color w:val="212121"/>
              </w:rPr>
            </w:pPr>
          </w:p>
        </w:tc>
        <w:tc>
          <w:tcPr>
            <w:tcW w:w="2442" w:type="dxa"/>
            <w:gridSpan w:val="2"/>
            <w:tcBorders>
              <w:top w:val="single" w:sz="4" w:space="0" w:color="auto"/>
              <w:bottom w:val="single" w:sz="4" w:space="0" w:color="auto"/>
            </w:tcBorders>
            <w:vAlign w:val="center"/>
          </w:tcPr>
          <w:p w14:paraId="2C257ABC" w14:textId="77777777" w:rsidR="00B34D8E" w:rsidRPr="005A54C3" w:rsidRDefault="00B34D8E" w:rsidP="00A25780">
            <w:pPr>
              <w:spacing w:line="240" w:lineRule="auto"/>
              <w:jc w:val="center"/>
              <w:rPr>
                <w:rFonts w:asciiTheme="majorBidi" w:hAnsiTheme="majorBidi" w:cstheme="majorBidi"/>
                <w:color w:val="212121"/>
              </w:rPr>
            </w:pPr>
            <w:r w:rsidRPr="005A54C3">
              <w:rPr>
                <w:rFonts w:asciiTheme="majorBidi" w:hAnsiTheme="majorBidi" w:cstheme="majorBidi"/>
                <w:color w:val="212121"/>
              </w:rPr>
              <w:t>Symptoms</w:t>
            </w:r>
          </w:p>
        </w:tc>
        <w:tc>
          <w:tcPr>
            <w:tcW w:w="992" w:type="dxa"/>
            <w:tcBorders>
              <w:top w:val="single" w:sz="4" w:space="0" w:color="auto"/>
            </w:tcBorders>
            <w:vAlign w:val="center"/>
          </w:tcPr>
          <w:p w14:paraId="34E23C1D" w14:textId="77777777" w:rsidR="00B34D8E" w:rsidRPr="005A54C3" w:rsidRDefault="00B34D8E" w:rsidP="00A25780">
            <w:pPr>
              <w:spacing w:line="240" w:lineRule="auto"/>
              <w:jc w:val="center"/>
              <w:rPr>
                <w:rFonts w:asciiTheme="majorBidi" w:hAnsiTheme="majorBidi" w:cstheme="majorBidi"/>
                <w:color w:val="212121"/>
              </w:rPr>
            </w:pPr>
          </w:p>
        </w:tc>
        <w:tc>
          <w:tcPr>
            <w:tcW w:w="2126" w:type="dxa"/>
            <w:gridSpan w:val="2"/>
            <w:tcBorders>
              <w:top w:val="single" w:sz="4" w:space="0" w:color="auto"/>
              <w:bottom w:val="single" w:sz="4" w:space="0" w:color="auto"/>
            </w:tcBorders>
            <w:vAlign w:val="center"/>
          </w:tcPr>
          <w:p w14:paraId="6628F8C1" w14:textId="77777777" w:rsidR="00B34D8E" w:rsidRPr="005A54C3" w:rsidRDefault="00B34D8E" w:rsidP="00A25780">
            <w:pPr>
              <w:spacing w:line="240" w:lineRule="auto"/>
              <w:jc w:val="center"/>
              <w:rPr>
                <w:rFonts w:asciiTheme="majorBidi" w:hAnsiTheme="majorBidi" w:cstheme="majorBidi"/>
                <w:color w:val="212121"/>
              </w:rPr>
            </w:pPr>
            <w:r w:rsidRPr="005A54C3">
              <w:rPr>
                <w:rFonts w:asciiTheme="majorBidi" w:hAnsiTheme="majorBidi" w:cstheme="majorBidi"/>
                <w:color w:val="212121"/>
              </w:rPr>
              <w:t>Hospitalizations</w:t>
            </w:r>
          </w:p>
        </w:tc>
        <w:tc>
          <w:tcPr>
            <w:tcW w:w="851" w:type="dxa"/>
            <w:tcBorders>
              <w:top w:val="single" w:sz="4" w:space="0" w:color="auto"/>
            </w:tcBorders>
            <w:vAlign w:val="center"/>
          </w:tcPr>
          <w:p w14:paraId="4CDBE43F" w14:textId="77777777" w:rsidR="00B34D8E" w:rsidRPr="005A54C3" w:rsidRDefault="00B34D8E" w:rsidP="00A25780">
            <w:pPr>
              <w:spacing w:line="240" w:lineRule="auto"/>
              <w:jc w:val="center"/>
              <w:rPr>
                <w:rFonts w:asciiTheme="majorBidi" w:hAnsiTheme="majorBidi" w:cstheme="majorBidi"/>
                <w:color w:val="212121"/>
              </w:rPr>
            </w:pPr>
          </w:p>
        </w:tc>
      </w:tr>
      <w:tr w:rsidR="00532C03" w:rsidRPr="005A54C3" w14:paraId="72D28A40" w14:textId="77777777" w:rsidTr="00B34D8E">
        <w:trPr>
          <w:trHeight w:val="563"/>
        </w:trPr>
        <w:tc>
          <w:tcPr>
            <w:tcW w:w="1485" w:type="dxa"/>
            <w:tcBorders>
              <w:bottom w:val="single" w:sz="4" w:space="0" w:color="auto"/>
            </w:tcBorders>
            <w:vAlign w:val="bottom"/>
          </w:tcPr>
          <w:p w14:paraId="0D79B445" w14:textId="77777777" w:rsidR="00532C03" w:rsidRPr="005A54C3" w:rsidRDefault="00532C03" w:rsidP="00A25780">
            <w:pPr>
              <w:spacing w:line="240" w:lineRule="auto"/>
              <w:rPr>
                <w:rFonts w:asciiTheme="majorBidi" w:hAnsiTheme="majorBidi" w:cstheme="majorBidi"/>
                <w:color w:val="212121"/>
              </w:rPr>
            </w:pPr>
          </w:p>
        </w:tc>
        <w:tc>
          <w:tcPr>
            <w:tcW w:w="1035" w:type="dxa"/>
            <w:tcBorders>
              <w:bottom w:val="single" w:sz="4" w:space="0" w:color="auto"/>
            </w:tcBorders>
            <w:vAlign w:val="bottom"/>
          </w:tcPr>
          <w:p w14:paraId="11058267"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Total</w:t>
            </w:r>
          </w:p>
        </w:tc>
        <w:tc>
          <w:tcPr>
            <w:tcW w:w="1260" w:type="dxa"/>
            <w:tcBorders>
              <w:bottom w:val="single" w:sz="4" w:space="0" w:color="auto"/>
            </w:tcBorders>
            <w:vAlign w:val="bottom"/>
          </w:tcPr>
          <w:p w14:paraId="1B6859E6"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Yes</w:t>
            </w:r>
          </w:p>
          <w:p w14:paraId="0D4D940A"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i/>
                <w:color w:val="212121"/>
              </w:rPr>
              <w:t>n</w:t>
            </w:r>
            <w:r w:rsidRPr="005A54C3">
              <w:rPr>
                <w:rFonts w:asciiTheme="majorBidi" w:hAnsiTheme="majorBidi" w:cstheme="majorBidi"/>
                <w:color w:val="212121"/>
              </w:rPr>
              <w:t xml:space="preserve"> (%)</w:t>
            </w:r>
          </w:p>
        </w:tc>
        <w:tc>
          <w:tcPr>
            <w:tcW w:w="1182" w:type="dxa"/>
            <w:tcBorders>
              <w:bottom w:val="single" w:sz="4" w:space="0" w:color="auto"/>
            </w:tcBorders>
            <w:vAlign w:val="bottom"/>
          </w:tcPr>
          <w:p w14:paraId="7435020C"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No</w:t>
            </w:r>
          </w:p>
          <w:p w14:paraId="309C6BF7"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i/>
                <w:color w:val="212121"/>
              </w:rPr>
              <w:t>n</w:t>
            </w:r>
            <w:r w:rsidRPr="005A54C3">
              <w:rPr>
                <w:rFonts w:asciiTheme="majorBidi" w:hAnsiTheme="majorBidi" w:cstheme="majorBidi"/>
                <w:color w:val="212121"/>
              </w:rPr>
              <w:t xml:space="preserve"> (%)</w:t>
            </w:r>
          </w:p>
        </w:tc>
        <w:tc>
          <w:tcPr>
            <w:tcW w:w="992" w:type="dxa"/>
            <w:tcBorders>
              <w:bottom w:val="single" w:sz="4" w:space="0" w:color="auto"/>
            </w:tcBorders>
            <w:vAlign w:val="bottom"/>
          </w:tcPr>
          <w:p w14:paraId="7BE6A1E4" w14:textId="77777777" w:rsidR="00532C03" w:rsidRPr="005A54C3" w:rsidRDefault="00E8712F" w:rsidP="00A25780">
            <w:pPr>
              <w:spacing w:line="240" w:lineRule="auto"/>
              <w:rPr>
                <w:rFonts w:asciiTheme="majorBidi" w:hAnsiTheme="majorBidi" w:cstheme="majorBidi"/>
                <w:i/>
                <w:color w:val="212121"/>
              </w:rPr>
            </w:pPr>
            <w:r w:rsidRPr="005A54C3">
              <w:rPr>
                <w:rFonts w:asciiTheme="majorBidi" w:hAnsiTheme="majorBidi" w:cstheme="majorBidi"/>
                <w:color w:val="212121"/>
              </w:rPr>
              <w:t>χ</w:t>
            </w:r>
            <w:r w:rsidRPr="005A54C3">
              <w:rPr>
                <w:rFonts w:asciiTheme="majorBidi" w:hAnsiTheme="majorBidi" w:cstheme="majorBidi"/>
                <w:color w:val="212121"/>
                <w:vertAlign w:val="superscript"/>
              </w:rPr>
              <w:t>2</w:t>
            </w:r>
          </w:p>
        </w:tc>
        <w:tc>
          <w:tcPr>
            <w:tcW w:w="992" w:type="dxa"/>
            <w:tcBorders>
              <w:bottom w:val="single" w:sz="4" w:space="0" w:color="auto"/>
            </w:tcBorders>
            <w:vAlign w:val="bottom"/>
          </w:tcPr>
          <w:p w14:paraId="59DDACC0"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Yes</w:t>
            </w:r>
          </w:p>
          <w:p w14:paraId="28392495"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i/>
                <w:color w:val="212121"/>
              </w:rPr>
              <w:t>n</w:t>
            </w:r>
            <w:r w:rsidRPr="005A54C3">
              <w:rPr>
                <w:rFonts w:asciiTheme="majorBidi" w:hAnsiTheme="majorBidi" w:cstheme="majorBidi"/>
                <w:color w:val="212121"/>
              </w:rPr>
              <w:t xml:space="preserve"> (%)</w:t>
            </w:r>
          </w:p>
        </w:tc>
        <w:tc>
          <w:tcPr>
            <w:tcW w:w="1134" w:type="dxa"/>
            <w:tcBorders>
              <w:bottom w:val="single" w:sz="4" w:space="0" w:color="auto"/>
            </w:tcBorders>
            <w:vAlign w:val="bottom"/>
          </w:tcPr>
          <w:p w14:paraId="333D3202"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No</w:t>
            </w:r>
          </w:p>
          <w:p w14:paraId="4DB45450"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i/>
                <w:color w:val="212121"/>
              </w:rPr>
              <w:t>n</w:t>
            </w:r>
            <w:r w:rsidRPr="005A54C3">
              <w:rPr>
                <w:rFonts w:asciiTheme="majorBidi" w:hAnsiTheme="majorBidi" w:cstheme="majorBidi"/>
                <w:color w:val="212121"/>
              </w:rPr>
              <w:t xml:space="preserve"> (%)</w:t>
            </w:r>
          </w:p>
        </w:tc>
        <w:tc>
          <w:tcPr>
            <w:tcW w:w="851" w:type="dxa"/>
            <w:tcBorders>
              <w:bottom w:val="single" w:sz="4" w:space="0" w:color="auto"/>
            </w:tcBorders>
            <w:vAlign w:val="bottom"/>
          </w:tcPr>
          <w:p w14:paraId="1A1355E2" w14:textId="77777777" w:rsidR="00532C03" w:rsidRPr="005A54C3" w:rsidRDefault="00E8712F" w:rsidP="00A25780">
            <w:pPr>
              <w:spacing w:line="240" w:lineRule="auto"/>
              <w:rPr>
                <w:rFonts w:asciiTheme="majorBidi" w:hAnsiTheme="majorBidi" w:cstheme="majorBidi"/>
                <w:i/>
                <w:color w:val="212121"/>
              </w:rPr>
            </w:pPr>
            <w:r w:rsidRPr="005A54C3">
              <w:rPr>
                <w:rFonts w:asciiTheme="majorBidi" w:hAnsiTheme="majorBidi" w:cstheme="majorBidi"/>
                <w:color w:val="212121"/>
              </w:rPr>
              <w:t>χ</w:t>
            </w:r>
            <w:r w:rsidRPr="005A54C3">
              <w:rPr>
                <w:rFonts w:asciiTheme="majorBidi" w:hAnsiTheme="majorBidi" w:cstheme="majorBidi"/>
                <w:color w:val="212121"/>
                <w:vertAlign w:val="superscript"/>
              </w:rPr>
              <w:t>2</w:t>
            </w:r>
          </w:p>
        </w:tc>
      </w:tr>
      <w:tr w:rsidR="00532C03" w:rsidRPr="005A54C3" w14:paraId="6254BE62" w14:textId="77777777" w:rsidTr="00B34D8E">
        <w:trPr>
          <w:trHeight w:val="470"/>
        </w:trPr>
        <w:tc>
          <w:tcPr>
            <w:tcW w:w="1485" w:type="dxa"/>
            <w:tcBorders>
              <w:top w:val="single" w:sz="4" w:space="0" w:color="auto"/>
            </w:tcBorders>
            <w:vAlign w:val="center"/>
          </w:tcPr>
          <w:p w14:paraId="120EC093"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n (%)</w:t>
            </w:r>
          </w:p>
        </w:tc>
        <w:tc>
          <w:tcPr>
            <w:tcW w:w="1035" w:type="dxa"/>
            <w:tcBorders>
              <w:top w:val="single" w:sz="4" w:space="0" w:color="auto"/>
            </w:tcBorders>
            <w:vAlign w:val="center"/>
          </w:tcPr>
          <w:p w14:paraId="5AFE7CAD" w14:textId="77777777" w:rsidR="00532C03" w:rsidRPr="005A54C3" w:rsidRDefault="00E8712F" w:rsidP="00A25780">
            <w:pPr>
              <w:spacing w:line="240" w:lineRule="auto"/>
              <w:ind w:left="33"/>
              <w:rPr>
                <w:rFonts w:asciiTheme="majorBidi" w:hAnsiTheme="majorBidi" w:cstheme="majorBidi"/>
                <w:color w:val="212121"/>
                <w:sz w:val="22"/>
                <w:szCs w:val="22"/>
              </w:rPr>
            </w:pPr>
            <w:r w:rsidRPr="005A54C3">
              <w:rPr>
                <w:rFonts w:asciiTheme="majorBidi" w:hAnsiTheme="majorBidi" w:cstheme="majorBidi"/>
                <w:color w:val="212121"/>
                <w:sz w:val="22"/>
                <w:szCs w:val="22"/>
              </w:rPr>
              <w:t>1870</w:t>
            </w:r>
          </w:p>
        </w:tc>
        <w:tc>
          <w:tcPr>
            <w:tcW w:w="1260" w:type="dxa"/>
            <w:tcBorders>
              <w:top w:val="single" w:sz="4" w:space="0" w:color="auto"/>
            </w:tcBorders>
            <w:vAlign w:val="center"/>
          </w:tcPr>
          <w:p w14:paraId="7001D84E" w14:textId="77777777" w:rsidR="00532C03" w:rsidRPr="005A54C3" w:rsidRDefault="00E8712F" w:rsidP="00A25780">
            <w:pPr>
              <w:spacing w:line="240" w:lineRule="auto"/>
              <w:ind w:left="33"/>
              <w:rPr>
                <w:rFonts w:asciiTheme="majorBidi" w:hAnsiTheme="majorBidi" w:cstheme="majorBidi"/>
                <w:color w:val="212121"/>
                <w:sz w:val="22"/>
                <w:szCs w:val="22"/>
              </w:rPr>
            </w:pPr>
            <w:r w:rsidRPr="005A54C3">
              <w:rPr>
                <w:rFonts w:asciiTheme="majorBidi" w:hAnsiTheme="majorBidi" w:cstheme="majorBidi"/>
                <w:color w:val="212121"/>
                <w:sz w:val="22"/>
                <w:szCs w:val="22"/>
              </w:rPr>
              <w:t>737 (39.4)</w:t>
            </w:r>
          </w:p>
        </w:tc>
        <w:tc>
          <w:tcPr>
            <w:tcW w:w="1182" w:type="dxa"/>
            <w:tcBorders>
              <w:top w:val="single" w:sz="4" w:space="0" w:color="auto"/>
            </w:tcBorders>
            <w:vAlign w:val="center"/>
          </w:tcPr>
          <w:p w14:paraId="11D411EA" w14:textId="77777777" w:rsidR="00532C03" w:rsidRPr="005A54C3" w:rsidRDefault="00E8712F" w:rsidP="00A25780">
            <w:pPr>
              <w:spacing w:line="240" w:lineRule="auto"/>
              <w:ind w:left="34"/>
              <w:rPr>
                <w:rFonts w:asciiTheme="majorBidi" w:hAnsiTheme="majorBidi" w:cstheme="majorBidi"/>
                <w:color w:val="212121"/>
                <w:sz w:val="22"/>
                <w:szCs w:val="22"/>
              </w:rPr>
            </w:pPr>
            <w:r w:rsidRPr="005A54C3">
              <w:rPr>
                <w:rFonts w:asciiTheme="majorBidi" w:hAnsiTheme="majorBidi" w:cstheme="majorBidi"/>
                <w:color w:val="212121"/>
                <w:sz w:val="22"/>
                <w:szCs w:val="22"/>
              </w:rPr>
              <w:t>1133 (60.6)</w:t>
            </w:r>
          </w:p>
        </w:tc>
        <w:tc>
          <w:tcPr>
            <w:tcW w:w="992" w:type="dxa"/>
            <w:tcBorders>
              <w:top w:val="single" w:sz="4" w:space="0" w:color="auto"/>
            </w:tcBorders>
            <w:vAlign w:val="center"/>
          </w:tcPr>
          <w:p w14:paraId="0FBFEEF0" w14:textId="77777777" w:rsidR="00532C03" w:rsidRPr="005A54C3" w:rsidRDefault="00532C03" w:rsidP="00A25780">
            <w:pPr>
              <w:spacing w:line="240" w:lineRule="auto"/>
              <w:ind w:left="34"/>
              <w:rPr>
                <w:rFonts w:asciiTheme="majorBidi" w:hAnsiTheme="majorBidi" w:cstheme="majorBidi"/>
                <w:color w:val="212121"/>
                <w:sz w:val="22"/>
                <w:szCs w:val="22"/>
              </w:rPr>
            </w:pPr>
          </w:p>
        </w:tc>
        <w:tc>
          <w:tcPr>
            <w:tcW w:w="992" w:type="dxa"/>
            <w:tcBorders>
              <w:top w:val="single" w:sz="4" w:space="0" w:color="auto"/>
            </w:tcBorders>
            <w:vAlign w:val="center"/>
          </w:tcPr>
          <w:p w14:paraId="513E381D"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117 (6.3)</w:t>
            </w:r>
          </w:p>
        </w:tc>
        <w:tc>
          <w:tcPr>
            <w:tcW w:w="1134" w:type="dxa"/>
            <w:tcBorders>
              <w:top w:val="single" w:sz="4" w:space="0" w:color="auto"/>
            </w:tcBorders>
            <w:vAlign w:val="center"/>
          </w:tcPr>
          <w:p w14:paraId="5AFBA2F3"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1753 (93.7)</w:t>
            </w:r>
          </w:p>
        </w:tc>
        <w:tc>
          <w:tcPr>
            <w:tcW w:w="851" w:type="dxa"/>
            <w:tcBorders>
              <w:top w:val="single" w:sz="4" w:space="0" w:color="auto"/>
            </w:tcBorders>
            <w:vAlign w:val="center"/>
          </w:tcPr>
          <w:p w14:paraId="02A72C22" w14:textId="77777777" w:rsidR="00532C03" w:rsidRPr="005A54C3" w:rsidRDefault="00532C03" w:rsidP="00A25780">
            <w:pPr>
              <w:spacing w:line="240" w:lineRule="auto"/>
              <w:rPr>
                <w:rFonts w:asciiTheme="majorBidi" w:hAnsiTheme="majorBidi" w:cstheme="majorBidi"/>
                <w:color w:val="212121"/>
                <w:sz w:val="22"/>
                <w:szCs w:val="22"/>
              </w:rPr>
            </w:pPr>
          </w:p>
        </w:tc>
      </w:tr>
      <w:tr w:rsidR="00532C03" w:rsidRPr="005A54C3" w14:paraId="0EE382B0" w14:textId="77777777" w:rsidTr="00B34D8E">
        <w:trPr>
          <w:trHeight w:val="495"/>
        </w:trPr>
        <w:tc>
          <w:tcPr>
            <w:tcW w:w="1485" w:type="dxa"/>
            <w:vAlign w:val="center"/>
          </w:tcPr>
          <w:p w14:paraId="6818B1FC"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ADHD</w:t>
            </w:r>
          </w:p>
        </w:tc>
        <w:tc>
          <w:tcPr>
            <w:tcW w:w="1035" w:type="dxa"/>
            <w:vAlign w:val="center"/>
          </w:tcPr>
          <w:p w14:paraId="1670EF1C"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231 (12.4)</w:t>
            </w:r>
          </w:p>
        </w:tc>
        <w:tc>
          <w:tcPr>
            <w:tcW w:w="1260" w:type="dxa"/>
            <w:vAlign w:val="center"/>
          </w:tcPr>
          <w:p w14:paraId="0591C17E"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105 (14.2)</w:t>
            </w:r>
          </w:p>
        </w:tc>
        <w:tc>
          <w:tcPr>
            <w:tcW w:w="1182" w:type="dxa"/>
            <w:vAlign w:val="center"/>
          </w:tcPr>
          <w:p w14:paraId="43B8BAB7"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126 (11.1)</w:t>
            </w:r>
          </w:p>
        </w:tc>
        <w:tc>
          <w:tcPr>
            <w:tcW w:w="992" w:type="dxa"/>
            <w:vAlign w:val="center"/>
          </w:tcPr>
          <w:p w14:paraId="20DFE44F" w14:textId="77777777" w:rsidR="00532C03" w:rsidRPr="005A54C3" w:rsidRDefault="00E8712F" w:rsidP="00A25780">
            <w:pPr>
              <w:spacing w:line="240" w:lineRule="auto"/>
              <w:ind w:left="34"/>
              <w:rPr>
                <w:rFonts w:asciiTheme="majorBidi" w:hAnsiTheme="majorBidi" w:cstheme="majorBidi"/>
                <w:color w:val="212121"/>
                <w:sz w:val="22"/>
                <w:szCs w:val="22"/>
              </w:rPr>
            </w:pPr>
            <w:r w:rsidRPr="005A54C3">
              <w:rPr>
                <w:rFonts w:asciiTheme="majorBidi" w:hAnsiTheme="majorBidi" w:cstheme="majorBidi"/>
                <w:color w:val="212121"/>
                <w:sz w:val="22"/>
                <w:szCs w:val="22"/>
              </w:rPr>
              <w:t>-2.01*</w:t>
            </w:r>
          </w:p>
        </w:tc>
        <w:tc>
          <w:tcPr>
            <w:tcW w:w="992" w:type="dxa"/>
            <w:vAlign w:val="center"/>
          </w:tcPr>
          <w:p w14:paraId="48467EC5"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22 (18.8)</w:t>
            </w:r>
          </w:p>
        </w:tc>
        <w:tc>
          <w:tcPr>
            <w:tcW w:w="1134" w:type="dxa"/>
            <w:vAlign w:val="center"/>
          </w:tcPr>
          <w:p w14:paraId="537A1DC3"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209 (11.9)</w:t>
            </w:r>
          </w:p>
        </w:tc>
        <w:tc>
          <w:tcPr>
            <w:tcW w:w="851" w:type="dxa"/>
            <w:vAlign w:val="center"/>
          </w:tcPr>
          <w:p w14:paraId="0ED4A5A6" w14:textId="77777777" w:rsidR="00532C03" w:rsidRPr="005A54C3" w:rsidRDefault="00E8712F" w:rsidP="00A25780">
            <w:pPr>
              <w:spacing w:line="240" w:lineRule="auto"/>
              <w:ind w:left="34"/>
              <w:rPr>
                <w:rFonts w:asciiTheme="majorBidi" w:hAnsiTheme="majorBidi" w:cstheme="majorBidi"/>
                <w:color w:val="212121"/>
                <w:sz w:val="22"/>
                <w:szCs w:val="22"/>
              </w:rPr>
            </w:pPr>
            <w:r w:rsidRPr="005A54C3">
              <w:rPr>
                <w:rFonts w:asciiTheme="majorBidi" w:hAnsiTheme="majorBidi" w:cstheme="majorBidi"/>
                <w:color w:val="212121"/>
                <w:sz w:val="22"/>
                <w:szCs w:val="22"/>
              </w:rPr>
              <w:t>-2.19*</w:t>
            </w:r>
          </w:p>
        </w:tc>
      </w:tr>
      <w:tr w:rsidR="00532C03" w:rsidRPr="005A54C3" w14:paraId="7423BCA3" w14:textId="77777777" w:rsidTr="00B34D8E">
        <w:trPr>
          <w:trHeight w:val="57"/>
        </w:trPr>
        <w:tc>
          <w:tcPr>
            <w:tcW w:w="1485" w:type="dxa"/>
            <w:vAlign w:val="center"/>
          </w:tcPr>
          <w:p w14:paraId="491941F3"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Depression/</w:t>
            </w:r>
          </w:p>
          <w:p w14:paraId="6903E0F7"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anxiety</w:t>
            </w:r>
          </w:p>
        </w:tc>
        <w:tc>
          <w:tcPr>
            <w:tcW w:w="1035" w:type="dxa"/>
            <w:vAlign w:val="center"/>
          </w:tcPr>
          <w:p w14:paraId="54DA4DD4"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42 (2.2)</w:t>
            </w:r>
          </w:p>
        </w:tc>
        <w:tc>
          <w:tcPr>
            <w:tcW w:w="1260" w:type="dxa"/>
            <w:vAlign w:val="center"/>
          </w:tcPr>
          <w:p w14:paraId="55E89FA5"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22 (2.3)</w:t>
            </w:r>
          </w:p>
        </w:tc>
        <w:tc>
          <w:tcPr>
            <w:tcW w:w="1182" w:type="dxa"/>
            <w:vAlign w:val="center"/>
          </w:tcPr>
          <w:p w14:paraId="584170C8"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20 (1.8)</w:t>
            </w:r>
          </w:p>
        </w:tc>
        <w:tc>
          <w:tcPr>
            <w:tcW w:w="992" w:type="dxa"/>
            <w:vAlign w:val="center"/>
          </w:tcPr>
          <w:p w14:paraId="61907B73" w14:textId="77777777" w:rsidR="00532C03" w:rsidRPr="005A54C3" w:rsidRDefault="00E8712F" w:rsidP="00A25780">
            <w:pPr>
              <w:spacing w:line="240" w:lineRule="auto"/>
              <w:ind w:left="34"/>
              <w:rPr>
                <w:rFonts w:asciiTheme="majorBidi" w:hAnsiTheme="majorBidi" w:cstheme="majorBidi"/>
                <w:color w:val="212121"/>
                <w:sz w:val="22"/>
                <w:szCs w:val="22"/>
              </w:rPr>
            </w:pPr>
            <w:r w:rsidRPr="005A54C3">
              <w:rPr>
                <w:rFonts w:asciiTheme="majorBidi" w:hAnsiTheme="majorBidi" w:cstheme="majorBidi"/>
                <w:color w:val="212121"/>
                <w:sz w:val="22"/>
                <w:szCs w:val="22"/>
              </w:rPr>
              <w:t>-1.74</w:t>
            </w:r>
          </w:p>
        </w:tc>
        <w:tc>
          <w:tcPr>
            <w:tcW w:w="992" w:type="dxa"/>
            <w:vAlign w:val="center"/>
          </w:tcPr>
          <w:p w14:paraId="7EDCDFF6"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7 (6.0)</w:t>
            </w:r>
          </w:p>
        </w:tc>
        <w:tc>
          <w:tcPr>
            <w:tcW w:w="1134" w:type="dxa"/>
            <w:vAlign w:val="center"/>
          </w:tcPr>
          <w:p w14:paraId="7A88E3DD"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35 (2.0)</w:t>
            </w:r>
          </w:p>
        </w:tc>
        <w:tc>
          <w:tcPr>
            <w:tcW w:w="851" w:type="dxa"/>
            <w:vAlign w:val="center"/>
          </w:tcPr>
          <w:p w14:paraId="709A8D18" w14:textId="77777777" w:rsidR="00532C03" w:rsidRPr="005A54C3" w:rsidRDefault="00E8712F" w:rsidP="00A25780">
            <w:pPr>
              <w:spacing w:before="240" w:after="240"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-2.82**</w:t>
            </w:r>
          </w:p>
        </w:tc>
      </w:tr>
      <w:tr w:rsidR="00532C03" w:rsidRPr="005A54C3" w14:paraId="4C9A937C" w14:textId="77777777" w:rsidTr="00B34D8E">
        <w:trPr>
          <w:trHeight w:val="57"/>
        </w:trPr>
        <w:tc>
          <w:tcPr>
            <w:tcW w:w="1485" w:type="dxa"/>
            <w:vAlign w:val="center"/>
          </w:tcPr>
          <w:p w14:paraId="1A08C136"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Schizophrenia</w:t>
            </w:r>
          </w:p>
        </w:tc>
        <w:tc>
          <w:tcPr>
            <w:tcW w:w="1035" w:type="dxa"/>
            <w:vAlign w:val="center"/>
          </w:tcPr>
          <w:p w14:paraId="5CE9022B"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23 (1.2)</w:t>
            </w:r>
          </w:p>
        </w:tc>
        <w:tc>
          <w:tcPr>
            <w:tcW w:w="1260" w:type="dxa"/>
            <w:vAlign w:val="center"/>
          </w:tcPr>
          <w:p w14:paraId="72050562"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15 (2.0)</w:t>
            </w:r>
          </w:p>
        </w:tc>
        <w:tc>
          <w:tcPr>
            <w:tcW w:w="1182" w:type="dxa"/>
            <w:vAlign w:val="center"/>
          </w:tcPr>
          <w:p w14:paraId="45AC71AB"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8 (0.7)</w:t>
            </w:r>
          </w:p>
        </w:tc>
        <w:tc>
          <w:tcPr>
            <w:tcW w:w="992" w:type="dxa"/>
            <w:vAlign w:val="center"/>
          </w:tcPr>
          <w:p w14:paraId="03918AB6" w14:textId="77777777" w:rsidR="00532C03" w:rsidRPr="005A54C3" w:rsidRDefault="00E8712F" w:rsidP="00A25780">
            <w:pPr>
              <w:spacing w:line="240" w:lineRule="auto"/>
              <w:ind w:left="34"/>
              <w:rPr>
                <w:rFonts w:asciiTheme="majorBidi" w:hAnsiTheme="majorBidi" w:cstheme="majorBidi"/>
                <w:color w:val="212121"/>
                <w:sz w:val="22"/>
                <w:szCs w:val="22"/>
              </w:rPr>
            </w:pPr>
            <w:r w:rsidRPr="005A54C3">
              <w:rPr>
                <w:rFonts w:asciiTheme="majorBidi" w:hAnsiTheme="majorBidi" w:cstheme="majorBidi"/>
                <w:color w:val="212121"/>
                <w:sz w:val="22"/>
                <w:szCs w:val="22"/>
              </w:rPr>
              <w:t>-2.55*</w:t>
            </w:r>
          </w:p>
        </w:tc>
        <w:tc>
          <w:tcPr>
            <w:tcW w:w="992" w:type="dxa"/>
            <w:vAlign w:val="center"/>
          </w:tcPr>
          <w:p w14:paraId="01831694"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5 (4.3)</w:t>
            </w:r>
          </w:p>
        </w:tc>
        <w:tc>
          <w:tcPr>
            <w:tcW w:w="1134" w:type="dxa"/>
            <w:vAlign w:val="center"/>
          </w:tcPr>
          <w:p w14:paraId="1D05D08F"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18 (1.0)</w:t>
            </w:r>
          </w:p>
        </w:tc>
        <w:tc>
          <w:tcPr>
            <w:tcW w:w="851" w:type="dxa"/>
            <w:vAlign w:val="center"/>
          </w:tcPr>
          <w:p w14:paraId="031EB88C" w14:textId="77777777" w:rsidR="00532C03" w:rsidRPr="005A54C3" w:rsidRDefault="00E8712F" w:rsidP="00A25780">
            <w:pPr>
              <w:spacing w:before="240" w:after="240"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-3.09**</w:t>
            </w:r>
          </w:p>
        </w:tc>
      </w:tr>
      <w:tr w:rsidR="00532C03" w:rsidRPr="005A54C3" w14:paraId="74FA3308" w14:textId="77777777" w:rsidTr="00B34D8E">
        <w:trPr>
          <w:trHeight w:val="57"/>
        </w:trPr>
        <w:tc>
          <w:tcPr>
            <w:tcW w:w="1485" w:type="dxa"/>
            <w:vAlign w:val="center"/>
          </w:tcPr>
          <w:p w14:paraId="6118DC38"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 xml:space="preserve">Obesity </w:t>
            </w:r>
          </w:p>
        </w:tc>
        <w:tc>
          <w:tcPr>
            <w:tcW w:w="1035" w:type="dxa"/>
            <w:vAlign w:val="center"/>
          </w:tcPr>
          <w:p w14:paraId="11C5332D"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330(17.6)</w:t>
            </w:r>
          </w:p>
        </w:tc>
        <w:tc>
          <w:tcPr>
            <w:tcW w:w="1260" w:type="dxa"/>
            <w:vAlign w:val="center"/>
          </w:tcPr>
          <w:p w14:paraId="55490F3A"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166 (22.5)</w:t>
            </w:r>
          </w:p>
        </w:tc>
        <w:tc>
          <w:tcPr>
            <w:tcW w:w="1182" w:type="dxa"/>
            <w:vAlign w:val="center"/>
          </w:tcPr>
          <w:p w14:paraId="6EDA01A7"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164 (14.5)</w:t>
            </w:r>
          </w:p>
        </w:tc>
        <w:tc>
          <w:tcPr>
            <w:tcW w:w="992" w:type="dxa"/>
            <w:vAlign w:val="center"/>
          </w:tcPr>
          <w:p w14:paraId="3C7E5EDA" w14:textId="77777777" w:rsidR="00532C03" w:rsidRPr="005A54C3" w:rsidRDefault="00E8712F" w:rsidP="00A25780">
            <w:pPr>
              <w:spacing w:line="240" w:lineRule="auto"/>
              <w:ind w:left="34"/>
              <w:rPr>
                <w:rFonts w:asciiTheme="majorBidi" w:hAnsiTheme="majorBidi" w:cstheme="majorBidi"/>
                <w:color w:val="212121"/>
                <w:sz w:val="22"/>
                <w:szCs w:val="22"/>
              </w:rPr>
            </w:pPr>
            <w:r w:rsidRPr="005A54C3">
              <w:rPr>
                <w:rFonts w:asciiTheme="majorBidi" w:hAnsiTheme="majorBidi" w:cstheme="majorBidi"/>
                <w:color w:val="212121"/>
                <w:sz w:val="22"/>
                <w:szCs w:val="22"/>
              </w:rPr>
              <w:t>-4.25***</w:t>
            </w:r>
          </w:p>
        </w:tc>
        <w:tc>
          <w:tcPr>
            <w:tcW w:w="992" w:type="dxa"/>
            <w:vAlign w:val="center"/>
          </w:tcPr>
          <w:p w14:paraId="57099C59"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 xml:space="preserve">31(26.5) </w:t>
            </w:r>
          </w:p>
        </w:tc>
        <w:tc>
          <w:tcPr>
            <w:tcW w:w="1134" w:type="dxa"/>
            <w:vAlign w:val="center"/>
          </w:tcPr>
          <w:p w14:paraId="26BFE34B"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 xml:space="preserve">299(17.1) </w:t>
            </w:r>
          </w:p>
        </w:tc>
        <w:tc>
          <w:tcPr>
            <w:tcW w:w="851" w:type="dxa"/>
            <w:vAlign w:val="center"/>
          </w:tcPr>
          <w:p w14:paraId="2A7F695F" w14:textId="77777777" w:rsidR="00532C03" w:rsidRPr="005A54C3" w:rsidRDefault="00E8712F" w:rsidP="00A25780">
            <w:pPr>
              <w:spacing w:before="240" w:after="240"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-2.15**</w:t>
            </w:r>
          </w:p>
        </w:tc>
      </w:tr>
      <w:tr w:rsidR="00532C03" w:rsidRPr="005A54C3" w14:paraId="38AAC3D9" w14:textId="77777777" w:rsidTr="00B34D8E">
        <w:trPr>
          <w:trHeight w:val="57"/>
        </w:trPr>
        <w:tc>
          <w:tcPr>
            <w:tcW w:w="1485" w:type="dxa"/>
            <w:vAlign w:val="center"/>
          </w:tcPr>
          <w:p w14:paraId="3D84ABB9"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Diabetes Mellitus</w:t>
            </w:r>
          </w:p>
        </w:tc>
        <w:tc>
          <w:tcPr>
            <w:tcW w:w="1035" w:type="dxa"/>
            <w:vAlign w:val="center"/>
          </w:tcPr>
          <w:p w14:paraId="25BCAEC0"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82 (4.4)</w:t>
            </w:r>
          </w:p>
        </w:tc>
        <w:tc>
          <w:tcPr>
            <w:tcW w:w="1260" w:type="dxa"/>
            <w:vAlign w:val="center"/>
          </w:tcPr>
          <w:p w14:paraId="5288CDB9"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52 (7.1)</w:t>
            </w:r>
          </w:p>
        </w:tc>
        <w:tc>
          <w:tcPr>
            <w:tcW w:w="1182" w:type="dxa"/>
            <w:vAlign w:val="center"/>
          </w:tcPr>
          <w:p w14:paraId="6549011B"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30 (2.6)</w:t>
            </w:r>
          </w:p>
        </w:tc>
        <w:tc>
          <w:tcPr>
            <w:tcW w:w="992" w:type="dxa"/>
            <w:vAlign w:val="center"/>
          </w:tcPr>
          <w:p w14:paraId="3CBC4CEA" w14:textId="77777777" w:rsidR="00532C03" w:rsidRPr="005A54C3" w:rsidRDefault="00E8712F" w:rsidP="00A25780">
            <w:pPr>
              <w:spacing w:line="240" w:lineRule="auto"/>
              <w:ind w:left="34"/>
              <w:rPr>
                <w:rFonts w:asciiTheme="majorBidi" w:hAnsiTheme="majorBidi" w:cstheme="majorBidi"/>
                <w:color w:val="212121"/>
                <w:sz w:val="22"/>
                <w:szCs w:val="22"/>
              </w:rPr>
            </w:pPr>
            <w:r w:rsidRPr="005A54C3">
              <w:rPr>
                <w:rFonts w:asciiTheme="majorBidi" w:hAnsiTheme="majorBidi" w:cstheme="majorBidi"/>
                <w:color w:val="212121"/>
                <w:sz w:val="22"/>
                <w:szCs w:val="22"/>
              </w:rPr>
              <w:t>-4.55***</w:t>
            </w:r>
          </w:p>
        </w:tc>
        <w:tc>
          <w:tcPr>
            <w:tcW w:w="992" w:type="dxa"/>
            <w:vAlign w:val="center"/>
          </w:tcPr>
          <w:p w14:paraId="1EDF7A43"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18 (15.4)</w:t>
            </w:r>
          </w:p>
        </w:tc>
        <w:tc>
          <w:tcPr>
            <w:tcW w:w="1134" w:type="dxa"/>
            <w:vAlign w:val="center"/>
          </w:tcPr>
          <w:p w14:paraId="7E621A3A"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64 (3.7)</w:t>
            </w:r>
          </w:p>
        </w:tc>
        <w:tc>
          <w:tcPr>
            <w:tcW w:w="851" w:type="dxa"/>
            <w:vAlign w:val="center"/>
          </w:tcPr>
          <w:p w14:paraId="149524A0" w14:textId="77777777" w:rsidR="00532C03" w:rsidRPr="005A54C3" w:rsidRDefault="00E8712F" w:rsidP="00A25780">
            <w:pPr>
              <w:spacing w:before="240" w:after="240"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-6.00***</w:t>
            </w:r>
          </w:p>
        </w:tc>
      </w:tr>
      <w:tr w:rsidR="00532C03" w:rsidRPr="005A54C3" w14:paraId="3F524335" w14:textId="77777777" w:rsidTr="00B34D8E">
        <w:trPr>
          <w:trHeight w:val="57"/>
        </w:trPr>
        <w:tc>
          <w:tcPr>
            <w:tcW w:w="1485" w:type="dxa"/>
            <w:vAlign w:val="center"/>
          </w:tcPr>
          <w:p w14:paraId="0A283EBE"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Hypertension</w:t>
            </w:r>
          </w:p>
        </w:tc>
        <w:tc>
          <w:tcPr>
            <w:tcW w:w="1035" w:type="dxa"/>
            <w:vAlign w:val="center"/>
          </w:tcPr>
          <w:p w14:paraId="44FBA982"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102 (5.5)</w:t>
            </w:r>
          </w:p>
        </w:tc>
        <w:tc>
          <w:tcPr>
            <w:tcW w:w="1260" w:type="dxa"/>
            <w:vAlign w:val="center"/>
          </w:tcPr>
          <w:p w14:paraId="05A2B9B2"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55 (7.5)</w:t>
            </w:r>
          </w:p>
        </w:tc>
        <w:tc>
          <w:tcPr>
            <w:tcW w:w="1182" w:type="dxa"/>
            <w:vAlign w:val="center"/>
          </w:tcPr>
          <w:p w14:paraId="4EBA907E"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47 (4.1)</w:t>
            </w:r>
          </w:p>
        </w:tc>
        <w:tc>
          <w:tcPr>
            <w:tcW w:w="992" w:type="dxa"/>
            <w:vAlign w:val="center"/>
          </w:tcPr>
          <w:p w14:paraId="66461FC4" w14:textId="77777777" w:rsidR="00532C03" w:rsidRPr="005A54C3" w:rsidRDefault="00E8712F" w:rsidP="00A25780">
            <w:pPr>
              <w:spacing w:line="240" w:lineRule="auto"/>
              <w:ind w:left="34"/>
              <w:rPr>
                <w:rFonts w:asciiTheme="majorBidi" w:hAnsiTheme="majorBidi" w:cstheme="majorBidi"/>
                <w:color w:val="212121"/>
                <w:sz w:val="22"/>
                <w:szCs w:val="22"/>
              </w:rPr>
            </w:pPr>
            <w:r w:rsidRPr="005A54C3">
              <w:rPr>
                <w:rFonts w:asciiTheme="majorBidi" w:hAnsiTheme="majorBidi" w:cstheme="majorBidi"/>
                <w:color w:val="212121"/>
                <w:sz w:val="22"/>
                <w:szCs w:val="22"/>
              </w:rPr>
              <w:t>-3.08**</w:t>
            </w:r>
          </w:p>
        </w:tc>
        <w:tc>
          <w:tcPr>
            <w:tcW w:w="992" w:type="dxa"/>
            <w:vAlign w:val="center"/>
          </w:tcPr>
          <w:p w14:paraId="2B3D94EC"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15 (12.8)</w:t>
            </w:r>
          </w:p>
        </w:tc>
        <w:tc>
          <w:tcPr>
            <w:tcW w:w="1134" w:type="dxa"/>
            <w:vAlign w:val="center"/>
          </w:tcPr>
          <w:p w14:paraId="7486D8BB"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87 (5.0)</w:t>
            </w:r>
          </w:p>
        </w:tc>
        <w:tc>
          <w:tcPr>
            <w:tcW w:w="851" w:type="dxa"/>
            <w:vAlign w:val="center"/>
          </w:tcPr>
          <w:p w14:paraId="74356435" w14:textId="77777777" w:rsidR="00532C03" w:rsidRPr="005A54C3" w:rsidRDefault="00E8712F" w:rsidP="00A25780">
            <w:pPr>
              <w:spacing w:before="240" w:after="240"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-3.62***</w:t>
            </w:r>
          </w:p>
        </w:tc>
      </w:tr>
      <w:tr w:rsidR="00532C03" w:rsidRPr="005A54C3" w14:paraId="404FE93F" w14:textId="77777777" w:rsidTr="00B34D8E">
        <w:trPr>
          <w:trHeight w:val="57"/>
        </w:trPr>
        <w:tc>
          <w:tcPr>
            <w:tcW w:w="1485" w:type="dxa"/>
            <w:vAlign w:val="center"/>
          </w:tcPr>
          <w:p w14:paraId="51E92F21"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CVD</w:t>
            </w:r>
          </w:p>
        </w:tc>
        <w:tc>
          <w:tcPr>
            <w:tcW w:w="1035" w:type="dxa"/>
            <w:vAlign w:val="center"/>
          </w:tcPr>
          <w:p w14:paraId="79C1EDE2"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53 (2.2)</w:t>
            </w:r>
          </w:p>
        </w:tc>
        <w:tc>
          <w:tcPr>
            <w:tcW w:w="1260" w:type="dxa"/>
            <w:vAlign w:val="center"/>
          </w:tcPr>
          <w:p w14:paraId="1FD002B2"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33 (4.2)</w:t>
            </w:r>
          </w:p>
        </w:tc>
        <w:tc>
          <w:tcPr>
            <w:tcW w:w="1182" w:type="dxa"/>
            <w:vAlign w:val="center"/>
          </w:tcPr>
          <w:p w14:paraId="0A04296E"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20 (1.8)</w:t>
            </w:r>
          </w:p>
        </w:tc>
        <w:tc>
          <w:tcPr>
            <w:tcW w:w="992" w:type="dxa"/>
            <w:vAlign w:val="center"/>
          </w:tcPr>
          <w:p w14:paraId="5CB60E5E" w14:textId="77777777" w:rsidR="00532C03" w:rsidRPr="005A54C3" w:rsidRDefault="00E8712F" w:rsidP="00A25780">
            <w:pPr>
              <w:spacing w:line="240" w:lineRule="auto"/>
              <w:ind w:left="34"/>
              <w:rPr>
                <w:rFonts w:asciiTheme="majorBidi" w:hAnsiTheme="majorBidi" w:cstheme="majorBidi"/>
                <w:color w:val="212121"/>
                <w:sz w:val="22"/>
                <w:szCs w:val="22"/>
              </w:rPr>
            </w:pPr>
            <w:r w:rsidRPr="005A54C3">
              <w:rPr>
                <w:rFonts w:asciiTheme="majorBidi" w:hAnsiTheme="majorBidi" w:cstheme="majorBidi"/>
                <w:color w:val="212121"/>
                <w:sz w:val="22"/>
                <w:szCs w:val="22"/>
              </w:rPr>
              <w:t>-3.45***</w:t>
            </w:r>
          </w:p>
        </w:tc>
        <w:tc>
          <w:tcPr>
            <w:tcW w:w="992" w:type="dxa"/>
            <w:vAlign w:val="center"/>
          </w:tcPr>
          <w:p w14:paraId="4F5208D6"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12 (10.3)</w:t>
            </w:r>
          </w:p>
        </w:tc>
        <w:tc>
          <w:tcPr>
            <w:tcW w:w="1134" w:type="dxa"/>
            <w:vAlign w:val="center"/>
          </w:tcPr>
          <w:p w14:paraId="1929C7AC"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38 (2.2)</w:t>
            </w:r>
          </w:p>
        </w:tc>
        <w:tc>
          <w:tcPr>
            <w:tcW w:w="851" w:type="dxa"/>
            <w:vAlign w:val="center"/>
          </w:tcPr>
          <w:p w14:paraId="72DDC15C" w14:textId="77777777" w:rsidR="00532C03" w:rsidRPr="005A54C3" w:rsidRDefault="00E8712F" w:rsidP="00A25780">
            <w:pPr>
              <w:spacing w:before="240" w:after="240"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-3.85***</w:t>
            </w:r>
          </w:p>
        </w:tc>
      </w:tr>
      <w:tr w:rsidR="00532C03" w:rsidRPr="005A54C3" w14:paraId="1EB7B10A" w14:textId="77777777" w:rsidTr="00B34D8E">
        <w:trPr>
          <w:trHeight w:val="57"/>
        </w:trPr>
        <w:tc>
          <w:tcPr>
            <w:tcW w:w="1485" w:type="dxa"/>
            <w:vAlign w:val="center"/>
          </w:tcPr>
          <w:p w14:paraId="54B3F56B"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COPD</w:t>
            </w:r>
          </w:p>
        </w:tc>
        <w:tc>
          <w:tcPr>
            <w:tcW w:w="1035" w:type="dxa"/>
            <w:vAlign w:val="center"/>
          </w:tcPr>
          <w:p w14:paraId="16DAFA6B"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6 (0.3)</w:t>
            </w:r>
          </w:p>
        </w:tc>
        <w:tc>
          <w:tcPr>
            <w:tcW w:w="1260" w:type="dxa"/>
            <w:vAlign w:val="center"/>
          </w:tcPr>
          <w:p w14:paraId="69C5879A"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4 (0.5)</w:t>
            </w:r>
          </w:p>
        </w:tc>
        <w:tc>
          <w:tcPr>
            <w:tcW w:w="1182" w:type="dxa"/>
            <w:vAlign w:val="center"/>
          </w:tcPr>
          <w:p w14:paraId="59F009A4"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2 (0.2)</w:t>
            </w:r>
          </w:p>
        </w:tc>
        <w:tc>
          <w:tcPr>
            <w:tcW w:w="992" w:type="dxa"/>
            <w:vAlign w:val="center"/>
          </w:tcPr>
          <w:p w14:paraId="68AECB97" w14:textId="77777777" w:rsidR="00532C03" w:rsidRPr="005A54C3" w:rsidRDefault="00E8712F" w:rsidP="00A25780">
            <w:pPr>
              <w:spacing w:line="240" w:lineRule="auto"/>
              <w:ind w:left="34"/>
              <w:rPr>
                <w:rFonts w:asciiTheme="majorBidi" w:hAnsiTheme="majorBidi" w:cstheme="majorBidi"/>
                <w:color w:val="212121"/>
                <w:sz w:val="22"/>
                <w:szCs w:val="22"/>
              </w:rPr>
            </w:pPr>
            <w:r w:rsidRPr="005A54C3">
              <w:rPr>
                <w:rFonts w:asciiTheme="majorBidi" w:hAnsiTheme="majorBidi" w:cstheme="majorBidi"/>
                <w:color w:val="212121"/>
                <w:sz w:val="22"/>
                <w:szCs w:val="22"/>
              </w:rPr>
              <w:t>.170</w:t>
            </w:r>
          </w:p>
        </w:tc>
        <w:tc>
          <w:tcPr>
            <w:tcW w:w="992" w:type="dxa"/>
            <w:vAlign w:val="center"/>
          </w:tcPr>
          <w:p w14:paraId="14C55918"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2 (1.7)</w:t>
            </w:r>
          </w:p>
        </w:tc>
        <w:tc>
          <w:tcPr>
            <w:tcW w:w="1134" w:type="dxa"/>
            <w:vAlign w:val="center"/>
          </w:tcPr>
          <w:p w14:paraId="71F79D25"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4 (0.2)</w:t>
            </w:r>
          </w:p>
        </w:tc>
        <w:tc>
          <w:tcPr>
            <w:tcW w:w="851" w:type="dxa"/>
            <w:vAlign w:val="center"/>
          </w:tcPr>
          <w:p w14:paraId="435493D2" w14:textId="77777777" w:rsidR="00532C03" w:rsidRPr="005A54C3" w:rsidRDefault="00E8712F" w:rsidP="00A25780">
            <w:pPr>
              <w:spacing w:before="240" w:after="240"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.006</w:t>
            </w:r>
          </w:p>
        </w:tc>
      </w:tr>
      <w:tr w:rsidR="00532C03" w:rsidRPr="005A54C3" w14:paraId="49300E72" w14:textId="77777777" w:rsidTr="00B34D8E">
        <w:trPr>
          <w:trHeight w:val="57"/>
        </w:trPr>
        <w:tc>
          <w:tcPr>
            <w:tcW w:w="1485" w:type="dxa"/>
            <w:vAlign w:val="center"/>
          </w:tcPr>
          <w:p w14:paraId="080F86A2"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Asthma</w:t>
            </w:r>
          </w:p>
        </w:tc>
        <w:tc>
          <w:tcPr>
            <w:tcW w:w="1035" w:type="dxa"/>
            <w:vAlign w:val="center"/>
          </w:tcPr>
          <w:p w14:paraId="56AC9897"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123 (6.5)</w:t>
            </w:r>
          </w:p>
        </w:tc>
        <w:tc>
          <w:tcPr>
            <w:tcW w:w="1260" w:type="dxa"/>
            <w:vAlign w:val="center"/>
          </w:tcPr>
          <w:p w14:paraId="3666CB59"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34 (4.6)</w:t>
            </w:r>
          </w:p>
        </w:tc>
        <w:tc>
          <w:tcPr>
            <w:tcW w:w="1182" w:type="dxa"/>
            <w:vAlign w:val="center"/>
          </w:tcPr>
          <w:p w14:paraId="2093DDCA"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89 (7.9)</w:t>
            </w:r>
          </w:p>
        </w:tc>
        <w:tc>
          <w:tcPr>
            <w:tcW w:w="992" w:type="dxa"/>
            <w:vAlign w:val="center"/>
          </w:tcPr>
          <w:p w14:paraId="63B05AA8" w14:textId="77777777" w:rsidR="00532C03" w:rsidRPr="005A54C3" w:rsidRDefault="00E8712F" w:rsidP="00A25780">
            <w:pPr>
              <w:spacing w:line="240" w:lineRule="auto"/>
              <w:ind w:left="34"/>
              <w:rPr>
                <w:rFonts w:asciiTheme="majorBidi" w:hAnsiTheme="majorBidi" w:cstheme="majorBidi"/>
                <w:color w:val="212121"/>
                <w:sz w:val="22"/>
                <w:szCs w:val="22"/>
              </w:rPr>
            </w:pPr>
            <w:r w:rsidRPr="005A54C3">
              <w:rPr>
                <w:rFonts w:asciiTheme="majorBidi" w:hAnsiTheme="majorBidi" w:cstheme="majorBidi"/>
                <w:color w:val="212121"/>
                <w:sz w:val="22"/>
                <w:szCs w:val="22"/>
              </w:rPr>
              <w:t>2.76**</w:t>
            </w:r>
          </w:p>
        </w:tc>
        <w:tc>
          <w:tcPr>
            <w:tcW w:w="992" w:type="dxa"/>
            <w:vAlign w:val="center"/>
          </w:tcPr>
          <w:p w14:paraId="7F92DBC9"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8 (6.8)</w:t>
            </w:r>
          </w:p>
        </w:tc>
        <w:tc>
          <w:tcPr>
            <w:tcW w:w="1134" w:type="dxa"/>
            <w:vAlign w:val="center"/>
          </w:tcPr>
          <w:p w14:paraId="4006986B"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115 (6.5)</w:t>
            </w:r>
          </w:p>
        </w:tc>
        <w:tc>
          <w:tcPr>
            <w:tcW w:w="851" w:type="dxa"/>
            <w:vAlign w:val="center"/>
          </w:tcPr>
          <w:p w14:paraId="58121803" w14:textId="77777777" w:rsidR="00532C03" w:rsidRPr="005A54C3" w:rsidRDefault="00E8712F" w:rsidP="00A25780">
            <w:pPr>
              <w:spacing w:before="240" w:after="240"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-0.12</w:t>
            </w:r>
          </w:p>
        </w:tc>
      </w:tr>
      <w:tr w:rsidR="00532C03" w:rsidRPr="005A54C3" w14:paraId="1E427D6B" w14:textId="77777777" w:rsidTr="00B34D8E">
        <w:trPr>
          <w:trHeight w:val="57"/>
        </w:trPr>
        <w:tc>
          <w:tcPr>
            <w:tcW w:w="1485" w:type="dxa"/>
            <w:tcBorders>
              <w:bottom w:val="single" w:sz="4" w:space="0" w:color="auto"/>
            </w:tcBorders>
            <w:vAlign w:val="center"/>
          </w:tcPr>
          <w:p w14:paraId="53A6FFB5"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Smoking</w:t>
            </w:r>
          </w:p>
        </w:tc>
        <w:tc>
          <w:tcPr>
            <w:tcW w:w="1035" w:type="dxa"/>
            <w:tcBorders>
              <w:bottom w:val="single" w:sz="4" w:space="0" w:color="auto"/>
            </w:tcBorders>
            <w:vAlign w:val="center"/>
          </w:tcPr>
          <w:p w14:paraId="48ACA9DB"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88 (4.7)</w:t>
            </w:r>
          </w:p>
        </w:tc>
        <w:tc>
          <w:tcPr>
            <w:tcW w:w="1260" w:type="dxa"/>
            <w:tcBorders>
              <w:bottom w:val="single" w:sz="4" w:space="0" w:color="auto"/>
            </w:tcBorders>
            <w:vAlign w:val="center"/>
          </w:tcPr>
          <w:p w14:paraId="22FD0E01"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37 (5.0)</w:t>
            </w:r>
          </w:p>
        </w:tc>
        <w:tc>
          <w:tcPr>
            <w:tcW w:w="1182" w:type="dxa"/>
            <w:tcBorders>
              <w:bottom w:val="single" w:sz="4" w:space="0" w:color="auto"/>
            </w:tcBorders>
            <w:vAlign w:val="center"/>
          </w:tcPr>
          <w:p w14:paraId="610EEEDD"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51 (4.5)</w:t>
            </w:r>
          </w:p>
        </w:tc>
        <w:tc>
          <w:tcPr>
            <w:tcW w:w="992" w:type="dxa"/>
            <w:tcBorders>
              <w:bottom w:val="single" w:sz="4" w:space="0" w:color="auto"/>
            </w:tcBorders>
            <w:vAlign w:val="center"/>
          </w:tcPr>
          <w:p w14:paraId="14EE7E76" w14:textId="77777777" w:rsidR="00532C03" w:rsidRPr="005A54C3" w:rsidRDefault="00E8712F" w:rsidP="00A25780">
            <w:pPr>
              <w:spacing w:line="240" w:lineRule="auto"/>
              <w:ind w:left="34"/>
              <w:rPr>
                <w:rFonts w:asciiTheme="majorBidi" w:hAnsiTheme="majorBidi" w:cstheme="majorBidi"/>
                <w:color w:val="212121"/>
                <w:sz w:val="22"/>
                <w:szCs w:val="22"/>
              </w:rPr>
            </w:pPr>
            <w:r w:rsidRPr="005A54C3">
              <w:rPr>
                <w:rFonts w:asciiTheme="majorBidi" w:hAnsiTheme="majorBidi" w:cstheme="majorBidi"/>
                <w:color w:val="212121"/>
                <w:sz w:val="22"/>
                <w:szCs w:val="22"/>
              </w:rPr>
              <w:t>-0.52</w:t>
            </w:r>
          </w:p>
        </w:tc>
        <w:tc>
          <w:tcPr>
            <w:tcW w:w="992" w:type="dxa"/>
            <w:tcBorders>
              <w:bottom w:val="single" w:sz="4" w:space="0" w:color="auto"/>
            </w:tcBorders>
            <w:vAlign w:val="center"/>
          </w:tcPr>
          <w:p w14:paraId="1C76371B"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7 (6.0%)</w:t>
            </w:r>
          </w:p>
        </w:tc>
        <w:tc>
          <w:tcPr>
            <w:tcW w:w="1134" w:type="dxa"/>
            <w:tcBorders>
              <w:bottom w:val="single" w:sz="4" w:space="0" w:color="auto"/>
            </w:tcBorders>
            <w:vAlign w:val="center"/>
          </w:tcPr>
          <w:p w14:paraId="7E2CD029" w14:textId="77777777" w:rsidR="00532C03" w:rsidRPr="005A54C3" w:rsidRDefault="00E8712F" w:rsidP="00A25780">
            <w:pPr>
              <w:spacing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81 (4.6)</w:t>
            </w:r>
          </w:p>
        </w:tc>
        <w:tc>
          <w:tcPr>
            <w:tcW w:w="851" w:type="dxa"/>
            <w:tcBorders>
              <w:bottom w:val="single" w:sz="4" w:space="0" w:color="auto"/>
            </w:tcBorders>
            <w:vAlign w:val="center"/>
          </w:tcPr>
          <w:p w14:paraId="183AAE6E" w14:textId="77777777" w:rsidR="00532C03" w:rsidRPr="005A54C3" w:rsidRDefault="00E8712F" w:rsidP="00A25780">
            <w:pPr>
              <w:spacing w:before="240" w:after="240" w:line="240" w:lineRule="auto"/>
              <w:rPr>
                <w:rFonts w:asciiTheme="majorBidi" w:hAnsiTheme="majorBidi" w:cstheme="majorBidi"/>
                <w:color w:val="212121"/>
                <w:sz w:val="22"/>
                <w:szCs w:val="22"/>
              </w:rPr>
            </w:pPr>
            <w:r w:rsidRPr="005A54C3">
              <w:rPr>
                <w:rFonts w:asciiTheme="majorBidi" w:hAnsiTheme="majorBidi" w:cstheme="majorBidi"/>
                <w:color w:val="212121"/>
                <w:sz w:val="22"/>
                <w:szCs w:val="22"/>
              </w:rPr>
              <w:t>-0.67</w:t>
            </w:r>
          </w:p>
        </w:tc>
      </w:tr>
    </w:tbl>
    <w:p w14:paraId="77D221F9" w14:textId="77777777" w:rsidR="00B34D8E" w:rsidRPr="005A54C3" w:rsidRDefault="00B34D8E" w:rsidP="00A25780">
      <w:pPr>
        <w:spacing w:line="276" w:lineRule="auto"/>
        <w:rPr>
          <w:rFonts w:asciiTheme="majorBidi" w:hAnsiTheme="majorBidi" w:cstheme="majorBidi"/>
          <w:sz w:val="22"/>
          <w:szCs w:val="22"/>
        </w:rPr>
      </w:pPr>
      <w:r w:rsidRPr="005A54C3">
        <w:rPr>
          <w:rFonts w:asciiTheme="majorBidi" w:hAnsiTheme="majorBidi" w:cstheme="majorBidi"/>
          <w:i/>
          <w:sz w:val="22"/>
          <w:szCs w:val="22"/>
        </w:rPr>
        <w:t>Note.</w:t>
      </w:r>
      <w:r w:rsidRPr="005A54C3">
        <w:rPr>
          <w:rFonts w:asciiTheme="majorBidi" w:hAnsiTheme="majorBidi" w:cstheme="majorBidi"/>
          <w:sz w:val="22"/>
          <w:szCs w:val="22"/>
        </w:rPr>
        <w:t xml:space="preserve">  ADHD = attention deficit hyperactivity disorder; CVD = Cardiovascular disease; COPD = chronic obstructive pulmonary disease.</w:t>
      </w:r>
    </w:p>
    <w:p w14:paraId="536E3ED3" w14:textId="77777777" w:rsidR="00B34D8E" w:rsidRPr="005A54C3" w:rsidRDefault="00B34D8E" w:rsidP="00A25780">
      <w:pPr>
        <w:spacing w:line="276" w:lineRule="auto"/>
        <w:rPr>
          <w:rFonts w:asciiTheme="majorBidi" w:hAnsiTheme="majorBidi" w:cstheme="majorBidi"/>
          <w:sz w:val="22"/>
          <w:szCs w:val="22"/>
        </w:rPr>
      </w:pPr>
      <w:proofErr w:type="spellStart"/>
      <w:r w:rsidRPr="005A54C3">
        <w:rPr>
          <w:rFonts w:asciiTheme="majorBidi" w:hAnsiTheme="majorBidi" w:cstheme="majorBidi"/>
          <w:sz w:val="22"/>
          <w:szCs w:val="22"/>
          <w:vertAlign w:val="superscript"/>
        </w:rPr>
        <w:t>a</w:t>
      </w:r>
      <w:proofErr w:type="spellEnd"/>
      <w:r w:rsidRPr="005A54C3">
        <w:rPr>
          <w:rFonts w:asciiTheme="majorBidi" w:hAnsiTheme="majorBidi" w:cstheme="majorBidi"/>
          <w:sz w:val="22"/>
          <w:szCs w:val="22"/>
          <w:vertAlign w:val="superscript"/>
        </w:rPr>
        <w:t xml:space="preserve"> </w:t>
      </w:r>
      <w:r w:rsidRPr="005A54C3">
        <w:rPr>
          <w:rFonts w:asciiTheme="majorBidi" w:hAnsiTheme="majorBidi" w:cstheme="majorBidi"/>
          <w:sz w:val="22"/>
          <w:szCs w:val="22"/>
        </w:rPr>
        <w:t>Obesity: BMI</w:t>
      </w:r>
      <w:r w:rsidRPr="005A54C3">
        <w:rPr>
          <w:rFonts w:asciiTheme="majorBidi" w:hAnsiTheme="majorBidi" w:cstheme="majorBidi"/>
          <w:sz w:val="22"/>
          <w:szCs w:val="22"/>
          <w:u w:val="single"/>
        </w:rPr>
        <w:t>&gt;</w:t>
      </w:r>
      <w:r w:rsidRPr="005A54C3">
        <w:rPr>
          <w:rFonts w:asciiTheme="majorBidi" w:hAnsiTheme="majorBidi" w:cstheme="majorBidi"/>
          <w:sz w:val="22"/>
          <w:szCs w:val="22"/>
        </w:rPr>
        <w:t xml:space="preserve">30,  28% missing data. </w:t>
      </w:r>
    </w:p>
    <w:p w14:paraId="476CF7BF" w14:textId="77777777" w:rsidR="00B34D8E" w:rsidRPr="005A54C3" w:rsidRDefault="00B34D8E" w:rsidP="00A25780">
      <w:pPr>
        <w:spacing w:line="276" w:lineRule="auto"/>
        <w:rPr>
          <w:rFonts w:asciiTheme="majorBidi" w:hAnsiTheme="majorBidi" w:cstheme="majorBidi"/>
          <w:sz w:val="22"/>
          <w:szCs w:val="22"/>
        </w:rPr>
      </w:pPr>
      <w:r w:rsidRPr="005A54C3">
        <w:rPr>
          <w:rFonts w:asciiTheme="majorBidi" w:hAnsiTheme="majorBidi" w:cstheme="majorBidi"/>
          <w:sz w:val="22"/>
          <w:szCs w:val="22"/>
        </w:rPr>
        <w:t>*</w:t>
      </w:r>
      <w:r w:rsidRPr="005A54C3">
        <w:rPr>
          <w:rFonts w:asciiTheme="majorBidi" w:hAnsiTheme="majorBidi" w:cstheme="majorBidi"/>
          <w:i/>
          <w:sz w:val="22"/>
          <w:szCs w:val="22"/>
        </w:rPr>
        <w:t xml:space="preserve">p </w:t>
      </w:r>
      <w:r w:rsidRPr="005A54C3">
        <w:rPr>
          <w:rFonts w:asciiTheme="majorBidi" w:hAnsiTheme="majorBidi" w:cstheme="majorBidi"/>
          <w:sz w:val="22"/>
          <w:szCs w:val="22"/>
        </w:rPr>
        <w:t>&lt;.05, **</w:t>
      </w:r>
      <w:r w:rsidRPr="005A54C3">
        <w:rPr>
          <w:rFonts w:asciiTheme="majorBidi" w:hAnsiTheme="majorBidi" w:cstheme="majorBidi"/>
          <w:i/>
          <w:sz w:val="22"/>
          <w:szCs w:val="22"/>
        </w:rPr>
        <w:t xml:space="preserve">p </w:t>
      </w:r>
      <w:r w:rsidRPr="005A54C3">
        <w:rPr>
          <w:rFonts w:asciiTheme="majorBidi" w:hAnsiTheme="majorBidi" w:cstheme="majorBidi"/>
          <w:sz w:val="22"/>
          <w:szCs w:val="22"/>
        </w:rPr>
        <w:t>&lt;.01, ***</w:t>
      </w:r>
      <w:r w:rsidRPr="005A54C3">
        <w:rPr>
          <w:rFonts w:asciiTheme="majorBidi" w:hAnsiTheme="majorBidi" w:cstheme="majorBidi"/>
          <w:i/>
          <w:sz w:val="22"/>
          <w:szCs w:val="22"/>
        </w:rPr>
        <w:t>p</w:t>
      </w:r>
      <w:r w:rsidRPr="005A54C3">
        <w:rPr>
          <w:rFonts w:asciiTheme="majorBidi" w:hAnsiTheme="majorBidi" w:cstheme="majorBidi"/>
          <w:sz w:val="22"/>
          <w:szCs w:val="22"/>
        </w:rPr>
        <w:t xml:space="preserve"> &lt;.001.</w:t>
      </w:r>
    </w:p>
    <w:p w14:paraId="3A694516" w14:textId="77777777" w:rsidR="00532C03" w:rsidRPr="005A54C3" w:rsidRDefault="00532C03">
      <w:pPr>
        <w:rPr>
          <w:rFonts w:asciiTheme="majorBidi" w:hAnsiTheme="majorBidi" w:cstheme="majorBidi"/>
        </w:rPr>
      </w:pPr>
    </w:p>
    <w:p w14:paraId="738C29A4" w14:textId="77777777" w:rsidR="00532C03" w:rsidRPr="005A54C3" w:rsidRDefault="00532C03">
      <w:pPr>
        <w:rPr>
          <w:rFonts w:asciiTheme="majorBidi" w:hAnsiTheme="majorBidi" w:cstheme="majorBidi"/>
        </w:rPr>
      </w:pPr>
    </w:p>
    <w:p w14:paraId="632671CF" w14:textId="77777777" w:rsidR="00532C03" w:rsidRPr="005A54C3" w:rsidRDefault="00E8712F">
      <w:pPr>
        <w:pStyle w:val="Heading2"/>
        <w:rPr>
          <w:rFonts w:asciiTheme="majorBidi" w:hAnsiTheme="majorBidi" w:cstheme="majorBidi"/>
        </w:rPr>
      </w:pPr>
      <w:bookmarkStart w:id="14" w:name="_heading=h.xl935s9xm0zl" w:colFirst="0" w:colLast="0"/>
      <w:bookmarkEnd w:id="14"/>
      <w:r w:rsidRPr="005A54C3">
        <w:rPr>
          <w:rFonts w:asciiTheme="majorBidi" w:hAnsiTheme="majorBidi" w:cstheme="majorBidi"/>
        </w:rPr>
        <w:lastRenderedPageBreak/>
        <w:t>Table 3</w:t>
      </w:r>
    </w:p>
    <w:p w14:paraId="54E90E81" w14:textId="77777777" w:rsidR="00532C03" w:rsidRPr="005A54C3" w:rsidRDefault="00E8712F">
      <w:pPr>
        <w:rPr>
          <w:rFonts w:asciiTheme="majorBidi" w:hAnsiTheme="majorBidi" w:cstheme="majorBidi"/>
          <w:color w:val="212121"/>
        </w:rPr>
      </w:pPr>
      <w:r w:rsidRPr="005A54C3">
        <w:rPr>
          <w:rFonts w:asciiTheme="majorBidi" w:hAnsiTheme="majorBidi" w:cstheme="majorBidi"/>
          <w:i/>
        </w:rPr>
        <w:t>Distribution of symptoms and signs in the study population. (the test is chi square, except the age, which was analyzed by t-test)</w:t>
      </w:r>
    </w:p>
    <w:tbl>
      <w:tblPr>
        <w:tblStyle w:val="af6"/>
        <w:tblW w:w="8647" w:type="dxa"/>
        <w:tblLayout w:type="fixed"/>
        <w:tblLook w:val="0000" w:firstRow="0" w:lastRow="0" w:firstColumn="0" w:lastColumn="0" w:noHBand="0" w:noVBand="0"/>
      </w:tblPr>
      <w:tblGrid>
        <w:gridCol w:w="2040"/>
        <w:gridCol w:w="1800"/>
        <w:gridCol w:w="1770"/>
        <w:gridCol w:w="1830"/>
        <w:gridCol w:w="1207"/>
      </w:tblGrid>
      <w:tr w:rsidR="00532C03" w:rsidRPr="005A54C3" w14:paraId="681691B6" w14:textId="77777777" w:rsidTr="0087783C">
        <w:trPr>
          <w:trHeight w:val="435"/>
        </w:trPr>
        <w:tc>
          <w:tcPr>
            <w:tcW w:w="2040" w:type="dxa"/>
            <w:tcBorders>
              <w:top w:val="single" w:sz="4" w:space="0" w:color="auto"/>
              <w:bottom w:val="single" w:sz="4" w:space="0" w:color="auto"/>
            </w:tcBorders>
            <w:tcMar>
              <w:top w:w="56" w:type="dxa"/>
              <w:left w:w="56" w:type="dxa"/>
              <w:bottom w:w="56" w:type="dxa"/>
              <w:right w:w="56" w:type="dxa"/>
            </w:tcMar>
            <w:vAlign w:val="bottom"/>
          </w:tcPr>
          <w:p w14:paraId="0BDE51D1"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 xml:space="preserve">Variable </w:t>
            </w:r>
          </w:p>
        </w:tc>
        <w:tc>
          <w:tcPr>
            <w:tcW w:w="1800" w:type="dxa"/>
            <w:tcBorders>
              <w:top w:val="single" w:sz="4" w:space="0" w:color="auto"/>
              <w:bottom w:val="single" w:sz="4" w:space="0" w:color="auto"/>
            </w:tcBorders>
            <w:tcMar>
              <w:top w:w="56" w:type="dxa"/>
              <w:left w:w="56" w:type="dxa"/>
              <w:bottom w:w="56" w:type="dxa"/>
              <w:right w:w="56" w:type="dxa"/>
            </w:tcMar>
            <w:vAlign w:val="bottom"/>
          </w:tcPr>
          <w:p w14:paraId="6AF5886E"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Total</w:t>
            </w:r>
          </w:p>
        </w:tc>
        <w:tc>
          <w:tcPr>
            <w:tcW w:w="1770" w:type="dxa"/>
            <w:tcBorders>
              <w:top w:val="single" w:sz="4" w:space="0" w:color="auto"/>
              <w:bottom w:val="single" w:sz="4" w:space="0" w:color="auto"/>
            </w:tcBorders>
            <w:tcMar>
              <w:top w:w="56" w:type="dxa"/>
              <w:left w:w="56" w:type="dxa"/>
              <w:bottom w:w="56" w:type="dxa"/>
              <w:right w:w="56" w:type="dxa"/>
            </w:tcMar>
            <w:vAlign w:val="bottom"/>
          </w:tcPr>
          <w:p w14:paraId="687FC511"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ADHD</w:t>
            </w:r>
          </w:p>
          <w:p w14:paraId="08B8069B"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n (%)/ M (SD)</w:t>
            </w:r>
          </w:p>
        </w:tc>
        <w:tc>
          <w:tcPr>
            <w:tcW w:w="1830" w:type="dxa"/>
            <w:tcBorders>
              <w:top w:val="single" w:sz="4" w:space="0" w:color="auto"/>
              <w:bottom w:val="single" w:sz="4" w:space="0" w:color="auto"/>
            </w:tcBorders>
            <w:tcMar>
              <w:top w:w="56" w:type="dxa"/>
              <w:left w:w="56" w:type="dxa"/>
              <w:bottom w:w="56" w:type="dxa"/>
              <w:right w:w="56" w:type="dxa"/>
            </w:tcMar>
            <w:vAlign w:val="bottom"/>
          </w:tcPr>
          <w:p w14:paraId="16E20B3A" w14:textId="77777777" w:rsidR="00532C03" w:rsidRPr="005A54C3" w:rsidRDefault="00E8712F" w:rsidP="00A25780">
            <w:pPr>
              <w:spacing w:line="240" w:lineRule="auto"/>
              <w:rPr>
                <w:rFonts w:asciiTheme="majorBidi" w:hAnsiTheme="majorBidi" w:cstheme="majorBidi"/>
                <w:color w:val="212121"/>
                <w:lang w:val="it-IT"/>
              </w:rPr>
            </w:pPr>
            <w:r w:rsidRPr="005A54C3">
              <w:rPr>
                <w:rFonts w:asciiTheme="majorBidi" w:hAnsiTheme="majorBidi" w:cstheme="majorBidi"/>
                <w:color w:val="212121"/>
                <w:lang w:val="it-IT"/>
              </w:rPr>
              <w:t xml:space="preserve"> Non-ADHD</w:t>
            </w:r>
          </w:p>
          <w:p w14:paraId="78D57C45" w14:textId="77777777" w:rsidR="00532C03" w:rsidRPr="005A54C3" w:rsidRDefault="00E8712F" w:rsidP="00A25780">
            <w:pPr>
              <w:spacing w:line="240" w:lineRule="auto"/>
              <w:rPr>
                <w:rFonts w:asciiTheme="majorBidi" w:hAnsiTheme="majorBidi" w:cstheme="majorBidi"/>
                <w:color w:val="212121"/>
                <w:lang w:val="it-IT"/>
              </w:rPr>
            </w:pPr>
            <w:r w:rsidRPr="005A54C3">
              <w:rPr>
                <w:rFonts w:asciiTheme="majorBidi" w:hAnsiTheme="majorBidi" w:cstheme="majorBidi"/>
                <w:color w:val="212121"/>
                <w:lang w:val="it-IT"/>
              </w:rPr>
              <w:t>n (%)/ M (SD)</w:t>
            </w:r>
          </w:p>
        </w:tc>
        <w:tc>
          <w:tcPr>
            <w:tcW w:w="1207" w:type="dxa"/>
            <w:tcBorders>
              <w:top w:val="single" w:sz="4" w:space="0" w:color="auto"/>
              <w:bottom w:val="single" w:sz="4" w:space="0" w:color="auto"/>
            </w:tcBorders>
            <w:tcMar>
              <w:top w:w="56" w:type="dxa"/>
              <w:left w:w="56" w:type="dxa"/>
              <w:bottom w:w="56" w:type="dxa"/>
              <w:right w:w="56" w:type="dxa"/>
            </w:tcMar>
            <w:vAlign w:val="bottom"/>
          </w:tcPr>
          <w:p w14:paraId="310D58DB" w14:textId="77777777" w:rsidR="00532C03" w:rsidRPr="005A54C3" w:rsidRDefault="00E8712F" w:rsidP="00A25780">
            <w:pPr>
              <w:spacing w:line="240" w:lineRule="auto"/>
              <w:rPr>
                <w:rFonts w:asciiTheme="majorBidi" w:hAnsiTheme="majorBidi" w:cstheme="majorBidi"/>
                <w:i/>
                <w:iCs/>
                <w:color w:val="212121"/>
              </w:rPr>
            </w:pPr>
            <w:r w:rsidRPr="005A54C3">
              <w:rPr>
                <w:rFonts w:asciiTheme="majorBidi" w:hAnsiTheme="majorBidi" w:cstheme="majorBidi"/>
                <w:i/>
                <w:iCs/>
                <w:color w:val="212121"/>
              </w:rPr>
              <w:t>t</w:t>
            </w:r>
            <w:r w:rsidR="0087783C" w:rsidRPr="005A54C3">
              <w:rPr>
                <w:rFonts w:asciiTheme="majorBidi" w:hAnsiTheme="majorBidi" w:cstheme="majorBidi"/>
                <w:i/>
                <w:iCs/>
                <w:color w:val="212121"/>
              </w:rPr>
              <w:t xml:space="preserve"> </w:t>
            </w:r>
            <w:r w:rsidRPr="005A54C3">
              <w:rPr>
                <w:rFonts w:asciiTheme="majorBidi" w:hAnsiTheme="majorBidi" w:cstheme="majorBidi"/>
                <w:i/>
                <w:iCs/>
                <w:color w:val="212121"/>
              </w:rPr>
              <w:t>/</w:t>
            </w:r>
            <w:r w:rsidR="0087783C" w:rsidRPr="005A54C3">
              <w:rPr>
                <w:rFonts w:asciiTheme="majorBidi" w:hAnsiTheme="majorBidi" w:cstheme="majorBidi"/>
                <w:i/>
                <w:iCs/>
                <w:color w:val="212121"/>
              </w:rPr>
              <w:t xml:space="preserve"> </w:t>
            </w:r>
            <w:r w:rsidRPr="005A54C3">
              <w:rPr>
                <w:rFonts w:asciiTheme="majorBidi" w:hAnsiTheme="majorBidi" w:cstheme="majorBidi"/>
                <w:i/>
                <w:iCs/>
                <w:color w:val="212121"/>
              </w:rPr>
              <w:t>χ</w:t>
            </w:r>
            <w:r w:rsidRPr="005A54C3">
              <w:rPr>
                <w:rFonts w:asciiTheme="majorBidi" w:hAnsiTheme="majorBidi" w:cstheme="majorBidi"/>
                <w:i/>
                <w:iCs/>
                <w:color w:val="212121"/>
                <w:vertAlign w:val="superscript"/>
              </w:rPr>
              <w:t>2</w:t>
            </w:r>
          </w:p>
        </w:tc>
      </w:tr>
      <w:tr w:rsidR="00532C03" w:rsidRPr="005A54C3" w14:paraId="6FAB989F" w14:textId="77777777" w:rsidTr="0087783C">
        <w:trPr>
          <w:trHeight w:val="567"/>
        </w:trPr>
        <w:tc>
          <w:tcPr>
            <w:tcW w:w="2040" w:type="dxa"/>
            <w:tcBorders>
              <w:top w:val="single" w:sz="4" w:space="0" w:color="auto"/>
            </w:tcBorders>
            <w:tcMar>
              <w:top w:w="56" w:type="dxa"/>
              <w:left w:w="56" w:type="dxa"/>
              <w:bottom w:w="56" w:type="dxa"/>
              <w:right w:w="56" w:type="dxa"/>
            </w:tcMar>
            <w:vAlign w:val="center"/>
          </w:tcPr>
          <w:p w14:paraId="44E0F03F"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n (%)</w:t>
            </w:r>
          </w:p>
        </w:tc>
        <w:tc>
          <w:tcPr>
            <w:tcW w:w="1800" w:type="dxa"/>
            <w:tcBorders>
              <w:top w:val="single" w:sz="4" w:space="0" w:color="auto"/>
            </w:tcBorders>
            <w:tcMar>
              <w:top w:w="56" w:type="dxa"/>
              <w:left w:w="56" w:type="dxa"/>
              <w:bottom w:w="56" w:type="dxa"/>
              <w:right w:w="56" w:type="dxa"/>
            </w:tcMar>
            <w:vAlign w:val="center"/>
          </w:tcPr>
          <w:p w14:paraId="046D87C4"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1870</w:t>
            </w:r>
          </w:p>
        </w:tc>
        <w:tc>
          <w:tcPr>
            <w:tcW w:w="1770" w:type="dxa"/>
            <w:tcBorders>
              <w:top w:val="single" w:sz="4" w:space="0" w:color="auto"/>
            </w:tcBorders>
            <w:tcMar>
              <w:top w:w="56" w:type="dxa"/>
              <w:left w:w="56" w:type="dxa"/>
              <w:bottom w:w="56" w:type="dxa"/>
              <w:right w:w="56" w:type="dxa"/>
            </w:tcMar>
            <w:vAlign w:val="center"/>
          </w:tcPr>
          <w:p w14:paraId="78FE2CBC"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231 (12.3)</w:t>
            </w:r>
          </w:p>
        </w:tc>
        <w:tc>
          <w:tcPr>
            <w:tcW w:w="1830" w:type="dxa"/>
            <w:tcBorders>
              <w:top w:val="single" w:sz="4" w:space="0" w:color="auto"/>
            </w:tcBorders>
            <w:tcMar>
              <w:top w:w="56" w:type="dxa"/>
              <w:left w:w="56" w:type="dxa"/>
              <w:bottom w:w="56" w:type="dxa"/>
              <w:right w:w="56" w:type="dxa"/>
            </w:tcMar>
            <w:vAlign w:val="center"/>
          </w:tcPr>
          <w:p w14:paraId="4A0733E3" w14:textId="77777777" w:rsidR="00532C03" w:rsidRPr="005A54C3" w:rsidRDefault="00E8712F" w:rsidP="00A25780">
            <w:pPr>
              <w:spacing w:line="240" w:lineRule="auto"/>
              <w:ind w:left="1"/>
              <w:rPr>
                <w:rFonts w:asciiTheme="majorBidi" w:hAnsiTheme="majorBidi" w:cstheme="majorBidi"/>
                <w:color w:val="212121"/>
              </w:rPr>
            </w:pPr>
            <w:r w:rsidRPr="005A54C3">
              <w:rPr>
                <w:rFonts w:asciiTheme="majorBidi" w:hAnsiTheme="majorBidi" w:cstheme="majorBidi"/>
                <w:color w:val="212121"/>
              </w:rPr>
              <w:t>1,639 (87.6)</w:t>
            </w:r>
          </w:p>
        </w:tc>
        <w:tc>
          <w:tcPr>
            <w:tcW w:w="1207" w:type="dxa"/>
            <w:tcBorders>
              <w:top w:val="single" w:sz="4" w:space="0" w:color="auto"/>
            </w:tcBorders>
            <w:tcMar>
              <w:top w:w="56" w:type="dxa"/>
              <w:left w:w="56" w:type="dxa"/>
              <w:bottom w:w="56" w:type="dxa"/>
              <w:right w:w="56" w:type="dxa"/>
            </w:tcMar>
            <w:vAlign w:val="center"/>
          </w:tcPr>
          <w:p w14:paraId="115E7498" w14:textId="77777777" w:rsidR="00532C03" w:rsidRPr="005A54C3" w:rsidRDefault="00532C03" w:rsidP="00A25780">
            <w:pPr>
              <w:spacing w:line="240" w:lineRule="auto"/>
              <w:ind w:left="1"/>
              <w:rPr>
                <w:rFonts w:asciiTheme="majorBidi" w:hAnsiTheme="majorBidi" w:cstheme="majorBidi"/>
                <w:color w:val="212121"/>
              </w:rPr>
            </w:pPr>
          </w:p>
        </w:tc>
      </w:tr>
      <w:tr w:rsidR="00532C03" w:rsidRPr="005A54C3" w14:paraId="6410327C" w14:textId="77777777" w:rsidTr="0087783C">
        <w:trPr>
          <w:trHeight w:val="567"/>
        </w:trPr>
        <w:tc>
          <w:tcPr>
            <w:tcW w:w="2040" w:type="dxa"/>
            <w:tcMar>
              <w:top w:w="56" w:type="dxa"/>
              <w:left w:w="56" w:type="dxa"/>
              <w:bottom w:w="56" w:type="dxa"/>
              <w:right w:w="56" w:type="dxa"/>
            </w:tcMar>
            <w:vAlign w:val="center"/>
          </w:tcPr>
          <w:p w14:paraId="250B0ED0"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Age</w:t>
            </w:r>
          </w:p>
        </w:tc>
        <w:tc>
          <w:tcPr>
            <w:tcW w:w="1800" w:type="dxa"/>
            <w:tcMar>
              <w:top w:w="56" w:type="dxa"/>
              <w:left w:w="56" w:type="dxa"/>
              <w:bottom w:w="56" w:type="dxa"/>
              <w:right w:w="56" w:type="dxa"/>
            </w:tcMar>
            <w:vAlign w:val="center"/>
          </w:tcPr>
          <w:p w14:paraId="34440F90"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 xml:space="preserve"> 29.03</w:t>
            </w:r>
            <w:r w:rsidRPr="005A54C3">
              <w:rPr>
                <w:rFonts w:asciiTheme="majorBidi" w:hAnsiTheme="majorBidi" w:cstheme="majorBidi"/>
                <w:color w:val="212121"/>
                <w:sz w:val="22"/>
                <w:szCs w:val="22"/>
              </w:rPr>
              <w:t>±</w:t>
            </w:r>
            <w:r w:rsidRPr="005A54C3">
              <w:rPr>
                <w:rFonts w:asciiTheme="majorBidi" w:hAnsiTheme="majorBidi" w:cstheme="majorBidi"/>
                <w:color w:val="212121"/>
              </w:rPr>
              <w:t xml:space="preserve">14.79 </w:t>
            </w:r>
          </w:p>
        </w:tc>
        <w:tc>
          <w:tcPr>
            <w:tcW w:w="1770" w:type="dxa"/>
            <w:tcMar>
              <w:top w:w="56" w:type="dxa"/>
              <w:left w:w="56" w:type="dxa"/>
              <w:bottom w:w="56" w:type="dxa"/>
              <w:right w:w="56" w:type="dxa"/>
            </w:tcMar>
            <w:vAlign w:val="center"/>
          </w:tcPr>
          <w:p w14:paraId="3215E486"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 xml:space="preserve">21.76 </w:t>
            </w:r>
            <w:r w:rsidRPr="005A54C3">
              <w:rPr>
                <w:rFonts w:asciiTheme="majorBidi" w:hAnsiTheme="majorBidi" w:cstheme="majorBidi"/>
                <w:color w:val="212121"/>
                <w:sz w:val="22"/>
                <w:szCs w:val="22"/>
              </w:rPr>
              <w:t>(</w:t>
            </w:r>
            <w:r w:rsidRPr="005A54C3">
              <w:rPr>
                <w:rFonts w:asciiTheme="majorBidi" w:hAnsiTheme="majorBidi" w:cstheme="majorBidi"/>
                <w:color w:val="212121"/>
              </w:rPr>
              <w:t>10.18)</w:t>
            </w:r>
          </w:p>
        </w:tc>
        <w:tc>
          <w:tcPr>
            <w:tcW w:w="1830" w:type="dxa"/>
            <w:tcMar>
              <w:top w:w="56" w:type="dxa"/>
              <w:left w:w="56" w:type="dxa"/>
              <w:bottom w:w="56" w:type="dxa"/>
              <w:right w:w="56" w:type="dxa"/>
            </w:tcMar>
            <w:vAlign w:val="center"/>
          </w:tcPr>
          <w:p w14:paraId="0CECC106"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30.05</w:t>
            </w:r>
            <w:r w:rsidRPr="005A54C3">
              <w:rPr>
                <w:rFonts w:asciiTheme="majorBidi" w:hAnsiTheme="majorBidi" w:cstheme="majorBidi"/>
                <w:color w:val="212121"/>
                <w:sz w:val="22"/>
                <w:szCs w:val="22"/>
              </w:rPr>
              <w:t xml:space="preserve"> (</w:t>
            </w:r>
            <w:r w:rsidRPr="005A54C3">
              <w:rPr>
                <w:rFonts w:asciiTheme="majorBidi" w:hAnsiTheme="majorBidi" w:cstheme="majorBidi"/>
                <w:color w:val="212121"/>
              </w:rPr>
              <w:t>15.06)</w:t>
            </w:r>
          </w:p>
        </w:tc>
        <w:tc>
          <w:tcPr>
            <w:tcW w:w="1207" w:type="dxa"/>
            <w:tcMar>
              <w:top w:w="56" w:type="dxa"/>
              <w:left w:w="56" w:type="dxa"/>
              <w:bottom w:w="56" w:type="dxa"/>
              <w:right w:w="56" w:type="dxa"/>
            </w:tcMar>
            <w:vAlign w:val="center"/>
          </w:tcPr>
          <w:p w14:paraId="71B5BC92" w14:textId="77777777" w:rsidR="00532C03" w:rsidRPr="005A54C3" w:rsidRDefault="00E8712F" w:rsidP="00A25780">
            <w:pPr>
              <w:spacing w:line="240" w:lineRule="auto"/>
              <w:ind w:left="1"/>
              <w:rPr>
                <w:rFonts w:asciiTheme="majorBidi" w:hAnsiTheme="majorBidi" w:cstheme="majorBidi"/>
                <w:color w:val="212121"/>
              </w:rPr>
            </w:pPr>
            <w:r w:rsidRPr="005A54C3">
              <w:rPr>
                <w:rFonts w:asciiTheme="majorBidi" w:hAnsiTheme="majorBidi" w:cstheme="majorBidi"/>
                <w:color w:val="212121"/>
              </w:rPr>
              <w:t xml:space="preserve"> 8.12***</w:t>
            </w:r>
          </w:p>
        </w:tc>
      </w:tr>
      <w:tr w:rsidR="00532C03" w:rsidRPr="005A54C3" w14:paraId="5DBBEAC7" w14:textId="77777777" w:rsidTr="0087783C">
        <w:trPr>
          <w:trHeight w:val="567"/>
        </w:trPr>
        <w:tc>
          <w:tcPr>
            <w:tcW w:w="2040" w:type="dxa"/>
            <w:tcMar>
              <w:top w:w="56" w:type="dxa"/>
              <w:left w:w="56" w:type="dxa"/>
              <w:bottom w:w="56" w:type="dxa"/>
              <w:right w:w="56" w:type="dxa"/>
            </w:tcMar>
            <w:vAlign w:val="center"/>
          </w:tcPr>
          <w:p w14:paraId="5C6DAC37"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 xml:space="preserve">Asymptomatic </w:t>
            </w:r>
          </w:p>
        </w:tc>
        <w:tc>
          <w:tcPr>
            <w:tcW w:w="1800" w:type="dxa"/>
            <w:tcMar>
              <w:top w:w="56" w:type="dxa"/>
              <w:left w:w="56" w:type="dxa"/>
              <w:bottom w:w="56" w:type="dxa"/>
              <w:right w:w="56" w:type="dxa"/>
            </w:tcMar>
            <w:vAlign w:val="center"/>
          </w:tcPr>
          <w:p w14:paraId="7674ACC5"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 xml:space="preserve">1,133  </w:t>
            </w:r>
          </w:p>
        </w:tc>
        <w:tc>
          <w:tcPr>
            <w:tcW w:w="1770" w:type="dxa"/>
            <w:tcMar>
              <w:top w:w="56" w:type="dxa"/>
              <w:left w:w="56" w:type="dxa"/>
              <w:bottom w:w="56" w:type="dxa"/>
              <w:right w:w="56" w:type="dxa"/>
            </w:tcMar>
            <w:vAlign w:val="center"/>
          </w:tcPr>
          <w:p w14:paraId="7514E5E4"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126 (54.6)</w:t>
            </w:r>
          </w:p>
        </w:tc>
        <w:tc>
          <w:tcPr>
            <w:tcW w:w="1830" w:type="dxa"/>
            <w:tcMar>
              <w:top w:w="56" w:type="dxa"/>
              <w:left w:w="56" w:type="dxa"/>
              <w:bottom w:w="56" w:type="dxa"/>
              <w:right w:w="56" w:type="dxa"/>
            </w:tcMar>
            <w:vAlign w:val="center"/>
          </w:tcPr>
          <w:p w14:paraId="3DC4646C"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1,007 (61.5)</w:t>
            </w:r>
          </w:p>
        </w:tc>
        <w:tc>
          <w:tcPr>
            <w:tcW w:w="1207" w:type="dxa"/>
            <w:tcMar>
              <w:top w:w="56" w:type="dxa"/>
              <w:left w:w="56" w:type="dxa"/>
              <w:bottom w:w="56" w:type="dxa"/>
              <w:right w:w="56" w:type="dxa"/>
            </w:tcMar>
            <w:vAlign w:val="center"/>
          </w:tcPr>
          <w:p w14:paraId="324D622B" w14:textId="77777777" w:rsidR="00532C03" w:rsidRPr="005A54C3" w:rsidRDefault="00E8712F" w:rsidP="00A25780">
            <w:pPr>
              <w:spacing w:line="240" w:lineRule="auto"/>
              <w:ind w:left="1"/>
              <w:rPr>
                <w:rFonts w:asciiTheme="majorBidi" w:hAnsiTheme="majorBidi" w:cstheme="majorBidi"/>
                <w:color w:val="212121"/>
              </w:rPr>
            </w:pPr>
            <w:r w:rsidRPr="005A54C3">
              <w:rPr>
                <w:rFonts w:asciiTheme="majorBidi" w:hAnsiTheme="majorBidi" w:cstheme="majorBidi"/>
                <w:color w:val="212121"/>
              </w:rPr>
              <w:t xml:space="preserve">2.01* </w:t>
            </w:r>
          </w:p>
        </w:tc>
      </w:tr>
      <w:tr w:rsidR="00532C03" w:rsidRPr="005A54C3" w14:paraId="5EAB9BBC" w14:textId="77777777" w:rsidTr="0087783C">
        <w:trPr>
          <w:trHeight w:val="567"/>
        </w:trPr>
        <w:tc>
          <w:tcPr>
            <w:tcW w:w="2040" w:type="dxa"/>
            <w:tcMar>
              <w:top w:w="56" w:type="dxa"/>
              <w:left w:w="56" w:type="dxa"/>
              <w:bottom w:w="56" w:type="dxa"/>
              <w:right w:w="56" w:type="dxa"/>
            </w:tcMar>
            <w:vAlign w:val="center"/>
          </w:tcPr>
          <w:p w14:paraId="0D2AC85C"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 xml:space="preserve">Symptomatic </w:t>
            </w:r>
          </w:p>
        </w:tc>
        <w:tc>
          <w:tcPr>
            <w:tcW w:w="1800" w:type="dxa"/>
            <w:tcMar>
              <w:top w:w="56" w:type="dxa"/>
              <w:left w:w="56" w:type="dxa"/>
              <w:bottom w:w="56" w:type="dxa"/>
              <w:right w:w="56" w:type="dxa"/>
            </w:tcMar>
            <w:vAlign w:val="center"/>
          </w:tcPr>
          <w:p w14:paraId="3D5532C3"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737</w:t>
            </w:r>
          </w:p>
        </w:tc>
        <w:tc>
          <w:tcPr>
            <w:tcW w:w="1770" w:type="dxa"/>
            <w:tcMar>
              <w:top w:w="56" w:type="dxa"/>
              <w:left w:w="56" w:type="dxa"/>
              <w:bottom w:w="56" w:type="dxa"/>
              <w:right w:w="56" w:type="dxa"/>
            </w:tcMar>
            <w:vAlign w:val="center"/>
          </w:tcPr>
          <w:p w14:paraId="0889254E"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105 (45.5)</w:t>
            </w:r>
          </w:p>
        </w:tc>
        <w:tc>
          <w:tcPr>
            <w:tcW w:w="1830" w:type="dxa"/>
            <w:tcMar>
              <w:top w:w="56" w:type="dxa"/>
              <w:left w:w="56" w:type="dxa"/>
              <w:bottom w:w="56" w:type="dxa"/>
              <w:right w:w="56" w:type="dxa"/>
            </w:tcMar>
            <w:vAlign w:val="center"/>
          </w:tcPr>
          <w:p w14:paraId="1068D93C"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632 (38.5)</w:t>
            </w:r>
          </w:p>
        </w:tc>
        <w:tc>
          <w:tcPr>
            <w:tcW w:w="1207" w:type="dxa"/>
            <w:tcMar>
              <w:top w:w="56" w:type="dxa"/>
              <w:left w:w="56" w:type="dxa"/>
              <w:bottom w:w="56" w:type="dxa"/>
              <w:right w:w="56" w:type="dxa"/>
            </w:tcMar>
            <w:vAlign w:val="center"/>
          </w:tcPr>
          <w:p w14:paraId="2162999B" w14:textId="77777777" w:rsidR="00532C03" w:rsidRPr="005A54C3" w:rsidRDefault="00E8712F" w:rsidP="00A25780">
            <w:pPr>
              <w:spacing w:line="240" w:lineRule="auto"/>
              <w:ind w:left="1"/>
              <w:rPr>
                <w:rFonts w:asciiTheme="majorBidi" w:hAnsiTheme="majorBidi" w:cstheme="majorBidi"/>
                <w:color w:val="212121"/>
              </w:rPr>
            </w:pPr>
            <w:r w:rsidRPr="005A54C3">
              <w:rPr>
                <w:rFonts w:asciiTheme="majorBidi" w:hAnsiTheme="majorBidi" w:cstheme="majorBidi"/>
                <w:color w:val="212121"/>
              </w:rPr>
              <w:t xml:space="preserve">-2.01* </w:t>
            </w:r>
          </w:p>
        </w:tc>
      </w:tr>
      <w:tr w:rsidR="00532C03" w:rsidRPr="005A54C3" w14:paraId="03D9B1B8" w14:textId="77777777" w:rsidTr="0087783C">
        <w:trPr>
          <w:trHeight w:val="567"/>
        </w:trPr>
        <w:tc>
          <w:tcPr>
            <w:tcW w:w="2040" w:type="dxa"/>
            <w:tcMar>
              <w:top w:w="56" w:type="dxa"/>
              <w:left w:w="56" w:type="dxa"/>
              <w:bottom w:w="56" w:type="dxa"/>
              <w:right w:w="56" w:type="dxa"/>
            </w:tcMar>
            <w:vAlign w:val="center"/>
          </w:tcPr>
          <w:p w14:paraId="78825F9F" w14:textId="77777777" w:rsidR="00532C03" w:rsidRPr="005A54C3" w:rsidRDefault="00E8712F" w:rsidP="00A25780">
            <w:pPr>
              <w:spacing w:line="240" w:lineRule="auto"/>
              <w:rPr>
                <w:rFonts w:asciiTheme="majorBidi" w:hAnsiTheme="majorBidi" w:cstheme="majorBidi"/>
                <w:color w:val="212121"/>
                <w:vertAlign w:val="superscript"/>
              </w:rPr>
            </w:pPr>
            <w:r w:rsidRPr="005A54C3">
              <w:rPr>
                <w:rFonts w:asciiTheme="majorBidi" w:hAnsiTheme="majorBidi" w:cstheme="majorBidi"/>
                <w:color w:val="212121"/>
              </w:rPr>
              <w:t xml:space="preserve">   </w:t>
            </w:r>
            <w:r w:rsidR="00ED6A98" w:rsidRPr="005A54C3">
              <w:rPr>
                <w:rFonts w:asciiTheme="majorBidi" w:hAnsiTheme="majorBidi" w:cstheme="majorBidi"/>
                <w:color w:val="212121"/>
              </w:rPr>
              <w:t xml:space="preserve"> </w:t>
            </w:r>
            <w:r w:rsidRPr="005A54C3">
              <w:rPr>
                <w:rFonts w:asciiTheme="majorBidi" w:hAnsiTheme="majorBidi" w:cstheme="majorBidi"/>
                <w:color w:val="212121"/>
              </w:rPr>
              <w:t>Fever</w:t>
            </w:r>
            <w:r w:rsidR="0087783C" w:rsidRPr="005A54C3">
              <w:rPr>
                <w:rFonts w:asciiTheme="majorBidi" w:hAnsiTheme="majorBidi" w:cstheme="majorBidi"/>
                <w:color w:val="212121"/>
              </w:rPr>
              <w:t xml:space="preserve"> </w:t>
            </w:r>
            <w:r w:rsidR="001D5F6D" w:rsidRPr="005A54C3">
              <w:rPr>
                <w:rFonts w:asciiTheme="majorBidi" w:hAnsiTheme="majorBidi" w:cstheme="majorBidi"/>
                <w:vertAlign w:val="superscript"/>
              </w:rPr>
              <w:t>a</w:t>
            </w:r>
          </w:p>
        </w:tc>
        <w:tc>
          <w:tcPr>
            <w:tcW w:w="1800" w:type="dxa"/>
            <w:tcMar>
              <w:top w:w="56" w:type="dxa"/>
              <w:left w:w="56" w:type="dxa"/>
              <w:bottom w:w="56" w:type="dxa"/>
              <w:right w:w="56" w:type="dxa"/>
            </w:tcMar>
            <w:vAlign w:val="center"/>
          </w:tcPr>
          <w:p w14:paraId="3C9B5F48"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89</w:t>
            </w:r>
          </w:p>
        </w:tc>
        <w:tc>
          <w:tcPr>
            <w:tcW w:w="1770" w:type="dxa"/>
            <w:tcMar>
              <w:top w:w="56" w:type="dxa"/>
              <w:left w:w="56" w:type="dxa"/>
              <w:bottom w:w="56" w:type="dxa"/>
              <w:right w:w="56" w:type="dxa"/>
            </w:tcMar>
            <w:vAlign w:val="center"/>
          </w:tcPr>
          <w:p w14:paraId="2FA32533"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25 (23.8)</w:t>
            </w:r>
          </w:p>
        </w:tc>
        <w:tc>
          <w:tcPr>
            <w:tcW w:w="1830" w:type="dxa"/>
            <w:tcMar>
              <w:top w:w="56" w:type="dxa"/>
              <w:left w:w="56" w:type="dxa"/>
              <w:bottom w:w="56" w:type="dxa"/>
              <w:right w:w="56" w:type="dxa"/>
            </w:tcMar>
            <w:vAlign w:val="center"/>
          </w:tcPr>
          <w:p w14:paraId="20D6D96A"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64 (10.1)</w:t>
            </w:r>
          </w:p>
        </w:tc>
        <w:tc>
          <w:tcPr>
            <w:tcW w:w="1207" w:type="dxa"/>
            <w:tcMar>
              <w:top w:w="56" w:type="dxa"/>
              <w:left w:w="56" w:type="dxa"/>
              <w:bottom w:w="56" w:type="dxa"/>
              <w:right w:w="56" w:type="dxa"/>
            </w:tcMar>
            <w:vAlign w:val="center"/>
          </w:tcPr>
          <w:p w14:paraId="6D5F80B6" w14:textId="77777777" w:rsidR="00532C03" w:rsidRPr="005A54C3" w:rsidRDefault="00E8712F" w:rsidP="00A25780">
            <w:pPr>
              <w:spacing w:line="240" w:lineRule="auto"/>
              <w:ind w:left="1"/>
              <w:rPr>
                <w:rFonts w:asciiTheme="majorBidi" w:hAnsiTheme="majorBidi" w:cstheme="majorBidi"/>
                <w:color w:val="212121"/>
              </w:rPr>
            </w:pPr>
            <w:r w:rsidRPr="005A54C3">
              <w:rPr>
                <w:rFonts w:asciiTheme="majorBidi" w:hAnsiTheme="majorBidi" w:cstheme="majorBidi"/>
                <w:color w:val="212121"/>
              </w:rPr>
              <w:t xml:space="preserve">-3.98*** </w:t>
            </w:r>
          </w:p>
        </w:tc>
      </w:tr>
      <w:tr w:rsidR="00532C03" w:rsidRPr="005A54C3" w14:paraId="26899BC8" w14:textId="77777777" w:rsidTr="0087783C">
        <w:trPr>
          <w:trHeight w:val="567"/>
        </w:trPr>
        <w:tc>
          <w:tcPr>
            <w:tcW w:w="2040" w:type="dxa"/>
            <w:tcMar>
              <w:top w:w="56" w:type="dxa"/>
              <w:left w:w="56" w:type="dxa"/>
              <w:bottom w:w="56" w:type="dxa"/>
              <w:right w:w="56" w:type="dxa"/>
            </w:tcMar>
            <w:vAlign w:val="center"/>
          </w:tcPr>
          <w:p w14:paraId="51838D06"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 xml:space="preserve">   </w:t>
            </w:r>
            <w:r w:rsidR="00ED6A98" w:rsidRPr="005A54C3">
              <w:rPr>
                <w:rFonts w:asciiTheme="majorBidi" w:hAnsiTheme="majorBidi" w:cstheme="majorBidi"/>
                <w:color w:val="212121"/>
              </w:rPr>
              <w:t xml:space="preserve"> </w:t>
            </w:r>
            <w:r w:rsidRPr="005A54C3">
              <w:rPr>
                <w:rFonts w:asciiTheme="majorBidi" w:hAnsiTheme="majorBidi" w:cstheme="majorBidi"/>
                <w:color w:val="212121"/>
              </w:rPr>
              <w:t>Pneumonia</w:t>
            </w:r>
            <w:r w:rsidR="0087783C" w:rsidRPr="005A54C3">
              <w:rPr>
                <w:rFonts w:asciiTheme="majorBidi" w:hAnsiTheme="majorBidi" w:cstheme="majorBidi"/>
                <w:color w:val="212121"/>
              </w:rPr>
              <w:t xml:space="preserve"> </w:t>
            </w:r>
            <w:r w:rsidR="001D5F6D" w:rsidRPr="005A54C3">
              <w:rPr>
                <w:rFonts w:asciiTheme="majorBidi" w:hAnsiTheme="majorBidi" w:cstheme="majorBidi"/>
                <w:color w:val="212121"/>
                <w:vertAlign w:val="superscript"/>
              </w:rPr>
              <w:t>b</w:t>
            </w:r>
          </w:p>
        </w:tc>
        <w:tc>
          <w:tcPr>
            <w:tcW w:w="1800" w:type="dxa"/>
            <w:tcMar>
              <w:top w:w="56" w:type="dxa"/>
              <w:left w:w="56" w:type="dxa"/>
              <w:bottom w:w="56" w:type="dxa"/>
              <w:right w:w="56" w:type="dxa"/>
            </w:tcMar>
            <w:vAlign w:val="center"/>
          </w:tcPr>
          <w:p w14:paraId="3EC60D53"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11</w:t>
            </w:r>
          </w:p>
        </w:tc>
        <w:tc>
          <w:tcPr>
            <w:tcW w:w="1770" w:type="dxa"/>
            <w:tcMar>
              <w:top w:w="56" w:type="dxa"/>
              <w:left w:w="56" w:type="dxa"/>
              <w:bottom w:w="56" w:type="dxa"/>
              <w:right w:w="56" w:type="dxa"/>
            </w:tcMar>
            <w:vAlign w:val="center"/>
          </w:tcPr>
          <w:p w14:paraId="4EFA0371"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6 (5.7)</w:t>
            </w:r>
          </w:p>
        </w:tc>
        <w:tc>
          <w:tcPr>
            <w:tcW w:w="1830" w:type="dxa"/>
            <w:tcMar>
              <w:top w:w="56" w:type="dxa"/>
              <w:left w:w="56" w:type="dxa"/>
              <w:bottom w:w="56" w:type="dxa"/>
              <w:right w:w="56" w:type="dxa"/>
            </w:tcMar>
            <w:vAlign w:val="center"/>
          </w:tcPr>
          <w:p w14:paraId="6862DB2B"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5 (0.6)</w:t>
            </w:r>
          </w:p>
        </w:tc>
        <w:tc>
          <w:tcPr>
            <w:tcW w:w="1207" w:type="dxa"/>
            <w:tcMar>
              <w:top w:w="56" w:type="dxa"/>
              <w:left w:w="56" w:type="dxa"/>
              <w:bottom w:w="56" w:type="dxa"/>
              <w:right w:w="56" w:type="dxa"/>
            </w:tcMar>
            <w:vAlign w:val="center"/>
          </w:tcPr>
          <w:p w14:paraId="337EE7A6" w14:textId="77777777" w:rsidR="00532C03" w:rsidRPr="005A54C3" w:rsidRDefault="00E8712F" w:rsidP="00A25780">
            <w:pPr>
              <w:spacing w:line="240" w:lineRule="auto"/>
              <w:ind w:left="1"/>
              <w:rPr>
                <w:rFonts w:asciiTheme="majorBidi" w:hAnsiTheme="majorBidi" w:cstheme="majorBidi"/>
                <w:color w:val="212121"/>
              </w:rPr>
            </w:pPr>
            <w:r w:rsidRPr="005A54C3">
              <w:rPr>
                <w:rFonts w:asciiTheme="majorBidi" w:hAnsiTheme="majorBidi" w:cstheme="majorBidi"/>
                <w:color w:val="212121"/>
              </w:rPr>
              <w:t xml:space="preserve"> -4.17***</w:t>
            </w:r>
          </w:p>
        </w:tc>
      </w:tr>
      <w:tr w:rsidR="00532C03" w:rsidRPr="005A54C3" w14:paraId="7489658C" w14:textId="77777777" w:rsidTr="0087783C">
        <w:trPr>
          <w:trHeight w:val="567"/>
        </w:trPr>
        <w:tc>
          <w:tcPr>
            <w:tcW w:w="2040" w:type="dxa"/>
            <w:tcMar>
              <w:top w:w="56" w:type="dxa"/>
              <w:left w:w="56" w:type="dxa"/>
              <w:bottom w:w="56" w:type="dxa"/>
              <w:right w:w="56" w:type="dxa"/>
            </w:tcMar>
            <w:vAlign w:val="center"/>
          </w:tcPr>
          <w:p w14:paraId="0829FE48"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 xml:space="preserve">   </w:t>
            </w:r>
            <w:r w:rsidR="00ED6A98" w:rsidRPr="005A54C3">
              <w:rPr>
                <w:rFonts w:asciiTheme="majorBidi" w:hAnsiTheme="majorBidi" w:cstheme="majorBidi"/>
                <w:color w:val="212121"/>
              </w:rPr>
              <w:t xml:space="preserve"> </w:t>
            </w:r>
            <w:r w:rsidRPr="005A54C3">
              <w:rPr>
                <w:rFonts w:asciiTheme="majorBidi" w:hAnsiTheme="majorBidi" w:cstheme="majorBidi"/>
                <w:color w:val="212121"/>
              </w:rPr>
              <w:t>Anosmia</w:t>
            </w:r>
          </w:p>
        </w:tc>
        <w:tc>
          <w:tcPr>
            <w:tcW w:w="1800" w:type="dxa"/>
            <w:tcMar>
              <w:top w:w="56" w:type="dxa"/>
              <w:left w:w="56" w:type="dxa"/>
              <w:bottom w:w="56" w:type="dxa"/>
              <w:right w:w="56" w:type="dxa"/>
            </w:tcMar>
            <w:vAlign w:val="center"/>
          </w:tcPr>
          <w:p w14:paraId="4E0CD397"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86</w:t>
            </w:r>
          </w:p>
        </w:tc>
        <w:tc>
          <w:tcPr>
            <w:tcW w:w="1770" w:type="dxa"/>
            <w:tcMar>
              <w:top w:w="56" w:type="dxa"/>
              <w:left w:w="56" w:type="dxa"/>
              <w:bottom w:w="56" w:type="dxa"/>
              <w:right w:w="56" w:type="dxa"/>
            </w:tcMar>
            <w:vAlign w:val="center"/>
          </w:tcPr>
          <w:p w14:paraId="5D1E33FA"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15 (14.3)</w:t>
            </w:r>
          </w:p>
        </w:tc>
        <w:tc>
          <w:tcPr>
            <w:tcW w:w="1830" w:type="dxa"/>
            <w:tcMar>
              <w:top w:w="56" w:type="dxa"/>
              <w:left w:w="56" w:type="dxa"/>
              <w:bottom w:w="56" w:type="dxa"/>
              <w:right w:w="56" w:type="dxa"/>
            </w:tcMar>
            <w:vAlign w:val="center"/>
          </w:tcPr>
          <w:p w14:paraId="6ABCDBC7"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71 (11.2)</w:t>
            </w:r>
          </w:p>
        </w:tc>
        <w:tc>
          <w:tcPr>
            <w:tcW w:w="1207" w:type="dxa"/>
            <w:tcMar>
              <w:top w:w="56" w:type="dxa"/>
              <w:left w:w="56" w:type="dxa"/>
              <w:bottom w:w="56" w:type="dxa"/>
              <w:right w:w="56" w:type="dxa"/>
            </w:tcMar>
            <w:vAlign w:val="center"/>
          </w:tcPr>
          <w:p w14:paraId="6A4858F4" w14:textId="77777777" w:rsidR="00532C03" w:rsidRPr="005A54C3" w:rsidRDefault="00E8712F" w:rsidP="00A25780">
            <w:pPr>
              <w:spacing w:line="240" w:lineRule="auto"/>
              <w:ind w:left="1"/>
              <w:rPr>
                <w:rFonts w:asciiTheme="majorBidi" w:hAnsiTheme="majorBidi" w:cstheme="majorBidi"/>
                <w:color w:val="212121"/>
              </w:rPr>
            </w:pPr>
            <w:r w:rsidRPr="005A54C3">
              <w:rPr>
                <w:rFonts w:asciiTheme="majorBidi" w:hAnsiTheme="majorBidi" w:cstheme="majorBidi"/>
                <w:color w:val="212121"/>
              </w:rPr>
              <w:t xml:space="preserve">-0.90  </w:t>
            </w:r>
          </w:p>
        </w:tc>
      </w:tr>
      <w:tr w:rsidR="00532C03" w:rsidRPr="005A54C3" w14:paraId="181C33F6" w14:textId="77777777" w:rsidTr="0087783C">
        <w:trPr>
          <w:trHeight w:val="567"/>
        </w:trPr>
        <w:tc>
          <w:tcPr>
            <w:tcW w:w="2040" w:type="dxa"/>
            <w:tcMar>
              <w:top w:w="56" w:type="dxa"/>
              <w:left w:w="56" w:type="dxa"/>
              <w:bottom w:w="56" w:type="dxa"/>
              <w:right w:w="56" w:type="dxa"/>
            </w:tcMar>
            <w:vAlign w:val="center"/>
          </w:tcPr>
          <w:p w14:paraId="5609B50D"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 xml:space="preserve">   </w:t>
            </w:r>
            <w:r w:rsidR="00ED6A98" w:rsidRPr="005A54C3">
              <w:rPr>
                <w:rFonts w:asciiTheme="majorBidi" w:hAnsiTheme="majorBidi" w:cstheme="majorBidi"/>
                <w:color w:val="212121"/>
              </w:rPr>
              <w:t xml:space="preserve"> </w:t>
            </w:r>
            <w:r w:rsidRPr="005A54C3">
              <w:rPr>
                <w:rFonts w:asciiTheme="majorBidi" w:hAnsiTheme="majorBidi" w:cstheme="majorBidi"/>
                <w:color w:val="212121"/>
              </w:rPr>
              <w:t>URTI</w:t>
            </w:r>
          </w:p>
        </w:tc>
        <w:tc>
          <w:tcPr>
            <w:tcW w:w="1800" w:type="dxa"/>
            <w:tcMar>
              <w:top w:w="56" w:type="dxa"/>
              <w:left w:w="56" w:type="dxa"/>
              <w:bottom w:w="56" w:type="dxa"/>
              <w:right w:w="56" w:type="dxa"/>
            </w:tcMar>
            <w:vAlign w:val="center"/>
          </w:tcPr>
          <w:p w14:paraId="4D73A40A"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456</w:t>
            </w:r>
          </w:p>
        </w:tc>
        <w:tc>
          <w:tcPr>
            <w:tcW w:w="1770" w:type="dxa"/>
            <w:tcMar>
              <w:top w:w="56" w:type="dxa"/>
              <w:left w:w="56" w:type="dxa"/>
              <w:bottom w:w="56" w:type="dxa"/>
              <w:right w:w="56" w:type="dxa"/>
            </w:tcMar>
            <w:vAlign w:val="center"/>
          </w:tcPr>
          <w:p w14:paraId="6868F82F"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43 (41.0)</w:t>
            </w:r>
          </w:p>
        </w:tc>
        <w:tc>
          <w:tcPr>
            <w:tcW w:w="1830" w:type="dxa"/>
            <w:tcMar>
              <w:top w:w="56" w:type="dxa"/>
              <w:left w:w="56" w:type="dxa"/>
              <w:bottom w:w="56" w:type="dxa"/>
              <w:right w:w="56" w:type="dxa"/>
            </w:tcMar>
            <w:vAlign w:val="center"/>
          </w:tcPr>
          <w:p w14:paraId="1E061A23"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413 (65.4)</w:t>
            </w:r>
          </w:p>
        </w:tc>
        <w:tc>
          <w:tcPr>
            <w:tcW w:w="1207" w:type="dxa"/>
            <w:tcMar>
              <w:top w:w="56" w:type="dxa"/>
              <w:left w:w="56" w:type="dxa"/>
              <w:bottom w:w="56" w:type="dxa"/>
              <w:right w:w="56" w:type="dxa"/>
            </w:tcMar>
            <w:vAlign w:val="center"/>
          </w:tcPr>
          <w:p w14:paraId="6B257C3E" w14:textId="77777777" w:rsidR="00532C03" w:rsidRPr="005A54C3" w:rsidRDefault="00E8712F" w:rsidP="00A25780">
            <w:pPr>
              <w:spacing w:line="240" w:lineRule="auto"/>
              <w:ind w:left="1"/>
              <w:rPr>
                <w:rFonts w:asciiTheme="majorBidi" w:hAnsiTheme="majorBidi" w:cstheme="majorBidi"/>
                <w:color w:val="212121"/>
              </w:rPr>
            </w:pPr>
            <w:r w:rsidRPr="005A54C3">
              <w:rPr>
                <w:rFonts w:asciiTheme="majorBidi" w:hAnsiTheme="majorBidi" w:cstheme="majorBidi"/>
                <w:color w:val="212121"/>
              </w:rPr>
              <w:t xml:space="preserve"> 5.39 ***</w:t>
            </w:r>
          </w:p>
        </w:tc>
      </w:tr>
      <w:tr w:rsidR="00532C03" w:rsidRPr="005A54C3" w14:paraId="067A9BA7" w14:textId="77777777" w:rsidTr="0087783C">
        <w:trPr>
          <w:trHeight w:val="567"/>
        </w:trPr>
        <w:tc>
          <w:tcPr>
            <w:tcW w:w="2040" w:type="dxa"/>
            <w:tcMar>
              <w:top w:w="56" w:type="dxa"/>
              <w:left w:w="56" w:type="dxa"/>
              <w:bottom w:w="56" w:type="dxa"/>
              <w:right w:w="56" w:type="dxa"/>
            </w:tcMar>
            <w:vAlign w:val="center"/>
          </w:tcPr>
          <w:p w14:paraId="0D022B54"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 xml:space="preserve">   </w:t>
            </w:r>
            <w:r w:rsidR="00ED6A98" w:rsidRPr="005A54C3">
              <w:rPr>
                <w:rFonts w:asciiTheme="majorBidi" w:hAnsiTheme="majorBidi" w:cstheme="majorBidi"/>
                <w:color w:val="212121"/>
              </w:rPr>
              <w:t xml:space="preserve"> </w:t>
            </w:r>
            <w:r w:rsidRPr="005A54C3">
              <w:rPr>
                <w:rFonts w:asciiTheme="majorBidi" w:hAnsiTheme="majorBidi" w:cstheme="majorBidi"/>
                <w:color w:val="212121"/>
              </w:rPr>
              <w:t xml:space="preserve">Gastrointestinal </w:t>
            </w:r>
            <w:r w:rsidR="001D5F6D" w:rsidRPr="005A54C3">
              <w:rPr>
                <w:rFonts w:asciiTheme="majorBidi" w:hAnsiTheme="majorBidi" w:cstheme="majorBidi"/>
                <w:color w:val="212121"/>
                <w:vertAlign w:val="superscript"/>
              </w:rPr>
              <w:t>c</w:t>
            </w:r>
          </w:p>
        </w:tc>
        <w:tc>
          <w:tcPr>
            <w:tcW w:w="1800" w:type="dxa"/>
            <w:tcMar>
              <w:top w:w="56" w:type="dxa"/>
              <w:left w:w="56" w:type="dxa"/>
              <w:bottom w:w="56" w:type="dxa"/>
              <w:right w:w="56" w:type="dxa"/>
            </w:tcMar>
            <w:vAlign w:val="center"/>
          </w:tcPr>
          <w:p w14:paraId="2744E985"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27</w:t>
            </w:r>
          </w:p>
        </w:tc>
        <w:tc>
          <w:tcPr>
            <w:tcW w:w="1770" w:type="dxa"/>
            <w:tcMar>
              <w:top w:w="56" w:type="dxa"/>
              <w:left w:w="56" w:type="dxa"/>
              <w:bottom w:w="56" w:type="dxa"/>
              <w:right w:w="56" w:type="dxa"/>
            </w:tcMar>
            <w:vAlign w:val="center"/>
          </w:tcPr>
          <w:p w14:paraId="19BF490B"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6 (5.7)</w:t>
            </w:r>
          </w:p>
        </w:tc>
        <w:tc>
          <w:tcPr>
            <w:tcW w:w="1830" w:type="dxa"/>
            <w:tcMar>
              <w:top w:w="56" w:type="dxa"/>
              <w:left w:w="56" w:type="dxa"/>
              <w:bottom w:w="56" w:type="dxa"/>
              <w:right w:w="56" w:type="dxa"/>
            </w:tcMar>
            <w:vAlign w:val="center"/>
          </w:tcPr>
          <w:p w14:paraId="5A61E789"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21 (3.3)</w:t>
            </w:r>
          </w:p>
        </w:tc>
        <w:tc>
          <w:tcPr>
            <w:tcW w:w="1207" w:type="dxa"/>
            <w:tcMar>
              <w:top w:w="56" w:type="dxa"/>
              <w:left w:w="56" w:type="dxa"/>
              <w:bottom w:w="56" w:type="dxa"/>
              <w:right w:w="56" w:type="dxa"/>
            </w:tcMar>
            <w:vAlign w:val="center"/>
          </w:tcPr>
          <w:p w14:paraId="78FC69FA" w14:textId="77777777" w:rsidR="00532C03" w:rsidRPr="005A54C3" w:rsidRDefault="00E8712F" w:rsidP="00A25780">
            <w:pPr>
              <w:spacing w:line="240" w:lineRule="auto"/>
              <w:ind w:left="1"/>
              <w:rPr>
                <w:rFonts w:asciiTheme="majorBidi" w:hAnsiTheme="majorBidi" w:cstheme="majorBidi"/>
                <w:color w:val="212121"/>
              </w:rPr>
            </w:pPr>
            <w:r w:rsidRPr="005A54C3">
              <w:rPr>
                <w:rFonts w:asciiTheme="majorBidi" w:hAnsiTheme="majorBidi" w:cstheme="majorBidi"/>
                <w:color w:val="212121"/>
              </w:rPr>
              <w:t xml:space="preserve">-1.21 </w:t>
            </w:r>
          </w:p>
        </w:tc>
      </w:tr>
      <w:tr w:rsidR="00532C03" w:rsidRPr="005A54C3" w14:paraId="6D13E9DF" w14:textId="77777777" w:rsidTr="0087783C">
        <w:trPr>
          <w:trHeight w:val="567"/>
        </w:trPr>
        <w:tc>
          <w:tcPr>
            <w:tcW w:w="2040" w:type="dxa"/>
            <w:tcBorders>
              <w:bottom w:val="single" w:sz="4" w:space="0" w:color="auto"/>
            </w:tcBorders>
            <w:tcMar>
              <w:top w:w="56" w:type="dxa"/>
              <w:left w:w="56" w:type="dxa"/>
              <w:bottom w:w="56" w:type="dxa"/>
              <w:right w:w="56" w:type="dxa"/>
            </w:tcMar>
            <w:vAlign w:val="center"/>
          </w:tcPr>
          <w:p w14:paraId="28B204A6"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 xml:space="preserve">   </w:t>
            </w:r>
            <w:r w:rsidR="00ED6A98" w:rsidRPr="005A54C3">
              <w:rPr>
                <w:rFonts w:asciiTheme="majorBidi" w:hAnsiTheme="majorBidi" w:cstheme="majorBidi"/>
                <w:color w:val="212121"/>
              </w:rPr>
              <w:t xml:space="preserve"> </w:t>
            </w:r>
            <w:r w:rsidRPr="005A54C3">
              <w:rPr>
                <w:rFonts w:asciiTheme="majorBidi" w:hAnsiTheme="majorBidi" w:cstheme="majorBidi"/>
                <w:color w:val="212121"/>
              </w:rPr>
              <w:t xml:space="preserve">Neurological </w:t>
            </w:r>
            <w:r w:rsidR="001D5F6D" w:rsidRPr="005A54C3">
              <w:rPr>
                <w:rFonts w:asciiTheme="majorBidi" w:hAnsiTheme="majorBidi" w:cstheme="majorBidi"/>
                <w:color w:val="212121"/>
                <w:vertAlign w:val="superscript"/>
              </w:rPr>
              <w:t>c</w:t>
            </w:r>
          </w:p>
        </w:tc>
        <w:tc>
          <w:tcPr>
            <w:tcW w:w="1800" w:type="dxa"/>
            <w:tcBorders>
              <w:bottom w:val="single" w:sz="4" w:space="0" w:color="auto"/>
            </w:tcBorders>
            <w:tcMar>
              <w:top w:w="56" w:type="dxa"/>
              <w:left w:w="56" w:type="dxa"/>
              <w:bottom w:w="56" w:type="dxa"/>
              <w:right w:w="56" w:type="dxa"/>
            </w:tcMar>
            <w:vAlign w:val="center"/>
          </w:tcPr>
          <w:p w14:paraId="506929DF"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69</w:t>
            </w:r>
          </w:p>
        </w:tc>
        <w:tc>
          <w:tcPr>
            <w:tcW w:w="1770" w:type="dxa"/>
            <w:tcBorders>
              <w:bottom w:val="single" w:sz="4" w:space="0" w:color="auto"/>
            </w:tcBorders>
            <w:tcMar>
              <w:top w:w="56" w:type="dxa"/>
              <w:left w:w="56" w:type="dxa"/>
              <w:bottom w:w="56" w:type="dxa"/>
              <w:right w:w="56" w:type="dxa"/>
            </w:tcMar>
            <w:vAlign w:val="center"/>
          </w:tcPr>
          <w:p w14:paraId="6D783A7B"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10 (9.5)</w:t>
            </w:r>
          </w:p>
        </w:tc>
        <w:tc>
          <w:tcPr>
            <w:tcW w:w="1830" w:type="dxa"/>
            <w:tcBorders>
              <w:bottom w:val="single" w:sz="4" w:space="0" w:color="auto"/>
            </w:tcBorders>
            <w:tcMar>
              <w:top w:w="56" w:type="dxa"/>
              <w:left w:w="56" w:type="dxa"/>
              <w:bottom w:w="56" w:type="dxa"/>
              <w:right w:w="56" w:type="dxa"/>
            </w:tcMar>
            <w:vAlign w:val="center"/>
          </w:tcPr>
          <w:p w14:paraId="38688528" w14:textId="77777777" w:rsidR="00532C03" w:rsidRPr="005A54C3" w:rsidRDefault="00E8712F" w:rsidP="00A25780">
            <w:pPr>
              <w:spacing w:line="240" w:lineRule="auto"/>
              <w:rPr>
                <w:rFonts w:asciiTheme="majorBidi" w:hAnsiTheme="majorBidi" w:cstheme="majorBidi"/>
                <w:color w:val="212121"/>
              </w:rPr>
            </w:pPr>
            <w:r w:rsidRPr="005A54C3">
              <w:rPr>
                <w:rFonts w:asciiTheme="majorBidi" w:hAnsiTheme="majorBidi" w:cstheme="majorBidi"/>
                <w:color w:val="212121"/>
              </w:rPr>
              <w:t>59 (9.3)</w:t>
            </w:r>
          </w:p>
        </w:tc>
        <w:tc>
          <w:tcPr>
            <w:tcW w:w="1207" w:type="dxa"/>
            <w:tcBorders>
              <w:bottom w:val="single" w:sz="4" w:space="0" w:color="auto"/>
            </w:tcBorders>
            <w:tcMar>
              <w:top w:w="56" w:type="dxa"/>
              <w:left w:w="56" w:type="dxa"/>
              <w:bottom w:w="56" w:type="dxa"/>
              <w:right w:w="56" w:type="dxa"/>
            </w:tcMar>
            <w:vAlign w:val="center"/>
          </w:tcPr>
          <w:p w14:paraId="1CC92EC5" w14:textId="77777777" w:rsidR="00532C03" w:rsidRPr="005A54C3" w:rsidRDefault="00E8712F" w:rsidP="00A25780">
            <w:pPr>
              <w:spacing w:line="240" w:lineRule="auto"/>
              <w:ind w:left="1"/>
              <w:rPr>
                <w:rFonts w:asciiTheme="majorBidi" w:hAnsiTheme="majorBidi" w:cstheme="majorBidi"/>
                <w:color w:val="212121"/>
              </w:rPr>
            </w:pPr>
            <w:r w:rsidRPr="005A54C3">
              <w:rPr>
                <w:rFonts w:asciiTheme="majorBidi" w:hAnsiTheme="majorBidi" w:cstheme="majorBidi"/>
                <w:color w:val="212121"/>
              </w:rPr>
              <w:t xml:space="preserve"> -0.06  </w:t>
            </w:r>
          </w:p>
        </w:tc>
      </w:tr>
    </w:tbl>
    <w:p w14:paraId="2FFFF398" w14:textId="77777777" w:rsidR="0087783C" w:rsidRPr="005A54C3" w:rsidRDefault="0087783C" w:rsidP="00ED6A98">
      <w:pPr>
        <w:spacing w:line="276" w:lineRule="auto"/>
        <w:rPr>
          <w:rFonts w:asciiTheme="majorBidi" w:hAnsiTheme="majorBidi" w:cstheme="majorBidi"/>
          <w:sz w:val="22"/>
          <w:szCs w:val="22"/>
        </w:rPr>
      </w:pPr>
      <w:r w:rsidRPr="005A54C3">
        <w:rPr>
          <w:rFonts w:asciiTheme="majorBidi" w:hAnsiTheme="majorBidi" w:cstheme="majorBidi"/>
          <w:i/>
          <w:sz w:val="22"/>
          <w:szCs w:val="22"/>
        </w:rPr>
        <w:t xml:space="preserve">Note. </w:t>
      </w:r>
      <w:r w:rsidRPr="005A54C3">
        <w:rPr>
          <w:rFonts w:asciiTheme="majorBidi" w:hAnsiTheme="majorBidi" w:cstheme="majorBidi"/>
          <w:sz w:val="22"/>
          <w:szCs w:val="22"/>
        </w:rPr>
        <w:t>ADHD = attention deficit hyperactivity disorder; URTI = upper respiratory tract infection.</w:t>
      </w:r>
    </w:p>
    <w:p w14:paraId="0930D122" w14:textId="77777777" w:rsidR="001D5F6D" w:rsidRPr="005A54C3" w:rsidRDefault="001D5F6D" w:rsidP="001D5F6D">
      <w:pPr>
        <w:spacing w:line="276" w:lineRule="auto"/>
        <w:rPr>
          <w:rFonts w:asciiTheme="majorBidi" w:hAnsiTheme="majorBidi" w:cstheme="majorBidi"/>
          <w:sz w:val="22"/>
          <w:szCs w:val="22"/>
        </w:rPr>
      </w:pPr>
      <w:r w:rsidRPr="005A54C3">
        <w:rPr>
          <w:rFonts w:asciiTheme="majorBidi" w:hAnsiTheme="majorBidi" w:cstheme="majorBidi"/>
          <w:sz w:val="22"/>
          <w:szCs w:val="22"/>
          <w:vertAlign w:val="superscript"/>
        </w:rPr>
        <w:t xml:space="preserve">a </w:t>
      </w:r>
      <w:r w:rsidRPr="005A54C3">
        <w:rPr>
          <w:rFonts w:asciiTheme="majorBidi" w:hAnsiTheme="majorBidi" w:cstheme="majorBidi"/>
          <w:sz w:val="22"/>
          <w:szCs w:val="22"/>
        </w:rPr>
        <w:t xml:space="preserve">Fever: &gt; 38ᵒC. </w:t>
      </w:r>
    </w:p>
    <w:p w14:paraId="30D3C0B2" w14:textId="77777777" w:rsidR="001D5F6D" w:rsidRPr="005A54C3" w:rsidRDefault="001D5F6D" w:rsidP="001D5F6D">
      <w:pPr>
        <w:spacing w:line="276" w:lineRule="auto"/>
        <w:rPr>
          <w:rFonts w:asciiTheme="majorBidi" w:hAnsiTheme="majorBidi" w:cstheme="majorBidi"/>
          <w:sz w:val="22"/>
          <w:szCs w:val="22"/>
        </w:rPr>
      </w:pPr>
      <w:r w:rsidRPr="005A54C3">
        <w:rPr>
          <w:rFonts w:asciiTheme="majorBidi" w:hAnsiTheme="majorBidi" w:cstheme="majorBidi"/>
          <w:sz w:val="22"/>
          <w:szCs w:val="22"/>
          <w:vertAlign w:val="superscript"/>
        </w:rPr>
        <w:t xml:space="preserve">b </w:t>
      </w:r>
      <w:r w:rsidRPr="005A54C3">
        <w:rPr>
          <w:rFonts w:asciiTheme="majorBidi" w:hAnsiTheme="majorBidi" w:cstheme="majorBidi"/>
          <w:sz w:val="22"/>
          <w:szCs w:val="22"/>
        </w:rPr>
        <w:t>Diagnosis of pneumonia based on</w:t>
      </w:r>
      <w:r w:rsidRPr="005A54C3">
        <w:rPr>
          <w:rFonts w:asciiTheme="majorBidi" w:hAnsiTheme="majorBidi" w:cstheme="majorBidi"/>
          <w:sz w:val="22"/>
          <w:szCs w:val="22"/>
          <w:vertAlign w:val="superscript"/>
        </w:rPr>
        <w:t xml:space="preserve"> </w:t>
      </w:r>
      <w:r w:rsidRPr="005A54C3">
        <w:rPr>
          <w:rFonts w:asciiTheme="majorBidi" w:hAnsiTheme="majorBidi" w:cstheme="majorBidi"/>
          <w:sz w:val="22"/>
          <w:szCs w:val="22"/>
        </w:rPr>
        <w:t>symptoms, clinical examination and/or X-ray.</w:t>
      </w:r>
    </w:p>
    <w:p w14:paraId="4694411C" w14:textId="77777777" w:rsidR="0087783C" w:rsidRPr="005A54C3" w:rsidRDefault="001D5F6D" w:rsidP="00ED6A98">
      <w:pPr>
        <w:spacing w:line="276" w:lineRule="auto"/>
        <w:rPr>
          <w:rFonts w:asciiTheme="majorBidi" w:hAnsiTheme="majorBidi" w:cstheme="majorBidi"/>
          <w:sz w:val="22"/>
          <w:szCs w:val="22"/>
        </w:rPr>
      </w:pPr>
      <w:r w:rsidRPr="005A54C3">
        <w:rPr>
          <w:rFonts w:asciiTheme="majorBidi" w:hAnsiTheme="majorBidi" w:cstheme="majorBidi"/>
          <w:sz w:val="22"/>
          <w:szCs w:val="22"/>
          <w:vertAlign w:val="superscript"/>
        </w:rPr>
        <w:t>c</w:t>
      </w:r>
      <w:r w:rsidR="0087783C" w:rsidRPr="005A54C3">
        <w:rPr>
          <w:rFonts w:asciiTheme="majorBidi" w:hAnsiTheme="majorBidi" w:cstheme="majorBidi"/>
          <w:sz w:val="22"/>
          <w:szCs w:val="22"/>
          <w:vertAlign w:val="superscript"/>
        </w:rPr>
        <w:t xml:space="preserve"> </w:t>
      </w:r>
      <w:r w:rsidR="0087783C" w:rsidRPr="005A54C3">
        <w:rPr>
          <w:rFonts w:asciiTheme="majorBidi" w:hAnsiTheme="majorBidi" w:cstheme="majorBidi"/>
          <w:sz w:val="22"/>
          <w:szCs w:val="22"/>
        </w:rPr>
        <w:t xml:space="preserve">Values reflect the percentage of a specific symptom out of 100% of symptomatic patients, ADHD or Non-ADHD. </w:t>
      </w:r>
    </w:p>
    <w:p w14:paraId="40929DD9" w14:textId="77777777" w:rsidR="00532C03" w:rsidRPr="005A54C3" w:rsidRDefault="0087783C" w:rsidP="006D38CE">
      <w:pPr>
        <w:spacing w:line="276" w:lineRule="auto"/>
        <w:rPr>
          <w:rFonts w:asciiTheme="majorBidi" w:hAnsiTheme="majorBidi" w:cstheme="majorBidi"/>
          <w:sz w:val="18"/>
          <w:szCs w:val="18"/>
        </w:rPr>
      </w:pPr>
      <w:r w:rsidRPr="005A54C3">
        <w:rPr>
          <w:rFonts w:asciiTheme="majorBidi" w:hAnsiTheme="majorBidi" w:cstheme="majorBidi"/>
          <w:sz w:val="22"/>
          <w:szCs w:val="22"/>
        </w:rPr>
        <w:t>*</w:t>
      </w:r>
      <w:r w:rsidRPr="005A54C3">
        <w:rPr>
          <w:rFonts w:asciiTheme="majorBidi" w:hAnsiTheme="majorBidi" w:cstheme="majorBidi"/>
          <w:i/>
          <w:sz w:val="22"/>
          <w:szCs w:val="22"/>
        </w:rPr>
        <w:t xml:space="preserve">p </w:t>
      </w:r>
      <w:r w:rsidRPr="005A54C3">
        <w:rPr>
          <w:rFonts w:asciiTheme="majorBidi" w:hAnsiTheme="majorBidi" w:cstheme="majorBidi"/>
          <w:sz w:val="22"/>
          <w:szCs w:val="22"/>
        </w:rPr>
        <w:t>&lt;.05, **</w:t>
      </w:r>
      <w:r w:rsidRPr="005A54C3">
        <w:rPr>
          <w:rFonts w:asciiTheme="majorBidi" w:hAnsiTheme="majorBidi" w:cstheme="majorBidi"/>
          <w:i/>
          <w:sz w:val="22"/>
          <w:szCs w:val="22"/>
        </w:rPr>
        <w:t xml:space="preserve">p </w:t>
      </w:r>
      <w:r w:rsidRPr="005A54C3">
        <w:rPr>
          <w:rFonts w:asciiTheme="majorBidi" w:hAnsiTheme="majorBidi" w:cstheme="majorBidi"/>
          <w:sz w:val="22"/>
          <w:szCs w:val="22"/>
        </w:rPr>
        <w:t>&lt;.01, ***</w:t>
      </w:r>
      <w:r w:rsidRPr="005A54C3">
        <w:rPr>
          <w:rFonts w:asciiTheme="majorBidi" w:hAnsiTheme="majorBidi" w:cstheme="majorBidi"/>
          <w:i/>
          <w:sz w:val="22"/>
          <w:szCs w:val="22"/>
        </w:rPr>
        <w:t>p</w:t>
      </w:r>
      <w:r w:rsidRPr="005A54C3">
        <w:rPr>
          <w:rFonts w:asciiTheme="majorBidi" w:hAnsiTheme="majorBidi" w:cstheme="majorBidi"/>
          <w:sz w:val="22"/>
          <w:szCs w:val="22"/>
        </w:rPr>
        <w:t xml:space="preserve"> &lt;.001.</w:t>
      </w:r>
      <w:bookmarkStart w:id="15" w:name="_heading=h.1s1ur9jlsdsv" w:colFirst="0" w:colLast="0"/>
      <w:bookmarkStart w:id="16" w:name="_heading=h.ouq58mye8fys" w:colFirst="0" w:colLast="0"/>
      <w:bookmarkStart w:id="17" w:name="_heading=h.5r23nt70hmk2" w:colFirst="0" w:colLast="0"/>
      <w:bookmarkEnd w:id="15"/>
      <w:bookmarkEnd w:id="16"/>
      <w:bookmarkEnd w:id="17"/>
      <w:r w:rsidR="00E8712F" w:rsidRPr="005A54C3">
        <w:rPr>
          <w:rFonts w:asciiTheme="majorBidi" w:hAnsiTheme="majorBidi" w:cstheme="majorBidi"/>
          <w:sz w:val="22"/>
          <w:szCs w:val="22"/>
        </w:rPr>
        <w:br w:type="page"/>
      </w:r>
    </w:p>
    <w:p w14:paraId="53BE5D08" w14:textId="77777777" w:rsidR="00532C03" w:rsidRPr="005A54C3" w:rsidRDefault="00E8712F">
      <w:pPr>
        <w:pStyle w:val="Heading2"/>
        <w:rPr>
          <w:rFonts w:asciiTheme="majorBidi" w:hAnsiTheme="majorBidi" w:cstheme="majorBidi"/>
        </w:rPr>
      </w:pPr>
      <w:bookmarkStart w:id="18" w:name="_heading=h.8uspai2ffjjj" w:colFirst="0" w:colLast="0"/>
      <w:bookmarkEnd w:id="18"/>
      <w:r w:rsidRPr="005A54C3">
        <w:rPr>
          <w:rFonts w:asciiTheme="majorBidi" w:hAnsiTheme="majorBidi" w:cstheme="majorBidi"/>
        </w:rPr>
        <w:lastRenderedPageBreak/>
        <w:t xml:space="preserve">Table 4 </w:t>
      </w:r>
    </w:p>
    <w:p w14:paraId="4903D585" w14:textId="77777777" w:rsidR="00532C03" w:rsidRPr="005A54C3" w:rsidRDefault="00E8712F">
      <w:pPr>
        <w:rPr>
          <w:rFonts w:asciiTheme="majorBidi" w:hAnsiTheme="majorBidi" w:cstheme="majorBidi"/>
          <w:i/>
        </w:rPr>
      </w:pPr>
      <w:r w:rsidRPr="005A54C3">
        <w:rPr>
          <w:rFonts w:asciiTheme="majorBidi" w:hAnsiTheme="majorBidi" w:cstheme="majorBidi"/>
          <w:i/>
        </w:rPr>
        <w:t>Logistic regression for crude and adjusted odds ratios for symptomatic and asymptomatic patients, demographic and clinical characteristics</w:t>
      </w:r>
    </w:p>
    <w:tbl>
      <w:tblPr>
        <w:tblStyle w:val="af7"/>
        <w:tblW w:w="8789" w:type="dxa"/>
        <w:tblLayout w:type="fixed"/>
        <w:tblLook w:val="0400" w:firstRow="0" w:lastRow="0" w:firstColumn="0" w:lastColumn="0" w:noHBand="0" w:noVBand="1"/>
      </w:tblPr>
      <w:tblGrid>
        <w:gridCol w:w="2145"/>
        <w:gridCol w:w="930"/>
        <w:gridCol w:w="1461"/>
        <w:gridCol w:w="984"/>
        <w:gridCol w:w="885"/>
        <w:gridCol w:w="1533"/>
        <w:gridCol w:w="851"/>
      </w:tblGrid>
      <w:tr w:rsidR="00ED6A98" w:rsidRPr="005A54C3" w14:paraId="39DAD76F" w14:textId="77777777" w:rsidTr="00ED6A98">
        <w:trPr>
          <w:trHeight w:val="450"/>
        </w:trPr>
        <w:tc>
          <w:tcPr>
            <w:tcW w:w="2145" w:type="dxa"/>
            <w:tcBorders>
              <w:top w:val="single" w:sz="4" w:space="0" w:color="auto"/>
            </w:tcBorders>
            <w:vAlign w:val="bottom"/>
          </w:tcPr>
          <w:p w14:paraId="33233273" w14:textId="77777777" w:rsidR="00ED6A98" w:rsidRPr="005A54C3" w:rsidRDefault="00ED6A98" w:rsidP="00ED6A98">
            <w:pPr>
              <w:spacing w:line="360" w:lineRule="auto"/>
              <w:rPr>
                <w:rFonts w:asciiTheme="majorBidi" w:hAnsiTheme="majorBidi" w:cstheme="majorBidi"/>
              </w:rPr>
            </w:pPr>
          </w:p>
        </w:tc>
        <w:tc>
          <w:tcPr>
            <w:tcW w:w="2391" w:type="dxa"/>
            <w:gridSpan w:val="2"/>
            <w:tcBorders>
              <w:top w:val="single" w:sz="4" w:space="0" w:color="auto"/>
              <w:bottom w:val="single" w:sz="4" w:space="0" w:color="auto"/>
            </w:tcBorders>
            <w:vAlign w:val="bottom"/>
          </w:tcPr>
          <w:p w14:paraId="6853252A" w14:textId="77777777" w:rsidR="00ED6A98" w:rsidRPr="005A54C3" w:rsidRDefault="00ED6A98" w:rsidP="00ED6A98">
            <w:pPr>
              <w:spacing w:line="360" w:lineRule="auto"/>
              <w:jc w:val="center"/>
              <w:rPr>
                <w:rFonts w:asciiTheme="majorBidi" w:hAnsiTheme="majorBidi" w:cstheme="majorBidi"/>
              </w:rPr>
            </w:pPr>
            <w:r w:rsidRPr="005A54C3">
              <w:rPr>
                <w:rFonts w:asciiTheme="majorBidi" w:hAnsiTheme="majorBidi" w:cstheme="majorBidi"/>
              </w:rPr>
              <w:t>Crude</w:t>
            </w:r>
          </w:p>
        </w:tc>
        <w:tc>
          <w:tcPr>
            <w:tcW w:w="984" w:type="dxa"/>
            <w:tcBorders>
              <w:top w:val="single" w:sz="4" w:space="0" w:color="auto"/>
            </w:tcBorders>
            <w:vAlign w:val="bottom"/>
          </w:tcPr>
          <w:p w14:paraId="58C5AFB9" w14:textId="77777777" w:rsidR="00ED6A98" w:rsidRPr="005A54C3" w:rsidRDefault="00ED6A98" w:rsidP="00ED6A98">
            <w:pPr>
              <w:spacing w:line="360" w:lineRule="auto"/>
              <w:jc w:val="center"/>
              <w:rPr>
                <w:rFonts w:asciiTheme="majorBidi" w:hAnsiTheme="majorBidi" w:cstheme="majorBidi"/>
              </w:rPr>
            </w:pPr>
          </w:p>
        </w:tc>
        <w:tc>
          <w:tcPr>
            <w:tcW w:w="2418" w:type="dxa"/>
            <w:gridSpan w:val="2"/>
            <w:tcBorders>
              <w:top w:val="single" w:sz="4" w:space="0" w:color="auto"/>
              <w:bottom w:val="single" w:sz="4" w:space="0" w:color="auto"/>
            </w:tcBorders>
            <w:vAlign w:val="bottom"/>
          </w:tcPr>
          <w:p w14:paraId="32F32287" w14:textId="77777777" w:rsidR="00ED6A98" w:rsidRPr="005A54C3" w:rsidRDefault="00ED6A98" w:rsidP="00ED6A98">
            <w:pPr>
              <w:spacing w:line="360" w:lineRule="auto"/>
              <w:jc w:val="center"/>
              <w:rPr>
                <w:rFonts w:asciiTheme="majorBidi" w:hAnsiTheme="majorBidi" w:cstheme="majorBidi"/>
              </w:rPr>
            </w:pPr>
            <w:r w:rsidRPr="005A54C3">
              <w:rPr>
                <w:rFonts w:asciiTheme="majorBidi" w:hAnsiTheme="majorBidi" w:cstheme="majorBidi"/>
              </w:rPr>
              <w:t>Adjusted</w:t>
            </w:r>
          </w:p>
        </w:tc>
        <w:tc>
          <w:tcPr>
            <w:tcW w:w="851" w:type="dxa"/>
            <w:tcBorders>
              <w:top w:val="single" w:sz="4" w:space="0" w:color="auto"/>
            </w:tcBorders>
            <w:vAlign w:val="bottom"/>
          </w:tcPr>
          <w:p w14:paraId="3480521C" w14:textId="77777777" w:rsidR="00ED6A98" w:rsidRPr="005A54C3" w:rsidRDefault="00ED6A98" w:rsidP="00ED6A98">
            <w:pPr>
              <w:spacing w:line="360" w:lineRule="auto"/>
              <w:jc w:val="center"/>
              <w:rPr>
                <w:rFonts w:asciiTheme="majorBidi" w:hAnsiTheme="majorBidi" w:cstheme="majorBidi"/>
              </w:rPr>
            </w:pPr>
          </w:p>
        </w:tc>
      </w:tr>
      <w:tr w:rsidR="00532C03" w:rsidRPr="005A54C3" w14:paraId="76C25DB3" w14:textId="77777777" w:rsidTr="00ED6A98">
        <w:trPr>
          <w:trHeight w:val="510"/>
        </w:trPr>
        <w:tc>
          <w:tcPr>
            <w:tcW w:w="2145" w:type="dxa"/>
            <w:tcBorders>
              <w:bottom w:val="single" w:sz="4" w:space="0" w:color="auto"/>
            </w:tcBorders>
            <w:vAlign w:val="bottom"/>
          </w:tcPr>
          <w:p w14:paraId="1B87A04F" w14:textId="77777777" w:rsidR="00532C03" w:rsidRPr="005A54C3" w:rsidRDefault="00E8712F" w:rsidP="00ED6A98">
            <w:pPr>
              <w:spacing w:line="276" w:lineRule="auto"/>
              <w:rPr>
                <w:rFonts w:asciiTheme="majorBidi" w:hAnsiTheme="majorBidi" w:cstheme="majorBidi"/>
              </w:rPr>
            </w:pPr>
            <w:r w:rsidRPr="005A54C3">
              <w:rPr>
                <w:rFonts w:asciiTheme="majorBidi" w:hAnsiTheme="majorBidi" w:cstheme="majorBidi"/>
              </w:rPr>
              <w:t>Variable</w:t>
            </w:r>
          </w:p>
        </w:tc>
        <w:tc>
          <w:tcPr>
            <w:tcW w:w="930" w:type="dxa"/>
            <w:tcBorders>
              <w:top w:val="single" w:sz="4" w:space="0" w:color="auto"/>
              <w:bottom w:val="single" w:sz="4" w:space="0" w:color="auto"/>
            </w:tcBorders>
            <w:vAlign w:val="bottom"/>
          </w:tcPr>
          <w:p w14:paraId="3D1DA827" w14:textId="77777777" w:rsidR="00532C03" w:rsidRPr="005A54C3" w:rsidRDefault="00E8712F" w:rsidP="00ED6A98">
            <w:pPr>
              <w:spacing w:line="276" w:lineRule="auto"/>
              <w:rPr>
                <w:rFonts w:asciiTheme="majorBidi" w:hAnsiTheme="majorBidi" w:cstheme="majorBidi"/>
                <w:i/>
              </w:rPr>
            </w:pPr>
            <w:r w:rsidRPr="005A54C3">
              <w:rPr>
                <w:rFonts w:asciiTheme="majorBidi" w:hAnsiTheme="majorBidi" w:cstheme="majorBidi"/>
                <w:i/>
              </w:rPr>
              <w:t>OR</w:t>
            </w:r>
          </w:p>
        </w:tc>
        <w:tc>
          <w:tcPr>
            <w:tcW w:w="1461" w:type="dxa"/>
            <w:tcBorders>
              <w:top w:val="single" w:sz="4" w:space="0" w:color="auto"/>
              <w:bottom w:val="single" w:sz="4" w:space="0" w:color="auto"/>
            </w:tcBorders>
            <w:vAlign w:val="bottom"/>
          </w:tcPr>
          <w:p w14:paraId="35C8B583" w14:textId="77777777" w:rsidR="00532C03" w:rsidRPr="005A54C3" w:rsidRDefault="00E8712F" w:rsidP="00ED6A98">
            <w:pPr>
              <w:spacing w:line="276" w:lineRule="auto"/>
              <w:rPr>
                <w:rFonts w:asciiTheme="majorBidi" w:hAnsiTheme="majorBidi" w:cstheme="majorBidi"/>
                <w:i/>
              </w:rPr>
            </w:pPr>
            <w:r w:rsidRPr="005A54C3">
              <w:rPr>
                <w:rFonts w:asciiTheme="majorBidi" w:hAnsiTheme="majorBidi" w:cstheme="majorBidi"/>
              </w:rPr>
              <w:t xml:space="preserve">95% </w:t>
            </w:r>
            <w:r w:rsidRPr="005A54C3">
              <w:rPr>
                <w:rFonts w:asciiTheme="majorBidi" w:hAnsiTheme="majorBidi" w:cstheme="majorBidi"/>
                <w:i/>
              </w:rPr>
              <w:t>CI</w:t>
            </w:r>
          </w:p>
          <w:p w14:paraId="6FE83828" w14:textId="77777777" w:rsidR="00532C03" w:rsidRPr="005A54C3" w:rsidRDefault="00E8712F" w:rsidP="00ED6A98">
            <w:pPr>
              <w:spacing w:line="276" w:lineRule="auto"/>
              <w:rPr>
                <w:rFonts w:asciiTheme="majorBidi" w:hAnsiTheme="majorBidi" w:cstheme="majorBidi"/>
              </w:rPr>
            </w:pPr>
            <w:r w:rsidRPr="005A54C3">
              <w:rPr>
                <w:rFonts w:asciiTheme="majorBidi" w:hAnsiTheme="majorBidi" w:cstheme="majorBidi"/>
              </w:rPr>
              <w:t>[LL, UL]</w:t>
            </w:r>
          </w:p>
        </w:tc>
        <w:tc>
          <w:tcPr>
            <w:tcW w:w="984" w:type="dxa"/>
            <w:tcBorders>
              <w:bottom w:val="single" w:sz="4" w:space="0" w:color="auto"/>
            </w:tcBorders>
            <w:vAlign w:val="bottom"/>
          </w:tcPr>
          <w:p w14:paraId="3ABF4101" w14:textId="77777777" w:rsidR="00532C03" w:rsidRPr="005A54C3" w:rsidRDefault="00E8712F" w:rsidP="00ED6A98">
            <w:pPr>
              <w:spacing w:line="276" w:lineRule="auto"/>
              <w:rPr>
                <w:rFonts w:asciiTheme="majorBidi" w:hAnsiTheme="majorBidi" w:cstheme="majorBidi"/>
              </w:rPr>
            </w:pPr>
            <w:r w:rsidRPr="005A54C3">
              <w:rPr>
                <w:rFonts w:asciiTheme="majorBidi" w:hAnsiTheme="majorBidi" w:cstheme="majorBidi"/>
                <w:i/>
              </w:rPr>
              <w:t>p</w:t>
            </w:r>
          </w:p>
        </w:tc>
        <w:tc>
          <w:tcPr>
            <w:tcW w:w="885" w:type="dxa"/>
            <w:tcBorders>
              <w:top w:val="single" w:sz="4" w:space="0" w:color="auto"/>
              <w:bottom w:val="single" w:sz="4" w:space="0" w:color="auto"/>
            </w:tcBorders>
            <w:vAlign w:val="bottom"/>
          </w:tcPr>
          <w:p w14:paraId="562DA18C" w14:textId="77777777" w:rsidR="00532C03" w:rsidRPr="005A54C3" w:rsidRDefault="00E8712F" w:rsidP="00ED6A98">
            <w:pPr>
              <w:spacing w:line="276" w:lineRule="auto"/>
              <w:rPr>
                <w:rFonts w:asciiTheme="majorBidi" w:hAnsiTheme="majorBidi" w:cstheme="majorBidi"/>
                <w:i/>
              </w:rPr>
            </w:pPr>
            <w:r w:rsidRPr="005A54C3">
              <w:rPr>
                <w:rFonts w:asciiTheme="majorBidi" w:hAnsiTheme="majorBidi" w:cstheme="majorBidi"/>
                <w:i/>
              </w:rPr>
              <w:t>OR</w:t>
            </w:r>
          </w:p>
        </w:tc>
        <w:tc>
          <w:tcPr>
            <w:tcW w:w="1533" w:type="dxa"/>
            <w:tcBorders>
              <w:top w:val="single" w:sz="4" w:space="0" w:color="auto"/>
              <w:bottom w:val="single" w:sz="4" w:space="0" w:color="auto"/>
            </w:tcBorders>
            <w:vAlign w:val="bottom"/>
          </w:tcPr>
          <w:p w14:paraId="2F9B5E10" w14:textId="77777777" w:rsidR="00532C03" w:rsidRPr="005A54C3" w:rsidRDefault="00E8712F" w:rsidP="00ED6A98">
            <w:pPr>
              <w:spacing w:line="276" w:lineRule="auto"/>
              <w:rPr>
                <w:rFonts w:asciiTheme="majorBidi" w:hAnsiTheme="majorBidi" w:cstheme="majorBidi"/>
                <w:i/>
              </w:rPr>
            </w:pPr>
            <w:r w:rsidRPr="005A54C3">
              <w:rPr>
                <w:rFonts w:asciiTheme="majorBidi" w:hAnsiTheme="majorBidi" w:cstheme="majorBidi"/>
              </w:rPr>
              <w:t xml:space="preserve">95% </w:t>
            </w:r>
            <w:r w:rsidRPr="005A54C3">
              <w:rPr>
                <w:rFonts w:asciiTheme="majorBidi" w:hAnsiTheme="majorBidi" w:cstheme="majorBidi"/>
                <w:i/>
              </w:rPr>
              <w:t>CI</w:t>
            </w:r>
          </w:p>
          <w:p w14:paraId="76745C5B" w14:textId="77777777" w:rsidR="00532C03" w:rsidRPr="005A54C3" w:rsidRDefault="00E8712F" w:rsidP="00ED6A98">
            <w:pPr>
              <w:spacing w:line="276" w:lineRule="auto"/>
              <w:rPr>
                <w:rFonts w:asciiTheme="majorBidi" w:hAnsiTheme="majorBidi" w:cstheme="majorBidi"/>
                <w:i/>
              </w:rPr>
            </w:pPr>
            <w:r w:rsidRPr="005A54C3">
              <w:rPr>
                <w:rFonts w:asciiTheme="majorBidi" w:hAnsiTheme="majorBidi" w:cstheme="majorBidi"/>
              </w:rPr>
              <w:t>[LL, UL]</w:t>
            </w:r>
          </w:p>
        </w:tc>
        <w:tc>
          <w:tcPr>
            <w:tcW w:w="851" w:type="dxa"/>
            <w:tcBorders>
              <w:bottom w:val="single" w:sz="4" w:space="0" w:color="auto"/>
            </w:tcBorders>
            <w:vAlign w:val="bottom"/>
          </w:tcPr>
          <w:p w14:paraId="69081960" w14:textId="77777777" w:rsidR="00532C03" w:rsidRPr="005A54C3" w:rsidRDefault="00E8712F" w:rsidP="00ED6A98">
            <w:pPr>
              <w:spacing w:line="276" w:lineRule="auto"/>
              <w:rPr>
                <w:rFonts w:asciiTheme="majorBidi" w:hAnsiTheme="majorBidi" w:cstheme="majorBidi"/>
              </w:rPr>
            </w:pPr>
            <w:r w:rsidRPr="005A54C3">
              <w:rPr>
                <w:rFonts w:asciiTheme="majorBidi" w:hAnsiTheme="majorBidi" w:cstheme="majorBidi"/>
                <w:i/>
              </w:rPr>
              <w:t>p</w:t>
            </w:r>
          </w:p>
        </w:tc>
      </w:tr>
      <w:tr w:rsidR="00532C03" w:rsidRPr="005A54C3" w14:paraId="4285A9F2" w14:textId="77777777" w:rsidTr="00ED6A98">
        <w:tc>
          <w:tcPr>
            <w:tcW w:w="2145" w:type="dxa"/>
            <w:tcBorders>
              <w:top w:val="single" w:sz="4" w:space="0" w:color="auto"/>
            </w:tcBorders>
            <w:vAlign w:val="bottom"/>
          </w:tcPr>
          <w:p w14:paraId="19919676"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ADHD</w:t>
            </w:r>
          </w:p>
        </w:tc>
        <w:tc>
          <w:tcPr>
            <w:tcW w:w="930" w:type="dxa"/>
            <w:tcBorders>
              <w:top w:val="single" w:sz="4" w:space="0" w:color="auto"/>
            </w:tcBorders>
            <w:vAlign w:val="bottom"/>
          </w:tcPr>
          <w:p w14:paraId="0145FF38"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1.33</w:t>
            </w:r>
          </w:p>
        </w:tc>
        <w:tc>
          <w:tcPr>
            <w:tcW w:w="1461" w:type="dxa"/>
            <w:tcBorders>
              <w:top w:val="single" w:sz="4" w:space="0" w:color="auto"/>
            </w:tcBorders>
            <w:vAlign w:val="bottom"/>
          </w:tcPr>
          <w:p w14:paraId="755CAC5B"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[1.01, 1.75]</w:t>
            </w:r>
          </w:p>
        </w:tc>
        <w:tc>
          <w:tcPr>
            <w:tcW w:w="984" w:type="dxa"/>
            <w:tcBorders>
              <w:top w:val="single" w:sz="4" w:space="0" w:color="auto"/>
            </w:tcBorders>
            <w:vAlign w:val="bottom"/>
          </w:tcPr>
          <w:p w14:paraId="7F4D14EB"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 xml:space="preserve">.045     </w:t>
            </w:r>
          </w:p>
        </w:tc>
        <w:tc>
          <w:tcPr>
            <w:tcW w:w="885" w:type="dxa"/>
            <w:tcBorders>
              <w:top w:val="single" w:sz="4" w:space="0" w:color="auto"/>
            </w:tcBorders>
            <w:vAlign w:val="bottom"/>
          </w:tcPr>
          <w:p w14:paraId="4B287C79" w14:textId="77777777" w:rsidR="00532C03" w:rsidRPr="005A54C3" w:rsidRDefault="00E8712F" w:rsidP="00ED6A98">
            <w:pPr>
              <w:spacing w:line="360" w:lineRule="auto"/>
              <w:rPr>
                <w:rFonts w:asciiTheme="majorBidi" w:hAnsiTheme="majorBidi" w:cstheme="majorBidi"/>
                <w:b/>
                <w:vertAlign w:val="superscript"/>
              </w:rPr>
            </w:pPr>
            <w:r w:rsidRPr="005A54C3">
              <w:rPr>
                <w:rFonts w:asciiTheme="majorBidi" w:hAnsiTheme="majorBidi" w:cstheme="majorBidi"/>
                <w:b/>
              </w:rPr>
              <w:t xml:space="preserve">1.81 </w:t>
            </w:r>
            <w:r w:rsidRPr="005A54C3">
              <w:rPr>
                <w:rFonts w:asciiTheme="majorBidi" w:hAnsiTheme="majorBidi" w:cstheme="majorBidi"/>
                <w:b/>
                <w:vertAlign w:val="superscript"/>
              </w:rPr>
              <w:t>a</w:t>
            </w:r>
          </w:p>
        </w:tc>
        <w:tc>
          <w:tcPr>
            <w:tcW w:w="1533" w:type="dxa"/>
            <w:tcBorders>
              <w:top w:val="single" w:sz="4" w:space="0" w:color="auto"/>
            </w:tcBorders>
            <w:vAlign w:val="bottom"/>
          </w:tcPr>
          <w:p w14:paraId="6B3C0698"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[1.29, 2.52]</w:t>
            </w:r>
          </w:p>
        </w:tc>
        <w:tc>
          <w:tcPr>
            <w:tcW w:w="851" w:type="dxa"/>
            <w:tcBorders>
              <w:top w:val="single" w:sz="4" w:space="0" w:color="auto"/>
            </w:tcBorders>
            <w:vAlign w:val="bottom"/>
          </w:tcPr>
          <w:p w14:paraId="78D5F0D9" w14:textId="77777777" w:rsidR="00532C03" w:rsidRPr="005A54C3" w:rsidRDefault="00E8712F" w:rsidP="00ED6A98">
            <w:pPr>
              <w:spacing w:line="360" w:lineRule="auto"/>
              <w:rPr>
                <w:rFonts w:asciiTheme="majorBidi" w:hAnsiTheme="majorBidi" w:cstheme="majorBidi"/>
                <w:b/>
              </w:rPr>
            </w:pPr>
            <w:r w:rsidRPr="005A54C3">
              <w:rPr>
                <w:rFonts w:asciiTheme="majorBidi" w:hAnsiTheme="majorBidi" w:cstheme="majorBidi"/>
                <w:b/>
              </w:rPr>
              <w:t>.042</w:t>
            </w:r>
          </w:p>
        </w:tc>
      </w:tr>
      <w:tr w:rsidR="00532C03" w:rsidRPr="005A54C3" w14:paraId="515D09EE" w14:textId="77777777" w:rsidTr="00ED6A98">
        <w:tc>
          <w:tcPr>
            <w:tcW w:w="2145" w:type="dxa"/>
            <w:vAlign w:val="bottom"/>
          </w:tcPr>
          <w:p w14:paraId="1CD57F29"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Male Gender</w:t>
            </w:r>
          </w:p>
        </w:tc>
        <w:tc>
          <w:tcPr>
            <w:tcW w:w="930" w:type="dxa"/>
            <w:vAlign w:val="bottom"/>
          </w:tcPr>
          <w:p w14:paraId="457BFDFE"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1.38</w:t>
            </w:r>
          </w:p>
        </w:tc>
        <w:tc>
          <w:tcPr>
            <w:tcW w:w="1461" w:type="dxa"/>
            <w:vAlign w:val="bottom"/>
          </w:tcPr>
          <w:p w14:paraId="40CBD8A8"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[1.14, 1.66]</w:t>
            </w:r>
          </w:p>
        </w:tc>
        <w:tc>
          <w:tcPr>
            <w:tcW w:w="984" w:type="dxa"/>
            <w:vAlign w:val="bottom"/>
          </w:tcPr>
          <w:p w14:paraId="674387A3"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 xml:space="preserve">.001     </w:t>
            </w:r>
          </w:p>
        </w:tc>
        <w:tc>
          <w:tcPr>
            <w:tcW w:w="885" w:type="dxa"/>
            <w:vAlign w:val="bottom"/>
          </w:tcPr>
          <w:p w14:paraId="24B7538E" w14:textId="77777777" w:rsidR="00532C03" w:rsidRPr="005A54C3" w:rsidRDefault="00E8712F" w:rsidP="00ED6A98">
            <w:pPr>
              <w:spacing w:line="360" w:lineRule="auto"/>
              <w:rPr>
                <w:rFonts w:asciiTheme="majorBidi" w:hAnsiTheme="majorBidi" w:cstheme="majorBidi"/>
                <w:b/>
              </w:rPr>
            </w:pPr>
            <w:r w:rsidRPr="005A54C3">
              <w:rPr>
                <w:rFonts w:asciiTheme="majorBidi" w:hAnsiTheme="majorBidi" w:cstheme="majorBidi"/>
                <w:b/>
              </w:rPr>
              <w:t>1.34</w:t>
            </w:r>
          </w:p>
        </w:tc>
        <w:tc>
          <w:tcPr>
            <w:tcW w:w="1533" w:type="dxa"/>
            <w:vAlign w:val="bottom"/>
          </w:tcPr>
          <w:p w14:paraId="280D322C"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[1.07, 1.68]</w:t>
            </w:r>
          </w:p>
        </w:tc>
        <w:tc>
          <w:tcPr>
            <w:tcW w:w="851" w:type="dxa"/>
            <w:vAlign w:val="bottom"/>
          </w:tcPr>
          <w:p w14:paraId="1D4A95AF" w14:textId="77777777" w:rsidR="00532C03" w:rsidRPr="005A54C3" w:rsidRDefault="00E8712F" w:rsidP="00ED6A98">
            <w:pPr>
              <w:spacing w:line="360" w:lineRule="auto"/>
              <w:rPr>
                <w:rFonts w:asciiTheme="majorBidi" w:hAnsiTheme="majorBidi" w:cstheme="majorBidi"/>
                <w:b/>
              </w:rPr>
            </w:pPr>
            <w:r w:rsidRPr="005A54C3">
              <w:rPr>
                <w:rFonts w:asciiTheme="majorBidi" w:hAnsiTheme="majorBidi" w:cstheme="majorBidi"/>
                <w:b/>
              </w:rPr>
              <w:t>.012</w:t>
            </w:r>
          </w:p>
        </w:tc>
      </w:tr>
      <w:tr w:rsidR="00532C03" w:rsidRPr="005A54C3" w14:paraId="6E6890E6" w14:textId="77777777" w:rsidTr="00ED6A98">
        <w:tc>
          <w:tcPr>
            <w:tcW w:w="2145" w:type="dxa"/>
            <w:vAlign w:val="bottom"/>
          </w:tcPr>
          <w:p w14:paraId="7952C181" w14:textId="77777777" w:rsidR="00532C03" w:rsidRPr="005A54C3" w:rsidRDefault="00E8712F" w:rsidP="00ED6A98">
            <w:pPr>
              <w:spacing w:line="360" w:lineRule="auto"/>
              <w:rPr>
                <w:rFonts w:asciiTheme="majorBidi" w:hAnsiTheme="majorBidi" w:cstheme="majorBidi"/>
                <w:vertAlign w:val="superscript"/>
              </w:rPr>
            </w:pPr>
            <w:r w:rsidRPr="005A54C3">
              <w:rPr>
                <w:rFonts w:asciiTheme="majorBidi" w:hAnsiTheme="majorBidi" w:cstheme="majorBidi"/>
              </w:rPr>
              <w:t xml:space="preserve">Age </w:t>
            </w:r>
            <w:r w:rsidRPr="005A54C3">
              <w:rPr>
                <w:rFonts w:asciiTheme="majorBidi" w:hAnsiTheme="majorBidi" w:cstheme="majorBidi"/>
                <w:vertAlign w:val="superscript"/>
              </w:rPr>
              <w:t>b</w:t>
            </w:r>
          </w:p>
        </w:tc>
        <w:tc>
          <w:tcPr>
            <w:tcW w:w="930" w:type="dxa"/>
            <w:vAlign w:val="bottom"/>
          </w:tcPr>
          <w:p w14:paraId="76D66E17"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1.02</w:t>
            </w:r>
          </w:p>
        </w:tc>
        <w:tc>
          <w:tcPr>
            <w:tcW w:w="1461" w:type="dxa"/>
            <w:vAlign w:val="bottom"/>
          </w:tcPr>
          <w:p w14:paraId="1B4A6EDB"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[1.02, 1.03]</w:t>
            </w:r>
          </w:p>
        </w:tc>
        <w:tc>
          <w:tcPr>
            <w:tcW w:w="984" w:type="dxa"/>
            <w:vAlign w:val="bottom"/>
          </w:tcPr>
          <w:p w14:paraId="118B7CD6"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 xml:space="preserve">.000     </w:t>
            </w:r>
          </w:p>
        </w:tc>
        <w:tc>
          <w:tcPr>
            <w:tcW w:w="885" w:type="dxa"/>
            <w:vAlign w:val="bottom"/>
          </w:tcPr>
          <w:p w14:paraId="2F40D6D7" w14:textId="77777777" w:rsidR="00532C03" w:rsidRPr="005A54C3" w:rsidRDefault="00E8712F" w:rsidP="00ED6A98">
            <w:pPr>
              <w:spacing w:line="360" w:lineRule="auto"/>
              <w:rPr>
                <w:rFonts w:asciiTheme="majorBidi" w:hAnsiTheme="majorBidi" w:cstheme="majorBidi"/>
                <w:b/>
              </w:rPr>
            </w:pPr>
            <w:r w:rsidRPr="005A54C3">
              <w:rPr>
                <w:rFonts w:asciiTheme="majorBidi" w:hAnsiTheme="majorBidi" w:cstheme="majorBidi"/>
                <w:b/>
              </w:rPr>
              <w:t>1.02</w:t>
            </w:r>
          </w:p>
        </w:tc>
        <w:tc>
          <w:tcPr>
            <w:tcW w:w="1533" w:type="dxa"/>
            <w:vAlign w:val="bottom"/>
          </w:tcPr>
          <w:p w14:paraId="657EB950"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[1.01, 1.03]</w:t>
            </w:r>
          </w:p>
        </w:tc>
        <w:tc>
          <w:tcPr>
            <w:tcW w:w="851" w:type="dxa"/>
            <w:vAlign w:val="bottom"/>
          </w:tcPr>
          <w:p w14:paraId="49982FA4"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b/>
              </w:rPr>
              <w:t>.000</w:t>
            </w:r>
          </w:p>
        </w:tc>
      </w:tr>
      <w:tr w:rsidR="00532C03" w:rsidRPr="005A54C3" w14:paraId="0A4FCB8D" w14:textId="77777777" w:rsidTr="00ED6A98">
        <w:tc>
          <w:tcPr>
            <w:tcW w:w="2145" w:type="dxa"/>
            <w:vAlign w:val="bottom"/>
          </w:tcPr>
          <w:p w14:paraId="3C8BBE17"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Low-medium SES</w:t>
            </w:r>
          </w:p>
        </w:tc>
        <w:tc>
          <w:tcPr>
            <w:tcW w:w="930" w:type="dxa"/>
            <w:vAlign w:val="bottom"/>
          </w:tcPr>
          <w:p w14:paraId="58085FFB"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0.74</w:t>
            </w:r>
          </w:p>
        </w:tc>
        <w:tc>
          <w:tcPr>
            <w:tcW w:w="1461" w:type="dxa"/>
            <w:vAlign w:val="bottom"/>
          </w:tcPr>
          <w:p w14:paraId="5457020A"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[0.55, 1.01]</w:t>
            </w:r>
          </w:p>
        </w:tc>
        <w:tc>
          <w:tcPr>
            <w:tcW w:w="984" w:type="dxa"/>
            <w:vAlign w:val="bottom"/>
          </w:tcPr>
          <w:p w14:paraId="28F61C04"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 xml:space="preserve">.056     </w:t>
            </w:r>
          </w:p>
        </w:tc>
        <w:tc>
          <w:tcPr>
            <w:tcW w:w="885" w:type="dxa"/>
            <w:vAlign w:val="bottom"/>
          </w:tcPr>
          <w:p w14:paraId="049D8BE4"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0.91</w:t>
            </w:r>
          </w:p>
        </w:tc>
        <w:tc>
          <w:tcPr>
            <w:tcW w:w="1533" w:type="dxa"/>
            <w:vAlign w:val="bottom"/>
          </w:tcPr>
          <w:p w14:paraId="2B0C536A"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[0.64, 1.31]</w:t>
            </w:r>
          </w:p>
        </w:tc>
        <w:tc>
          <w:tcPr>
            <w:tcW w:w="851" w:type="dxa"/>
            <w:vAlign w:val="bottom"/>
          </w:tcPr>
          <w:p w14:paraId="12E8DC15"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.634</w:t>
            </w:r>
          </w:p>
        </w:tc>
      </w:tr>
      <w:tr w:rsidR="00532C03" w:rsidRPr="005A54C3" w14:paraId="405E63C2" w14:textId="77777777" w:rsidTr="00ED6A98">
        <w:tc>
          <w:tcPr>
            <w:tcW w:w="2145" w:type="dxa"/>
            <w:vAlign w:val="bottom"/>
          </w:tcPr>
          <w:p w14:paraId="3240A35C"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Depression/anxiety</w:t>
            </w:r>
          </w:p>
        </w:tc>
        <w:tc>
          <w:tcPr>
            <w:tcW w:w="930" w:type="dxa"/>
            <w:vAlign w:val="bottom"/>
          </w:tcPr>
          <w:p w14:paraId="74C7D0AB"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1.71</w:t>
            </w:r>
          </w:p>
        </w:tc>
        <w:tc>
          <w:tcPr>
            <w:tcW w:w="1461" w:type="dxa"/>
            <w:vAlign w:val="bottom"/>
          </w:tcPr>
          <w:p w14:paraId="309D1E91"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[0.93, 3.16]</w:t>
            </w:r>
          </w:p>
        </w:tc>
        <w:tc>
          <w:tcPr>
            <w:tcW w:w="984" w:type="dxa"/>
            <w:vAlign w:val="bottom"/>
          </w:tcPr>
          <w:p w14:paraId="16AA70A1"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 xml:space="preserve">.085     </w:t>
            </w:r>
          </w:p>
        </w:tc>
        <w:tc>
          <w:tcPr>
            <w:tcW w:w="885" w:type="dxa"/>
            <w:vAlign w:val="bottom"/>
          </w:tcPr>
          <w:p w14:paraId="23AF7CB3"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0.82</w:t>
            </w:r>
          </w:p>
        </w:tc>
        <w:tc>
          <w:tcPr>
            <w:tcW w:w="1533" w:type="dxa"/>
            <w:vAlign w:val="bottom"/>
          </w:tcPr>
          <w:p w14:paraId="1E4F98F3"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[0.40, 1.71]</w:t>
            </w:r>
          </w:p>
        </w:tc>
        <w:tc>
          <w:tcPr>
            <w:tcW w:w="851" w:type="dxa"/>
            <w:vAlign w:val="bottom"/>
          </w:tcPr>
          <w:p w14:paraId="6EAB6569"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.607</w:t>
            </w:r>
          </w:p>
        </w:tc>
      </w:tr>
      <w:tr w:rsidR="00532C03" w:rsidRPr="005A54C3" w14:paraId="75DFEF0B" w14:textId="77777777" w:rsidTr="00ED6A98">
        <w:tc>
          <w:tcPr>
            <w:tcW w:w="2145" w:type="dxa"/>
            <w:vAlign w:val="bottom"/>
          </w:tcPr>
          <w:p w14:paraId="0025D1A3"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Schizophrenia</w:t>
            </w:r>
          </w:p>
        </w:tc>
        <w:tc>
          <w:tcPr>
            <w:tcW w:w="930" w:type="dxa"/>
            <w:vAlign w:val="bottom"/>
          </w:tcPr>
          <w:p w14:paraId="45E80A9E"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2.92</w:t>
            </w:r>
          </w:p>
        </w:tc>
        <w:tc>
          <w:tcPr>
            <w:tcW w:w="1461" w:type="dxa"/>
            <w:vAlign w:val="bottom"/>
          </w:tcPr>
          <w:p w14:paraId="71EC3646"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[1.23, 6.92]</w:t>
            </w:r>
          </w:p>
        </w:tc>
        <w:tc>
          <w:tcPr>
            <w:tcW w:w="984" w:type="dxa"/>
            <w:vAlign w:val="bottom"/>
          </w:tcPr>
          <w:p w14:paraId="0DEB12B8"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 xml:space="preserve">.015     </w:t>
            </w:r>
          </w:p>
        </w:tc>
        <w:tc>
          <w:tcPr>
            <w:tcW w:w="885" w:type="dxa"/>
            <w:vAlign w:val="bottom"/>
          </w:tcPr>
          <w:p w14:paraId="0E39D6EB"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1.81</w:t>
            </w:r>
          </w:p>
        </w:tc>
        <w:tc>
          <w:tcPr>
            <w:tcW w:w="1533" w:type="dxa"/>
            <w:vAlign w:val="bottom"/>
          </w:tcPr>
          <w:p w14:paraId="5BF6A014"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[0.74, 4.71]</w:t>
            </w:r>
          </w:p>
        </w:tc>
        <w:tc>
          <w:tcPr>
            <w:tcW w:w="851" w:type="dxa"/>
            <w:vAlign w:val="bottom"/>
          </w:tcPr>
          <w:p w14:paraId="1F680DA3"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.181</w:t>
            </w:r>
          </w:p>
        </w:tc>
      </w:tr>
      <w:tr w:rsidR="00532C03" w:rsidRPr="005A54C3" w14:paraId="27899947" w14:textId="77777777" w:rsidTr="00ED6A98">
        <w:tc>
          <w:tcPr>
            <w:tcW w:w="2145" w:type="dxa"/>
            <w:vAlign w:val="bottom"/>
          </w:tcPr>
          <w:p w14:paraId="2AE2681E"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Diabetes Mellitus</w:t>
            </w:r>
          </w:p>
        </w:tc>
        <w:tc>
          <w:tcPr>
            <w:tcW w:w="930" w:type="dxa"/>
            <w:vAlign w:val="bottom"/>
          </w:tcPr>
          <w:p w14:paraId="4AC108C3"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2.79</w:t>
            </w:r>
          </w:p>
        </w:tc>
        <w:tc>
          <w:tcPr>
            <w:tcW w:w="1461" w:type="dxa"/>
            <w:vAlign w:val="bottom"/>
          </w:tcPr>
          <w:p w14:paraId="6A79EDB7"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[1.76, 4.42]</w:t>
            </w:r>
          </w:p>
        </w:tc>
        <w:tc>
          <w:tcPr>
            <w:tcW w:w="984" w:type="dxa"/>
            <w:vAlign w:val="bottom"/>
          </w:tcPr>
          <w:p w14:paraId="62A16D41"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 xml:space="preserve">.000     </w:t>
            </w:r>
          </w:p>
        </w:tc>
        <w:tc>
          <w:tcPr>
            <w:tcW w:w="885" w:type="dxa"/>
            <w:vAlign w:val="bottom"/>
          </w:tcPr>
          <w:p w14:paraId="65E94668"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1.61</w:t>
            </w:r>
          </w:p>
        </w:tc>
        <w:tc>
          <w:tcPr>
            <w:tcW w:w="1533" w:type="dxa"/>
            <w:vAlign w:val="bottom"/>
          </w:tcPr>
          <w:p w14:paraId="413EDDEC"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[0.96, 2.73]</w:t>
            </w:r>
          </w:p>
        </w:tc>
        <w:tc>
          <w:tcPr>
            <w:tcW w:w="851" w:type="dxa"/>
            <w:vAlign w:val="bottom"/>
          </w:tcPr>
          <w:p w14:paraId="23D46DEB"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.070</w:t>
            </w:r>
          </w:p>
        </w:tc>
      </w:tr>
      <w:tr w:rsidR="00532C03" w:rsidRPr="005A54C3" w14:paraId="27FF8214" w14:textId="77777777" w:rsidTr="00ED6A98">
        <w:tc>
          <w:tcPr>
            <w:tcW w:w="2145" w:type="dxa"/>
            <w:vAlign w:val="bottom"/>
          </w:tcPr>
          <w:p w14:paraId="64CA0884"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Hypertension</w:t>
            </w:r>
          </w:p>
        </w:tc>
        <w:tc>
          <w:tcPr>
            <w:tcW w:w="930" w:type="dxa"/>
            <w:vAlign w:val="bottom"/>
          </w:tcPr>
          <w:p w14:paraId="35B593FC"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1.86</w:t>
            </w:r>
          </w:p>
        </w:tc>
        <w:tc>
          <w:tcPr>
            <w:tcW w:w="1461" w:type="dxa"/>
            <w:vAlign w:val="bottom"/>
          </w:tcPr>
          <w:p w14:paraId="11FAF0D5"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[1.25, 2.78]</w:t>
            </w:r>
          </w:p>
        </w:tc>
        <w:tc>
          <w:tcPr>
            <w:tcW w:w="984" w:type="dxa"/>
            <w:vAlign w:val="bottom"/>
          </w:tcPr>
          <w:p w14:paraId="62F5DD64"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 xml:space="preserve">.002     </w:t>
            </w:r>
          </w:p>
        </w:tc>
        <w:tc>
          <w:tcPr>
            <w:tcW w:w="885" w:type="dxa"/>
            <w:vAlign w:val="bottom"/>
          </w:tcPr>
          <w:p w14:paraId="0D3B2025"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1.06</w:t>
            </w:r>
          </w:p>
        </w:tc>
        <w:tc>
          <w:tcPr>
            <w:tcW w:w="1533" w:type="dxa"/>
            <w:vAlign w:val="bottom"/>
          </w:tcPr>
          <w:p w14:paraId="304CE49D"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[0.65, 1.71]</w:t>
            </w:r>
          </w:p>
        </w:tc>
        <w:tc>
          <w:tcPr>
            <w:tcW w:w="851" w:type="dxa"/>
            <w:vAlign w:val="bottom"/>
          </w:tcPr>
          <w:p w14:paraId="10EB2538"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.24</w:t>
            </w:r>
          </w:p>
        </w:tc>
      </w:tr>
      <w:tr w:rsidR="00532C03" w:rsidRPr="005A54C3" w14:paraId="1F8A36B1" w14:textId="77777777" w:rsidTr="00ED6A98">
        <w:tc>
          <w:tcPr>
            <w:tcW w:w="2145" w:type="dxa"/>
            <w:vAlign w:val="bottom"/>
          </w:tcPr>
          <w:p w14:paraId="102DFD9A"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CVD</w:t>
            </w:r>
          </w:p>
        </w:tc>
        <w:tc>
          <w:tcPr>
            <w:tcW w:w="930" w:type="dxa"/>
            <w:vAlign w:val="bottom"/>
          </w:tcPr>
          <w:p w14:paraId="4F66C999"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2.61</w:t>
            </w:r>
          </w:p>
        </w:tc>
        <w:tc>
          <w:tcPr>
            <w:tcW w:w="1461" w:type="dxa"/>
            <w:vAlign w:val="bottom"/>
          </w:tcPr>
          <w:p w14:paraId="3550C574"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[1.48, 4.58]</w:t>
            </w:r>
          </w:p>
        </w:tc>
        <w:tc>
          <w:tcPr>
            <w:tcW w:w="984" w:type="dxa"/>
            <w:vAlign w:val="bottom"/>
          </w:tcPr>
          <w:p w14:paraId="76B3C8EE"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 xml:space="preserve">.001     </w:t>
            </w:r>
          </w:p>
        </w:tc>
        <w:tc>
          <w:tcPr>
            <w:tcW w:w="885" w:type="dxa"/>
            <w:vAlign w:val="bottom"/>
          </w:tcPr>
          <w:p w14:paraId="6A3051D6"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1.41</w:t>
            </w:r>
          </w:p>
        </w:tc>
        <w:tc>
          <w:tcPr>
            <w:tcW w:w="1533" w:type="dxa"/>
            <w:vAlign w:val="bottom"/>
          </w:tcPr>
          <w:p w14:paraId="5AC076DA"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[0.74, 2.67]</w:t>
            </w:r>
          </w:p>
        </w:tc>
        <w:tc>
          <w:tcPr>
            <w:tcW w:w="851" w:type="dxa"/>
            <w:vAlign w:val="bottom"/>
          </w:tcPr>
          <w:p w14:paraId="249C698E"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.293</w:t>
            </w:r>
          </w:p>
        </w:tc>
      </w:tr>
      <w:tr w:rsidR="00532C03" w:rsidRPr="005A54C3" w14:paraId="2569D5A3" w14:textId="77777777" w:rsidTr="00ED6A98">
        <w:tc>
          <w:tcPr>
            <w:tcW w:w="2145" w:type="dxa"/>
            <w:vAlign w:val="bottom"/>
          </w:tcPr>
          <w:p w14:paraId="1460F06E"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COPD</w:t>
            </w:r>
          </w:p>
        </w:tc>
        <w:tc>
          <w:tcPr>
            <w:tcW w:w="930" w:type="dxa"/>
            <w:vAlign w:val="bottom"/>
          </w:tcPr>
          <w:p w14:paraId="65F4746A"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3.09</w:t>
            </w:r>
          </w:p>
        </w:tc>
        <w:tc>
          <w:tcPr>
            <w:tcW w:w="1461" w:type="dxa"/>
            <w:vAlign w:val="bottom"/>
          </w:tcPr>
          <w:p w14:paraId="6E22F925"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[0.56, 16.89]</w:t>
            </w:r>
          </w:p>
        </w:tc>
        <w:tc>
          <w:tcPr>
            <w:tcW w:w="984" w:type="dxa"/>
            <w:vAlign w:val="bottom"/>
          </w:tcPr>
          <w:p w14:paraId="4EBCFD32"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.194</w:t>
            </w:r>
          </w:p>
        </w:tc>
        <w:tc>
          <w:tcPr>
            <w:tcW w:w="885" w:type="dxa"/>
            <w:vAlign w:val="bottom"/>
          </w:tcPr>
          <w:p w14:paraId="434A51A3"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1.46</w:t>
            </w:r>
          </w:p>
        </w:tc>
        <w:tc>
          <w:tcPr>
            <w:tcW w:w="1533" w:type="dxa"/>
            <w:vAlign w:val="bottom"/>
          </w:tcPr>
          <w:p w14:paraId="152AB854"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[0.19, 10.87]</w:t>
            </w:r>
          </w:p>
        </w:tc>
        <w:tc>
          <w:tcPr>
            <w:tcW w:w="851" w:type="dxa"/>
            <w:vAlign w:val="bottom"/>
          </w:tcPr>
          <w:p w14:paraId="22EE2763"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 xml:space="preserve">.710    </w:t>
            </w:r>
          </w:p>
        </w:tc>
      </w:tr>
      <w:tr w:rsidR="00532C03" w:rsidRPr="005A54C3" w14:paraId="38CF4001" w14:textId="77777777" w:rsidTr="00ED6A98">
        <w:tc>
          <w:tcPr>
            <w:tcW w:w="2145" w:type="dxa"/>
            <w:vAlign w:val="bottom"/>
          </w:tcPr>
          <w:p w14:paraId="68358B6E"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Obesity</w:t>
            </w:r>
          </w:p>
        </w:tc>
        <w:tc>
          <w:tcPr>
            <w:tcW w:w="930" w:type="dxa"/>
            <w:vAlign w:val="bottom"/>
          </w:tcPr>
          <w:p w14:paraId="6932E428"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1.70</w:t>
            </w:r>
          </w:p>
        </w:tc>
        <w:tc>
          <w:tcPr>
            <w:tcW w:w="1461" w:type="dxa"/>
            <w:vAlign w:val="bottom"/>
          </w:tcPr>
          <w:p w14:paraId="6067D3A2"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[1.33, 2.18]</w:t>
            </w:r>
          </w:p>
        </w:tc>
        <w:tc>
          <w:tcPr>
            <w:tcW w:w="984" w:type="dxa"/>
            <w:vAlign w:val="bottom"/>
          </w:tcPr>
          <w:p w14:paraId="0A2EC66C"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 xml:space="preserve">.000     </w:t>
            </w:r>
          </w:p>
        </w:tc>
        <w:tc>
          <w:tcPr>
            <w:tcW w:w="885" w:type="dxa"/>
            <w:vAlign w:val="bottom"/>
          </w:tcPr>
          <w:p w14:paraId="3F7EC52C"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1.25</w:t>
            </w:r>
          </w:p>
        </w:tc>
        <w:tc>
          <w:tcPr>
            <w:tcW w:w="1533" w:type="dxa"/>
            <w:vAlign w:val="bottom"/>
          </w:tcPr>
          <w:p w14:paraId="7D5EFBB4"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[0.94, 1.66]</w:t>
            </w:r>
          </w:p>
        </w:tc>
        <w:tc>
          <w:tcPr>
            <w:tcW w:w="851" w:type="dxa"/>
            <w:vAlign w:val="bottom"/>
          </w:tcPr>
          <w:p w14:paraId="3FEB169C"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.121</w:t>
            </w:r>
          </w:p>
        </w:tc>
      </w:tr>
      <w:tr w:rsidR="00532C03" w:rsidRPr="005A54C3" w14:paraId="79C2E0DF" w14:textId="77777777" w:rsidTr="00ED6A98">
        <w:tc>
          <w:tcPr>
            <w:tcW w:w="2145" w:type="dxa"/>
            <w:tcBorders>
              <w:bottom w:val="single" w:sz="4" w:space="0" w:color="auto"/>
            </w:tcBorders>
            <w:vAlign w:val="bottom"/>
          </w:tcPr>
          <w:p w14:paraId="01D73E55"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Smoking</w:t>
            </w:r>
          </w:p>
        </w:tc>
        <w:tc>
          <w:tcPr>
            <w:tcW w:w="930" w:type="dxa"/>
            <w:tcBorders>
              <w:bottom w:val="single" w:sz="4" w:space="0" w:color="auto"/>
            </w:tcBorders>
            <w:vAlign w:val="bottom"/>
          </w:tcPr>
          <w:p w14:paraId="397EFFCC"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1.31</w:t>
            </w:r>
          </w:p>
        </w:tc>
        <w:tc>
          <w:tcPr>
            <w:tcW w:w="1461" w:type="dxa"/>
            <w:tcBorders>
              <w:bottom w:val="single" w:sz="4" w:space="0" w:color="auto"/>
            </w:tcBorders>
            <w:vAlign w:val="bottom"/>
          </w:tcPr>
          <w:p w14:paraId="58280270"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[0.59, 2.91]</w:t>
            </w:r>
          </w:p>
        </w:tc>
        <w:tc>
          <w:tcPr>
            <w:tcW w:w="984" w:type="dxa"/>
            <w:tcBorders>
              <w:bottom w:val="single" w:sz="4" w:space="0" w:color="auto"/>
            </w:tcBorders>
            <w:vAlign w:val="bottom"/>
          </w:tcPr>
          <w:p w14:paraId="11F25E8D"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.502</w:t>
            </w:r>
          </w:p>
        </w:tc>
        <w:tc>
          <w:tcPr>
            <w:tcW w:w="885" w:type="dxa"/>
            <w:tcBorders>
              <w:bottom w:val="single" w:sz="4" w:space="0" w:color="auto"/>
            </w:tcBorders>
            <w:vAlign w:val="bottom"/>
          </w:tcPr>
          <w:p w14:paraId="1A22153A"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0.88</w:t>
            </w:r>
          </w:p>
        </w:tc>
        <w:tc>
          <w:tcPr>
            <w:tcW w:w="1533" w:type="dxa"/>
            <w:tcBorders>
              <w:bottom w:val="single" w:sz="4" w:space="0" w:color="auto"/>
            </w:tcBorders>
            <w:vAlign w:val="bottom"/>
          </w:tcPr>
          <w:p w14:paraId="289508EB"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[0.53, 1.46]</w:t>
            </w:r>
          </w:p>
        </w:tc>
        <w:tc>
          <w:tcPr>
            <w:tcW w:w="851" w:type="dxa"/>
            <w:tcBorders>
              <w:bottom w:val="single" w:sz="4" w:space="0" w:color="auto"/>
            </w:tcBorders>
            <w:vAlign w:val="bottom"/>
          </w:tcPr>
          <w:p w14:paraId="7883F7B5" w14:textId="77777777" w:rsidR="00532C03" w:rsidRPr="005A54C3" w:rsidRDefault="00E8712F" w:rsidP="00ED6A98">
            <w:pPr>
              <w:spacing w:line="360" w:lineRule="auto"/>
              <w:rPr>
                <w:rFonts w:asciiTheme="majorBidi" w:hAnsiTheme="majorBidi" w:cstheme="majorBidi"/>
              </w:rPr>
            </w:pPr>
            <w:r w:rsidRPr="005A54C3">
              <w:rPr>
                <w:rFonts w:asciiTheme="majorBidi" w:hAnsiTheme="majorBidi" w:cstheme="majorBidi"/>
              </w:rPr>
              <w:t>.634</w:t>
            </w:r>
          </w:p>
        </w:tc>
      </w:tr>
    </w:tbl>
    <w:p w14:paraId="4439D09C" w14:textId="77777777" w:rsidR="00532C03" w:rsidRPr="005A54C3" w:rsidRDefault="00E8712F" w:rsidP="00A25780">
      <w:pPr>
        <w:spacing w:line="276" w:lineRule="auto"/>
        <w:rPr>
          <w:rFonts w:asciiTheme="majorBidi" w:hAnsiTheme="majorBidi" w:cstheme="majorBidi"/>
          <w:sz w:val="22"/>
          <w:szCs w:val="22"/>
        </w:rPr>
      </w:pPr>
      <w:r w:rsidRPr="005A54C3">
        <w:rPr>
          <w:rFonts w:asciiTheme="majorBidi" w:hAnsiTheme="majorBidi" w:cstheme="majorBidi"/>
          <w:i/>
          <w:sz w:val="22"/>
          <w:szCs w:val="22"/>
        </w:rPr>
        <w:t>Note.</w:t>
      </w:r>
      <w:r w:rsidRPr="005A54C3">
        <w:rPr>
          <w:rFonts w:asciiTheme="majorBidi" w:hAnsiTheme="majorBidi" w:cstheme="majorBidi"/>
          <w:sz w:val="22"/>
          <w:szCs w:val="22"/>
        </w:rPr>
        <w:t xml:space="preserve"> CI = Confidence Interval; LL = Lower Limit; UL = Upper Limit; ADHD = Attention Deficit Hyperactivity Disorder; CVD = Cardiovascular Disease; COPD = Chronic Obstructive Pulmonary Disease; SES = Socioeconomic Status.</w:t>
      </w:r>
    </w:p>
    <w:p w14:paraId="7904C56A" w14:textId="77777777" w:rsidR="0087783C" w:rsidRPr="005A54C3" w:rsidRDefault="00E8712F" w:rsidP="00A25780">
      <w:pPr>
        <w:spacing w:line="276" w:lineRule="auto"/>
        <w:rPr>
          <w:rFonts w:asciiTheme="majorBidi" w:hAnsiTheme="majorBidi" w:cstheme="majorBidi"/>
          <w:sz w:val="22"/>
          <w:szCs w:val="22"/>
        </w:rPr>
      </w:pPr>
      <w:r w:rsidRPr="005A54C3">
        <w:rPr>
          <w:rFonts w:asciiTheme="majorBidi" w:hAnsiTheme="majorBidi" w:cstheme="majorBidi"/>
          <w:sz w:val="22"/>
          <w:szCs w:val="22"/>
          <w:vertAlign w:val="superscript"/>
        </w:rPr>
        <w:t xml:space="preserve">a </w:t>
      </w:r>
      <w:r w:rsidRPr="005A54C3">
        <w:rPr>
          <w:rFonts w:asciiTheme="majorBidi" w:hAnsiTheme="majorBidi" w:cstheme="majorBidi"/>
          <w:sz w:val="22"/>
          <w:szCs w:val="22"/>
        </w:rPr>
        <w:t xml:space="preserve">Without age, OR for ADHD = 1.6, 95% CI [1.15, 2.2]. </w:t>
      </w:r>
    </w:p>
    <w:p w14:paraId="47165E0E" w14:textId="77777777" w:rsidR="00532C03" w:rsidRPr="005A54C3" w:rsidRDefault="00E8712F" w:rsidP="00A25780">
      <w:pPr>
        <w:spacing w:line="276" w:lineRule="auto"/>
        <w:rPr>
          <w:rFonts w:asciiTheme="majorBidi" w:hAnsiTheme="majorBidi" w:cstheme="majorBidi"/>
          <w:sz w:val="22"/>
          <w:szCs w:val="22"/>
        </w:rPr>
      </w:pPr>
      <w:r w:rsidRPr="005A54C3">
        <w:rPr>
          <w:rFonts w:asciiTheme="majorBidi" w:hAnsiTheme="majorBidi" w:cstheme="majorBidi"/>
          <w:color w:val="3C4043"/>
          <w:sz w:val="22"/>
          <w:szCs w:val="22"/>
          <w:vertAlign w:val="superscript"/>
        </w:rPr>
        <w:t xml:space="preserve">b </w:t>
      </w:r>
      <w:r w:rsidRPr="005A54C3">
        <w:rPr>
          <w:rFonts w:asciiTheme="majorBidi" w:hAnsiTheme="majorBidi" w:cstheme="majorBidi"/>
          <w:sz w:val="22"/>
          <w:szCs w:val="22"/>
        </w:rPr>
        <w:t>Age was included as a continuous variable.</w:t>
      </w:r>
    </w:p>
    <w:p w14:paraId="40232450" w14:textId="77777777" w:rsidR="00532C03" w:rsidRPr="005A54C3" w:rsidRDefault="00532C03">
      <w:pPr>
        <w:rPr>
          <w:rFonts w:asciiTheme="majorBidi" w:eastAsia="Roboto" w:hAnsiTheme="majorBidi" w:cstheme="majorBidi"/>
          <w:color w:val="3C4043"/>
          <w:sz w:val="21"/>
          <w:szCs w:val="21"/>
        </w:rPr>
      </w:pPr>
    </w:p>
    <w:p w14:paraId="1F34FA1D" w14:textId="77777777" w:rsidR="00532C03" w:rsidRPr="005A54C3" w:rsidRDefault="00532C03">
      <w:pPr>
        <w:rPr>
          <w:rFonts w:asciiTheme="majorBidi" w:hAnsiTheme="majorBidi" w:cstheme="majorBidi"/>
          <w:b/>
        </w:rPr>
      </w:pPr>
    </w:p>
    <w:p w14:paraId="4E6BF756" w14:textId="77777777" w:rsidR="00532C03" w:rsidRPr="005A54C3" w:rsidRDefault="00E8712F">
      <w:pPr>
        <w:rPr>
          <w:rFonts w:asciiTheme="majorBidi" w:hAnsiTheme="majorBidi" w:cstheme="majorBidi"/>
          <w:b/>
        </w:rPr>
      </w:pPr>
      <w:r w:rsidRPr="005A54C3">
        <w:rPr>
          <w:rFonts w:asciiTheme="majorBidi" w:hAnsiTheme="majorBidi" w:cstheme="majorBidi"/>
        </w:rPr>
        <w:br w:type="page"/>
      </w:r>
    </w:p>
    <w:p w14:paraId="1EFC7F0D" w14:textId="77777777" w:rsidR="00532C03" w:rsidRPr="005A54C3" w:rsidRDefault="00E8712F">
      <w:pPr>
        <w:pStyle w:val="Heading2"/>
        <w:rPr>
          <w:rFonts w:asciiTheme="majorBidi" w:hAnsiTheme="majorBidi" w:cstheme="majorBidi"/>
        </w:rPr>
      </w:pPr>
      <w:r w:rsidRPr="005A54C3">
        <w:rPr>
          <w:rFonts w:asciiTheme="majorBidi" w:hAnsiTheme="majorBidi" w:cstheme="majorBidi"/>
        </w:rPr>
        <w:lastRenderedPageBreak/>
        <w:t>Table 5</w:t>
      </w:r>
    </w:p>
    <w:sdt>
      <w:sdtPr>
        <w:rPr>
          <w:rFonts w:asciiTheme="majorBidi" w:hAnsiTheme="majorBidi" w:cstheme="majorBidi"/>
          <w:i/>
          <w:iCs/>
        </w:rPr>
        <w:tag w:val="goog_rdk_0"/>
        <w:id w:val="2010244070"/>
      </w:sdtPr>
      <w:sdtEndPr/>
      <w:sdtContent>
        <w:p w14:paraId="57A2E346" w14:textId="77777777" w:rsidR="00532C03" w:rsidRPr="005A54C3" w:rsidRDefault="00E8712F" w:rsidP="00D844A2">
          <w:pPr>
            <w:rPr>
              <w:rFonts w:asciiTheme="majorBidi" w:hAnsiTheme="majorBidi" w:cstheme="majorBidi"/>
              <w:i/>
              <w:iCs/>
            </w:rPr>
          </w:pPr>
          <w:r w:rsidRPr="005A54C3">
            <w:rPr>
              <w:rFonts w:asciiTheme="majorBidi" w:hAnsiTheme="majorBidi" w:cstheme="majorBidi"/>
              <w:i/>
              <w:iCs/>
            </w:rPr>
            <w:t>Logistic regression for crude and adjusted odds ratios for patients referred to hospitalization, demographic and clinical characteristics</w:t>
          </w:r>
        </w:p>
      </w:sdtContent>
    </w:sdt>
    <w:tbl>
      <w:tblPr>
        <w:tblStyle w:val="af8"/>
        <w:tblW w:w="8789" w:type="dxa"/>
        <w:tblLayout w:type="fixed"/>
        <w:tblLook w:val="0400" w:firstRow="0" w:lastRow="0" w:firstColumn="0" w:lastColumn="0" w:noHBand="0" w:noVBand="1"/>
      </w:tblPr>
      <w:tblGrid>
        <w:gridCol w:w="2268"/>
        <w:gridCol w:w="709"/>
        <w:gridCol w:w="1559"/>
        <w:gridCol w:w="993"/>
        <w:gridCol w:w="850"/>
        <w:gridCol w:w="1559"/>
        <w:gridCol w:w="851"/>
      </w:tblGrid>
      <w:tr w:rsidR="0087783C" w:rsidRPr="005A54C3" w14:paraId="79E933D8" w14:textId="77777777" w:rsidTr="00D844A2">
        <w:trPr>
          <w:trHeight w:val="375"/>
        </w:trPr>
        <w:tc>
          <w:tcPr>
            <w:tcW w:w="2268" w:type="dxa"/>
            <w:tcBorders>
              <w:top w:val="single" w:sz="4" w:space="0" w:color="auto"/>
            </w:tcBorders>
            <w:tcMar>
              <w:top w:w="56" w:type="dxa"/>
              <w:left w:w="56" w:type="dxa"/>
              <w:bottom w:w="56" w:type="dxa"/>
              <w:right w:w="56" w:type="dxa"/>
            </w:tcMar>
            <w:vAlign w:val="bottom"/>
          </w:tcPr>
          <w:p w14:paraId="1EF5CE32" w14:textId="77777777" w:rsidR="0087783C" w:rsidRPr="005A54C3" w:rsidRDefault="0087783C" w:rsidP="003471DD">
            <w:pPr>
              <w:spacing w:line="240" w:lineRule="auto"/>
              <w:jc w:val="center"/>
              <w:rPr>
                <w:rFonts w:asciiTheme="majorBidi" w:hAnsiTheme="majorBidi" w:cstheme="majorBidi"/>
              </w:rPr>
            </w:pPr>
          </w:p>
        </w:tc>
        <w:tc>
          <w:tcPr>
            <w:tcW w:w="2268" w:type="dxa"/>
            <w:gridSpan w:val="2"/>
            <w:tcBorders>
              <w:top w:val="single" w:sz="4" w:space="0" w:color="auto"/>
              <w:bottom w:val="single" w:sz="4" w:space="0" w:color="auto"/>
            </w:tcBorders>
            <w:tcMar>
              <w:top w:w="56" w:type="dxa"/>
              <w:left w:w="56" w:type="dxa"/>
              <w:bottom w:w="56" w:type="dxa"/>
              <w:right w:w="56" w:type="dxa"/>
            </w:tcMar>
            <w:vAlign w:val="bottom"/>
          </w:tcPr>
          <w:p w14:paraId="56F41EDE" w14:textId="77777777" w:rsidR="0087783C" w:rsidRPr="005A54C3" w:rsidRDefault="0087783C" w:rsidP="003471DD">
            <w:pPr>
              <w:spacing w:line="240" w:lineRule="auto"/>
              <w:jc w:val="center"/>
              <w:rPr>
                <w:rFonts w:asciiTheme="majorBidi" w:hAnsiTheme="majorBidi" w:cstheme="majorBidi"/>
                <w:i/>
              </w:rPr>
            </w:pPr>
            <w:r w:rsidRPr="005A54C3">
              <w:rPr>
                <w:rFonts w:asciiTheme="majorBidi" w:hAnsiTheme="majorBidi" w:cstheme="majorBidi"/>
                <w:color w:val="212121"/>
              </w:rPr>
              <w:t xml:space="preserve">Crude </w:t>
            </w:r>
            <w:r w:rsidRPr="005A54C3">
              <w:rPr>
                <w:rFonts w:asciiTheme="majorBidi" w:hAnsiTheme="majorBidi" w:cstheme="majorBidi"/>
                <w:i/>
                <w:color w:val="212121"/>
              </w:rPr>
              <w:t>OR</w:t>
            </w:r>
          </w:p>
        </w:tc>
        <w:tc>
          <w:tcPr>
            <w:tcW w:w="993" w:type="dxa"/>
            <w:tcBorders>
              <w:top w:val="single" w:sz="4" w:space="0" w:color="auto"/>
            </w:tcBorders>
            <w:vAlign w:val="bottom"/>
          </w:tcPr>
          <w:p w14:paraId="6E510828" w14:textId="77777777" w:rsidR="0087783C" w:rsidRPr="005A54C3" w:rsidRDefault="0087783C" w:rsidP="003471DD">
            <w:pPr>
              <w:spacing w:line="240" w:lineRule="auto"/>
              <w:jc w:val="center"/>
              <w:rPr>
                <w:rFonts w:asciiTheme="majorBidi" w:hAnsiTheme="majorBidi" w:cstheme="majorBidi"/>
                <w:i/>
              </w:rPr>
            </w:pPr>
          </w:p>
        </w:tc>
        <w:tc>
          <w:tcPr>
            <w:tcW w:w="2409" w:type="dxa"/>
            <w:gridSpan w:val="2"/>
            <w:tcBorders>
              <w:top w:val="single" w:sz="4" w:space="0" w:color="auto"/>
              <w:bottom w:val="single" w:sz="4" w:space="0" w:color="auto"/>
            </w:tcBorders>
            <w:tcMar>
              <w:top w:w="56" w:type="dxa"/>
              <w:left w:w="56" w:type="dxa"/>
              <w:bottom w:w="56" w:type="dxa"/>
              <w:right w:w="56" w:type="dxa"/>
            </w:tcMar>
            <w:vAlign w:val="bottom"/>
          </w:tcPr>
          <w:p w14:paraId="35B2DABF" w14:textId="77777777" w:rsidR="0087783C" w:rsidRPr="005A54C3" w:rsidRDefault="0087783C" w:rsidP="003471DD">
            <w:pPr>
              <w:spacing w:line="240" w:lineRule="auto"/>
              <w:jc w:val="center"/>
              <w:rPr>
                <w:rFonts w:asciiTheme="majorBidi" w:hAnsiTheme="majorBidi" w:cstheme="majorBidi"/>
                <w:i/>
              </w:rPr>
            </w:pPr>
            <w:r w:rsidRPr="005A54C3">
              <w:rPr>
                <w:rFonts w:asciiTheme="majorBidi" w:hAnsiTheme="majorBidi" w:cstheme="majorBidi"/>
                <w:color w:val="212121"/>
              </w:rPr>
              <w:t xml:space="preserve">Adjusted </w:t>
            </w:r>
            <w:r w:rsidRPr="005A54C3">
              <w:rPr>
                <w:rFonts w:asciiTheme="majorBidi" w:hAnsiTheme="majorBidi" w:cstheme="majorBidi"/>
                <w:i/>
                <w:color w:val="212121"/>
              </w:rPr>
              <w:t>OR</w:t>
            </w:r>
          </w:p>
        </w:tc>
        <w:tc>
          <w:tcPr>
            <w:tcW w:w="851" w:type="dxa"/>
            <w:tcBorders>
              <w:top w:val="single" w:sz="4" w:space="0" w:color="auto"/>
            </w:tcBorders>
            <w:vAlign w:val="bottom"/>
          </w:tcPr>
          <w:p w14:paraId="297EA0BD" w14:textId="77777777" w:rsidR="0087783C" w:rsidRPr="005A54C3" w:rsidRDefault="0087783C" w:rsidP="003471DD">
            <w:pPr>
              <w:spacing w:line="240" w:lineRule="auto"/>
              <w:jc w:val="center"/>
              <w:rPr>
                <w:rFonts w:asciiTheme="majorBidi" w:hAnsiTheme="majorBidi" w:cstheme="majorBidi"/>
                <w:i/>
              </w:rPr>
            </w:pPr>
          </w:p>
        </w:tc>
      </w:tr>
      <w:tr w:rsidR="00CD71B7" w:rsidRPr="005A54C3" w14:paraId="7C79876B" w14:textId="77777777" w:rsidTr="00D844A2">
        <w:tc>
          <w:tcPr>
            <w:tcW w:w="2268" w:type="dxa"/>
            <w:tcBorders>
              <w:bottom w:val="single" w:sz="4" w:space="0" w:color="auto"/>
            </w:tcBorders>
            <w:tcMar>
              <w:top w:w="100" w:type="dxa"/>
              <w:left w:w="100" w:type="dxa"/>
              <w:bottom w:w="100" w:type="dxa"/>
              <w:right w:w="100" w:type="dxa"/>
            </w:tcMar>
            <w:vAlign w:val="bottom"/>
          </w:tcPr>
          <w:p w14:paraId="0276E6B9"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Variable</w:t>
            </w:r>
          </w:p>
        </w:tc>
        <w:tc>
          <w:tcPr>
            <w:tcW w:w="709" w:type="dxa"/>
            <w:tcBorders>
              <w:top w:val="single" w:sz="4" w:space="0" w:color="auto"/>
              <w:bottom w:val="single" w:sz="4" w:space="0" w:color="auto"/>
            </w:tcBorders>
            <w:tcMar>
              <w:top w:w="100" w:type="dxa"/>
              <w:left w:w="100" w:type="dxa"/>
              <w:bottom w:w="100" w:type="dxa"/>
              <w:right w:w="100" w:type="dxa"/>
            </w:tcMar>
            <w:vAlign w:val="bottom"/>
          </w:tcPr>
          <w:p w14:paraId="267E076C" w14:textId="77777777" w:rsidR="00532C03" w:rsidRPr="005A54C3" w:rsidRDefault="00E8712F" w:rsidP="003471DD">
            <w:pPr>
              <w:spacing w:line="240" w:lineRule="auto"/>
              <w:rPr>
                <w:rFonts w:asciiTheme="majorBidi" w:hAnsiTheme="majorBidi" w:cstheme="majorBidi"/>
                <w:i/>
              </w:rPr>
            </w:pPr>
            <w:r w:rsidRPr="005A54C3">
              <w:rPr>
                <w:rFonts w:asciiTheme="majorBidi" w:hAnsiTheme="majorBidi" w:cstheme="majorBidi"/>
                <w:i/>
                <w:color w:val="212121"/>
              </w:rPr>
              <w:t>OR</w:t>
            </w:r>
          </w:p>
        </w:tc>
        <w:tc>
          <w:tcPr>
            <w:tcW w:w="1559" w:type="dxa"/>
            <w:tcBorders>
              <w:top w:val="single" w:sz="4" w:space="0" w:color="auto"/>
              <w:bottom w:val="single" w:sz="4" w:space="0" w:color="auto"/>
            </w:tcBorders>
            <w:tcMar>
              <w:top w:w="100" w:type="dxa"/>
              <w:left w:w="100" w:type="dxa"/>
              <w:bottom w:w="100" w:type="dxa"/>
              <w:right w:w="100" w:type="dxa"/>
            </w:tcMar>
            <w:vAlign w:val="bottom"/>
          </w:tcPr>
          <w:p w14:paraId="4BEF8743" w14:textId="77777777" w:rsidR="00532C03" w:rsidRPr="005A54C3" w:rsidRDefault="00E8712F" w:rsidP="003471DD">
            <w:pPr>
              <w:spacing w:line="240" w:lineRule="auto"/>
              <w:rPr>
                <w:rFonts w:asciiTheme="majorBidi" w:hAnsiTheme="majorBidi" w:cstheme="majorBidi"/>
                <w:i/>
                <w:color w:val="212121"/>
              </w:rPr>
            </w:pPr>
            <w:r w:rsidRPr="005A54C3">
              <w:rPr>
                <w:rFonts w:asciiTheme="majorBidi" w:hAnsiTheme="majorBidi" w:cstheme="majorBidi"/>
                <w:color w:val="212121"/>
              </w:rPr>
              <w:t xml:space="preserve">95% </w:t>
            </w:r>
            <w:r w:rsidRPr="005A54C3">
              <w:rPr>
                <w:rFonts w:asciiTheme="majorBidi" w:hAnsiTheme="majorBidi" w:cstheme="majorBidi"/>
                <w:i/>
                <w:color w:val="212121"/>
              </w:rPr>
              <w:t>CI</w:t>
            </w:r>
          </w:p>
          <w:p w14:paraId="3F24FBB1" w14:textId="77777777" w:rsidR="00532C03" w:rsidRPr="005A54C3" w:rsidRDefault="00E8712F" w:rsidP="003471DD">
            <w:pPr>
              <w:spacing w:line="240" w:lineRule="auto"/>
              <w:rPr>
                <w:rFonts w:asciiTheme="majorBidi" w:hAnsiTheme="majorBidi" w:cstheme="majorBidi"/>
                <w:i/>
                <w:color w:val="212121"/>
              </w:rPr>
            </w:pPr>
            <w:r w:rsidRPr="005A54C3">
              <w:rPr>
                <w:rFonts w:asciiTheme="majorBidi" w:hAnsiTheme="majorBidi" w:cstheme="majorBidi"/>
              </w:rPr>
              <w:t>[LL, UL]</w:t>
            </w:r>
          </w:p>
        </w:tc>
        <w:tc>
          <w:tcPr>
            <w:tcW w:w="993" w:type="dxa"/>
            <w:tcBorders>
              <w:bottom w:val="single" w:sz="4" w:space="0" w:color="auto"/>
            </w:tcBorders>
            <w:tcMar>
              <w:top w:w="100" w:type="dxa"/>
              <w:left w:w="100" w:type="dxa"/>
              <w:bottom w:w="100" w:type="dxa"/>
              <w:right w:w="100" w:type="dxa"/>
            </w:tcMar>
            <w:vAlign w:val="bottom"/>
          </w:tcPr>
          <w:p w14:paraId="08D893CA"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i/>
                <w:color w:val="212121"/>
              </w:rPr>
              <w:t>p</w:t>
            </w:r>
          </w:p>
        </w:tc>
        <w:tc>
          <w:tcPr>
            <w:tcW w:w="850" w:type="dxa"/>
            <w:tcBorders>
              <w:top w:val="single" w:sz="4" w:space="0" w:color="auto"/>
              <w:bottom w:val="single" w:sz="4" w:space="0" w:color="auto"/>
            </w:tcBorders>
            <w:tcMar>
              <w:top w:w="100" w:type="dxa"/>
              <w:left w:w="100" w:type="dxa"/>
              <w:bottom w:w="100" w:type="dxa"/>
              <w:right w:w="100" w:type="dxa"/>
            </w:tcMar>
            <w:vAlign w:val="bottom"/>
          </w:tcPr>
          <w:p w14:paraId="77AA61BB" w14:textId="77777777" w:rsidR="00532C03" w:rsidRPr="005A54C3" w:rsidRDefault="00E8712F" w:rsidP="003471DD">
            <w:pPr>
              <w:spacing w:line="240" w:lineRule="auto"/>
              <w:rPr>
                <w:rFonts w:asciiTheme="majorBidi" w:hAnsiTheme="majorBidi" w:cstheme="majorBidi"/>
                <w:i/>
              </w:rPr>
            </w:pPr>
            <w:r w:rsidRPr="005A54C3">
              <w:rPr>
                <w:rFonts w:asciiTheme="majorBidi" w:hAnsiTheme="majorBidi" w:cstheme="majorBidi"/>
                <w:i/>
                <w:color w:val="212121"/>
              </w:rPr>
              <w:t>OR</w:t>
            </w:r>
          </w:p>
        </w:tc>
        <w:tc>
          <w:tcPr>
            <w:tcW w:w="1559" w:type="dxa"/>
            <w:tcBorders>
              <w:top w:val="single" w:sz="4" w:space="0" w:color="auto"/>
              <w:bottom w:val="single" w:sz="4" w:space="0" w:color="auto"/>
            </w:tcBorders>
            <w:tcMar>
              <w:top w:w="100" w:type="dxa"/>
              <w:left w:w="100" w:type="dxa"/>
              <w:bottom w:w="100" w:type="dxa"/>
              <w:right w:w="100" w:type="dxa"/>
            </w:tcMar>
            <w:vAlign w:val="bottom"/>
          </w:tcPr>
          <w:p w14:paraId="5E74295C" w14:textId="77777777" w:rsidR="00532C03" w:rsidRPr="005A54C3" w:rsidRDefault="00E8712F" w:rsidP="003471DD">
            <w:pPr>
              <w:spacing w:line="240" w:lineRule="auto"/>
              <w:rPr>
                <w:rFonts w:asciiTheme="majorBidi" w:hAnsiTheme="majorBidi" w:cstheme="majorBidi"/>
                <w:i/>
                <w:color w:val="212121"/>
              </w:rPr>
            </w:pPr>
            <w:r w:rsidRPr="005A54C3">
              <w:rPr>
                <w:rFonts w:asciiTheme="majorBidi" w:hAnsiTheme="majorBidi" w:cstheme="majorBidi"/>
                <w:color w:val="212121"/>
              </w:rPr>
              <w:t xml:space="preserve">95% </w:t>
            </w:r>
            <w:r w:rsidRPr="005A54C3">
              <w:rPr>
                <w:rFonts w:asciiTheme="majorBidi" w:hAnsiTheme="majorBidi" w:cstheme="majorBidi"/>
                <w:i/>
                <w:color w:val="212121"/>
              </w:rPr>
              <w:t>CI</w:t>
            </w:r>
          </w:p>
          <w:p w14:paraId="296393F4" w14:textId="77777777" w:rsidR="00532C03" w:rsidRPr="005A54C3" w:rsidRDefault="00E8712F" w:rsidP="003471DD">
            <w:pPr>
              <w:spacing w:line="240" w:lineRule="auto"/>
              <w:rPr>
                <w:rFonts w:asciiTheme="majorBidi" w:hAnsiTheme="majorBidi" w:cstheme="majorBidi"/>
                <w:i/>
                <w:color w:val="212121"/>
              </w:rPr>
            </w:pPr>
            <w:r w:rsidRPr="005A54C3">
              <w:rPr>
                <w:rFonts w:asciiTheme="majorBidi" w:hAnsiTheme="majorBidi" w:cstheme="majorBidi"/>
              </w:rPr>
              <w:t>[LL, UL]</w:t>
            </w:r>
          </w:p>
        </w:tc>
        <w:tc>
          <w:tcPr>
            <w:tcW w:w="851" w:type="dxa"/>
            <w:tcBorders>
              <w:bottom w:val="single" w:sz="4" w:space="0" w:color="auto"/>
            </w:tcBorders>
            <w:tcMar>
              <w:top w:w="100" w:type="dxa"/>
              <w:left w:w="100" w:type="dxa"/>
              <w:bottom w:w="100" w:type="dxa"/>
              <w:right w:w="100" w:type="dxa"/>
            </w:tcMar>
            <w:vAlign w:val="bottom"/>
          </w:tcPr>
          <w:p w14:paraId="6C2FAFD6"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i/>
                <w:color w:val="212121"/>
              </w:rPr>
              <w:t>p</w:t>
            </w:r>
          </w:p>
        </w:tc>
      </w:tr>
      <w:tr w:rsidR="00CD71B7" w:rsidRPr="005A54C3" w14:paraId="4A50C18E" w14:textId="77777777" w:rsidTr="00CD71B7">
        <w:tc>
          <w:tcPr>
            <w:tcW w:w="2268" w:type="dxa"/>
            <w:tcBorders>
              <w:top w:val="single" w:sz="4" w:space="0" w:color="auto"/>
            </w:tcBorders>
            <w:tcMar>
              <w:top w:w="100" w:type="dxa"/>
              <w:left w:w="100" w:type="dxa"/>
              <w:bottom w:w="100" w:type="dxa"/>
              <w:right w:w="100" w:type="dxa"/>
            </w:tcMar>
            <w:vAlign w:val="center"/>
          </w:tcPr>
          <w:p w14:paraId="5D4D1C9D" w14:textId="77777777" w:rsidR="00532C03" w:rsidRPr="005A54C3" w:rsidRDefault="00E8712F" w:rsidP="003471DD">
            <w:pPr>
              <w:spacing w:line="240" w:lineRule="auto"/>
              <w:rPr>
                <w:rFonts w:asciiTheme="majorBidi" w:hAnsiTheme="majorBidi" w:cstheme="majorBidi"/>
                <w:color w:val="212121"/>
              </w:rPr>
            </w:pPr>
            <w:r w:rsidRPr="005A54C3">
              <w:rPr>
                <w:rFonts w:asciiTheme="majorBidi" w:hAnsiTheme="majorBidi" w:cstheme="majorBidi"/>
                <w:color w:val="212121"/>
              </w:rPr>
              <w:t>Diabetes Mellitus</w:t>
            </w:r>
          </w:p>
        </w:tc>
        <w:tc>
          <w:tcPr>
            <w:tcW w:w="709" w:type="dxa"/>
            <w:tcBorders>
              <w:top w:val="single" w:sz="4" w:space="0" w:color="auto"/>
            </w:tcBorders>
            <w:tcMar>
              <w:top w:w="100" w:type="dxa"/>
              <w:left w:w="100" w:type="dxa"/>
              <w:bottom w:w="100" w:type="dxa"/>
              <w:right w:w="100" w:type="dxa"/>
            </w:tcMar>
            <w:vAlign w:val="center"/>
          </w:tcPr>
          <w:p w14:paraId="724F9FE7" w14:textId="77777777" w:rsidR="00532C03" w:rsidRPr="005A54C3" w:rsidRDefault="00E8712F" w:rsidP="003471DD">
            <w:pPr>
              <w:spacing w:line="240" w:lineRule="auto"/>
              <w:rPr>
                <w:rFonts w:asciiTheme="majorBidi" w:hAnsiTheme="majorBidi" w:cstheme="majorBidi"/>
                <w:color w:val="212121"/>
              </w:rPr>
            </w:pPr>
            <w:r w:rsidRPr="005A54C3">
              <w:rPr>
                <w:rFonts w:asciiTheme="majorBidi" w:hAnsiTheme="majorBidi" w:cstheme="majorBidi"/>
                <w:color w:val="212121"/>
              </w:rPr>
              <w:t>4.80</w:t>
            </w:r>
          </w:p>
        </w:tc>
        <w:tc>
          <w:tcPr>
            <w:tcW w:w="1559" w:type="dxa"/>
            <w:tcBorders>
              <w:top w:val="single" w:sz="4" w:space="0" w:color="auto"/>
            </w:tcBorders>
            <w:tcMar>
              <w:top w:w="100" w:type="dxa"/>
              <w:left w:w="100" w:type="dxa"/>
              <w:bottom w:w="100" w:type="dxa"/>
              <w:right w:w="100" w:type="dxa"/>
            </w:tcMar>
            <w:vAlign w:val="center"/>
          </w:tcPr>
          <w:p w14:paraId="73B65E32" w14:textId="77777777" w:rsidR="00532C03" w:rsidRPr="005A54C3" w:rsidRDefault="00E8712F" w:rsidP="003471DD">
            <w:pPr>
              <w:spacing w:line="240" w:lineRule="auto"/>
              <w:rPr>
                <w:rFonts w:asciiTheme="majorBidi" w:hAnsiTheme="majorBidi" w:cstheme="majorBidi"/>
                <w:color w:val="212121"/>
              </w:rPr>
            </w:pPr>
            <w:r w:rsidRPr="005A54C3">
              <w:rPr>
                <w:rFonts w:asciiTheme="majorBidi" w:hAnsiTheme="majorBidi" w:cstheme="majorBidi"/>
                <w:color w:val="212121"/>
              </w:rPr>
              <w:t>[2.74, 8.41]</w:t>
            </w:r>
          </w:p>
        </w:tc>
        <w:tc>
          <w:tcPr>
            <w:tcW w:w="993" w:type="dxa"/>
            <w:tcBorders>
              <w:top w:val="single" w:sz="4" w:space="0" w:color="auto"/>
            </w:tcBorders>
            <w:tcMar>
              <w:top w:w="100" w:type="dxa"/>
              <w:left w:w="100" w:type="dxa"/>
              <w:bottom w:w="100" w:type="dxa"/>
              <w:right w:w="100" w:type="dxa"/>
            </w:tcMar>
            <w:vAlign w:val="center"/>
          </w:tcPr>
          <w:p w14:paraId="364898FA" w14:textId="77777777" w:rsidR="00532C03" w:rsidRPr="005A54C3" w:rsidRDefault="00E8712F" w:rsidP="003471DD">
            <w:pPr>
              <w:spacing w:line="240" w:lineRule="auto"/>
              <w:rPr>
                <w:rFonts w:asciiTheme="majorBidi" w:hAnsiTheme="majorBidi" w:cstheme="majorBidi"/>
                <w:color w:val="212121"/>
              </w:rPr>
            </w:pPr>
            <w:r w:rsidRPr="005A54C3">
              <w:rPr>
                <w:rFonts w:asciiTheme="majorBidi" w:hAnsiTheme="majorBidi" w:cstheme="majorBidi"/>
                <w:color w:val="212121"/>
              </w:rPr>
              <w:t>.000</w:t>
            </w:r>
          </w:p>
        </w:tc>
        <w:tc>
          <w:tcPr>
            <w:tcW w:w="850" w:type="dxa"/>
            <w:tcBorders>
              <w:top w:val="single" w:sz="4" w:space="0" w:color="auto"/>
            </w:tcBorders>
            <w:tcMar>
              <w:top w:w="100" w:type="dxa"/>
              <w:left w:w="100" w:type="dxa"/>
              <w:bottom w:w="100" w:type="dxa"/>
              <w:right w:w="100" w:type="dxa"/>
            </w:tcMar>
            <w:vAlign w:val="center"/>
          </w:tcPr>
          <w:p w14:paraId="1A218F8E" w14:textId="77777777" w:rsidR="00532C03" w:rsidRPr="005A54C3" w:rsidRDefault="00E8712F" w:rsidP="003471DD">
            <w:pPr>
              <w:spacing w:line="240" w:lineRule="auto"/>
              <w:rPr>
                <w:rFonts w:asciiTheme="majorBidi" w:hAnsiTheme="majorBidi" w:cstheme="majorBidi"/>
                <w:b/>
                <w:color w:val="212121"/>
              </w:rPr>
            </w:pPr>
            <w:r w:rsidRPr="005A54C3">
              <w:rPr>
                <w:rFonts w:asciiTheme="majorBidi" w:hAnsiTheme="majorBidi" w:cstheme="majorBidi"/>
                <w:b/>
                <w:color w:val="212121"/>
              </w:rPr>
              <w:t>2.23</w:t>
            </w:r>
          </w:p>
        </w:tc>
        <w:tc>
          <w:tcPr>
            <w:tcW w:w="1559" w:type="dxa"/>
            <w:tcBorders>
              <w:top w:val="single" w:sz="4" w:space="0" w:color="auto"/>
            </w:tcBorders>
            <w:tcMar>
              <w:top w:w="100" w:type="dxa"/>
              <w:left w:w="100" w:type="dxa"/>
              <w:bottom w:w="100" w:type="dxa"/>
              <w:right w:w="100" w:type="dxa"/>
            </w:tcMar>
            <w:vAlign w:val="center"/>
          </w:tcPr>
          <w:p w14:paraId="148D012C" w14:textId="77777777" w:rsidR="00532C03" w:rsidRPr="005A54C3" w:rsidRDefault="00E8712F" w:rsidP="003471DD">
            <w:pPr>
              <w:spacing w:line="240" w:lineRule="auto"/>
              <w:rPr>
                <w:rFonts w:asciiTheme="majorBidi" w:hAnsiTheme="majorBidi" w:cstheme="majorBidi"/>
                <w:color w:val="212121"/>
              </w:rPr>
            </w:pPr>
            <w:r w:rsidRPr="005A54C3">
              <w:rPr>
                <w:rFonts w:asciiTheme="majorBidi" w:hAnsiTheme="majorBidi" w:cstheme="majorBidi"/>
                <w:color w:val="212121"/>
              </w:rPr>
              <w:t>[1.11, 4.47]</w:t>
            </w:r>
          </w:p>
        </w:tc>
        <w:tc>
          <w:tcPr>
            <w:tcW w:w="851" w:type="dxa"/>
            <w:tcBorders>
              <w:top w:val="single" w:sz="4" w:space="0" w:color="auto"/>
            </w:tcBorders>
            <w:tcMar>
              <w:top w:w="100" w:type="dxa"/>
              <w:left w:w="100" w:type="dxa"/>
              <w:bottom w:w="100" w:type="dxa"/>
              <w:right w:w="100" w:type="dxa"/>
            </w:tcMar>
            <w:vAlign w:val="center"/>
          </w:tcPr>
          <w:p w14:paraId="0072AC83" w14:textId="77777777" w:rsidR="00532C03" w:rsidRPr="005A54C3" w:rsidRDefault="00E8712F" w:rsidP="003471DD">
            <w:pPr>
              <w:spacing w:line="240" w:lineRule="auto"/>
              <w:rPr>
                <w:rFonts w:asciiTheme="majorBidi" w:hAnsiTheme="majorBidi" w:cstheme="majorBidi"/>
                <w:b/>
                <w:color w:val="212121"/>
              </w:rPr>
            </w:pPr>
            <w:r w:rsidRPr="005A54C3">
              <w:rPr>
                <w:rFonts w:asciiTheme="majorBidi" w:hAnsiTheme="majorBidi" w:cstheme="majorBidi"/>
                <w:b/>
                <w:color w:val="212121"/>
              </w:rPr>
              <w:t>.024</w:t>
            </w:r>
          </w:p>
        </w:tc>
      </w:tr>
      <w:tr w:rsidR="00CD71B7" w:rsidRPr="005A54C3" w14:paraId="02B84E57" w14:textId="77777777" w:rsidTr="00CD71B7">
        <w:tc>
          <w:tcPr>
            <w:tcW w:w="2268" w:type="dxa"/>
            <w:tcMar>
              <w:top w:w="100" w:type="dxa"/>
              <w:left w:w="100" w:type="dxa"/>
              <w:bottom w:w="100" w:type="dxa"/>
              <w:right w:w="100" w:type="dxa"/>
            </w:tcMar>
            <w:vAlign w:val="center"/>
          </w:tcPr>
          <w:p w14:paraId="171E459F" w14:textId="77777777" w:rsidR="00532C03" w:rsidRPr="005A54C3" w:rsidRDefault="00E8712F" w:rsidP="003471DD">
            <w:pPr>
              <w:spacing w:line="240" w:lineRule="auto"/>
              <w:rPr>
                <w:rFonts w:asciiTheme="majorBidi" w:hAnsiTheme="majorBidi" w:cstheme="majorBidi"/>
                <w:color w:val="212121"/>
              </w:rPr>
            </w:pPr>
            <w:r w:rsidRPr="005A54C3">
              <w:rPr>
                <w:rFonts w:asciiTheme="majorBidi" w:hAnsiTheme="majorBidi" w:cstheme="majorBidi"/>
                <w:color w:val="212121"/>
              </w:rPr>
              <w:t>CVD</w:t>
            </w:r>
          </w:p>
        </w:tc>
        <w:tc>
          <w:tcPr>
            <w:tcW w:w="709" w:type="dxa"/>
            <w:tcMar>
              <w:top w:w="100" w:type="dxa"/>
              <w:left w:w="100" w:type="dxa"/>
              <w:bottom w:w="100" w:type="dxa"/>
              <w:right w:w="100" w:type="dxa"/>
            </w:tcMar>
            <w:vAlign w:val="center"/>
          </w:tcPr>
          <w:p w14:paraId="7F61AC51" w14:textId="77777777" w:rsidR="00532C03" w:rsidRPr="005A54C3" w:rsidRDefault="00E8712F" w:rsidP="003471DD">
            <w:pPr>
              <w:spacing w:line="240" w:lineRule="auto"/>
              <w:rPr>
                <w:rFonts w:asciiTheme="majorBidi" w:hAnsiTheme="majorBidi" w:cstheme="majorBidi"/>
                <w:color w:val="212121"/>
              </w:rPr>
            </w:pPr>
            <w:r w:rsidRPr="005A54C3">
              <w:rPr>
                <w:rFonts w:asciiTheme="majorBidi" w:hAnsiTheme="majorBidi" w:cstheme="majorBidi"/>
                <w:color w:val="212121"/>
              </w:rPr>
              <w:t>4.48</w:t>
            </w:r>
          </w:p>
        </w:tc>
        <w:tc>
          <w:tcPr>
            <w:tcW w:w="1559" w:type="dxa"/>
            <w:tcMar>
              <w:top w:w="100" w:type="dxa"/>
              <w:left w:w="100" w:type="dxa"/>
              <w:bottom w:w="100" w:type="dxa"/>
              <w:right w:w="100" w:type="dxa"/>
            </w:tcMar>
            <w:vAlign w:val="center"/>
          </w:tcPr>
          <w:p w14:paraId="611C8B2C" w14:textId="77777777" w:rsidR="00532C03" w:rsidRPr="005A54C3" w:rsidRDefault="00E8712F" w:rsidP="003471DD">
            <w:pPr>
              <w:spacing w:line="240" w:lineRule="auto"/>
              <w:rPr>
                <w:rFonts w:asciiTheme="majorBidi" w:hAnsiTheme="majorBidi" w:cstheme="majorBidi"/>
                <w:color w:val="212121"/>
              </w:rPr>
            </w:pPr>
            <w:r w:rsidRPr="005A54C3">
              <w:rPr>
                <w:rFonts w:asciiTheme="majorBidi" w:hAnsiTheme="majorBidi" w:cstheme="majorBidi"/>
                <w:color w:val="212121"/>
              </w:rPr>
              <w:t>[2.09, 9.63]</w:t>
            </w:r>
          </w:p>
        </w:tc>
        <w:tc>
          <w:tcPr>
            <w:tcW w:w="993" w:type="dxa"/>
            <w:tcMar>
              <w:top w:w="100" w:type="dxa"/>
              <w:left w:w="100" w:type="dxa"/>
              <w:bottom w:w="100" w:type="dxa"/>
              <w:right w:w="100" w:type="dxa"/>
            </w:tcMar>
            <w:vAlign w:val="center"/>
          </w:tcPr>
          <w:p w14:paraId="1F13F89E" w14:textId="77777777" w:rsidR="00532C03" w:rsidRPr="005A54C3" w:rsidRDefault="00E8712F" w:rsidP="003471DD">
            <w:pPr>
              <w:spacing w:line="240" w:lineRule="auto"/>
              <w:rPr>
                <w:rFonts w:asciiTheme="majorBidi" w:hAnsiTheme="majorBidi" w:cstheme="majorBidi"/>
                <w:color w:val="212121"/>
              </w:rPr>
            </w:pPr>
            <w:r w:rsidRPr="005A54C3">
              <w:rPr>
                <w:rFonts w:asciiTheme="majorBidi" w:hAnsiTheme="majorBidi" w:cstheme="majorBidi"/>
                <w:color w:val="212121"/>
              </w:rPr>
              <w:t>.000</w:t>
            </w:r>
          </w:p>
        </w:tc>
        <w:tc>
          <w:tcPr>
            <w:tcW w:w="850" w:type="dxa"/>
            <w:tcMar>
              <w:top w:w="100" w:type="dxa"/>
              <w:left w:w="100" w:type="dxa"/>
              <w:bottom w:w="100" w:type="dxa"/>
              <w:right w:w="100" w:type="dxa"/>
            </w:tcMar>
            <w:vAlign w:val="center"/>
          </w:tcPr>
          <w:p w14:paraId="5C3592DF" w14:textId="77777777" w:rsidR="00532C03" w:rsidRPr="005A54C3" w:rsidRDefault="00E8712F" w:rsidP="003471DD">
            <w:pPr>
              <w:spacing w:line="240" w:lineRule="auto"/>
              <w:rPr>
                <w:rFonts w:asciiTheme="majorBidi" w:hAnsiTheme="majorBidi" w:cstheme="majorBidi"/>
                <w:b/>
                <w:color w:val="212121"/>
              </w:rPr>
            </w:pPr>
            <w:r w:rsidRPr="005A54C3">
              <w:rPr>
                <w:rFonts w:asciiTheme="majorBidi" w:hAnsiTheme="majorBidi" w:cstheme="majorBidi"/>
                <w:b/>
                <w:color w:val="212121"/>
              </w:rPr>
              <w:t>2.15</w:t>
            </w:r>
          </w:p>
        </w:tc>
        <w:tc>
          <w:tcPr>
            <w:tcW w:w="1559" w:type="dxa"/>
            <w:tcMar>
              <w:top w:w="100" w:type="dxa"/>
              <w:left w:w="100" w:type="dxa"/>
              <w:bottom w:w="100" w:type="dxa"/>
              <w:right w:w="100" w:type="dxa"/>
            </w:tcMar>
            <w:vAlign w:val="center"/>
          </w:tcPr>
          <w:p w14:paraId="0E506E2D" w14:textId="77777777" w:rsidR="00532C03" w:rsidRPr="005A54C3" w:rsidRDefault="00E8712F" w:rsidP="003471DD">
            <w:pPr>
              <w:spacing w:line="240" w:lineRule="auto"/>
              <w:rPr>
                <w:rFonts w:asciiTheme="majorBidi" w:hAnsiTheme="majorBidi" w:cstheme="majorBidi"/>
                <w:color w:val="212121"/>
              </w:rPr>
            </w:pPr>
            <w:r w:rsidRPr="005A54C3">
              <w:rPr>
                <w:rFonts w:asciiTheme="majorBidi" w:hAnsiTheme="majorBidi" w:cstheme="majorBidi"/>
                <w:color w:val="212121"/>
              </w:rPr>
              <w:t>[1.09, 6.73]</w:t>
            </w:r>
          </w:p>
        </w:tc>
        <w:tc>
          <w:tcPr>
            <w:tcW w:w="851" w:type="dxa"/>
            <w:tcMar>
              <w:top w:w="100" w:type="dxa"/>
              <w:left w:w="100" w:type="dxa"/>
              <w:bottom w:w="100" w:type="dxa"/>
              <w:right w:w="100" w:type="dxa"/>
            </w:tcMar>
            <w:vAlign w:val="center"/>
          </w:tcPr>
          <w:p w14:paraId="3E9F5CCF" w14:textId="77777777" w:rsidR="00532C03" w:rsidRPr="005A54C3" w:rsidRDefault="00E8712F" w:rsidP="003471DD">
            <w:pPr>
              <w:spacing w:line="240" w:lineRule="auto"/>
              <w:rPr>
                <w:rFonts w:asciiTheme="majorBidi" w:hAnsiTheme="majorBidi" w:cstheme="majorBidi"/>
                <w:b/>
                <w:color w:val="212121"/>
              </w:rPr>
            </w:pPr>
            <w:r w:rsidRPr="005A54C3">
              <w:rPr>
                <w:rFonts w:asciiTheme="majorBidi" w:hAnsiTheme="majorBidi" w:cstheme="majorBidi"/>
                <w:b/>
                <w:color w:val="212121"/>
              </w:rPr>
              <w:t>.032</w:t>
            </w:r>
          </w:p>
        </w:tc>
      </w:tr>
      <w:tr w:rsidR="00CD71B7" w:rsidRPr="005A54C3" w14:paraId="609F6ADB" w14:textId="77777777" w:rsidTr="00CD71B7">
        <w:tc>
          <w:tcPr>
            <w:tcW w:w="2268" w:type="dxa"/>
            <w:tcMar>
              <w:top w:w="100" w:type="dxa"/>
              <w:left w:w="100" w:type="dxa"/>
              <w:bottom w:w="100" w:type="dxa"/>
              <w:right w:w="100" w:type="dxa"/>
            </w:tcMar>
            <w:vAlign w:val="center"/>
          </w:tcPr>
          <w:p w14:paraId="73A20A9D"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ADHD</w:t>
            </w:r>
          </w:p>
        </w:tc>
        <w:tc>
          <w:tcPr>
            <w:tcW w:w="709" w:type="dxa"/>
            <w:tcMar>
              <w:top w:w="100" w:type="dxa"/>
              <w:left w:w="100" w:type="dxa"/>
              <w:bottom w:w="100" w:type="dxa"/>
              <w:right w:w="100" w:type="dxa"/>
            </w:tcMar>
            <w:vAlign w:val="center"/>
          </w:tcPr>
          <w:p w14:paraId="2A7E0CEB"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1.71</w:t>
            </w:r>
          </w:p>
        </w:tc>
        <w:tc>
          <w:tcPr>
            <w:tcW w:w="1559" w:type="dxa"/>
            <w:tcMar>
              <w:top w:w="100" w:type="dxa"/>
              <w:left w:w="100" w:type="dxa"/>
              <w:bottom w:w="100" w:type="dxa"/>
              <w:right w:w="100" w:type="dxa"/>
            </w:tcMar>
            <w:vAlign w:val="center"/>
          </w:tcPr>
          <w:p w14:paraId="40C262B8"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[1.05, 2.78]</w:t>
            </w:r>
          </w:p>
        </w:tc>
        <w:tc>
          <w:tcPr>
            <w:tcW w:w="993" w:type="dxa"/>
            <w:tcMar>
              <w:top w:w="100" w:type="dxa"/>
              <w:left w:w="100" w:type="dxa"/>
              <w:bottom w:w="100" w:type="dxa"/>
              <w:right w:w="100" w:type="dxa"/>
            </w:tcMar>
            <w:vAlign w:val="center"/>
          </w:tcPr>
          <w:p w14:paraId="7C521464"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.030</w:t>
            </w:r>
          </w:p>
        </w:tc>
        <w:tc>
          <w:tcPr>
            <w:tcW w:w="850" w:type="dxa"/>
            <w:tcMar>
              <w:top w:w="100" w:type="dxa"/>
              <w:left w:w="100" w:type="dxa"/>
              <w:bottom w:w="100" w:type="dxa"/>
              <w:right w:w="100" w:type="dxa"/>
            </w:tcMar>
            <w:vAlign w:val="center"/>
          </w:tcPr>
          <w:p w14:paraId="73E54194" w14:textId="77777777" w:rsidR="00532C03" w:rsidRPr="005A54C3" w:rsidRDefault="00E8712F" w:rsidP="003471DD">
            <w:pPr>
              <w:spacing w:line="240" w:lineRule="auto"/>
              <w:rPr>
                <w:rFonts w:asciiTheme="majorBidi" w:hAnsiTheme="majorBidi" w:cstheme="majorBidi"/>
                <w:b/>
                <w:vertAlign w:val="superscript"/>
              </w:rPr>
            </w:pPr>
            <w:r w:rsidRPr="005A54C3">
              <w:rPr>
                <w:rFonts w:asciiTheme="majorBidi" w:hAnsiTheme="majorBidi" w:cstheme="majorBidi"/>
                <w:b/>
                <w:color w:val="212121"/>
              </w:rPr>
              <w:t xml:space="preserve">1.93 </w:t>
            </w:r>
            <w:r w:rsidRPr="005A54C3">
              <w:rPr>
                <w:rFonts w:asciiTheme="majorBidi" w:hAnsiTheme="majorBidi" w:cstheme="majorBidi"/>
                <w:b/>
                <w:color w:val="212121"/>
                <w:vertAlign w:val="superscript"/>
              </w:rPr>
              <w:t>a</w:t>
            </w:r>
          </w:p>
        </w:tc>
        <w:tc>
          <w:tcPr>
            <w:tcW w:w="1559" w:type="dxa"/>
            <w:tcMar>
              <w:top w:w="100" w:type="dxa"/>
              <w:left w:w="100" w:type="dxa"/>
              <w:bottom w:w="100" w:type="dxa"/>
              <w:right w:w="100" w:type="dxa"/>
            </w:tcMar>
            <w:vAlign w:val="center"/>
          </w:tcPr>
          <w:p w14:paraId="3D11B158"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[1.06, 3.51]</w:t>
            </w:r>
          </w:p>
        </w:tc>
        <w:tc>
          <w:tcPr>
            <w:tcW w:w="851" w:type="dxa"/>
            <w:tcMar>
              <w:top w:w="100" w:type="dxa"/>
              <w:left w:w="100" w:type="dxa"/>
              <w:bottom w:w="100" w:type="dxa"/>
              <w:right w:w="100" w:type="dxa"/>
            </w:tcMar>
            <w:vAlign w:val="center"/>
          </w:tcPr>
          <w:p w14:paraId="6ACD4A11"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b/>
                <w:color w:val="212121"/>
              </w:rPr>
              <w:t>.030</w:t>
            </w:r>
          </w:p>
        </w:tc>
      </w:tr>
      <w:tr w:rsidR="00CD71B7" w:rsidRPr="005A54C3" w14:paraId="5D1BD6EE" w14:textId="77777777" w:rsidTr="00CD71B7">
        <w:tc>
          <w:tcPr>
            <w:tcW w:w="2268" w:type="dxa"/>
            <w:tcMar>
              <w:top w:w="100" w:type="dxa"/>
              <w:left w:w="100" w:type="dxa"/>
              <w:bottom w:w="100" w:type="dxa"/>
              <w:right w:w="100" w:type="dxa"/>
            </w:tcMar>
            <w:vAlign w:val="center"/>
          </w:tcPr>
          <w:p w14:paraId="5ED336FD" w14:textId="77777777" w:rsidR="00532C03" w:rsidRPr="005A54C3" w:rsidRDefault="00E8712F" w:rsidP="003471DD">
            <w:pPr>
              <w:spacing w:line="240" w:lineRule="auto"/>
              <w:rPr>
                <w:rFonts w:asciiTheme="majorBidi" w:hAnsiTheme="majorBidi" w:cstheme="majorBidi"/>
                <w:vertAlign w:val="superscript"/>
              </w:rPr>
            </w:pPr>
            <w:r w:rsidRPr="005A54C3">
              <w:rPr>
                <w:rFonts w:asciiTheme="majorBidi" w:hAnsiTheme="majorBidi" w:cstheme="majorBidi"/>
                <w:color w:val="212121"/>
              </w:rPr>
              <w:t xml:space="preserve">Age </w:t>
            </w:r>
            <w:r w:rsidRPr="005A54C3">
              <w:rPr>
                <w:rFonts w:asciiTheme="majorBidi" w:hAnsiTheme="majorBidi" w:cstheme="majorBidi"/>
                <w:color w:val="212121"/>
                <w:vertAlign w:val="superscript"/>
              </w:rPr>
              <w:t>b</w:t>
            </w:r>
          </w:p>
        </w:tc>
        <w:tc>
          <w:tcPr>
            <w:tcW w:w="709" w:type="dxa"/>
            <w:tcMar>
              <w:top w:w="100" w:type="dxa"/>
              <w:left w:w="100" w:type="dxa"/>
              <w:bottom w:w="100" w:type="dxa"/>
              <w:right w:w="100" w:type="dxa"/>
            </w:tcMar>
            <w:vAlign w:val="center"/>
          </w:tcPr>
          <w:p w14:paraId="67F1632C"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rPr>
              <w:t>1.03</w:t>
            </w:r>
          </w:p>
        </w:tc>
        <w:tc>
          <w:tcPr>
            <w:tcW w:w="1559" w:type="dxa"/>
            <w:tcMar>
              <w:top w:w="100" w:type="dxa"/>
              <w:left w:w="100" w:type="dxa"/>
              <w:bottom w:w="100" w:type="dxa"/>
              <w:right w:w="100" w:type="dxa"/>
            </w:tcMar>
            <w:vAlign w:val="center"/>
          </w:tcPr>
          <w:p w14:paraId="327671F7"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[1.02, 1.05]</w:t>
            </w:r>
          </w:p>
        </w:tc>
        <w:tc>
          <w:tcPr>
            <w:tcW w:w="993" w:type="dxa"/>
            <w:tcMar>
              <w:top w:w="100" w:type="dxa"/>
              <w:left w:w="100" w:type="dxa"/>
              <w:bottom w:w="100" w:type="dxa"/>
              <w:right w:w="100" w:type="dxa"/>
            </w:tcMar>
            <w:vAlign w:val="center"/>
          </w:tcPr>
          <w:p w14:paraId="04FEE88D"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.000</w:t>
            </w:r>
          </w:p>
        </w:tc>
        <w:tc>
          <w:tcPr>
            <w:tcW w:w="850" w:type="dxa"/>
            <w:tcMar>
              <w:top w:w="100" w:type="dxa"/>
              <w:left w:w="100" w:type="dxa"/>
              <w:bottom w:w="100" w:type="dxa"/>
              <w:right w:w="100" w:type="dxa"/>
            </w:tcMar>
            <w:vAlign w:val="center"/>
          </w:tcPr>
          <w:p w14:paraId="422C1834" w14:textId="77777777" w:rsidR="00532C03" w:rsidRPr="005A54C3" w:rsidRDefault="00E8712F" w:rsidP="003471DD">
            <w:pPr>
              <w:spacing w:line="240" w:lineRule="auto"/>
              <w:rPr>
                <w:rFonts w:asciiTheme="majorBidi" w:hAnsiTheme="majorBidi" w:cstheme="majorBidi"/>
                <w:b/>
              </w:rPr>
            </w:pPr>
            <w:r w:rsidRPr="005A54C3">
              <w:rPr>
                <w:rFonts w:asciiTheme="majorBidi" w:hAnsiTheme="majorBidi" w:cstheme="majorBidi"/>
                <w:b/>
                <w:color w:val="212121"/>
              </w:rPr>
              <w:t>1.02</w:t>
            </w:r>
          </w:p>
        </w:tc>
        <w:tc>
          <w:tcPr>
            <w:tcW w:w="1559" w:type="dxa"/>
            <w:tcMar>
              <w:top w:w="100" w:type="dxa"/>
              <w:left w:w="100" w:type="dxa"/>
              <w:bottom w:w="100" w:type="dxa"/>
              <w:right w:w="100" w:type="dxa"/>
            </w:tcMar>
            <w:vAlign w:val="center"/>
          </w:tcPr>
          <w:p w14:paraId="30A95876"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[1.01, 1.04]</w:t>
            </w:r>
          </w:p>
        </w:tc>
        <w:tc>
          <w:tcPr>
            <w:tcW w:w="851" w:type="dxa"/>
            <w:tcMar>
              <w:top w:w="100" w:type="dxa"/>
              <w:left w:w="100" w:type="dxa"/>
              <w:bottom w:w="100" w:type="dxa"/>
              <w:right w:w="100" w:type="dxa"/>
            </w:tcMar>
            <w:vAlign w:val="center"/>
          </w:tcPr>
          <w:p w14:paraId="6BB36AFA"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b/>
                <w:color w:val="212121"/>
              </w:rPr>
              <w:t>.009</w:t>
            </w:r>
          </w:p>
        </w:tc>
      </w:tr>
      <w:tr w:rsidR="00CD71B7" w:rsidRPr="005A54C3" w14:paraId="0B3D3170" w14:textId="77777777" w:rsidTr="00CD71B7">
        <w:tc>
          <w:tcPr>
            <w:tcW w:w="2268" w:type="dxa"/>
            <w:tcMar>
              <w:top w:w="100" w:type="dxa"/>
              <w:left w:w="100" w:type="dxa"/>
              <w:bottom w:w="100" w:type="dxa"/>
              <w:right w:w="100" w:type="dxa"/>
            </w:tcMar>
            <w:vAlign w:val="center"/>
          </w:tcPr>
          <w:p w14:paraId="101147B3"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Male gender </w:t>
            </w:r>
          </w:p>
        </w:tc>
        <w:tc>
          <w:tcPr>
            <w:tcW w:w="709" w:type="dxa"/>
            <w:tcMar>
              <w:top w:w="100" w:type="dxa"/>
              <w:left w:w="100" w:type="dxa"/>
              <w:bottom w:w="100" w:type="dxa"/>
              <w:right w:w="100" w:type="dxa"/>
            </w:tcMar>
            <w:vAlign w:val="center"/>
          </w:tcPr>
          <w:p w14:paraId="01F84C56"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1.59</w:t>
            </w:r>
          </w:p>
        </w:tc>
        <w:tc>
          <w:tcPr>
            <w:tcW w:w="1559" w:type="dxa"/>
            <w:tcMar>
              <w:top w:w="100" w:type="dxa"/>
              <w:left w:w="100" w:type="dxa"/>
              <w:bottom w:w="100" w:type="dxa"/>
              <w:right w:w="100" w:type="dxa"/>
            </w:tcMar>
            <w:vAlign w:val="center"/>
          </w:tcPr>
          <w:p w14:paraId="2D953C76"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[1.08, 2.34]</w:t>
            </w:r>
          </w:p>
        </w:tc>
        <w:tc>
          <w:tcPr>
            <w:tcW w:w="993" w:type="dxa"/>
            <w:tcMar>
              <w:top w:w="100" w:type="dxa"/>
              <w:left w:w="100" w:type="dxa"/>
              <w:bottom w:w="100" w:type="dxa"/>
              <w:right w:w="100" w:type="dxa"/>
            </w:tcMar>
            <w:vAlign w:val="center"/>
          </w:tcPr>
          <w:p w14:paraId="513D3DB4"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.019</w:t>
            </w:r>
          </w:p>
        </w:tc>
        <w:tc>
          <w:tcPr>
            <w:tcW w:w="850" w:type="dxa"/>
            <w:tcMar>
              <w:top w:w="100" w:type="dxa"/>
              <w:left w:w="100" w:type="dxa"/>
              <w:bottom w:w="100" w:type="dxa"/>
              <w:right w:w="100" w:type="dxa"/>
            </w:tcMar>
            <w:vAlign w:val="center"/>
          </w:tcPr>
          <w:p w14:paraId="35751422"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1.39</w:t>
            </w:r>
          </w:p>
        </w:tc>
        <w:tc>
          <w:tcPr>
            <w:tcW w:w="1559" w:type="dxa"/>
            <w:tcMar>
              <w:top w:w="100" w:type="dxa"/>
              <w:left w:w="100" w:type="dxa"/>
              <w:bottom w:w="100" w:type="dxa"/>
              <w:right w:w="100" w:type="dxa"/>
            </w:tcMar>
            <w:vAlign w:val="center"/>
          </w:tcPr>
          <w:p w14:paraId="67922BD9"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[0.88, 2.18]</w:t>
            </w:r>
          </w:p>
        </w:tc>
        <w:tc>
          <w:tcPr>
            <w:tcW w:w="851" w:type="dxa"/>
            <w:tcMar>
              <w:top w:w="100" w:type="dxa"/>
              <w:left w:w="100" w:type="dxa"/>
              <w:bottom w:w="100" w:type="dxa"/>
              <w:right w:w="100" w:type="dxa"/>
            </w:tcMar>
            <w:vAlign w:val="center"/>
          </w:tcPr>
          <w:p w14:paraId="6DA91951"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.155</w:t>
            </w:r>
          </w:p>
        </w:tc>
      </w:tr>
      <w:tr w:rsidR="00CD71B7" w:rsidRPr="005A54C3" w14:paraId="6CCF03C5" w14:textId="77777777" w:rsidTr="00CD71B7">
        <w:tc>
          <w:tcPr>
            <w:tcW w:w="2268" w:type="dxa"/>
            <w:tcMar>
              <w:top w:w="100" w:type="dxa"/>
              <w:left w:w="100" w:type="dxa"/>
              <w:bottom w:w="100" w:type="dxa"/>
              <w:right w:w="100" w:type="dxa"/>
            </w:tcMar>
            <w:vAlign w:val="center"/>
          </w:tcPr>
          <w:p w14:paraId="459E56A6"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Low-medium SES</w:t>
            </w:r>
          </w:p>
        </w:tc>
        <w:tc>
          <w:tcPr>
            <w:tcW w:w="709" w:type="dxa"/>
            <w:tcMar>
              <w:top w:w="100" w:type="dxa"/>
              <w:left w:w="100" w:type="dxa"/>
              <w:bottom w:w="100" w:type="dxa"/>
              <w:right w:w="100" w:type="dxa"/>
            </w:tcMar>
            <w:vAlign w:val="center"/>
          </w:tcPr>
          <w:p w14:paraId="666F0AA6"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0.63</w:t>
            </w:r>
          </w:p>
        </w:tc>
        <w:tc>
          <w:tcPr>
            <w:tcW w:w="1559" w:type="dxa"/>
            <w:tcMar>
              <w:top w:w="100" w:type="dxa"/>
              <w:left w:w="100" w:type="dxa"/>
              <w:bottom w:w="100" w:type="dxa"/>
              <w:right w:w="100" w:type="dxa"/>
            </w:tcMar>
            <w:vAlign w:val="center"/>
          </w:tcPr>
          <w:p w14:paraId="4CF8752B"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[0.37, 1.06]</w:t>
            </w:r>
          </w:p>
        </w:tc>
        <w:tc>
          <w:tcPr>
            <w:tcW w:w="993" w:type="dxa"/>
            <w:tcMar>
              <w:top w:w="100" w:type="dxa"/>
              <w:left w:w="100" w:type="dxa"/>
              <w:bottom w:w="100" w:type="dxa"/>
              <w:right w:w="100" w:type="dxa"/>
            </w:tcMar>
            <w:vAlign w:val="center"/>
          </w:tcPr>
          <w:p w14:paraId="72B3DDEA"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.083</w:t>
            </w:r>
          </w:p>
        </w:tc>
        <w:tc>
          <w:tcPr>
            <w:tcW w:w="850" w:type="dxa"/>
            <w:tcMar>
              <w:top w:w="100" w:type="dxa"/>
              <w:left w:w="100" w:type="dxa"/>
              <w:bottom w:w="100" w:type="dxa"/>
              <w:right w:w="100" w:type="dxa"/>
            </w:tcMar>
            <w:vAlign w:val="center"/>
          </w:tcPr>
          <w:p w14:paraId="79555E67"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0.80</w:t>
            </w:r>
          </w:p>
        </w:tc>
        <w:tc>
          <w:tcPr>
            <w:tcW w:w="1559" w:type="dxa"/>
            <w:tcMar>
              <w:top w:w="100" w:type="dxa"/>
              <w:left w:w="100" w:type="dxa"/>
              <w:bottom w:w="100" w:type="dxa"/>
              <w:right w:w="100" w:type="dxa"/>
            </w:tcMar>
            <w:vAlign w:val="center"/>
          </w:tcPr>
          <w:p w14:paraId="5B13941F"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[0.43, 1.48]</w:t>
            </w:r>
          </w:p>
        </w:tc>
        <w:tc>
          <w:tcPr>
            <w:tcW w:w="851" w:type="dxa"/>
            <w:tcMar>
              <w:top w:w="100" w:type="dxa"/>
              <w:left w:w="100" w:type="dxa"/>
              <w:bottom w:w="100" w:type="dxa"/>
              <w:right w:w="100" w:type="dxa"/>
            </w:tcMar>
            <w:vAlign w:val="center"/>
          </w:tcPr>
          <w:p w14:paraId="19264919"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.479</w:t>
            </w:r>
          </w:p>
        </w:tc>
      </w:tr>
      <w:tr w:rsidR="00CD71B7" w:rsidRPr="005A54C3" w14:paraId="5EA7593D" w14:textId="77777777" w:rsidTr="00CD71B7">
        <w:tc>
          <w:tcPr>
            <w:tcW w:w="2268" w:type="dxa"/>
            <w:tcMar>
              <w:top w:w="100" w:type="dxa"/>
              <w:left w:w="100" w:type="dxa"/>
              <w:bottom w:w="100" w:type="dxa"/>
              <w:right w:w="100" w:type="dxa"/>
            </w:tcMar>
            <w:vAlign w:val="center"/>
          </w:tcPr>
          <w:p w14:paraId="5CD0858A"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Depression/anxiety</w:t>
            </w:r>
          </w:p>
        </w:tc>
        <w:tc>
          <w:tcPr>
            <w:tcW w:w="709" w:type="dxa"/>
            <w:tcMar>
              <w:top w:w="100" w:type="dxa"/>
              <w:left w:w="100" w:type="dxa"/>
              <w:bottom w:w="100" w:type="dxa"/>
              <w:right w:w="100" w:type="dxa"/>
            </w:tcMar>
            <w:vAlign w:val="center"/>
          </w:tcPr>
          <w:p w14:paraId="469FEB67"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3.12</w:t>
            </w:r>
          </w:p>
        </w:tc>
        <w:tc>
          <w:tcPr>
            <w:tcW w:w="1559" w:type="dxa"/>
            <w:tcMar>
              <w:top w:w="100" w:type="dxa"/>
              <w:left w:w="100" w:type="dxa"/>
              <w:bottom w:w="100" w:type="dxa"/>
              <w:right w:w="100" w:type="dxa"/>
            </w:tcMar>
            <w:vAlign w:val="center"/>
          </w:tcPr>
          <w:p w14:paraId="0016BA52"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[1.36, 7.19]</w:t>
            </w:r>
          </w:p>
        </w:tc>
        <w:tc>
          <w:tcPr>
            <w:tcW w:w="993" w:type="dxa"/>
            <w:tcMar>
              <w:top w:w="100" w:type="dxa"/>
              <w:left w:w="100" w:type="dxa"/>
              <w:bottom w:w="100" w:type="dxa"/>
              <w:right w:w="100" w:type="dxa"/>
            </w:tcMar>
            <w:vAlign w:val="center"/>
          </w:tcPr>
          <w:p w14:paraId="02F67E7C"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.007</w:t>
            </w:r>
          </w:p>
        </w:tc>
        <w:tc>
          <w:tcPr>
            <w:tcW w:w="850" w:type="dxa"/>
            <w:tcMar>
              <w:top w:w="100" w:type="dxa"/>
              <w:left w:w="100" w:type="dxa"/>
              <w:bottom w:w="100" w:type="dxa"/>
              <w:right w:w="100" w:type="dxa"/>
            </w:tcMar>
            <w:vAlign w:val="center"/>
          </w:tcPr>
          <w:p w14:paraId="455F1258"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2.53</w:t>
            </w:r>
          </w:p>
        </w:tc>
        <w:tc>
          <w:tcPr>
            <w:tcW w:w="1559" w:type="dxa"/>
            <w:tcMar>
              <w:top w:w="100" w:type="dxa"/>
              <w:left w:w="100" w:type="dxa"/>
              <w:bottom w:w="100" w:type="dxa"/>
              <w:right w:w="100" w:type="dxa"/>
            </w:tcMar>
            <w:vAlign w:val="center"/>
          </w:tcPr>
          <w:p w14:paraId="6B4FA369"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[0.99, 6.50]</w:t>
            </w:r>
          </w:p>
        </w:tc>
        <w:tc>
          <w:tcPr>
            <w:tcW w:w="851" w:type="dxa"/>
            <w:tcMar>
              <w:top w:w="100" w:type="dxa"/>
              <w:left w:w="100" w:type="dxa"/>
              <w:bottom w:w="100" w:type="dxa"/>
              <w:right w:w="100" w:type="dxa"/>
            </w:tcMar>
            <w:vAlign w:val="center"/>
          </w:tcPr>
          <w:p w14:paraId="693CDAEB"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.053</w:t>
            </w:r>
          </w:p>
        </w:tc>
      </w:tr>
      <w:tr w:rsidR="00CD71B7" w:rsidRPr="005A54C3" w14:paraId="05A930B0" w14:textId="77777777" w:rsidTr="00CD71B7">
        <w:tc>
          <w:tcPr>
            <w:tcW w:w="2268" w:type="dxa"/>
            <w:tcMar>
              <w:top w:w="100" w:type="dxa"/>
              <w:left w:w="100" w:type="dxa"/>
              <w:bottom w:w="100" w:type="dxa"/>
              <w:right w:w="100" w:type="dxa"/>
            </w:tcMar>
            <w:vAlign w:val="center"/>
          </w:tcPr>
          <w:p w14:paraId="55175A44"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Schizophrenia</w:t>
            </w:r>
          </w:p>
        </w:tc>
        <w:tc>
          <w:tcPr>
            <w:tcW w:w="709" w:type="dxa"/>
            <w:tcMar>
              <w:top w:w="100" w:type="dxa"/>
              <w:left w:w="100" w:type="dxa"/>
              <w:bottom w:w="100" w:type="dxa"/>
              <w:right w:w="100" w:type="dxa"/>
            </w:tcMar>
            <w:vAlign w:val="center"/>
          </w:tcPr>
          <w:p w14:paraId="7BEECC20"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4.30</w:t>
            </w:r>
          </w:p>
        </w:tc>
        <w:tc>
          <w:tcPr>
            <w:tcW w:w="1559" w:type="dxa"/>
            <w:tcMar>
              <w:top w:w="100" w:type="dxa"/>
              <w:left w:w="100" w:type="dxa"/>
              <w:bottom w:w="100" w:type="dxa"/>
              <w:right w:w="100" w:type="dxa"/>
            </w:tcMar>
            <w:vAlign w:val="center"/>
          </w:tcPr>
          <w:p w14:paraId="1319D745"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[1.57, 11.80]</w:t>
            </w:r>
          </w:p>
        </w:tc>
        <w:tc>
          <w:tcPr>
            <w:tcW w:w="993" w:type="dxa"/>
            <w:tcMar>
              <w:top w:w="100" w:type="dxa"/>
              <w:left w:w="100" w:type="dxa"/>
              <w:bottom w:w="100" w:type="dxa"/>
              <w:right w:w="100" w:type="dxa"/>
            </w:tcMar>
            <w:vAlign w:val="center"/>
          </w:tcPr>
          <w:p w14:paraId="61643E6B"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.005</w:t>
            </w:r>
          </w:p>
        </w:tc>
        <w:tc>
          <w:tcPr>
            <w:tcW w:w="850" w:type="dxa"/>
            <w:tcMar>
              <w:top w:w="100" w:type="dxa"/>
              <w:left w:w="100" w:type="dxa"/>
              <w:bottom w:w="100" w:type="dxa"/>
              <w:right w:w="100" w:type="dxa"/>
            </w:tcMar>
            <w:vAlign w:val="center"/>
          </w:tcPr>
          <w:p w14:paraId="5DBB6C3B"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2.02</w:t>
            </w:r>
          </w:p>
        </w:tc>
        <w:tc>
          <w:tcPr>
            <w:tcW w:w="1559" w:type="dxa"/>
            <w:tcMar>
              <w:top w:w="100" w:type="dxa"/>
              <w:left w:w="100" w:type="dxa"/>
              <w:bottom w:w="100" w:type="dxa"/>
              <w:right w:w="100" w:type="dxa"/>
            </w:tcMar>
            <w:vAlign w:val="center"/>
          </w:tcPr>
          <w:p w14:paraId="7A33F9B5"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[0.61, 6.75]</w:t>
            </w:r>
          </w:p>
        </w:tc>
        <w:tc>
          <w:tcPr>
            <w:tcW w:w="851" w:type="dxa"/>
            <w:tcMar>
              <w:top w:w="100" w:type="dxa"/>
              <w:left w:w="100" w:type="dxa"/>
              <w:bottom w:w="100" w:type="dxa"/>
              <w:right w:w="100" w:type="dxa"/>
            </w:tcMar>
            <w:vAlign w:val="center"/>
          </w:tcPr>
          <w:p w14:paraId="36FF92A2"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.253</w:t>
            </w:r>
          </w:p>
        </w:tc>
      </w:tr>
      <w:tr w:rsidR="00CD71B7" w:rsidRPr="005A54C3" w14:paraId="1D07A571" w14:textId="77777777" w:rsidTr="00CD71B7">
        <w:tc>
          <w:tcPr>
            <w:tcW w:w="2268" w:type="dxa"/>
            <w:tcMar>
              <w:top w:w="100" w:type="dxa"/>
              <w:left w:w="100" w:type="dxa"/>
              <w:bottom w:w="100" w:type="dxa"/>
              <w:right w:w="100" w:type="dxa"/>
            </w:tcMar>
            <w:vAlign w:val="center"/>
          </w:tcPr>
          <w:p w14:paraId="46BD8FA0"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Hypertension</w:t>
            </w:r>
          </w:p>
        </w:tc>
        <w:tc>
          <w:tcPr>
            <w:tcW w:w="709" w:type="dxa"/>
            <w:tcMar>
              <w:top w:w="100" w:type="dxa"/>
              <w:left w:w="100" w:type="dxa"/>
              <w:bottom w:w="100" w:type="dxa"/>
              <w:right w:w="100" w:type="dxa"/>
            </w:tcMar>
            <w:vAlign w:val="center"/>
          </w:tcPr>
          <w:p w14:paraId="713BD619"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2.82</w:t>
            </w:r>
          </w:p>
        </w:tc>
        <w:tc>
          <w:tcPr>
            <w:tcW w:w="1559" w:type="dxa"/>
            <w:tcMar>
              <w:top w:w="100" w:type="dxa"/>
              <w:left w:w="100" w:type="dxa"/>
              <w:bottom w:w="100" w:type="dxa"/>
              <w:right w:w="100" w:type="dxa"/>
            </w:tcMar>
            <w:vAlign w:val="center"/>
          </w:tcPr>
          <w:p w14:paraId="1F916948"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[1.57, 5.05]</w:t>
            </w:r>
          </w:p>
        </w:tc>
        <w:tc>
          <w:tcPr>
            <w:tcW w:w="993" w:type="dxa"/>
            <w:tcMar>
              <w:top w:w="100" w:type="dxa"/>
              <w:left w:w="100" w:type="dxa"/>
              <w:bottom w:w="100" w:type="dxa"/>
              <w:right w:w="100" w:type="dxa"/>
            </w:tcMar>
            <w:vAlign w:val="center"/>
          </w:tcPr>
          <w:p w14:paraId="2880ADB9"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.001</w:t>
            </w:r>
          </w:p>
        </w:tc>
        <w:tc>
          <w:tcPr>
            <w:tcW w:w="850" w:type="dxa"/>
            <w:tcMar>
              <w:top w:w="100" w:type="dxa"/>
              <w:left w:w="100" w:type="dxa"/>
              <w:bottom w:w="100" w:type="dxa"/>
              <w:right w:w="100" w:type="dxa"/>
            </w:tcMar>
            <w:vAlign w:val="center"/>
          </w:tcPr>
          <w:p w14:paraId="6B955F61"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1.50</w:t>
            </w:r>
          </w:p>
        </w:tc>
        <w:tc>
          <w:tcPr>
            <w:tcW w:w="1559" w:type="dxa"/>
            <w:tcMar>
              <w:top w:w="100" w:type="dxa"/>
              <w:left w:w="100" w:type="dxa"/>
              <w:bottom w:w="100" w:type="dxa"/>
              <w:right w:w="100" w:type="dxa"/>
            </w:tcMar>
            <w:vAlign w:val="center"/>
          </w:tcPr>
          <w:p w14:paraId="5C790FE3"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[0.75, 3.01]</w:t>
            </w:r>
          </w:p>
        </w:tc>
        <w:tc>
          <w:tcPr>
            <w:tcW w:w="851" w:type="dxa"/>
            <w:tcMar>
              <w:top w:w="100" w:type="dxa"/>
              <w:left w:w="100" w:type="dxa"/>
              <w:bottom w:w="100" w:type="dxa"/>
              <w:right w:w="100" w:type="dxa"/>
            </w:tcMar>
            <w:vAlign w:val="center"/>
          </w:tcPr>
          <w:p w14:paraId="2B6356DA"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.255</w:t>
            </w:r>
          </w:p>
        </w:tc>
      </w:tr>
      <w:tr w:rsidR="00CD71B7" w:rsidRPr="005A54C3" w14:paraId="788CDCD4" w14:textId="77777777" w:rsidTr="00CD71B7">
        <w:tc>
          <w:tcPr>
            <w:tcW w:w="2268" w:type="dxa"/>
            <w:tcMar>
              <w:top w:w="100" w:type="dxa"/>
              <w:left w:w="100" w:type="dxa"/>
              <w:bottom w:w="100" w:type="dxa"/>
              <w:right w:w="100" w:type="dxa"/>
            </w:tcMar>
            <w:vAlign w:val="center"/>
          </w:tcPr>
          <w:p w14:paraId="49629506"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Asthma</w:t>
            </w:r>
          </w:p>
        </w:tc>
        <w:tc>
          <w:tcPr>
            <w:tcW w:w="709" w:type="dxa"/>
            <w:tcMar>
              <w:top w:w="100" w:type="dxa"/>
              <w:left w:w="100" w:type="dxa"/>
              <w:bottom w:w="100" w:type="dxa"/>
              <w:right w:w="100" w:type="dxa"/>
            </w:tcMar>
            <w:vAlign w:val="center"/>
          </w:tcPr>
          <w:p w14:paraId="65FBF120"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1.05</w:t>
            </w:r>
          </w:p>
        </w:tc>
        <w:tc>
          <w:tcPr>
            <w:tcW w:w="1559" w:type="dxa"/>
            <w:tcMar>
              <w:top w:w="100" w:type="dxa"/>
              <w:left w:w="100" w:type="dxa"/>
              <w:bottom w:w="100" w:type="dxa"/>
              <w:right w:w="100" w:type="dxa"/>
            </w:tcMar>
            <w:vAlign w:val="center"/>
          </w:tcPr>
          <w:p w14:paraId="0D5E52B0"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[0.50, 2.20]</w:t>
            </w:r>
          </w:p>
        </w:tc>
        <w:tc>
          <w:tcPr>
            <w:tcW w:w="993" w:type="dxa"/>
            <w:tcMar>
              <w:top w:w="100" w:type="dxa"/>
              <w:left w:w="100" w:type="dxa"/>
              <w:bottom w:w="100" w:type="dxa"/>
              <w:right w:w="100" w:type="dxa"/>
            </w:tcMar>
            <w:vAlign w:val="center"/>
          </w:tcPr>
          <w:p w14:paraId="7696D94A"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.907</w:t>
            </w:r>
          </w:p>
        </w:tc>
        <w:tc>
          <w:tcPr>
            <w:tcW w:w="850" w:type="dxa"/>
            <w:tcMar>
              <w:top w:w="100" w:type="dxa"/>
              <w:left w:w="100" w:type="dxa"/>
              <w:bottom w:w="100" w:type="dxa"/>
              <w:right w:w="100" w:type="dxa"/>
            </w:tcMar>
            <w:vAlign w:val="center"/>
          </w:tcPr>
          <w:p w14:paraId="141AE44C"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0.78</w:t>
            </w:r>
          </w:p>
        </w:tc>
        <w:tc>
          <w:tcPr>
            <w:tcW w:w="1559" w:type="dxa"/>
            <w:tcMar>
              <w:top w:w="100" w:type="dxa"/>
              <w:left w:w="100" w:type="dxa"/>
              <w:bottom w:w="100" w:type="dxa"/>
              <w:right w:w="100" w:type="dxa"/>
            </w:tcMar>
            <w:vAlign w:val="center"/>
          </w:tcPr>
          <w:p w14:paraId="66B4E730"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[0.32, 1.90]</w:t>
            </w:r>
          </w:p>
        </w:tc>
        <w:tc>
          <w:tcPr>
            <w:tcW w:w="851" w:type="dxa"/>
            <w:tcMar>
              <w:top w:w="100" w:type="dxa"/>
              <w:left w:w="100" w:type="dxa"/>
              <w:bottom w:w="100" w:type="dxa"/>
              <w:right w:w="100" w:type="dxa"/>
            </w:tcMar>
            <w:vAlign w:val="center"/>
          </w:tcPr>
          <w:p w14:paraId="45160364"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.590</w:t>
            </w:r>
          </w:p>
        </w:tc>
      </w:tr>
      <w:tr w:rsidR="00CD71B7" w:rsidRPr="005A54C3" w14:paraId="13EBD4BF" w14:textId="77777777" w:rsidTr="00CD71B7">
        <w:tc>
          <w:tcPr>
            <w:tcW w:w="2268" w:type="dxa"/>
            <w:tcMar>
              <w:top w:w="100" w:type="dxa"/>
              <w:left w:w="100" w:type="dxa"/>
              <w:bottom w:w="100" w:type="dxa"/>
              <w:right w:w="100" w:type="dxa"/>
            </w:tcMar>
            <w:vAlign w:val="center"/>
          </w:tcPr>
          <w:p w14:paraId="4F00B87C"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COPD</w:t>
            </w:r>
          </w:p>
        </w:tc>
        <w:tc>
          <w:tcPr>
            <w:tcW w:w="709" w:type="dxa"/>
            <w:tcMar>
              <w:top w:w="100" w:type="dxa"/>
              <w:left w:w="100" w:type="dxa"/>
              <w:bottom w:w="100" w:type="dxa"/>
              <w:right w:w="100" w:type="dxa"/>
            </w:tcMar>
            <w:vAlign w:val="center"/>
          </w:tcPr>
          <w:p w14:paraId="69B25678"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7.60</w:t>
            </w:r>
          </w:p>
        </w:tc>
        <w:tc>
          <w:tcPr>
            <w:tcW w:w="1559" w:type="dxa"/>
            <w:tcMar>
              <w:top w:w="100" w:type="dxa"/>
              <w:left w:w="100" w:type="dxa"/>
              <w:bottom w:w="100" w:type="dxa"/>
              <w:right w:w="100" w:type="dxa"/>
            </w:tcMar>
            <w:vAlign w:val="center"/>
          </w:tcPr>
          <w:p w14:paraId="79AC293C"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[1.38, 41.95]</w:t>
            </w:r>
          </w:p>
        </w:tc>
        <w:tc>
          <w:tcPr>
            <w:tcW w:w="993" w:type="dxa"/>
            <w:tcMar>
              <w:top w:w="100" w:type="dxa"/>
              <w:left w:w="100" w:type="dxa"/>
              <w:bottom w:w="100" w:type="dxa"/>
              <w:right w:w="100" w:type="dxa"/>
            </w:tcMar>
            <w:vAlign w:val="center"/>
          </w:tcPr>
          <w:p w14:paraId="5CB6D55C"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.020</w:t>
            </w:r>
          </w:p>
        </w:tc>
        <w:tc>
          <w:tcPr>
            <w:tcW w:w="850" w:type="dxa"/>
            <w:tcMar>
              <w:top w:w="100" w:type="dxa"/>
              <w:left w:w="100" w:type="dxa"/>
              <w:bottom w:w="100" w:type="dxa"/>
              <w:right w:w="100" w:type="dxa"/>
            </w:tcMar>
            <w:vAlign w:val="center"/>
          </w:tcPr>
          <w:p w14:paraId="6D242048"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4.87</w:t>
            </w:r>
          </w:p>
        </w:tc>
        <w:tc>
          <w:tcPr>
            <w:tcW w:w="1559" w:type="dxa"/>
            <w:tcMar>
              <w:top w:w="100" w:type="dxa"/>
              <w:left w:w="100" w:type="dxa"/>
              <w:bottom w:w="100" w:type="dxa"/>
              <w:right w:w="100" w:type="dxa"/>
            </w:tcMar>
            <w:vAlign w:val="center"/>
          </w:tcPr>
          <w:p w14:paraId="1DF75FA5"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[0.50, 47.78]</w:t>
            </w:r>
          </w:p>
        </w:tc>
        <w:tc>
          <w:tcPr>
            <w:tcW w:w="851" w:type="dxa"/>
            <w:tcMar>
              <w:top w:w="100" w:type="dxa"/>
              <w:left w:w="100" w:type="dxa"/>
              <w:bottom w:w="100" w:type="dxa"/>
              <w:right w:w="100" w:type="dxa"/>
            </w:tcMar>
            <w:vAlign w:val="center"/>
          </w:tcPr>
          <w:p w14:paraId="361D0F97"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.174</w:t>
            </w:r>
          </w:p>
        </w:tc>
      </w:tr>
      <w:tr w:rsidR="00CD71B7" w:rsidRPr="005A54C3" w14:paraId="44758320" w14:textId="77777777" w:rsidTr="00CD71B7">
        <w:tc>
          <w:tcPr>
            <w:tcW w:w="2268" w:type="dxa"/>
            <w:tcMar>
              <w:top w:w="100" w:type="dxa"/>
              <w:left w:w="100" w:type="dxa"/>
              <w:bottom w:w="100" w:type="dxa"/>
              <w:right w:w="100" w:type="dxa"/>
            </w:tcMar>
            <w:vAlign w:val="center"/>
          </w:tcPr>
          <w:p w14:paraId="594D6266"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Obesity</w:t>
            </w:r>
          </w:p>
        </w:tc>
        <w:tc>
          <w:tcPr>
            <w:tcW w:w="709" w:type="dxa"/>
            <w:tcMar>
              <w:top w:w="100" w:type="dxa"/>
              <w:left w:w="100" w:type="dxa"/>
              <w:bottom w:w="100" w:type="dxa"/>
              <w:right w:w="100" w:type="dxa"/>
            </w:tcMar>
            <w:vAlign w:val="center"/>
          </w:tcPr>
          <w:p w14:paraId="08C4DA0B"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1.62</w:t>
            </w:r>
          </w:p>
        </w:tc>
        <w:tc>
          <w:tcPr>
            <w:tcW w:w="1559" w:type="dxa"/>
            <w:tcMar>
              <w:top w:w="100" w:type="dxa"/>
              <w:left w:w="100" w:type="dxa"/>
              <w:bottom w:w="100" w:type="dxa"/>
              <w:right w:w="100" w:type="dxa"/>
            </w:tcMar>
            <w:vAlign w:val="center"/>
          </w:tcPr>
          <w:p w14:paraId="02ED9C8F"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[1.04, 2.53]</w:t>
            </w:r>
          </w:p>
        </w:tc>
        <w:tc>
          <w:tcPr>
            <w:tcW w:w="993" w:type="dxa"/>
            <w:tcMar>
              <w:top w:w="100" w:type="dxa"/>
              <w:left w:w="100" w:type="dxa"/>
              <w:bottom w:w="100" w:type="dxa"/>
              <w:right w:w="100" w:type="dxa"/>
            </w:tcMar>
            <w:vAlign w:val="center"/>
          </w:tcPr>
          <w:p w14:paraId="709BD524"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.033</w:t>
            </w:r>
          </w:p>
        </w:tc>
        <w:tc>
          <w:tcPr>
            <w:tcW w:w="850" w:type="dxa"/>
            <w:tcMar>
              <w:top w:w="100" w:type="dxa"/>
              <w:left w:w="100" w:type="dxa"/>
              <w:bottom w:w="100" w:type="dxa"/>
              <w:right w:w="100" w:type="dxa"/>
            </w:tcMar>
            <w:vAlign w:val="center"/>
          </w:tcPr>
          <w:p w14:paraId="254CB2F4"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0.96</w:t>
            </w:r>
          </w:p>
        </w:tc>
        <w:tc>
          <w:tcPr>
            <w:tcW w:w="1559" w:type="dxa"/>
            <w:tcMar>
              <w:top w:w="100" w:type="dxa"/>
              <w:left w:w="100" w:type="dxa"/>
              <w:bottom w:w="100" w:type="dxa"/>
              <w:right w:w="100" w:type="dxa"/>
            </w:tcMar>
            <w:vAlign w:val="center"/>
          </w:tcPr>
          <w:p w14:paraId="0A7A0233"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[0.57, 1.60]</w:t>
            </w:r>
          </w:p>
        </w:tc>
        <w:tc>
          <w:tcPr>
            <w:tcW w:w="851" w:type="dxa"/>
            <w:tcMar>
              <w:top w:w="100" w:type="dxa"/>
              <w:left w:w="100" w:type="dxa"/>
              <w:bottom w:w="100" w:type="dxa"/>
              <w:right w:w="100" w:type="dxa"/>
            </w:tcMar>
            <w:vAlign w:val="center"/>
          </w:tcPr>
          <w:p w14:paraId="05B323EA"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.867</w:t>
            </w:r>
          </w:p>
        </w:tc>
      </w:tr>
      <w:tr w:rsidR="00CD71B7" w:rsidRPr="005A54C3" w14:paraId="0BA3DFB2" w14:textId="77777777" w:rsidTr="00CD71B7">
        <w:tc>
          <w:tcPr>
            <w:tcW w:w="2268" w:type="dxa"/>
            <w:tcBorders>
              <w:bottom w:val="single" w:sz="4" w:space="0" w:color="auto"/>
            </w:tcBorders>
            <w:tcMar>
              <w:top w:w="100" w:type="dxa"/>
              <w:left w:w="100" w:type="dxa"/>
              <w:bottom w:w="100" w:type="dxa"/>
              <w:right w:w="100" w:type="dxa"/>
            </w:tcMar>
            <w:vAlign w:val="center"/>
          </w:tcPr>
          <w:p w14:paraId="6B344886"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Smoking</w:t>
            </w:r>
          </w:p>
        </w:tc>
        <w:tc>
          <w:tcPr>
            <w:tcW w:w="709" w:type="dxa"/>
            <w:tcBorders>
              <w:bottom w:val="single" w:sz="4" w:space="0" w:color="auto"/>
            </w:tcBorders>
            <w:tcMar>
              <w:top w:w="100" w:type="dxa"/>
              <w:left w:w="100" w:type="dxa"/>
              <w:bottom w:w="100" w:type="dxa"/>
              <w:right w:w="100" w:type="dxa"/>
            </w:tcMar>
            <w:vAlign w:val="center"/>
          </w:tcPr>
          <w:p w14:paraId="4FCF3E15"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1.31</w:t>
            </w:r>
          </w:p>
        </w:tc>
        <w:tc>
          <w:tcPr>
            <w:tcW w:w="1559" w:type="dxa"/>
            <w:tcBorders>
              <w:bottom w:val="single" w:sz="4" w:space="0" w:color="auto"/>
            </w:tcBorders>
            <w:tcMar>
              <w:top w:w="100" w:type="dxa"/>
              <w:left w:w="100" w:type="dxa"/>
              <w:bottom w:w="100" w:type="dxa"/>
              <w:right w:w="100" w:type="dxa"/>
            </w:tcMar>
            <w:vAlign w:val="center"/>
          </w:tcPr>
          <w:p w14:paraId="5C8D79C7"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[0.59, 2.91]</w:t>
            </w:r>
          </w:p>
        </w:tc>
        <w:tc>
          <w:tcPr>
            <w:tcW w:w="993" w:type="dxa"/>
            <w:tcBorders>
              <w:bottom w:val="single" w:sz="4" w:space="0" w:color="auto"/>
            </w:tcBorders>
            <w:tcMar>
              <w:top w:w="100" w:type="dxa"/>
              <w:left w:w="100" w:type="dxa"/>
              <w:bottom w:w="100" w:type="dxa"/>
              <w:right w:w="100" w:type="dxa"/>
            </w:tcMar>
            <w:vAlign w:val="center"/>
          </w:tcPr>
          <w:p w14:paraId="3A85B271"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.502</w:t>
            </w:r>
          </w:p>
        </w:tc>
        <w:tc>
          <w:tcPr>
            <w:tcW w:w="850" w:type="dxa"/>
            <w:tcBorders>
              <w:bottom w:val="single" w:sz="4" w:space="0" w:color="auto"/>
            </w:tcBorders>
            <w:tcMar>
              <w:top w:w="100" w:type="dxa"/>
              <w:left w:w="100" w:type="dxa"/>
              <w:bottom w:w="100" w:type="dxa"/>
              <w:right w:w="100" w:type="dxa"/>
            </w:tcMar>
            <w:vAlign w:val="center"/>
          </w:tcPr>
          <w:p w14:paraId="361B6926"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0.78</w:t>
            </w:r>
          </w:p>
        </w:tc>
        <w:tc>
          <w:tcPr>
            <w:tcW w:w="1559" w:type="dxa"/>
            <w:tcBorders>
              <w:bottom w:val="single" w:sz="4" w:space="0" w:color="auto"/>
            </w:tcBorders>
            <w:tcMar>
              <w:top w:w="100" w:type="dxa"/>
              <w:left w:w="100" w:type="dxa"/>
              <w:bottom w:w="100" w:type="dxa"/>
              <w:right w:w="100" w:type="dxa"/>
            </w:tcMar>
            <w:vAlign w:val="center"/>
          </w:tcPr>
          <w:p w14:paraId="549DB750"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[0.31, 2.01]</w:t>
            </w:r>
          </w:p>
        </w:tc>
        <w:tc>
          <w:tcPr>
            <w:tcW w:w="851" w:type="dxa"/>
            <w:tcBorders>
              <w:bottom w:val="single" w:sz="4" w:space="0" w:color="auto"/>
            </w:tcBorders>
            <w:tcMar>
              <w:top w:w="100" w:type="dxa"/>
              <w:left w:w="100" w:type="dxa"/>
              <w:bottom w:w="100" w:type="dxa"/>
              <w:right w:w="100" w:type="dxa"/>
            </w:tcMar>
            <w:vAlign w:val="center"/>
          </w:tcPr>
          <w:p w14:paraId="418E501A" w14:textId="77777777" w:rsidR="00532C03" w:rsidRPr="005A54C3" w:rsidRDefault="00E8712F" w:rsidP="003471DD">
            <w:pPr>
              <w:spacing w:line="240" w:lineRule="auto"/>
              <w:rPr>
                <w:rFonts w:asciiTheme="majorBidi" w:hAnsiTheme="majorBidi" w:cstheme="majorBidi"/>
              </w:rPr>
            </w:pPr>
            <w:r w:rsidRPr="005A54C3">
              <w:rPr>
                <w:rFonts w:asciiTheme="majorBidi" w:hAnsiTheme="majorBidi" w:cstheme="majorBidi"/>
                <w:color w:val="212121"/>
              </w:rPr>
              <w:t>.613</w:t>
            </w:r>
          </w:p>
        </w:tc>
      </w:tr>
    </w:tbl>
    <w:p w14:paraId="28C978DF" w14:textId="77777777" w:rsidR="00532C03" w:rsidRPr="005A54C3" w:rsidRDefault="00E8712F" w:rsidP="003471DD">
      <w:pPr>
        <w:spacing w:line="276" w:lineRule="auto"/>
        <w:rPr>
          <w:rFonts w:asciiTheme="majorBidi" w:hAnsiTheme="majorBidi" w:cstheme="majorBidi"/>
          <w:sz w:val="22"/>
          <w:szCs w:val="22"/>
        </w:rPr>
      </w:pPr>
      <w:r w:rsidRPr="005A54C3">
        <w:rPr>
          <w:rFonts w:asciiTheme="majorBidi" w:hAnsiTheme="majorBidi" w:cstheme="majorBidi"/>
          <w:i/>
          <w:sz w:val="22"/>
          <w:szCs w:val="22"/>
        </w:rPr>
        <w:t xml:space="preserve">Note. </w:t>
      </w:r>
      <w:r w:rsidRPr="005A54C3">
        <w:rPr>
          <w:rFonts w:asciiTheme="majorBidi" w:hAnsiTheme="majorBidi" w:cstheme="majorBidi"/>
          <w:sz w:val="22"/>
          <w:szCs w:val="22"/>
        </w:rPr>
        <w:t>CI = Confidence Interval; LL = Lower Limit; UL = Upper Limit; ADHD = Attention Deficit Hyperactivity Disorder; CVD = Cardiovascular Disease; COPD = Chronic Obstructive Pulmonary Disease; SES = Socioeconomic Status.</w:t>
      </w:r>
    </w:p>
    <w:p w14:paraId="542EC83F" w14:textId="77777777" w:rsidR="00CD71B7" w:rsidRPr="005A54C3" w:rsidRDefault="00E8712F" w:rsidP="003471DD">
      <w:pPr>
        <w:spacing w:line="276" w:lineRule="auto"/>
        <w:rPr>
          <w:rFonts w:asciiTheme="majorBidi" w:hAnsiTheme="majorBidi" w:cstheme="majorBidi"/>
          <w:sz w:val="22"/>
          <w:szCs w:val="22"/>
        </w:rPr>
      </w:pPr>
      <w:r w:rsidRPr="005A54C3">
        <w:rPr>
          <w:rFonts w:asciiTheme="majorBidi" w:hAnsiTheme="majorBidi" w:cstheme="majorBidi"/>
          <w:sz w:val="22"/>
          <w:szCs w:val="22"/>
          <w:vertAlign w:val="superscript"/>
        </w:rPr>
        <w:t xml:space="preserve">a </w:t>
      </w:r>
      <w:r w:rsidRPr="005A54C3">
        <w:rPr>
          <w:rFonts w:asciiTheme="majorBidi" w:hAnsiTheme="majorBidi" w:cstheme="majorBidi"/>
          <w:sz w:val="22"/>
          <w:szCs w:val="22"/>
        </w:rPr>
        <w:t>Without age OR for ADHD = 1.59, 95% CI [0.96, 2.83]</w:t>
      </w:r>
      <w:r w:rsidR="00CD71B7" w:rsidRPr="005A54C3">
        <w:rPr>
          <w:rFonts w:asciiTheme="majorBidi" w:hAnsiTheme="majorBidi" w:cstheme="majorBidi"/>
          <w:sz w:val="22"/>
          <w:szCs w:val="22"/>
        </w:rPr>
        <w:t>.</w:t>
      </w:r>
      <w:r w:rsidRPr="005A54C3">
        <w:rPr>
          <w:rFonts w:asciiTheme="majorBidi" w:hAnsiTheme="majorBidi" w:cstheme="majorBidi"/>
          <w:sz w:val="22"/>
          <w:szCs w:val="22"/>
        </w:rPr>
        <w:t xml:space="preserve"> </w:t>
      </w:r>
    </w:p>
    <w:p w14:paraId="21C4EC6F" w14:textId="77777777" w:rsidR="00532C03" w:rsidRPr="005A54C3" w:rsidRDefault="00E8712F" w:rsidP="003471DD">
      <w:pPr>
        <w:spacing w:line="276" w:lineRule="auto"/>
        <w:rPr>
          <w:rFonts w:asciiTheme="majorBidi" w:hAnsiTheme="majorBidi" w:cstheme="majorBidi"/>
          <w:i/>
        </w:rPr>
      </w:pPr>
      <w:r w:rsidRPr="005A54C3">
        <w:rPr>
          <w:rFonts w:asciiTheme="majorBidi" w:hAnsiTheme="majorBidi" w:cstheme="majorBidi"/>
          <w:sz w:val="22"/>
          <w:szCs w:val="22"/>
          <w:vertAlign w:val="superscript"/>
        </w:rPr>
        <w:t xml:space="preserve">b </w:t>
      </w:r>
      <w:r w:rsidRPr="005A54C3">
        <w:rPr>
          <w:rFonts w:asciiTheme="majorBidi" w:hAnsiTheme="majorBidi" w:cstheme="majorBidi"/>
          <w:sz w:val="22"/>
          <w:szCs w:val="22"/>
        </w:rPr>
        <w:t>Age was included as a continuous variable.</w:t>
      </w:r>
      <w:r w:rsidRPr="005A54C3">
        <w:rPr>
          <w:rFonts w:asciiTheme="majorBidi" w:hAnsiTheme="majorBidi" w:cstheme="majorBidi"/>
        </w:rPr>
        <w:br w:type="page"/>
      </w:r>
    </w:p>
    <w:p w14:paraId="1AAF261C" w14:textId="77777777" w:rsidR="00532C03" w:rsidRPr="005A54C3" w:rsidRDefault="00E8712F">
      <w:pPr>
        <w:pStyle w:val="Heading2"/>
        <w:rPr>
          <w:rFonts w:asciiTheme="majorBidi" w:hAnsiTheme="majorBidi" w:cstheme="majorBidi"/>
        </w:rPr>
      </w:pPr>
      <w:bookmarkStart w:id="19" w:name="_heading=h.9g79uqk49p3g" w:colFirst="0" w:colLast="0"/>
      <w:bookmarkEnd w:id="19"/>
      <w:r w:rsidRPr="005A54C3">
        <w:rPr>
          <w:rFonts w:asciiTheme="majorBidi" w:hAnsiTheme="majorBidi" w:cstheme="majorBidi"/>
        </w:rPr>
        <w:lastRenderedPageBreak/>
        <w:t>Table 6</w:t>
      </w:r>
    </w:p>
    <w:p w14:paraId="4C55B419" w14:textId="77777777" w:rsidR="00CD71B7" w:rsidRPr="005A54C3" w:rsidRDefault="001D5F6D" w:rsidP="001D5F6D">
      <w:pPr>
        <w:pStyle w:val="NormalWeb"/>
        <w:spacing w:before="0" w:beforeAutospacing="0" w:after="160" w:afterAutospacing="0" w:line="480" w:lineRule="auto"/>
        <w:rPr>
          <w:rFonts w:asciiTheme="majorBidi" w:hAnsiTheme="majorBidi" w:cstheme="majorBidi"/>
        </w:rPr>
      </w:pPr>
      <w:r w:rsidRPr="005A54C3">
        <w:rPr>
          <w:rFonts w:asciiTheme="majorBidi" w:hAnsiTheme="majorBidi" w:cstheme="majorBidi"/>
          <w:i/>
          <w:iCs/>
          <w:color w:val="000000"/>
        </w:rPr>
        <w:t xml:space="preserve">Post-hoc analysis of age effect </w:t>
      </w:r>
      <w:r w:rsidR="00CD71B7" w:rsidRPr="005A54C3">
        <w:rPr>
          <w:rFonts w:asciiTheme="majorBidi" w:hAnsiTheme="majorBidi" w:cstheme="majorBidi"/>
          <w:i/>
          <w:iCs/>
          <w:color w:val="000000"/>
        </w:rPr>
        <w:t>in ADHD patients Using Mantel-</w:t>
      </w:r>
      <w:proofErr w:type="spellStart"/>
      <w:r w:rsidR="00CD71B7" w:rsidRPr="005A54C3">
        <w:rPr>
          <w:rFonts w:asciiTheme="majorBidi" w:hAnsiTheme="majorBidi" w:cstheme="majorBidi"/>
          <w:i/>
          <w:iCs/>
          <w:color w:val="000000"/>
        </w:rPr>
        <w:t>Hanzel</w:t>
      </w:r>
      <w:proofErr w:type="spellEnd"/>
      <w:r w:rsidR="00CD71B7" w:rsidRPr="005A54C3">
        <w:rPr>
          <w:rFonts w:asciiTheme="majorBidi" w:hAnsiTheme="majorBidi" w:cstheme="majorBidi"/>
          <w:i/>
          <w:iCs/>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977"/>
        <w:gridCol w:w="560"/>
        <w:gridCol w:w="836"/>
        <w:gridCol w:w="1716"/>
        <w:gridCol w:w="1134"/>
        <w:gridCol w:w="1156"/>
        <w:gridCol w:w="1418"/>
        <w:gridCol w:w="1229"/>
      </w:tblGrid>
      <w:tr w:rsidR="00ED6A98" w:rsidRPr="005A54C3" w14:paraId="3AC631A3" w14:textId="77777777" w:rsidTr="00ED6A98">
        <w:trPr>
          <w:trHeight w:val="283"/>
        </w:trPr>
        <w:tc>
          <w:tcPr>
            <w:tcW w:w="0" w:type="auto"/>
            <w:tcBorders>
              <w:top w:val="single" w:sz="8" w:space="0" w:color="000000"/>
            </w:tcBorders>
            <w:tcMar>
              <w:top w:w="100" w:type="dxa"/>
              <w:left w:w="100" w:type="dxa"/>
              <w:bottom w:w="100" w:type="dxa"/>
              <w:right w:w="100" w:type="dxa"/>
            </w:tcMar>
            <w:hideMark/>
          </w:tcPr>
          <w:p w14:paraId="0EEAF834" w14:textId="77777777" w:rsidR="00ED6A98" w:rsidRPr="005A54C3" w:rsidRDefault="00ED6A98" w:rsidP="003471DD">
            <w:pPr>
              <w:spacing w:line="240" w:lineRule="auto"/>
              <w:rPr>
                <w:rFonts w:asciiTheme="majorBidi" w:hAnsiTheme="majorBidi" w:cstheme="majorBidi"/>
              </w:rPr>
            </w:pPr>
          </w:p>
        </w:tc>
        <w:tc>
          <w:tcPr>
            <w:tcW w:w="0" w:type="auto"/>
            <w:tcBorders>
              <w:top w:val="single" w:sz="8" w:space="0" w:color="000000"/>
            </w:tcBorders>
            <w:tcMar>
              <w:top w:w="100" w:type="dxa"/>
              <w:left w:w="100" w:type="dxa"/>
              <w:bottom w:w="100" w:type="dxa"/>
              <w:right w:w="100" w:type="dxa"/>
            </w:tcMar>
            <w:hideMark/>
          </w:tcPr>
          <w:p w14:paraId="6740A38D" w14:textId="77777777" w:rsidR="00ED6A98" w:rsidRPr="005A54C3" w:rsidRDefault="00ED6A98" w:rsidP="003471DD">
            <w:pPr>
              <w:spacing w:line="240" w:lineRule="auto"/>
              <w:rPr>
                <w:rFonts w:asciiTheme="majorBidi" w:hAnsiTheme="majorBidi" w:cstheme="majorBidi"/>
              </w:rPr>
            </w:pPr>
          </w:p>
        </w:tc>
        <w:tc>
          <w:tcPr>
            <w:tcW w:w="2552" w:type="dxa"/>
            <w:gridSpan w:val="2"/>
            <w:tcBorders>
              <w:top w:val="single" w:sz="8" w:space="0" w:color="000000"/>
              <w:bottom w:val="single" w:sz="8" w:space="0" w:color="000000"/>
            </w:tcBorders>
            <w:tcMar>
              <w:top w:w="100" w:type="dxa"/>
              <w:left w:w="100" w:type="dxa"/>
              <w:bottom w:w="100" w:type="dxa"/>
              <w:right w:w="100" w:type="dxa"/>
            </w:tcMar>
            <w:vAlign w:val="bottom"/>
            <w:hideMark/>
          </w:tcPr>
          <w:p w14:paraId="35CF4F0F" w14:textId="77777777" w:rsidR="00ED6A98" w:rsidRPr="005A54C3" w:rsidRDefault="00ED6A98" w:rsidP="00ED6A98">
            <w:pPr>
              <w:pStyle w:val="NormalWeb"/>
              <w:spacing w:before="0" w:beforeAutospacing="0" w:after="0" w:afterAutospacing="0"/>
              <w:jc w:val="center"/>
              <w:rPr>
                <w:rFonts w:asciiTheme="majorBidi" w:hAnsiTheme="majorBidi" w:cstheme="majorBidi"/>
              </w:rPr>
            </w:pPr>
            <w:r w:rsidRPr="005A54C3">
              <w:rPr>
                <w:rFonts w:asciiTheme="majorBidi" w:hAnsiTheme="majorBidi" w:cstheme="majorBidi"/>
                <w:color w:val="000000"/>
              </w:rPr>
              <w:t>Symptomatic</w:t>
            </w:r>
          </w:p>
        </w:tc>
        <w:tc>
          <w:tcPr>
            <w:tcW w:w="1134" w:type="dxa"/>
            <w:tcBorders>
              <w:top w:val="single" w:sz="8" w:space="0" w:color="000000"/>
            </w:tcBorders>
            <w:vAlign w:val="bottom"/>
          </w:tcPr>
          <w:p w14:paraId="6D18CF6F" w14:textId="77777777" w:rsidR="00ED6A98" w:rsidRPr="005A54C3" w:rsidRDefault="00ED6A98" w:rsidP="00ED6A98">
            <w:pPr>
              <w:pStyle w:val="NormalWeb"/>
              <w:spacing w:before="0" w:beforeAutospacing="0" w:after="0" w:afterAutospacing="0"/>
              <w:jc w:val="center"/>
              <w:rPr>
                <w:rFonts w:asciiTheme="majorBidi" w:hAnsiTheme="majorBidi" w:cstheme="majorBidi"/>
              </w:rPr>
            </w:pPr>
          </w:p>
        </w:tc>
        <w:tc>
          <w:tcPr>
            <w:tcW w:w="2574" w:type="dxa"/>
            <w:gridSpan w:val="2"/>
            <w:tcBorders>
              <w:top w:val="single" w:sz="8" w:space="0" w:color="000000"/>
              <w:bottom w:val="single" w:sz="8" w:space="0" w:color="000000"/>
            </w:tcBorders>
            <w:tcMar>
              <w:top w:w="100" w:type="dxa"/>
              <w:left w:w="100" w:type="dxa"/>
              <w:bottom w:w="100" w:type="dxa"/>
              <w:right w:w="100" w:type="dxa"/>
            </w:tcMar>
            <w:vAlign w:val="bottom"/>
            <w:hideMark/>
          </w:tcPr>
          <w:p w14:paraId="6BDABF1F" w14:textId="77777777" w:rsidR="00ED6A98" w:rsidRPr="005A54C3" w:rsidRDefault="00ED6A98" w:rsidP="00ED6A98">
            <w:pPr>
              <w:pStyle w:val="NormalWeb"/>
              <w:spacing w:before="0" w:beforeAutospacing="0" w:after="0" w:afterAutospacing="0"/>
              <w:jc w:val="center"/>
              <w:rPr>
                <w:rFonts w:asciiTheme="majorBidi" w:hAnsiTheme="majorBidi" w:cstheme="majorBidi"/>
              </w:rPr>
            </w:pPr>
            <w:r w:rsidRPr="005A54C3">
              <w:rPr>
                <w:rFonts w:asciiTheme="majorBidi" w:hAnsiTheme="majorBidi" w:cstheme="majorBidi"/>
                <w:color w:val="212121"/>
              </w:rPr>
              <w:t>Hospitalizations</w:t>
            </w:r>
          </w:p>
        </w:tc>
        <w:tc>
          <w:tcPr>
            <w:tcW w:w="1229" w:type="dxa"/>
            <w:tcBorders>
              <w:top w:val="single" w:sz="8" w:space="0" w:color="000000"/>
            </w:tcBorders>
          </w:tcPr>
          <w:p w14:paraId="41E2F462" w14:textId="77777777" w:rsidR="00ED6A98" w:rsidRPr="005A54C3" w:rsidRDefault="00ED6A98" w:rsidP="003471DD">
            <w:pPr>
              <w:pStyle w:val="NormalWeb"/>
              <w:spacing w:before="0" w:beforeAutospacing="0" w:after="0" w:afterAutospacing="0"/>
              <w:jc w:val="center"/>
              <w:rPr>
                <w:rFonts w:asciiTheme="majorBidi" w:hAnsiTheme="majorBidi" w:cstheme="majorBidi"/>
              </w:rPr>
            </w:pPr>
          </w:p>
        </w:tc>
      </w:tr>
      <w:tr w:rsidR="00CD71B7" w:rsidRPr="005A54C3" w14:paraId="7E227DE1" w14:textId="77777777" w:rsidTr="00ED6A98">
        <w:trPr>
          <w:trHeight w:val="454"/>
        </w:trPr>
        <w:tc>
          <w:tcPr>
            <w:tcW w:w="0" w:type="auto"/>
            <w:tcBorders>
              <w:bottom w:val="single" w:sz="8" w:space="0" w:color="000000"/>
            </w:tcBorders>
            <w:tcMar>
              <w:top w:w="100" w:type="dxa"/>
              <w:left w:w="100" w:type="dxa"/>
              <w:bottom w:w="100" w:type="dxa"/>
              <w:right w:w="100" w:type="dxa"/>
            </w:tcMar>
            <w:vAlign w:val="bottom"/>
            <w:hideMark/>
          </w:tcPr>
          <w:p w14:paraId="606B127B" w14:textId="77777777" w:rsidR="00CD71B7" w:rsidRPr="005A54C3" w:rsidRDefault="00CD71B7" w:rsidP="00ED6A98">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Age (years)</w:t>
            </w:r>
          </w:p>
        </w:tc>
        <w:tc>
          <w:tcPr>
            <w:tcW w:w="0" w:type="auto"/>
            <w:tcBorders>
              <w:bottom w:val="single" w:sz="8" w:space="0" w:color="000000"/>
            </w:tcBorders>
            <w:tcMar>
              <w:top w:w="100" w:type="dxa"/>
              <w:left w:w="100" w:type="dxa"/>
              <w:bottom w:w="100" w:type="dxa"/>
              <w:right w:w="100" w:type="dxa"/>
            </w:tcMar>
            <w:vAlign w:val="bottom"/>
            <w:hideMark/>
          </w:tcPr>
          <w:p w14:paraId="06B0D17A" w14:textId="77777777" w:rsidR="00CD71B7" w:rsidRPr="005A54C3" w:rsidRDefault="00CD71B7" w:rsidP="00ED6A98">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n</w:t>
            </w:r>
          </w:p>
        </w:tc>
        <w:tc>
          <w:tcPr>
            <w:tcW w:w="836" w:type="dxa"/>
            <w:tcBorders>
              <w:top w:val="single" w:sz="8" w:space="0" w:color="000000"/>
              <w:bottom w:val="single" w:sz="8" w:space="0" w:color="000000"/>
            </w:tcBorders>
            <w:tcMar>
              <w:top w:w="100" w:type="dxa"/>
              <w:left w:w="100" w:type="dxa"/>
              <w:bottom w:w="100" w:type="dxa"/>
              <w:right w:w="100" w:type="dxa"/>
            </w:tcMar>
            <w:vAlign w:val="bottom"/>
            <w:hideMark/>
          </w:tcPr>
          <w:p w14:paraId="4860F229" w14:textId="77777777" w:rsidR="00CD71B7" w:rsidRPr="005A54C3" w:rsidRDefault="00CD71B7" w:rsidP="00ED6A98">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OR</w:t>
            </w:r>
          </w:p>
        </w:tc>
        <w:tc>
          <w:tcPr>
            <w:tcW w:w="1716" w:type="dxa"/>
            <w:tcBorders>
              <w:top w:val="single" w:sz="8" w:space="0" w:color="000000"/>
              <w:bottom w:val="single" w:sz="8" w:space="0" w:color="000000"/>
            </w:tcBorders>
            <w:tcMar>
              <w:top w:w="100" w:type="dxa"/>
              <w:left w:w="100" w:type="dxa"/>
              <w:bottom w:w="100" w:type="dxa"/>
              <w:right w:w="100" w:type="dxa"/>
            </w:tcMar>
            <w:vAlign w:val="bottom"/>
            <w:hideMark/>
          </w:tcPr>
          <w:p w14:paraId="4A36FB9D" w14:textId="77777777" w:rsidR="00CD71B7" w:rsidRPr="005A54C3" w:rsidRDefault="00CD71B7" w:rsidP="00ED6A98">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212121"/>
              </w:rPr>
              <w:t xml:space="preserve">95% </w:t>
            </w:r>
            <w:r w:rsidRPr="005A54C3">
              <w:rPr>
                <w:rFonts w:asciiTheme="majorBidi" w:hAnsiTheme="majorBidi" w:cstheme="majorBidi"/>
                <w:i/>
                <w:iCs/>
                <w:color w:val="212121"/>
              </w:rPr>
              <w:t>CI</w:t>
            </w:r>
          </w:p>
          <w:p w14:paraId="3A5FA561" w14:textId="77777777" w:rsidR="00CD71B7" w:rsidRPr="005A54C3" w:rsidRDefault="00CD71B7" w:rsidP="00ED6A98">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[LL, UL]</w:t>
            </w:r>
          </w:p>
        </w:tc>
        <w:tc>
          <w:tcPr>
            <w:tcW w:w="1134" w:type="dxa"/>
            <w:tcBorders>
              <w:bottom w:val="single" w:sz="8" w:space="0" w:color="000000"/>
            </w:tcBorders>
            <w:tcMar>
              <w:top w:w="100" w:type="dxa"/>
              <w:left w:w="100" w:type="dxa"/>
              <w:bottom w:w="100" w:type="dxa"/>
              <w:right w:w="100" w:type="dxa"/>
            </w:tcMar>
            <w:vAlign w:val="bottom"/>
            <w:hideMark/>
          </w:tcPr>
          <w:p w14:paraId="025850EF" w14:textId="77777777" w:rsidR="00CD71B7" w:rsidRPr="005A54C3" w:rsidRDefault="00CD71B7" w:rsidP="00ED6A98">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M-H</w:t>
            </w:r>
          </w:p>
        </w:tc>
        <w:tc>
          <w:tcPr>
            <w:tcW w:w="1156" w:type="dxa"/>
            <w:tcBorders>
              <w:top w:val="single" w:sz="8" w:space="0" w:color="000000"/>
              <w:bottom w:val="single" w:sz="8" w:space="0" w:color="000000"/>
            </w:tcBorders>
            <w:tcMar>
              <w:top w:w="100" w:type="dxa"/>
              <w:left w:w="100" w:type="dxa"/>
              <w:bottom w:w="100" w:type="dxa"/>
              <w:right w:w="100" w:type="dxa"/>
            </w:tcMar>
            <w:vAlign w:val="bottom"/>
            <w:hideMark/>
          </w:tcPr>
          <w:p w14:paraId="11259A5F" w14:textId="77777777" w:rsidR="00CD71B7" w:rsidRPr="005A54C3" w:rsidRDefault="00CD71B7" w:rsidP="00ED6A98">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OR</w:t>
            </w:r>
          </w:p>
        </w:tc>
        <w:tc>
          <w:tcPr>
            <w:tcW w:w="1418" w:type="dxa"/>
            <w:tcBorders>
              <w:top w:val="single" w:sz="8" w:space="0" w:color="000000"/>
              <w:bottom w:val="single" w:sz="8" w:space="0" w:color="000000"/>
            </w:tcBorders>
            <w:tcMar>
              <w:top w:w="100" w:type="dxa"/>
              <w:left w:w="100" w:type="dxa"/>
              <w:bottom w:w="100" w:type="dxa"/>
              <w:right w:w="100" w:type="dxa"/>
            </w:tcMar>
            <w:vAlign w:val="bottom"/>
            <w:hideMark/>
          </w:tcPr>
          <w:p w14:paraId="6A9FF52B" w14:textId="77777777" w:rsidR="00CD71B7" w:rsidRPr="005A54C3" w:rsidRDefault="00CD71B7" w:rsidP="00ED6A98">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212121"/>
              </w:rPr>
              <w:t xml:space="preserve">95% </w:t>
            </w:r>
            <w:r w:rsidRPr="005A54C3">
              <w:rPr>
                <w:rFonts w:asciiTheme="majorBidi" w:hAnsiTheme="majorBidi" w:cstheme="majorBidi"/>
                <w:i/>
                <w:iCs/>
                <w:color w:val="212121"/>
              </w:rPr>
              <w:t>CI</w:t>
            </w:r>
          </w:p>
          <w:p w14:paraId="158D6E7B" w14:textId="77777777" w:rsidR="00CD71B7" w:rsidRPr="005A54C3" w:rsidRDefault="00CD71B7" w:rsidP="00ED6A98">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[LL, UL]</w:t>
            </w:r>
          </w:p>
        </w:tc>
        <w:tc>
          <w:tcPr>
            <w:tcW w:w="1229" w:type="dxa"/>
            <w:tcBorders>
              <w:bottom w:val="single" w:sz="8" w:space="0" w:color="000000"/>
            </w:tcBorders>
            <w:tcMar>
              <w:top w:w="100" w:type="dxa"/>
              <w:left w:w="100" w:type="dxa"/>
              <w:bottom w:w="100" w:type="dxa"/>
              <w:right w:w="100" w:type="dxa"/>
            </w:tcMar>
            <w:vAlign w:val="bottom"/>
            <w:hideMark/>
          </w:tcPr>
          <w:p w14:paraId="6DD421D3" w14:textId="77777777" w:rsidR="00CD71B7" w:rsidRPr="005A54C3" w:rsidRDefault="00CD71B7" w:rsidP="00ED6A98">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M-H</w:t>
            </w:r>
          </w:p>
        </w:tc>
      </w:tr>
      <w:tr w:rsidR="00CD71B7" w:rsidRPr="005A54C3" w14:paraId="67F52FD3" w14:textId="77777777" w:rsidTr="00ED6A98">
        <w:trPr>
          <w:trHeight w:val="357"/>
        </w:trPr>
        <w:tc>
          <w:tcPr>
            <w:tcW w:w="0" w:type="auto"/>
            <w:tcBorders>
              <w:top w:val="single" w:sz="8" w:space="0" w:color="000000"/>
            </w:tcBorders>
            <w:tcMar>
              <w:top w:w="100" w:type="dxa"/>
              <w:left w:w="100" w:type="dxa"/>
              <w:bottom w:w="100" w:type="dxa"/>
              <w:right w:w="100" w:type="dxa"/>
            </w:tcMar>
            <w:hideMark/>
          </w:tcPr>
          <w:p w14:paraId="0C44260A" w14:textId="77777777" w:rsidR="00CD71B7" w:rsidRPr="005A54C3" w:rsidRDefault="00CD71B7" w:rsidP="003471DD">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5-</w:t>
            </w:r>
            <w:r w:rsidR="00B6553B" w:rsidRPr="005A54C3">
              <w:rPr>
                <w:rFonts w:asciiTheme="majorBidi" w:hAnsiTheme="majorBidi" w:cstheme="majorBidi"/>
                <w:color w:val="000000"/>
              </w:rPr>
              <w:t>20</w:t>
            </w:r>
          </w:p>
        </w:tc>
        <w:tc>
          <w:tcPr>
            <w:tcW w:w="0" w:type="auto"/>
            <w:tcBorders>
              <w:top w:val="single" w:sz="8" w:space="0" w:color="000000"/>
            </w:tcBorders>
            <w:tcMar>
              <w:top w:w="100" w:type="dxa"/>
              <w:left w:w="100" w:type="dxa"/>
              <w:bottom w:w="100" w:type="dxa"/>
              <w:right w:w="100" w:type="dxa"/>
            </w:tcMar>
            <w:hideMark/>
          </w:tcPr>
          <w:p w14:paraId="2D740681" w14:textId="77777777" w:rsidR="00CD71B7" w:rsidRPr="005A54C3" w:rsidRDefault="00CD71B7" w:rsidP="003471DD">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111</w:t>
            </w:r>
          </w:p>
        </w:tc>
        <w:tc>
          <w:tcPr>
            <w:tcW w:w="836" w:type="dxa"/>
            <w:tcBorders>
              <w:top w:val="single" w:sz="8" w:space="0" w:color="000000"/>
            </w:tcBorders>
            <w:tcMar>
              <w:top w:w="100" w:type="dxa"/>
              <w:left w:w="100" w:type="dxa"/>
              <w:bottom w:w="100" w:type="dxa"/>
              <w:right w:w="100" w:type="dxa"/>
            </w:tcMar>
            <w:hideMark/>
          </w:tcPr>
          <w:p w14:paraId="572A5788" w14:textId="77777777" w:rsidR="00CD71B7" w:rsidRPr="005A54C3" w:rsidRDefault="00CD71B7" w:rsidP="003471DD">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3.31</w:t>
            </w:r>
          </w:p>
        </w:tc>
        <w:tc>
          <w:tcPr>
            <w:tcW w:w="1716" w:type="dxa"/>
            <w:tcBorders>
              <w:top w:val="single" w:sz="8" w:space="0" w:color="000000"/>
            </w:tcBorders>
            <w:tcMar>
              <w:top w:w="100" w:type="dxa"/>
              <w:left w:w="100" w:type="dxa"/>
              <w:bottom w:w="100" w:type="dxa"/>
              <w:right w:w="100" w:type="dxa"/>
            </w:tcMar>
            <w:hideMark/>
          </w:tcPr>
          <w:p w14:paraId="0E6CDFFD" w14:textId="77777777" w:rsidR="00CD71B7" w:rsidRPr="005A54C3" w:rsidRDefault="00CD71B7" w:rsidP="003471DD">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[2.09, 5.21]</w:t>
            </w:r>
          </w:p>
        </w:tc>
        <w:tc>
          <w:tcPr>
            <w:tcW w:w="1134" w:type="dxa"/>
            <w:vMerge w:val="restart"/>
            <w:tcBorders>
              <w:top w:val="single" w:sz="8" w:space="0" w:color="000000"/>
              <w:bottom w:val="single" w:sz="8" w:space="0" w:color="000000"/>
            </w:tcBorders>
            <w:tcMar>
              <w:top w:w="100" w:type="dxa"/>
              <w:left w:w="100" w:type="dxa"/>
              <w:bottom w:w="100" w:type="dxa"/>
              <w:right w:w="100" w:type="dxa"/>
            </w:tcMar>
            <w:hideMark/>
          </w:tcPr>
          <w:p w14:paraId="01D9AFC0" w14:textId="77777777" w:rsidR="00CD71B7" w:rsidRPr="005A54C3" w:rsidRDefault="00CD71B7" w:rsidP="003471DD">
            <w:pPr>
              <w:pStyle w:val="NormalWeb"/>
              <w:spacing w:before="0" w:beforeAutospacing="0" w:after="0" w:afterAutospacing="0"/>
              <w:jc w:val="center"/>
              <w:rPr>
                <w:rFonts w:asciiTheme="majorBidi" w:hAnsiTheme="majorBidi" w:cstheme="majorBidi"/>
              </w:rPr>
            </w:pPr>
            <w:r w:rsidRPr="005A54C3">
              <w:rPr>
                <w:rFonts w:asciiTheme="majorBidi" w:hAnsiTheme="majorBidi" w:cstheme="majorBidi"/>
                <w:color w:val="000000"/>
              </w:rPr>
              <w:t>χ</w:t>
            </w:r>
            <w:r w:rsidRPr="005A54C3">
              <w:rPr>
                <w:rFonts w:asciiTheme="majorBidi" w:hAnsiTheme="majorBidi" w:cstheme="majorBidi"/>
                <w:color w:val="000000"/>
                <w:sz w:val="14"/>
                <w:szCs w:val="14"/>
                <w:vertAlign w:val="superscript"/>
              </w:rPr>
              <w:t>2</w:t>
            </w:r>
            <w:r w:rsidRPr="005A54C3">
              <w:rPr>
                <w:rFonts w:asciiTheme="majorBidi" w:hAnsiTheme="majorBidi" w:cstheme="majorBidi"/>
                <w:color w:val="000000"/>
              </w:rPr>
              <w:t xml:space="preserve"> = 9.02</w:t>
            </w:r>
          </w:p>
          <w:p w14:paraId="17380D21" w14:textId="77777777" w:rsidR="00CD71B7" w:rsidRPr="005A54C3" w:rsidRDefault="00CD71B7" w:rsidP="003471DD">
            <w:pPr>
              <w:pStyle w:val="NormalWeb"/>
              <w:spacing w:before="0" w:beforeAutospacing="0" w:after="0" w:afterAutospacing="0"/>
              <w:jc w:val="center"/>
              <w:rPr>
                <w:rFonts w:asciiTheme="majorBidi" w:hAnsiTheme="majorBidi" w:cstheme="majorBidi"/>
              </w:rPr>
            </w:pPr>
            <w:r w:rsidRPr="005A54C3">
              <w:rPr>
                <w:rFonts w:asciiTheme="majorBidi" w:hAnsiTheme="majorBidi" w:cstheme="majorBidi"/>
                <w:i/>
                <w:iCs/>
                <w:color w:val="000000"/>
              </w:rPr>
              <w:t>p</w:t>
            </w:r>
            <w:r w:rsidRPr="005A54C3">
              <w:rPr>
                <w:rFonts w:asciiTheme="majorBidi" w:hAnsiTheme="majorBidi" w:cstheme="majorBidi"/>
                <w:color w:val="000000"/>
              </w:rPr>
              <w:t xml:space="preserve"> &lt; .01</w:t>
            </w:r>
          </w:p>
        </w:tc>
        <w:tc>
          <w:tcPr>
            <w:tcW w:w="1156" w:type="dxa"/>
            <w:tcBorders>
              <w:top w:val="single" w:sz="8" w:space="0" w:color="000000"/>
            </w:tcBorders>
            <w:tcMar>
              <w:top w:w="100" w:type="dxa"/>
              <w:left w:w="100" w:type="dxa"/>
              <w:bottom w:w="100" w:type="dxa"/>
              <w:right w:w="100" w:type="dxa"/>
            </w:tcMar>
            <w:hideMark/>
          </w:tcPr>
          <w:p w14:paraId="5C5C5D31" w14:textId="77777777" w:rsidR="00CD71B7" w:rsidRPr="005A54C3" w:rsidRDefault="00CD71B7" w:rsidP="003471DD">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1.64 (NS)</w:t>
            </w:r>
          </w:p>
        </w:tc>
        <w:tc>
          <w:tcPr>
            <w:tcW w:w="1418" w:type="dxa"/>
            <w:tcBorders>
              <w:top w:val="single" w:sz="8" w:space="0" w:color="000000"/>
            </w:tcBorders>
            <w:tcMar>
              <w:top w:w="100" w:type="dxa"/>
              <w:left w:w="100" w:type="dxa"/>
              <w:bottom w:w="100" w:type="dxa"/>
              <w:right w:w="100" w:type="dxa"/>
            </w:tcMar>
            <w:hideMark/>
          </w:tcPr>
          <w:p w14:paraId="5E70061A" w14:textId="77777777" w:rsidR="00CD71B7" w:rsidRPr="005A54C3" w:rsidRDefault="00CD71B7" w:rsidP="003471DD">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[0.37, 5.67]</w:t>
            </w:r>
          </w:p>
        </w:tc>
        <w:tc>
          <w:tcPr>
            <w:tcW w:w="1229" w:type="dxa"/>
            <w:vMerge w:val="restart"/>
            <w:tcBorders>
              <w:top w:val="single" w:sz="8" w:space="0" w:color="000000"/>
              <w:bottom w:val="single" w:sz="8" w:space="0" w:color="000000"/>
            </w:tcBorders>
            <w:tcMar>
              <w:top w:w="100" w:type="dxa"/>
              <w:left w:w="100" w:type="dxa"/>
              <w:bottom w:w="100" w:type="dxa"/>
              <w:right w:w="100" w:type="dxa"/>
            </w:tcMar>
            <w:hideMark/>
          </w:tcPr>
          <w:p w14:paraId="0AA70377" w14:textId="77777777" w:rsidR="00CD71B7" w:rsidRPr="005A54C3" w:rsidRDefault="00CD71B7" w:rsidP="003471DD">
            <w:pPr>
              <w:pStyle w:val="NormalWeb"/>
              <w:spacing w:before="0" w:beforeAutospacing="0" w:after="0" w:afterAutospacing="0"/>
              <w:jc w:val="center"/>
              <w:rPr>
                <w:rFonts w:asciiTheme="majorBidi" w:hAnsiTheme="majorBidi" w:cstheme="majorBidi"/>
              </w:rPr>
            </w:pPr>
            <w:r w:rsidRPr="005A54C3">
              <w:rPr>
                <w:rFonts w:asciiTheme="majorBidi" w:hAnsiTheme="majorBidi" w:cstheme="majorBidi"/>
                <w:color w:val="000000"/>
              </w:rPr>
              <w:t>χ</w:t>
            </w:r>
            <w:r w:rsidRPr="005A54C3">
              <w:rPr>
                <w:rFonts w:asciiTheme="majorBidi" w:hAnsiTheme="majorBidi" w:cstheme="majorBidi"/>
                <w:color w:val="000000"/>
                <w:sz w:val="14"/>
                <w:szCs w:val="14"/>
                <w:vertAlign w:val="superscript"/>
              </w:rPr>
              <w:t>2</w:t>
            </w:r>
            <w:r w:rsidRPr="005A54C3">
              <w:rPr>
                <w:rFonts w:asciiTheme="majorBidi" w:hAnsiTheme="majorBidi" w:cstheme="majorBidi"/>
                <w:color w:val="000000"/>
              </w:rPr>
              <w:t xml:space="preserve"> = 13.51</w:t>
            </w:r>
          </w:p>
          <w:p w14:paraId="443CB4E9" w14:textId="77777777" w:rsidR="00CD71B7" w:rsidRPr="005A54C3" w:rsidRDefault="00CD71B7" w:rsidP="003471DD">
            <w:pPr>
              <w:pStyle w:val="NormalWeb"/>
              <w:spacing w:before="0" w:beforeAutospacing="0" w:after="0" w:afterAutospacing="0"/>
              <w:jc w:val="center"/>
              <w:rPr>
                <w:rFonts w:asciiTheme="majorBidi" w:hAnsiTheme="majorBidi" w:cstheme="majorBidi"/>
              </w:rPr>
            </w:pPr>
            <w:r w:rsidRPr="005A54C3">
              <w:rPr>
                <w:rFonts w:asciiTheme="majorBidi" w:hAnsiTheme="majorBidi" w:cstheme="majorBidi"/>
                <w:i/>
                <w:iCs/>
                <w:color w:val="000000"/>
              </w:rPr>
              <w:t>p</w:t>
            </w:r>
            <w:r w:rsidRPr="005A54C3">
              <w:rPr>
                <w:rFonts w:asciiTheme="majorBidi" w:hAnsiTheme="majorBidi" w:cstheme="majorBidi"/>
                <w:color w:val="000000"/>
              </w:rPr>
              <w:t xml:space="preserve"> &lt; .001</w:t>
            </w:r>
          </w:p>
        </w:tc>
      </w:tr>
      <w:tr w:rsidR="00CD71B7" w:rsidRPr="005A54C3" w14:paraId="715ABF8D" w14:textId="77777777" w:rsidTr="00ED6A98">
        <w:trPr>
          <w:trHeight w:val="371"/>
        </w:trPr>
        <w:tc>
          <w:tcPr>
            <w:tcW w:w="0" w:type="auto"/>
            <w:tcMar>
              <w:top w:w="100" w:type="dxa"/>
              <w:left w:w="100" w:type="dxa"/>
              <w:bottom w:w="100" w:type="dxa"/>
              <w:right w:w="100" w:type="dxa"/>
            </w:tcMar>
            <w:hideMark/>
          </w:tcPr>
          <w:p w14:paraId="4438A20B" w14:textId="77777777" w:rsidR="00CD71B7" w:rsidRPr="005A54C3" w:rsidRDefault="00CD71B7" w:rsidP="003471DD">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2</w:t>
            </w:r>
            <w:r w:rsidR="00B6553B" w:rsidRPr="005A54C3">
              <w:rPr>
                <w:rFonts w:asciiTheme="majorBidi" w:hAnsiTheme="majorBidi" w:cstheme="majorBidi"/>
                <w:color w:val="000000"/>
              </w:rPr>
              <w:t>1</w:t>
            </w:r>
            <w:r w:rsidRPr="005A54C3">
              <w:rPr>
                <w:rFonts w:asciiTheme="majorBidi" w:hAnsiTheme="majorBidi" w:cstheme="majorBidi"/>
                <w:color w:val="000000"/>
              </w:rPr>
              <w:t>-</w:t>
            </w:r>
            <w:r w:rsidR="00B6553B" w:rsidRPr="005A54C3">
              <w:rPr>
                <w:rFonts w:asciiTheme="majorBidi" w:hAnsiTheme="majorBidi" w:cstheme="majorBidi"/>
                <w:color w:val="000000"/>
              </w:rPr>
              <w:t>40</w:t>
            </w:r>
          </w:p>
        </w:tc>
        <w:tc>
          <w:tcPr>
            <w:tcW w:w="0" w:type="auto"/>
            <w:tcMar>
              <w:top w:w="100" w:type="dxa"/>
              <w:left w:w="100" w:type="dxa"/>
              <w:bottom w:w="100" w:type="dxa"/>
              <w:right w:w="100" w:type="dxa"/>
            </w:tcMar>
            <w:hideMark/>
          </w:tcPr>
          <w:p w14:paraId="4BAD6B85" w14:textId="77777777" w:rsidR="00CD71B7" w:rsidRPr="005A54C3" w:rsidRDefault="00CD71B7" w:rsidP="003471DD">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111</w:t>
            </w:r>
          </w:p>
        </w:tc>
        <w:tc>
          <w:tcPr>
            <w:tcW w:w="836" w:type="dxa"/>
            <w:tcMar>
              <w:top w:w="100" w:type="dxa"/>
              <w:left w:w="100" w:type="dxa"/>
              <w:bottom w:w="100" w:type="dxa"/>
              <w:right w:w="100" w:type="dxa"/>
            </w:tcMar>
            <w:hideMark/>
          </w:tcPr>
          <w:p w14:paraId="570299E4" w14:textId="77777777" w:rsidR="00CD71B7" w:rsidRPr="005A54C3" w:rsidRDefault="00CD71B7" w:rsidP="003471DD">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0.79</w:t>
            </w:r>
          </w:p>
        </w:tc>
        <w:tc>
          <w:tcPr>
            <w:tcW w:w="1716" w:type="dxa"/>
            <w:tcMar>
              <w:top w:w="100" w:type="dxa"/>
              <w:left w:w="100" w:type="dxa"/>
              <w:bottom w:w="100" w:type="dxa"/>
              <w:right w:w="100" w:type="dxa"/>
            </w:tcMar>
            <w:hideMark/>
          </w:tcPr>
          <w:p w14:paraId="19D6B219" w14:textId="77777777" w:rsidR="00CD71B7" w:rsidRPr="005A54C3" w:rsidRDefault="00CD71B7" w:rsidP="003471DD">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[0.51, 1.23]</w:t>
            </w:r>
          </w:p>
        </w:tc>
        <w:tc>
          <w:tcPr>
            <w:tcW w:w="1134" w:type="dxa"/>
            <w:vMerge/>
            <w:tcBorders>
              <w:top w:val="single" w:sz="8" w:space="0" w:color="000000"/>
              <w:bottom w:val="single" w:sz="8" w:space="0" w:color="000000"/>
            </w:tcBorders>
            <w:vAlign w:val="center"/>
            <w:hideMark/>
          </w:tcPr>
          <w:p w14:paraId="5C7B1CA2" w14:textId="77777777" w:rsidR="00CD71B7" w:rsidRPr="005A54C3" w:rsidRDefault="00CD71B7" w:rsidP="003471DD">
            <w:pPr>
              <w:spacing w:line="240" w:lineRule="auto"/>
              <w:rPr>
                <w:rFonts w:asciiTheme="majorBidi" w:hAnsiTheme="majorBidi" w:cstheme="majorBidi"/>
              </w:rPr>
            </w:pPr>
          </w:p>
        </w:tc>
        <w:tc>
          <w:tcPr>
            <w:tcW w:w="1156" w:type="dxa"/>
            <w:tcMar>
              <w:top w:w="100" w:type="dxa"/>
              <w:left w:w="100" w:type="dxa"/>
              <w:bottom w:w="100" w:type="dxa"/>
              <w:right w:w="100" w:type="dxa"/>
            </w:tcMar>
            <w:hideMark/>
          </w:tcPr>
          <w:p w14:paraId="7A064B7D" w14:textId="77777777" w:rsidR="00CD71B7" w:rsidRPr="005A54C3" w:rsidRDefault="00CD71B7" w:rsidP="003471DD">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2.96</w:t>
            </w:r>
          </w:p>
        </w:tc>
        <w:tc>
          <w:tcPr>
            <w:tcW w:w="1418" w:type="dxa"/>
            <w:tcMar>
              <w:top w:w="100" w:type="dxa"/>
              <w:left w:w="100" w:type="dxa"/>
              <w:bottom w:w="100" w:type="dxa"/>
              <w:right w:w="100" w:type="dxa"/>
            </w:tcMar>
            <w:hideMark/>
          </w:tcPr>
          <w:p w14:paraId="5E8AF60A" w14:textId="77777777" w:rsidR="00CD71B7" w:rsidRPr="005A54C3" w:rsidRDefault="00CD71B7" w:rsidP="003471DD">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[1.40, 5.93]</w:t>
            </w:r>
          </w:p>
        </w:tc>
        <w:tc>
          <w:tcPr>
            <w:tcW w:w="1229" w:type="dxa"/>
            <w:vMerge/>
            <w:tcBorders>
              <w:top w:val="single" w:sz="8" w:space="0" w:color="000000"/>
              <w:bottom w:val="single" w:sz="8" w:space="0" w:color="000000"/>
            </w:tcBorders>
            <w:vAlign w:val="center"/>
            <w:hideMark/>
          </w:tcPr>
          <w:p w14:paraId="140DD2C0" w14:textId="77777777" w:rsidR="00CD71B7" w:rsidRPr="005A54C3" w:rsidRDefault="00CD71B7" w:rsidP="003471DD">
            <w:pPr>
              <w:spacing w:line="240" w:lineRule="auto"/>
              <w:rPr>
                <w:rFonts w:asciiTheme="majorBidi" w:hAnsiTheme="majorBidi" w:cstheme="majorBidi"/>
              </w:rPr>
            </w:pPr>
          </w:p>
        </w:tc>
      </w:tr>
      <w:tr w:rsidR="00CD71B7" w:rsidRPr="005A54C3" w14:paraId="18F678FF" w14:textId="77777777" w:rsidTr="00ED6A98">
        <w:trPr>
          <w:trHeight w:val="379"/>
        </w:trPr>
        <w:tc>
          <w:tcPr>
            <w:tcW w:w="0" w:type="auto"/>
            <w:tcBorders>
              <w:bottom w:val="single" w:sz="8" w:space="0" w:color="000000"/>
            </w:tcBorders>
            <w:tcMar>
              <w:top w:w="100" w:type="dxa"/>
              <w:left w:w="100" w:type="dxa"/>
              <w:bottom w:w="100" w:type="dxa"/>
              <w:right w:w="100" w:type="dxa"/>
            </w:tcMar>
            <w:hideMark/>
          </w:tcPr>
          <w:p w14:paraId="41738014" w14:textId="77777777" w:rsidR="00CD71B7" w:rsidRPr="005A54C3" w:rsidRDefault="00CD71B7" w:rsidP="003471DD">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41-60</w:t>
            </w:r>
          </w:p>
        </w:tc>
        <w:tc>
          <w:tcPr>
            <w:tcW w:w="0" w:type="auto"/>
            <w:tcBorders>
              <w:bottom w:val="single" w:sz="8" w:space="0" w:color="000000"/>
            </w:tcBorders>
            <w:tcMar>
              <w:top w:w="100" w:type="dxa"/>
              <w:left w:w="100" w:type="dxa"/>
              <w:bottom w:w="100" w:type="dxa"/>
              <w:right w:w="100" w:type="dxa"/>
            </w:tcMar>
            <w:hideMark/>
          </w:tcPr>
          <w:p w14:paraId="070562D9" w14:textId="77777777" w:rsidR="00CD71B7" w:rsidRPr="005A54C3" w:rsidRDefault="00CD71B7" w:rsidP="003471DD">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17</w:t>
            </w:r>
          </w:p>
        </w:tc>
        <w:tc>
          <w:tcPr>
            <w:tcW w:w="836" w:type="dxa"/>
            <w:tcBorders>
              <w:bottom w:val="single" w:sz="8" w:space="0" w:color="000000"/>
            </w:tcBorders>
            <w:tcMar>
              <w:top w:w="100" w:type="dxa"/>
              <w:left w:w="100" w:type="dxa"/>
              <w:bottom w:w="100" w:type="dxa"/>
              <w:right w:w="100" w:type="dxa"/>
            </w:tcMar>
            <w:hideMark/>
          </w:tcPr>
          <w:p w14:paraId="74ADE1AA" w14:textId="77777777" w:rsidR="00CD71B7" w:rsidRPr="005A54C3" w:rsidRDefault="00CD71B7" w:rsidP="003471DD">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1.53</w:t>
            </w:r>
          </w:p>
        </w:tc>
        <w:tc>
          <w:tcPr>
            <w:tcW w:w="1716" w:type="dxa"/>
            <w:tcBorders>
              <w:bottom w:val="single" w:sz="8" w:space="0" w:color="000000"/>
            </w:tcBorders>
            <w:tcMar>
              <w:top w:w="100" w:type="dxa"/>
              <w:left w:w="100" w:type="dxa"/>
              <w:bottom w:w="100" w:type="dxa"/>
              <w:right w:w="100" w:type="dxa"/>
            </w:tcMar>
            <w:hideMark/>
          </w:tcPr>
          <w:p w14:paraId="4DB737DC" w14:textId="77777777" w:rsidR="00CD71B7" w:rsidRPr="005A54C3" w:rsidRDefault="00CD71B7" w:rsidP="003471DD">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[0.51, 4.64]</w:t>
            </w:r>
          </w:p>
        </w:tc>
        <w:tc>
          <w:tcPr>
            <w:tcW w:w="1134" w:type="dxa"/>
            <w:vMerge/>
            <w:tcBorders>
              <w:top w:val="single" w:sz="8" w:space="0" w:color="000000"/>
              <w:bottom w:val="single" w:sz="8" w:space="0" w:color="000000"/>
            </w:tcBorders>
            <w:vAlign w:val="center"/>
            <w:hideMark/>
          </w:tcPr>
          <w:p w14:paraId="08E6CB91" w14:textId="77777777" w:rsidR="00CD71B7" w:rsidRPr="005A54C3" w:rsidRDefault="00CD71B7" w:rsidP="003471DD">
            <w:pPr>
              <w:spacing w:line="240" w:lineRule="auto"/>
              <w:rPr>
                <w:rFonts w:asciiTheme="majorBidi" w:hAnsiTheme="majorBidi" w:cstheme="majorBidi"/>
              </w:rPr>
            </w:pPr>
          </w:p>
        </w:tc>
        <w:tc>
          <w:tcPr>
            <w:tcW w:w="1156" w:type="dxa"/>
            <w:tcBorders>
              <w:bottom w:val="single" w:sz="8" w:space="0" w:color="000000"/>
            </w:tcBorders>
            <w:tcMar>
              <w:top w:w="100" w:type="dxa"/>
              <w:left w:w="100" w:type="dxa"/>
              <w:bottom w:w="100" w:type="dxa"/>
              <w:right w:w="100" w:type="dxa"/>
            </w:tcMar>
            <w:hideMark/>
          </w:tcPr>
          <w:p w14:paraId="191C2895" w14:textId="77777777" w:rsidR="00CD71B7" w:rsidRPr="005A54C3" w:rsidRDefault="00CD71B7" w:rsidP="003471DD">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2.56</w:t>
            </w:r>
          </w:p>
        </w:tc>
        <w:tc>
          <w:tcPr>
            <w:tcW w:w="1418" w:type="dxa"/>
            <w:tcBorders>
              <w:bottom w:val="single" w:sz="8" w:space="0" w:color="000000"/>
            </w:tcBorders>
            <w:tcMar>
              <w:top w:w="100" w:type="dxa"/>
              <w:left w:w="100" w:type="dxa"/>
              <w:bottom w:w="100" w:type="dxa"/>
              <w:right w:w="100" w:type="dxa"/>
            </w:tcMar>
            <w:hideMark/>
          </w:tcPr>
          <w:p w14:paraId="684DAABA" w14:textId="77777777" w:rsidR="00CD71B7" w:rsidRPr="005A54C3" w:rsidRDefault="00CD71B7" w:rsidP="003471DD">
            <w:pPr>
              <w:pStyle w:val="NormalWeb"/>
              <w:spacing w:before="0" w:beforeAutospacing="0" w:after="0" w:afterAutospacing="0"/>
              <w:rPr>
                <w:rFonts w:asciiTheme="majorBidi" w:hAnsiTheme="majorBidi" w:cstheme="majorBidi"/>
              </w:rPr>
            </w:pPr>
            <w:r w:rsidRPr="005A54C3">
              <w:rPr>
                <w:rFonts w:asciiTheme="majorBidi" w:hAnsiTheme="majorBidi" w:cstheme="majorBidi"/>
                <w:color w:val="000000"/>
              </w:rPr>
              <w:t>[0.60, 8.99]</w:t>
            </w:r>
          </w:p>
        </w:tc>
        <w:tc>
          <w:tcPr>
            <w:tcW w:w="1229" w:type="dxa"/>
            <w:vMerge/>
            <w:tcBorders>
              <w:top w:val="single" w:sz="8" w:space="0" w:color="000000"/>
              <w:bottom w:val="single" w:sz="8" w:space="0" w:color="000000"/>
            </w:tcBorders>
            <w:vAlign w:val="center"/>
            <w:hideMark/>
          </w:tcPr>
          <w:p w14:paraId="069B902B" w14:textId="77777777" w:rsidR="00CD71B7" w:rsidRPr="005A54C3" w:rsidRDefault="00CD71B7" w:rsidP="003471DD">
            <w:pPr>
              <w:spacing w:line="240" w:lineRule="auto"/>
              <w:rPr>
                <w:rFonts w:asciiTheme="majorBidi" w:hAnsiTheme="majorBidi" w:cstheme="majorBidi"/>
              </w:rPr>
            </w:pPr>
          </w:p>
        </w:tc>
      </w:tr>
    </w:tbl>
    <w:p w14:paraId="428C8B07" w14:textId="77777777" w:rsidR="00CD71B7" w:rsidRPr="005A54C3" w:rsidRDefault="00CD71B7" w:rsidP="003471DD">
      <w:pPr>
        <w:pStyle w:val="NormalWeb"/>
        <w:spacing w:before="0" w:beforeAutospacing="0" w:after="160" w:afterAutospacing="0" w:line="276" w:lineRule="auto"/>
        <w:rPr>
          <w:rFonts w:asciiTheme="majorBidi" w:hAnsiTheme="majorBidi" w:cstheme="majorBidi"/>
          <w:sz w:val="22"/>
          <w:szCs w:val="22"/>
        </w:rPr>
      </w:pPr>
      <w:r w:rsidRPr="005A54C3">
        <w:rPr>
          <w:rFonts w:asciiTheme="majorBidi" w:hAnsiTheme="majorBidi" w:cstheme="majorBidi"/>
          <w:i/>
          <w:iCs/>
          <w:color w:val="000000"/>
          <w:sz w:val="22"/>
          <w:szCs w:val="22"/>
        </w:rPr>
        <w:t>Notes.</w:t>
      </w:r>
      <w:r w:rsidRPr="005A54C3">
        <w:rPr>
          <w:rFonts w:asciiTheme="majorBidi" w:hAnsiTheme="majorBidi" w:cstheme="majorBidi"/>
          <w:color w:val="000000"/>
          <w:sz w:val="22"/>
          <w:szCs w:val="22"/>
        </w:rPr>
        <w:t xml:space="preserve"> ADHD = Attention Deficit Hyperactivity Disorder; M-H = Mantel-</w:t>
      </w:r>
      <w:proofErr w:type="spellStart"/>
      <w:r w:rsidRPr="005A54C3">
        <w:rPr>
          <w:rFonts w:asciiTheme="majorBidi" w:hAnsiTheme="majorBidi" w:cstheme="majorBidi"/>
          <w:color w:val="000000"/>
          <w:sz w:val="22"/>
          <w:szCs w:val="22"/>
        </w:rPr>
        <w:t>Hanzel</w:t>
      </w:r>
      <w:proofErr w:type="spellEnd"/>
      <w:r w:rsidRPr="005A54C3">
        <w:rPr>
          <w:rFonts w:asciiTheme="majorBidi" w:hAnsiTheme="majorBidi" w:cstheme="majorBidi"/>
          <w:color w:val="000000"/>
          <w:sz w:val="22"/>
          <w:szCs w:val="22"/>
        </w:rPr>
        <w:t>; CI = Confidence Interval; LL = Lower Limit; UL = Upper Limit.</w:t>
      </w:r>
    </w:p>
    <w:p w14:paraId="24BE74D2" w14:textId="77777777" w:rsidR="00CD71B7" w:rsidRPr="005A54C3" w:rsidRDefault="00CD71B7" w:rsidP="00CD71B7">
      <w:pPr>
        <w:rPr>
          <w:rFonts w:asciiTheme="majorBidi" w:hAnsiTheme="majorBidi" w:cstheme="majorBidi"/>
        </w:rPr>
      </w:pPr>
    </w:p>
    <w:p w14:paraId="399457A2" w14:textId="77777777" w:rsidR="00532C03" w:rsidRPr="005A54C3" w:rsidRDefault="00532C03">
      <w:pPr>
        <w:rPr>
          <w:rFonts w:asciiTheme="majorBidi" w:hAnsiTheme="majorBidi" w:cstheme="majorBidi"/>
          <w:b/>
          <w:sz w:val="32"/>
          <w:szCs w:val="32"/>
        </w:rPr>
      </w:pPr>
    </w:p>
    <w:p w14:paraId="0AF2B64D" w14:textId="77777777" w:rsidR="00CD71B7" w:rsidRPr="005A54C3" w:rsidRDefault="00CD71B7">
      <w:pPr>
        <w:spacing w:after="160" w:line="259" w:lineRule="auto"/>
        <w:rPr>
          <w:rFonts w:asciiTheme="majorBidi" w:hAnsiTheme="majorBidi" w:cstheme="majorBidi"/>
          <w:b/>
          <w:i/>
        </w:rPr>
      </w:pPr>
      <w:r w:rsidRPr="005A54C3">
        <w:rPr>
          <w:rFonts w:asciiTheme="majorBidi" w:hAnsiTheme="majorBidi" w:cstheme="majorBidi"/>
          <w:b/>
          <w:i/>
        </w:rPr>
        <w:br w:type="page"/>
      </w:r>
    </w:p>
    <w:p w14:paraId="1C485049" w14:textId="77777777" w:rsidR="00532C03" w:rsidRPr="005A54C3" w:rsidRDefault="00E8712F">
      <w:pPr>
        <w:spacing w:before="240" w:after="240"/>
        <w:rPr>
          <w:rFonts w:asciiTheme="majorBidi" w:hAnsiTheme="majorBidi" w:cstheme="majorBidi"/>
          <w:b/>
          <w:color w:val="231F20"/>
          <w:sz w:val="30"/>
          <w:szCs w:val="30"/>
        </w:rPr>
      </w:pPr>
      <w:r w:rsidRPr="005A54C3">
        <w:rPr>
          <w:rFonts w:asciiTheme="majorBidi" w:hAnsiTheme="majorBidi" w:cstheme="majorBidi"/>
          <w:b/>
          <w:color w:val="231F20"/>
          <w:sz w:val="30"/>
          <w:szCs w:val="30"/>
        </w:rPr>
        <w:lastRenderedPageBreak/>
        <w:t>Appendix 1: Clinical conditions</w:t>
      </w:r>
    </w:p>
    <w:p w14:paraId="1D3CCFB9" w14:textId="77777777" w:rsidR="00532C03" w:rsidRPr="005A54C3" w:rsidRDefault="00E8712F">
      <w:pPr>
        <w:shd w:val="clear" w:color="auto" w:fill="FFFFFF"/>
        <w:spacing w:before="240" w:after="240" w:line="276" w:lineRule="auto"/>
        <w:rPr>
          <w:rFonts w:asciiTheme="majorBidi" w:hAnsiTheme="majorBidi" w:cstheme="majorBidi"/>
          <w:color w:val="231F20"/>
          <w:sz w:val="26"/>
          <w:szCs w:val="26"/>
        </w:rPr>
      </w:pPr>
      <w:r w:rsidRPr="005A54C3">
        <w:rPr>
          <w:rFonts w:asciiTheme="majorBidi" w:hAnsiTheme="majorBidi" w:cstheme="majorBidi"/>
          <w:color w:val="231F20"/>
          <w:sz w:val="26"/>
          <w:szCs w:val="26"/>
        </w:rPr>
        <w:t>People with COVID-19 have had a wide range of symptoms reported – ranging from asymptomatic to severe ill. Symptoms may appear 2-14 days after exposure to the virus. People with COVID-19 may suffer from these symptoms. Do you have (Yes/No)?:</w:t>
      </w:r>
    </w:p>
    <w:p w14:paraId="40F99F75" w14:textId="77777777" w:rsidR="00532C03" w:rsidRPr="005A54C3" w:rsidRDefault="00E8712F">
      <w:pPr>
        <w:numPr>
          <w:ilvl w:val="0"/>
          <w:numId w:val="1"/>
        </w:numPr>
        <w:shd w:val="clear" w:color="auto" w:fill="FFFFFF"/>
        <w:spacing w:before="240" w:line="276" w:lineRule="auto"/>
        <w:rPr>
          <w:rFonts w:asciiTheme="majorBidi" w:hAnsiTheme="majorBidi" w:cstheme="majorBidi"/>
          <w:color w:val="231F20"/>
          <w:sz w:val="26"/>
          <w:szCs w:val="26"/>
        </w:rPr>
      </w:pPr>
      <w:r w:rsidRPr="005A54C3">
        <w:rPr>
          <w:rFonts w:asciiTheme="majorBidi" w:hAnsiTheme="majorBidi" w:cstheme="majorBidi"/>
          <w:color w:val="231F20"/>
          <w:sz w:val="26"/>
          <w:szCs w:val="26"/>
        </w:rPr>
        <w:t>Fever&gt;38</w:t>
      </w:r>
      <w:r w:rsidRPr="005A54C3">
        <w:rPr>
          <w:rFonts w:asciiTheme="majorBidi" w:hAnsiTheme="majorBidi" w:cstheme="majorBidi"/>
          <w:sz w:val="26"/>
          <w:szCs w:val="26"/>
        </w:rPr>
        <w:t xml:space="preserve"> °C</w:t>
      </w:r>
      <w:r w:rsidRPr="005A54C3">
        <w:rPr>
          <w:rFonts w:asciiTheme="majorBidi" w:hAnsiTheme="majorBidi" w:cstheme="majorBidi"/>
          <w:color w:val="231F20"/>
          <w:sz w:val="26"/>
          <w:szCs w:val="26"/>
        </w:rPr>
        <w:t xml:space="preserve"> </w:t>
      </w:r>
    </w:p>
    <w:p w14:paraId="43672EA2" w14:textId="77777777" w:rsidR="00532C03" w:rsidRPr="005A54C3" w:rsidRDefault="00E8712F">
      <w:pPr>
        <w:numPr>
          <w:ilvl w:val="0"/>
          <w:numId w:val="1"/>
        </w:numPr>
        <w:shd w:val="clear" w:color="auto" w:fill="FFFFFF"/>
        <w:spacing w:line="276" w:lineRule="auto"/>
        <w:rPr>
          <w:rFonts w:asciiTheme="majorBidi" w:hAnsiTheme="majorBidi" w:cstheme="majorBidi"/>
          <w:color w:val="231F20"/>
          <w:sz w:val="26"/>
          <w:szCs w:val="26"/>
        </w:rPr>
      </w:pPr>
      <w:r w:rsidRPr="005A54C3">
        <w:rPr>
          <w:rFonts w:asciiTheme="majorBidi" w:hAnsiTheme="majorBidi" w:cstheme="majorBidi"/>
          <w:color w:val="231F20"/>
          <w:sz w:val="26"/>
          <w:szCs w:val="26"/>
        </w:rPr>
        <w:t>Cough</w:t>
      </w:r>
    </w:p>
    <w:p w14:paraId="6874E29A" w14:textId="77777777" w:rsidR="00532C03" w:rsidRPr="005A54C3" w:rsidRDefault="00E8712F">
      <w:pPr>
        <w:numPr>
          <w:ilvl w:val="0"/>
          <w:numId w:val="1"/>
        </w:numPr>
        <w:shd w:val="clear" w:color="auto" w:fill="FFFFFF"/>
        <w:spacing w:line="276" w:lineRule="auto"/>
        <w:rPr>
          <w:rFonts w:asciiTheme="majorBidi" w:hAnsiTheme="majorBidi" w:cstheme="majorBidi"/>
          <w:color w:val="231F20"/>
          <w:sz w:val="26"/>
          <w:szCs w:val="26"/>
        </w:rPr>
      </w:pPr>
      <w:r w:rsidRPr="005A54C3">
        <w:rPr>
          <w:rFonts w:asciiTheme="majorBidi" w:hAnsiTheme="majorBidi" w:cstheme="majorBidi"/>
          <w:color w:val="231F20"/>
          <w:sz w:val="26"/>
          <w:szCs w:val="26"/>
        </w:rPr>
        <w:t>Sore throat</w:t>
      </w:r>
    </w:p>
    <w:p w14:paraId="67262168" w14:textId="77777777" w:rsidR="00532C03" w:rsidRPr="005A54C3" w:rsidRDefault="00E8712F">
      <w:pPr>
        <w:numPr>
          <w:ilvl w:val="0"/>
          <w:numId w:val="1"/>
        </w:numPr>
        <w:shd w:val="clear" w:color="auto" w:fill="FFFFFF"/>
        <w:spacing w:line="276" w:lineRule="auto"/>
        <w:rPr>
          <w:rFonts w:asciiTheme="majorBidi" w:hAnsiTheme="majorBidi" w:cstheme="majorBidi"/>
          <w:color w:val="231F20"/>
          <w:sz w:val="26"/>
          <w:szCs w:val="26"/>
        </w:rPr>
      </w:pPr>
      <w:r w:rsidRPr="005A54C3">
        <w:rPr>
          <w:rFonts w:asciiTheme="majorBidi" w:hAnsiTheme="majorBidi" w:cstheme="majorBidi"/>
          <w:color w:val="231F20"/>
          <w:sz w:val="26"/>
          <w:szCs w:val="26"/>
        </w:rPr>
        <w:t>Shortness of breath or difficulty breathing</w:t>
      </w:r>
    </w:p>
    <w:p w14:paraId="3CDC8F76" w14:textId="77777777" w:rsidR="00532C03" w:rsidRPr="005A54C3" w:rsidRDefault="00E8712F">
      <w:pPr>
        <w:numPr>
          <w:ilvl w:val="0"/>
          <w:numId w:val="1"/>
        </w:numPr>
        <w:shd w:val="clear" w:color="auto" w:fill="FFFFFF"/>
        <w:spacing w:line="276" w:lineRule="auto"/>
        <w:rPr>
          <w:rFonts w:asciiTheme="majorBidi" w:hAnsiTheme="majorBidi" w:cstheme="majorBidi"/>
          <w:color w:val="231F20"/>
          <w:sz w:val="26"/>
          <w:szCs w:val="26"/>
        </w:rPr>
      </w:pPr>
      <w:r w:rsidRPr="005A54C3">
        <w:rPr>
          <w:rFonts w:asciiTheme="majorBidi" w:hAnsiTheme="majorBidi" w:cstheme="majorBidi"/>
          <w:color w:val="231F20"/>
          <w:sz w:val="26"/>
          <w:szCs w:val="26"/>
        </w:rPr>
        <w:t>Chills</w:t>
      </w:r>
    </w:p>
    <w:p w14:paraId="7478854B" w14:textId="77777777" w:rsidR="00532C03" w:rsidRPr="005A54C3" w:rsidRDefault="00E8712F">
      <w:pPr>
        <w:numPr>
          <w:ilvl w:val="0"/>
          <w:numId w:val="1"/>
        </w:numPr>
        <w:shd w:val="clear" w:color="auto" w:fill="FFFFFF"/>
        <w:spacing w:line="276" w:lineRule="auto"/>
        <w:rPr>
          <w:rFonts w:asciiTheme="majorBidi" w:hAnsiTheme="majorBidi" w:cstheme="majorBidi"/>
          <w:color w:val="231F20"/>
          <w:sz w:val="26"/>
          <w:szCs w:val="26"/>
        </w:rPr>
      </w:pPr>
      <w:r w:rsidRPr="005A54C3">
        <w:rPr>
          <w:rFonts w:asciiTheme="majorBidi" w:hAnsiTheme="majorBidi" w:cstheme="majorBidi"/>
          <w:color w:val="231F20"/>
          <w:sz w:val="26"/>
          <w:szCs w:val="26"/>
        </w:rPr>
        <w:t>Headache</w:t>
      </w:r>
    </w:p>
    <w:p w14:paraId="4E9E8FDF" w14:textId="77777777" w:rsidR="00532C03" w:rsidRPr="00964C04" w:rsidRDefault="00E8712F">
      <w:pPr>
        <w:numPr>
          <w:ilvl w:val="0"/>
          <w:numId w:val="1"/>
        </w:numPr>
        <w:shd w:val="clear" w:color="auto" w:fill="FFFFFF"/>
        <w:spacing w:line="276" w:lineRule="auto"/>
        <w:rPr>
          <w:rFonts w:asciiTheme="majorBidi" w:hAnsiTheme="majorBidi" w:cstheme="majorBidi"/>
          <w:color w:val="231F20"/>
          <w:sz w:val="26"/>
          <w:szCs w:val="26"/>
        </w:rPr>
      </w:pPr>
      <w:r w:rsidRPr="00964C04">
        <w:rPr>
          <w:rFonts w:asciiTheme="majorBidi" w:hAnsiTheme="majorBidi" w:cstheme="majorBidi"/>
          <w:color w:val="231F20"/>
          <w:sz w:val="26"/>
          <w:szCs w:val="26"/>
        </w:rPr>
        <w:t>Muscle or body aches</w:t>
      </w:r>
    </w:p>
    <w:p w14:paraId="34024125" w14:textId="77777777" w:rsidR="00532C03" w:rsidRPr="00964C04" w:rsidRDefault="00E8712F">
      <w:pPr>
        <w:numPr>
          <w:ilvl w:val="0"/>
          <w:numId w:val="1"/>
        </w:numPr>
        <w:shd w:val="clear" w:color="auto" w:fill="FFFFFF"/>
        <w:spacing w:line="276" w:lineRule="auto"/>
        <w:rPr>
          <w:rFonts w:asciiTheme="majorBidi" w:hAnsiTheme="majorBidi" w:cstheme="majorBidi"/>
          <w:color w:val="231F20"/>
          <w:sz w:val="26"/>
          <w:szCs w:val="26"/>
        </w:rPr>
      </w:pPr>
      <w:r w:rsidRPr="00964C04">
        <w:rPr>
          <w:rFonts w:asciiTheme="majorBidi" w:hAnsiTheme="majorBidi" w:cstheme="majorBidi"/>
          <w:color w:val="231F20"/>
          <w:sz w:val="26"/>
          <w:szCs w:val="26"/>
        </w:rPr>
        <w:t>New loss of taste or smell</w:t>
      </w:r>
    </w:p>
    <w:p w14:paraId="5589E7D4" w14:textId="77777777" w:rsidR="00532C03" w:rsidRPr="00964C04" w:rsidRDefault="00E8712F">
      <w:pPr>
        <w:numPr>
          <w:ilvl w:val="0"/>
          <w:numId w:val="1"/>
        </w:numPr>
        <w:shd w:val="clear" w:color="auto" w:fill="FFFFFF"/>
        <w:spacing w:line="276" w:lineRule="auto"/>
        <w:rPr>
          <w:rFonts w:asciiTheme="majorBidi" w:hAnsiTheme="majorBidi" w:cstheme="majorBidi"/>
          <w:color w:val="231F20"/>
          <w:sz w:val="26"/>
          <w:szCs w:val="26"/>
        </w:rPr>
      </w:pPr>
      <w:r w:rsidRPr="00964C04">
        <w:rPr>
          <w:rFonts w:asciiTheme="majorBidi" w:hAnsiTheme="majorBidi" w:cstheme="majorBidi"/>
          <w:color w:val="231F20"/>
          <w:sz w:val="26"/>
          <w:szCs w:val="26"/>
        </w:rPr>
        <w:t>Nausea or vomiting</w:t>
      </w:r>
    </w:p>
    <w:p w14:paraId="268FA37B" w14:textId="77777777" w:rsidR="00532C03" w:rsidRPr="00964C04" w:rsidRDefault="00E8712F">
      <w:pPr>
        <w:numPr>
          <w:ilvl w:val="0"/>
          <w:numId w:val="1"/>
        </w:numPr>
        <w:shd w:val="clear" w:color="auto" w:fill="FFFFFF"/>
        <w:spacing w:line="276" w:lineRule="auto"/>
        <w:rPr>
          <w:rFonts w:asciiTheme="majorBidi" w:hAnsiTheme="majorBidi" w:cstheme="majorBidi"/>
          <w:color w:val="231F20"/>
          <w:sz w:val="26"/>
          <w:szCs w:val="26"/>
        </w:rPr>
      </w:pPr>
      <w:r w:rsidRPr="00964C04">
        <w:rPr>
          <w:rFonts w:asciiTheme="majorBidi" w:hAnsiTheme="majorBidi" w:cstheme="majorBidi"/>
          <w:color w:val="231F20"/>
          <w:sz w:val="26"/>
          <w:szCs w:val="26"/>
        </w:rPr>
        <w:t>Abdominal Pain</w:t>
      </w:r>
    </w:p>
    <w:p w14:paraId="6F7F7C00" w14:textId="77777777" w:rsidR="00532C03" w:rsidRPr="00964C04" w:rsidRDefault="00E8712F">
      <w:pPr>
        <w:numPr>
          <w:ilvl w:val="0"/>
          <w:numId w:val="1"/>
        </w:numPr>
        <w:shd w:val="clear" w:color="auto" w:fill="FFFFFF"/>
        <w:spacing w:after="240" w:line="276" w:lineRule="auto"/>
        <w:rPr>
          <w:rFonts w:asciiTheme="majorBidi" w:hAnsiTheme="majorBidi" w:cstheme="majorBidi"/>
          <w:color w:val="231F20"/>
          <w:sz w:val="26"/>
          <w:szCs w:val="26"/>
        </w:rPr>
      </w:pPr>
      <w:r w:rsidRPr="00964C04">
        <w:rPr>
          <w:rFonts w:asciiTheme="majorBidi" w:hAnsiTheme="majorBidi" w:cstheme="majorBidi"/>
          <w:color w:val="231F20"/>
          <w:sz w:val="26"/>
          <w:szCs w:val="26"/>
        </w:rPr>
        <w:t>Diarrhea</w:t>
      </w:r>
    </w:p>
    <w:p w14:paraId="08C4EF6F" w14:textId="77777777" w:rsidR="00532C03" w:rsidRPr="00964C04" w:rsidRDefault="00E8712F">
      <w:pPr>
        <w:shd w:val="clear" w:color="auto" w:fill="FFFFFF"/>
        <w:spacing w:before="240" w:after="240" w:line="276" w:lineRule="auto"/>
        <w:rPr>
          <w:rFonts w:asciiTheme="majorBidi" w:hAnsiTheme="majorBidi" w:cstheme="majorBidi"/>
          <w:color w:val="231F20"/>
          <w:sz w:val="26"/>
          <w:szCs w:val="26"/>
        </w:rPr>
      </w:pPr>
      <w:r w:rsidRPr="00964C04">
        <w:rPr>
          <w:rFonts w:asciiTheme="majorBidi" w:hAnsiTheme="majorBidi" w:cstheme="majorBidi"/>
          <w:color w:val="231F20"/>
          <w:sz w:val="26"/>
          <w:szCs w:val="26"/>
        </w:rPr>
        <w:t>This list does not include all possible symptoms. CDC will continue to update this list as we learn more about COVID-19.</w:t>
      </w:r>
    </w:p>
    <w:p w14:paraId="06222A4D" w14:textId="77777777" w:rsidR="00532C03" w:rsidRPr="00964C04" w:rsidRDefault="00E8712F">
      <w:pPr>
        <w:shd w:val="clear" w:color="auto" w:fill="FFFFFF"/>
        <w:spacing w:before="240" w:after="240" w:line="276" w:lineRule="auto"/>
        <w:rPr>
          <w:rFonts w:asciiTheme="majorBidi" w:hAnsiTheme="majorBidi" w:cstheme="majorBidi"/>
          <w:b/>
          <w:color w:val="231F20"/>
          <w:sz w:val="26"/>
          <w:szCs w:val="26"/>
        </w:rPr>
      </w:pPr>
      <w:r w:rsidRPr="00964C04">
        <w:rPr>
          <w:rFonts w:asciiTheme="majorBidi" w:hAnsiTheme="majorBidi" w:cstheme="majorBidi"/>
          <w:b/>
          <w:color w:val="231F20"/>
          <w:sz w:val="26"/>
          <w:szCs w:val="26"/>
        </w:rPr>
        <w:t>Underlying medical conditions needed special attention (yes/No):</w:t>
      </w:r>
    </w:p>
    <w:p w14:paraId="67BD8F8E" w14:textId="77777777" w:rsidR="00532C03" w:rsidRPr="005A54C3" w:rsidRDefault="00E8712F">
      <w:pPr>
        <w:shd w:val="clear" w:color="auto" w:fill="FFFFFF"/>
        <w:spacing w:before="240" w:after="240" w:line="276" w:lineRule="auto"/>
        <w:rPr>
          <w:rFonts w:asciiTheme="majorBidi" w:hAnsiTheme="majorBidi" w:cstheme="majorBidi"/>
          <w:color w:val="231F20"/>
          <w:sz w:val="26"/>
          <w:szCs w:val="26"/>
          <w:lang w:val="fr-FR"/>
        </w:rPr>
      </w:pPr>
      <w:proofErr w:type="spellStart"/>
      <w:r w:rsidRPr="005A54C3">
        <w:rPr>
          <w:rFonts w:asciiTheme="majorBidi" w:hAnsiTheme="majorBidi" w:cstheme="majorBidi"/>
          <w:color w:val="231F20"/>
          <w:sz w:val="26"/>
          <w:szCs w:val="26"/>
          <w:lang w:val="fr-FR"/>
        </w:rPr>
        <w:t>Cardiovascular</w:t>
      </w:r>
      <w:proofErr w:type="spellEnd"/>
      <w:r w:rsidRPr="005A54C3">
        <w:rPr>
          <w:rFonts w:asciiTheme="majorBidi" w:hAnsiTheme="majorBidi" w:cstheme="majorBidi"/>
          <w:color w:val="231F20"/>
          <w:sz w:val="26"/>
          <w:szCs w:val="26"/>
          <w:lang w:val="fr-FR"/>
        </w:rPr>
        <w:t xml:space="preserve"> </w:t>
      </w:r>
      <w:proofErr w:type="spellStart"/>
      <w:r w:rsidRPr="005A54C3">
        <w:rPr>
          <w:rFonts w:asciiTheme="majorBidi" w:hAnsiTheme="majorBidi" w:cstheme="majorBidi"/>
          <w:color w:val="231F20"/>
          <w:sz w:val="26"/>
          <w:szCs w:val="26"/>
          <w:lang w:val="fr-FR"/>
        </w:rPr>
        <w:t>Disease</w:t>
      </w:r>
      <w:proofErr w:type="spellEnd"/>
    </w:p>
    <w:p w14:paraId="6E3934A4" w14:textId="77777777" w:rsidR="00532C03" w:rsidRPr="005A54C3" w:rsidRDefault="00E8712F">
      <w:pPr>
        <w:shd w:val="clear" w:color="auto" w:fill="FFFFFF"/>
        <w:spacing w:before="240" w:after="240" w:line="276" w:lineRule="auto"/>
        <w:rPr>
          <w:rFonts w:asciiTheme="majorBidi" w:hAnsiTheme="majorBidi" w:cstheme="majorBidi"/>
          <w:color w:val="231F20"/>
          <w:sz w:val="26"/>
          <w:szCs w:val="26"/>
          <w:lang w:val="fr-FR"/>
        </w:rPr>
      </w:pPr>
      <w:proofErr w:type="spellStart"/>
      <w:r w:rsidRPr="005A54C3">
        <w:rPr>
          <w:rFonts w:asciiTheme="majorBidi" w:hAnsiTheme="majorBidi" w:cstheme="majorBidi"/>
          <w:color w:val="231F20"/>
          <w:sz w:val="26"/>
          <w:szCs w:val="26"/>
          <w:lang w:val="fr-FR"/>
        </w:rPr>
        <w:t>Diabetes</w:t>
      </w:r>
      <w:proofErr w:type="spellEnd"/>
      <w:r w:rsidRPr="005A54C3">
        <w:rPr>
          <w:rFonts w:asciiTheme="majorBidi" w:hAnsiTheme="majorBidi" w:cstheme="majorBidi"/>
          <w:color w:val="231F20"/>
          <w:sz w:val="26"/>
          <w:szCs w:val="26"/>
          <w:lang w:val="fr-FR"/>
        </w:rPr>
        <w:t xml:space="preserve"> </w:t>
      </w:r>
      <w:proofErr w:type="spellStart"/>
      <w:r w:rsidRPr="005A54C3">
        <w:rPr>
          <w:rFonts w:asciiTheme="majorBidi" w:hAnsiTheme="majorBidi" w:cstheme="majorBidi"/>
          <w:color w:val="231F20"/>
          <w:sz w:val="26"/>
          <w:szCs w:val="26"/>
          <w:lang w:val="fr-FR"/>
        </w:rPr>
        <w:t>Mellitus</w:t>
      </w:r>
      <w:proofErr w:type="spellEnd"/>
    </w:p>
    <w:p w14:paraId="23A573A9" w14:textId="77777777" w:rsidR="00532C03" w:rsidRPr="005A54C3" w:rsidRDefault="00E8712F">
      <w:pPr>
        <w:spacing w:before="240" w:after="240"/>
        <w:rPr>
          <w:rFonts w:asciiTheme="majorBidi" w:hAnsiTheme="majorBidi" w:cstheme="majorBidi"/>
          <w:color w:val="212121"/>
          <w:sz w:val="26"/>
          <w:szCs w:val="26"/>
          <w:lang w:val="fr-FR"/>
        </w:rPr>
      </w:pPr>
      <w:r w:rsidRPr="005A54C3">
        <w:rPr>
          <w:rFonts w:asciiTheme="majorBidi" w:hAnsiTheme="majorBidi" w:cstheme="majorBidi"/>
          <w:color w:val="212121"/>
          <w:sz w:val="26"/>
          <w:szCs w:val="26"/>
          <w:lang w:val="fr-FR"/>
        </w:rPr>
        <w:t>Hypertension</w:t>
      </w:r>
    </w:p>
    <w:p w14:paraId="1D52EC72" w14:textId="77777777" w:rsidR="00532C03" w:rsidRPr="005A54C3" w:rsidRDefault="00E8712F">
      <w:pPr>
        <w:spacing w:before="240" w:after="240"/>
        <w:rPr>
          <w:rFonts w:asciiTheme="majorBidi" w:hAnsiTheme="majorBidi" w:cstheme="majorBidi"/>
          <w:color w:val="231F20"/>
          <w:sz w:val="26"/>
          <w:szCs w:val="26"/>
          <w:lang w:val="fr-FR"/>
        </w:rPr>
      </w:pPr>
      <w:proofErr w:type="spellStart"/>
      <w:r w:rsidRPr="005A54C3">
        <w:rPr>
          <w:rFonts w:asciiTheme="majorBidi" w:hAnsiTheme="majorBidi" w:cstheme="majorBidi"/>
          <w:color w:val="231F20"/>
          <w:sz w:val="26"/>
          <w:szCs w:val="26"/>
          <w:lang w:val="fr-FR"/>
        </w:rPr>
        <w:t>Pregnancy</w:t>
      </w:r>
      <w:proofErr w:type="spellEnd"/>
      <w:r w:rsidRPr="005A54C3">
        <w:rPr>
          <w:rFonts w:asciiTheme="majorBidi" w:hAnsiTheme="majorBidi" w:cstheme="majorBidi"/>
          <w:color w:val="231F20"/>
          <w:sz w:val="26"/>
          <w:szCs w:val="26"/>
          <w:lang w:val="fr-FR"/>
        </w:rPr>
        <w:t>,</w:t>
      </w:r>
    </w:p>
    <w:p w14:paraId="114580EC" w14:textId="77777777" w:rsidR="00532C03" w:rsidRPr="00964C04" w:rsidRDefault="00E8712F">
      <w:pPr>
        <w:spacing w:before="240" w:after="240"/>
        <w:rPr>
          <w:rFonts w:asciiTheme="majorBidi" w:hAnsiTheme="majorBidi" w:cstheme="majorBidi"/>
          <w:color w:val="231F20"/>
          <w:sz w:val="26"/>
          <w:szCs w:val="26"/>
        </w:rPr>
      </w:pPr>
      <w:r w:rsidRPr="00964C04">
        <w:rPr>
          <w:rFonts w:asciiTheme="majorBidi" w:hAnsiTheme="majorBidi" w:cstheme="majorBidi"/>
          <w:color w:val="231F20"/>
          <w:sz w:val="26"/>
          <w:szCs w:val="26"/>
        </w:rPr>
        <w:t>Depression of immune system</w:t>
      </w:r>
    </w:p>
    <w:p w14:paraId="326F975B" w14:textId="77777777" w:rsidR="00532C03" w:rsidRPr="00964C04" w:rsidRDefault="00E8712F">
      <w:pPr>
        <w:spacing w:before="240" w:after="240"/>
        <w:rPr>
          <w:rFonts w:asciiTheme="majorBidi" w:hAnsiTheme="majorBidi" w:cstheme="majorBidi"/>
          <w:color w:val="231F20"/>
          <w:sz w:val="26"/>
          <w:szCs w:val="26"/>
        </w:rPr>
      </w:pPr>
      <w:r w:rsidRPr="00964C04">
        <w:rPr>
          <w:rFonts w:asciiTheme="majorBidi" w:hAnsiTheme="majorBidi" w:cstheme="majorBidi"/>
          <w:color w:val="231F20"/>
          <w:sz w:val="26"/>
          <w:szCs w:val="26"/>
        </w:rPr>
        <w:t xml:space="preserve">Choric lung diseases (COPD, Asthma) </w:t>
      </w:r>
    </w:p>
    <w:p w14:paraId="7E0E4BAE" w14:textId="77777777" w:rsidR="00532C03" w:rsidRPr="00964C04" w:rsidRDefault="00E8712F">
      <w:pPr>
        <w:spacing w:before="240" w:after="240"/>
        <w:rPr>
          <w:rFonts w:asciiTheme="majorBidi" w:hAnsiTheme="majorBidi" w:cstheme="majorBidi"/>
          <w:color w:val="231F20"/>
          <w:sz w:val="26"/>
          <w:szCs w:val="26"/>
        </w:rPr>
      </w:pPr>
      <w:r w:rsidRPr="00964C04">
        <w:rPr>
          <w:rFonts w:asciiTheme="majorBidi" w:hAnsiTheme="majorBidi" w:cstheme="majorBidi"/>
          <w:color w:val="231F20"/>
          <w:sz w:val="26"/>
          <w:szCs w:val="26"/>
        </w:rPr>
        <w:t>Choric lever disease:</w:t>
      </w:r>
    </w:p>
    <w:p w14:paraId="057A5950" w14:textId="77777777" w:rsidR="00532C03" w:rsidRPr="00964C04" w:rsidRDefault="00E8712F">
      <w:pPr>
        <w:spacing w:before="240" w:after="240"/>
        <w:rPr>
          <w:rFonts w:asciiTheme="majorBidi" w:hAnsiTheme="majorBidi" w:cstheme="majorBidi"/>
          <w:color w:val="231F20"/>
          <w:sz w:val="26"/>
          <w:szCs w:val="26"/>
        </w:rPr>
      </w:pPr>
      <w:r w:rsidRPr="00964C04">
        <w:rPr>
          <w:rFonts w:asciiTheme="majorBidi" w:hAnsiTheme="majorBidi" w:cstheme="majorBidi"/>
          <w:color w:val="231F20"/>
          <w:sz w:val="26"/>
          <w:szCs w:val="26"/>
        </w:rPr>
        <w:t>Other chronic disorders (specify) __________________________________________</w:t>
      </w:r>
    </w:p>
    <w:sectPr w:rsidR="00532C03" w:rsidRPr="00964C04">
      <w:headerReference w:type="default" r:id="rId4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97C6" w14:textId="77777777" w:rsidR="0028315B" w:rsidRDefault="0028315B">
      <w:pPr>
        <w:spacing w:line="240" w:lineRule="auto"/>
      </w:pPr>
      <w:r>
        <w:separator/>
      </w:r>
    </w:p>
    <w:p w14:paraId="53385348" w14:textId="77777777" w:rsidR="0028315B" w:rsidRDefault="0028315B"/>
  </w:endnote>
  <w:endnote w:type="continuationSeparator" w:id="0">
    <w:p w14:paraId="4F02843B" w14:textId="77777777" w:rsidR="0028315B" w:rsidRDefault="0028315B">
      <w:pPr>
        <w:spacing w:line="240" w:lineRule="auto"/>
      </w:pPr>
      <w:r>
        <w:continuationSeparator/>
      </w:r>
    </w:p>
    <w:p w14:paraId="2E97A2F4" w14:textId="77777777" w:rsidR="0028315B" w:rsidRDefault="002831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C5B52" w14:textId="77777777" w:rsidR="0028315B" w:rsidRDefault="0028315B">
      <w:pPr>
        <w:spacing w:line="240" w:lineRule="auto"/>
      </w:pPr>
      <w:r>
        <w:separator/>
      </w:r>
    </w:p>
    <w:p w14:paraId="7C182BCE" w14:textId="77777777" w:rsidR="0028315B" w:rsidRDefault="0028315B"/>
  </w:footnote>
  <w:footnote w:type="continuationSeparator" w:id="0">
    <w:p w14:paraId="5A4C864F" w14:textId="77777777" w:rsidR="0028315B" w:rsidRDefault="0028315B">
      <w:pPr>
        <w:spacing w:line="240" w:lineRule="auto"/>
      </w:pPr>
      <w:r>
        <w:continuationSeparator/>
      </w:r>
    </w:p>
    <w:p w14:paraId="44C95E2A" w14:textId="77777777" w:rsidR="0028315B" w:rsidRDefault="002831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AAC4" w14:textId="77777777" w:rsidR="00A43A67" w:rsidRDefault="00A43A67">
    <w:pPr>
      <w:spacing w:line="240" w:lineRule="auto"/>
      <w:rPr>
        <w:color w:val="999999"/>
      </w:rPr>
    </w:pPr>
    <w:r>
      <w:rPr>
        <w:color w:val="999999"/>
      </w:rPr>
      <w:t xml:space="preserve"> IS ADHD ASSOCIATED WITH COVID-19 SEVERITY?</w:t>
    </w:r>
    <w:r>
      <w:rPr>
        <w:color w:val="999999"/>
      </w:rPr>
      <w:tab/>
    </w:r>
    <w:r>
      <w:rPr>
        <w:color w:val="999999"/>
      </w:rPr>
      <w:tab/>
    </w:r>
    <w:r>
      <w:rPr>
        <w:color w:val="999999"/>
      </w:rPr>
      <w:tab/>
    </w:r>
    <w:r>
      <w:rPr>
        <w:color w:val="999999"/>
      </w:rPr>
      <w:tab/>
      <w:t xml:space="preserve">             </w:t>
    </w:r>
    <w:r>
      <w:rPr>
        <w:color w:val="999999"/>
      </w:rPr>
      <w:fldChar w:fldCharType="begin"/>
    </w:r>
    <w:r>
      <w:rPr>
        <w:color w:val="999999"/>
      </w:rPr>
      <w:instrText>PAGE</w:instrText>
    </w:r>
    <w:r>
      <w:rPr>
        <w:color w:val="999999"/>
      </w:rPr>
      <w:fldChar w:fldCharType="separate"/>
    </w:r>
    <w:r>
      <w:rPr>
        <w:noProof/>
        <w:color w:val="999999"/>
      </w:rPr>
      <w:t>20</w:t>
    </w:r>
    <w:r>
      <w:rPr>
        <w:color w:val="999999"/>
      </w:rPr>
      <w:fldChar w:fldCharType="end"/>
    </w:r>
  </w:p>
  <w:p w14:paraId="4A81E29D" w14:textId="77777777" w:rsidR="00A43A67" w:rsidRDefault="00A43A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B00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BEF0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648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9820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C42E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ECF7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185F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224D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46E0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C450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F60CC"/>
    <w:multiLevelType w:val="multilevel"/>
    <w:tmpl w:val="89A05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03"/>
    <w:rsid w:val="000264A6"/>
    <w:rsid w:val="000411D8"/>
    <w:rsid w:val="0005334C"/>
    <w:rsid w:val="000825A2"/>
    <w:rsid w:val="000B683B"/>
    <w:rsid w:val="000D46B5"/>
    <w:rsid w:val="000E2D18"/>
    <w:rsid w:val="000E4050"/>
    <w:rsid w:val="000F39C6"/>
    <w:rsid w:val="00141FD8"/>
    <w:rsid w:val="0015352D"/>
    <w:rsid w:val="00154F8A"/>
    <w:rsid w:val="00184E21"/>
    <w:rsid w:val="001D5F6D"/>
    <w:rsid w:val="00200FB7"/>
    <w:rsid w:val="00216A87"/>
    <w:rsid w:val="002205F1"/>
    <w:rsid w:val="0022111F"/>
    <w:rsid w:val="00222C88"/>
    <w:rsid w:val="0028315B"/>
    <w:rsid w:val="002E1B53"/>
    <w:rsid w:val="002F3161"/>
    <w:rsid w:val="003471DD"/>
    <w:rsid w:val="0038771B"/>
    <w:rsid w:val="003C1095"/>
    <w:rsid w:val="003D386C"/>
    <w:rsid w:val="003D5F28"/>
    <w:rsid w:val="00403F14"/>
    <w:rsid w:val="00415482"/>
    <w:rsid w:val="0042297E"/>
    <w:rsid w:val="0048225E"/>
    <w:rsid w:val="0048613D"/>
    <w:rsid w:val="004A41F1"/>
    <w:rsid w:val="004B49CE"/>
    <w:rsid w:val="004E12F3"/>
    <w:rsid w:val="00532C03"/>
    <w:rsid w:val="005A54C3"/>
    <w:rsid w:val="005A64E1"/>
    <w:rsid w:val="005B6C9B"/>
    <w:rsid w:val="005C6450"/>
    <w:rsid w:val="005D05A0"/>
    <w:rsid w:val="005D3F24"/>
    <w:rsid w:val="005D5056"/>
    <w:rsid w:val="005E7B3D"/>
    <w:rsid w:val="005F50BD"/>
    <w:rsid w:val="00601779"/>
    <w:rsid w:val="006239B3"/>
    <w:rsid w:val="006411A7"/>
    <w:rsid w:val="00646DDA"/>
    <w:rsid w:val="00683CC4"/>
    <w:rsid w:val="006A3A87"/>
    <w:rsid w:val="006A6CA9"/>
    <w:rsid w:val="006C79EC"/>
    <w:rsid w:val="006D38CE"/>
    <w:rsid w:val="007241D9"/>
    <w:rsid w:val="00756B8A"/>
    <w:rsid w:val="007574DF"/>
    <w:rsid w:val="007F0807"/>
    <w:rsid w:val="007F3B79"/>
    <w:rsid w:val="007F7880"/>
    <w:rsid w:val="00802AB8"/>
    <w:rsid w:val="008057EB"/>
    <w:rsid w:val="00821BEE"/>
    <w:rsid w:val="00837560"/>
    <w:rsid w:val="0087783C"/>
    <w:rsid w:val="008E14E9"/>
    <w:rsid w:val="00964C04"/>
    <w:rsid w:val="0098573E"/>
    <w:rsid w:val="009A68B9"/>
    <w:rsid w:val="009C3A1D"/>
    <w:rsid w:val="009C5740"/>
    <w:rsid w:val="00A25780"/>
    <w:rsid w:val="00A43A67"/>
    <w:rsid w:val="00A52638"/>
    <w:rsid w:val="00AB6B6A"/>
    <w:rsid w:val="00AE4E22"/>
    <w:rsid w:val="00B251FE"/>
    <w:rsid w:val="00B32BE4"/>
    <w:rsid w:val="00B33975"/>
    <w:rsid w:val="00B34D8E"/>
    <w:rsid w:val="00B6553B"/>
    <w:rsid w:val="00BD3290"/>
    <w:rsid w:val="00BD54B7"/>
    <w:rsid w:val="00BE6641"/>
    <w:rsid w:val="00BF5FE1"/>
    <w:rsid w:val="00C02BED"/>
    <w:rsid w:val="00C312FD"/>
    <w:rsid w:val="00C60476"/>
    <w:rsid w:val="00C934F2"/>
    <w:rsid w:val="00CD71B7"/>
    <w:rsid w:val="00CE5627"/>
    <w:rsid w:val="00D17B84"/>
    <w:rsid w:val="00D432DC"/>
    <w:rsid w:val="00D46F93"/>
    <w:rsid w:val="00D8068D"/>
    <w:rsid w:val="00D844A2"/>
    <w:rsid w:val="00DD5EE1"/>
    <w:rsid w:val="00E01D0C"/>
    <w:rsid w:val="00E05030"/>
    <w:rsid w:val="00E37C8E"/>
    <w:rsid w:val="00E46C01"/>
    <w:rsid w:val="00E635D0"/>
    <w:rsid w:val="00E8712F"/>
    <w:rsid w:val="00E9244C"/>
    <w:rsid w:val="00EB33E3"/>
    <w:rsid w:val="00EB5E19"/>
    <w:rsid w:val="00EC4D53"/>
    <w:rsid w:val="00ED6A98"/>
    <w:rsid w:val="00EE23DB"/>
    <w:rsid w:val="00EF3941"/>
    <w:rsid w:val="00F20268"/>
    <w:rsid w:val="00FB36F0"/>
    <w:rsid w:val="00FD2507"/>
    <w:rsid w:val="00FD29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E0EE79"/>
  <w15:docId w15:val="{B5CF955A-0366-4504-8078-E69E8022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53B"/>
    <w:pPr>
      <w:spacing w:after="0" w:line="480" w:lineRule="auto"/>
    </w:pPr>
  </w:style>
  <w:style w:type="paragraph" w:styleId="Heading1">
    <w:name w:val="heading 1"/>
    <w:basedOn w:val="Normal"/>
    <w:next w:val="Normal"/>
    <w:uiPriority w:val="9"/>
    <w:qFormat/>
    <w:pPr>
      <w:keepNext/>
      <w:keepLines/>
      <w:spacing w:after="200"/>
      <w:jc w:val="center"/>
      <w:outlineLvl w:val="0"/>
    </w:pPr>
    <w:rPr>
      <w:b/>
      <w:sz w:val="28"/>
      <w:szCs w:val="28"/>
    </w:rPr>
  </w:style>
  <w:style w:type="paragraph" w:styleId="Heading2">
    <w:name w:val="heading 2"/>
    <w:basedOn w:val="Normal"/>
    <w:next w:val="Normal"/>
    <w:uiPriority w:val="9"/>
    <w:unhideWhenUsed/>
    <w:qFormat/>
    <w:pPr>
      <w:keepNext/>
      <w:keepLines/>
      <w:spacing w:before="120" w:after="120"/>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E7563"/>
    <w:pPr>
      <w:spacing w:line="240" w:lineRule="auto"/>
    </w:pPr>
    <w:rPr>
      <w:sz w:val="18"/>
      <w:szCs w:val="18"/>
    </w:rPr>
  </w:style>
  <w:style w:type="character" w:customStyle="1" w:styleId="BalloonTextChar">
    <w:name w:val="Balloon Text Char"/>
    <w:basedOn w:val="DefaultParagraphFont"/>
    <w:link w:val="BalloonText"/>
    <w:uiPriority w:val="99"/>
    <w:semiHidden/>
    <w:rsid w:val="007E7563"/>
    <w:rPr>
      <w:sz w:val="18"/>
      <w:szCs w:val="18"/>
    </w:rPr>
  </w:style>
  <w:style w:type="character" w:styleId="CommentReference">
    <w:name w:val="annotation reference"/>
    <w:basedOn w:val="DefaultParagraphFont"/>
    <w:uiPriority w:val="99"/>
    <w:semiHidden/>
    <w:unhideWhenUsed/>
    <w:rsid w:val="007E7563"/>
    <w:rPr>
      <w:sz w:val="16"/>
      <w:szCs w:val="16"/>
    </w:rPr>
  </w:style>
  <w:style w:type="paragraph" w:styleId="CommentText">
    <w:name w:val="annotation text"/>
    <w:basedOn w:val="Normal"/>
    <w:link w:val="CommentTextChar"/>
    <w:uiPriority w:val="99"/>
    <w:unhideWhenUsed/>
    <w:rsid w:val="007E7563"/>
    <w:pPr>
      <w:spacing w:line="240" w:lineRule="auto"/>
    </w:pPr>
    <w:rPr>
      <w:sz w:val="20"/>
      <w:szCs w:val="20"/>
    </w:rPr>
  </w:style>
  <w:style w:type="character" w:customStyle="1" w:styleId="CommentTextChar">
    <w:name w:val="Comment Text Char"/>
    <w:basedOn w:val="DefaultParagraphFont"/>
    <w:link w:val="CommentText"/>
    <w:uiPriority w:val="99"/>
    <w:rsid w:val="007E7563"/>
    <w:rPr>
      <w:sz w:val="20"/>
      <w:szCs w:val="20"/>
    </w:rPr>
  </w:style>
  <w:style w:type="paragraph" w:styleId="CommentSubject">
    <w:name w:val="annotation subject"/>
    <w:basedOn w:val="CommentText"/>
    <w:next w:val="CommentText"/>
    <w:link w:val="CommentSubjectChar"/>
    <w:uiPriority w:val="99"/>
    <w:semiHidden/>
    <w:unhideWhenUsed/>
    <w:rsid w:val="007E7563"/>
    <w:rPr>
      <w:b/>
      <w:bCs/>
    </w:rPr>
  </w:style>
  <w:style w:type="character" w:customStyle="1" w:styleId="CommentSubjectChar">
    <w:name w:val="Comment Subject Char"/>
    <w:basedOn w:val="CommentTextChar"/>
    <w:link w:val="CommentSubject"/>
    <w:uiPriority w:val="99"/>
    <w:semiHidden/>
    <w:rsid w:val="007E7563"/>
    <w:rPr>
      <w:b/>
      <w:bCs/>
      <w:sz w:val="20"/>
      <w:szCs w:val="20"/>
    </w:rPr>
  </w:style>
  <w:style w:type="character" w:styleId="Hyperlink">
    <w:name w:val="Hyperlink"/>
    <w:basedOn w:val="DefaultParagraphFont"/>
    <w:uiPriority w:val="99"/>
    <w:unhideWhenUsed/>
    <w:rsid w:val="00B470B9"/>
    <w:rPr>
      <w:color w:val="0000FF" w:themeColor="hyperlink"/>
      <w:u w:val="single"/>
    </w:rPr>
  </w:style>
  <w:style w:type="character" w:customStyle="1" w:styleId="UnresolvedMention1">
    <w:name w:val="Unresolved Mention1"/>
    <w:basedOn w:val="DefaultParagraphFont"/>
    <w:uiPriority w:val="99"/>
    <w:semiHidden/>
    <w:unhideWhenUsed/>
    <w:rsid w:val="00B470B9"/>
    <w:rPr>
      <w:color w:val="605E5C"/>
      <w:shd w:val="clear" w:color="auto" w:fill="E1DFDD"/>
    </w:rPr>
  </w:style>
  <w:style w:type="paragraph" w:styleId="Revision">
    <w:name w:val="Revision"/>
    <w:hidden/>
    <w:uiPriority w:val="99"/>
    <w:semiHidden/>
    <w:rsid w:val="00B01BD9"/>
    <w:pPr>
      <w:spacing w:after="0" w:line="240" w:lineRule="auto"/>
    </w:pPr>
  </w:style>
  <w:style w:type="paragraph" w:styleId="ListParagraph">
    <w:name w:val="List Paragraph"/>
    <w:basedOn w:val="Normal"/>
    <w:uiPriority w:val="34"/>
    <w:qFormat/>
    <w:rsid w:val="00C1745E"/>
    <w:pPr>
      <w:ind w:left="720"/>
      <w:contextualSpacing/>
    </w:pPr>
  </w:style>
  <w:style w:type="paragraph" w:styleId="NormalWeb">
    <w:name w:val="Normal (Web)"/>
    <w:basedOn w:val="Normal"/>
    <w:uiPriority w:val="99"/>
    <w:unhideWhenUsed/>
    <w:rsid w:val="00070360"/>
    <w:pPr>
      <w:spacing w:before="100" w:beforeAutospacing="1" w:after="100" w:afterAutospacing="1" w:line="240" w:lineRule="auto"/>
    </w:pPr>
  </w:style>
  <w:style w:type="table" w:styleId="TableGrid">
    <w:name w:val="Table Grid"/>
    <w:basedOn w:val="TableNormal"/>
    <w:uiPriority w:val="39"/>
    <w:rsid w:val="00BE6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5">
    <w:name w:val="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4">
    <w:name w:val="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3">
    <w:name w:val="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2">
    <w:name w:val="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numbering" w:customStyle="1" w:styleId="WWNum3">
    <w:name w:val="WWNum3"/>
    <w:basedOn w:val="NoList"/>
    <w:rsid w:val="00420056"/>
  </w:style>
  <w:style w:type="character" w:customStyle="1" w:styleId="UnresolvedMention2">
    <w:name w:val="Unresolved Mention2"/>
    <w:basedOn w:val="DefaultParagraphFont"/>
    <w:uiPriority w:val="99"/>
    <w:semiHidden/>
    <w:unhideWhenUsed/>
    <w:rsid w:val="001A54E4"/>
    <w:rPr>
      <w:color w:val="605E5C"/>
      <w:shd w:val="clear" w:color="auto" w:fill="E1DFDD"/>
    </w:rPr>
  </w:style>
  <w:style w:type="character" w:styleId="FollowedHyperlink">
    <w:name w:val="FollowedHyperlink"/>
    <w:basedOn w:val="DefaultParagraphFont"/>
    <w:uiPriority w:val="99"/>
    <w:semiHidden/>
    <w:unhideWhenUsed/>
    <w:rsid w:val="00C04856"/>
    <w:rPr>
      <w:color w:val="800080" w:themeColor="followedHyperlink"/>
      <w:u w:val="single"/>
    </w:rPr>
  </w:style>
  <w:style w:type="character" w:customStyle="1" w:styleId="period">
    <w:name w:val="period"/>
    <w:basedOn w:val="DefaultParagraphFont"/>
    <w:rsid w:val="0070310D"/>
  </w:style>
  <w:style w:type="character" w:customStyle="1" w:styleId="cit">
    <w:name w:val="cit"/>
    <w:basedOn w:val="DefaultParagraphFont"/>
    <w:rsid w:val="0070310D"/>
  </w:style>
  <w:style w:type="character" w:customStyle="1" w:styleId="citation-doi">
    <w:name w:val="citation-doi"/>
    <w:basedOn w:val="DefaultParagraphFont"/>
    <w:rsid w:val="0070310D"/>
  </w:style>
  <w:style w:type="character" w:customStyle="1" w:styleId="ahead-of-print">
    <w:name w:val="ahead-of-print"/>
    <w:basedOn w:val="DefaultParagraphFont"/>
    <w:rsid w:val="0070310D"/>
  </w:style>
  <w:style w:type="character" w:customStyle="1" w:styleId="authors-list-item">
    <w:name w:val="authors-list-item"/>
    <w:basedOn w:val="DefaultParagraphFont"/>
    <w:rsid w:val="0070310D"/>
  </w:style>
  <w:style w:type="character" w:customStyle="1" w:styleId="author-sup-separator">
    <w:name w:val="author-sup-separator"/>
    <w:basedOn w:val="DefaultParagraphFont"/>
    <w:rsid w:val="0070310D"/>
  </w:style>
  <w:style w:type="character" w:customStyle="1" w:styleId="comma">
    <w:name w:val="comma"/>
    <w:basedOn w:val="DefaultParagraphFont"/>
    <w:rsid w:val="0070310D"/>
  </w:style>
  <w:style w:type="character" w:customStyle="1" w:styleId="identifier">
    <w:name w:val="identifier"/>
    <w:basedOn w:val="DefaultParagraphFont"/>
    <w:rsid w:val="0070310D"/>
  </w:style>
  <w:style w:type="character" w:customStyle="1" w:styleId="id-label">
    <w:name w:val="id-label"/>
    <w:basedOn w:val="DefaultParagraphFont"/>
    <w:rsid w:val="0070310D"/>
  </w:style>
  <w:style w:type="character" w:styleId="Strong">
    <w:name w:val="Strong"/>
    <w:basedOn w:val="DefaultParagraphFont"/>
    <w:uiPriority w:val="22"/>
    <w:qFormat/>
    <w:rsid w:val="0070310D"/>
    <w:rPr>
      <w:b/>
      <w:bCs/>
    </w:rPr>
  </w:style>
  <w:style w:type="character" w:customStyle="1" w:styleId="free-label">
    <w:name w:val="free-label"/>
    <w:basedOn w:val="DefaultParagraphFont"/>
    <w:rsid w:val="0070310D"/>
  </w:style>
  <w:style w:type="table" w:customStyle="1" w:styleId="a">
    <w:basedOn w:val="TableNormal"/>
    <w:tblPr>
      <w:tblStyleRowBandSize w:val="1"/>
      <w:tblStyleColBandSize w:val="1"/>
      <w:tblCellMar>
        <w:left w:w="57" w:type="dxa"/>
        <w:right w:w="57" w:type="dxa"/>
      </w:tblCellMar>
    </w:tbl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28" w:type="dxa"/>
        <w:right w:w="28" w:type="dxa"/>
      </w:tblCellMar>
    </w:tblPr>
  </w:style>
  <w:style w:type="table" w:customStyle="1" w:styleId="a2">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5">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8">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9">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a">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c">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d">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e">
    <w:basedOn w:val="TableNormal"/>
    <w:pPr>
      <w:spacing w:after="0" w:line="240" w:lineRule="auto"/>
    </w:pPr>
    <w:tblPr>
      <w:tblStyleRowBandSize w:val="1"/>
      <w:tblStyleColBandSize w:val="1"/>
      <w:tblCellMar>
        <w:top w:w="15" w:type="dxa"/>
        <w:left w:w="15" w:type="dxa"/>
        <w:bottom w:w="15" w:type="dxa"/>
        <w:right w:w="15" w:type="dxa"/>
      </w:tblCellMar>
    </w:tblPr>
  </w:style>
  <w:style w:type="character" w:customStyle="1" w:styleId="UnresolvedMention3">
    <w:name w:val="Unresolved Mention3"/>
    <w:basedOn w:val="DefaultParagraphFont"/>
    <w:uiPriority w:val="99"/>
    <w:semiHidden/>
    <w:unhideWhenUsed/>
    <w:rsid w:val="003B137D"/>
    <w:rPr>
      <w:color w:val="605E5C"/>
      <w:shd w:val="clear" w:color="auto" w:fill="E1DFDD"/>
    </w:rPr>
  </w:style>
  <w:style w:type="table" w:customStyle="1" w:styleId="af">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0">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1">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2">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3">
    <w:basedOn w:val="TableNormal"/>
    <w:pPr>
      <w:spacing w:after="0" w:line="240" w:lineRule="auto"/>
    </w:pPr>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D04C46"/>
    <w:pPr>
      <w:tabs>
        <w:tab w:val="center" w:pos="4680"/>
        <w:tab w:val="right" w:pos="9360"/>
      </w:tabs>
      <w:spacing w:line="240" w:lineRule="auto"/>
    </w:pPr>
  </w:style>
  <w:style w:type="character" w:customStyle="1" w:styleId="HeaderChar">
    <w:name w:val="Header Char"/>
    <w:basedOn w:val="DefaultParagraphFont"/>
    <w:link w:val="Header"/>
    <w:uiPriority w:val="99"/>
    <w:rsid w:val="00D04C46"/>
  </w:style>
  <w:style w:type="paragraph" w:styleId="Footer">
    <w:name w:val="footer"/>
    <w:basedOn w:val="Normal"/>
    <w:link w:val="FooterChar"/>
    <w:uiPriority w:val="99"/>
    <w:unhideWhenUsed/>
    <w:rsid w:val="00D04C46"/>
    <w:pPr>
      <w:tabs>
        <w:tab w:val="center" w:pos="4680"/>
        <w:tab w:val="right" w:pos="9360"/>
      </w:tabs>
      <w:spacing w:line="240" w:lineRule="auto"/>
    </w:pPr>
  </w:style>
  <w:style w:type="character" w:customStyle="1" w:styleId="FooterChar">
    <w:name w:val="Footer Char"/>
    <w:basedOn w:val="DefaultParagraphFont"/>
    <w:link w:val="Footer"/>
    <w:uiPriority w:val="99"/>
    <w:rsid w:val="00D04C46"/>
  </w:style>
  <w:style w:type="table" w:customStyle="1" w:styleId="af4">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5">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6">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7">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8">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character" w:customStyle="1" w:styleId="UnresolvedMention4">
    <w:name w:val="Unresolved Mention4"/>
    <w:basedOn w:val="DefaultParagraphFont"/>
    <w:uiPriority w:val="99"/>
    <w:semiHidden/>
    <w:unhideWhenUsed/>
    <w:rsid w:val="00D84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0174">
      <w:bodyDiv w:val="1"/>
      <w:marLeft w:val="0"/>
      <w:marRight w:val="0"/>
      <w:marTop w:val="0"/>
      <w:marBottom w:val="0"/>
      <w:divBdr>
        <w:top w:val="none" w:sz="0" w:space="0" w:color="auto"/>
        <w:left w:val="none" w:sz="0" w:space="0" w:color="auto"/>
        <w:bottom w:val="none" w:sz="0" w:space="0" w:color="auto"/>
        <w:right w:val="none" w:sz="0" w:space="0" w:color="auto"/>
      </w:divBdr>
    </w:div>
    <w:div w:id="136335948">
      <w:bodyDiv w:val="1"/>
      <w:marLeft w:val="0"/>
      <w:marRight w:val="0"/>
      <w:marTop w:val="0"/>
      <w:marBottom w:val="0"/>
      <w:divBdr>
        <w:top w:val="none" w:sz="0" w:space="0" w:color="auto"/>
        <w:left w:val="none" w:sz="0" w:space="0" w:color="auto"/>
        <w:bottom w:val="none" w:sz="0" w:space="0" w:color="auto"/>
        <w:right w:val="none" w:sz="0" w:space="0" w:color="auto"/>
      </w:divBdr>
      <w:divsChild>
        <w:div w:id="567765276">
          <w:marLeft w:val="480"/>
          <w:marRight w:val="0"/>
          <w:marTop w:val="0"/>
          <w:marBottom w:val="0"/>
          <w:divBdr>
            <w:top w:val="none" w:sz="0" w:space="0" w:color="auto"/>
            <w:left w:val="none" w:sz="0" w:space="0" w:color="auto"/>
            <w:bottom w:val="none" w:sz="0" w:space="0" w:color="auto"/>
            <w:right w:val="none" w:sz="0" w:space="0" w:color="auto"/>
          </w:divBdr>
          <w:divsChild>
            <w:div w:id="38136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7736">
      <w:bodyDiv w:val="1"/>
      <w:marLeft w:val="0"/>
      <w:marRight w:val="0"/>
      <w:marTop w:val="0"/>
      <w:marBottom w:val="0"/>
      <w:divBdr>
        <w:top w:val="none" w:sz="0" w:space="0" w:color="auto"/>
        <w:left w:val="none" w:sz="0" w:space="0" w:color="auto"/>
        <w:bottom w:val="none" w:sz="0" w:space="0" w:color="auto"/>
        <w:right w:val="none" w:sz="0" w:space="0" w:color="auto"/>
      </w:divBdr>
      <w:divsChild>
        <w:div w:id="877551766">
          <w:marLeft w:val="0"/>
          <w:marRight w:val="0"/>
          <w:marTop w:val="0"/>
          <w:marBottom w:val="0"/>
          <w:divBdr>
            <w:top w:val="none" w:sz="0" w:space="0" w:color="auto"/>
            <w:left w:val="none" w:sz="0" w:space="0" w:color="auto"/>
            <w:bottom w:val="none" w:sz="0" w:space="0" w:color="auto"/>
            <w:right w:val="none" w:sz="0" w:space="0" w:color="auto"/>
          </w:divBdr>
          <w:divsChild>
            <w:div w:id="738015721">
              <w:marLeft w:val="0"/>
              <w:marRight w:val="0"/>
              <w:marTop w:val="0"/>
              <w:marBottom w:val="0"/>
              <w:divBdr>
                <w:top w:val="none" w:sz="0" w:space="0" w:color="auto"/>
                <w:left w:val="none" w:sz="0" w:space="0" w:color="auto"/>
                <w:bottom w:val="none" w:sz="0" w:space="0" w:color="auto"/>
                <w:right w:val="none" w:sz="0" w:space="0" w:color="auto"/>
              </w:divBdr>
              <w:divsChild>
                <w:div w:id="1143279405">
                  <w:marLeft w:val="0"/>
                  <w:marRight w:val="0"/>
                  <w:marTop w:val="0"/>
                  <w:marBottom w:val="0"/>
                  <w:divBdr>
                    <w:top w:val="single" w:sz="6" w:space="0" w:color="CCCCCC"/>
                    <w:left w:val="single" w:sz="6" w:space="0" w:color="CCCCCC"/>
                    <w:bottom w:val="single" w:sz="6" w:space="0" w:color="CCCCCC"/>
                    <w:right w:val="single" w:sz="6" w:space="0" w:color="CCCCCC"/>
                  </w:divBdr>
                  <w:divsChild>
                    <w:div w:id="1599831494">
                      <w:marLeft w:val="0"/>
                      <w:marRight w:val="0"/>
                      <w:marTop w:val="0"/>
                      <w:marBottom w:val="0"/>
                      <w:divBdr>
                        <w:top w:val="none" w:sz="0" w:space="0" w:color="auto"/>
                        <w:left w:val="none" w:sz="0" w:space="0" w:color="auto"/>
                        <w:bottom w:val="none" w:sz="0" w:space="0" w:color="auto"/>
                        <w:right w:val="none" w:sz="0" w:space="0" w:color="auto"/>
                      </w:divBdr>
                      <w:divsChild>
                        <w:div w:id="1979912729">
                          <w:marLeft w:val="0"/>
                          <w:marRight w:val="0"/>
                          <w:marTop w:val="0"/>
                          <w:marBottom w:val="0"/>
                          <w:divBdr>
                            <w:top w:val="none" w:sz="0" w:space="0" w:color="auto"/>
                            <w:left w:val="none" w:sz="0" w:space="0" w:color="auto"/>
                            <w:bottom w:val="none" w:sz="0" w:space="0" w:color="auto"/>
                            <w:right w:val="none" w:sz="0" w:space="0" w:color="auto"/>
                          </w:divBdr>
                          <w:divsChild>
                            <w:div w:id="2096856826">
                              <w:marLeft w:val="0"/>
                              <w:marRight w:val="0"/>
                              <w:marTop w:val="0"/>
                              <w:marBottom w:val="0"/>
                              <w:divBdr>
                                <w:top w:val="none" w:sz="0" w:space="0" w:color="auto"/>
                                <w:left w:val="none" w:sz="0" w:space="0" w:color="auto"/>
                                <w:bottom w:val="none" w:sz="0" w:space="0" w:color="auto"/>
                                <w:right w:val="none" w:sz="0" w:space="0" w:color="auto"/>
                              </w:divBdr>
                              <w:divsChild>
                                <w:div w:id="19269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708817">
      <w:bodyDiv w:val="1"/>
      <w:marLeft w:val="0"/>
      <w:marRight w:val="0"/>
      <w:marTop w:val="0"/>
      <w:marBottom w:val="0"/>
      <w:divBdr>
        <w:top w:val="none" w:sz="0" w:space="0" w:color="auto"/>
        <w:left w:val="none" w:sz="0" w:space="0" w:color="auto"/>
        <w:bottom w:val="none" w:sz="0" w:space="0" w:color="auto"/>
        <w:right w:val="none" w:sz="0" w:space="0" w:color="auto"/>
      </w:divBdr>
    </w:div>
    <w:div w:id="298993177">
      <w:bodyDiv w:val="1"/>
      <w:marLeft w:val="0"/>
      <w:marRight w:val="0"/>
      <w:marTop w:val="0"/>
      <w:marBottom w:val="0"/>
      <w:divBdr>
        <w:top w:val="none" w:sz="0" w:space="0" w:color="auto"/>
        <w:left w:val="none" w:sz="0" w:space="0" w:color="auto"/>
        <w:bottom w:val="none" w:sz="0" w:space="0" w:color="auto"/>
        <w:right w:val="none" w:sz="0" w:space="0" w:color="auto"/>
      </w:divBdr>
      <w:divsChild>
        <w:div w:id="1340278017">
          <w:marLeft w:val="0"/>
          <w:marRight w:val="0"/>
          <w:marTop w:val="0"/>
          <w:marBottom w:val="0"/>
          <w:divBdr>
            <w:top w:val="none" w:sz="0" w:space="0" w:color="auto"/>
            <w:left w:val="none" w:sz="0" w:space="0" w:color="auto"/>
            <w:bottom w:val="none" w:sz="0" w:space="0" w:color="auto"/>
            <w:right w:val="none" w:sz="0" w:space="0" w:color="auto"/>
          </w:divBdr>
          <w:divsChild>
            <w:div w:id="867110958">
              <w:marLeft w:val="0"/>
              <w:marRight w:val="0"/>
              <w:marTop w:val="0"/>
              <w:marBottom w:val="0"/>
              <w:divBdr>
                <w:top w:val="none" w:sz="0" w:space="0" w:color="auto"/>
                <w:left w:val="none" w:sz="0" w:space="0" w:color="auto"/>
                <w:bottom w:val="none" w:sz="0" w:space="0" w:color="auto"/>
                <w:right w:val="none" w:sz="0" w:space="0" w:color="auto"/>
              </w:divBdr>
              <w:divsChild>
                <w:div w:id="432940800">
                  <w:marLeft w:val="0"/>
                  <w:marRight w:val="0"/>
                  <w:marTop w:val="0"/>
                  <w:marBottom w:val="0"/>
                  <w:divBdr>
                    <w:top w:val="single" w:sz="6" w:space="0" w:color="CCCCCC"/>
                    <w:left w:val="single" w:sz="6" w:space="0" w:color="CCCCCC"/>
                    <w:bottom w:val="single" w:sz="6" w:space="0" w:color="CCCCCC"/>
                    <w:right w:val="single" w:sz="6" w:space="0" w:color="CCCCCC"/>
                  </w:divBdr>
                  <w:divsChild>
                    <w:div w:id="717435454">
                      <w:marLeft w:val="0"/>
                      <w:marRight w:val="0"/>
                      <w:marTop w:val="0"/>
                      <w:marBottom w:val="0"/>
                      <w:divBdr>
                        <w:top w:val="none" w:sz="0" w:space="0" w:color="auto"/>
                        <w:left w:val="none" w:sz="0" w:space="0" w:color="auto"/>
                        <w:bottom w:val="none" w:sz="0" w:space="0" w:color="auto"/>
                        <w:right w:val="none" w:sz="0" w:space="0" w:color="auto"/>
                      </w:divBdr>
                      <w:divsChild>
                        <w:div w:id="493490755">
                          <w:marLeft w:val="0"/>
                          <w:marRight w:val="0"/>
                          <w:marTop w:val="0"/>
                          <w:marBottom w:val="0"/>
                          <w:divBdr>
                            <w:top w:val="none" w:sz="0" w:space="0" w:color="auto"/>
                            <w:left w:val="none" w:sz="0" w:space="0" w:color="auto"/>
                            <w:bottom w:val="none" w:sz="0" w:space="0" w:color="auto"/>
                            <w:right w:val="none" w:sz="0" w:space="0" w:color="auto"/>
                          </w:divBdr>
                          <w:divsChild>
                            <w:div w:id="258684806">
                              <w:marLeft w:val="0"/>
                              <w:marRight w:val="0"/>
                              <w:marTop w:val="0"/>
                              <w:marBottom w:val="0"/>
                              <w:divBdr>
                                <w:top w:val="none" w:sz="0" w:space="0" w:color="auto"/>
                                <w:left w:val="none" w:sz="0" w:space="0" w:color="auto"/>
                                <w:bottom w:val="none" w:sz="0" w:space="0" w:color="auto"/>
                                <w:right w:val="none" w:sz="0" w:space="0" w:color="auto"/>
                              </w:divBdr>
                              <w:divsChild>
                                <w:div w:id="5005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451138">
      <w:bodyDiv w:val="1"/>
      <w:marLeft w:val="0"/>
      <w:marRight w:val="0"/>
      <w:marTop w:val="0"/>
      <w:marBottom w:val="0"/>
      <w:divBdr>
        <w:top w:val="none" w:sz="0" w:space="0" w:color="auto"/>
        <w:left w:val="none" w:sz="0" w:space="0" w:color="auto"/>
        <w:bottom w:val="none" w:sz="0" w:space="0" w:color="auto"/>
        <w:right w:val="none" w:sz="0" w:space="0" w:color="auto"/>
      </w:divBdr>
    </w:div>
    <w:div w:id="796342227">
      <w:bodyDiv w:val="1"/>
      <w:marLeft w:val="0"/>
      <w:marRight w:val="0"/>
      <w:marTop w:val="0"/>
      <w:marBottom w:val="0"/>
      <w:divBdr>
        <w:top w:val="none" w:sz="0" w:space="0" w:color="auto"/>
        <w:left w:val="none" w:sz="0" w:space="0" w:color="auto"/>
        <w:bottom w:val="none" w:sz="0" w:space="0" w:color="auto"/>
        <w:right w:val="none" w:sz="0" w:space="0" w:color="auto"/>
      </w:divBdr>
    </w:div>
    <w:div w:id="858738824">
      <w:bodyDiv w:val="1"/>
      <w:marLeft w:val="0"/>
      <w:marRight w:val="0"/>
      <w:marTop w:val="0"/>
      <w:marBottom w:val="0"/>
      <w:divBdr>
        <w:top w:val="none" w:sz="0" w:space="0" w:color="auto"/>
        <w:left w:val="none" w:sz="0" w:space="0" w:color="auto"/>
        <w:bottom w:val="none" w:sz="0" w:space="0" w:color="auto"/>
        <w:right w:val="none" w:sz="0" w:space="0" w:color="auto"/>
      </w:divBdr>
    </w:div>
    <w:div w:id="929969911">
      <w:bodyDiv w:val="1"/>
      <w:marLeft w:val="0"/>
      <w:marRight w:val="0"/>
      <w:marTop w:val="0"/>
      <w:marBottom w:val="0"/>
      <w:divBdr>
        <w:top w:val="none" w:sz="0" w:space="0" w:color="auto"/>
        <w:left w:val="none" w:sz="0" w:space="0" w:color="auto"/>
        <w:bottom w:val="none" w:sz="0" w:space="0" w:color="auto"/>
        <w:right w:val="none" w:sz="0" w:space="0" w:color="auto"/>
      </w:divBdr>
    </w:div>
    <w:div w:id="1060207759">
      <w:bodyDiv w:val="1"/>
      <w:marLeft w:val="0"/>
      <w:marRight w:val="0"/>
      <w:marTop w:val="0"/>
      <w:marBottom w:val="0"/>
      <w:divBdr>
        <w:top w:val="none" w:sz="0" w:space="0" w:color="auto"/>
        <w:left w:val="none" w:sz="0" w:space="0" w:color="auto"/>
        <w:bottom w:val="none" w:sz="0" w:space="0" w:color="auto"/>
        <w:right w:val="none" w:sz="0" w:space="0" w:color="auto"/>
      </w:divBdr>
      <w:divsChild>
        <w:div w:id="460264975">
          <w:marLeft w:val="0"/>
          <w:marRight w:val="0"/>
          <w:marTop w:val="0"/>
          <w:marBottom w:val="0"/>
          <w:divBdr>
            <w:top w:val="none" w:sz="0" w:space="0" w:color="auto"/>
            <w:left w:val="none" w:sz="0" w:space="0" w:color="auto"/>
            <w:bottom w:val="none" w:sz="0" w:space="0" w:color="auto"/>
            <w:right w:val="none" w:sz="0" w:space="0" w:color="auto"/>
          </w:divBdr>
          <w:divsChild>
            <w:div w:id="899753617">
              <w:marLeft w:val="0"/>
              <w:marRight w:val="0"/>
              <w:marTop w:val="0"/>
              <w:marBottom w:val="0"/>
              <w:divBdr>
                <w:top w:val="none" w:sz="0" w:space="0" w:color="auto"/>
                <w:left w:val="none" w:sz="0" w:space="0" w:color="auto"/>
                <w:bottom w:val="none" w:sz="0" w:space="0" w:color="auto"/>
                <w:right w:val="none" w:sz="0" w:space="0" w:color="auto"/>
              </w:divBdr>
              <w:divsChild>
                <w:div w:id="828132105">
                  <w:marLeft w:val="0"/>
                  <w:marRight w:val="0"/>
                  <w:marTop w:val="0"/>
                  <w:marBottom w:val="0"/>
                  <w:divBdr>
                    <w:top w:val="single" w:sz="6" w:space="0" w:color="CCCCCC"/>
                    <w:left w:val="single" w:sz="6" w:space="0" w:color="CCCCCC"/>
                    <w:bottom w:val="single" w:sz="6" w:space="0" w:color="CCCCCC"/>
                    <w:right w:val="single" w:sz="6" w:space="0" w:color="CCCCCC"/>
                  </w:divBdr>
                  <w:divsChild>
                    <w:div w:id="1035303999">
                      <w:marLeft w:val="0"/>
                      <w:marRight w:val="0"/>
                      <w:marTop w:val="0"/>
                      <w:marBottom w:val="0"/>
                      <w:divBdr>
                        <w:top w:val="none" w:sz="0" w:space="0" w:color="auto"/>
                        <w:left w:val="none" w:sz="0" w:space="0" w:color="auto"/>
                        <w:bottom w:val="none" w:sz="0" w:space="0" w:color="auto"/>
                        <w:right w:val="none" w:sz="0" w:space="0" w:color="auto"/>
                      </w:divBdr>
                      <w:divsChild>
                        <w:div w:id="1224953149">
                          <w:marLeft w:val="0"/>
                          <w:marRight w:val="0"/>
                          <w:marTop w:val="0"/>
                          <w:marBottom w:val="0"/>
                          <w:divBdr>
                            <w:top w:val="none" w:sz="0" w:space="0" w:color="auto"/>
                            <w:left w:val="none" w:sz="0" w:space="0" w:color="auto"/>
                            <w:bottom w:val="none" w:sz="0" w:space="0" w:color="auto"/>
                            <w:right w:val="none" w:sz="0" w:space="0" w:color="auto"/>
                          </w:divBdr>
                          <w:divsChild>
                            <w:div w:id="1646542521">
                              <w:marLeft w:val="0"/>
                              <w:marRight w:val="0"/>
                              <w:marTop w:val="0"/>
                              <w:marBottom w:val="0"/>
                              <w:divBdr>
                                <w:top w:val="none" w:sz="0" w:space="0" w:color="auto"/>
                                <w:left w:val="none" w:sz="0" w:space="0" w:color="auto"/>
                                <w:bottom w:val="none" w:sz="0" w:space="0" w:color="auto"/>
                                <w:right w:val="none" w:sz="0" w:space="0" w:color="auto"/>
                              </w:divBdr>
                              <w:divsChild>
                                <w:div w:id="7895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090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7/CHI.0b013e3181ac09c9" TargetMode="External"/><Relationship Id="rId18" Type="http://schemas.openxmlformats.org/officeDocument/2006/relationships/hyperlink" Target="https://doi.org/10.1186/s13054-020-02902-w" TargetMode="External"/><Relationship Id="rId26" Type="http://schemas.openxmlformats.org/officeDocument/2006/relationships/hyperlink" Target="https://doi.org/10.1111/apa.15270" TargetMode="External"/><Relationship Id="rId39" Type="http://schemas.openxmlformats.org/officeDocument/2006/relationships/hyperlink" Target="https://doi.org/10.1038/s41586-020-2521-4" TargetMode="External"/><Relationship Id="rId21" Type="http://schemas.openxmlformats.org/officeDocument/2006/relationships/hyperlink" Target="https://doi.org/10.1001/jamapsychiatry.2020.0894" TargetMode="External"/><Relationship Id="rId34" Type="http://schemas.openxmlformats.org/officeDocument/2006/relationships/hyperlink" Target="https://doi.org/10.1056/NEJMc2013020" TargetMode="External"/><Relationship Id="rId42" Type="http://schemas.openxmlformats.org/officeDocument/2006/relationships/hyperlink" Target="https://www.worldometers.info/world-population/israel-population/"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S2215-0366(18)30224-4" TargetMode="External"/><Relationship Id="rId29" Type="http://schemas.openxmlformats.org/officeDocument/2006/relationships/hyperlink" Target="https://doi.org/10.1016/j.jagp.2020.01.1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psychres.2019.05.030" TargetMode="External"/><Relationship Id="rId24" Type="http://schemas.openxmlformats.org/officeDocument/2006/relationships/hyperlink" Target="https://doi.org/10.1001/jamanetworkopen.2020.23282" TargetMode="External"/><Relationship Id="rId32" Type="http://schemas.openxmlformats.org/officeDocument/2006/relationships/hyperlink" Target="https://doi.org/10.1016/S0140-6736(20)31483-5" TargetMode="External"/><Relationship Id="rId37" Type="http://schemas.openxmlformats.org/officeDocument/2006/relationships/hyperlink" Target="https://doi.org/10.1097/DBP.0000000000000670" TargetMode="External"/><Relationship Id="rId40" Type="http://schemas.openxmlformats.org/officeDocument/2006/relationships/hyperlink" Target="https://apps.who.int/iris/bitstream/handle/10665/254610/WHO-MSD-MER-2017.2-eng.pdf" TargetMode="External"/><Relationship Id="rId45" Type="http://schemas.openxmlformats.org/officeDocument/2006/relationships/hyperlink" Target="https://doi.org/10.1016/j.jinf.2020.04.021" TargetMode="External"/><Relationship Id="rId5" Type="http://schemas.openxmlformats.org/officeDocument/2006/relationships/webSettings" Target="webSettings.xml"/><Relationship Id="rId15" Type="http://schemas.openxmlformats.org/officeDocument/2006/relationships/hyperlink" Target="https://doi.org/10.1136/ebmental-2020-300158" TargetMode="External"/><Relationship Id="rId23" Type="http://schemas.openxmlformats.org/officeDocument/2006/relationships/hyperlink" Target="https://doi.org/10.1080/14737175.2016.1204914" TargetMode="External"/><Relationship Id="rId28" Type="http://schemas.openxmlformats.org/officeDocument/2006/relationships/hyperlink" Target="https://doi.org/10.1016/s0165-1781(01)00317-1" TargetMode="External"/><Relationship Id="rId36" Type="http://schemas.openxmlformats.org/officeDocument/2006/relationships/hyperlink" Target="https://doi.org/10.1016/S1473-3099(20)30243-7" TargetMode="External"/><Relationship Id="rId10" Type="http://schemas.openxmlformats.org/officeDocument/2006/relationships/hyperlink" Target="https://doi.org/10.1089/cap.2018.0057" TargetMode="External"/><Relationship Id="rId19" Type="http://schemas.openxmlformats.org/officeDocument/2006/relationships/hyperlink" Target="https://doi.org/10.1016/j.neubiorev.2020.07.042" TargetMode="External"/><Relationship Id="rId31" Type="http://schemas.openxmlformats.org/officeDocument/2006/relationships/hyperlink" Target="https://doi.org/10.1136/bmj.m1966" TargetMode="External"/><Relationship Id="rId44" Type="http://schemas.openxmlformats.org/officeDocument/2006/relationships/hyperlink" Target="https://doi.org/10.1001/jama.2020.2648" TargetMode="External"/><Relationship Id="rId4" Type="http://schemas.openxmlformats.org/officeDocument/2006/relationships/settings" Target="settings.xml"/><Relationship Id="rId9" Type="http://schemas.openxmlformats.org/officeDocument/2006/relationships/hyperlink" Target="https://doi.org/10.3390/jcm9082442" TargetMode="External"/><Relationship Id="rId14" Type="http://schemas.openxmlformats.org/officeDocument/2006/relationships/hyperlink" Target="https://doi.org/10.1176/appi.ajp.2015.15020266" TargetMode="External"/><Relationship Id="rId22" Type="http://schemas.openxmlformats.org/officeDocument/2006/relationships/hyperlink" Target="https://doi.org/10.1038/s41467-020-19057-5" TargetMode="External"/><Relationship Id="rId27" Type="http://schemas.openxmlformats.org/officeDocument/2006/relationships/hyperlink" Target="https://doi.org/10.1177/1087054720943271" TargetMode="External"/><Relationship Id="rId30" Type="http://schemas.openxmlformats.org/officeDocument/2006/relationships/hyperlink" Target="https://doi.org/10.7326/m20-3012" TargetMode="External"/><Relationship Id="rId35" Type="http://schemas.openxmlformats.org/officeDocument/2006/relationships/hyperlink" Target="https://doi.org/10.1192/bjp.bp.107.048827" TargetMode="External"/><Relationship Id="rId43" Type="http://schemas.openxmlformats.org/officeDocument/2006/relationships/hyperlink" Target="https://www.worldometers.info/world-population/us-population/" TargetMode="External"/><Relationship Id="rId48" Type="http://schemas.openxmlformats.org/officeDocument/2006/relationships/theme" Target="theme/theme1.xml"/><Relationship Id="rId8" Type="http://schemas.openxmlformats.org/officeDocument/2006/relationships/hyperlink" Target="https://doi.org/10.3201/eid2608.200679" TargetMode="External"/><Relationship Id="rId3" Type="http://schemas.openxmlformats.org/officeDocument/2006/relationships/styles" Target="styles.xml"/><Relationship Id="rId12" Type="http://schemas.openxmlformats.org/officeDocument/2006/relationships/hyperlink" Target="http://dx.doi.org/10.1136/ebmental-2018-300050" TargetMode="External"/><Relationship Id="rId17" Type="http://schemas.openxmlformats.org/officeDocument/2006/relationships/hyperlink" Target="https://doi.org/10.1016/j.jpsychores.2016.08.006" TargetMode="External"/><Relationship Id="rId25" Type="http://schemas.openxmlformats.org/officeDocument/2006/relationships/hyperlink" Target="https://doi.org/10.1016/s1470-2045(20)30096-6" TargetMode="External"/><Relationship Id="rId33" Type="http://schemas.openxmlformats.org/officeDocument/2006/relationships/hyperlink" Target="https://doi.org/10.1002/jmv.26389" TargetMode="External"/><Relationship Id="rId38" Type="http://schemas.openxmlformats.org/officeDocument/2006/relationships/hyperlink" Target="https://doi.org/10.1002/wps.20806" TargetMode="External"/><Relationship Id="rId46" Type="http://schemas.openxmlformats.org/officeDocument/2006/relationships/header" Target="header1.xml"/><Relationship Id="rId20" Type="http://schemas.openxmlformats.org/officeDocument/2006/relationships/hyperlink" Target="https://doi.org/10.1136/bmj.m1557" TargetMode="External"/><Relationship Id="rId41" Type="http://schemas.openxmlformats.org/officeDocument/2006/relationships/hyperlink" Target="https://covid19.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bXzURyynByPlpEuLgUm2pxabhg==">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6963</Words>
  <Characters>39695</Characters>
  <Application>Microsoft Office Word</Application>
  <DocSecurity>0</DocSecurity>
  <Lines>330</Lines>
  <Paragraphs>93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Clalit Health Services</Company>
  <LinksUpToDate>false</LinksUpToDate>
  <CharactersWithSpaces>46565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Samuele Cortese</cp:lastModifiedBy>
  <cp:revision>2</cp:revision>
  <cp:lastPrinted>2021-02-11T11:19:00Z</cp:lastPrinted>
  <dcterms:created xsi:type="dcterms:W3CDTF">2021-04-26T13:54:00Z</dcterms:created>
  <dcterms:modified xsi:type="dcterms:W3CDTF">2021-04-26T13:54:00Z</dcterms:modified>
</cp:coreProperties>
</file>