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E780CC" w14:textId="7AA7EACD" w:rsidR="00063538" w:rsidRPr="00420314" w:rsidRDefault="00AE24C4" w:rsidP="00420314">
      <w:pPr>
        <w:pStyle w:val="Title"/>
        <w:rPr>
          <w:rFonts w:ascii="Arial" w:hAnsi="Arial" w:cs="Arial"/>
          <w:noProof/>
          <w:sz w:val="32"/>
          <w:szCs w:val="32"/>
        </w:rPr>
      </w:pPr>
      <w:r w:rsidRPr="00420314">
        <w:rPr>
          <w:rFonts w:ascii="Arial" w:hAnsi="Arial" w:cs="Arial"/>
          <w:noProof/>
          <w:sz w:val="32"/>
          <w:szCs w:val="32"/>
        </w:rPr>
        <w:t xml:space="preserve">Real-world </w:t>
      </w:r>
      <w:r w:rsidR="002B541F" w:rsidRPr="00420314">
        <w:rPr>
          <w:rFonts w:ascii="Arial" w:hAnsi="Arial" w:cs="Arial"/>
          <w:noProof/>
          <w:sz w:val="32"/>
          <w:szCs w:val="32"/>
        </w:rPr>
        <w:t xml:space="preserve">Omalizumab and Mepolizumab </w:t>
      </w:r>
      <w:r w:rsidR="009D0CA3" w:rsidRPr="00420314">
        <w:rPr>
          <w:rFonts w:ascii="Arial" w:hAnsi="Arial" w:cs="Arial"/>
          <w:noProof/>
          <w:sz w:val="32"/>
          <w:szCs w:val="32"/>
        </w:rPr>
        <w:t>treated Difficult Asthma Phen</w:t>
      </w:r>
      <w:r w:rsidR="00D14993" w:rsidRPr="00420314">
        <w:rPr>
          <w:rFonts w:ascii="Arial" w:hAnsi="Arial" w:cs="Arial"/>
          <w:noProof/>
          <w:sz w:val="32"/>
          <w:szCs w:val="32"/>
        </w:rPr>
        <w:t xml:space="preserve">otypes and </w:t>
      </w:r>
      <w:r w:rsidR="00623134" w:rsidRPr="00420314">
        <w:rPr>
          <w:rFonts w:ascii="Arial" w:hAnsi="Arial" w:cs="Arial"/>
          <w:noProof/>
          <w:sz w:val="32"/>
          <w:szCs w:val="32"/>
        </w:rPr>
        <w:t xml:space="preserve">their </w:t>
      </w:r>
      <w:r w:rsidR="00D14993" w:rsidRPr="00420314">
        <w:rPr>
          <w:rFonts w:ascii="Arial" w:hAnsi="Arial" w:cs="Arial"/>
          <w:noProof/>
          <w:sz w:val="32"/>
          <w:szCs w:val="32"/>
        </w:rPr>
        <w:t>Clinical Outcomes</w:t>
      </w:r>
    </w:p>
    <w:p w14:paraId="3993AB89" w14:textId="7E2077F4" w:rsidR="005D72CD" w:rsidRPr="00A4229A" w:rsidRDefault="008C6CE9" w:rsidP="00420314">
      <w:pPr>
        <w:pStyle w:val="Heading1"/>
        <w:rPr>
          <w:noProof/>
          <w:sz w:val="20"/>
          <w:szCs w:val="20"/>
        </w:rPr>
      </w:pPr>
      <w:r w:rsidRPr="00A4229A">
        <w:rPr>
          <w:rStyle w:val="Heading1Char"/>
          <w:rFonts w:ascii="Arial" w:hAnsi="Arial" w:cs="Arial"/>
          <w:sz w:val="28"/>
          <w:szCs w:val="28"/>
        </w:rPr>
        <w:t>Running title</w:t>
      </w:r>
      <w:r w:rsidRPr="00A4229A">
        <w:rPr>
          <w:noProof/>
          <w:sz w:val="20"/>
          <w:szCs w:val="20"/>
        </w:rPr>
        <w:t xml:space="preserve">: </w:t>
      </w:r>
    </w:p>
    <w:p w14:paraId="7259DD27" w14:textId="7D5178C9" w:rsidR="008C6CE9" w:rsidRPr="008C6CE9" w:rsidRDefault="008C6CE9" w:rsidP="005D72CD">
      <w:pPr>
        <w:spacing w:after="180" w:line="480" w:lineRule="auto"/>
        <w:jc w:val="both"/>
        <w:rPr>
          <w:rFonts w:ascii="Arial" w:hAnsi="Arial" w:cs="Arial"/>
          <w:noProof/>
          <w:lang w:val="en-US"/>
        </w:rPr>
      </w:pPr>
      <w:r w:rsidRPr="008C6CE9">
        <w:rPr>
          <w:rFonts w:ascii="Arial" w:hAnsi="Arial" w:cs="Arial"/>
          <w:noProof/>
          <w:lang w:val="en-US"/>
        </w:rPr>
        <w:t>Real-world Omalizumab and Mepolizumab outcomes</w:t>
      </w:r>
    </w:p>
    <w:p w14:paraId="12F5F80A" w14:textId="77777777" w:rsidR="005D72CD" w:rsidRPr="00A4229A" w:rsidRDefault="005D72CD" w:rsidP="005D72CD">
      <w:pPr>
        <w:pStyle w:val="Heading1"/>
        <w:spacing w:line="480" w:lineRule="auto"/>
        <w:rPr>
          <w:rFonts w:ascii="Arial" w:hAnsi="Arial" w:cs="Arial"/>
          <w:noProof/>
          <w:sz w:val="28"/>
          <w:szCs w:val="28"/>
        </w:rPr>
      </w:pPr>
      <w:r w:rsidRPr="00A4229A">
        <w:rPr>
          <w:rFonts w:ascii="Arial" w:hAnsi="Arial" w:cs="Arial"/>
          <w:noProof/>
          <w:sz w:val="28"/>
          <w:szCs w:val="28"/>
        </w:rPr>
        <w:t>Counts:</w:t>
      </w:r>
    </w:p>
    <w:p w14:paraId="07327129" w14:textId="6B358923" w:rsidR="008C6CE9" w:rsidRPr="008C6CE9" w:rsidRDefault="008C6CE9" w:rsidP="005D72CD">
      <w:pPr>
        <w:spacing w:after="180" w:line="480" w:lineRule="auto"/>
        <w:jc w:val="both"/>
        <w:rPr>
          <w:rFonts w:ascii="Arial" w:hAnsi="Arial" w:cs="Arial"/>
          <w:noProof/>
          <w:lang w:val="en-US"/>
        </w:rPr>
      </w:pPr>
      <w:r w:rsidRPr="008C6CE9">
        <w:rPr>
          <w:rFonts w:ascii="Arial" w:hAnsi="Arial" w:cs="Arial"/>
          <w:noProof/>
          <w:lang w:val="en-US"/>
        </w:rPr>
        <w:t>Word count:</w:t>
      </w:r>
      <w:r w:rsidR="005D72CD">
        <w:rPr>
          <w:rFonts w:ascii="Arial" w:hAnsi="Arial" w:cs="Arial"/>
          <w:noProof/>
          <w:lang w:val="en-US"/>
        </w:rPr>
        <w:t xml:space="preserve"> </w:t>
      </w:r>
      <w:r w:rsidR="00D81055">
        <w:rPr>
          <w:rFonts w:ascii="Arial" w:hAnsi="Arial" w:cs="Arial"/>
          <w:noProof/>
          <w:lang w:val="en-US"/>
        </w:rPr>
        <w:t>38</w:t>
      </w:r>
      <w:r w:rsidR="004D6C55">
        <w:rPr>
          <w:rFonts w:ascii="Arial" w:hAnsi="Arial" w:cs="Arial"/>
          <w:noProof/>
          <w:lang w:val="en-US"/>
        </w:rPr>
        <w:t>86</w:t>
      </w:r>
      <w:r w:rsidR="005D72CD">
        <w:rPr>
          <w:rFonts w:ascii="Arial" w:hAnsi="Arial" w:cs="Arial"/>
          <w:noProof/>
          <w:lang w:val="en-US"/>
        </w:rPr>
        <w:t xml:space="preserve">    </w:t>
      </w:r>
      <w:r w:rsidRPr="008C6CE9">
        <w:rPr>
          <w:rFonts w:ascii="Arial" w:hAnsi="Arial" w:cs="Arial"/>
          <w:noProof/>
          <w:lang w:val="en-US"/>
        </w:rPr>
        <w:t xml:space="preserve">Table </w:t>
      </w:r>
      <w:r w:rsidR="008C5969">
        <w:rPr>
          <w:rFonts w:ascii="Arial" w:hAnsi="Arial" w:cs="Arial"/>
          <w:noProof/>
          <w:lang w:val="en-US"/>
        </w:rPr>
        <w:t>= 4  Figure = 4</w:t>
      </w:r>
    </w:p>
    <w:p w14:paraId="0E3F1220" w14:textId="77777777" w:rsidR="00AD1709" w:rsidRPr="00A4229A" w:rsidRDefault="004625C7" w:rsidP="005D72CD">
      <w:pPr>
        <w:spacing w:after="180" w:line="480" w:lineRule="auto"/>
        <w:jc w:val="both"/>
        <w:rPr>
          <w:rFonts w:ascii="Arial" w:hAnsi="Arial" w:cs="Arial"/>
          <w:b/>
          <w:noProof/>
          <w:position w:val="7"/>
          <w:sz w:val="20"/>
          <w:szCs w:val="20"/>
          <w:lang w:val="en-US" w:eastAsia="en-GB"/>
        </w:rPr>
      </w:pPr>
      <w:r w:rsidRPr="00A4229A">
        <w:rPr>
          <w:rStyle w:val="Heading1Char"/>
          <w:rFonts w:ascii="Arial" w:hAnsi="Arial" w:cs="Arial"/>
          <w:sz w:val="28"/>
          <w:szCs w:val="28"/>
        </w:rPr>
        <w:t>Author</w:t>
      </w:r>
      <w:r w:rsidR="000078A5" w:rsidRPr="00A4229A">
        <w:rPr>
          <w:rStyle w:val="Heading1Char"/>
          <w:rFonts w:ascii="Arial" w:hAnsi="Arial" w:cs="Arial"/>
          <w:sz w:val="28"/>
          <w:szCs w:val="28"/>
        </w:rPr>
        <w:t>s</w:t>
      </w:r>
      <w:r w:rsidRPr="00A4229A">
        <w:rPr>
          <w:rStyle w:val="Heading1Char"/>
          <w:rFonts w:ascii="Arial" w:hAnsi="Arial" w:cs="Arial"/>
          <w:sz w:val="28"/>
          <w:szCs w:val="28"/>
        </w:rPr>
        <w:t>:</w:t>
      </w:r>
      <w:r w:rsidRPr="00A4229A">
        <w:rPr>
          <w:rFonts w:ascii="Arial" w:hAnsi="Arial" w:cs="Arial"/>
          <w:b/>
          <w:noProof/>
          <w:position w:val="7"/>
          <w:sz w:val="20"/>
          <w:szCs w:val="20"/>
          <w:lang w:val="en-US" w:eastAsia="en-GB"/>
        </w:rPr>
        <w:t xml:space="preserve"> </w:t>
      </w:r>
    </w:p>
    <w:p w14:paraId="3605CB0C" w14:textId="3FC0C778" w:rsidR="004625C7" w:rsidRPr="00214987" w:rsidRDefault="004625C7" w:rsidP="005D72CD">
      <w:pPr>
        <w:spacing w:after="180" w:line="480" w:lineRule="auto"/>
        <w:jc w:val="both"/>
        <w:rPr>
          <w:rFonts w:ascii="Arial" w:hAnsi="Arial" w:cs="Arial"/>
          <w:b/>
          <w:noProof/>
          <w:position w:val="7"/>
          <w:vertAlign w:val="superscript"/>
          <w:lang w:val="en-US" w:eastAsia="en-GB"/>
        </w:rPr>
      </w:pPr>
      <w:r w:rsidRPr="00214987">
        <w:rPr>
          <w:rFonts w:ascii="Arial" w:hAnsi="Arial" w:cs="Arial"/>
          <w:noProof/>
          <w:position w:val="7"/>
          <w:lang w:val="en-US" w:eastAsia="en-GB"/>
        </w:rPr>
        <w:t>Wei Chern Gavin Fong*</w:t>
      </w:r>
      <w:r w:rsidRPr="00214987">
        <w:rPr>
          <w:rFonts w:ascii="Arial" w:hAnsi="Arial" w:cs="Arial"/>
          <w:noProof/>
          <w:position w:val="7"/>
          <w:vertAlign w:val="superscript"/>
          <w:lang w:val="en-US" w:eastAsia="en-GB"/>
        </w:rPr>
        <w:t>1,2</w:t>
      </w:r>
      <w:r w:rsidRPr="00214987">
        <w:rPr>
          <w:rFonts w:ascii="Arial" w:hAnsi="Arial" w:cs="Arial"/>
          <w:bCs/>
          <w:noProof/>
          <w:position w:val="7"/>
          <w:lang w:val="en-US" w:eastAsia="en-GB"/>
        </w:rPr>
        <w:t xml:space="preserve">, </w:t>
      </w:r>
      <w:r w:rsidR="00CF00EE" w:rsidRPr="00214987">
        <w:rPr>
          <w:rFonts w:ascii="Arial" w:hAnsi="Arial" w:cs="Arial"/>
          <w:bCs/>
          <w:noProof/>
          <w:position w:val="7"/>
          <w:lang w:val="en-US" w:eastAsia="en-GB"/>
        </w:rPr>
        <w:t>Adnan Azim</w:t>
      </w:r>
      <w:r w:rsidRPr="00214987">
        <w:rPr>
          <w:rFonts w:ascii="Arial" w:hAnsi="Arial" w:cs="Arial"/>
          <w:bCs/>
          <w:noProof/>
          <w:position w:val="7"/>
          <w:lang w:val="en-US" w:eastAsia="en-GB"/>
        </w:rPr>
        <w:t>*</w:t>
      </w:r>
      <w:r w:rsidRPr="00214987">
        <w:rPr>
          <w:rFonts w:ascii="Arial" w:hAnsi="Arial" w:cs="Arial"/>
          <w:bCs/>
          <w:noProof/>
          <w:position w:val="7"/>
          <w:vertAlign w:val="superscript"/>
          <w:lang w:val="en-US" w:eastAsia="en-GB"/>
        </w:rPr>
        <w:t>2,3</w:t>
      </w:r>
      <w:r w:rsidRPr="00214987">
        <w:rPr>
          <w:rFonts w:ascii="Arial" w:hAnsi="Arial" w:cs="Arial"/>
          <w:bCs/>
          <w:noProof/>
          <w:position w:val="7"/>
          <w:lang w:val="en-US" w:eastAsia="en-GB"/>
        </w:rPr>
        <w:t>,</w:t>
      </w:r>
      <w:r w:rsidRPr="00214987">
        <w:rPr>
          <w:rFonts w:ascii="Arial" w:hAnsi="Arial" w:cs="Arial"/>
          <w:noProof/>
          <w:position w:val="7"/>
          <w:lang w:val="en-US" w:eastAsia="en-GB"/>
        </w:rPr>
        <w:t xml:space="preserve"> </w:t>
      </w:r>
      <w:r w:rsidRPr="00214987">
        <w:rPr>
          <w:rFonts w:ascii="Arial" w:hAnsi="Arial" w:cs="Arial"/>
          <w:bCs/>
          <w:noProof/>
          <w:position w:val="7"/>
          <w:lang w:val="en-US" w:eastAsia="en-GB"/>
        </w:rPr>
        <w:t xml:space="preserve"> </w:t>
      </w:r>
      <w:r w:rsidR="003516A9" w:rsidRPr="00214987">
        <w:rPr>
          <w:rFonts w:ascii="Arial" w:hAnsi="Arial" w:cs="Arial"/>
          <w:bCs/>
          <w:noProof/>
          <w:position w:val="7"/>
          <w:lang w:val="en-US" w:eastAsia="en-GB"/>
        </w:rPr>
        <w:t>Deborah Knight</w:t>
      </w:r>
      <w:r w:rsidR="003516A9" w:rsidRPr="00214987">
        <w:rPr>
          <w:rFonts w:ascii="Arial" w:hAnsi="Arial" w:cs="Arial"/>
          <w:bCs/>
          <w:noProof/>
          <w:position w:val="7"/>
          <w:vertAlign w:val="superscript"/>
          <w:lang w:val="en-US" w:eastAsia="en-GB"/>
        </w:rPr>
        <w:t>3</w:t>
      </w:r>
      <w:r w:rsidR="00FB0113" w:rsidRPr="00214987">
        <w:rPr>
          <w:rFonts w:ascii="Arial" w:hAnsi="Arial" w:cs="Arial"/>
          <w:bCs/>
          <w:noProof/>
          <w:position w:val="7"/>
          <w:lang w:val="en-US" w:eastAsia="en-GB"/>
        </w:rPr>
        <w:t xml:space="preserve">, </w:t>
      </w:r>
      <w:r w:rsidR="005169EB" w:rsidRPr="00214987">
        <w:rPr>
          <w:rFonts w:ascii="Arial" w:hAnsi="Arial" w:cs="Arial"/>
          <w:bCs/>
          <w:noProof/>
          <w:position w:val="7"/>
          <w:lang w:val="en-US" w:eastAsia="en-GB"/>
        </w:rPr>
        <w:t>Heena Mistr</w:t>
      </w:r>
      <w:r w:rsidR="00BB737A">
        <w:rPr>
          <w:rFonts w:ascii="Arial" w:hAnsi="Arial" w:cs="Arial"/>
          <w:bCs/>
          <w:noProof/>
          <w:position w:val="7"/>
          <w:lang w:val="en-US" w:eastAsia="en-GB"/>
        </w:rPr>
        <w:t>y</w:t>
      </w:r>
      <w:r w:rsidR="001D1663" w:rsidRPr="00214987">
        <w:rPr>
          <w:rFonts w:ascii="Arial" w:hAnsi="Arial" w:cs="Arial"/>
          <w:bCs/>
          <w:noProof/>
          <w:position w:val="7"/>
          <w:vertAlign w:val="superscript"/>
          <w:lang w:val="en-US" w:eastAsia="en-GB"/>
        </w:rPr>
        <w:t>1,2,3</w:t>
      </w:r>
      <w:r w:rsidR="00DE6B3F" w:rsidRPr="00214987">
        <w:rPr>
          <w:rFonts w:ascii="Arial" w:hAnsi="Arial" w:cs="Arial"/>
          <w:bCs/>
          <w:noProof/>
          <w:position w:val="7"/>
          <w:lang w:val="en-US" w:eastAsia="en-GB"/>
        </w:rPr>
        <w:t>, Anna Freeman</w:t>
      </w:r>
      <w:r w:rsidR="001D1663" w:rsidRPr="00214987">
        <w:rPr>
          <w:rFonts w:ascii="Arial" w:hAnsi="Arial" w:cs="Arial"/>
          <w:bCs/>
          <w:noProof/>
          <w:position w:val="7"/>
          <w:vertAlign w:val="superscript"/>
          <w:lang w:val="en-US" w:eastAsia="en-GB"/>
        </w:rPr>
        <w:t>2,3</w:t>
      </w:r>
      <w:r w:rsidR="00DE6B3F" w:rsidRPr="00214987">
        <w:rPr>
          <w:rFonts w:ascii="Arial" w:hAnsi="Arial" w:cs="Arial"/>
          <w:bCs/>
          <w:noProof/>
          <w:position w:val="7"/>
          <w:lang w:val="en-US" w:eastAsia="en-GB"/>
        </w:rPr>
        <w:t xml:space="preserve">, </w:t>
      </w:r>
      <w:r w:rsidR="009F5C48" w:rsidRPr="00214987">
        <w:rPr>
          <w:rFonts w:ascii="Arial" w:hAnsi="Arial" w:cs="Arial"/>
          <w:bCs/>
          <w:noProof/>
          <w:position w:val="7"/>
          <w:lang w:val="en-US" w:eastAsia="en-GB"/>
        </w:rPr>
        <w:t>Mae Felongco</w:t>
      </w:r>
      <w:r w:rsidR="001D1663" w:rsidRPr="00214987">
        <w:rPr>
          <w:rFonts w:ascii="Arial" w:hAnsi="Arial" w:cs="Arial"/>
          <w:bCs/>
          <w:noProof/>
          <w:position w:val="7"/>
          <w:vertAlign w:val="superscript"/>
          <w:lang w:val="en-US" w:eastAsia="en-GB"/>
        </w:rPr>
        <w:t>2,3</w:t>
      </w:r>
      <w:r w:rsidR="009F5C48" w:rsidRPr="00214987">
        <w:rPr>
          <w:rFonts w:ascii="Arial" w:hAnsi="Arial" w:cs="Arial"/>
          <w:bCs/>
          <w:noProof/>
          <w:position w:val="7"/>
          <w:lang w:val="en-US" w:eastAsia="en-GB"/>
        </w:rPr>
        <w:t>, Aref Kyyaly</w:t>
      </w:r>
      <w:r w:rsidR="00141C78" w:rsidRPr="00214987">
        <w:rPr>
          <w:rFonts w:ascii="Arial" w:hAnsi="Arial" w:cs="Arial"/>
          <w:bCs/>
          <w:noProof/>
          <w:position w:val="7"/>
          <w:vertAlign w:val="superscript"/>
          <w:lang w:val="en-US" w:eastAsia="en-GB"/>
        </w:rPr>
        <w:t>1,2,3</w:t>
      </w:r>
      <w:r w:rsidR="00B10982" w:rsidRPr="00214987">
        <w:rPr>
          <w:rFonts w:ascii="Arial" w:hAnsi="Arial" w:cs="Arial"/>
          <w:bCs/>
          <w:noProof/>
          <w:position w:val="7"/>
          <w:lang w:val="en-US" w:eastAsia="en-GB"/>
        </w:rPr>
        <w:t xml:space="preserve">, </w:t>
      </w:r>
      <w:r w:rsidR="00774D72" w:rsidRPr="00214987">
        <w:rPr>
          <w:rFonts w:ascii="Arial" w:hAnsi="Arial" w:cs="Arial"/>
          <w:bCs/>
          <w:noProof/>
          <w:position w:val="7"/>
          <w:lang w:val="en-US" w:eastAsia="en-GB"/>
        </w:rPr>
        <w:t>Matthew</w:t>
      </w:r>
      <w:r w:rsidR="00226E32" w:rsidRPr="00214987">
        <w:rPr>
          <w:rFonts w:ascii="Arial" w:hAnsi="Arial" w:cs="Arial"/>
          <w:bCs/>
          <w:noProof/>
          <w:position w:val="7"/>
          <w:lang w:val="en-US" w:eastAsia="en-GB"/>
        </w:rPr>
        <w:t xml:space="preserve"> </w:t>
      </w:r>
      <w:r w:rsidR="00774D72" w:rsidRPr="00214987">
        <w:rPr>
          <w:rFonts w:ascii="Arial" w:hAnsi="Arial" w:cs="Arial"/>
          <w:bCs/>
          <w:noProof/>
          <w:position w:val="7"/>
          <w:lang w:val="en-US" w:eastAsia="en-GB"/>
        </w:rPr>
        <w:t>Harvey</w:t>
      </w:r>
      <w:r w:rsidR="00141C78" w:rsidRPr="00214987">
        <w:rPr>
          <w:rFonts w:ascii="Arial" w:hAnsi="Arial" w:cs="Arial"/>
          <w:bCs/>
          <w:noProof/>
          <w:position w:val="7"/>
          <w:vertAlign w:val="superscript"/>
          <w:lang w:val="en-US" w:eastAsia="en-GB"/>
        </w:rPr>
        <w:t>,3</w:t>
      </w:r>
      <w:r w:rsidR="00774D72" w:rsidRPr="00214987">
        <w:rPr>
          <w:rFonts w:ascii="Arial" w:hAnsi="Arial" w:cs="Arial"/>
          <w:bCs/>
          <w:noProof/>
          <w:position w:val="7"/>
          <w:lang w:val="en-US" w:eastAsia="en-GB"/>
        </w:rPr>
        <w:t xml:space="preserve">, </w:t>
      </w:r>
      <w:r w:rsidR="00866472" w:rsidRPr="00214987">
        <w:rPr>
          <w:rFonts w:ascii="Arial" w:hAnsi="Arial" w:cs="Arial"/>
          <w:bCs/>
          <w:noProof/>
          <w:position w:val="7"/>
          <w:lang w:val="en-US" w:eastAsia="en-GB"/>
        </w:rPr>
        <w:t>Pa</w:t>
      </w:r>
      <w:r w:rsidR="0000414D" w:rsidRPr="00214987">
        <w:rPr>
          <w:rFonts w:ascii="Arial" w:hAnsi="Arial" w:cs="Arial"/>
          <w:bCs/>
          <w:noProof/>
          <w:position w:val="7"/>
          <w:lang w:val="en-US" w:eastAsia="en-GB"/>
        </w:rPr>
        <w:t>trick</w:t>
      </w:r>
      <w:r w:rsidR="00866472" w:rsidRPr="00214987">
        <w:rPr>
          <w:rFonts w:ascii="Arial" w:hAnsi="Arial" w:cs="Arial"/>
          <w:bCs/>
          <w:noProof/>
          <w:position w:val="7"/>
          <w:lang w:val="en-US" w:eastAsia="en-GB"/>
        </w:rPr>
        <w:t xml:space="preserve"> Dennison</w:t>
      </w:r>
      <w:r w:rsidR="00902FE1" w:rsidRPr="00214987">
        <w:rPr>
          <w:rFonts w:ascii="Arial" w:hAnsi="Arial" w:cs="Arial"/>
          <w:bCs/>
          <w:noProof/>
          <w:position w:val="7"/>
          <w:vertAlign w:val="superscript"/>
          <w:lang w:val="en-US" w:eastAsia="en-GB"/>
        </w:rPr>
        <w:t>3</w:t>
      </w:r>
      <w:r w:rsidR="00866472" w:rsidRPr="00214987">
        <w:rPr>
          <w:rFonts w:ascii="Arial" w:hAnsi="Arial" w:cs="Arial"/>
          <w:bCs/>
          <w:noProof/>
          <w:position w:val="7"/>
          <w:lang w:val="en-US" w:eastAsia="en-GB"/>
        </w:rPr>
        <w:t xml:space="preserve">, </w:t>
      </w:r>
      <w:r w:rsidR="004D315C" w:rsidRPr="00214987">
        <w:rPr>
          <w:rFonts w:ascii="Arial" w:hAnsi="Arial" w:cs="Arial"/>
          <w:bCs/>
          <w:noProof/>
          <w:position w:val="7"/>
          <w:lang w:val="en-US" w:eastAsia="en-GB"/>
        </w:rPr>
        <w:t>Hongmei Zhang</w:t>
      </w:r>
      <w:r w:rsidR="00DD2AD1" w:rsidRPr="00214987">
        <w:rPr>
          <w:rFonts w:ascii="Arial" w:hAnsi="Arial" w:cs="Arial"/>
          <w:bCs/>
          <w:noProof/>
          <w:position w:val="7"/>
          <w:vertAlign w:val="superscript"/>
          <w:lang w:val="en-US" w:eastAsia="en-GB"/>
        </w:rPr>
        <w:t>4</w:t>
      </w:r>
      <w:r w:rsidR="00DD2AD1" w:rsidRPr="00214987">
        <w:rPr>
          <w:rFonts w:ascii="Arial" w:hAnsi="Arial" w:cs="Arial"/>
          <w:bCs/>
          <w:noProof/>
          <w:position w:val="7"/>
          <w:lang w:val="en-US" w:eastAsia="en-GB"/>
        </w:rPr>
        <w:t xml:space="preserve">, </w:t>
      </w:r>
      <w:r w:rsidR="001711F9" w:rsidRPr="00214987">
        <w:rPr>
          <w:rFonts w:ascii="Arial" w:hAnsi="Arial" w:cs="Arial"/>
          <w:bCs/>
          <w:noProof/>
          <w:position w:val="7"/>
          <w:lang w:val="en-US" w:eastAsia="en-GB"/>
        </w:rPr>
        <w:t>Peter Howarth</w:t>
      </w:r>
      <w:r w:rsidR="001711F9" w:rsidRPr="00214987">
        <w:rPr>
          <w:rFonts w:ascii="Arial" w:hAnsi="Arial" w:cs="Arial"/>
          <w:bCs/>
          <w:noProof/>
          <w:position w:val="7"/>
          <w:vertAlign w:val="superscript"/>
          <w:lang w:val="en-US" w:eastAsia="en-GB"/>
        </w:rPr>
        <w:t>2,3</w:t>
      </w:r>
      <w:r w:rsidR="001711F9" w:rsidRPr="00214987">
        <w:rPr>
          <w:rFonts w:ascii="Arial" w:hAnsi="Arial" w:cs="Arial"/>
          <w:bCs/>
          <w:noProof/>
          <w:position w:val="7"/>
          <w:lang w:val="en-US" w:eastAsia="en-GB"/>
        </w:rPr>
        <w:t xml:space="preserve"> </w:t>
      </w:r>
      <w:r w:rsidR="00B10982" w:rsidRPr="00214987">
        <w:rPr>
          <w:rFonts w:ascii="Arial" w:hAnsi="Arial" w:cs="Arial"/>
          <w:bCs/>
          <w:noProof/>
          <w:position w:val="7"/>
          <w:lang w:val="en-US" w:eastAsia="en-GB"/>
        </w:rPr>
        <w:t>S Hasan Arshad</w:t>
      </w:r>
      <w:r w:rsidR="00141C78" w:rsidRPr="00214987">
        <w:rPr>
          <w:rFonts w:ascii="Arial" w:hAnsi="Arial" w:cs="Arial"/>
          <w:bCs/>
          <w:noProof/>
          <w:position w:val="7"/>
          <w:vertAlign w:val="superscript"/>
          <w:lang w:val="en-US" w:eastAsia="en-GB"/>
        </w:rPr>
        <w:t>1,2,3</w:t>
      </w:r>
      <w:r w:rsidR="00976EBC" w:rsidRPr="00214987">
        <w:rPr>
          <w:rFonts w:ascii="Arial" w:hAnsi="Arial" w:cs="Arial"/>
          <w:bCs/>
          <w:noProof/>
          <w:position w:val="7"/>
          <w:lang w:val="en-US" w:eastAsia="en-GB"/>
        </w:rPr>
        <w:t xml:space="preserve"> </w:t>
      </w:r>
      <w:r w:rsidR="00EA5D6C" w:rsidRPr="00214987">
        <w:rPr>
          <w:rFonts w:ascii="Arial" w:hAnsi="Arial" w:cs="Arial"/>
          <w:bCs/>
          <w:noProof/>
          <w:position w:val="7"/>
          <w:lang w:val="en-US" w:eastAsia="en-GB"/>
        </w:rPr>
        <w:t>and</w:t>
      </w:r>
      <w:r w:rsidR="00646DF5" w:rsidRPr="00214987">
        <w:rPr>
          <w:rFonts w:ascii="Arial" w:hAnsi="Arial" w:cs="Arial"/>
          <w:bCs/>
          <w:noProof/>
          <w:position w:val="7"/>
          <w:lang w:val="en-US" w:eastAsia="en-GB"/>
        </w:rPr>
        <w:t xml:space="preserve"> </w:t>
      </w:r>
      <w:r w:rsidRPr="00214987">
        <w:rPr>
          <w:rFonts w:ascii="Arial" w:hAnsi="Arial" w:cs="Arial"/>
          <w:bCs/>
          <w:noProof/>
          <w:position w:val="7"/>
          <w:lang w:val="en-US" w:eastAsia="en-GB"/>
        </w:rPr>
        <w:t xml:space="preserve">Ramesh </w:t>
      </w:r>
      <w:r w:rsidR="008F0CEA" w:rsidRPr="00214987">
        <w:rPr>
          <w:rFonts w:ascii="Arial" w:hAnsi="Arial" w:cs="Arial"/>
          <w:bCs/>
          <w:noProof/>
          <w:position w:val="7"/>
          <w:lang w:val="en-US" w:eastAsia="en-GB"/>
        </w:rPr>
        <w:t xml:space="preserve">J </w:t>
      </w:r>
      <w:r w:rsidRPr="00214987">
        <w:rPr>
          <w:rFonts w:ascii="Arial" w:hAnsi="Arial" w:cs="Arial"/>
          <w:bCs/>
          <w:noProof/>
          <w:position w:val="7"/>
          <w:lang w:val="en-US" w:eastAsia="en-GB"/>
        </w:rPr>
        <w:t>Kurukulaaratchy</w:t>
      </w:r>
      <w:r w:rsidRPr="00214987">
        <w:rPr>
          <w:rFonts w:ascii="Arial" w:hAnsi="Arial" w:cs="Arial"/>
          <w:bCs/>
          <w:noProof/>
          <w:position w:val="7"/>
          <w:vertAlign w:val="superscript"/>
          <w:lang w:val="en-US" w:eastAsia="en-GB"/>
        </w:rPr>
        <w:t>1,2,</w:t>
      </w:r>
      <w:r w:rsidR="00646DF5" w:rsidRPr="00214987">
        <w:rPr>
          <w:rFonts w:ascii="Arial" w:hAnsi="Arial" w:cs="Arial"/>
          <w:bCs/>
          <w:noProof/>
          <w:position w:val="7"/>
          <w:vertAlign w:val="superscript"/>
          <w:lang w:val="en-US" w:eastAsia="en-GB"/>
        </w:rPr>
        <w:t>3</w:t>
      </w:r>
    </w:p>
    <w:p w14:paraId="37EB028F" w14:textId="77777777" w:rsidR="00AD1709" w:rsidRPr="00A4229A" w:rsidRDefault="00646DF5" w:rsidP="005D72CD">
      <w:pPr>
        <w:spacing w:after="0" w:line="480" w:lineRule="auto"/>
        <w:jc w:val="both"/>
        <w:rPr>
          <w:rFonts w:ascii="Arial" w:eastAsiaTheme="minorEastAsia" w:hAnsi="Arial" w:cs="Arial"/>
          <w:noProof/>
          <w:sz w:val="20"/>
          <w:szCs w:val="20"/>
          <w:vertAlign w:val="superscript"/>
          <w:lang w:val="en-US" w:eastAsia="zh-CN"/>
        </w:rPr>
      </w:pPr>
      <w:r w:rsidRPr="00A4229A">
        <w:rPr>
          <w:rStyle w:val="Heading1Char"/>
          <w:rFonts w:ascii="Arial" w:hAnsi="Arial" w:cs="Arial"/>
          <w:sz w:val="28"/>
          <w:szCs w:val="28"/>
        </w:rPr>
        <w:t>Affiliations:</w:t>
      </w:r>
      <w:r w:rsidRPr="00A4229A">
        <w:rPr>
          <w:rFonts w:ascii="Arial" w:hAnsi="Arial" w:cs="Arial"/>
          <w:b/>
          <w:noProof/>
          <w:position w:val="7"/>
          <w:sz w:val="20"/>
          <w:szCs w:val="20"/>
          <w:lang w:val="en-US" w:eastAsia="en-GB"/>
        </w:rPr>
        <w:t xml:space="preserve"> </w:t>
      </w:r>
    </w:p>
    <w:p w14:paraId="7263FCD9" w14:textId="0BAB7C25" w:rsidR="00AD1709" w:rsidRPr="00AD1709" w:rsidRDefault="00646DF5" w:rsidP="005D72CD">
      <w:pPr>
        <w:pStyle w:val="ListParagraph"/>
        <w:numPr>
          <w:ilvl w:val="0"/>
          <w:numId w:val="14"/>
        </w:numPr>
        <w:spacing w:after="0" w:line="480" w:lineRule="auto"/>
        <w:jc w:val="both"/>
        <w:rPr>
          <w:rFonts w:ascii="Arial" w:eastAsiaTheme="minorEastAsia" w:hAnsi="Arial" w:cs="Arial"/>
          <w:noProof/>
          <w:lang w:val="en-US" w:eastAsia="zh-CN"/>
        </w:rPr>
      </w:pPr>
      <w:r w:rsidRPr="00AD1709">
        <w:rPr>
          <w:rFonts w:ascii="Arial" w:eastAsiaTheme="minorEastAsia" w:hAnsi="Arial" w:cs="Arial"/>
          <w:noProof/>
          <w:lang w:val="en-US" w:eastAsia="zh-CN"/>
        </w:rPr>
        <w:t xml:space="preserve">David Hide Asthma and Allergy Research Centre, Isle of Wight, UK. </w:t>
      </w:r>
    </w:p>
    <w:p w14:paraId="5DD1C6D5" w14:textId="23CAFF38" w:rsidR="00AD1709" w:rsidRPr="00AD1709" w:rsidRDefault="00646DF5" w:rsidP="005D72CD">
      <w:pPr>
        <w:pStyle w:val="ListParagraph"/>
        <w:numPr>
          <w:ilvl w:val="0"/>
          <w:numId w:val="14"/>
        </w:numPr>
        <w:spacing w:after="0" w:line="480" w:lineRule="auto"/>
        <w:jc w:val="both"/>
        <w:rPr>
          <w:rFonts w:ascii="Arial" w:eastAsiaTheme="minorEastAsia" w:hAnsi="Arial" w:cs="Arial"/>
          <w:noProof/>
          <w:lang w:val="en-US" w:eastAsia="zh-CN"/>
        </w:rPr>
      </w:pPr>
      <w:r w:rsidRPr="00AD1709">
        <w:rPr>
          <w:rFonts w:ascii="Arial" w:eastAsiaTheme="minorEastAsia" w:hAnsi="Arial" w:cs="Arial"/>
          <w:noProof/>
          <w:lang w:val="en-US" w:eastAsia="zh-CN"/>
        </w:rPr>
        <w:t xml:space="preserve">Clinical and Experimental Sciences, Faculty of Medicine, University of Southampton, Southampton, UK. </w:t>
      </w:r>
    </w:p>
    <w:p w14:paraId="41B4BA75" w14:textId="77777777" w:rsidR="00AD1709" w:rsidRPr="00AD1709" w:rsidRDefault="008423B6" w:rsidP="005D72CD">
      <w:pPr>
        <w:pStyle w:val="ListParagraph"/>
        <w:numPr>
          <w:ilvl w:val="0"/>
          <w:numId w:val="14"/>
        </w:numPr>
        <w:spacing w:after="0" w:line="480" w:lineRule="auto"/>
        <w:jc w:val="both"/>
        <w:rPr>
          <w:rFonts w:ascii="Arial" w:hAnsi="Arial" w:cs="Arial"/>
          <w:noProof/>
          <w:lang w:val="en-US"/>
        </w:rPr>
      </w:pPr>
      <w:r w:rsidRPr="00AD1709">
        <w:rPr>
          <w:rFonts w:ascii="Arial" w:eastAsiaTheme="minorEastAsia" w:hAnsi="Arial" w:cs="Arial"/>
          <w:noProof/>
          <w:lang w:val="en-US" w:eastAsia="zh-CN"/>
        </w:rPr>
        <w:t xml:space="preserve">NIHR Southampton </w:t>
      </w:r>
      <w:r w:rsidR="00646DF5" w:rsidRPr="00AD1709">
        <w:rPr>
          <w:rFonts w:ascii="Arial" w:eastAsiaTheme="minorEastAsia" w:hAnsi="Arial" w:cs="Arial"/>
          <w:noProof/>
          <w:lang w:val="en-US" w:eastAsia="zh-CN"/>
        </w:rPr>
        <w:t xml:space="preserve">Biomedical Research </w:t>
      </w:r>
      <w:r w:rsidR="0014755A" w:rsidRPr="00AD1709">
        <w:rPr>
          <w:rFonts w:ascii="Arial" w:eastAsiaTheme="minorEastAsia" w:hAnsi="Arial" w:cs="Arial"/>
          <w:noProof/>
          <w:lang w:val="en-US" w:eastAsia="zh-CN"/>
        </w:rPr>
        <w:t>Centre</w:t>
      </w:r>
      <w:r w:rsidR="00646DF5" w:rsidRPr="00AD1709">
        <w:rPr>
          <w:rFonts w:ascii="Arial" w:eastAsiaTheme="minorEastAsia" w:hAnsi="Arial" w:cs="Arial"/>
          <w:noProof/>
          <w:lang w:val="en-US" w:eastAsia="zh-CN"/>
        </w:rPr>
        <w:t>, University Hospitals Southampton NHS Foundation Trust, Southampton</w:t>
      </w:r>
      <w:r w:rsidR="00C74ED4" w:rsidRPr="00AD1709">
        <w:rPr>
          <w:rFonts w:ascii="Arial" w:eastAsiaTheme="minorEastAsia" w:hAnsi="Arial" w:cs="Arial"/>
          <w:noProof/>
          <w:lang w:val="en-US" w:eastAsia="zh-CN"/>
        </w:rPr>
        <w:t>.</w:t>
      </w:r>
      <w:r w:rsidR="001C66DD" w:rsidRPr="00AD1709">
        <w:rPr>
          <w:rFonts w:ascii="Arial" w:eastAsiaTheme="minorEastAsia" w:hAnsi="Arial" w:cs="Arial"/>
          <w:noProof/>
          <w:lang w:val="en-US" w:eastAsia="zh-CN"/>
        </w:rPr>
        <w:t xml:space="preserve"> </w:t>
      </w:r>
    </w:p>
    <w:p w14:paraId="715D1597" w14:textId="4174AAD0" w:rsidR="00646DF5" w:rsidRPr="00AD1709" w:rsidRDefault="001C66DD" w:rsidP="005D72CD">
      <w:pPr>
        <w:pStyle w:val="ListParagraph"/>
        <w:numPr>
          <w:ilvl w:val="0"/>
          <w:numId w:val="14"/>
        </w:numPr>
        <w:spacing w:after="0" w:line="480" w:lineRule="auto"/>
        <w:jc w:val="both"/>
        <w:rPr>
          <w:rFonts w:ascii="Arial" w:hAnsi="Arial" w:cs="Arial"/>
          <w:noProof/>
          <w:lang w:val="en-US"/>
        </w:rPr>
      </w:pPr>
      <w:r w:rsidRPr="00AD1709">
        <w:rPr>
          <w:rFonts w:ascii="Arial" w:eastAsiaTheme="minorEastAsia" w:hAnsi="Arial" w:cs="Arial"/>
          <w:noProof/>
          <w:lang w:val="en-US" w:eastAsia="zh-CN"/>
        </w:rPr>
        <w:t>Division of Epidemiology, Biostatistics, and Environmental Health, School of Public Health, University of Memphis, Memphis, TN, USA</w:t>
      </w:r>
      <w:r w:rsidR="00646DF5" w:rsidRPr="00AD1709">
        <w:rPr>
          <w:rFonts w:ascii="Arial" w:eastAsiaTheme="minorEastAsia" w:hAnsi="Arial" w:cs="Arial"/>
          <w:noProof/>
          <w:lang w:val="en-US" w:eastAsia="zh-CN"/>
        </w:rPr>
        <w:t>.</w:t>
      </w:r>
      <w:r w:rsidR="009E29F7" w:rsidRPr="00AD1709">
        <w:rPr>
          <w:rFonts w:ascii="Arial" w:eastAsiaTheme="minorEastAsia" w:hAnsi="Arial" w:cs="Arial"/>
          <w:noProof/>
          <w:sz w:val="24"/>
          <w:szCs w:val="24"/>
          <w:lang w:val="en-US" w:eastAsia="zh-CN"/>
        </w:rPr>
        <w:t xml:space="preserve"> </w:t>
      </w:r>
    </w:p>
    <w:p w14:paraId="0D261BD8" w14:textId="65041323" w:rsidR="000151FA" w:rsidRDefault="000151FA" w:rsidP="005D72CD">
      <w:pPr>
        <w:spacing w:line="480" w:lineRule="auto"/>
        <w:rPr>
          <w:rFonts w:ascii="Arial" w:hAnsi="Arial" w:cs="Arial"/>
          <w:noProof/>
          <w:lang w:val="en-US"/>
        </w:rPr>
      </w:pPr>
      <w:r w:rsidRPr="00214987">
        <w:rPr>
          <w:rFonts w:ascii="Arial" w:hAnsi="Arial" w:cs="Arial"/>
          <w:noProof/>
          <w:lang w:val="en-US"/>
        </w:rPr>
        <w:t>*contributed equally</w:t>
      </w:r>
    </w:p>
    <w:p w14:paraId="19D141F9" w14:textId="31CC4E81" w:rsidR="004E0C8A" w:rsidRPr="00A4229A" w:rsidRDefault="004E0C8A" w:rsidP="00AD1709">
      <w:pPr>
        <w:pStyle w:val="Heading1"/>
        <w:rPr>
          <w:rFonts w:ascii="Arial" w:hAnsi="Arial" w:cs="Arial"/>
          <w:noProof/>
          <w:sz w:val="28"/>
          <w:szCs w:val="28"/>
        </w:rPr>
      </w:pPr>
      <w:r w:rsidRPr="00A4229A">
        <w:rPr>
          <w:rFonts w:ascii="Arial" w:hAnsi="Arial" w:cs="Arial"/>
          <w:noProof/>
          <w:sz w:val="28"/>
          <w:szCs w:val="28"/>
        </w:rPr>
        <w:t>Corresponding Author</w:t>
      </w:r>
    </w:p>
    <w:p w14:paraId="05EC82C2" w14:textId="77777777" w:rsidR="00A4229A" w:rsidRPr="00A4229A" w:rsidRDefault="00A4229A" w:rsidP="00A4229A">
      <w:pPr>
        <w:rPr>
          <w:lang w:val="en-US"/>
        </w:rPr>
      </w:pPr>
    </w:p>
    <w:p w14:paraId="6871DE0D" w14:textId="77E0B032" w:rsidR="004E0C8A" w:rsidRPr="00214987" w:rsidRDefault="004E0C8A" w:rsidP="005D72CD">
      <w:pPr>
        <w:spacing w:after="120" w:line="480" w:lineRule="auto"/>
        <w:rPr>
          <w:rFonts w:ascii="Arial" w:hAnsi="Arial" w:cs="Arial"/>
          <w:noProof/>
          <w:lang w:val="en-US"/>
        </w:rPr>
      </w:pPr>
      <w:r w:rsidRPr="00214987">
        <w:rPr>
          <w:rFonts w:ascii="Arial" w:hAnsi="Arial" w:cs="Arial"/>
          <w:bCs/>
          <w:noProof/>
          <w:position w:val="7"/>
          <w:lang w:val="en-US" w:eastAsia="en-GB"/>
        </w:rPr>
        <w:t xml:space="preserve">Dr. Ramesh </w:t>
      </w:r>
      <w:r w:rsidR="00D07164" w:rsidRPr="00214987">
        <w:rPr>
          <w:rFonts w:ascii="Arial" w:hAnsi="Arial" w:cs="Arial"/>
          <w:bCs/>
          <w:noProof/>
          <w:position w:val="7"/>
          <w:lang w:val="en-US" w:eastAsia="en-GB"/>
        </w:rPr>
        <w:t xml:space="preserve">J </w:t>
      </w:r>
      <w:r w:rsidRPr="00214987">
        <w:rPr>
          <w:rFonts w:ascii="Arial" w:hAnsi="Arial" w:cs="Arial"/>
          <w:bCs/>
          <w:noProof/>
          <w:position w:val="7"/>
          <w:lang w:val="en-US" w:eastAsia="en-GB"/>
        </w:rPr>
        <w:t>Kurukulaaratchy</w:t>
      </w:r>
      <w:r w:rsidRPr="00214987">
        <w:rPr>
          <w:rFonts w:ascii="Arial" w:hAnsi="Arial" w:cs="Arial"/>
          <w:noProof/>
          <w:lang w:val="en-US"/>
        </w:rPr>
        <w:t xml:space="preserve"> </w:t>
      </w:r>
    </w:p>
    <w:p w14:paraId="2AC33ABD" w14:textId="76AA76AA" w:rsidR="004E0C8A" w:rsidRPr="00214987" w:rsidRDefault="004E0C8A" w:rsidP="005D72CD">
      <w:pPr>
        <w:spacing w:after="120" w:line="480" w:lineRule="auto"/>
        <w:rPr>
          <w:rFonts w:ascii="Arial" w:hAnsi="Arial" w:cs="Arial"/>
          <w:noProof/>
          <w:lang w:val="en-US"/>
        </w:rPr>
      </w:pPr>
      <w:r w:rsidRPr="00214987">
        <w:rPr>
          <w:rFonts w:ascii="Arial" w:hAnsi="Arial" w:cs="Arial"/>
          <w:noProof/>
          <w:lang w:val="en-US"/>
        </w:rPr>
        <w:t>David Hide Asthma and Allergy Research Centre, Isle of Wight.</w:t>
      </w:r>
    </w:p>
    <w:p w14:paraId="0E16E470" w14:textId="3F8F472E" w:rsidR="004E0C8A" w:rsidRPr="00214987" w:rsidRDefault="004E0C8A" w:rsidP="005D72CD">
      <w:pPr>
        <w:spacing w:after="120" w:line="480" w:lineRule="auto"/>
        <w:rPr>
          <w:rFonts w:ascii="Arial" w:hAnsi="Arial" w:cs="Arial"/>
          <w:noProof/>
          <w:lang w:val="en-US"/>
        </w:rPr>
      </w:pPr>
      <w:r w:rsidRPr="00214987">
        <w:rPr>
          <w:rFonts w:ascii="Arial" w:hAnsi="Arial" w:cs="Arial"/>
          <w:noProof/>
          <w:lang w:val="en-US"/>
        </w:rPr>
        <w:t xml:space="preserve">&amp; School of Clinical and Experimental Sciences, Faculty of Medicine, University of Southampton </w:t>
      </w:r>
      <w:r w:rsidRPr="00214987">
        <w:rPr>
          <w:rFonts w:ascii="Arial" w:hAnsi="Arial" w:cs="Arial"/>
          <w:noProof/>
          <w:sz w:val="16"/>
          <w:szCs w:val="16"/>
          <w:lang w:val="en-US"/>
        </w:rPr>
        <w:br/>
      </w:r>
      <w:r w:rsidR="00F745C3" w:rsidRPr="00214987">
        <w:rPr>
          <w:rFonts w:ascii="Arial" w:hAnsi="Arial" w:cs="Arial"/>
          <w:noProof/>
          <w:lang w:val="en-US"/>
        </w:rPr>
        <w:t>&amp; NIHR</w:t>
      </w:r>
      <w:r w:rsidRPr="00214987">
        <w:rPr>
          <w:rFonts w:ascii="Arial" w:hAnsi="Arial" w:cs="Arial"/>
          <w:noProof/>
          <w:lang w:val="en-US"/>
        </w:rPr>
        <w:t xml:space="preserve"> Southampton Biomedical Research Centre, University Hospital Southampton</w:t>
      </w:r>
      <w:r w:rsidRPr="00214987">
        <w:rPr>
          <w:rFonts w:ascii="Arial" w:hAnsi="Arial" w:cs="Arial"/>
          <w:noProof/>
          <w:lang w:val="en-US"/>
        </w:rPr>
        <w:br/>
        <w:t xml:space="preserve">NHS Foundation Trust, UK    </w:t>
      </w:r>
      <w:r w:rsidRPr="00214987">
        <w:rPr>
          <w:rFonts w:ascii="Arial" w:hAnsi="Arial" w:cs="Arial"/>
          <w:noProof/>
          <w:lang w:val="en-US"/>
        </w:rPr>
        <w:br/>
      </w:r>
      <w:r w:rsidRPr="00214987">
        <w:rPr>
          <w:rFonts w:ascii="Arial" w:hAnsi="Arial" w:cs="Arial"/>
          <w:noProof/>
          <w:lang w:val="en-US"/>
        </w:rPr>
        <w:lastRenderedPageBreak/>
        <w:t>Level F, South Academic Block, Southampton General Hospital</w:t>
      </w:r>
      <w:r w:rsidR="00C40F24" w:rsidRPr="00214987">
        <w:rPr>
          <w:rFonts w:ascii="Arial" w:hAnsi="Arial" w:cs="Arial"/>
          <w:noProof/>
          <w:lang w:val="en-US"/>
        </w:rPr>
        <w:t xml:space="preserve">, </w:t>
      </w:r>
      <w:r w:rsidRPr="00214987">
        <w:rPr>
          <w:rFonts w:ascii="Arial" w:hAnsi="Arial" w:cs="Arial"/>
          <w:noProof/>
          <w:lang w:val="en-US"/>
        </w:rPr>
        <w:t>Southampton SO16 6YD, United Kingdom</w:t>
      </w:r>
      <w:r w:rsidR="00C40F24" w:rsidRPr="00214987">
        <w:rPr>
          <w:rFonts w:ascii="Arial" w:hAnsi="Arial" w:cs="Arial"/>
          <w:noProof/>
          <w:lang w:val="en-US"/>
        </w:rPr>
        <w:t>.</w:t>
      </w:r>
    </w:p>
    <w:p w14:paraId="1F4654F6" w14:textId="30A2984D" w:rsidR="004E0C8A" w:rsidRDefault="004E0C8A" w:rsidP="005D72CD">
      <w:pPr>
        <w:spacing w:line="480" w:lineRule="auto"/>
        <w:rPr>
          <w:rFonts w:ascii="Arial" w:hAnsi="Arial" w:cs="Arial"/>
          <w:noProof/>
          <w:lang w:val="en-US"/>
        </w:rPr>
      </w:pPr>
      <w:r w:rsidRPr="00214987">
        <w:rPr>
          <w:rFonts w:ascii="Arial" w:hAnsi="Arial" w:cs="Arial"/>
          <w:noProof/>
          <w:lang w:val="en-US"/>
        </w:rPr>
        <w:t xml:space="preserve">Email:     </w:t>
      </w:r>
      <w:hyperlink r:id="rId8" w:history="1">
        <w:r w:rsidR="00AD1709" w:rsidRPr="00CF3954">
          <w:rPr>
            <w:rStyle w:val="Hyperlink"/>
            <w:rFonts w:ascii="Arial" w:hAnsi="Arial" w:cs="Arial"/>
            <w:noProof/>
            <w:lang w:val="en-US"/>
          </w:rPr>
          <w:t>R.J.Kurukulaaratchy@soton.ac.uk</w:t>
        </w:r>
      </w:hyperlink>
    </w:p>
    <w:p w14:paraId="0FC27A82" w14:textId="5EC93A86" w:rsidR="00AD1709" w:rsidRPr="00AD1709" w:rsidRDefault="00AD1709" w:rsidP="005D72CD">
      <w:pPr>
        <w:spacing w:line="480" w:lineRule="auto"/>
        <w:rPr>
          <w:rFonts w:ascii="Arial" w:hAnsi="Arial" w:cs="Arial"/>
          <w:noProof/>
          <w:lang w:val="en-US"/>
        </w:rPr>
      </w:pPr>
      <w:r w:rsidRPr="00AD1709">
        <w:rPr>
          <w:rFonts w:ascii="Arial" w:hAnsi="Arial" w:cs="Arial"/>
          <w:color w:val="000000"/>
        </w:rPr>
        <w:t>Tel: +442381 208790</w:t>
      </w:r>
    </w:p>
    <w:p w14:paraId="2B5A3095" w14:textId="77777777" w:rsidR="00AD1709" w:rsidRDefault="00AD1709" w:rsidP="009B5FF7">
      <w:pPr>
        <w:rPr>
          <w:rFonts w:ascii="Arial" w:hAnsi="Arial" w:cs="Arial"/>
          <w:b/>
          <w:bCs/>
          <w:noProof/>
          <w:sz w:val="20"/>
          <w:szCs w:val="20"/>
          <w:lang w:val="en-US"/>
        </w:rPr>
      </w:pPr>
    </w:p>
    <w:p w14:paraId="13F108F8" w14:textId="36014E45" w:rsidR="00AD1709" w:rsidRDefault="009B5FF7" w:rsidP="005D72CD">
      <w:pPr>
        <w:pStyle w:val="Heading1"/>
        <w:rPr>
          <w:rFonts w:ascii="Arial" w:hAnsi="Arial" w:cs="Arial"/>
          <w:noProof/>
          <w:sz w:val="24"/>
          <w:szCs w:val="24"/>
        </w:rPr>
      </w:pPr>
      <w:r w:rsidRPr="00A4229A">
        <w:rPr>
          <w:rFonts w:ascii="Arial" w:hAnsi="Arial" w:cs="Arial"/>
          <w:noProof/>
          <w:sz w:val="24"/>
          <w:szCs w:val="24"/>
        </w:rPr>
        <w:t>Conflict of interest</w:t>
      </w:r>
      <w:r w:rsidR="0089694F" w:rsidRPr="00A4229A">
        <w:rPr>
          <w:rFonts w:ascii="Arial" w:hAnsi="Arial" w:cs="Arial"/>
          <w:noProof/>
          <w:sz w:val="24"/>
          <w:szCs w:val="24"/>
        </w:rPr>
        <w:t xml:space="preserve"> statement</w:t>
      </w:r>
      <w:r w:rsidRPr="00A4229A">
        <w:rPr>
          <w:rFonts w:ascii="Arial" w:hAnsi="Arial" w:cs="Arial"/>
          <w:noProof/>
          <w:sz w:val="24"/>
          <w:szCs w:val="24"/>
        </w:rPr>
        <w:t xml:space="preserve">:  </w:t>
      </w:r>
    </w:p>
    <w:p w14:paraId="6B247A64" w14:textId="77777777" w:rsidR="00A4229A" w:rsidRPr="00A4229A" w:rsidRDefault="00A4229A" w:rsidP="00A4229A">
      <w:pPr>
        <w:rPr>
          <w:lang w:val="en-US"/>
        </w:rPr>
      </w:pPr>
    </w:p>
    <w:p w14:paraId="14CAEBBA" w14:textId="0C14C5B3" w:rsidR="009B5FF7" w:rsidRPr="00214987" w:rsidRDefault="009B5FF7" w:rsidP="005D72CD">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PD received a non-promotional grant from Novartis for the WATCH study for data entry clerk funding. PH is an employee of GlaxoSmithKline. No conflicts exist for </w:t>
      </w:r>
      <w:r w:rsidR="00CD2A9A" w:rsidRPr="00214987">
        <w:rPr>
          <w:rFonts w:ascii="Arial" w:hAnsi="Arial" w:cs="Arial"/>
          <w:noProof/>
          <w:sz w:val="20"/>
          <w:szCs w:val="20"/>
          <w:lang w:val="en-US"/>
        </w:rPr>
        <w:t>WCGF, AA, DK, HM, AF, MF, AK, MH, HZ, SHA and RJK.</w:t>
      </w:r>
    </w:p>
    <w:p w14:paraId="3D2A6949" w14:textId="77777777" w:rsidR="005D72CD" w:rsidRPr="00A4229A" w:rsidRDefault="00687573" w:rsidP="00687573">
      <w:pPr>
        <w:spacing w:after="280" w:line="360" w:lineRule="auto"/>
        <w:rPr>
          <w:rFonts w:ascii="Arial" w:hAnsi="Arial" w:cs="Arial"/>
          <w:b/>
          <w:bCs/>
          <w:noProof/>
          <w:sz w:val="16"/>
          <w:szCs w:val="16"/>
          <w:lang w:val="en-US"/>
        </w:rPr>
      </w:pPr>
      <w:r w:rsidRPr="00A4229A">
        <w:rPr>
          <w:rStyle w:val="Heading1Char"/>
          <w:rFonts w:ascii="Arial" w:hAnsi="Arial" w:cs="Arial"/>
          <w:sz w:val="24"/>
          <w:szCs w:val="24"/>
        </w:rPr>
        <w:t>Funding</w:t>
      </w:r>
      <w:r w:rsidR="000A2F89" w:rsidRPr="00A4229A">
        <w:rPr>
          <w:rStyle w:val="Heading1Char"/>
          <w:rFonts w:ascii="Arial" w:hAnsi="Arial" w:cs="Arial"/>
          <w:sz w:val="24"/>
          <w:szCs w:val="24"/>
        </w:rPr>
        <w:t xml:space="preserve"> </w:t>
      </w:r>
      <w:r w:rsidR="008C6CE9" w:rsidRPr="00A4229A">
        <w:rPr>
          <w:rStyle w:val="Heading1Char"/>
          <w:rFonts w:ascii="Arial" w:hAnsi="Arial" w:cs="Arial"/>
          <w:sz w:val="24"/>
          <w:szCs w:val="24"/>
        </w:rPr>
        <w:t>Statement</w:t>
      </w:r>
      <w:r w:rsidRPr="00A4229A">
        <w:rPr>
          <w:rStyle w:val="Heading1Char"/>
          <w:rFonts w:ascii="Arial" w:hAnsi="Arial" w:cs="Arial"/>
          <w:sz w:val="24"/>
          <w:szCs w:val="24"/>
        </w:rPr>
        <w:t>:</w:t>
      </w:r>
      <w:r w:rsidRPr="00A4229A">
        <w:rPr>
          <w:rFonts w:ascii="Arial" w:hAnsi="Arial" w:cs="Arial"/>
          <w:b/>
          <w:bCs/>
          <w:noProof/>
          <w:sz w:val="16"/>
          <w:szCs w:val="16"/>
          <w:lang w:val="en-US"/>
        </w:rPr>
        <w:t xml:space="preserve"> </w:t>
      </w:r>
    </w:p>
    <w:p w14:paraId="7B553B94" w14:textId="0497587D" w:rsidR="00687573" w:rsidRDefault="00687573" w:rsidP="005D72CD">
      <w:pPr>
        <w:spacing w:after="280" w:line="480" w:lineRule="auto"/>
        <w:rPr>
          <w:rFonts w:ascii="Arial" w:hAnsi="Arial" w:cs="Arial"/>
          <w:noProof/>
          <w:sz w:val="20"/>
          <w:szCs w:val="20"/>
          <w:lang w:val="en-US"/>
        </w:rPr>
      </w:pPr>
      <w:r w:rsidRPr="00214987">
        <w:rPr>
          <w:rFonts w:ascii="Arial" w:hAnsi="Arial" w:cs="Arial"/>
          <w:noProof/>
          <w:sz w:val="20"/>
          <w:szCs w:val="20"/>
          <w:lang w:val="en-US"/>
        </w:rPr>
        <w:t>The WATCH study received</w:t>
      </w:r>
      <w:r w:rsidRPr="00214987">
        <w:rPr>
          <w:rFonts w:ascii="Arial" w:hAnsi="Arial" w:cs="Arial"/>
          <w:b/>
          <w:bCs/>
          <w:noProof/>
          <w:sz w:val="20"/>
          <w:szCs w:val="20"/>
          <w:lang w:val="en-US"/>
        </w:rPr>
        <w:t xml:space="preserve"> </w:t>
      </w:r>
      <w:r w:rsidRPr="00214987">
        <w:rPr>
          <w:rFonts w:ascii="Arial" w:hAnsi="Arial" w:cs="Arial"/>
          <w:noProof/>
          <w:sz w:val="20"/>
          <w:szCs w:val="20"/>
          <w:lang w:val="en-US"/>
        </w:rPr>
        <w:t>a non-promotional grant from Novartis (£35,000) and initial assistance through a charitable grant (£3,500) for relevant patient costs (e.g. parking) from the Asthma, Allergy &amp; Inflammation Research Charity.  The WATCH study itself is not externally funded.</w:t>
      </w:r>
    </w:p>
    <w:p w14:paraId="09528ED5" w14:textId="77777777" w:rsidR="005D72CD" w:rsidRPr="00A4229A" w:rsidRDefault="008C6CE9" w:rsidP="00687573">
      <w:pPr>
        <w:spacing w:after="280" w:line="360" w:lineRule="auto"/>
        <w:rPr>
          <w:rFonts w:ascii="Arial" w:hAnsi="Arial" w:cs="Arial"/>
          <w:noProof/>
          <w:sz w:val="16"/>
          <w:szCs w:val="16"/>
          <w:lang w:val="en-US"/>
        </w:rPr>
      </w:pPr>
      <w:r w:rsidRPr="00A4229A">
        <w:rPr>
          <w:rStyle w:val="Heading1Char"/>
          <w:rFonts w:ascii="Arial" w:hAnsi="Arial" w:cs="Arial"/>
          <w:sz w:val="24"/>
          <w:szCs w:val="24"/>
        </w:rPr>
        <w:t>Data availability statement:</w:t>
      </w:r>
      <w:r w:rsidRPr="00A4229A">
        <w:rPr>
          <w:rFonts w:ascii="Arial" w:hAnsi="Arial" w:cs="Arial"/>
          <w:noProof/>
          <w:sz w:val="16"/>
          <w:szCs w:val="16"/>
          <w:lang w:val="en-US"/>
        </w:rPr>
        <w:t xml:space="preserve">  </w:t>
      </w:r>
    </w:p>
    <w:p w14:paraId="3C0E36F6" w14:textId="667ACAF7" w:rsidR="008C6CE9" w:rsidRDefault="008C6CE9" w:rsidP="00687573">
      <w:pPr>
        <w:spacing w:after="280" w:line="360" w:lineRule="auto"/>
        <w:rPr>
          <w:rFonts w:ascii="Arial" w:hAnsi="Arial" w:cs="Arial"/>
          <w:noProof/>
          <w:sz w:val="20"/>
          <w:szCs w:val="20"/>
          <w:lang w:val="en-US"/>
        </w:rPr>
      </w:pPr>
      <w:r w:rsidRPr="008C6CE9">
        <w:rPr>
          <w:rFonts w:ascii="Arial" w:hAnsi="Arial" w:cs="Arial"/>
          <w:color w:val="1C1D1E"/>
          <w:sz w:val="20"/>
          <w:szCs w:val="20"/>
          <w:shd w:val="clear" w:color="auto" w:fill="FFFFFF"/>
        </w:rPr>
        <w:t>Data</w:t>
      </w:r>
      <w:r w:rsidR="00260269">
        <w:rPr>
          <w:rFonts w:ascii="Arial" w:hAnsi="Arial" w:cs="Arial"/>
          <w:color w:val="1C1D1E"/>
          <w:sz w:val="20"/>
          <w:szCs w:val="20"/>
          <w:shd w:val="clear" w:color="auto" w:fill="FFFFFF"/>
        </w:rPr>
        <w:t xml:space="preserve"> are</w:t>
      </w:r>
      <w:r w:rsidRPr="008C6CE9">
        <w:rPr>
          <w:rFonts w:ascii="Arial" w:hAnsi="Arial" w:cs="Arial"/>
          <w:color w:val="1C1D1E"/>
          <w:sz w:val="20"/>
          <w:szCs w:val="20"/>
          <w:shd w:val="clear" w:color="auto" w:fill="FFFFFF"/>
        </w:rPr>
        <w:t xml:space="preserve"> available </w:t>
      </w:r>
      <w:r>
        <w:rPr>
          <w:rFonts w:ascii="Arial" w:hAnsi="Arial" w:cs="Arial"/>
          <w:color w:val="1C1D1E"/>
          <w:sz w:val="20"/>
          <w:szCs w:val="20"/>
          <w:shd w:val="clear" w:color="auto" w:fill="FFFFFF"/>
        </w:rPr>
        <w:t>upon reasonable</w:t>
      </w:r>
      <w:r w:rsidRPr="008C6CE9">
        <w:rPr>
          <w:rFonts w:ascii="Arial" w:hAnsi="Arial" w:cs="Arial"/>
          <w:color w:val="1C1D1E"/>
          <w:sz w:val="20"/>
          <w:szCs w:val="20"/>
          <w:shd w:val="clear" w:color="auto" w:fill="FFFFFF"/>
        </w:rPr>
        <w:t xml:space="preserve"> request from the </w:t>
      </w:r>
      <w:r>
        <w:rPr>
          <w:rFonts w:ascii="Arial" w:hAnsi="Arial" w:cs="Arial"/>
          <w:color w:val="1C1D1E"/>
          <w:sz w:val="20"/>
          <w:szCs w:val="20"/>
          <w:shd w:val="clear" w:color="auto" w:fill="FFFFFF"/>
        </w:rPr>
        <w:t xml:space="preserve">corresponding </w:t>
      </w:r>
      <w:r w:rsidRPr="008C6CE9">
        <w:rPr>
          <w:rFonts w:ascii="Arial" w:hAnsi="Arial" w:cs="Arial"/>
          <w:color w:val="1C1D1E"/>
          <w:sz w:val="20"/>
          <w:szCs w:val="20"/>
          <w:shd w:val="clear" w:color="auto" w:fill="FFFFFF"/>
        </w:rPr>
        <w:t>author</w:t>
      </w:r>
      <w:r>
        <w:rPr>
          <w:rFonts w:ascii="Arial" w:hAnsi="Arial" w:cs="Arial"/>
          <w:color w:val="1C1D1E"/>
          <w:sz w:val="20"/>
          <w:szCs w:val="20"/>
          <w:shd w:val="clear" w:color="auto" w:fill="FFFFFF"/>
        </w:rPr>
        <w:t>.</w:t>
      </w:r>
    </w:p>
    <w:p w14:paraId="3A1047A8" w14:textId="77777777" w:rsidR="008C6CE9" w:rsidRDefault="008C6CE9">
      <w:pPr>
        <w:rPr>
          <w:rFonts w:ascii="Arial" w:hAnsi="Arial" w:cs="Arial"/>
          <w:b/>
          <w:noProof/>
          <w:sz w:val="28"/>
          <w:szCs w:val="28"/>
          <w:lang w:val="en-US"/>
        </w:rPr>
      </w:pPr>
      <w:r>
        <w:rPr>
          <w:rFonts w:ascii="Arial" w:hAnsi="Arial" w:cs="Arial"/>
          <w:b/>
          <w:noProof/>
          <w:sz w:val="28"/>
          <w:szCs w:val="28"/>
          <w:lang w:val="en-US"/>
        </w:rPr>
        <w:br w:type="page"/>
      </w:r>
    </w:p>
    <w:p w14:paraId="4E36B83D" w14:textId="10AC482B" w:rsidR="005D24CB" w:rsidRPr="00A4229A" w:rsidRDefault="00B665B0" w:rsidP="005D72CD">
      <w:pPr>
        <w:pStyle w:val="Heading1"/>
        <w:rPr>
          <w:rFonts w:ascii="Arial" w:hAnsi="Arial" w:cs="Arial"/>
          <w:noProof/>
        </w:rPr>
      </w:pPr>
      <w:r w:rsidRPr="00A4229A">
        <w:rPr>
          <w:rFonts w:ascii="Arial" w:hAnsi="Arial" w:cs="Arial"/>
          <w:noProof/>
        </w:rPr>
        <w:lastRenderedPageBreak/>
        <w:t>A</w:t>
      </w:r>
      <w:r w:rsidR="00F417E5">
        <w:rPr>
          <w:rFonts w:ascii="Arial" w:hAnsi="Arial" w:cs="Arial"/>
          <w:noProof/>
        </w:rPr>
        <w:t>bstract</w:t>
      </w:r>
    </w:p>
    <w:p w14:paraId="53B8EE18" w14:textId="77777777" w:rsidR="000D48BF" w:rsidRPr="00214987" w:rsidRDefault="000D48BF" w:rsidP="00D3213D">
      <w:pPr>
        <w:rPr>
          <w:rFonts w:ascii="Arial" w:hAnsi="Arial" w:cs="Arial"/>
          <w:b/>
          <w:noProof/>
          <w:sz w:val="28"/>
          <w:szCs w:val="28"/>
          <w:lang w:val="en-US"/>
        </w:rPr>
      </w:pPr>
    </w:p>
    <w:p w14:paraId="39A77D11" w14:textId="656D6823" w:rsidR="00D5483C" w:rsidRPr="004A24DB" w:rsidRDefault="00D5483C" w:rsidP="00513F06">
      <w:pPr>
        <w:spacing w:line="480" w:lineRule="auto"/>
        <w:rPr>
          <w:rFonts w:ascii="Arial" w:hAnsi="Arial" w:cs="Arial"/>
          <w:bCs/>
          <w:noProof/>
          <w:sz w:val="20"/>
          <w:szCs w:val="20"/>
        </w:rPr>
      </w:pPr>
      <w:r w:rsidRPr="004A24DB">
        <w:rPr>
          <w:rFonts w:ascii="Arial" w:hAnsi="Arial" w:cs="Arial"/>
          <w:b/>
          <w:noProof/>
          <w:sz w:val="20"/>
          <w:szCs w:val="20"/>
        </w:rPr>
        <w:t>Background</w:t>
      </w:r>
      <w:r w:rsidRPr="004A24DB">
        <w:rPr>
          <w:rFonts w:ascii="Arial" w:hAnsi="Arial" w:cs="Arial"/>
          <w:b/>
          <w:noProof/>
          <w:sz w:val="20"/>
          <w:szCs w:val="20"/>
        </w:rPr>
        <w:br/>
      </w:r>
      <w:r w:rsidRPr="004A24DB">
        <w:rPr>
          <w:rFonts w:ascii="Arial" w:hAnsi="Arial" w:cs="Arial"/>
          <w:bCs/>
          <w:noProof/>
          <w:sz w:val="20"/>
          <w:szCs w:val="20"/>
        </w:rPr>
        <w:t>Omalizumab and Mepolizumab are biologic drugs with proven efficacy in clinical trials. However, a better understanding of their real-world eff</w:t>
      </w:r>
      <w:r w:rsidR="00697B26">
        <w:rPr>
          <w:rFonts w:ascii="Arial" w:hAnsi="Arial" w:cs="Arial"/>
          <w:bCs/>
          <w:noProof/>
          <w:sz w:val="20"/>
          <w:szCs w:val="20"/>
        </w:rPr>
        <w:t>ectiveness</w:t>
      </w:r>
      <w:r w:rsidRPr="004A24DB">
        <w:rPr>
          <w:rFonts w:ascii="Arial" w:hAnsi="Arial" w:cs="Arial"/>
          <w:bCs/>
          <w:noProof/>
          <w:sz w:val="20"/>
          <w:szCs w:val="20"/>
        </w:rPr>
        <w:t xml:space="preserve"> in severe asthma management is needed. </w:t>
      </w:r>
    </w:p>
    <w:p w14:paraId="6975C366" w14:textId="23A842F7" w:rsidR="00D5483C" w:rsidRPr="004A24DB" w:rsidRDefault="00D5483C" w:rsidP="00513F06">
      <w:pPr>
        <w:spacing w:line="480" w:lineRule="auto"/>
        <w:rPr>
          <w:rFonts w:ascii="Arial" w:hAnsi="Arial" w:cs="Arial"/>
          <w:bCs/>
          <w:sz w:val="20"/>
          <w:szCs w:val="20"/>
        </w:rPr>
      </w:pPr>
      <w:r w:rsidRPr="004A24DB">
        <w:rPr>
          <w:rFonts w:ascii="Arial" w:hAnsi="Arial" w:cs="Arial"/>
          <w:b/>
          <w:noProof/>
          <w:sz w:val="20"/>
          <w:szCs w:val="20"/>
        </w:rPr>
        <w:t>Objectives</w:t>
      </w:r>
      <w:r w:rsidRPr="004A24DB">
        <w:rPr>
          <w:rFonts w:ascii="Arial" w:hAnsi="Arial" w:cs="Arial"/>
          <w:bCs/>
          <w:noProof/>
          <w:sz w:val="20"/>
          <w:szCs w:val="20"/>
        </w:rPr>
        <w:br/>
      </w:r>
      <w:r w:rsidRPr="004A24DB">
        <w:rPr>
          <w:rFonts w:ascii="Arial" w:hAnsi="Arial" w:cs="Arial"/>
          <w:bCs/>
          <w:sz w:val="20"/>
          <w:szCs w:val="20"/>
        </w:rPr>
        <w:t>To better understand the real-world effectiveness of Omalizumab and Mepolizumab, elucidate the clinical phenotypes of patients treated with these drugs</w:t>
      </w:r>
      <w:r w:rsidR="00582B97">
        <w:rPr>
          <w:rFonts w:ascii="Arial" w:hAnsi="Arial" w:cs="Arial"/>
          <w:bCs/>
          <w:sz w:val="20"/>
          <w:szCs w:val="20"/>
        </w:rPr>
        <w:t>,</w:t>
      </w:r>
      <w:r w:rsidRPr="004A24DB">
        <w:rPr>
          <w:rFonts w:ascii="Arial" w:hAnsi="Arial" w:cs="Arial"/>
          <w:bCs/>
          <w:sz w:val="20"/>
          <w:szCs w:val="20"/>
        </w:rPr>
        <w:t xml:space="preserve"> identify baseline characteristics associated with </w:t>
      </w:r>
      <w:r w:rsidR="002D6511">
        <w:rPr>
          <w:rFonts w:ascii="Arial" w:hAnsi="Arial" w:cs="Arial"/>
          <w:bCs/>
          <w:sz w:val="20"/>
          <w:szCs w:val="20"/>
        </w:rPr>
        <w:t xml:space="preserve">biologic </w:t>
      </w:r>
      <w:r w:rsidRPr="004A24DB">
        <w:rPr>
          <w:rFonts w:ascii="Arial" w:hAnsi="Arial" w:cs="Arial"/>
          <w:bCs/>
          <w:sz w:val="20"/>
          <w:szCs w:val="20"/>
        </w:rPr>
        <w:t>response</w:t>
      </w:r>
      <w:r w:rsidR="00582B97">
        <w:rPr>
          <w:rFonts w:ascii="Arial" w:hAnsi="Arial" w:cs="Arial"/>
          <w:bCs/>
          <w:sz w:val="20"/>
          <w:szCs w:val="20"/>
        </w:rPr>
        <w:t xml:space="preserve"> and assess the spectrum of responses to these </w:t>
      </w:r>
      <w:r w:rsidR="00832524">
        <w:rPr>
          <w:rFonts w:ascii="Arial" w:hAnsi="Arial" w:cs="Arial"/>
          <w:bCs/>
          <w:sz w:val="20"/>
          <w:szCs w:val="20"/>
        </w:rPr>
        <w:t>medication</w:t>
      </w:r>
      <w:r w:rsidR="002D6511">
        <w:rPr>
          <w:rFonts w:ascii="Arial" w:hAnsi="Arial" w:cs="Arial"/>
          <w:bCs/>
          <w:sz w:val="20"/>
          <w:szCs w:val="20"/>
        </w:rPr>
        <w:t>s</w:t>
      </w:r>
      <w:r w:rsidRPr="004A24DB">
        <w:rPr>
          <w:rFonts w:ascii="Arial" w:hAnsi="Arial" w:cs="Arial"/>
          <w:bCs/>
          <w:sz w:val="20"/>
          <w:szCs w:val="20"/>
        </w:rPr>
        <w:t>.</w:t>
      </w:r>
    </w:p>
    <w:p w14:paraId="65D6122B" w14:textId="5D48EB56" w:rsidR="00D5483C" w:rsidRPr="004A24DB" w:rsidRDefault="00D5483C" w:rsidP="00513F06">
      <w:pPr>
        <w:spacing w:line="480" w:lineRule="auto"/>
        <w:rPr>
          <w:rFonts w:ascii="Arial" w:hAnsi="Arial" w:cs="Arial"/>
          <w:bCs/>
          <w:noProof/>
          <w:sz w:val="20"/>
          <w:szCs w:val="20"/>
        </w:rPr>
      </w:pPr>
      <w:r w:rsidRPr="004A24DB">
        <w:rPr>
          <w:rFonts w:ascii="Arial" w:hAnsi="Arial" w:cs="Arial"/>
          <w:b/>
          <w:noProof/>
          <w:sz w:val="20"/>
          <w:szCs w:val="20"/>
        </w:rPr>
        <w:t>Methods</w:t>
      </w:r>
      <w:r w:rsidRPr="004A24DB">
        <w:rPr>
          <w:rFonts w:ascii="Arial" w:hAnsi="Arial" w:cs="Arial"/>
          <w:bCs/>
          <w:noProof/>
          <w:sz w:val="20"/>
          <w:szCs w:val="20"/>
        </w:rPr>
        <w:br/>
        <w:t>Using real-world clinical data,</w:t>
      </w:r>
      <w:r w:rsidR="00A269FC">
        <w:rPr>
          <w:rFonts w:ascii="Arial" w:hAnsi="Arial" w:cs="Arial"/>
          <w:bCs/>
          <w:noProof/>
          <w:sz w:val="20"/>
          <w:szCs w:val="20"/>
        </w:rPr>
        <w:t xml:space="preserve"> </w:t>
      </w:r>
      <w:r w:rsidRPr="004A24DB">
        <w:rPr>
          <w:rFonts w:ascii="Arial" w:hAnsi="Arial" w:cs="Arial"/>
          <w:bCs/>
          <w:noProof/>
          <w:sz w:val="20"/>
          <w:szCs w:val="20"/>
        </w:rPr>
        <w:t xml:space="preserve"> we retrospectively phenotyped biologic naïve patients from the </w:t>
      </w:r>
      <w:r w:rsidRPr="004A24DB">
        <w:rPr>
          <w:rFonts w:ascii="Arial" w:hAnsi="Arial" w:cs="Arial"/>
          <w:bCs/>
          <w:sz w:val="20"/>
          <w:szCs w:val="20"/>
        </w:rPr>
        <w:t xml:space="preserve">Wessex </w:t>
      </w:r>
      <w:proofErr w:type="spellStart"/>
      <w:r w:rsidRPr="004A24DB">
        <w:rPr>
          <w:rFonts w:ascii="Arial" w:hAnsi="Arial" w:cs="Arial"/>
          <w:bCs/>
          <w:sz w:val="20"/>
          <w:szCs w:val="20"/>
        </w:rPr>
        <w:t>AsThma</w:t>
      </w:r>
      <w:proofErr w:type="spellEnd"/>
      <w:r w:rsidRPr="004A24DB">
        <w:rPr>
          <w:rFonts w:ascii="Arial" w:hAnsi="Arial" w:cs="Arial"/>
          <w:bCs/>
          <w:sz w:val="20"/>
          <w:szCs w:val="20"/>
        </w:rPr>
        <w:t xml:space="preserve"> </w:t>
      </w:r>
      <w:proofErr w:type="spellStart"/>
      <w:r w:rsidRPr="004A24DB">
        <w:rPr>
          <w:rFonts w:ascii="Arial" w:hAnsi="Arial" w:cs="Arial"/>
          <w:bCs/>
          <w:sz w:val="20"/>
          <w:szCs w:val="20"/>
        </w:rPr>
        <w:t>CoHort</w:t>
      </w:r>
      <w:proofErr w:type="spellEnd"/>
      <w:r w:rsidRPr="004A24DB">
        <w:rPr>
          <w:rFonts w:ascii="Arial" w:hAnsi="Arial" w:cs="Arial"/>
          <w:bCs/>
          <w:sz w:val="20"/>
          <w:szCs w:val="20"/>
        </w:rPr>
        <w:t xml:space="preserve"> of difficult asthma </w:t>
      </w:r>
      <w:r w:rsidRPr="004A24DB">
        <w:rPr>
          <w:rFonts w:ascii="Arial" w:hAnsi="Arial" w:cs="Arial"/>
          <w:bCs/>
          <w:noProof/>
          <w:sz w:val="20"/>
          <w:szCs w:val="20"/>
        </w:rPr>
        <w:t xml:space="preserve">(N=478) commenced on Omalizumab (N=105) or Mepolizumab (N=62) compared to severe asthma patients not receiving biologics (SNB, N=178). </w:t>
      </w:r>
      <w:r w:rsidRPr="004A24DB">
        <w:rPr>
          <w:rFonts w:ascii="Arial" w:hAnsi="Arial" w:cs="Arial"/>
          <w:noProof/>
          <w:sz w:val="20"/>
          <w:szCs w:val="20"/>
        </w:rPr>
        <w:t>We also assessed multiple clinical endpoints and identified features associated with response.</w:t>
      </w:r>
      <w:r w:rsidRPr="004A24DB">
        <w:rPr>
          <w:rFonts w:ascii="Arial" w:hAnsi="Arial" w:cs="Arial"/>
          <w:noProof/>
          <w:sz w:val="20"/>
          <w:szCs w:val="20"/>
        </w:rPr>
        <w:br/>
      </w:r>
      <w:r w:rsidRPr="004A24DB">
        <w:rPr>
          <w:rFonts w:ascii="Arial" w:hAnsi="Arial" w:cs="Arial"/>
          <w:b/>
          <w:noProof/>
          <w:sz w:val="20"/>
          <w:szCs w:val="20"/>
        </w:rPr>
        <w:t>Results</w:t>
      </w:r>
      <w:r w:rsidRPr="004A24DB">
        <w:rPr>
          <w:rFonts w:ascii="Arial" w:hAnsi="Arial" w:cs="Arial"/>
          <w:bCs/>
          <w:noProof/>
          <w:sz w:val="20"/>
          <w:szCs w:val="20"/>
        </w:rPr>
        <w:br/>
        <w:t xml:space="preserve">Compared to SNB, Omalizumab patients were younger, diagnosed with asthma earlier, and more likely to have rhinitis. </w:t>
      </w:r>
      <w:r w:rsidR="00EF07CA">
        <w:rPr>
          <w:rFonts w:ascii="Arial" w:hAnsi="Arial" w:cs="Arial"/>
          <w:bCs/>
          <w:noProof/>
          <w:sz w:val="20"/>
          <w:szCs w:val="20"/>
        </w:rPr>
        <w:t>Co</w:t>
      </w:r>
      <w:r w:rsidR="00FC7404">
        <w:rPr>
          <w:rFonts w:ascii="Arial" w:hAnsi="Arial" w:cs="Arial"/>
          <w:bCs/>
          <w:noProof/>
          <w:sz w:val="20"/>
          <w:szCs w:val="20"/>
        </w:rPr>
        <w:t>n</w:t>
      </w:r>
      <w:r w:rsidR="00EF07CA">
        <w:rPr>
          <w:rFonts w:ascii="Arial" w:hAnsi="Arial" w:cs="Arial"/>
          <w:bCs/>
          <w:noProof/>
          <w:sz w:val="20"/>
          <w:szCs w:val="20"/>
        </w:rPr>
        <w:t xml:space="preserve">versely, compared to SNB, </w:t>
      </w:r>
      <w:r w:rsidRPr="004A24DB">
        <w:rPr>
          <w:rFonts w:ascii="Arial" w:hAnsi="Arial" w:cs="Arial"/>
          <w:bCs/>
          <w:noProof/>
          <w:sz w:val="20"/>
          <w:szCs w:val="20"/>
        </w:rPr>
        <w:t>Mepolizumab</w:t>
      </w:r>
      <w:r w:rsidRPr="004A24DB">
        <w:rPr>
          <w:rFonts w:ascii="Arial" w:hAnsi="Arial" w:cs="Arial"/>
          <w:noProof/>
          <w:sz w:val="20"/>
          <w:szCs w:val="20"/>
        </w:rPr>
        <w:t xml:space="preserve"> patients were predominantly older males, diagnosed with asthma later, and more likely to have nasal polyposis</w:t>
      </w:r>
      <w:r w:rsidRPr="004A24DB">
        <w:rPr>
          <w:rFonts w:ascii="Arial" w:hAnsi="Arial" w:cs="Arial"/>
          <w:bCs/>
          <w:noProof/>
          <w:sz w:val="20"/>
          <w:szCs w:val="20"/>
        </w:rPr>
        <w:t xml:space="preserve"> but less dysfunctional breathing. Both treatments reduced exacerbations, Acute Healthcare Encounters [AHE] (emergency department or hospital admissions), maintenance oral corticosteroid dose, and improved Asthma Control Questionnaire 6 (ACQ6) scores. Omalizumab response was independently associated with more baseline exacerbations (P=0.024) but fewer AHE (P=0.050) and absence of anxiety (P=0.008). Lower baseline ACQ6 was independently associated with Mepolizumab response (P=0.007). A composite group of non-responders demonstrated significantly more psychopathologies and worse baseline subjective disease compared to responder groups. </w:t>
      </w:r>
    </w:p>
    <w:p w14:paraId="00FE2CFF" w14:textId="131A69CD" w:rsidR="00513F06" w:rsidRDefault="00D5483C" w:rsidP="004D6C55">
      <w:pPr>
        <w:spacing w:line="480" w:lineRule="auto"/>
        <w:rPr>
          <w:rFonts w:ascii="Arial" w:hAnsi="Arial" w:cs="Arial"/>
          <w:bCs/>
          <w:noProof/>
          <w:sz w:val="20"/>
          <w:szCs w:val="20"/>
          <w:lang w:val="en-US"/>
        </w:rPr>
      </w:pPr>
      <w:r w:rsidRPr="004A24DB">
        <w:rPr>
          <w:rFonts w:ascii="Arial" w:hAnsi="Arial" w:cs="Arial"/>
          <w:b/>
          <w:noProof/>
          <w:sz w:val="20"/>
          <w:szCs w:val="20"/>
        </w:rPr>
        <w:t>Conclusion</w:t>
      </w:r>
      <w:r w:rsidR="005D72CD">
        <w:rPr>
          <w:rFonts w:ascii="Arial" w:hAnsi="Arial" w:cs="Arial"/>
          <w:b/>
          <w:noProof/>
          <w:sz w:val="20"/>
          <w:szCs w:val="20"/>
        </w:rPr>
        <w:t>s</w:t>
      </w:r>
      <w:r w:rsidR="001F0902">
        <w:rPr>
          <w:rFonts w:ascii="Arial" w:hAnsi="Arial" w:cs="Arial"/>
          <w:b/>
          <w:noProof/>
          <w:sz w:val="20"/>
          <w:szCs w:val="20"/>
        </w:rPr>
        <w:t xml:space="preserve"> and Clinical Relevance</w:t>
      </w:r>
      <w:r w:rsidRPr="004A24DB">
        <w:rPr>
          <w:rFonts w:ascii="Arial" w:hAnsi="Arial" w:cs="Arial"/>
          <w:b/>
          <w:noProof/>
          <w:sz w:val="20"/>
          <w:szCs w:val="20"/>
        </w:rPr>
        <w:br/>
      </w:r>
      <w:r w:rsidR="002D6511" w:rsidRPr="00214987">
        <w:rPr>
          <w:rFonts w:ascii="Arial" w:hAnsi="Arial" w:cs="Arial"/>
          <w:bCs/>
          <w:noProof/>
          <w:sz w:val="20"/>
          <w:szCs w:val="20"/>
          <w:lang w:val="en-US"/>
        </w:rPr>
        <w:t>In a difficult asthma cohort</w:t>
      </w:r>
      <w:r w:rsidR="002D6511">
        <w:rPr>
          <w:rFonts w:ascii="Arial" w:hAnsi="Arial" w:cs="Arial"/>
          <w:bCs/>
          <w:noProof/>
          <w:sz w:val="20"/>
          <w:szCs w:val="20"/>
        </w:rPr>
        <w:t xml:space="preserve">, </w:t>
      </w:r>
      <w:r w:rsidRPr="004A24DB">
        <w:rPr>
          <w:rFonts w:ascii="Arial" w:hAnsi="Arial" w:cs="Arial"/>
          <w:bCs/>
          <w:noProof/>
          <w:sz w:val="20"/>
          <w:szCs w:val="20"/>
        </w:rPr>
        <w:t xml:space="preserve">Omalizumab and Mepolizumab were used in distinct clinical phenotypes but were both multidimensionally efficacious. Certain baseline clinical </w:t>
      </w:r>
      <w:r w:rsidR="00E4305D">
        <w:rPr>
          <w:rFonts w:ascii="Arial" w:hAnsi="Arial" w:cs="Arial"/>
          <w:bCs/>
          <w:noProof/>
          <w:sz w:val="20"/>
          <w:szCs w:val="20"/>
        </w:rPr>
        <w:t>characteristics</w:t>
      </w:r>
      <w:r w:rsidRPr="004A24DB">
        <w:rPr>
          <w:rFonts w:ascii="Arial" w:hAnsi="Arial" w:cs="Arial"/>
          <w:bCs/>
          <w:noProof/>
          <w:sz w:val="20"/>
          <w:szCs w:val="20"/>
        </w:rPr>
        <w:t xml:space="preserve"> were associated with poorer biologic responses</w:t>
      </w:r>
      <w:r w:rsidR="00E4305D">
        <w:rPr>
          <w:rFonts w:ascii="Arial" w:hAnsi="Arial" w:cs="Arial"/>
          <w:bCs/>
          <w:noProof/>
          <w:sz w:val="20"/>
          <w:szCs w:val="20"/>
        </w:rPr>
        <w:t>,</w:t>
      </w:r>
      <w:r w:rsidR="00A3389E">
        <w:rPr>
          <w:rFonts w:ascii="Arial" w:hAnsi="Arial" w:cs="Arial"/>
          <w:bCs/>
          <w:noProof/>
          <w:sz w:val="20"/>
          <w:szCs w:val="20"/>
        </w:rPr>
        <w:t xml:space="preserve"> such as psychological co-morbidity</w:t>
      </w:r>
      <w:r w:rsidR="00460CEA">
        <w:rPr>
          <w:rFonts w:ascii="Arial" w:hAnsi="Arial" w:cs="Arial"/>
          <w:bCs/>
          <w:noProof/>
          <w:sz w:val="20"/>
          <w:szCs w:val="20"/>
        </w:rPr>
        <w:t>,</w:t>
      </w:r>
      <w:r w:rsidR="00606522">
        <w:rPr>
          <w:rFonts w:ascii="Arial" w:hAnsi="Arial" w:cs="Arial"/>
          <w:bCs/>
          <w:noProof/>
          <w:sz w:val="20"/>
          <w:szCs w:val="20"/>
        </w:rPr>
        <w:t xml:space="preserve"> </w:t>
      </w:r>
      <w:r w:rsidR="00606522" w:rsidRPr="00214987">
        <w:rPr>
          <w:rFonts w:ascii="Arial" w:hAnsi="Arial" w:cs="Arial"/>
          <w:noProof/>
          <w:sz w:val="20"/>
          <w:szCs w:val="20"/>
          <w:lang w:val="en-US"/>
        </w:rPr>
        <w:t>which may assist clinicians</w:t>
      </w:r>
      <w:r w:rsidR="00606522">
        <w:rPr>
          <w:rFonts w:ascii="Arial" w:hAnsi="Arial" w:cs="Arial"/>
          <w:noProof/>
          <w:sz w:val="20"/>
          <w:szCs w:val="20"/>
          <w:lang w:val="en-US"/>
        </w:rPr>
        <w:t xml:space="preserve"> in biologic selection. </w:t>
      </w:r>
      <w:r w:rsidR="004C1472">
        <w:rPr>
          <w:rFonts w:ascii="Arial" w:hAnsi="Arial" w:cs="Arial"/>
          <w:noProof/>
          <w:sz w:val="20"/>
          <w:szCs w:val="20"/>
          <w:lang w:val="en-US"/>
        </w:rPr>
        <w:t>These characteristics also</w:t>
      </w:r>
      <w:r w:rsidR="00AC064A">
        <w:rPr>
          <w:rFonts w:ascii="Arial" w:hAnsi="Arial" w:cs="Arial"/>
          <w:bCs/>
          <w:noProof/>
          <w:sz w:val="20"/>
          <w:szCs w:val="20"/>
        </w:rPr>
        <w:t xml:space="preserve"> emphasiz</w:t>
      </w:r>
      <w:r w:rsidR="004C1472">
        <w:rPr>
          <w:rFonts w:ascii="Arial" w:hAnsi="Arial" w:cs="Arial"/>
          <w:bCs/>
          <w:noProof/>
          <w:sz w:val="20"/>
          <w:szCs w:val="20"/>
        </w:rPr>
        <w:t>e</w:t>
      </w:r>
      <w:r w:rsidRPr="004A24DB">
        <w:rPr>
          <w:rFonts w:ascii="Arial" w:hAnsi="Arial" w:cs="Arial"/>
          <w:bCs/>
          <w:noProof/>
          <w:sz w:val="20"/>
          <w:szCs w:val="20"/>
        </w:rPr>
        <w:t xml:space="preserve"> </w:t>
      </w:r>
      <w:r>
        <w:rPr>
          <w:rFonts w:ascii="Arial" w:hAnsi="Arial" w:cs="Arial"/>
          <w:bCs/>
          <w:noProof/>
          <w:sz w:val="20"/>
          <w:szCs w:val="20"/>
        </w:rPr>
        <w:t xml:space="preserve">the </w:t>
      </w:r>
      <w:r w:rsidRPr="004A24DB">
        <w:rPr>
          <w:rFonts w:ascii="Arial" w:hAnsi="Arial" w:cs="Arial"/>
          <w:bCs/>
          <w:noProof/>
          <w:sz w:val="20"/>
          <w:szCs w:val="20"/>
        </w:rPr>
        <w:t xml:space="preserve">need for comprehensive approaches to support these patients. </w:t>
      </w:r>
    </w:p>
    <w:p w14:paraId="44195D6E" w14:textId="56786056" w:rsidR="0017479F" w:rsidRPr="00A4229A" w:rsidRDefault="0017479F" w:rsidP="00954B51">
      <w:pPr>
        <w:pStyle w:val="Heading1"/>
        <w:rPr>
          <w:rFonts w:ascii="Arial" w:hAnsi="Arial" w:cs="Arial"/>
          <w:noProof/>
        </w:rPr>
      </w:pPr>
      <w:r w:rsidRPr="00A4229A">
        <w:rPr>
          <w:rFonts w:ascii="Arial" w:hAnsi="Arial" w:cs="Arial"/>
          <w:noProof/>
        </w:rPr>
        <w:lastRenderedPageBreak/>
        <w:t>Abbreviations:</w:t>
      </w:r>
    </w:p>
    <w:p w14:paraId="6314A984" w14:textId="77777777" w:rsidR="00954B51" w:rsidRPr="00954B51" w:rsidRDefault="00954B51" w:rsidP="00954B51">
      <w:pPr>
        <w:rPr>
          <w:lang w:val="en-US"/>
        </w:rPr>
      </w:pPr>
    </w:p>
    <w:p w14:paraId="61808D1D"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ACQ6: Asthma Control Questionnaire-6</w:t>
      </w:r>
    </w:p>
    <w:p w14:paraId="1BB26D53"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AHE: Acute Healthcare Encounters</w:t>
      </w:r>
    </w:p>
    <w:p w14:paraId="2718D030"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AQLQ: Asthma Quality of Life Questionnaire</w:t>
      </w:r>
    </w:p>
    <w:p w14:paraId="1A6C79C0"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FENO: Fractional Exhaled Nitric Oxide</w:t>
      </w:r>
    </w:p>
    <w:p w14:paraId="4E8777D1"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FEV</w:t>
      </w:r>
      <w:r w:rsidRPr="00214987">
        <w:rPr>
          <w:rFonts w:ascii="Arial" w:hAnsi="Arial" w:cs="Arial"/>
          <w:noProof/>
          <w:sz w:val="20"/>
          <w:szCs w:val="20"/>
          <w:vertAlign w:val="subscript"/>
          <w:lang w:val="en-US"/>
        </w:rPr>
        <w:t>1</w:t>
      </w:r>
      <w:r w:rsidRPr="00214987">
        <w:rPr>
          <w:rFonts w:ascii="Arial" w:hAnsi="Arial" w:cs="Arial"/>
          <w:noProof/>
          <w:sz w:val="20"/>
          <w:szCs w:val="20"/>
          <w:lang w:val="en-US"/>
        </w:rPr>
        <w:t>% : Percent predicted forced expiratory volume in 1 second</w:t>
      </w:r>
    </w:p>
    <w:p w14:paraId="7D05DC6A"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 xml:space="preserve">HADS: Hospital anxiety and depression scale </w:t>
      </w:r>
    </w:p>
    <w:p w14:paraId="64E5CCAF"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IgE: Immunoglobulin E</w:t>
      </w:r>
    </w:p>
    <w:p w14:paraId="5EEA5147"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IQR: Interquartile range</w:t>
      </w:r>
    </w:p>
    <w:p w14:paraId="5E3D0CB9"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 xml:space="preserve">mOCS: Maintenance oral corticosteroid </w:t>
      </w:r>
    </w:p>
    <w:p w14:paraId="04E69453"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MDT: Multi-Disciplinary Team</w:t>
      </w:r>
    </w:p>
    <w:p w14:paraId="1CD4ED07"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 xml:space="preserve">MID: Minimally important difference </w:t>
      </w:r>
    </w:p>
    <w:p w14:paraId="2F95D3DA"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NICE: National Institute for Health &amp; Care Excellence</w:t>
      </w:r>
    </w:p>
    <w:p w14:paraId="21ED0F6A"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OCS: Oral corticosteroids</w:t>
      </w:r>
    </w:p>
    <w:p w14:paraId="0D33C2B6"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 xml:space="preserve">PBE: Peripheral blood eosinophil count </w:t>
      </w:r>
    </w:p>
    <w:p w14:paraId="15C17252" w14:textId="77EB5CB6"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RCTs: Randomise</w:t>
      </w:r>
      <w:r w:rsidR="0006253E">
        <w:rPr>
          <w:rFonts w:ascii="Arial" w:hAnsi="Arial" w:cs="Arial"/>
          <w:noProof/>
          <w:sz w:val="20"/>
          <w:szCs w:val="20"/>
          <w:lang w:val="en-US"/>
        </w:rPr>
        <w:t>d</w:t>
      </w:r>
      <w:r w:rsidRPr="00214987">
        <w:rPr>
          <w:rFonts w:ascii="Arial" w:hAnsi="Arial" w:cs="Arial"/>
          <w:noProof/>
          <w:sz w:val="20"/>
          <w:szCs w:val="20"/>
          <w:lang w:val="en-US"/>
        </w:rPr>
        <w:t xml:space="preserve"> controlled trials </w:t>
      </w:r>
    </w:p>
    <w:p w14:paraId="20CA7F14" w14:textId="77777777"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SD: Standard deviation</w:t>
      </w:r>
    </w:p>
    <w:p w14:paraId="1379EA20" w14:textId="01C6414A" w:rsidR="0017479F" w:rsidRPr="00214987" w:rsidRDefault="0017479F" w:rsidP="0017479F">
      <w:pPr>
        <w:rPr>
          <w:rFonts w:ascii="Arial" w:hAnsi="Arial" w:cs="Arial"/>
          <w:noProof/>
          <w:sz w:val="20"/>
          <w:szCs w:val="20"/>
          <w:lang w:val="en-US"/>
        </w:rPr>
      </w:pPr>
      <w:r w:rsidRPr="00214987">
        <w:rPr>
          <w:rFonts w:ascii="Arial" w:hAnsi="Arial" w:cs="Arial"/>
          <w:noProof/>
          <w:sz w:val="20"/>
          <w:szCs w:val="20"/>
          <w:lang w:val="en-US"/>
        </w:rPr>
        <w:t>SNB: severe asthma, no</w:t>
      </w:r>
      <w:r w:rsidR="00035CEA">
        <w:rPr>
          <w:rFonts w:ascii="Arial" w:hAnsi="Arial" w:cs="Arial"/>
          <w:noProof/>
          <w:sz w:val="20"/>
          <w:szCs w:val="20"/>
          <w:lang w:val="en-US"/>
        </w:rPr>
        <w:t>n</w:t>
      </w:r>
      <w:r w:rsidR="00923F90">
        <w:rPr>
          <w:rFonts w:ascii="Arial" w:hAnsi="Arial" w:cs="Arial"/>
          <w:noProof/>
          <w:sz w:val="20"/>
          <w:szCs w:val="20"/>
          <w:lang w:val="en-US"/>
        </w:rPr>
        <w:t>-</w:t>
      </w:r>
      <w:r w:rsidRPr="00214987">
        <w:rPr>
          <w:rFonts w:ascii="Arial" w:hAnsi="Arial" w:cs="Arial"/>
          <w:noProof/>
          <w:sz w:val="20"/>
          <w:szCs w:val="20"/>
          <w:lang w:val="en-US"/>
        </w:rPr>
        <w:t>biologic group</w:t>
      </w:r>
    </w:p>
    <w:p w14:paraId="67730F28" w14:textId="47178885" w:rsidR="001545DB" w:rsidRPr="00214987" w:rsidRDefault="0017479F" w:rsidP="0017479F">
      <w:pPr>
        <w:rPr>
          <w:rFonts w:ascii="Arial" w:hAnsi="Arial" w:cs="Arial"/>
          <w:b/>
          <w:noProof/>
          <w:lang w:val="en-US"/>
        </w:rPr>
      </w:pPr>
      <w:r w:rsidRPr="00214987">
        <w:rPr>
          <w:rFonts w:ascii="Arial" w:hAnsi="Arial" w:cs="Arial"/>
          <w:noProof/>
          <w:sz w:val="20"/>
          <w:szCs w:val="20"/>
          <w:lang w:val="en-US"/>
        </w:rPr>
        <w:t>WATCH: Wessex AsThma CoHort of difficult asthma</w:t>
      </w:r>
    </w:p>
    <w:p w14:paraId="2FB5889F" w14:textId="7E6F24B1" w:rsidR="00144F8A" w:rsidRPr="00214987" w:rsidRDefault="003A15BC">
      <w:pPr>
        <w:rPr>
          <w:rFonts w:ascii="Arial" w:hAnsi="Arial" w:cs="Arial"/>
          <w:b/>
          <w:noProof/>
          <w:sz w:val="20"/>
          <w:szCs w:val="20"/>
          <w:lang w:val="en-US"/>
        </w:rPr>
      </w:pPr>
      <w:r w:rsidRPr="00214987">
        <w:rPr>
          <w:rFonts w:ascii="Arial" w:hAnsi="Arial" w:cs="Arial"/>
          <w:bCs/>
          <w:noProof/>
          <w:sz w:val="20"/>
          <w:szCs w:val="20"/>
          <w:lang w:val="en-US"/>
        </w:rPr>
        <w:br/>
      </w:r>
      <w:r w:rsidR="00144F8A" w:rsidRPr="00214987">
        <w:rPr>
          <w:rFonts w:ascii="Arial" w:hAnsi="Arial" w:cs="Arial"/>
          <w:b/>
          <w:noProof/>
          <w:sz w:val="20"/>
          <w:szCs w:val="20"/>
          <w:lang w:val="en-US"/>
        </w:rPr>
        <w:br w:type="page"/>
      </w:r>
    </w:p>
    <w:p w14:paraId="3EA88A1A" w14:textId="2AB82AD6" w:rsidR="006D2AD4" w:rsidRPr="00A4229A" w:rsidRDefault="00D3213D" w:rsidP="00954B51">
      <w:pPr>
        <w:pStyle w:val="Heading1"/>
        <w:rPr>
          <w:rFonts w:ascii="Arial" w:hAnsi="Arial" w:cs="Arial"/>
          <w:noProof/>
        </w:rPr>
      </w:pPr>
      <w:r w:rsidRPr="00A4229A">
        <w:rPr>
          <w:rFonts w:ascii="Arial" w:hAnsi="Arial" w:cs="Arial"/>
          <w:noProof/>
        </w:rPr>
        <w:lastRenderedPageBreak/>
        <w:t>Introduction</w:t>
      </w:r>
    </w:p>
    <w:p w14:paraId="76500D36" w14:textId="77777777" w:rsidR="00954B51" w:rsidRPr="00954B51" w:rsidRDefault="00954B51" w:rsidP="00954B51">
      <w:pPr>
        <w:rPr>
          <w:lang w:val="en-US"/>
        </w:rPr>
      </w:pPr>
    </w:p>
    <w:p w14:paraId="24C6792A" w14:textId="1E26CE3D" w:rsidR="00B665B0" w:rsidRPr="00214987" w:rsidRDefault="00CE6851" w:rsidP="00AB4CB7">
      <w:pPr>
        <w:spacing w:line="480" w:lineRule="auto"/>
        <w:rPr>
          <w:rFonts w:ascii="Arial" w:hAnsi="Arial" w:cs="Arial"/>
          <w:noProof/>
          <w:sz w:val="20"/>
          <w:szCs w:val="20"/>
          <w:lang w:val="en-US"/>
        </w:rPr>
      </w:pPr>
      <w:r>
        <w:rPr>
          <w:rFonts w:ascii="Arial" w:hAnsi="Arial" w:cs="Arial"/>
          <w:noProof/>
          <w:sz w:val="20"/>
          <w:szCs w:val="20"/>
          <w:lang w:val="en-US"/>
        </w:rPr>
        <w:t xml:space="preserve">Asthma </w:t>
      </w:r>
      <w:r w:rsidR="00DA4381">
        <w:rPr>
          <w:rFonts w:ascii="Arial" w:hAnsi="Arial" w:cs="Arial"/>
          <w:noProof/>
          <w:sz w:val="20"/>
          <w:szCs w:val="20"/>
          <w:lang w:val="en-US"/>
        </w:rPr>
        <w:t>b</w:t>
      </w:r>
      <w:r w:rsidR="00A63ABA" w:rsidRPr="00214987">
        <w:rPr>
          <w:rFonts w:ascii="Arial" w:hAnsi="Arial" w:cs="Arial"/>
          <w:noProof/>
          <w:sz w:val="20"/>
          <w:szCs w:val="20"/>
          <w:lang w:val="en-US"/>
        </w:rPr>
        <w:t>iologic therapies</w:t>
      </w:r>
      <w:r w:rsidR="0072335E" w:rsidRPr="00214987">
        <w:rPr>
          <w:rFonts w:ascii="Arial" w:hAnsi="Arial" w:cs="Arial"/>
          <w:noProof/>
          <w:sz w:val="20"/>
          <w:szCs w:val="20"/>
          <w:lang w:val="en-US"/>
        </w:rPr>
        <w:t xml:space="preserve"> </w:t>
      </w:r>
      <w:r w:rsidR="00677DD3">
        <w:rPr>
          <w:rFonts w:ascii="Arial" w:hAnsi="Arial" w:cs="Arial"/>
          <w:noProof/>
          <w:sz w:val="20"/>
          <w:szCs w:val="20"/>
          <w:lang w:val="en-US"/>
        </w:rPr>
        <w:t>herald</w:t>
      </w:r>
      <w:r w:rsidR="0072335E" w:rsidRPr="00214987">
        <w:rPr>
          <w:rFonts w:ascii="Arial" w:hAnsi="Arial" w:cs="Arial"/>
          <w:noProof/>
          <w:sz w:val="20"/>
          <w:szCs w:val="20"/>
          <w:lang w:val="en-US"/>
        </w:rPr>
        <w:t xml:space="preserve"> a </w:t>
      </w:r>
      <w:r w:rsidR="00A13D28" w:rsidRPr="00214987">
        <w:rPr>
          <w:rFonts w:ascii="Arial" w:hAnsi="Arial" w:cs="Arial"/>
          <w:noProof/>
          <w:sz w:val="20"/>
          <w:szCs w:val="20"/>
          <w:lang w:val="en-US"/>
        </w:rPr>
        <w:t xml:space="preserve">potential </w:t>
      </w:r>
      <w:r w:rsidR="0072335E" w:rsidRPr="00214987">
        <w:rPr>
          <w:rFonts w:ascii="Arial" w:hAnsi="Arial" w:cs="Arial"/>
          <w:noProof/>
          <w:sz w:val="20"/>
          <w:szCs w:val="20"/>
          <w:lang w:val="en-US"/>
        </w:rPr>
        <w:t>era of personalized medicine</w:t>
      </w:r>
      <w:r w:rsidR="00096DB2"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{"citationItems":[{"id":"ITEM-1","itemData":{"DOI":"10.1016/j.jaci.2014.12.1871","ISSN":"10976825","PMID":"25662302","abstract":"Traditionally, asthma and allergic diseases have been defined by broad definitions and treated with nonspecific medications, including corticosteroids and bronchodilators. There is an increasing appreciation of heterogeneity within asthma and allergic diseases based primarily on recent cluster analyses, molecular phenotyping, biomarkers, and differential responses to targeted and nontargeted therapies. These pioneering studies have led to successful therapeutic trials of molecularly targeted therapies in defined phenotypes. This review analyzed randomized double-blind, placebo-controlled trials of molecularly targeted therapies in defined allergic disease and asthma phenotypes. IgE was the first successful biological target used in patients with allergic disease and asthma. This review shows that therapies targeting the canonical type 2 cytokines IL-4, IL-5, and IL-13 have shown consistent efficacy, especially in asthmatic patients with evidence of TH2/type 2 inflammation (\"type 2 high\"). As of yet, there are no successful trials of targeted therapies in asthmatic patients without evidence for type 2 inflammation. We conclude that further refinement of type 2 therapies to specific type 2 phenotypes and novel approaches for patients without type 2 inflammation are needed for asthma and allergic disease treatment.","author":[{"dropping-particle":"","family":"Fajt","given":"Merritt L.","non-dropping-particle":"","parse-names":false,"suffix":""},{"dropping-particle":"","family":"Wenzel","given":"Sally E.","non-dropping-particle":"","parse-names":false,"suffix":""}],"container-title":"Journal of Allergy and Clinical Immunology","id":"ITEM-1","issue":"2","issued":{"date-parts":[["2015","2","1"]]},"page":"299-310","publisher":"Mosby Inc.","title":"Asthma phenotypes and the use of biologic medications in asthma and allergic disease: The next steps toward personalized care","type":"article","volume":"135"},"uris":["http://www.mendeley.com/documents/?uuid=b8451926-88eb-309b-ad92-19cf382f1fbd"]}],"mendeley":{"formattedCitation":"&lt;sup&gt;1&lt;/sup&gt;","plainTextFormattedCitation":"1","previouslyFormattedCitation":"&lt;sup&gt;1&lt;/sup&gt;"},"properties":{"noteIndex":0},"schema":"https://github.com/citation-style-language/schema/raw/master/csl-citation.json"}</w:instrText>
      </w:r>
      <w:r w:rsidR="00096DB2"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1</w:t>
      </w:r>
      <w:r w:rsidR="00096DB2" w:rsidRPr="00214987">
        <w:rPr>
          <w:rFonts w:ascii="Arial" w:hAnsi="Arial" w:cs="Arial"/>
          <w:noProof/>
          <w:sz w:val="20"/>
          <w:szCs w:val="20"/>
          <w:lang w:val="en-US"/>
        </w:rPr>
        <w:fldChar w:fldCharType="end"/>
      </w:r>
      <w:r w:rsidR="0072335E" w:rsidRPr="00214987">
        <w:rPr>
          <w:rFonts w:ascii="Arial" w:hAnsi="Arial" w:cs="Arial"/>
          <w:noProof/>
          <w:sz w:val="20"/>
          <w:szCs w:val="20"/>
          <w:lang w:val="en-US"/>
        </w:rPr>
        <w:t xml:space="preserve"> that better addresses </w:t>
      </w:r>
      <w:r w:rsidR="009F23A2">
        <w:rPr>
          <w:rFonts w:ascii="Arial" w:hAnsi="Arial" w:cs="Arial"/>
          <w:noProof/>
          <w:sz w:val="20"/>
          <w:szCs w:val="20"/>
          <w:lang w:val="en-US"/>
        </w:rPr>
        <w:t>s</w:t>
      </w:r>
      <w:r w:rsidR="00F32FFA" w:rsidRPr="00214987">
        <w:rPr>
          <w:rFonts w:ascii="Arial" w:hAnsi="Arial" w:cs="Arial"/>
          <w:noProof/>
          <w:sz w:val="20"/>
          <w:szCs w:val="20"/>
          <w:lang w:val="en-US"/>
        </w:rPr>
        <w:t xml:space="preserve">evere </w:t>
      </w:r>
      <w:r w:rsidR="009F23A2">
        <w:rPr>
          <w:rFonts w:ascii="Arial" w:hAnsi="Arial" w:cs="Arial"/>
          <w:noProof/>
          <w:sz w:val="20"/>
          <w:szCs w:val="20"/>
          <w:lang w:val="en-US"/>
        </w:rPr>
        <w:t>a</w:t>
      </w:r>
      <w:r w:rsidR="00F32FFA" w:rsidRPr="00214987">
        <w:rPr>
          <w:rFonts w:ascii="Arial" w:hAnsi="Arial" w:cs="Arial"/>
          <w:noProof/>
          <w:sz w:val="20"/>
          <w:szCs w:val="20"/>
          <w:lang w:val="en-US"/>
        </w:rPr>
        <w:t>sthma</w:t>
      </w:r>
      <w:r w:rsidR="008759D0" w:rsidRPr="00214987">
        <w:rPr>
          <w:rFonts w:ascii="Arial" w:hAnsi="Arial" w:cs="Arial"/>
          <w:noProof/>
          <w:sz w:val="20"/>
          <w:szCs w:val="20"/>
          <w:lang w:val="en-US"/>
        </w:rPr>
        <w:t>’s</w:t>
      </w:r>
      <w:r w:rsidR="00F32FFA">
        <w:rPr>
          <w:rFonts w:ascii="Arial" w:hAnsi="Arial" w:cs="Arial"/>
          <w:noProof/>
          <w:sz w:val="20"/>
          <w:szCs w:val="20"/>
          <w:lang w:val="en-US"/>
        </w:rPr>
        <w:t xml:space="preserve"> </w:t>
      </w:r>
      <w:r w:rsidR="0072335E" w:rsidRPr="00214987">
        <w:rPr>
          <w:rFonts w:ascii="Arial" w:hAnsi="Arial" w:cs="Arial"/>
          <w:noProof/>
          <w:sz w:val="20"/>
          <w:szCs w:val="20"/>
          <w:lang w:val="en-US"/>
        </w:rPr>
        <w:t xml:space="preserve">heterogeneity. In the United Kingdom (UK), </w:t>
      </w:r>
      <w:r w:rsidR="00900F3F" w:rsidRPr="00214987">
        <w:rPr>
          <w:rFonts w:ascii="Arial" w:hAnsi="Arial" w:cs="Arial"/>
          <w:noProof/>
          <w:sz w:val="20"/>
          <w:szCs w:val="20"/>
          <w:lang w:val="en-US"/>
        </w:rPr>
        <w:t>four biologics</w:t>
      </w:r>
      <w:r w:rsidR="008759D0" w:rsidRPr="00214987">
        <w:rPr>
          <w:rFonts w:ascii="Arial" w:hAnsi="Arial" w:cs="Arial"/>
          <w:noProof/>
          <w:sz w:val="20"/>
          <w:szCs w:val="20"/>
          <w:lang w:val="en-US"/>
        </w:rPr>
        <w:t xml:space="preserve"> are</w:t>
      </w:r>
      <w:r w:rsidR="0072335E" w:rsidRPr="00214987">
        <w:rPr>
          <w:rFonts w:ascii="Arial" w:hAnsi="Arial" w:cs="Arial"/>
          <w:noProof/>
          <w:sz w:val="20"/>
          <w:szCs w:val="20"/>
          <w:lang w:val="en-US"/>
        </w:rPr>
        <w:t xml:space="preserve"> </w:t>
      </w:r>
      <w:r w:rsidR="00A40C00" w:rsidRPr="00214987">
        <w:rPr>
          <w:rFonts w:ascii="Arial" w:hAnsi="Arial" w:cs="Arial"/>
          <w:noProof/>
          <w:sz w:val="20"/>
          <w:szCs w:val="20"/>
          <w:lang w:val="en-US"/>
        </w:rPr>
        <w:t xml:space="preserve">currently </w:t>
      </w:r>
      <w:r w:rsidR="0072335E" w:rsidRPr="00214987">
        <w:rPr>
          <w:rFonts w:ascii="Arial" w:hAnsi="Arial" w:cs="Arial"/>
          <w:noProof/>
          <w:sz w:val="20"/>
          <w:szCs w:val="20"/>
          <w:lang w:val="en-US"/>
        </w:rPr>
        <w:t xml:space="preserve">approved for use in </w:t>
      </w:r>
      <w:r w:rsidR="0006253E">
        <w:rPr>
          <w:rFonts w:ascii="Arial" w:hAnsi="Arial" w:cs="Arial"/>
          <w:noProof/>
          <w:sz w:val="20"/>
          <w:szCs w:val="20"/>
          <w:lang w:val="en-US"/>
        </w:rPr>
        <w:t>severe asthma</w:t>
      </w:r>
      <w:r w:rsidR="00552E7B"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{"citationItems":[{"id":"ITEM-1","itemData":{"ISBN":"9781909103719","author":[{"dropping-particle":"","family":"Society/SIGN","given":"British Thoracic","non-dropping-particle":"","parse-names":false,"suffix":""}],"id":"ITEM-1","issue":"July","issued":{"date-parts":[["2019"]]},"number-of-pages":"1-28","title":"Sign 158","type":"book"},"uris":["http://www.mendeley.com/documents/?uuid=84e7ede5-4a97-4cd7-aff4-f4749e2daf8d"]}],"mendeley":{"formattedCitation":"&lt;sup&gt;2&lt;/sup&gt;","plainTextFormattedCitation":"2","previouslyFormattedCitation":"&lt;sup&gt;2&lt;/sup&gt;"},"properties":{"noteIndex":0},"schema":"https://github.com/citation-style-language/schema/raw/master/csl-citation.json"}</w:instrText>
      </w:r>
      <w:r w:rsidR="00552E7B"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2</w:t>
      </w:r>
      <w:r w:rsidR="00552E7B" w:rsidRPr="00214987">
        <w:rPr>
          <w:rFonts w:ascii="Arial" w:hAnsi="Arial" w:cs="Arial"/>
          <w:noProof/>
          <w:sz w:val="20"/>
          <w:szCs w:val="20"/>
          <w:lang w:val="en-US"/>
        </w:rPr>
        <w:fldChar w:fldCharType="end"/>
      </w:r>
      <w:r w:rsidR="0072335E" w:rsidRPr="00214987">
        <w:rPr>
          <w:rFonts w:ascii="Arial" w:hAnsi="Arial" w:cs="Arial"/>
          <w:noProof/>
          <w:sz w:val="20"/>
          <w:szCs w:val="20"/>
          <w:lang w:val="en-US"/>
        </w:rPr>
        <w:t xml:space="preserve">. The two </w:t>
      </w:r>
      <w:r w:rsidR="005845AD" w:rsidRPr="00214987">
        <w:rPr>
          <w:rFonts w:ascii="Arial" w:hAnsi="Arial" w:cs="Arial"/>
          <w:noProof/>
          <w:sz w:val="20"/>
          <w:szCs w:val="20"/>
          <w:lang w:val="en-US"/>
        </w:rPr>
        <w:t>in</w:t>
      </w:r>
      <w:r w:rsidR="0072335E" w:rsidRPr="00214987">
        <w:rPr>
          <w:rFonts w:ascii="Arial" w:hAnsi="Arial" w:cs="Arial"/>
          <w:noProof/>
          <w:sz w:val="20"/>
          <w:szCs w:val="20"/>
          <w:lang w:val="en-US"/>
        </w:rPr>
        <w:t xml:space="preserve"> longest use are the anti-immunoglobulin E (IgE) </w:t>
      </w:r>
      <w:r w:rsidR="00CA3707" w:rsidRPr="00214987">
        <w:rPr>
          <w:rFonts w:ascii="Arial" w:hAnsi="Arial" w:cs="Arial"/>
          <w:noProof/>
          <w:sz w:val="20"/>
          <w:szCs w:val="20"/>
          <w:lang w:val="en-US"/>
        </w:rPr>
        <w:t>biologic,</w:t>
      </w:r>
      <w:r w:rsidR="0072335E" w:rsidRPr="00214987">
        <w:rPr>
          <w:rFonts w:ascii="Arial" w:hAnsi="Arial" w:cs="Arial"/>
          <w:noProof/>
          <w:sz w:val="20"/>
          <w:szCs w:val="20"/>
          <w:lang w:val="en-US"/>
        </w:rPr>
        <w:t xml:space="preserve"> Omalizumab and the anti-interleukin-5 </w:t>
      </w:r>
      <w:r w:rsidR="00CA3707" w:rsidRPr="00214987">
        <w:rPr>
          <w:rFonts w:ascii="Arial" w:hAnsi="Arial" w:cs="Arial"/>
          <w:noProof/>
          <w:sz w:val="20"/>
          <w:szCs w:val="20"/>
          <w:lang w:val="en-US"/>
        </w:rPr>
        <w:t>biologic,</w:t>
      </w:r>
      <w:r w:rsidR="0072335E" w:rsidRPr="00214987">
        <w:rPr>
          <w:rFonts w:ascii="Arial" w:hAnsi="Arial" w:cs="Arial"/>
          <w:noProof/>
          <w:sz w:val="20"/>
          <w:szCs w:val="20"/>
          <w:lang w:val="en-US"/>
        </w:rPr>
        <w:t xml:space="preserve"> Mepolizumab</w:t>
      </w:r>
      <w:r w:rsidR="00F11450" w:rsidRPr="00214987">
        <w:rPr>
          <w:rFonts w:ascii="Arial" w:hAnsi="Arial" w:cs="Arial"/>
          <w:noProof/>
          <w:sz w:val="20"/>
          <w:szCs w:val="20"/>
          <w:lang w:val="en-US"/>
        </w:rPr>
        <w:t xml:space="preserve">. </w:t>
      </w:r>
      <w:r w:rsidR="00EF32B8" w:rsidRPr="00214987">
        <w:rPr>
          <w:rFonts w:ascii="Arial" w:hAnsi="Arial" w:cs="Arial"/>
          <w:noProof/>
          <w:sz w:val="20"/>
          <w:szCs w:val="20"/>
          <w:lang w:val="en-US"/>
        </w:rPr>
        <w:t xml:space="preserve">Both </w:t>
      </w:r>
      <w:r w:rsidR="00504029">
        <w:rPr>
          <w:rFonts w:ascii="Arial" w:hAnsi="Arial" w:cs="Arial"/>
          <w:noProof/>
          <w:sz w:val="20"/>
          <w:szCs w:val="20"/>
          <w:lang w:val="en-US"/>
        </w:rPr>
        <w:t xml:space="preserve">agents were </w:t>
      </w:r>
      <w:r w:rsidR="0072335E" w:rsidRPr="00214987">
        <w:rPr>
          <w:rFonts w:ascii="Arial" w:hAnsi="Arial" w:cs="Arial"/>
          <w:noProof/>
          <w:sz w:val="20"/>
          <w:szCs w:val="20"/>
          <w:lang w:val="en-US"/>
        </w:rPr>
        <w:t>highly</w:t>
      </w:r>
      <w:r w:rsidR="00EF32B8" w:rsidRPr="00214987">
        <w:rPr>
          <w:rFonts w:ascii="Arial" w:hAnsi="Arial" w:cs="Arial"/>
          <w:noProof/>
          <w:sz w:val="20"/>
          <w:szCs w:val="20"/>
          <w:lang w:val="en-US"/>
        </w:rPr>
        <w:t xml:space="preserve"> effective</w:t>
      </w:r>
      <w:r w:rsidR="0072335E" w:rsidRPr="00214987">
        <w:rPr>
          <w:rFonts w:ascii="Arial" w:hAnsi="Arial" w:cs="Arial"/>
          <w:noProof/>
          <w:sz w:val="20"/>
          <w:szCs w:val="20"/>
          <w:lang w:val="en-US"/>
        </w:rPr>
        <w:t xml:space="preserve"> </w:t>
      </w:r>
      <w:r w:rsidR="006A580B" w:rsidRPr="00214987">
        <w:rPr>
          <w:rFonts w:ascii="Arial" w:hAnsi="Arial" w:cs="Arial"/>
          <w:noProof/>
          <w:sz w:val="20"/>
          <w:szCs w:val="20"/>
          <w:lang w:val="en-US"/>
        </w:rPr>
        <w:t xml:space="preserve">in </w:t>
      </w:r>
      <w:r w:rsidR="003F518B" w:rsidRPr="00214987">
        <w:rPr>
          <w:rFonts w:ascii="Arial" w:hAnsi="Arial" w:cs="Arial"/>
          <w:noProof/>
          <w:sz w:val="20"/>
          <w:szCs w:val="20"/>
          <w:lang w:val="en-US"/>
        </w:rPr>
        <w:t>phase</w:t>
      </w:r>
      <w:r w:rsidR="007259F9" w:rsidRPr="00214987">
        <w:rPr>
          <w:rFonts w:ascii="Arial" w:hAnsi="Arial" w:cs="Arial"/>
          <w:noProof/>
          <w:sz w:val="20"/>
          <w:szCs w:val="20"/>
          <w:lang w:val="en-US"/>
        </w:rPr>
        <w:t>-</w:t>
      </w:r>
      <w:r w:rsidR="003F518B" w:rsidRPr="00214987">
        <w:rPr>
          <w:rFonts w:ascii="Arial" w:hAnsi="Arial" w:cs="Arial"/>
          <w:noProof/>
          <w:sz w:val="20"/>
          <w:szCs w:val="20"/>
          <w:lang w:val="en-US"/>
        </w:rPr>
        <w:t xml:space="preserve">III </w:t>
      </w:r>
      <w:r w:rsidR="006A580B" w:rsidRPr="00214987">
        <w:rPr>
          <w:rFonts w:ascii="Arial" w:hAnsi="Arial" w:cs="Arial"/>
          <w:noProof/>
          <w:sz w:val="20"/>
          <w:szCs w:val="20"/>
          <w:lang w:val="en-US"/>
        </w:rPr>
        <w:t>randomi</w:t>
      </w:r>
      <w:r w:rsidR="0006253E">
        <w:rPr>
          <w:rFonts w:ascii="Arial" w:hAnsi="Arial" w:cs="Arial"/>
          <w:noProof/>
          <w:sz w:val="20"/>
          <w:szCs w:val="20"/>
          <w:lang w:val="en-US"/>
        </w:rPr>
        <w:t>s</w:t>
      </w:r>
      <w:r w:rsidR="006A580B" w:rsidRPr="00214987">
        <w:rPr>
          <w:rFonts w:ascii="Arial" w:hAnsi="Arial" w:cs="Arial"/>
          <w:noProof/>
          <w:sz w:val="20"/>
          <w:szCs w:val="20"/>
          <w:lang w:val="en-US"/>
        </w:rPr>
        <w:t>ed controlled trials (RCT</w:t>
      </w:r>
      <w:r w:rsidR="0087575F" w:rsidRPr="00214987">
        <w:rPr>
          <w:rFonts w:ascii="Arial" w:hAnsi="Arial" w:cs="Arial"/>
          <w:noProof/>
          <w:sz w:val="20"/>
          <w:szCs w:val="20"/>
          <w:lang w:val="en-US"/>
        </w:rPr>
        <w:t>s</w:t>
      </w:r>
      <w:r w:rsidR="006A580B" w:rsidRPr="00214987">
        <w:rPr>
          <w:rFonts w:ascii="Arial" w:hAnsi="Arial" w:cs="Arial"/>
          <w:noProof/>
          <w:sz w:val="20"/>
          <w:szCs w:val="20"/>
          <w:lang w:val="en-US"/>
        </w:rPr>
        <w:t>)</w:t>
      </w:r>
      <w:r w:rsidR="00A6433F"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{"citationItems":[{"id":"ITEM-1","itemData":{"DOI":"10.1111/j.1365-2222.2004.1916.x","ISSN":"09547894","PMID":"15080818","abstract":"Background: Patients with severe asthma are often inadequately controlled on existing anti-asthma therapy, constituting an unmet clinical need. Objective: This randomized, double-blind, placebo-controlled trial evaluated the ability of omalizumab, a humanized monoclonal anti-IgE antibody, to improve disease control sufficiently to enable inhaled corticosteroid reduction in patients with severe allergic asthma. Methods: After a run-in period when an optimized fluticasone dose (≥ 1000 μg/day) was received for 4 weeks, patients were randomized to receive subcutaneous omalizumab [minimum 0.016 mg/kg/IgE (IU/mL) per 4 weeks; n = 126] or matching placebo (n = 120) at intervals of 2 or 4 weeks. The study comprised a 16-week add-on phase of treatment followed by a 16-week fluticasone-reduction phase. Short-/long-acting β2- agonists were allowed as needed. Results: Median reductions in fluticasone dose were significantly greater with omalizumab than placebo: 60% vs. 50% (P = 0.003). Some 73.8% and 50.8% of patients, respectively, achieved a ≥50% dose reduction (P = 0.001). Fluticasone dose reduction to ≤ 500 μg/day occurred in 60.3% of omalizumab recipients vs. 45.8% of placebo-treated patients (P = 0.026). Through both phases, omalizumab reduced rescue medication requirements, improved asthma symptoms and asthma-related quality of life compared to placebo. Conclusion: Omalizumab treatment improves asthma control in severely allergic asthmatics, reducing inhaled corticosteroid requirements without worsening of symptom control or increase in rescue medication use.","author":[{"dropping-particle":"","family":"Holgate","given":"S. T.","non-dropping-particle":"","parse-names":false,"suffix":""},{"dropping-particle":"","family":"Chuchalin","given":"A. G.","non-dropping-particle":"","parse-names":false,"suffix":""},{"dropping-particle":"","family":"Hébert","given":"J.","non-dropping-particle":"","parse-names":false,"suffix":""},{"dropping-particle":"","family":"Lötvall","given":"J.","non-dropping-particle":"","parse-names":false,"suffix":""},{"dropping-particle":"","family":"Persson","given":"G. B.","non-dropping-particle":"","parse-names":false,"suffix":""},{"dropping-particle":"","family":"Chung","given":"K. F.","non-dropping-particle":"","parse-names":false,"suffix":""},{"dropping-particle":"","family":"Bousquet","given":"J.","non-dropping-particle":"","parse-names":false,"suffix":""},{"dropping-particle":"","family":"Kerstjens","given":"H. A.","non-dropping-particle":"","parse-names":false,"suffix":""},{"dropping-particle":"","family":"Fox","given":"H.","non-dropping-particle":"","parse-names":false,"suffix":""},{"dropping-particle":"","family":"Thirlwell","given":"J.","non-dropping-particle":"","parse-names":false,"suffix":""},{"dropping-particle":"","family":"Cioppa","given":"G.","non-dropping-particle":"Della","parse-names":false,"suffix":""}],"container-title":"Clinical and Experimental Allergy","id":"ITEM-1","issue":"4","issued":{"date-parts":[["2004"]]},"page":"632-638","title":"Efficacy and safety of a recombinant anti-immunoglobulin E antibody (omalizumab) in severe allergic asthma","type":"article-journal","volume":"34"},"uris":["http://www.mendeley.com/documents/?uuid=c9634236-c764-4daf-aadf-59ba39495a1d"]},{"id":"ITEM-2","itemData":{"DOI":"10.1056/nejmoa1403291","ISSN":"0028-4793","PMID":"25199060","abstract":"Copyright © 2014 Massachusetts Medical Society. Background: Many patients with severe asthma require regular treatment with oral glucocorticoids despite the use of high-dose inhaled therapy. However, the regular use of systemic glucocorticoids can result in serious and often irreversible adverse effects. Mepolizumab, a humanized monoclonal antibody that binds to and inactivates interleukin-5, has been shown to reduce asthma exacerbations in patients with severe eosinophilic asthma. Methods: In a randomized, double-blind trial involving 135 patients with severe eosinophilic asthma, we compared the glucocorticoid-sparing effect of mepolizumab (at a dose of 100 mg) with that of placebo administered subcutaneously every 4 weeks for 20 weeks. The primary outcome was the degree of reduction in the glucocorticoid dose (90 to 100% reduction, 75 to less than 90% reduction, 50 to less than 75% reduction, more than 0 to less than 50% reduction, or no decrease in oral glucocorticoid dose, a lack of asthma control during weeks 20 to 24, or withdrawal from treatment). Other outcomes included the rate of asthma exacerbations, asthma control, and safety. Results: The likelihood of a reduction in the glucocorticoid-dose stratum was 2.39 times greater in the mepolizumab group than in the placebo group (95% confidence interval, 1.25 to 4.56; P = 0.008). The median percentage reduction from baseline in the glucocorticoid dose was 50% in the mepolizumab group, as compared with no reduction in the placebo group (P = 0.007). Despite receiving a reduced glucocorticoid dose, patients in the mepolizumab group, as compared with those in the placebo group, had a relative reduction of 32% in the annualized rate of exacerbations (1.44 vs. 2.12, P = 0.04) and a reduction of 0.52 points with respect to asthma symptoms (P = 0.004), as measured on the Asthma Control Questionnaire 5 (in which the minimal clinically important difference is 0.5 points). The safety profile of mepolizumab was similar to that of placebo. Conclusions: In patients requiring daily oral glucocorticoid therapy to maintain asthma control, mepolizumab had a significant glucocorticoid-sparing effect, reduced exacerbations, and improved control of asthma symptoms.","author":[{"dropping-particle":"","family":"Bel","given":"Elisabeth H.","non-dropping-particle":"","parse-names":false,"suffix":""},{"dropping-particle":"","family":"Wenzel","given":"Sally E.","non-dropping-particle":"","parse-names":false,"suffix":""},{"dropping-particle":"","family":"Thompson","given":"Philip J.","non-dropping-particle":"","parse-names":false,"suffix":""},{"dropping-particle":"","family":"Prazma","given":"Charlene M.","non-dropping-particle":"","parse-names":false,"suffix":""},{"dropping-particle":"","family":"Keene","given":"Oliver N.","non-dropping-particle":"","parse-names":false,"suffix":""},{"dropping-particle":"","family":"Yancey","given":"Steven W.","non-dropping-particle":"","parse-names":false,"suffix":""},{"dropping-particle":"","family":"Ortega","given":"Hector G.","non-dropping-particle":"","parse-names":false,"suffix":""},{"dropping-particle":"","family":"Pavord","given":"Ian D.","non-dropping-particle":"","parse-names":false,"suffix":""}],"container-title":"New England Journal of Medicine","id":"ITEM-2","issue":"13","issued":{"date-parts":[["2014","9","25"]]},"page":"1189-1197","publisher":"New England Journal of Medicine (NEJM/MMS)","title":"Oral Glucocorticoid-Sparing Effect of Mepolizumab in Eosinophilic Asthma","type":"article-journal","volume":"371"},"uris":["http://www.mendeley.com/documents/?uuid=02776283-c917-33d1-a6db-44e445737bd0"]},{"id":"ITEM-3","itemData":{"DOI":"10.1056/nejmoa1403290","ISSN":"0028-4793","PMID":"25199059","abstract":"Copyright © 2014 Massachusetts Medical Society. Background: Some patients with severe asthma have frequent exacerbations associated with persistent eosinophilic inflammation despite continuous treatment with high-dose inhaled glucocorticoids with or without oral glucocorticoids. Methods: In this randomized, double-blind, double-dummy study, we assigned 576 patients with recurrent asthma exacerbations and evidence of eosinophilic inflammation despite high doses of inhaled glucocorticoids to one of three study groups. Patients were assigned to receive mepolizumab, a humanized monoclonal antibody against interleukin-5, which was administered as either a 75-mg intravenous dose or a 100-mg subcutaneous dose, or placebo every 4 weeks for 32 weeks. The primary outcome was the rate of exacerbations. Other outcomes included the forced expiratory volume in 1 second (FEV1) and scores on the St. George's Respiratory Questionnaire (SGRQ) and the 5-item Asthma Control Questionnaire (ACQ-5). Safety was also assessed. Results: The rate of exacerbations was reduced by 47% (95% confidence interval [CI], 29 to 61) among patients receiving intravenous mepolizumab and by 53% (95% CI, 37 to 65) among those receiving subcutaneous mepolizumab, as compared with those receiving placebo (P&lt;0.001 for both comparisons). Exacerbations necessitating an emergency department visit or hospitalization were reduced by 32% in the group receiving intravenous mepolizumab and by 61% in the group receiving subcutaneous mepolizumab. At week 32, the mean increase from baseline in FEV1 was 100 ml greater in patients receiving intravenous mepolizumab than in those receiving placebo (P = 0.02) and 98 ml greater in patients receiving subcutaneous mepolizumab than in those receiving placebo (P=0.03). The improvement from baseline in the SGRQ score was 6.4 points and 7.0 points greater in the intravenous and subcutaneous mepolizumab groups, respectively, than in the placebo group (minimal clinically important change, 4 points), and the improvement in the ACQ-5 score was 0.42 points and 0.44 points greater in the two mepolizumab groups, respectively, than in the placebo group (minimal clinically important change, 0.5 points) (P&lt;0.001 for all comparisons). The safety profile of mepolizumab was similar to that of placebo. Conclusions: Mepolizumab administered either intravenously or subcutaneously significantly reduced asthma exacerbations and was associated with improvements in markers of asthma control.","author":[{"dropping-particle":"","family":"Ortega","given":"Hector G.","non-dropping-particle":"","parse-names":false,"suffix":""},{"dropping-particle":"","family":"Liu","given":"Mark C.","non-dropping-particle":"","parse-names":false,"suffix":""},{"dropping-particle":"","family":"Pavord","given":"Ian D.","non-dropping-particle":"","parse-names":false,"suffix":""},{"dropping-particle":"","family":"Brusselle","given":"Guy G.","non-dropping-particle":"","parse-names":false,"suffix":""},{"dropping-particle":"","family":"FitzGerald","given":"J. Mark","non-dropping-particle":"","parse-names":false,"suffix":""},{"dropping-particle":"","family":"Chetta","given":"Alfredo","non-dropping-particle":"","parse-names":false,"suffix":""},{"dropping-particle":"","family":"Humbert","given":"Marc","non-dropping-particle":"","parse-names":false,"suffix":""},{"dropping-particle":"","family":"Katz","given":"Lynn E.","non-dropping-particle":"","parse-names":false,"suffix":""},{"dropping-particle":"","family":"Keene","given":"Oliver N.","non-dropping-particle":"","parse-names":false,"suffix":""},{"dropping-particle":"","family":"Yancey","given":"Steven W.","non-dropping-particle":"","parse-names":false,"suffix":""},{"dropping-particle":"","family":"Chanez","given":"Pascal","non-dropping-particle":"","parse-names":false,"suffix":""}],"container-title":"New England Journal of Medicine","id":"ITEM-3","issue":"13","issued":{"date-parts":[["2014","9","25"]]},"page":"1198-1207","publisher":"New England Journal of Medicine (NEJM/MMS)","title":"Mepolizumab Treatment in Patients with Severe Eosinophilic Asthma","type":"article-journal","volume":"371"},"uris":["http://www.mendeley.com/documents/?uuid=dd0462c0-f5d2-3ca5-9613-ea421d8964a6"]},{"id":"ITEM-4","itemData":{"DOI":"10.1016/S0140-6736(12)60988-X","ISSN":"1474547X","PMID":"22901886","abstract":"Background Some patients with severe asthma have recurrent asthma exacerbations associated with eosinophilic airway infl ammation. Early studies suggest that inhibition of eosinophilic airway infl ammation with mepolizumab- a monoclonal antibody against interleukin 5-is associated with a reduced risk of exacerbations. We aimed to establish effi cacy, safety, and patient characteristics associated with the response to mepolizumab. Methods We undertook a multicentre, double-blind, placebo-controlled trial at 81 centres in 13 countries between Nov 9, 2009, and Dec 5, 2011. Eligible patients were aged 12-74 years, had a history of recurrent severe asthma exacerbations, and had signs of eosinophilic infl ammation. They were randomly assigned (in a 1:1:1:1 ratio) to receive one of three doses of intravenous mepolizumab (75 mg, 250 mg, or 750 mg) or matched placebo (100 mL 09% NaCl) with a central telephone-based system and computer-generated randomly permuted block schedule stratifi ed by whether treatment with oral corticosteroids was required. Patients received 13 infusions at 4-week intervals. The primary outcome was the rate of clinically signifi cant asthma exacerbations, which were defi ned as validated episodes of acute asthma requiring treatment with oral corticosteroids, admission, or a visit to an emergency department. Patients, clinicians, and data analysts were masked to treatment assignment. Analyses were by intention to treat. This trial is registered with ClinicalTrials.gov, number NCT01000506. Findings 621 patients were randomised: 159 were assigned to placebo, 154 to 75 mg mepolizumab, 152 to 250 mg mepolizumab, and 156 to 750 mg mepolizumab. 776 exacerbations were deemed to be clinically signifi cant. The rate of clinically signifi cant exacerbations was 240 per patient per year in the placebo group, 124 in the 75 mg mepolizumab group (48% reduction, 95% CI 31-61%; p&lt;00001), 146 in the 250 mg mepolizumab group (39% reduction, 19-54%; p=00005), and 115 in the 750 mg mepolizumab group (52% reduction, 36-64%; p&lt;00001). Three patients died during the study, but the deaths were not deemed to be related to treatment. Interpretation Mepolizumab is an eff ective and well tolerated treatment that reduces the risk of asthma exacerbations in patients with severe eosinophilic asthma. Funding GlaxoSmithKline.","author":[{"dropping-particle":"","family":"Pavord","given":"Ian D.","non-dropping-particle":"","parse-names":false,"suffix":""},{"dropping-particle":"","family":"Korn","given":"Stephanie","non-dropping-particle":"","parse-names":false,"suffix":""},{"dropping-particle":"","family":"Howarth","given":"Peter","non-dropping-particle":"","parse-names":false,"suffix":""},{"dropping-particle":"","family":"Bleecker","given":"Eugene R.","non-dropping-particle":"","parse-names":false,"suffix":""},{"dropping-particle":"","family":"Buhl","given":"Roland","non-dropping-particle":"","parse-names":false,"suffix":""},{"dropping-particle":"","family":"Keene","given":"Oliver N.","non-dropping-particle":"","parse-names":false,"suffix":""},{"dropping-particle":"","family":"Ortega","given":"Hector","non-dropping-particle":"","parse-names":false,"suffix":""},{"dropping-particle":"","family":"Chanez","given":"Pascal","non-dropping-particle":"","parse-names":false,"suffix":""}],"container-title":"The Lancet","id":"ITEM-4","issue":"9842","issued":{"date-parts":[["2012"]]},"page":"651-659","publisher":"Lancet Publishing Group","title":"Mepolizumab for severe eosinophilic asthma (DREAM): A multicentre, double-blind, placebo-controlled trial","type":"article-journal","volume":"380"},"uris":["http://www.mendeley.com/documents/?uuid=473de24c-ee4a-3220-aae4-2543d9969086"]}],"mendeley":{"formattedCitation":"&lt;sup&gt;3–6&lt;/sup&gt;","plainTextFormattedCitation":"3–6","previouslyFormattedCitation":"&lt;sup&gt;3–6&lt;/sup&gt;"},"properties":{"noteIndex":0},"schema":"https://github.com/citation-style-language/schema/raw/master/csl-citation.json"}</w:instrText>
      </w:r>
      <w:r w:rsidR="00A6433F"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3–6</w:t>
      </w:r>
      <w:r w:rsidR="00A6433F" w:rsidRPr="00214987">
        <w:rPr>
          <w:rFonts w:ascii="Arial" w:hAnsi="Arial" w:cs="Arial"/>
          <w:noProof/>
          <w:sz w:val="20"/>
          <w:szCs w:val="20"/>
          <w:lang w:val="en-US"/>
        </w:rPr>
        <w:fldChar w:fldCharType="end"/>
      </w:r>
      <w:r w:rsidR="00411709" w:rsidRPr="00214987">
        <w:rPr>
          <w:rFonts w:ascii="Arial" w:hAnsi="Arial" w:cs="Arial"/>
          <w:noProof/>
          <w:sz w:val="20"/>
          <w:szCs w:val="20"/>
          <w:lang w:val="en-US"/>
        </w:rPr>
        <w:t xml:space="preserve"> and </w:t>
      </w:r>
      <w:r w:rsidR="001E7E11" w:rsidRPr="00214987">
        <w:rPr>
          <w:rFonts w:ascii="Arial" w:hAnsi="Arial" w:cs="Arial"/>
          <w:noProof/>
          <w:sz w:val="20"/>
          <w:szCs w:val="20"/>
          <w:lang w:val="en-US"/>
        </w:rPr>
        <w:t xml:space="preserve">have been widely adopted into </w:t>
      </w:r>
      <w:r w:rsidR="00411709" w:rsidRPr="00214987">
        <w:rPr>
          <w:rFonts w:ascii="Arial" w:hAnsi="Arial" w:cs="Arial"/>
          <w:noProof/>
          <w:sz w:val="20"/>
          <w:szCs w:val="20"/>
          <w:lang w:val="en-US"/>
        </w:rPr>
        <w:t xml:space="preserve">clinical practice. </w:t>
      </w:r>
      <w:r w:rsidR="0072335E" w:rsidRPr="00214987">
        <w:rPr>
          <w:rFonts w:ascii="Arial" w:hAnsi="Arial" w:cs="Arial"/>
          <w:noProof/>
          <w:sz w:val="20"/>
          <w:szCs w:val="20"/>
          <w:lang w:val="en-US"/>
        </w:rPr>
        <w:t>However</w:t>
      </w:r>
      <w:r w:rsidR="00CF5C72" w:rsidRPr="00214987">
        <w:rPr>
          <w:rFonts w:ascii="Arial" w:hAnsi="Arial" w:cs="Arial"/>
          <w:noProof/>
          <w:sz w:val="20"/>
          <w:szCs w:val="20"/>
          <w:lang w:val="en-US"/>
        </w:rPr>
        <w:t xml:space="preserve">, </w:t>
      </w:r>
      <w:r w:rsidR="0087575F" w:rsidRPr="00214987">
        <w:rPr>
          <w:rFonts w:ascii="Arial" w:hAnsi="Arial" w:cs="Arial"/>
          <w:noProof/>
          <w:sz w:val="20"/>
          <w:szCs w:val="20"/>
          <w:lang w:val="en-US"/>
        </w:rPr>
        <w:t>RCT populations</w:t>
      </w:r>
      <w:r w:rsidR="0072335E" w:rsidRPr="00214987">
        <w:rPr>
          <w:rFonts w:ascii="Arial" w:hAnsi="Arial" w:cs="Arial"/>
          <w:noProof/>
          <w:sz w:val="20"/>
          <w:szCs w:val="20"/>
          <w:lang w:val="en-US"/>
        </w:rPr>
        <w:t xml:space="preserve"> </w:t>
      </w:r>
      <w:r w:rsidR="00331837" w:rsidRPr="00214987">
        <w:rPr>
          <w:rFonts w:ascii="Arial" w:hAnsi="Arial" w:cs="Arial"/>
          <w:noProof/>
          <w:sz w:val="20"/>
          <w:szCs w:val="20"/>
          <w:lang w:val="en-US"/>
        </w:rPr>
        <w:t>are not reflective of</w:t>
      </w:r>
      <w:r w:rsidR="0072335E" w:rsidRPr="00214987">
        <w:rPr>
          <w:rFonts w:ascii="Arial" w:hAnsi="Arial" w:cs="Arial"/>
          <w:noProof/>
          <w:sz w:val="20"/>
          <w:szCs w:val="20"/>
          <w:lang w:val="en-US"/>
        </w:rPr>
        <w:t xml:space="preserve"> </w:t>
      </w:r>
      <w:r w:rsidR="00331837" w:rsidRPr="00214987">
        <w:rPr>
          <w:rFonts w:ascii="Arial" w:hAnsi="Arial" w:cs="Arial"/>
          <w:noProof/>
          <w:sz w:val="20"/>
          <w:szCs w:val="20"/>
          <w:lang w:val="en-US"/>
        </w:rPr>
        <w:t>real-world</w:t>
      </w:r>
      <w:r w:rsidR="0072335E" w:rsidRPr="00214987">
        <w:rPr>
          <w:rFonts w:ascii="Arial" w:hAnsi="Arial" w:cs="Arial"/>
          <w:noProof/>
          <w:sz w:val="20"/>
          <w:szCs w:val="20"/>
          <w:lang w:val="en-US"/>
        </w:rPr>
        <w:t xml:space="preserve"> patients</w:t>
      </w:r>
      <w:r w:rsidR="00D35CD6"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{"citationItems":[{"id":"ITEM-1","itemData":{"DOI":"10.1136/thx.2006.066837","ISSN":"00406376","PMID":"17105779","abstract":"Background: Asthma is a heterogeneous disease with a wide range of clinical phenotypes, not all of which may be encompassed in the subjects included in randomised controlled trials (RCTs). This makes it difficult for clinicians to know to what extent the evidence derived from RCTs applies to a given patient. Aim: To calculate the proportion of individuals with asthma who would have been eligible for the major asthma RCTs from the data of a random community survey of respiratory health. Methods: A postal survey was sent to 3500 randomly selected individuals aged 25-75 years. Respondents were invited to complete a detailed respiratory questionnaire and pulmonary function testing. Participants with current asthma were assessed against the eligibility criteria of the 17 major asthma RCTs cited in the Global Initiative for Asthma (GINA) guidelines. Findings: A total of 749 participants completed the full survey, of whom 179 had current asthma. A median 4% of participants with current asthma (range 0-36%) met the eligibility criteria for the included RCTs. A median 6% (range 0-43%) of participants with current asthma on treatment met the eligibility criteria. Interpretation: This study shows that the major asthma RCTs on which the GINA guidelines are based may have limited external validity as they have been performed on highly selected patient populations. Most of the participants with current asthma on treatment in the community would not have been eligible for these RCTs.","author":[{"dropping-particle":"","family":"Travers","given":"Justin","non-dropping-particle":"","parse-names":false,"suffix":""},{"dropping-particle":"","family":"Marsh","given":"Suzanne","non-dropping-particle":"","parse-names":false,"suffix":""},{"dropping-particle":"","family":"Williams","given":"Mathew","non-dropping-particle":"","parse-names":false,"suffix":""},{"dropping-particle":"","family":"Weatherall","given":"Mark","non-dropping-particle":"","parse-names":false,"suffix":""},{"dropping-particle":"","family":"Caldwell","given":"Brent","non-dropping-particle":"","parse-names":false,"suffix":""},{"dropping-particle":"","family":"Shirtcliffe","given":"Philippa","non-dropping-particle":"","parse-names":false,"suffix":""},{"dropping-particle":"","family":"Aldington","given":"Sarah","non-dropping-particle":"","parse-names":false,"suffix":""},{"dropping-particle":"","family":"Beasley","given":"Richard","non-dropping-particle":"","parse-names":false,"suffix":""}],"container-title":"Thorax","id":"ITEM-1","issue":"3","issued":{"date-parts":[["2007","3"]]},"page":"219-233","publisher":"Thorax","title":"External validity of randomised controlled trials in asthma: To whom do the results of the trials apply?","type":"article-journal","volume":"62"},"uris":["http://www.mendeley.com/documents/?uuid=200f0d6d-3e95-3aa4-8c5d-5a5f60e83583"]},{"id":"ITEM-2","itemData":{"DOI":"10.1016/j.jaip.2020.04.029","ISBN":"2020;8:29993008","abstract":"What is already known on this topic? Many patients with severe asthma not meeting criteria of clinical trials investigating mepolizumab are treated with this biological in clinical practice. It is unknown whether these patients respond differently to therapy when compared with trial patients. What does the article add to our knowledge? Our results indicate that patients deemed ineligible for trial participation could reduce their maintenance oral corticosteroid dosage under mepolizumab therapy to a similar extent as trial patients included in the SIRIUS trial using identical therapeutic endpoints. How does this study impact current management guidelines? Our findings suggest that novel biological therapies may benefit a broader severe asthma population than initially described in randomized clinical trials. BACKGROUND: Patients with severe asthma not meeting the strict trial eligibility criteria for mepolizumab are now routinely treated with this biological in clinical practice, but it remains unclear whether these ineligible patients respond differently to mepolizumab treatment. OBJECTIVE: This study investigated the extent and reasons for trial ineligibility of real-life, mepolizumab-treated patients with severe asthma and compared the characteristics of these patients with trial populations. Subsequently, therapeutic response in ineligible patients was assessed on the basis of oral corticosteroid (OCS) reduction. METHODS: Trial eligibility, population differences, and therapeutic response were assessed using the baseline","author":[{"dropping-particle":"","family":"Richards","given":"Levi B","non-dropping-particle":"","parse-names":false,"suffix":""},{"dropping-particle":"","family":"JMH van Bragt","given":"Job","non-dropping-particle":"","parse-names":false,"suffix":""},{"dropping-particle":"","family":"Aarab","given":"Reim","non-dropping-particle":"","parse-names":false,"suffix":""},{"dropping-particle":"","family":"Longo","given":"Cristina","non-dropping-particle":"","parse-names":false,"suffix":""},{"dropping-particle":"","family":"Neerincx","given":"Anne H","non-dropping-particle":"","parse-names":false,"suffix":""},{"dropping-particle":"","family":"Sont","given":"Jaap K","non-dropping-particle":"","parse-names":false,"suffix":""},{"dropping-particle":"","family":"Weersink","given":"Els JM","non-dropping-particle":"","parse-names":false,"suffix":""},{"dropping-particle":"","family":"Braunstahl","given":"Gert-Jan","non-dropping-particle":"","parse-names":false,"suffix":""},{"dropping-particle":"","family":"Brinke","given":"Anneke","non-dropping-particle":"Ten","parse-names":false,"suffix":""},{"dropping-particle":"","family":"Bel","given":"Elisabeth HD","non-dropping-particle":"","parse-names":false,"suffix":""},{"dropping-particle":"","family":"Maitland-van der Zee","given":"Anke-Hilse","non-dropping-particle":"","parse-names":false,"suffix":""},{"dropping-particle":"","family":"Amsterdam","given":"PharmD","non-dropping-particle":"","parse-names":false,"suffix":""}],"container-title":"The Journal of Allergy and Clinical Immunology in Practice","id":"ITEM-2","issued":{"date-parts":[["2020"]]},"page":"2999-3008.e1","title":"Treatment Eligibility of Real-Life Mepolizumab-Treated Severe Asthma Patients","type":"article-journal","volume":"8"},"uris":["http://www.mendeley.com/documents/?uuid=04e0daad-cfb1-3dee-adde-0ecbc3ce9cbe"]}],"mendeley":{"formattedCitation":"&lt;sup&gt;7,8&lt;/sup&gt;","plainTextFormattedCitation":"7,8","previouslyFormattedCitation":"&lt;sup&gt;7,8&lt;/sup&gt;"},"properties":{"noteIndex":0},"schema":"https://github.com/citation-style-language/schema/raw/master/csl-citation.json"}</w:instrText>
      </w:r>
      <w:r w:rsidR="00D35CD6"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7,8</w:t>
      </w:r>
      <w:r w:rsidR="00D35CD6" w:rsidRPr="00214987">
        <w:rPr>
          <w:rFonts w:ascii="Arial" w:hAnsi="Arial" w:cs="Arial"/>
          <w:noProof/>
          <w:sz w:val="20"/>
          <w:szCs w:val="20"/>
          <w:lang w:val="en-US"/>
        </w:rPr>
        <w:fldChar w:fldCharType="end"/>
      </w:r>
      <w:r w:rsidR="0072335E" w:rsidRPr="00214987">
        <w:rPr>
          <w:rFonts w:ascii="Arial" w:hAnsi="Arial" w:cs="Arial"/>
          <w:noProof/>
          <w:sz w:val="20"/>
          <w:szCs w:val="20"/>
          <w:lang w:val="en-US"/>
        </w:rPr>
        <w:t>.</w:t>
      </w:r>
      <w:r w:rsidR="00CF33A3" w:rsidRPr="00214987">
        <w:rPr>
          <w:rFonts w:ascii="Arial" w:hAnsi="Arial" w:cs="Arial"/>
          <w:noProof/>
          <w:sz w:val="20"/>
          <w:szCs w:val="20"/>
          <w:lang w:val="en-US"/>
        </w:rPr>
        <w:t xml:space="preserve"> </w:t>
      </w:r>
      <w:r w:rsidR="0072335E" w:rsidRPr="00214987">
        <w:rPr>
          <w:rFonts w:ascii="Arial" w:hAnsi="Arial" w:cs="Arial"/>
          <w:noProof/>
          <w:sz w:val="20"/>
          <w:szCs w:val="20"/>
          <w:lang w:val="en-US"/>
        </w:rPr>
        <w:t>Brown et al</w:t>
      </w:r>
      <w:r w:rsidR="00551E73" w:rsidRPr="00214987">
        <w:rPr>
          <w:rFonts w:ascii="Arial" w:hAnsi="Arial" w:cs="Arial"/>
          <w:noProof/>
          <w:sz w:val="20"/>
          <w:szCs w:val="20"/>
          <w:lang w:val="en-US"/>
        </w:rPr>
        <w:t>.</w:t>
      </w:r>
      <w:r w:rsidR="00A11646" w:rsidRPr="00214987">
        <w:rPr>
          <w:rFonts w:ascii="Arial" w:hAnsi="Arial" w:cs="Arial"/>
          <w:noProof/>
          <w:sz w:val="20"/>
          <w:szCs w:val="20"/>
          <w:lang w:val="en-US"/>
        </w:rPr>
        <w:t xml:space="preserve"> </w:t>
      </w:r>
      <w:r w:rsidR="0043732D" w:rsidRPr="00214987">
        <w:rPr>
          <w:rFonts w:ascii="Arial" w:hAnsi="Arial" w:cs="Arial"/>
          <w:noProof/>
          <w:sz w:val="20"/>
          <w:szCs w:val="20"/>
          <w:lang w:val="en-US"/>
        </w:rPr>
        <w:t>highlighted</w:t>
      </w:r>
      <w:r w:rsidR="00CF33A3" w:rsidRPr="00214987">
        <w:rPr>
          <w:rFonts w:ascii="Arial" w:hAnsi="Arial" w:cs="Arial"/>
          <w:noProof/>
          <w:sz w:val="20"/>
          <w:szCs w:val="20"/>
          <w:lang w:val="en-US"/>
        </w:rPr>
        <w:t xml:space="preserve"> that</w:t>
      </w:r>
      <w:r w:rsidR="00A11646" w:rsidRPr="00214987">
        <w:rPr>
          <w:rFonts w:ascii="Arial" w:hAnsi="Arial" w:cs="Arial"/>
          <w:noProof/>
          <w:sz w:val="20"/>
          <w:szCs w:val="20"/>
          <w:lang w:val="en-US"/>
        </w:rPr>
        <w:t xml:space="preserve"> only </w:t>
      </w:r>
      <w:r w:rsidR="006C3DB0" w:rsidRPr="00214987">
        <w:rPr>
          <w:rFonts w:ascii="Arial" w:hAnsi="Arial" w:cs="Arial"/>
          <w:noProof/>
          <w:sz w:val="20"/>
          <w:szCs w:val="20"/>
          <w:lang w:val="en-US"/>
        </w:rPr>
        <w:t xml:space="preserve">9.8% of </w:t>
      </w:r>
      <w:r w:rsidR="00474226" w:rsidRPr="00214987">
        <w:rPr>
          <w:rFonts w:ascii="Arial" w:hAnsi="Arial" w:cs="Arial"/>
          <w:noProof/>
          <w:sz w:val="20"/>
          <w:szCs w:val="20"/>
          <w:lang w:val="en-US"/>
        </w:rPr>
        <w:t xml:space="preserve">their </w:t>
      </w:r>
      <w:r w:rsidR="0006253E">
        <w:rPr>
          <w:rFonts w:ascii="Arial" w:hAnsi="Arial" w:cs="Arial"/>
          <w:noProof/>
          <w:sz w:val="20"/>
          <w:szCs w:val="20"/>
          <w:lang w:val="en-US"/>
        </w:rPr>
        <w:t>severe asthma</w:t>
      </w:r>
      <w:r w:rsidR="006C3DB0" w:rsidRPr="00214987">
        <w:rPr>
          <w:rFonts w:ascii="Arial" w:hAnsi="Arial" w:cs="Arial"/>
          <w:noProof/>
          <w:sz w:val="20"/>
          <w:szCs w:val="20"/>
          <w:lang w:val="en-US"/>
        </w:rPr>
        <w:t xml:space="preserve"> </w:t>
      </w:r>
      <w:r w:rsidR="00900F3F" w:rsidRPr="00214987">
        <w:rPr>
          <w:rFonts w:ascii="Arial" w:hAnsi="Arial" w:cs="Arial"/>
          <w:noProof/>
          <w:sz w:val="20"/>
          <w:szCs w:val="20"/>
          <w:lang w:val="en-US"/>
        </w:rPr>
        <w:t>cohort</w:t>
      </w:r>
      <w:r w:rsidR="006C3DB0" w:rsidRPr="00214987">
        <w:rPr>
          <w:rFonts w:ascii="Arial" w:hAnsi="Arial" w:cs="Arial"/>
          <w:noProof/>
          <w:sz w:val="20"/>
          <w:szCs w:val="20"/>
          <w:lang w:val="en-US"/>
        </w:rPr>
        <w:t xml:space="preserve"> </w:t>
      </w:r>
      <w:r w:rsidR="00186DC4" w:rsidRPr="00214987">
        <w:rPr>
          <w:rFonts w:ascii="Arial" w:hAnsi="Arial" w:cs="Arial"/>
          <w:noProof/>
          <w:sz w:val="20"/>
          <w:szCs w:val="20"/>
          <w:lang w:val="en-US"/>
        </w:rPr>
        <w:t xml:space="preserve">met </w:t>
      </w:r>
      <w:r w:rsidR="00CB5334" w:rsidRPr="00214987">
        <w:rPr>
          <w:rFonts w:ascii="Arial" w:hAnsi="Arial" w:cs="Arial"/>
          <w:noProof/>
          <w:sz w:val="20"/>
          <w:szCs w:val="20"/>
          <w:lang w:val="en-US"/>
        </w:rPr>
        <w:t xml:space="preserve">enrolment criteria of </w:t>
      </w:r>
      <w:r w:rsidR="0006253E">
        <w:rPr>
          <w:rFonts w:ascii="Arial" w:hAnsi="Arial" w:cs="Arial"/>
          <w:noProof/>
          <w:sz w:val="20"/>
          <w:szCs w:val="20"/>
          <w:lang w:val="en-US"/>
        </w:rPr>
        <w:t>P</w:t>
      </w:r>
      <w:r w:rsidR="00CB5334" w:rsidRPr="00214987">
        <w:rPr>
          <w:rFonts w:ascii="Arial" w:hAnsi="Arial" w:cs="Arial"/>
          <w:noProof/>
          <w:sz w:val="20"/>
          <w:szCs w:val="20"/>
          <w:lang w:val="en-US"/>
        </w:rPr>
        <w:t>hase</w:t>
      </w:r>
      <w:r w:rsidR="00EE035B" w:rsidRPr="00214987">
        <w:rPr>
          <w:rFonts w:ascii="Arial" w:hAnsi="Arial" w:cs="Arial"/>
          <w:noProof/>
          <w:sz w:val="20"/>
          <w:szCs w:val="20"/>
          <w:lang w:val="en-US"/>
        </w:rPr>
        <w:t>-</w:t>
      </w:r>
      <w:r w:rsidR="00CB5334" w:rsidRPr="00214987">
        <w:rPr>
          <w:rFonts w:ascii="Arial" w:hAnsi="Arial" w:cs="Arial"/>
          <w:noProof/>
          <w:sz w:val="20"/>
          <w:szCs w:val="20"/>
          <w:lang w:val="en-US"/>
        </w:rPr>
        <w:t xml:space="preserve">III </w:t>
      </w:r>
      <w:r w:rsidR="00900F3F" w:rsidRPr="00214987">
        <w:rPr>
          <w:rFonts w:ascii="Arial" w:hAnsi="Arial" w:cs="Arial"/>
          <w:noProof/>
          <w:sz w:val="20"/>
          <w:szCs w:val="20"/>
          <w:lang w:val="en-US"/>
        </w:rPr>
        <w:t xml:space="preserve">asthma biologic </w:t>
      </w:r>
      <w:r w:rsidR="00D84E8E" w:rsidRPr="00214987">
        <w:rPr>
          <w:rFonts w:ascii="Arial" w:hAnsi="Arial" w:cs="Arial"/>
          <w:noProof/>
          <w:sz w:val="20"/>
          <w:szCs w:val="20"/>
          <w:lang w:val="en-US"/>
        </w:rPr>
        <w:t>RCTs</w:t>
      </w:r>
      <w:r w:rsidR="00157CDC"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{"citationItems":[{"id":"ITEM-1","itemData":{"DOI":"10.1183/13993003.01444-2018","ISSN":"13993003","PMID":"30361247","abstract":"Previous publications have highlighted the disparity between research trial populations and those in clinical practice, but it has not been established how this relates to randomised controlled trials (RCTs) of phenotype-targeted biological therapies in severe asthma. Detailed characterisation data for 342 severe asthma patients within the Wessex Severe Asthma Cohort (WSAC) was compared against comprehensive trial eligibility criteria for published phase IIB and phase III RCTs evaluating biological therapies in severe asthma since 2000. 37 RCTs evaluating 20 biological therapies were identified. Only a median of 9.8% (range 3.5-17.5%) of severe asthma patients were found to be eligible for enrolment in the phase III trials. Stipulations for airflow obstruction, bronchodilator reversibility and smoking history excluded significant numbers of patients. A median of 78.9% (range 73.2-86.6%) of patients with severe eosinophilic asthma would have been excluded from participation in the phase III licensing trials of interleukin (IL)-5/IL-5R targeted therapies. Despite including only well characterised and optimally treated severe asthmatics under specialist care within the WSAC study, the vast majority were excluded from trial participation by criteria designed to re-confirm diagnostic labels rather than by biomarker criteria that predict the characteristic addressed by the treatment.","author":[{"dropping-particle":"","family":"Brown","given":"Thomas","non-dropping-particle":"","parse-names":false,"suffix":""},{"dropping-particle":"","family":"Jones","given":"Thomas","non-dropping-particle":"","parse-names":false,"suffix":""},{"dropping-particle":"","family":"Gove","given":"Kerry","non-dropping-particle":"","parse-names":false,"suffix":""},{"dropping-particle":"","family":"Barber","given":"Clair","non-dropping-particle":"","parse-names":false,"suffix":""},{"dropping-particle":"","family":"Elliott","given":"Scott","non-dropping-particle":"","parse-names":false,"suffix":""},{"dropping-particle":"","family":"Chauhan","given":"Anoop","non-dropping-particle":"","parse-names":false,"suffix":""},{"dropping-particle":"","family":"Howarth","given":"Peter","non-dropping-particle":"","parse-names":false,"suffix":""},{"dropping-particle":"","family":"Aitkin","given":"L.","non-dropping-particle":"","parse-names":false,"suffix":""},{"dropping-particle":"","family":"Babu","given":"S.","non-dropping-particle":"","parse-names":false,"suffix":""},{"dropping-particle":"","family":"Dennison","given":"P.","non-dropping-particle":"","parse-names":false,"suffix":""},{"dropping-particle":"","family":"Djukanovic","given":"R.","non-dropping-particle":"","parse-names":false,"suffix":""},{"dropping-particle":"","family":"Grainge","given":"C.","non-dropping-particle":"","parse-names":false,"suffix":""},{"dropping-particle":"","family":"Hewitt","given":"L.","non-dropping-particle":"","parse-names":false,"suffix":""},{"dropping-particle":"","family":"Jayasekera","given":"N.","non-dropping-particle":"","parse-names":false,"suffix":""},{"dropping-particle":"","family":"Kurukulaaratchy","given":"R.","non-dropping-particle":"","parse-names":false,"suffix":""},{"dropping-particle":"","family":"Kerley","given":"S.","non-dropping-particle":"","parse-names":false,"suffix":""},{"dropping-particle":"","family":"Lau","given":"L.","non-dropping-particle":"","parse-names":false,"suffix":""},{"dropping-particle":"","family":"Laws","given":"D.","non-dropping-particle":"","parse-names":false,"suffix":""},{"dropping-particle":"","family":"Owen","given":"J.","non-dropping-particle":"","parse-names":false,"suffix":""},{"dropping-particle":"","family":"Ray","given":"E.","non-dropping-particle":"","parse-names":false,"suffix":""},{"dropping-particle":"","family":"Reynish","given":"D.","non-dropping-particle":"","parse-names":false,"suffix":""},{"dropping-particle":"","family":"Rupani","given":"H.","non-dropping-particle":"","parse-names":false,"suffix":""},{"dropping-particle":"","family":"Scullion-Win","given":"O.","non-dropping-particle":"","parse-names":false,"suffix":""}],"container-title":"European Respiratory Journal","id":"ITEM-1","issue":"6","issued":{"date-parts":[["2018"]]},"title":"Randomised controlled trials in severe asthma: Selection by phenotype or stereotype","type":"article-journal","volume":"52"},"uris":["http://www.mendeley.com/documents/?uuid=14744e39-7fed-400f-9b8e-bdc49da9372d"]}],"mendeley":{"formattedCitation":"&lt;sup&gt;9&lt;/sup&gt;","plainTextFormattedCitation":"9","previouslyFormattedCitation":"&lt;sup&gt;9&lt;/sup&gt;"},"properties":{"noteIndex":0},"schema":"https://github.com/citation-style-language/schema/raw/master/csl-citation.json"}</w:instrText>
      </w:r>
      <w:r w:rsidR="00157CDC"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9</w:t>
      </w:r>
      <w:r w:rsidR="00157CDC" w:rsidRPr="00214987">
        <w:rPr>
          <w:rFonts w:ascii="Arial" w:hAnsi="Arial" w:cs="Arial"/>
          <w:noProof/>
          <w:sz w:val="20"/>
          <w:szCs w:val="20"/>
          <w:lang w:val="en-US"/>
        </w:rPr>
        <w:fldChar w:fldCharType="end"/>
      </w:r>
      <w:r w:rsidR="00CB5334" w:rsidRPr="00214987">
        <w:rPr>
          <w:rFonts w:ascii="Arial" w:hAnsi="Arial" w:cs="Arial"/>
          <w:noProof/>
          <w:sz w:val="20"/>
          <w:szCs w:val="20"/>
          <w:lang w:val="en-US"/>
        </w:rPr>
        <w:t xml:space="preserve">. </w:t>
      </w:r>
      <w:r w:rsidR="005077AB" w:rsidRPr="00214987">
        <w:rPr>
          <w:rFonts w:ascii="Arial" w:hAnsi="Arial" w:cs="Arial"/>
          <w:noProof/>
          <w:sz w:val="20"/>
          <w:szCs w:val="20"/>
          <w:lang w:val="en-US"/>
        </w:rPr>
        <w:t>Thus</w:t>
      </w:r>
      <w:r w:rsidR="00A878D6" w:rsidRPr="00214987">
        <w:rPr>
          <w:rFonts w:ascii="Arial" w:hAnsi="Arial" w:cs="Arial"/>
          <w:noProof/>
          <w:sz w:val="20"/>
          <w:szCs w:val="20"/>
          <w:lang w:val="en-US"/>
        </w:rPr>
        <w:t xml:space="preserve">, </w:t>
      </w:r>
      <w:r w:rsidR="009F44E9" w:rsidRPr="00214987">
        <w:rPr>
          <w:rFonts w:ascii="Arial" w:hAnsi="Arial" w:cs="Arial"/>
          <w:noProof/>
          <w:sz w:val="20"/>
          <w:szCs w:val="20"/>
          <w:lang w:val="en-US"/>
        </w:rPr>
        <w:t xml:space="preserve">as the portfolio of biologics continues to expand, </w:t>
      </w:r>
      <w:r w:rsidR="00A878D6" w:rsidRPr="00214987">
        <w:rPr>
          <w:rFonts w:ascii="Arial" w:hAnsi="Arial" w:cs="Arial"/>
          <w:noProof/>
          <w:sz w:val="20"/>
          <w:szCs w:val="20"/>
          <w:lang w:val="en-US"/>
        </w:rPr>
        <w:t>real-world data on these drugs</w:t>
      </w:r>
      <w:r w:rsidR="00D70EF8" w:rsidRPr="00214987">
        <w:rPr>
          <w:rFonts w:ascii="Arial" w:hAnsi="Arial" w:cs="Arial"/>
          <w:noProof/>
          <w:sz w:val="20"/>
          <w:szCs w:val="20"/>
          <w:lang w:val="en-US"/>
        </w:rPr>
        <w:t xml:space="preserve"> </w:t>
      </w:r>
      <w:r w:rsidR="00915273">
        <w:rPr>
          <w:rFonts w:ascii="Arial" w:hAnsi="Arial" w:cs="Arial"/>
          <w:noProof/>
          <w:sz w:val="20"/>
          <w:szCs w:val="20"/>
          <w:lang w:val="en-US"/>
        </w:rPr>
        <w:t>are</w:t>
      </w:r>
      <w:r w:rsidR="00D70EF8" w:rsidRPr="00214987">
        <w:rPr>
          <w:rFonts w:ascii="Arial" w:hAnsi="Arial" w:cs="Arial"/>
          <w:noProof/>
          <w:sz w:val="20"/>
          <w:szCs w:val="20"/>
          <w:lang w:val="en-US"/>
        </w:rPr>
        <w:t xml:space="preserve"> urgently needed</w:t>
      </w:r>
      <w:r w:rsidR="00A878D6"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{"citationItems":[{"id":"ITEM-1","itemData":{"DOI":"10.1111/all.14256","ISSN":"13989995","PMID":"32124991","abstract":"New therapeutic options for severe asthma have recently emerged, mostly in the form of monoclonal antibodies (“biologicals”) targeting relevant inflammatory pathways. Currently available agents target different aspects of “Type 2” immunity, and their indications often include overlapping patient groups. We present a round-table discussion that took place during the Annual Meeting of the Respiratory Effectiveness Group (REG), on the reasoning behind the use of different add-on medications for severe asthma, and crucially, on selection strategies. The proposed rational is based on current evidence, including real-life studies, as well as on the appreciation of the relevant complexities. Direct head-to-head comparisons of biologicals are lacking; therefore, algorithms for initial choice and potential switch between agents should be based on understanding the key characteristics of different options and the development of a clear plan with predefined targets and shared decision-making, in a structured way.","author":[{"dropping-particle":"","family":"Papadopoulos","given":"Nikolaos G.","non-dropping-particle":"","parse-names":false,"suffix":""},{"dropping-particle":"","family":"Barnes","given":"Peter","non-dropping-particle":"","parse-names":false,"suffix":""},{"dropping-particle":"","family":"Canonica","given":"Giorgio Walter","non-dropping-particle":"","parse-names":false,"suffix":""},{"dropping-particle":"","family":"Gaga","given":"Mina","non-dropping-particle":"","parse-names":false,"suffix":""},{"dropping-particle":"","family":"Heaney","given":"Liam","non-dropping-particle":"","parse-names":false,"suffix":""},{"dropping-particle":"","family":"Menzies-Gow","given":"Andrew","non-dropping-particle":"","parse-names":false,"suffix":""},{"dropping-particle":"","family":"Kritikos","given":"Vicky","non-dropping-particle":"","parse-names":false,"suffix":""},{"dropping-particle":"","family":"Fitzgerald","given":"Mark","non-dropping-particle":"","parse-names":false,"suffix":""}],"container-title":"Allergy: European Journal of Allergy and Clinical Immunology","id":"ITEM-1","issue":"7","issued":{"date-parts":[["2020"]]},"page":"1555-1563","title":"The evolving algorithm of biological selection in severe asthma","type":"article-journal","volume":"75"},"uris":["http://www.mendeley.com/documents/?uuid=714a6fab-5946-4f21-9a08-8106fab99083"]}],"mendeley":{"formattedCitation":"&lt;sup&gt;10&lt;/sup&gt;","plainTextFormattedCitation":"10","previouslyFormattedCitation":"&lt;sup&gt;10&lt;/sup&gt;"},"properties":{"noteIndex":0},"schema":"https://github.com/citation-style-language/schema/raw/master/csl-citation.json"}</w:instrText>
      </w:r>
      <w:r w:rsidR="00A878D6"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10</w:t>
      </w:r>
      <w:r w:rsidR="00A878D6" w:rsidRPr="00214987">
        <w:rPr>
          <w:rFonts w:ascii="Arial" w:hAnsi="Arial" w:cs="Arial"/>
          <w:noProof/>
          <w:sz w:val="20"/>
          <w:szCs w:val="20"/>
          <w:lang w:val="en-US"/>
        </w:rPr>
        <w:fldChar w:fldCharType="end"/>
      </w:r>
      <w:r w:rsidR="00A878D6" w:rsidRPr="00214987">
        <w:rPr>
          <w:rFonts w:ascii="Arial" w:hAnsi="Arial" w:cs="Arial"/>
          <w:noProof/>
          <w:sz w:val="20"/>
          <w:szCs w:val="20"/>
          <w:lang w:val="en-US"/>
        </w:rPr>
        <w:t xml:space="preserve"> to </w:t>
      </w:r>
      <w:r w:rsidR="006A0236" w:rsidRPr="00214987">
        <w:rPr>
          <w:rFonts w:ascii="Arial" w:hAnsi="Arial" w:cs="Arial"/>
          <w:noProof/>
          <w:sz w:val="20"/>
          <w:szCs w:val="20"/>
          <w:lang w:val="en-US"/>
        </w:rPr>
        <w:t xml:space="preserve">better </w:t>
      </w:r>
      <w:r w:rsidR="00A878D6" w:rsidRPr="00214987">
        <w:rPr>
          <w:rFonts w:ascii="Arial" w:hAnsi="Arial" w:cs="Arial"/>
          <w:noProof/>
          <w:sz w:val="20"/>
          <w:szCs w:val="20"/>
          <w:lang w:val="en-US"/>
        </w:rPr>
        <w:t>understand their place in real-</w:t>
      </w:r>
      <w:r w:rsidR="00D70EF8" w:rsidRPr="00214987">
        <w:rPr>
          <w:rFonts w:ascii="Arial" w:hAnsi="Arial" w:cs="Arial"/>
          <w:noProof/>
          <w:sz w:val="20"/>
          <w:szCs w:val="20"/>
          <w:lang w:val="en-US"/>
        </w:rPr>
        <w:t>life</w:t>
      </w:r>
      <w:r w:rsidR="00A878D6" w:rsidRPr="00214987">
        <w:rPr>
          <w:rFonts w:ascii="Arial" w:hAnsi="Arial" w:cs="Arial"/>
          <w:noProof/>
          <w:sz w:val="20"/>
          <w:szCs w:val="20"/>
          <w:lang w:val="en-US"/>
        </w:rPr>
        <w:t xml:space="preserve"> </w:t>
      </w:r>
      <w:r w:rsidR="0006253E">
        <w:rPr>
          <w:rFonts w:ascii="Arial" w:hAnsi="Arial" w:cs="Arial"/>
          <w:noProof/>
          <w:sz w:val="20"/>
          <w:szCs w:val="20"/>
          <w:lang w:val="en-US"/>
        </w:rPr>
        <w:t>severe asthma</w:t>
      </w:r>
      <w:r w:rsidR="0006253E" w:rsidRPr="00214987">
        <w:rPr>
          <w:rFonts w:ascii="Arial" w:hAnsi="Arial" w:cs="Arial"/>
          <w:noProof/>
          <w:sz w:val="20"/>
          <w:szCs w:val="20"/>
          <w:lang w:val="en-US"/>
        </w:rPr>
        <w:t xml:space="preserve"> </w:t>
      </w:r>
      <w:r w:rsidR="00A878D6" w:rsidRPr="00214987">
        <w:rPr>
          <w:rFonts w:ascii="Arial" w:hAnsi="Arial" w:cs="Arial"/>
          <w:noProof/>
          <w:sz w:val="20"/>
          <w:szCs w:val="20"/>
          <w:lang w:val="en-US"/>
        </w:rPr>
        <w:t>management</w:t>
      </w:r>
      <w:r w:rsidR="009F44E9" w:rsidRPr="00214987">
        <w:rPr>
          <w:rFonts w:ascii="Arial" w:hAnsi="Arial" w:cs="Arial"/>
          <w:noProof/>
          <w:sz w:val="20"/>
          <w:szCs w:val="20"/>
          <w:lang w:val="en-US"/>
        </w:rPr>
        <w:t xml:space="preserve">. </w:t>
      </w:r>
      <w:r w:rsidR="007B410F" w:rsidRPr="00214987">
        <w:rPr>
          <w:rFonts w:ascii="Arial" w:hAnsi="Arial" w:cs="Arial"/>
          <w:noProof/>
          <w:sz w:val="20"/>
          <w:szCs w:val="20"/>
          <w:lang w:val="en-US"/>
        </w:rPr>
        <w:t xml:space="preserve">Additionally, </w:t>
      </w:r>
      <w:r w:rsidR="00ED6EFB" w:rsidRPr="00214987">
        <w:rPr>
          <w:rFonts w:ascii="Arial" w:hAnsi="Arial" w:cs="Arial"/>
          <w:noProof/>
          <w:sz w:val="20"/>
          <w:szCs w:val="20"/>
          <w:lang w:val="en-US"/>
        </w:rPr>
        <w:t xml:space="preserve">an evolving </w:t>
      </w:r>
      <w:r w:rsidR="00592543" w:rsidRPr="00214987">
        <w:rPr>
          <w:rFonts w:ascii="Arial" w:hAnsi="Arial" w:cs="Arial"/>
          <w:noProof/>
          <w:sz w:val="20"/>
          <w:szCs w:val="20"/>
          <w:lang w:val="en-US"/>
        </w:rPr>
        <w:t xml:space="preserve">paradox of </w:t>
      </w:r>
      <w:r w:rsidR="001C019C" w:rsidRPr="00214987">
        <w:rPr>
          <w:rFonts w:ascii="Arial" w:hAnsi="Arial" w:cs="Arial"/>
          <w:noProof/>
          <w:sz w:val="20"/>
          <w:szCs w:val="20"/>
          <w:lang w:val="en-US"/>
        </w:rPr>
        <w:t xml:space="preserve">biologic </w:t>
      </w:r>
      <w:r w:rsidR="00592543" w:rsidRPr="00214987">
        <w:rPr>
          <w:rFonts w:ascii="Arial" w:hAnsi="Arial" w:cs="Arial"/>
          <w:noProof/>
          <w:sz w:val="20"/>
          <w:szCs w:val="20"/>
          <w:lang w:val="en-US"/>
        </w:rPr>
        <w:t xml:space="preserve">choice places </w:t>
      </w:r>
      <w:r w:rsidR="0006253E">
        <w:rPr>
          <w:rFonts w:ascii="Arial" w:hAnsi="Arial" w:cs="Arial"/>
          <w:noProof/>
          <w:sz w:val="20"/>
          <w:szCs w:val="20"/>
          <w:lang w:val="en-US"/>
        </w:rPr>
        <w:t xml:space="preserve">a </w:t>
      </w:r>
      <w:r w:rsidR="00D13DFC" w:rsidRPr="00214987">
        <w:rPr>
          <w:rFonts w:ascii="Arial" w:hAnsi="Arial" w:cs="Arial"/>
          <w:noProof/>
          <w:sz w:val="20"/>
          <w:szCs w:val="20"/>
          <w:lang w:val="en-US"/>
        </w:rPr>
        <w:t xml:space="preserve">greater onus on clinicians to </w:t>
      </w:r>
      <w:r w:rsidR="005C1E7A" w:rsidRPr="00214987">
        <w:rPr>
          <w:rFonts w:ascii="Arial" w:hAnsi="Arial" w:cs="Arial"/>
          <w:noProof/>
          <w:sz w:val="20"/>
          <w:szCs w:val="20"/>
          <w:lang w:val="en-US"/>
        </w:rPr>
        <w:t>“</w:t>
      </w:r>
      <w:r w:rsidR="00F266C7" w:rsidRPr="00214987">
        <w:rPr>
          <w:rFonts w:ascii="Arial" w:hAnsi="Arial" w:cs="Arial"/>
          <w:noProof/>
          <w:sz w:val="20"/>
          <w:szCs w:val="20"/>
          <w:lang w:val="en-US"/>
        </w:rPr>
        <w:t>g</w:t>
      </w:r>
      <w:r w:rsidR="005C1E7A" w:rsidRPr="00214987">
        <w:rPr>
          <w:rFonts w:ascii="Arial" w:hAnsi="Arial" w:cs="Arial"/>
          <w:noProof/>
          <w:sz w:val="20"/>
          <w:szCs w:val="20"/>
          <w:lang w:val="en-US"/>
        </w:rPr>
        <w:t xml:space="preserve">et it right </w:t>
      </w:r>
      <w:r w:rsidR="0006253E">
        <w:rPr>
          <w:rFonts w:ascii="Arial" w:hAnsi="Arial" w:cs="Arial"/>
          <w:noProof/>
          <w:sz w:val="20"/>
          <w:szCs w:val="20"/>
          <w:lang w:val="en-US"/>
        </w:rPr>
        <w:t xml:space="preserve">the </w:t>
      </w:r>
      <w:r w:rsidR="005C1E7A" w:rsidRPr="00214987">
        <w:rPr>
          <w:rFonts w:ascii="Arial" w:hAnsi="Arial" w:cs="Arial"/>
          <w:noProof/>
          <w:sz w:val="20"/>
          <w:szCs w:val="20"/>
          <w:lang w:val="en-US"/>
        </w:rPr>
        <w:t>first time”</w:t>
      </w:r>
      <w:r w:rsidR="00192308" w:rsidRPr="00214987">
        <w:rPr>
          <w:rFonts w:ascii="Arial" w:hAnsi="Arial" w:cs="Arial"/>
          <w:noProof/>
          <w:sz w:val="20"/>
          <w:szCs w:val="20"/>
          <w:lang w:val="en-US"/>
        </w:rPr>
        <w:t xml:space="preserve">, </w:t>
      </w:r>
      <w:r w:rsidR="006A5E31" w:rsidRPr="00214987">
        <w:rPr>
          <w:rFonts w:ascii="Arial" w:hAnsi="Arial" w:cs="Arial"/>
          <w:noProof/>
          <w:sz w:val="20"/>
          <w:szCs w:val="20"/>
          <w:lang w:val="en-US"/>
        </w:rPr>
        <w:t>to save costs and improve patient outcomes</w:t>
      </w:r>
      <w:r w:rsidR="005C1E7A" w:rsidRPr="00214987">
        <w:rPr>
          <w:rFonts w:ascii="Arial" w:hAnsi="Arial" w:cs="Arial"/>
          <w:noProof/>
          <w:sz w:val="20"/>
          <w:szCs w:val="20"/>
          <w:lang w:val="en-US"/>
        </w:rPr>
        <w:t xml:space="preserve">. </w:t>
      </w:r>
      <w:r w:rsidR="007B410F" w:rsidRPr="00214987">
        <w:rPr>
          <w:rFonts w:ascii="Arial" w:hAnsi="Arial" w:cs="Arial"/>
          <w:noProof/>
          <w:sz w:val="20"/>
          <w:szCs w:val="20"/>
          <w:lang w:val="en-US"/>
        </w:rPr>
        <w:t xml:space="preserve">To guide </w:t>
      </w:r>
      <w:r w:rsidR="00FD5C87" w:rsidRPr="00214987">
        <w:rPr>
          <w:rFonts w:ascii="Arial" w:hAnsi="Arial" w:cs="Arial"/>
          <w:noProof/>
          <w:sz w:val="20"/>
          <w:szCs w:val="20"/>
          <w:lang w:val="en-US"/>
        </w:rPr>
        <w:t xml:space="preserve">asthma </w:t>
      </w:r>
      <w:r w:rsidR="004A0900" w:rsidRPr="00214987">
        <w:rPr>
          <w:rFonts w:ascii="Arial" w:hAnsi="Arial" w:cs="Arial"/>
          <w:noProof/>
          <w:sz w:val="20"/>
          <w:szCs w:val="20"/>
          <w:lang w:val="en-US"/>
        </w:rPr>
        <w:t>biologic selection</w:t>
      </w:r>
      <w:r w:rsidR="007B410F" w:rsidRPr="00214987">
        <w:rPr>
          <w:rFonts w:ascii="Arial" w:hAnsi="Arial" w:cs="Arial"/>
          <w:noProof/>
          <w:sz w:val="20"/>
          <w:szCs w:val="20"/>
          <w:lang w:val="en-US"/>
        </w:rPr>
        <w:t>,</w:t>
      </w:r>
      <w:r w:rsidR="00D13DFC" w:rsidRPr="00214987">
        <w:rPr>
          <w:rFonts w:ascii="Arial" w:hAnsi="Arial" w:cs="Arial"/>
          <w:noProof/>
          <w:sz w:val="20"/>
          <w:szCs w:val="20"/>
          <w:lang w:val="en-US"/>
        </w:rPr>
        <w:t xml:space="preserve"> </w:t>
      </w:r>
      <w:r w:rsidR="0087575F" w:rsidRPr="00214987">
        <w:rPr>
          <w:rFonts w:ascii="Arial" w:hAnsi="Arial" w:cs="Arial"/>
          <w:noProof/>
          <w:sz w:val="20"/>
          <w:szCs w:val="20"/>
          <w:lang w:val="en-US"/>
        </w:rPr>
        <w:t>it is imperative</w:t>
      </w:r>
      <w:r w:rsidR="005C1E7A" w:rsidRPr="00214987">
        <w:rPr>
          <w:rFonts w:ascii="Arial" w:hAnsi="Arial" w:cs="Arial"/>
          <w:noProof/>
          <w:sz w:val="20"/>
          <w:szCs w:val="20"/>
          <w:lang w:val="en-US"/>
        </w:rPr>
        <w:t xml:space="preserve"> to understand patient phenotypes best</w:t>
      </w:r>
      <w:r w:rsidR="00192308" w:rsidRPr="00214987">
        <w:rPr>
          <w:rFonts w:ascii="Arial" w:hAnsi="Arial" w:cs="Arial"/>
          <w:noProof/>
          <w:sz w:val="20"/>
          <w:szCs w:val="20"/>
          <w:lang w:val="en-US"/>
        </w:rPr>
        <w:t xml:space="preserve"> suited for</w:t>
      </w:r>
      <w:r w:rsidR="005C1E7A" w:rsidRPr="00214987">
        <w:rPr>
          <w:rFonts w:ascii="Arial" w:hAnsi="Arial" w:cs="Arial"/>
          <w:noProof/>
          <w:sz w:val="20"/>
          <w:szCs w:val="20"/>
          <w:lang w:val="en-US"/>
        </w:rPr>
        <w:t xml:space="preserve"> individual </w:t>
      </w:r>
      <w:r w:rsidR="00EF637D" w:rsidRPr="00214987">
        <w:rPr>
          <w:rFonts w:ascii="Arial" w:hAnsi="Arial" w:cs="Arial"/>
          <w:noProof/>
          <w:sz w:val="20"/>
          <w:szCs w:val="20"/>
          <w:lang w:val="en-US"/>
        </w:rPr>
        <w:t>drugs</w:t>
      </w:r>
      <w:r w:rsidR="005C1E7A" w:rsidRPr="00214987">
        <w:rPr>
          <w:rFonts w:ascii="Arial" w:hAnsi="Arial" w:cs="Arial"/>
          <w:noProof/>
          <w:sz w:val="20"/>
          <w:szCs w:val="20"/>
          <w:lang w:val="en-US"/>
        </w:rPr>
        <w:t xml:space="preserve">, identify </w:t>
      </w:r>
      <w:r w:rsidR="00CC278F" w:rsidRPr="00214987">
        <w:rPr>
          <w:rFonts w:ascii="Arial" w:hAnsi="Arial" w:cs="Arial"/>
          <w:bCs/>
          <w:noProof/>
          <w:sz w:val="20"/>
          <w:szCs w:val="20"/>
          <w:lang w:val="en-US"/>
        </w:rPr>
        <w:t>features associated with response</w:t>
      </w:r>
      <w:r w:rsidR="00EF637D" w:rsidRPr="00214987">
        <w:rPr>
          <w:rFonts w:ascii="Arial" w:hAnsi="Arial" w:cs="Arial"/>
          <w:noProof/>
          <w:sz w:val="20"/>
          <w:szCs w:val="20"/>
          <w:lang w:val="en-US"/>
        </w:rPr>
        <w:t xml:space="preserve">, </w:t>
      </w:r>
      <w:r w:rsidR="005C1E7A" w:rsidRPr="00214987">
        <w:rPr>
          <w:rFonts w:ascii="Arial" w:hAnsi="Arial" w:cs="Arial"/>
          <w:noProof/>
          <w:sz w:val="20"/>
          <w:szCs w:val="20"/>
          <w:lang w:val="en-US"/>
        </w:rPr>
        <w:t xml:space="preserve">and also consider how best to judge clinical impact of these therapies. </w:t>
      </w:r>
      <w:r w:rsidR="00414AA1" w:rsidRPr="00214987">
        <w:rPr>
          <w:rFonts w:ascii="Arial" w:hAnsi="Arial" w:cs="Arial"/>
          <w:noProof/>
          <w:sz w:val="20"/>
          <w:szCs w:val="20"/>
          <w:lang w:val="en-US"/>
        </w:rPr>
        <w:t>Th</w:t>
      </w:r>
      <w:r w:rsidR="005077AB" w:rsidRPr="00214987">
        <w:rPr>
          <w:rFonts w:ascii="Arial" w:hAnsi="Arial" w:cs="Arial"/>
          <w:noProof/>
          <w:sz w:val="20"/>
          <w:szCs w:val="20"/>
          <w:lang w:val="en-US"/>
        </w:rPr>
        <w:t>erefore</w:t>
      </w:r>
      <w:r w:rsidR="00ED5A74" w:rsidRPr="00214987">
        <w:rPr>
          <w:rFonts w:ascii="Arial" w:hAnsi="Arial" w:cs="Arial"/>
          <w:noProof/>
          <w:sz w:val="20"/>
          <w:szCs w:val="20"/>
          <w:lang w:val="en-US"/>
        </w:rPr>
        <w:t>, t</w:t>
      </w:r>
      <w:r w:rsidR="005C1E7A" w:rsidRPr="00214987">
        <w:rPr>
          <w:rFonts w:ascii="Arial" w:hAnsi="Arial" w:cs="Arial"/>
          <w:noProof/>
          <w:sz w:val="20"/>
          <w:szCs w:val="20"/>
          <w:lang w:val="en-US"/>
        </w:rPr>
        <w:t>o help address these needs</w:t>
      </w:r>
      <w:r w:rsidR="0089298B" w:rsidRPr="00214987">
        <w:rPr>
          <w:rFonts w:ascii="Arial" w:hAnsi="Arial" w:cs="Arial"/>
          <w:noProof/>
          <w:sz w:val="20"/>
          <w:szCs w:val="20"/>
          <w:lang w:val="en-US"/>
        </w:rPr>
        <w:t>,</w:t>
      </w:r>
      <w:r w:rsidR="005C1E7A" w:rsidRPr="00214987">
        <w:rPr>
          <w:rFonts w:ascii="Arial" w:hAnsi="Arial" w:cs="Arial"/>
          <w:noProof/>
          <w:sz w:val="20"/>
          <w:szCs w:val="20"/>
          <w:lang w:val="en-US"/>
        </w:rPr>
        <w:t xml:space="preserve"> we present </w:t>
      </w:r>
      <w:r w:rsidR="007D22B1" w:rsidRPr="00214987">
        <w:rPr>
          <w:rFonts w:ascii="Arial" w:hAnsi="Arial" w:cs="Arial"/>
          <w:noProof/>
          <w:sz w:val="20"/>
          <w:szCs w:val="20"/>
          <w:lang w:val="en-US"/>
        </w:rPr>
        <w:t xml:space="preserve">parallel real-world clinical </w:t>
      </w:r>
      <w:r w:rsidR="005C1E7A" w:rsidRPr="00214987">
        <w:rPr>
          <w:rFonts w:ascii="Arial" w:hAnsi="Arial" w:cs="Arial"/>
          <w:noProof/>
          <w:sz w:val="20"/>
          <w:szCs w:val="20"/>
          <w:lang w:val="en-US"/>
        </w:rPr>
        <w:t xml:space="preserve">data on two widely used asthma biologics, </w:t>
      </w:r>
      <w:r w:rsidR="004C6D9A" w:rsidRPr="00214987">
        <w:rPr>
          <w:rFonts w:ascii="Arial" w:hAnsi="Arial" w:cs="Arial"/>
          <w:noProof/>
          <w:sz w:val="20"/>
          <w:szCs w:val="20"/>
          <w:lang w:val="en-US"/>
        </w:rPr>
        <w:t>Omalizumab</w:t>
      </w:r>
      <w:r w:rsidR="005C1E7A" w:rsidRPr="00214987">
        <w:rPr>
          <w:rFonts w:ascii="Arial" w:hAnsi="Arial" w:cs="Arial"/>
          <w:noProof/>
          <w:sz w:val="20"/>
          <w:szCs w:val="20"/>
          <w:lang w:val="en-US"/>
        </w:rPr>
        <w:t xml:space="preserve"> and </w:t>
      </w:r>
      <w:r w:rsidR="008C6CE9">
        <w:rPr>
          <w:rFonts w:ascii="Arial" w:hAnsi="Arial" w:cs="Arial"/>
          <w:noProof/>
          <w:sz w:val="20"/>
          <w:szCs w:val="20"/>
          <w:lang w:val="en-US"/>
        </w:rPr>
        <w:t>Mepolizumab</w:t>
      </w:r>
      <w:r w:rsidR="00E13A2F" w:rsidRPr="00214987">
        <w:rPr>
          <w:rFonts w:ascii="Arial" w:hAnsi="Arial" w:cs="Arial"/>
          <w:noProof/>
          <w:sz w:val="20"/>
          <w:szCs w:val="20"/>
          <w:lang w:val="en-US"/>
        </w:rPr>
        <w:t>,</w:t>
      </w:r>
      <w:r w:rsidR="005C1E7A" w:rsidRPr="00214987">
        <w:rPr>
          <w:rFonts w:ascii="Arial" w:hAnsi="Arial" w:cs="Arial"/>
          <w:noProof/>
          <w:sz w:val="20"/>
          <w:szCs w:val="20"/>
          <w:lang w:val="en-US"/>
        </w:rPr>
        <w:t xml:space="preserve"> from the thoroughly characteri</w:t>
      </w:r>
      <w:r w:rsidR="004D091B">
        <w:rPr>
          <w:rFonts w:ascii="Arial" w:hAnsi="Arial" w:cs="Arial"/>
          <w:noProof/>
          <w:sz w:val="20"/>
          <w:szCs w:val="20"/>
          <w:lang w:val="en-US"/>
        </w:rPr>
        <w:t>z</w:t>
      </w:r>
      <w:r w:rsidR="005C1E7A" w:rsidRPr="00214987">
        <w:rPr>
          <w:rFonts w:ascii="Arial" w:hAnsi="Arial" w:cs="Arial"/>
          <w:noProof/>
          <w:sz w:val="20"/>
          <w:szCs w:val="20"/>
          <w:lang w:val="en-US"/>
        </w:rPr>
        <w:t>ed</w:t>
      </w:r>
      <w:r w:rsidR="00F266C7" w:rsidRPr="00214987">
        <w:rPr>
          <w:rFonts w:ascii="Arial" w:hAnsi="Arial" w:cs="Arial"/>
          <w:noProof/>
          <w:sz w:val="20"/>
          <w:szCs w:val="20"/>
          <w:lang w:val="en-US"/>
        </w:rPr>
        <w:t>,</w:t>
      </w:r>
      <w:r w:rsidR="005C1E7A" w:rsidRPr="00214987">
        <w:rPr>
          <w:rFonts w:ascii="Arial" w:hAnsi="Arial" w:cs="Arial"/>
          <w:noProof/>
          <w:sz w:val="20"/>
          <w:szCs w:val="20"/>
          <w:lang w:val="en-US"/>
        </w:rPr>
        <w:t xml:space="preserve"> longitudinal </w:t>
      </w:r>
      <w:r w:rsidR="00D3213D" w:rsidRPr="00214987">
        <w:rPr>
          <w:rFonts w:ascii="Arial" w:hAnsi="Arial" w:cs="Arial"/>
          <w:noProof/>
          <w:sz w:val="20"/>
          <w:szCs w:val="20"/>
          <w:lang w:val="en-US"/>
        </w:rPr>
        <w:t xml:space="preserve">Wessex AsThma CoHort of difficult asthma </w:t>
      </w:r>
      <w:r w:rsidR="005D1658" w:rsidRPr="00214987">
        <w:rPr>
          <w:rFonts w:ascii="Arial" w:hAnsi="Arial" w:cs="Arial"/>
          <w:noProof/>
          <w:sz w:val="20"/>
          <w:szCs w:val="20"/>
          <w:lang w:val="en-US"/>
        </w:rPr>
        <w:t>(WATCH)</w:t>
      </w:r>
      <w:r w:rsidR="005D1658"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{"citationItems":[{"id":"ITEM-1","itemData":{"DOI":"10.1186/s12890-019-0862-2","ISSN":"14712466","PMID":"31126281","abstract":"Background: Asthma is now widely recognised to be a heterogeneous disease. The last two decades have seen the identification of a number of biological targets and development of various novel therapies. Despite this, asthma still represents a significant health and economic burden worldwide. Why some individuals should continue to suffer remains unclear. Methods: The Wessex Asthma Cohort of Difficult Asthma (WATCH) is an ongoing 'real-life', prospective study of patients in the University Hospital Southampton Foundation Trust (UHSFT) Difficult Asthma service. Research data capture is aligned with the extensive clinical characterisation required of a commissioned National Health Service (NHS) Specialist Centre for Severe Asthma. Data acquisition includes detailed clinical, health and disease-related questionnaires, anthropometry, allergy and lung function testing, radiological imaging (in a small subset) and collection of biological samples (blood, urine and sputum). Prospective data are captured in parallel to clinical follow up appointments, with data entered into a bespoke database. Discussion: The pragmatic ongoing nature of the WATCH study allows comprehensive assessment of the real world clinical spectrum seen in a Specialist Asthma Centre and allows a longitudinal perspective of deeply phenotyped patients. It is anticipated that the WATCH cohort would act as a vehicle for potential collaborative asthma studies and will build upon our understanding of mechanisms underlying difficult asthma.","author":[{"dropping-particle":"","family":"Azim","given":"Adnan","non-dropping-particle":"","parse-names":false,"suffix":""},{"dropping-particle":"","family":"Mistry","given":"Heena","non-dropping-particle":"","parse-names":false,"suffix":""},{"dropping-particle":"","family":"Freeman","given":"Anna","non-dropping-particle":"","parse-names":false,"suffix":""},{"dropping-particle":"","family":"Barber","given":"Clair","non-dropping-particle":"","parse-names":false,"suffix":""},{"dropping-particle":"","family":"Newell","given":"Colin","non-dropping-particle":"","parse-names":false,"suffix":""},{"dropping-particle":"","family":"Gove","given":"Kerry","non-dropping-particle":"","parse-names":false,"suffix":""},{"dropping-particle":"","family":"Thirlwall","given":"Yvette","non-dropping-particle":"","parse-names":false,"suffix":""},{"dropping-particle":"","family":"Harvey","given":"Matt","non-dropping-particle":"","parse-names":false,"suffix":""},{"dropping-particle":"","family":"Bentley","given":"Kimberley","non-dropping-particle":"","parse-names":false,"suffix":""},{"dropping-particle":"","family":"Knight","given":"Deborah","non-dropping-particle":"","parse-names":false,"suffix":""},{"dropping-particle":"","family":"Long","given":"Karen","non-dropping-particle":"","parse-names":false,"suffix":""},{"dropping-particle":"","family":"Mitchell","given":"Frances","non-dropping-particle":"","parse-names":false,"suffix":""},{"dropping-particle":"","family":"Cheng","given":"Yueqing","non-dropping-particle":"","parse-names":false,"suffix":""},{"dropping-particle":"","family":"Varkonyi-Sepp","given":"Judit","non-dropping-particle":"","parse-names":false,"suffix":""},{"dropping-particle":"","family":"Grabau","given":"Wolfgang","non-dropping-particle":"","parse-names":false,"suffix":""},{"dropping-particle":"","family":"Dennison","given":"Paddy","non-dropping-particle":"","parse-names":false,"suffix":""},{"dropping-particle":"","family":"Haitchi","given":"Hans Michael","non-dropping-particle":"","parse-names":false,"suffix":""},{"dropping-particle":"","family":"Arshad","given":"S. Hasan","non-dropping-particle":"","parse-names":false,"suffix":""},{"dropping-particle":"","family":"Djukanovic","given":"Ratko","non-dropping-particle":"","parse-names":false,"suffix":""},{"dropping-particle":"","family":"Wilkinson","given":"Tom","non-dropping-particle":"","parse-names":false,"suffix":""},{"dropping-particle":"","family":"Howarth","given":"Peter","non-dropping-particle":"","parse-names":false,"suffix":""},{"dropping-particle":"","family":"Kurukulaaratchy","given":"Ramesh J.","non-dropping-particle":"","parse-names":false,"suffix":""}],"container-title":"BMC Pulmonary Medicine","id":"ITEM-1","issue":"1","issued":{"date-parts":[["2019"]]},"publisher":"BMC Pulmonary Medicine","title":"Protocol for the Wessex AsThma CoHort of difficult asthma (WATCH): A pragmatic real-life longitudinal study of difficult asthma in the clinic","type":"article-journal","volume":"19"},"uris":["http://www.mendeley.com/documents/?uuid=391b7f40-665e-498e-a896-4acace4ef6c2"]}],"mendeley":{"formattedCitation":"&lt;sup&gt;11&lt;/sup&gt;","plainTextFormattedCitation":"11","previouslyFormattedCitation":"&lt;sup&gt;11&lt;/sup&gt;"},"properties":{"noteIndex":0},"schema":"https://github.com/citation-style-language/schema/raw/master/csl-citation.json"}</w:instrText>
      </w:r>
      <w:r w:rsidR="005D1658"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11</w:t>
      </w:r>
      <w:r w:rsidR="005D1658" w:rsidRPr="00214987">
        <w:rPr>
          <w:rFonts w:ascii="Arial" w:hAnsi="Arial" w:cs="Arial"/>
          <w:noProof/>
          <w:sz w:val="20"/>
          <w:szCs w:val="20"/>
          <w:lang w:val="en-US"/>
        </w:rPr>
        <w:fldChar w:fldCharType="end"/>
      </w:r>
      <w:r w:rsidR="00FC78DE" w:rsidRPr="00214987">
        <w:rPr>
          <w:rFonts w:ascii="Arial" w:hAnsi="Arial" w:cs="Arial"/>
          <w:noProof/>
          <w:sz w:val="20"/>
          <w:szCs w:val="20"/>
          <w:lang w:val="en-US"/>
        </w:rPr>
        <w:t>.</w:t>
      </w:r>
    </w:p>
    <w:p w14:paraId="3315A0E5" w14:textId="77777777" w:rsidR="00CA2E1A" w:rsidRDefault="00CA2E1A">
      <w:pPr>
        <w:rPr>
          <w:rFonts w:ascii="Arial" w:hAnsi="Arial" w:cs="Arial"/>
          <w:noProof/>
          <w:sz w:val="20"/>
          <w:szCs w:val="20"/>
          <w:lang w:val="en-US"/>
        </w:rPr>
      </w:pPr>
      <w:r>
        <w:rPr>
          <w:rFonts w:ascii="Arial" w:hAnsi="Arial" w:cs="Arial"/>
          <w:noProof/>
          <w:sz w:val="20"/>
          <w:szCs w:val="20"/>
          <w:lang w:val="en-US"/>
        </w:rPr>
        <w:br w:type="page"/>
      </w:r>
    </w:p>
    <w:p w14:paraId="0E94FAF3" w14:textId="77777777" w:rsidR="00260269" w:rsidRPr="00260269" w:rsidRDefault="00260269" w:rsidP="001331A2">
      <w:pPr>
        <w:pStyle w:val="Heading1"/>
        <w:rPr>
          <w:rFonts w:ascii="Arial" w:hAnsi="Arial" w:cs="Arial"/>
        </w:rPr>
      </w:pPr>
      <w:r w:rsidRPr="00260269">
        <w:rPr>
          <w:rFonts w:ascii="Arial" w:hAnsi="Arial" w:cs="Arial"/>
        </w:rPr>
        <w:lastRenderedPageBreak/>
        <w:t>Methods</w:t>
      </w:r>
    </w:p>
    <w:p w14:paraId="0C65E892" w14:textId="527D8E84" w:rsidR="00A43ABA" w:rsidRPr="00214987" w:rsidRDefault="00CA3707" w:rsidP="00AB4CB7">
      <w:pPr>
        <w:pStyle w:val="NormalWeb"/>
        <w:spacing w:before="280" w:after="280" w:line="480" w:lineRule="auto"/>
        <w:rPr>
          <w:rFonts w:ascii="Arial" w:hAnsi="Arial" w:cs="Arial"/>
          <w:noProof/>
          <w:sz w:val="20"/>
          <w:szCs w:val="20"/>
          <w:lang w:val="en-US"/>
        </w:rPr>
      </w:pPr>
      <w:r w:rsidRPr="00214987">
        <w:rPr>
          <w:rFonts w:ascii="Arial" w:hAnsi="Arial" w:cs="Arial"/>
          <w:noProof/>
          <w:sz w:val="20"/>
          <w:szCs w:val="20"/>
          <w:lang w:val="en-US"/>
        </w:rPr>
        <w:t>WATCH</w:t>
      </w:r>
      <w:r w:rsidR="00C20E93" w:rsidRPr="00214987">
        <w:rPr>
          <w:rFonts w:ascii="Arial" w:hAnsi="Arial" w:cs="Arial"/>
          <w:noProof/>
          <w:sz w:val="20"/>
          <w:szCs w:val="20"/>
          <w:lang w:val="en-US"/>
        </w:rPr>
        <w:t xml:space="preserve"> </w:t>
      </w:r>
      <w:r w:rsidR="00A43ABA" w:rsidRPr="00214987">
        <w:rPr>
          <w:rFonts w:ascii="Arial" w:hAnsi="Arial" w:cs="Arial"/>
          <w:noProof/>
          <w:sz w:val="20"/>
          <w:szCs w:val="20"/>
          <w:lang w:val="en-US"/>
        </w:rPr>
        <w:t xml:space="preserve">is a prospective observational study of patients managed in a tertiary </w:t>
      </w:r>
      <w:r w:rsidR="00AF0B57">
        <w:rPr>
          <w:rFonts w:ascii="Arial" w:hAnsi="Arial" w:cs="Arial"/>
          <w:noProof/>
          <w:sz w:val="20"/>
          <w:szCs w:val="20"/>
          <w:lang w:val="en-US"/>
        </w:rPr>
        <w:t xml:space="preserve">difficult </w:t>
      </w:r>
      <w:r w:rsidR="00A43ABA" w:rsidRPr="00214987">
        <w:rPr>
          <w:rFonts w:ascii="Arial" w:hAnsi="Arial" w:cs="Arial"/>
          <w:noProof/>
          <w:sz w:val="20"/>
          <w:szCs w:val="20"/>
          <w:lang w:val="en-US"/>
        </w:rPr>
        <w:t xml:space="preserve">asthma clinic </w:t>
      </w:r>
      <w:r w:rsidR="004A27E4" w:rsidRPr="00214987">
        <w:rPr>
          <w:rFonts w:ascii="Arial" w:hAnsi="Arial" w:cs="Arial"/>
          <w:noProof/>
          <w:sz w:val="20"/>
          <w:szCs w:val="20"/>
          <w:lang w:val="en-US"/>
        </w:rPr>
        <w:t xml:space="preserve">at </w:t>
      </w:r>
      <w:r w:rsidR="00171AC7" w:rsidRPr="00214987">
        <w:rPr>
          <w:rFonts w:ascii="Arial" w:hAnsi="Arial" w:cs="Arial"/>
          <w:noProof/>
          <w:sz w:val="20"/>
          <w:szCs w:val="20"/>
          <w:lang w:val="en-US"/>
        </w:rPr>
        <w:t>University Hospital Southampton</w:t>
      </w:r>
      <w:r w:rsidR="004A27E4" w:rsidRPr="00214987">
        <w:rPr>
          <w:rFonts w:ascii="Arial" w:hAnsi="Arial" w:cs="Arial"/>
          <w:noProof/>
          <w:sz w:val="20"/>
          <w:szCs w:val="20"/>
          <w:lang w:val="en-US"/>
        </w:rPr>
        <w:t>,</w:t>
      </w:r>
      <w:r w:rsidR="00CE0897" w:rsidRPr="00214987">
        <w:rPr>
          <w:rFonts w:ascii="Arial" w:hAnsi="Arial" w:cs="Arial"/>
          <w:noProof/>
          <w:sz w:val="20"/>
          <w:szCs w:val="20"/>
          <w:lang w:val="en-US"/>
        </w:rPr>
        <w:t xml:space="preserve"> </w:t>
      </w:r>
      <w:r w:rsidR="00B22DBB" w:rsidRPr="00214987">
        <w:rPr>
          <w:rFonts w:ascii="Arial" w:hAnsi="Arial" w:cs="Arial"/>
          <w:noProof/>
          <w:sz w:val="20"/>
          <w:szCs w:val="20"/>
          <w:lang w:val="en-US"/>
        </w:rPr>
        <w:t>UK</w:t>
      </w:r>
      <w:r w:rsidR="00964465" w:rsidRPr="00214987">
        <w:rPr>
          <w:rFonts w:ascii="Arial" w:hAnsi="Arial" w:cs="Arial"/>
          <w:noProof/>
          <w:sz w:val="20"/>
          <w:szCs w:val="20"/>
          <w:lang w:val="en-US"/>
        </w:rPr>
        <w:t xml:space="preserve"> </w:t>
      </w:r>
      <w:r w:rsidR="00A43ABA" w:rsidRPr="00214987">
        <w:rPr>
          <w:rFonts w:ascii="Arial" w:hAnsi="Arial" w:cs="Arial"/>
          <w:noProof/>
          <w:sz w:val="20"/>
          <w:szCs w:val="20"/>
          <w:lang w:val="en-US"/>
        </w:rPr>
        <w:t xml:space="preserve">with “high dose therapies” and/or “continuous or frequent use of </w:t>
      </w:r>
      <w:r w:rsidR="00FC62A2" w:rsidRPr="00214987">
        <w:rPr>
          <w:rFonts w:ascii="Arial" w:hAnsi="Arial" w:cs="Arial"/>
          <w:noProof/>
          <w:sz w:val="20"/>
          <w:szCs w:val="20"/>
          <w:lang w:val="en-US"/>
        </w:rPr>
        <w:t>oral corticosteroids (OCS)</w:t>
      </w:r>
      <w:r w:rsidR="00A43ABA" w:rsidRPr="00214987">
        <w:rPr>
          <w:rFonts w:ascii="Arial" w:hAnsi="Arial" w:cs="Arial"/>
          <w:noProof/>
          <w:sz w:val="20"/>
          <w:szCs w:val="20"/>
          <w:lang w:val="en-US"/>
        </w:rPr>
        <w:t xml:space="preserve">” </w:t>
      </w:r>
      <w:r w:rsidR="00C45061" w:rsidRPr="00214987">
        <w:rPr>
          <w:rFonts w:ascii="Arial" w:hAnsi="Arial" w:cs="Arial"/>
          <w:noProof/>
          <w:sz w:val="20"/>
          <w:szCs w:val="20"/>
          <w:lang w:val="en-US"/>
        </w:rPr>
        <w:t>as per</w:t>
      </w:r>
      <w:r w:rsidR="00A43ABA" w:rsidRPr="00214987">
        <w:rPr>
          <w:rFonts w:ascii="Arial" w:hAnsi="Arial" w:cs="Arial"/>
          <w:noProof/>
          <w:sz w:val="20"/>
          <w:szCs w:val="20"/>
          <w:lang w:val="en-US"/>
        </w:rPr>
        <w:t xml:space="preserve"> the B</w:t>
      </w:r>
      <w:r w:rsidR="005C45E4" w:rsidRPr="00214987">
        <w:rPr>
          <w:rFonts w:ascii="Arial" w:hAnsi="Arial" w:cs="Arial"/>
          <w:noProof/>
          <w:sz w:val="20"/>
          <w:szCs w:val="20"/>
          <w:lang w:val="en-US"/>
        </w:rPr>
        <w:t xml:space="preserve">ritish </w:t>
      </w:r>
      <w:r w:rsidR="00A43ABA" w:rsidRPr="00214987">
        <w:rPr>
          <w:rFonts w:ascii="Arial" w:hAnsi="Arial" w:cs="Arial"/>
          <w:noProof/>
          <w:sz w:val="20"/>
          <w:szCs w:val="20"/>
          <w:lang w:val="en-US"/>
        </w:rPr>
        <w:t>T</w:t>
      </w:r>
      <w:r w:rsidR="005C45E4" w:rsidRPr="00214987">
        <w:rPr>
          <w:rFonts w:ascii="Arial" w:hAnsi="Arial" w:cs="Arial"/>
          <w:noProof/>
          <w:sz w:val="20"/>
          <w:szCs w:val="20"/>
          <w:lang w:val="en-US"/>
        </w:rPr>
        <w:t xml:space="preserve">horacic </w:t>
      </w:r>
      <w:r w:rsidR="00A43ABA" w:rsidRPr="00214987">
        <w:rPr>
          <w:rFonts w:ascii="Arial" w:hAnsi="Arial" w:cs="Arial"/>
          <w:noProof/>
          <w:sz w:val="20"/>
          <w:szCs w:val="20"/>
          <w:lang w:val="en-US"/>
        </w:rPr>
        <w:t>S</w:t>
      </w:r>
      <w:r w:rsidR="005C45E4" w:rsidRPr="00214987">
        <w:rPr>
          <w:rFonts w:ascii="Arial" w:hAnsi="Arial" w:cs="Arial"/>
          <w:noProof/>
          <w:sz w:val="20"/>
          <w:szCs w:val="20"/>
          <w:lang w:val="en-US"/>
        </w:rPr>
        <w:t>ociety</w:t>
      </w:r>
      <w:r w:rsidR="00A43ABA" w:rsidRPr="00214987">
        <w:rPr>
          <w:rFonts w:ascii="Arial" w:hAnsi="Arial" w:cs="Arial"/>
          <w:noProof/>
          <w:sz w:val="20"/>
          <w:szCs w:val="20"/>
          <w:lang w:val="en-US"/>
        </w:rPr>
        <w:t xml:space="preserve"> Adult Asthma Management Guidelines </w:t>
      </w:r>
      <w:r w:rsidR="00364264" w:rsidRPr="00214987">
        <w:rPr>
          <w:rFonts w:ascii="Arial" w:hAnsi="Arial" w:cs="Arial"/>
          <w:noProof/>
          <w:sz w:val="20"/>
          <w:szCs w:val="20"/>
          <w:lang w:val="en-US"/>
        </w:rPr>
        <w:t>201</w:t>
      </w:r>
      <w:r w:rsidR="0091688C" w:rsidRPr="00214987">
        <w:rPr>
          <w:rFonts w:ascii="Arial" w:hAnsi="Arial" w:cs="Arial"/>
          <w:noProof/>
          <w:sz w:val="20"/>
          <w:szCs w:val="20"/>
          <w:lang w:val="en-US"/>
        </w:rPr>
        <w:t>6</w:t>
      </w:r>
      <w:r w:rsidR="00F9285A"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{"citationItems":[{"id":"ITEM-1","itemData":{"abstract":"2016 British Guidelines on the management of asthma","author":[{"dropping-particle":"","family":"SIGN","given":"","non-dropping-particle":"","parse-names":false,"suffix":""}],"container-title":"Brith Thoracic Society","id":"ITEM-1","issue":"September","issued":{"date-parts":[["2016"]]},"page":"8","title":"SIGN 153 • British guideline on the management of asthma KEY TO EVIDENCE STATEMENTS AND GRADES OF RECOMMENDATIONS","type":"article-journal"},"uris":["http://www.mendeley.com/documents/?uuid=f530c488-6145-4590-b3f2-36355cb1bea8"]}],"mendeley":{"formattedCitation":"&lt;sup&gt;12&lt;/sup&gt;","plainTextFormattedCitation":"12","previouslyFormattedCitation":"&lt;sup&gt;12&lt;/sup&gt;"},"properties":{"noteIndex":0},"schema":"https://github.com/citation-style-language/schema/raw/master/csl-citation.json"}</w:instrText>
      </w:r>
      <w:r w:rsidR="00F9285A"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12</w:t>
      </w:r>
      <w:r w:rsidR="00F9285A" w:rsidRPr="00214987">
        <w:rPr>
          <w:rFonts w:ascii="Arial" w:hAnsi="Arial" w:cs="Arial"/>
          <w:noProof/>
          <w:sz w:val="20"/>
          <w:szCs w:val="20"/>
          <w:lang w:val="en-US"/>
        </w:rPr>
        <w:fldChar w:fldCharType="end"/>
      </w:r>
      <w:r w:rsidR="00A43ABA" w:rsidRPr="00214987">
        <w:rPr>
          <w:rFonts w:ascii="Arial" w:hAnsi="Arial" w:cs="Arial"/>
          <w:noProof/>
          <w:sz w:val="20"/>
          <w:szCs w:val="20"/>
          <w:lang w:val="en-US"/>
        </w:rPr>
        <w:t>. Detailed study methodology is described elsewhere</w:t>
      </w:r>
      <w:r w:rsidR="005E4BE2"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{"citationItems":[{"id":"ITEM-1","itemData":{"DOI":"10.1186/s12890-019-0862-2","ISSN":"14712466","PMID":"31126281","abstract":"Background: Asthma is now widely recognised to be a heterogeneous disease. The last two decades have seen the identification of a number of biological targets and development of various novel therapies. Despite this, asthma still represents a significant health and economic burden worldwide. Why some individuals should continue to suffer remains unclear. Methods: The Wessex Asthma Cohort of Difficult Asthma (WATCH) is an ongoing 'real-life', prospective study of patients in the University Hospital Southampton Foundation Trust (UHSFT) Difficult Asthma service. Research data capture is aligned with the extensive clinical characterisation required of a commissioned National Health Service (NHS) Specialist Centre for Severe Asthma. Data acquisition includes detailed clinical, health and disease-related questionnaires, anthropometry, allergy and lung function testing, radiological imaging (in a small subset) and collection of biological samples (blood, urine and sputum). Prospective data are captured in parallel to clinical follow up appointments, with data entered into a bespoke database. Discussion: The pragmatic ongoing nature of the WATCH study allows comprehensive assessment of the real world clinical spectrum seen in a Specialist Asthma Centre and allows a longitudinal perspective of deeply phenotyped patients. It is anticipated that the WATCH cohort would act as a vehicle for potential collaborative asthma studies and will build upon our understanding of mechanisms underlying difficult asthma.","author":[{"dropping-particle":"","family":"Azim","given":"Adnan","non-dropping-particle":"","parse-names":false,"suffix":""},{"dropping-particle":"","family":"Mistry","given":"Heena","non-dropping-particle":"","parse-names":false,"suffix":""},{"dropping-particle":"","family":"Freeman","given":"Anna","non-dropping-particle":"","parse-names":false,"suffix":""},{"dropping-particle":"","family":"Barber","given":"Clair","non-dropping-particle":"","parse-names":false,"suffix":""},{"dropping-particle":"","family":"Newell","given":"Colin","non-dropping-particle":"","parse-names":false,"suffix":""},{"dropping-particle":"","family":"Gove","given":"Kerry","non-dropping-particle":"","parse-names":false,"suffix":""},{"dropping-particle":"","family":"Thirlwall","given":"Yvette","non-dropping-particle":"","parse-names":false,"suffix":""},{"dropping-particle":"","family":"Harvey","given":"Matt","non-dropping-particle":"","parse-names":false,"suffix":""},{"dropping-particle":"","family":"Bentley","given":"Kimberley","non-dropping-particle":"","parse-names":false,"suffix":""},{"dropping-particle":"","family":"Knight","given":"Deborah","non-dropping-particle":"","parse-names":false,"suffix":""},{"dropping-particle":"","family":"Long","given":"Karen","non-dropping-particle":"","parse-names":false,"suffix":""},{"dropping-particle":"","family":"Mitchell","given":"Frances","non-dropping-particle":"","parse-names":false,"suffix":""},{"dropping-particle":"","family":"Cheng","given":"Yueqing","non-dropping-particle":"","parse-names":false,"suffix":""},{"dropping-particle":"","family":"Varkonyi-Sepp","given":"Judit","non-dropping-particle":"","parse-names":false,"suffix":""},{"dropping-particle":"","family":"Grabau","given":"Wolfgang","non-dropping-particle":"","parse-names":false,"suffix":""},{"dropping-particle":"","family":"Dennison","given":"Paddy","non-dropping-particle":"","parse-names":false,"suffix":""},{"dropping-particle":"","family":"Haitchi","given":"Hans Michael","non-dropping-particle":"","parse-names":false,"suffix":""},{"dropping-particle":"","family":"Arshad","given":"S. Hasan","non-dropping-particle":"","parse-names":false,"suffix":""},{"dropping-particle":"","family":"Djukanovic","given":"Ratko","non-dropping-particle":"","parse-names":false,"suffix":""},{"dropping-particle":"","family":"Wilkinson","given":"Tom","non-dropping-particle":"","parse-names":false,"suffix":""},{"dropping-particle":"","family":"Howarth","given":"Peter","non-dropping-particle":"","parse-names":false,"suffix":""},{"dropping-particle":"","family":"Kurukulaaratchy","given":"Ramesh J.","non-dropping-particle":"","parse-names":false,"suffix":""}],"container-title":"BMC Pulmonary Medicine","id":"ITEM-1","issue":"1","issued":{"date-parts":[["2019"]]},"publisher":"BMC Pulmonary Medicine","title":"Protocol for the Wessex AsThma CoHort of difficult asthma (WATCH): A pragmatic real-life longitudinal study of difficult asthma in the clinic","type":"article-journal","volume":"19"},"uris":["http://www.mendeley.com/documents/?uuid=391b7f40-665e-498e-a896-4acace4ef6c2"]}],"mendeley":{"formattedCitation":"&lt;sup&gt;11&lt;/sup&gt;","plainTextFormattedCitation":"11","previouslyFormattedCitation":"&lt;sup&gt;11&lt;/sup&gt;"},"properties":{"noteIndex":0},"schema":"https://github.com/citation-style-language/schema/raw/master/csl-citation.json"}</w:instrText>
      </w:r>
      <w:r w:rsidR="005E4BE2"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11</w:t>
      </w:r>
      <w:r w:rsidR="005E4BE2" w:rsidRPr="00214987">
        <w:rPr>
          <w:rFonts w:ascii="Arial" w:hAnsi="Arial" w:cs="Arial"/>
          <w:noProof/>
          <w:sz w:val="20"/>
          <w:szCs w:val="20"/>
          <w:lang w:val="en-US"/>
        </w:rPr>
        <w:fldChar w:fldCharType="end"/>
      </w:r>
      <w:r w:rsidR="00A43ABA" w:rsidRPr="00214987">
        <w:rPr>
          <w:rFonts w:ascii="Arial" w:hAnsi="Arial" w:cs="Arial"/>
          <w:noProof/>
          <w:sz w:val="20"/>
          <w:szCs w:val="20"/>
          <w:lang w:val="en-US"/>
        </w:rPr>
        <w:t>. The study had ethical approval</w:t>
      </w:r>
      <w:r w:rsidR="00B106BB">
        <w:rPr>
          <w:rFonts w:ascii="Arial" w:hAnsi="Arial" w:cs="Arial"/>
          <w:noProof/>
          <w:sz w:val="20"/>
          <w:szCs w:val="20"/>
          <w:lang w:val="en-US"/>
        </w:rPr>
        <w:t xml:space="preserve"> from the West Midlands – Solihull Research Ethics Committee</w:t>
      </w:r>
      <w:r w:rsidR="00A43ABA" w:rsidRPr="00214987">
        <w:rPr>
          <w:rFonts w:ascii="Arial" w:hAnsi="Arial" w:cs="Arial"/>
          <w:noProof/>
          <w:sz w:val="20"/>
          <w:szCs w:val="20"/>
          <w:lang w:val="en-US"/>
        </w:rPr>
        <w:t xml:space="preserve"> (14/WM/1226) and written informed consent was obtained for all </w:t>
      </w:r>
      <w:r w:rsidR="009C7E07" w:rsidRPr="00214987">
        <w:rPr>
          <w:rFonts w:ascii="Arial" w:hAnsi="Arial" w:cs="Arial"/>
          <w:noProof/>
          <w:sz w:val="20"/>
          <w:szCs w:val="20"/>
          <w:lang w:val="en-US"/>
        </w:rPr>
        <w:t>participants</w:t>
      </w:r>
      <w:r w:rsidR="00A43ABA" w:rsidRPr="00214987">
        <w:rPr>
          <w:rFonts w:ascii="Arial" w:hAnsi="Arial" w:cs="Arial"/>
          <w:noProof/>
          <w:sz w:val="20"/>
          <w:szCs w:val="20"/>
          <w:lang w:val="en-US"/>
        </w:rPr>
        <w:t xml:space="preserve">. </w:t>
      </w:r>
    </w:p>
    <w:p w14:paraId="3C97D9AB" w14:textId="5F3D3F8D" w:rsidR="00A43ABA" w:rsidRDefault="00A43ABA" w:rsidP="00AB4CB7">
      <w:pPr>
        <w:pStyle w:val="NormalWeb"/>
        <w:spacing w:before="100" w:after="100" w:line="480" w:lineRule="auto"/>
        <w:rPr>
          <w:rFonts w:ascii="Arial" w:hAnsi="Arial" w:cs="Arial"/>
          <w:noProof/>
          <w:sz w:val="20"/>
          <w:szCs w:val="20"/>
          <w:lang w:val="en-US"/>
        </w:rPr>
      </w:pPr>
      <w:r w:rsidRPr="00214987">
        <w:rPr>
          <w:rFonts w:ascii="Arial" w:hAnsi="Arial" w:cs="Arial"/>
          <w:noProof/>
          <w:sz w:val="20"/>
          <w:szCs w:val="20"/>
          <w:lang w:val="en-US"/>
        </w:rPr>
        <w:t xml:space="preserve">We conducted a retrospective </w:t>
      </w:r>
      <w:r w:rsidR="00993B49" w:rsidRPr="00214987">
        <w:rPr>
          <w:rFonts w:ascii="Arial" w:hAnsi="Arial" w:cs="Arial"/>
          <w:noProof/>
          <w:sz w:val="20"/>
          <w:szCs w:val="20"/>
          <w:lang w:val="en-US"/>
        </w:rPr>
        <w:t>study</w:t>
      </w:r>
      <w:r w:rsidRPr="00214987">
        <w:rPr>
          <w:rFonts w:ascii="Arial" w:hAnsi="Arial" w:cs="Arial"/>
          <w:noProof/>
          <w:sz w:val="20"/>
          <w:szCs w:val="20"/>
          <w:lang w:val="en-US"/>
        </w:rPr>
        <w:t xml:space="preserve"> of biologic </w:t>
      </w:r>
      <w:r w:rsidR="006176B3" w:rsidRPr="00214987">
        <w:rPr>
          <w:rFonts w:ascii="Arial" w:hAnsi="Arial" w:cs="Arial"/>
          <w:noProof/>
          <w:sz w:val="20"/>
          <w:szCs w:val="20"/>
          <w:lang w:val="en-US"/>
        </w:rPr>
        <w:t>naïve</w:t>
      </w:r>
      <w:r w:rsidR="00FA0CF1" w:rsidRPr="00214987">
        <w:rPr>
          <w:rFonts w:ascii="Arial" w:hAnsi="Arial" w:cs="Arial"/>
          <w:noProof/>
          <w:sz w:val="20"/>
          <w:szCs w:val="20"/>
          <w:lang w:val="en-US"/>
        </w:rPr>
        <w:t xml:space="preserve"> WATCH</w:t>
      </w:r>
      <w:r w:rsidRPr="00214987">
        <w:rPr>
          <w:rFonts w:ascii="Arial" w:hAnsi="Arial" w:cs="Arial"/>
          <w:noProof/>
          <w:sz w:val="20"/>
          <w:szCs w:val="20"/>
          <w:lang w:val="en-US"/>
        </w:rPr>
        <w:t xml:space="preserve"> patients </w:t>
      </w:r>
      <w:r w:rsidR="00D53939" w:rsidRPr="00214987">
        <w:rPr>
          <w:rFonts w:ascii="Arial" w:hAnsi="Arial" w:cs="Arial"/>
          <w:noProof/>
          <w:sz w:val="20"/>
          <w:szCs w:val="20"/>
          <w:lang w:val="en-US"/>
        </w:rPr>
        <w:t>commenced</w:t>
      </w:r>
      <w:r w:rsidRPr="00214987">
        <w:rPr>
          <w:rFonts w:ascii="Arial" w:hAnsi="Arial" w:cs="Arial"/>
          <w:noProof/>
          <w:sz w:val="20"/>
          <w:szCs w:val="20"/>
          <w:lang w:val="en-US"/>
        </w:rPr>
        <w:t xml:space="preserve"> on </w:t>
      </w:r>
      <w:r w:rsidR="004C6D9A" w:rsidRPr="00214987">
        <w:rPr>
          <w:rFonts w:ascii="Arial" w:hAnsi="Arial" w:cs="Arial"/>
          <w:noProof/>
          <w:sz w:val="20"/>
          <w:szCs w:val="20"/>
          <w:lang w:val="en-US"/>
        </w:rPr>
        <w:t>Omalizumab</w:t>
      </w:r>
      <w:r w:rsidR="00944BCA" w:rsidRPr="00214987">
        <w:rPr>
          <w:rFonts w:ascii="Arial" w:hAnsi="Arial" w:cs="Arial"/>
          <w:noProof/>
          <w:sz w:val="20"/>
          <w:szCs w:val="20"/>
          <w:lang w:val="en-US"/>
        </w:rPr>
        <w:t xml:space="preserve"> or </w:t>
      </w:r>
      <w:r w:rsidR="008C6CE9">
        <w:rPr>
          <w:rFonts w:ascii="Arial" w:hAnsi="Arial" w:cs="Arial"/>
          <w:noProof/>
          <w:sz w:val="20"/>
          <w:szCs w:val="20"/>
          <w:lang w:val="en-US"/>
        </w:rPr>
        <w:t>Mepolizumab</w:t>
      </w:r>
      <w:r w:rsidRPr="00214987">
        <w:rPr>
          <w:rFonts w:ascii="Arial" w:hAnsi="Arial" w:cs="Arial"/>
          <w:noProof/>
          <w:sz w:val="20"/>
          <w:szCs w:val="20"/>
          <w:lang w:val="en-US"/>
        </w:rPr>
        <w:t xml:space="preserve"> </w:t>
      </w:r>
      <w:r w:rsidR="00D0464D" w:rsidRPr="00214987">
        <w:rPr>
          <w:rFonts w:ascii="Arial" w:hAnsi="Arial" w:cs="Arial"/>
          <w:noProof/>
          <w:sz w:val="20"/>
          <w:szCs w:val="20"/>
          <w:lang w:val="en-US"/>
        </w:rPr>
        <w:t xml:space="preserve">between </w:t>
      </w:r>
      <w:r w:rsidR="000B3D74" w:rsidRPr="00214987">
        <w:rPr>
          <w:rFonts w:ascii="Arial" w:hAnsi="Arial" w:cs="Arial"/>
          <w:noProof/>
          <w:sz w:val="20"/>
          <w:szCs w:val="20"/>
          <w:lang w:val="en-US"/>
        </w:rPr>
        <w:t>June 2006</w:t>
      </w:r>
      <w:r w:rsidR="0071181D" w:rsidRPr="00214987">
        <w:rPr>
          <w:rFonts w:ascii="Arial" w:hAnsi="Arial" w:cs="Arial"/>
          <w:noProof/>
          <w:sz w:val="20"/>
          <w:szCs w:val="20"/>
          <w:lang w:val="en-US"/>
        </w:rPr>
        <w:t xml:space="preserve"> and</w:t>
      </w:r>
      <w:r w:rsidR="00D0464D" w:rsidRPr="00214987">
        <w:rPr>
          <w:rFonts w:ascii="Arial" w:hAnsi="Arial" w:cs="Arial"/>
          <w:noProof/>
          <w:sz w:val="20"/>
          <w:szCs w:val="20"/>
          <w:lang w:val="en-US"/>
        </w:rPr>
        <w:t xml:space="preserve"> </w:t>
      </w:r>
      <w:r w:rsidRPr="00214987">
        <w:rPr>
          <w:rFonts w:ascii="Arial" w:hAnsi="Arial" w:cs="Arial"/>
          <w:noProof/>
          <w:sz w:val="20"/>
          <w:szCs w:val="20"/>
          <w:lang w:val="en-US"/>
        </w:rPr>
        <w:t xml:space="preserve">May 2019. </w:t>
      </w:r>
      <w:r w:rsidR="0025795A" w:rsidRPr="00214987">
        <w:rPr>
          <w:rFonts w:ascii="Arial" w:hAnsi="Arial" w:cs="Arial"/>
          <w:noProof/>
          <w:sz w:val="20"/>
          <w:szCs w:val="20"/>
          <w:lang w:val="en-US"/>
        </w:rPr>
        <w:t xml:space="preserve">Our aims were </w:t>
      </w:r>
      <w:r w:rsidR="005168D4" w:rsidRPr="00214987">
        <w:rPr>
          <w:rFonts w:ascii="Arial" w:hAnsi="Arial" w:cs="Arial"/>
          <w:noProof/>
          <w:sz w:val="20"/>
          <w:szCs w:val="20"/>
          <w:lang w:val="en-US"/>
        </w:rPr>
        <w:t>to</w:t>
      </w:r>
      <w:r w:rsidR="00381977" w:rsidRPr="00214987">
        <w:rPr>
          <w:rFonts w:ascii="Arial" w:hAnsi="Arial" w:cs="Arial"/>
          <w:noProof/>
          <w:sz w:val="20"/>
          <w:szCs w:val="20"/>
          <w:lang w:val="en-US"/>
        </w:rPr>
        <w:t xml:space="preserve"> 1.</w:t>
      </w:r>
      <w:r w:rsidR="00287878" w:rsidRPr="00214987">
        <w:rPr>
          <w:rFonts w:ascii="Arial" w:hAnsi="Arial" w:cs="Arial"/>
          <w:noProof/>
          <w:sz w:val="20"/>
          <w:szCs w:val="20"/>
          <w:lang w:val="en-US"/>
        </w:rPr>
        <w:t xml:space="preserve"> </w:t>
      </w:r>
      <w:r w:rsidR="005168D4" w:rsidRPr="00214987">
        <w:rPr>
          <w:rFonts w:ascii="Arial" w:hAnsi="Arial" w:cs="Arial"/>
          <w:noProof/>
          <w:sz w:val="20"/>
          <w:szCs w:val="20"/>
          <w:lang w:val="en-US"/>
        </w:rPr>
        <w:t xml:space="preserve">define phenotypic </w:t>
      </w:r>
      <w:r w:rsidR="00304981" w:rsidRPr="00214987">
        <w:rPr>
          <w:rFonts w:ascii="Arial" w:hAnsi="Arial" w:cs="Arial"/>
          <w:noProof/>
          <w:sz w:val="20"/>
          <w:szCs w:val="20"/>
          <w:lang w:val="en-US"/>
        </w:rPr>
        <w:t>characteristics</w:t>
      </w:r>
      <w:r w:rsidR="005168D4" w:rsidRPr="00214987">
        <w:rPr>
          <w:rFonts w:ascii="Arial" w:hAnsi="Arial" w:cs="Arial"/>
          <w:noProof/>
          <w:sz w:val="20"/>
          <w:szCs w:val="20"/>
          <w:lang w:val="en-US"/>
        </w:rPr>
        <w:t xml:space="preserve"> of </w:t>
      </w:r>
      <w:r w:rsidR="004C6D9A" w:rsidRPr="00214987">
        <w:rPr>
          <w:rFonts w:ascii="Arial" w:hAnsi="Arial" w:cs="Arial"/>
          <w:noProof/>
          <w:sz w:val="20"/>
          <w:szCs w:val="20"/>
          <w:lang w:val="en-US"/>
        </w:rPr>
        <w:t>Omalizumab</w:t>
      </w:r>
      <w:r w:rsidR="00253875" w:rsidRPr="00214987">
        <w:rPr>
          <w:rFonts w:ascii="Arial" w:hAnsi="Arial" w:cs="Arial"/>
          <w:noProof/>
          <w:sz w:val="20"/>
          <w:szCs w:val="20"/>
          <w:lang w:val="en-US"/>
        </w:rPr>
        <w:t xml:space="preserve"> or </w:t>
      </w:r>
      <w:r w:rsidR="008C6CE9">
        <w:rPr>
          <w:rFonts w:ascii="Arial" w:hAnsi="Arial" w:cs="Arial"/>
          <w:noProof/>
          <w:sz w:val="20"/>
          <w:szCs w:val="20"/>
          <w:lang w:val="en-US"/>
        </w:rPr>
        <w:t>Mepolizumab</w:t>
      </w:r>
      <w:r w:rsidR="00132B7A" w:rsidRPr="00214987">
        <w:rPr>
          <w:rFonts w:ascii="Arial" w:hAnsi="Arial" w:cs="Arial"/>
          <w:noProof/>
          <w:sz w:val="20"/>
          <w:szCs w:val="20"/>
          <w:lang w:val="en-US"/>
        </w:rPr>
        <w:t xml:space="preserve"> </w:t>
      </w:r>
      <w:r w:rsidR="00287878" w:rsidRPr="00214987">
        <w:rPr>
          <w:rFonts w:ascii="Arial" w:hAnsi="Arial" w:cs="Arial"/>
          <w:noProof/>
          <w:sz w:val="20"/>
          <w:szCs w:val="20"/>
          <w:lang w:val="en-US"/>
        </w:rPr>
        <w:t xml:space="preserve">patients </w:t>
      </w:r>
      <w:r w:rsidR="009014D1" w:rsidRPr="00214987">
        <w:rPr>
          <w:rFonts w:ascii="Arial" w:hAnsi="Arial" w:cs="Arial"/>
          <w:noProof/>
          <w:sz w:val="20"/>
          <w:szCs w:val="20"/>
          <w:lang w:val="en-US"/>
        </w:rPr>
        <w:t>against</w:t>
      </w:r>
      <w:r w:rsidR="00132B7A" w:rsidRPr="00214987">
        <w:rPr>
          <w:rFonts w:ascii="Arial" w:hAnsi="Arial" w:cs="Arial"/>
          <w:noProof/>
          <w:sz w:val="20"/>
          <w:szCs w:val="20"/>
          <w:lang w:val="en-US"/>
        </w:rPr>
        <w:t xml:space="preserve"> </w:t>
      </w:r>
      <w:r w:rsidR="0006253E">
        <w:rPr>
          <w:rFonts w:ascii="Arial" w:hAnsi="Arial" w:cs="Arial"/>
          <w:noProof/>
          <w:sz w:val="20"/>
          <w:szCs w:val="20"/>
          <w:lang w:val="en-US"/>
        </w:rPr>
        <w:t>severe asthma</w:t>
      </w:r>
      <w:r w:rsidR="00132B7A" w:rsidRPr="00214987">
        <w:rPr>
          <w:rFonts w:ascii="Arial" w:hAnsi="Arial" w:cs="Arial"/>
          <w:noProof/>
          <w:sz w:val="20"/>
          <w:szCs w:val="20"/>
          <w:lang w:val="en-US"/>
        </w:rPr>
        <w:t xml:space="preserve"> patients who </w:t>
      </w:r>
      <w:r w:rsidR="0043614C" w:rsidRPr="00214987">
        <w:rPr>
          <w:rFonts w:ascii="Arial" w:hAnsi="Arial" w:cs="Arial"/>
          <w:noProof/>
          <w:sz w:val="20"/>
          <w:szCs w:val="20"/>
          <w:lang w:val="en-US"/>
        </w:rPr>
        <w:t>remained biologic naive</w:t>
      </w:r>
      <w:r w:rsidR="00C1562A" w:rsidRPr="00214987">
        <w:rPr>
          <w:rFonts w:ascii="Arial" w:hAnsi="Arial" w:cs="Arial"/>
          <w:noProof/>
          <w:sz w:val="20"/>
          <w:szCs w:val="20"/>
          <w:lang w:val="en-US"/>
        </w:rPr>
        <w:t xml:space="preserve">. </w:t>
      </w:r>
      <w:r w:rsidR="00287878" w:rsidRPr="00214987">
        <w:rPr>
          <w:rFonts w:ascii="Arial" w:hAnsi="Arial" w:cs="Arial"/>
          <w:noProof/>
          <w:sz w:val="20"/>
          <w:szCs w:val="20"/>
          <w:lang w:val="en-US"/>
        </w:rPr>
        <w:t>2.</w:t>
      </w:r>
      <w:r w:rsidR="00C1562A" w:rsidRPr="00214987">
        <w:rPr>
          <w:rFonts w:ascii="Arial" w:hAnsi="Arial" w:cs="Arial"/>
          <w:noProof/>
          <w:sz w:val="20"/>
          <w:szCs w:val="20"/>
          <w:lang w:val="en-US"/>
        </w:rPr>
        <w:t xml:space="preserve"> </w:t>
      </w:r>
      <w:r w:rsidR="007D11B5">
        <w:rPr>
          <w:rFonts w:ascii="Arial" w:hAnsi="Arial" w:cs="Arial"/>
          <w:noProof/>
          <w:sz w:val="20"/>
          <w:szCs w:val="20"/>
          <w:lang w:val="en-US"/>
        </w:rPr>
        <w:t>Better understand</w:t>
      </w:r>
      <w:r w:rsidR="00C1562A" w:rsidRPr="00214987">
        <w:rPr>
          <w:rFonts w:ascii="Arial" w:hAnsi="Arial" w:cs="Arial"/>
          <w:noProof/>
          <w:sz w:val="20"/>
          <w:szCs w:val="20"/>
          <w:lang w:val="en-US"/>
        </w:rPr>
        <w:t xml:space="preserve"> </w:t>
      </w:r>
      <w:r w:rsidR="0076042F">
        <w:rPr>
          <w:rFonts w:ascii="Arial" w:hAnsi="Arial" w:cs="Arial"/>
          <w:noProof/>
          <w:sz w:val="20"/>
          <w:szCs w:val="20"/>
          <w:lang w:val="en-US"/>
        </w:rPr>
        <w:t xml:space="preserve">the real-world effectiveness </w:t>
      </w:r>
      <w:r w:rsidR="00DF6C9A">
        <w:rPr>
          <w:rFonts w:ascii="Arial" w:hAnsi="Arial" w:cs="Arial"/>
          <w:noProof/>
          <w:sz w:val="20"/>
          <w:szCs w:val="20"/>
          <w:lang w:val="en-US"/>
        </w:rPr>
        <w:t xml:space="preserve">of </w:t>
      </w:r>
      <w:r w:rsidR="00EB4478" w:rsidRPr="00214987">
        <w:rPr>
          <w:rFonts w:ascii="Arial" w:hAnsi="Arial" w:cs="Arial"/>
          <w:noProof/>
          <w:sz w:val="20"/>
          <w:szCs w:val="20"/>
          <w:lang w:val="en-US"/>
        </w:rPr>
        <w:t>both agents</w:t>
      </w:r>
      <w:r w:rsidR="00F26FB6" w:rsidRPr="00214987">
        <w:rPr>
          <w:rFonts w:ascii="Arial" w:hAnsi="Arial" w:cs="Arial"/>
          <w:noProof/>
          <w:sz w:val="20"/>
          <w:szCs w:val="20"/>
          <w:lang w:val="en-US"/>
        </w:rPr>
        <w:t xml:space="preserve"> </w:t>
      </w:r>
      <w:r w:rsidR="006F1DA1" w:rsidRPr="00214987">
        <w:rPr>
          <w:rFonts w:ascii="Arial" w:hAnsi="Arial" w:cs="Arial"/>
          <w:noProof/>
          <w:sz w:val="20"/>
          <w:szCs w:val="20"/>
          <w:lang w:val="en-US"/>
        </w:rPr>
        <w:t>from biologic trial data</w:t>
      </w:r>
      <w:r w:rsidR="007D11B5">
        <w:rPr>
          <w:rFonts w:ascii="Arial" w:hAnsi="Arial" w:cs="Arial"/>
          <w:noProof/>
          <w:sz w:val="20"/>
          <w:szCs w:val="20"/>
          <w:lang w:val="en-US"/>
        </w:rPr>
        <w:t>. 3.</w:t>
      </w:r>
      <w:r w:rsidR="006F1DA1" w:rsidRPr="00214987">
        <w:rPr>
          <w:rFonts w:ascii="Arial" w:hAnsi="Arial" w:cs="Arial"/>
          <w:noProof/>
          <w:sz w:val="20"/>
          <w:szCs w:val="20"/>
          <w:lang w:val="en-US"/>
        </w:rPr>
        <w:t xml:space="preserve"> </w:t>
      </w:r>
      <w:r w:rsidR="007D11B5">
        <w:rPr>
          <w:rFonts w:ascii="Arial" w:hAnsi="Arial" w:cs="Arial"/>
          <w:noProof/>
          <w:sz w:val="20"/>
          <w:szCs w:val="20"/>
          <w:lang w:val="en-US"/>
        </w:rPr>
        <w:t>I</w:t>
      </w:r>
      <w:r w:rsidR="006F1DA1" w:rsidRPr="00214987">
        <w:rPr>
          <w:rFonts w:ascii="Arial" w:hAnsi="Arial" w:cs="Arial"/>
          <w:noProof/>
          <w:sz w:val="20"/>
          <w:szCs w:val="20"/>
          <w:lang w:val="en-US"/>
        </w:rPr>
        <w:t>dentify</w:t>
      </w:r>
      <w:r w:rsidR="00CA3707" w:rsidRPr="00214987">
        <w:rPr>
          <w:rFonts w:ascii="Arial" w:hAnsi="Arial" w:cs="Arial"/>
          <w:noProof/>
          <w:sz w:val="20"/>
          <w:szCs w:val="20"/>
          <w:lang w:val="en-US"/>
        </w:rPr>
        <w:t xml:space="preserve"> </w:t>
      </w:r>
      <w:r w:rsidR="00DF6C9A">
        <w:rPr>
          <w:rFonts w:ascii="Arial" w:hAnsi="Arial" w:cs="Arial"/>
          <w:bCs/>
          <w:noProof/>
          <w:sz w:val="20"/>
          <w:szCs w:val="20"/>
          <w:lang w:val="en-US"/>
        </w:rPr>
        <w:t>baseline character</w:t>
      </w:r>
      <w:r w:rsidR="00477762">
        <w:rPr>
          <w:rFonts w:ascii="Arial" w:hAnsi="Arial" w:cs="Arial"/>
          <w:bCs/>
          <w:noProof/>
          <w:sz w:val="20"/>
          <w:szCs w:val="20"/>
          <w:lang w:val="en-US"/>
        </w:rPr>
        <w:t>istics</w:t>
      </w:r>
      <w:r w:rsidR="00CC278F" w:rsidRPr="00214987">
        <w:rPr>
          <w:rFonts w:ascii="Arial" w:hAnsi="Arial" w:cs="Arial"/>
          <w:bCs/>
          <w:noProof/>
          <w:sz w:val="20"/>
          <w:szCs w:val="20"/>
          <w:lang w:val="en-US"/>
        </w:rPr>
        <w:t xml:space="preserve"> associated with response</w:t>
      </w:r>
      <w:r w:rsidR="00CC0930" w:rsidRPr="00214987">
        <w:rPr>
          <w:rFonts w:ascii="Arial" w:hAnsi="Arial" w:cs="Arial"/>
          <w:noProof/>
          <w:sz w:val="20"/>
          <w:szCs w:val="20"/>
          <w:lang w:val="en-US"/>
        </w:rPr>
        <w:t xml:space="preserve">. </w:t>
      </w:r>
      <w:r w:rsidR="007D11B5">
        <w:rPr>
          <w:rFonts w:ascii="Arial" w:hAnsi="Arial" w:cs="Arial"/>
          <w:noProof/>
          <w:sz w:val="20"/>
          <w:szCs w:val="20"/>
          <w:lang w:val="en-US"/>
        </w:rPr>
        <w:t>4</w:t>
      </w:r>
      <w:r w:rsidR="00EF4248" w:rsidRPr="00214987">
        <w:rPr>
          <w:rFonts w:ascii="Arial" w:hAnsi="Arial" w:cs="Arial"/>
          <w:noProof/>
          <w:sz w:val="20"/>
          <w:szCs w:val="20"/>
          <w:lang w:val="en-US"/>
        </w:rPr>
        <w:t>.</w:t>
      </w:r>
      <w:r w:rsidR="00590665" w:rsidRPr="00214987">
        <w:rPr>
          <w:rFonts w:ascii="Arial" w:hAnsi="Arial" w:cs="Arial"/>
          <w:noProof/>
          <w:sz w:val="20"/>
          <w:szCs w:val="20"/>
          <w:lang w:val="en-US"/>
        </w:rPr>
        <w:t xml:space="preserve"> </w:t>
      </w:r>
      <w:r w:rsidR="007D11B5">
        <w:rPr>
          <w:rFonts w:ascii="Arial" w:hAnsi="Arial" w:cs="Arial"/>
          <w:noProof/>
          <w:sz w:val="20"/>
          <w:szCs w:val="20"/>
          <w:lang w:val="en-US"/>
        </w:rPr>
        <w:t>A</w:t>
      </w:r>
      <w:r w:rsidR="001016B7" w:rsidRPr="00214987">
        <w:rPr>
          <w:rFonts w:ascii="Arial" w:hAnsi="Arial" w:cs="Arial"/>
          <w:noProof/>
          <w:sz w:val="20"/>
          <w:szCs w:val="20"/>
          <w:lang w:val="en-US"/>
        </w:rPr>
        <w:t>ssess</w:t>
      </w:r>
      <w:r w:rsidR="00590665" w:rsidRPr="00214987">
        <w:rPr>
          <w:rFonts w:ascii="Arial" w:hAnsi="Arial" w:cs="Arial"/>
          <w:noProof/>
          <w:sz w:val="20"/>
          <w:szCs w:val="20"/>
          <w:lang w:val="en-US"/>
        </w:rPr>
        <w:t xml:space="preserve"> </w:t>
      </w:r>
      <w:r w:rsidR="00273964" w:rsidRPr="00214987">
        <w:rPr>
          <w:rFonts w:ascii="Arial" w:hAnsi="Arial" w:cs="Arial"/>
          <w:noProof/>
          <w:sz w:val="20"/>
          <w:szCs w:val="20"/>
          <w:lang w:val="en-US"/>
        </w:rPr>
        <w:t>the spectrum of responses to these biologics</w:t>
      </w:r>
      <w:r w:rsidR="001016B7" w:rsidRPr="00214987">
        <w:rPr>
          <w:rFonts w:ascii="Arial" w:hAnsi="Arial" w:cs="Arial"/>
          <w:noProof/>
          <w:sz w:val="20"/>
          <w:szCs w:val="20"/>
          <w:lang w:val="en-US"/>
        </w:rPr>
        <w:t>.</w:t>
      </w:r>
    </w:p>
    <w:p w14:paraId="5374E8A4" w14:textId="485DE356" w:rsidR="00717B40" w:rsidRPr="00450AEB" w:rsidRDefault="00717B40" w:rsidP="00717B40">
      <w:pPr>
        <w:spacing w:line="480" w:lineRule="auto"/>
        <w:rPr>
          <w:rFonts w:ascii="Arial" w:hAnsi="Arial" w:cs="Arial"/>
          <w:sz w:val="20"/>
          <w:szCs w:val="20"/>
        </w:rPr>
      </w:pPr>
      <w:r>
        <w:rPr>
          <w:rFonts w:ascii="Arial" w:hAnsi="Arial" w:cs="Arial"/>
          <w:noProof/>
          <w:sz w:val="20"/>
          <w:szCs w:val="20"/>
          <w:lang w:val="en-US"/>
        </w:rPr>
        <w:t>B</w:t>
      </w:r>
      <w:r w:rsidRPr="003E2E63">
        <w:rPr>
          <w:rFonts w:ascii="Arial" w:hAnsi="Arial" w:cs="Arial"/>
          <w:noProof/>
          <w:sz w:val="20"/>
          <w:szCs w:val="20"/>
          <w:lang w:val="en-US"/>
        </w:rPr>
        <w:t xml:space="preserve">iologic eligibility was based on </w:t>
      </w:r>
      <w:r w:rsidR="001261B2">
        <w:rPr>
          <w:rFonts w:ascii="Arial" w:hAnsi="Arial" w:cs="Arial"/>
          <w:noProof/>
          <w:sz w:val="20"/>
          <w:szCs w:val="20"/>
          <w:lang w:val="en-US"/>
        </w:rPr>
        <w:t xml:space="preserve">conventional </w:t>
      </w:r>
      <w:r w:rsidR="00056355">
        <w:rPr>
          <w:rFonts w:ascii="Arial" w:hAnsi="Arial" w:cs="Arial"/>
          <w:noProof/>
          <w:sz w:val="20"/>
          <w:szCs w:val="20"/>
          <w:lang w:val="en-US"/>
        </w:rPr>
        <w:t xml:space="preserve">criteria </w:t>
      </w:r>
      <w:r w:rsidR="000C5D23">
        <w:rPr>
          <w:rFonts w:ascii="Arial" w:hAnsi="Arial" w:cs="Arial"/>
          <w:noProof/>
          <w:sz w:val="20"/>
          <w:szCs w:val="20"/>
          <w:lang w:val="en-US"/>
        </w:rPr>
        <w:t xml:space="preserve">following </w:t>
      </w:r>
      <w:r w:rsidR="008068F9">
        <w:rPr>
          <w:rFonts w:ascii="Arial" w:hAnsi="Arial" w:cs="Arial"/>
          <w:noProof/>
          <w:sz w:val="20"/>
          <w:szCs w:val="20"/>
          <w:lang w:val="en-US"/>
        </w:rPr>
        <w:t xml:space="preserve">the </w:t>
      </w:r>
      <w:r w:rsidRPr="003E2E63">
        <w:rPr>
          <w:rFonts w:ascii="Arial" w:hAnsi="Arial" w:cs="Arial"/>
          <w:noProof/>
          <w:sz w:val="20"/>
          <w:szCs w:val="20"/>
          <w:lang w:val="en-US"/>
        </w:rPr>
        <w:t>National Institute for Health &amp; Care Excellence (NICE) guidance</w:t>
      </w:r>
      <w:bookmarkStart w:id="0" w:name="__DdeLink__225_2630246651"/>
      <w:r w:rsidRPr="003E2E63">
        <w:rPr>
          <w:rFonts w:ascii="Arial" w:hAnsi="Arial" w:cs="Arial"/>
          <w:noProof/>
          <w:sz w:val="20"/>
          <w:szCs w:val="20"/>
          <w:lang w:val="en-US"/>
        </w:rPr>
        <w:fldChar w:fldCharType="begin" w:fldLock="1"/>
      </w:r>
      <w:r w:rsidRPr="003E2E63">
        <w:rPr>
          <w:rFonts w:ascii="Arial" w:hAnsi="Arial" w:cs="Arial"/>
          <w:noProof/>
          <w:sz w:val="20"/>
          <w:szCs w:val="20"/>
          <w:lang w:val="en-US"/>
        </w:rPr>
        <w:instrText>ADDIN CSL_CITATION {"citationItems":[{"id":"ITEM-1","itemData":{"id":"ITEM-1","issued":{"date-parts":[["0"]]},"publisher":"NICE","title":"Overview | Omalizumab for treating severe persistent allergic asthma | Guidance | NICE","type":"article-journal"},"uris":["http://www.mendeley.com/documents/?uuid=37c5c4b8-d7e6-38d7-8893-984438afdcd1"]},{"id":"ITEM-2","itemData":{"id":"ITEM-2","issued":{"date-parts":[["0"]]},"publisher":"NICE","title":"Overview | Mepolizumab for treating severe refractory eosinophilic asthma | Guidance | NICE","type":"article-journal"},"uris":["http://www.mendeley.com/documents/?uuid=09f2774c-9c77-3d28-ae7e-f624bf5474cf"]}],"mendeley":{"formattedCitation":"&lt;sup&gt;13,14&lt;/sup&gt;","plainTextFormattedCitation":"13,14","previouslyFormattedCitation":"&lt;sup&gt;13,14&lt;/sup&gt;"},"properties":{"noteIndex":0},"schema":"https://github.com/citation-style-language/schema/raw/master/csl-citation.json"}</w:instrText>
      </w:r>
      <w:r w:rsidRPr="003E2E63">
        <w:rPr>
          <w:rFonts w:ascii="Arial" w:hAnsi="Arial" w:cs="Arial"/>
          <w:noProof/>
          <w:sz w:val="20"/>
          <w:szCs w:val="20"/>
          <w:lang w:val="en-US"/>
        </w:rPr>
        <w:fldChar w:fldCharType="separate"/>
      </w:r>
      <w:r w:rsidRPr="003E2E63">
        <w:rPr>
          <w:rFonts w:ascii="Arial" w:hAnsi="Arial" w:cs="Arial"/>
          <w:noProof/>
          <w:sz w:val="20"/>
          <w:szCs w:val="20"/>
          <w:vertAlign w:val="superscript"/>
          <w:lang w:val="en-US"/>
        </w:rPr>
        <w:t>13,14</w:t>
      </w:r>
      <w:r w:rsidRPr="003E2E63">
        <w:rPr>
          <w:rFonts w:ascii="Arial" w:hAnsi="Arial" w:cs="Arial"/>
          <w:noProof/>
          <w:sz w:val="20"/>
          <w:szCs w:val="20"/>
          <w:lang w:val="en-US"/>
        </w:rPr>
        <w:fldChar w:fldCharType="end"/>
      </w:r>
      <w:r w:rsidRPr="003E2E63">
        <w:rPr>
          <w:rFonts w:ascii="Arial" w:hAnsi="Arial" w:cs="Arial"/>
          <w:noProof/>
          <w:sz w:val="20"/>
          <w:szCs w:val="20"/>
          <w:lang w:val="en-US"/>
        </w:rPr>
        <w:t>. Briefly, for Omalizumab</w:t>
      </w:r>
      <w:r>
        <w:rPr>
          <w:rFonts w:ascii="Arial" w:hAnsi="Arial" w:cs="Arial"/>
          <w:noProof/>
          <w:sz w:val="20"/>
          <w:szCs w:val="20"/>
          <w:lang w:val="en-US"/>
        </w:rPr>
        <w:fldChar w:fldCharType="begin" w:fldLock="1"/>
      </w:r>
      <w:r>
        <w:rPr>
          <w:rFonts w:ascii="Arial" w:hAnsi="Arial" w:cs="Arial"/>
          <w:noProof/>
          <w:sz w:val="20"/>
          <w:szCs w:val="20"/>
          <w:lang w:val="en-US"/>
        </w:rPr>
        <w:instrText>ADDIN CSL_CITATION {"citationItems":[{"id":"ITEM-1","itemData":{"id":"ITEM-1","issued":{"date-parts":[["0"]]},"publisher":"NICE","title":"Overview | Omalizumab for treating severe persistent allergic asthma | Guidance | NICE","type":"article-journal"},"uris":["http://www.mendeley.com/documents/?uuid=37c5c4b8-d7e6-38d7-8893-984438afdcd1"]}],"mendeley":{"formattedCitation":"&lt;sup&gt;13&lt;/sup&gt;","plainTextFormattedCitation":"13","previouslyFormattedCitation":"&lt;sup&gt;13&lt;/sup&gt;"},"properties":{"noteIndex":0},"schema":"https://github.com/citation-style-language/schema/raw/master/csl-citation.json"}</w:instrText>
      </w:r>
      <w:r>
        <w:rPr>
          <w:rFonts w:ascii="Arial" w:hAnsi="Arial" w:cs="Arial"/>
          <w:noProof/>
          <w:sz w:val="20"/>
          <w:szCs w:val="20"/>
          <w:lang w:val="en-US"/>
        </w:rPr>
        <w:fldChar w:fldCharType="separate"/>
      </w:r>
      <w:r w:rsidRPr="00F07F6E">
        <w:rPr>
          <w:rFonts w:ascii="Arial" w:hAnsi="Arial" w:cs="Arial"/>
          <w:noProof/>
          <w:sz w:val="20"/>
          <w:szCs w:val="20"/>
          <w:vertAlign w:val="superscript"/>
          <w:lang w:val="en-US"/>
        </w:rPr>
        <w:t>13</w:t>
      </w:r>
      <w:r>
        <w:rPr>
          <w:rFonts w:ascii="Arial" w:hAnsi="Arial" w:cs="Arial"/>
          <w:noProof/>
          <w:sz w:val="20"/>
          <w:szCs w:val="20"/>
          <w:lang w:val="en-US"/>
        </w:rPr>
        <w:fldChar w:fldCharType="end"/>
      </w:r>
      <w:r w:rsidRPr="003E2E63">
        <w:rPr>
          <w:rFonts w:ascii="Arial" w:hAnsi="Arial" w:cs="Arial"/>
          <w:noProof/>
          <w:sz w:val="20"/>
          <w:szCs w:val="20"/>
          <w:lang w:val="en-US"/>
        </w:rPr>
        <w:t>, e</w:t>
      </w:r>
      <w:r>
        <w:rPr>
          <w:rFonts w:ascii="Arial" w:hAnsi="Arial" w:cs="Arial"/>
          <w:noProof/>
          <w:sz w:val="20"/>
          <w:szCs w:val="20"/>
          <w:lang w:val="en-US"/>
        </w:rPr>
        <w:t>lig</w:t>
      </w:r>
      <w:r w:rsidRPr="003E2E63">
        <w:rPr>
          <w:rFonts w:ascii="Arial" w:hAnsi="Arial" w:cs="Arial"/>
          <w:noProof/>
          <w:sz w:val="20"/>
          <w:szCs w:val="20"/>
          <w:lang w:val="en-US"/>
        </w:rPr>
        <w:t>ibility cr</w:t>
      </w:r>
      <w:r>
        <w:rPr>
          <w:rFonts w:ascii="Arial" w:hAnsi="Arial" w:cs="Arial"/>
          <w:noProof/>
          <w:sz w:val="20"/>
          <w:szCs w:val="20"/>
          <w:lang w:val="en-US"/>
        </w:rPr>
        <w:t>it</w:t>
      </w:r>
      <w:r w:rsidRPr="003E2E63">
        <w:rPr>
          <w:rFonts w:ascii="Arial" w:hAnsi="Arial" w:cs="Arial"/>
          <w:noProof/>
          <w:sz w:val="20"/>
          <w:szCs w:val="20"/>
          <w:lang w:val="en-US"/>
        </w:rPr>
        <w:t xml:space="preserve">eria </w:t>
      </w:r>
      <w:r>
        <w:rPr>
          <w:rFonts w:ascii="Arial" w:hAnsi="Arial" w:cs="Arial"/>
          <w:noProof/>
          <w:sz w:val="20"/>
          <w:szCs w:val="20"/>
          <w:lang w:val="en-US"/>
        </w:rPr>
        <w:t>were</w:t>
      </w:r>
      <w:r w:rsidRPr="003E2E63">
        <w:rPr>
          <w:rFonts w:ascii="Arial" w:hAnsi="Arial" w:cs="Arial"/>
          <w:noProof/>
          <w:sz w:val="20"/>
          <w:szCs w:val="20"/>
          <w:lang w:val="en-US"/>
        </w:rPr>
        <w:t xml:space="preserve">: confirmed allergic </w:t>
      </w:r>
      <w:r>
        <w:rPr>
          <w:rFonts w:ascii="Arial" w:hAnsi="Arial" w:cs="Arial"/>
          <w:noProof/>
          <w:sz w:val="20"/>
          <w:szCs w:val="20"/>
          <w:lang w:val="en-US"/>
        </w:rPr>
        <w:t>IgE</w:t>
      </w:r>
      <w:r w:rsidRPr="003E2E63">
        <w:rPr>
          <w:rFonts w:ascii="Cambria Math" w:hAnsi="Cambria Math" w:cs="Cambria Math"/>
          <w:noProof/>
          <w:sz w:val="20"/>
          <w:szCs w:val="20"/>
          <w:lang w:val="en-US"/>
        </w:rPr>
        <w:t>‑</w:t>
      </w:r>
      <w:r w:rsidRPr="003E2E63">
        <w:rPr>
          <w:rFonts w:ascii="Arial" w:hAnsi="Arial" w:cs="Arial"/>
          <w:noProof/>
          <w:sz w:val="20"/>
          <w:szCs w:val="20"/>
          <w:lang w:val="en-US"/>
        </w:rPr>
        <w:t xml:space="preserve">mediated asthma (perennial allergen sensitisation) and </w:t>
      </w:r>
      <w:r>
        <w:rPr>
          <w:rFonts w:ascii="Arial" w:hAnsi="Arial" w:cs="Arial"/>
          <w:noProof/>
          <w:sz w:val="20"/>
          <w:szCs w:val="20"/>
          <w:lang w:val="en-US"/>
        </w:rPr>
        <w:t>the</w:t>
      </w:r>
      <w:r w:rsidRPr="003E2E63">
        <w:rPr>
          <w:rFonts w:ascii="Arial" w:hAnsi="Arial" w:cs="Arial"/>
          <w:noProof/>
          <w:sz w:val="20"/>
          <w:szCs w:val="20"/>
          <w:lang w:val="en-US"/>
        </w:rPr>
        <w:t xml:space="preserve"> continuous or frequent treatment with </w:t>
      </w:r>
      <w:r>
        <w:rPr>
          <w:rFonts w:ascii="Arial" w:hAnsi="Arial" w:cs="Arial"/>
          <w:noProof/>
          <w:sz w:val="20"/>
          <w:szCs w:val="20"/>
          <w:lang w:val="en-US"/>
        </w:rPr>
        <w:t xml:space="preserve">OCS </w:t>
      </w:r>
      <w:r w:rsidRPr="003E2E63">
        <w:rPr>
          <w:rFonts w:ascii="Arial" w:hAnsi="Arial" w:cs="Arial"/>
          <w:noProof/>
          <w:sz w:val="20"/>
          <w:szCs w:val="20"/>
          <w:lang w:val="en-US"/>
        </w:rPr>
        <w:t>(</w:t>
      </w:r>
      <w:r>
        <w:rPr>
          <w:rFonts w:ascii="Arial" w:hAnsi="Arial" w:cs="Arial"/>
          <w:noProof/>
          <w:sz w:val="20"/>
          <w:szCs w:val="20"/>
          <w:lang w:val="en-US"/>
        </w:rPr>
        <w:t>≥</w:t>
      </w:r>
      <w:r w:rsidRPr="003E2E63">
        <w:rPr>
          <w:rFonts w:ascii="Arial" w:hAnsi="Arial" w:cs="Arial"/>
          <w:noProof/>
          <w:sz w:val="20"/>
          <w:szCs w:val="20"/>
          <w:lang w:val="en-US"/>
        </w:rPr>
        <w:t>4 courses in the previous year) and met dosing criteria</w:t>
      </w:r>
      <w:bookmarkEnd w:id="0"/>
      <w:r w:rsidRPr="003E2E63">
        <w:rPr>
          <w:rFonts w:ascii="Arial" w:hAnsi="Arial" w:cs="Arial"/>
          <w:noProof/>
          <w:sz w:val="20"/>
          <w:szCs w:val="20"/>
          <w:lang w:val="en-US"/>
        </w:rPr>
        <w:t>. For Mepolizumab</w:t>
      </w:r>
      <w:r>
        <w:rPr>
          <w:rFonts w:ascii="Arial" w:hAnsi="Arial" w:cs="Arial"/>
          <w:noProof/>
          <w:sz w:val="20"/>
          <w:szCs w:val="20"/>
          <w:lang w:val="en-US"/>
        </w:rPr>
        <w:fldChar w:fldCharType="begin" w:fldLock="1"/>
      </w:r>
      <w:r>
        <w:rPr>
          <w:rFonts w:ascii="Arial" w:hAnsi="Arial" w:cs="Arial"/>
          <w:noProof/>
          <w:sz w:val="20"/>
          <w:szCs w:val="20"/>
          <w:lang w:val="en-US"/>
        </w:rPr>
        <w:instrText>ADDIN CSL_CITATION {"citationItems":[{"id":"ITEM-1","itemData":{"id":"ITEM-1","issued":{"date-parts":[["0"]]},"publisher":"NICE","title":"Overview | Mepolizumab for treating severe refractory eosinophilic asthma | Guidance | NICE","type":"article-journal"},"uris":["http://www.mendeley.com/documents/?uuid=09f2774c-9c77-3d28-ae7e-f624bf5474cf"]}],"mendeley":{"formattedCitation":"&lt;sup&gt;14&lt;/sup&gt;","plainTextFormattedCitation":"14","previouslyFormattedCitation":"&lt;sup&gt;14&lt;/sup&gt;"},"properties":{"noteIndex":0},"schema":"https://github.com/citation-style-language/schema/raw/master/csl-citation.json"}</w:instrText>
      </w:r>
      <w:r>
        <w:rPr>
          <w:rFonts w:ascii="Arial" w:hAnsi="Arial" w:cs="Arial"/>
          <w:noProof/>
          <w:sz w:val="20"/>
          <w:szCs w:val="20"/>
          <w:lang w:val="en-US"/>
        </w:rPr>
        <w:fldChar w:fldCharType="separate"/>
      </w:r>
      <w:r w:rsidRPr="00F07F6E">
        <w:rPr>
          <w:rFonts w:ascii="Arial" w:hAnsi="Arial" w:cs="Arial"/>
          <w:noProof/>
          <w:sz w:val="20"/>
          <w:szCs w:val="20"/>
          <w:vertAlign w:val="superscript"/>
          <w:lang w:val="en-US"/>
        </w:rPr>
        <w:t>14</w:t>
      </w:r>
      <w:r>
        <w:rPr>
          <w:rFonts w:ascii="Arial" w:hAnsi="Arial" w:cs="Arial"/>
          <w:noProof/>
          <w:sz w:val="20"/>
          <w:szCs w:val="20"/>
          <w:lang w:val="en-US"/>
        </w:rPr>
        <w:fldChar w:fldCharType="end"/>
      </w:r>
      <w:r w:rsidRPr="003E2E63">
        <w:rPr>
          <w:rFonts w:ascii="Arial" w:hAnsi="Arial" w:cs="Arial"/>
          <w:noProof/>
          <w:sz w:val="20"/>
          <w:szCs w:val="20"/>
          <w:lang w:val="en-US"/>
        </w:rPr>
        <w:t>, eligibility criteria w</w:t>
      </w:r>
      <w:r>
        <w:rPr>
          <w:rFonts w:ascii="Arial" w:hAnsi="Arial" w:cs="Arial"/>
          <w:noProof/>
          <w:sz w:val="20"/>
          <w:szCs w:val="20"/>
          <w:lang w:val="en-US"/>
        </w:rPr>
        <w:t>ere</w:t>
      </w:r>
      <w:r w:rsidRPr="003E2E63">
        <w:rPr>
          <w:rFonts w:ascii="Arial" w:hAnsi="Arial" w:cs="Arial"/>
          <w:noProof/>
          <w:sz w:val="20"/>
          <w:szCs w:val="20"/>
          <w:lang w:val="en-US"/>
        </w:rPr>
        <w:t xml:space="preserve"> defined as </w:t>
      </w:r>
      <w:r w:rsidR="00003D68">
        <w:rPr>
          <w:rFonts w:ascii="Arial" w:hAnsi="Arial" w:cs="Arial"/>
          <w:noProof/>
          <w:sz w:val="20"/>
          <w:szCs w:val="20"/>
          <w:lang w:val="en-US"/>
        </w:rPr>
        <w:t xml:space="preserve">a </w:t>
      </w:r>
      <w:r>
        <w:rPr>
          <w:rFonts w:ascii="Arial" w:hAnsi="Arial" w:cs="Arial"/>
          <w:noProof/>
          <w:sz w:val="20"/>
          <w:szCs w:val="20"/>
          <w:lang w:val="en-US"/>
        </w:rPr>
        <w:t xml:space="preserve">peripheral </w:t>
      </w:r>
      <w:r w:rsidRPr="003E2E63">
        <w:rPr>
          <w:rFonts w:ascii="Arial" w:hAnsi="Arial" w:cs="Arial"/>
          <w:sz w:val="20"/>
          <w:szCs w:val="20"/>
        </w:rPr>
        <w:t>blood eosinophil</w:t>
      </w:r>
      <w:r>
        <w:rPr>
          <w:rFonts w:ascii="Arial" w:hAnsi="Arial" w:cs="Arial"/>
          <w:sz w:val="20"/>
          <w:szCs w:val="20"/>
        </w:rPr>
        <w:t xml:space="preserve"> (PBE)</w:t>
      </w:r>
      <w:r w:rsidRPr="003E2E63">
        <w:rPr>
          <w:rFonts w:ascii="Arial" w:hAnsi="Arial" w:cs="Arial"/>
          <w:sz w:val="20"/>
          <w:szCs w:val="20"/>
        </w:rPr>
        <w:t xml:space="preserve"> count </w:t>
      </w:r>
      <w:r>
        <w:rPr>
          <w:rFonts w:ascii="Arial" w:hAnsi="Arial" w:cs="Arial"/>
          <w:sz w:val="20"/>
          <w:szCs w:val="20"/>
        </w:rPr>
        <w:t>≥</w:t>
      </w:r>
      <w:r w:rsidRPr="003E2E63">
        <w:rPr>
          <w:rFonts w:ascii="Arial" w:hAnsi="Arial" w:cs="Arial"/>
          <w:sz w:val="20"/>
          <w:szCs w:val="20"/>
        </w:rPr>
        <w:t>300 cells/microlitre in the previous 12 months</w:t>
      </w:r>
      <w:r>
        <w:rPr>
          <w:rFonts w:ascii="Arial" w:hAnsi="Arial" w:cs="Arial"/>
          <w:sz w:val="20"/>
          <w:szCs w:val="20"/>
        </w:rPr>
        <w:t>,</w:t>
      </w:r>
      <w:r w:rsidRPr="003E2E63">
        <w:rPr>
          <w:rFonts w:ascii="Arial" w:hAnsi="Arial" w:cs="Arial"/>
          <w:sz w:val="20"/>
          <w:szCs w:val="20"/>
        </w:rPr>
        <w:t xml:space="preserve"> and</w:t>
      </w:r>
      <w:r>
        <w:rPr>
          <w:rFonts w:ascii="Arial" w:hAnsi="Arial" w:cs="Arial"/>
          <w:sz w:val="20"/>
          <w:szCs w:val="20"/>
        </w:rPr>
        <w:t xml:space="preserve"> either </w:t>
      </w:r>
      <w:r w:rsidR="00AD3354">
        <w:rPr>
          <w:rFonts w:ascii="Arial" w:hAnsi="Arial" w:cs="Arial"/>
          <w:sz w:val="20"/>
          <w:szCs w:val="20"/>
        </w:rPr>
        <w:t xml:space="preserve">having </w:t>
      </w:r>
      <w:r>
        <w:rPr>
          <w:rFonts w:ascii="Arial" w:hAnsi="Arial" w:cs="Arial"/>
          <w:sz w:val="20"/>
          <w:szCs w:val="20"/>
        </w:rPr>
        <w:t>≥</w:t>
      </w:r>
      <w:r w:rsidRPr="00450AEB">
        <w:rPr>
          <w:rFonts w:ascii="Arial" w:hAnsi="Arial" w:cs="Arial"/>
          <w:sz w:val="20"/>
          <w:szCs w:val="20"/>
        </w:rPr>
        <w:t xml:space="preserve">4 </w:t>
      </w:r>
      <w:r>
        <w:rPr>
          <w:rFonts w:ascii="Arial" w:hAnsi="Arial" w:cs="Arial"/>
          <w:sz w:val="20"/>
          <w:szCs w:val="20"/>
        </w:rPr>
        <w:t>OCS courses</w:t>
      </w:r>
      <w:r w:rsidRPr="00450AEB">
        <w:rPr>
          <w:rFonts w:ascii="Arial" w:hAnsi="Arial" w:cs="Arial"/>
          <w:sz w:val="20"/>
          <w:szCs w:val="20"/>
        </w:rPr>
        <w:t xml:space="preserve"> in the previous 12 months or</w:t>
      </w:r>
      <w:r>
        <w:rPr>
          <w:rFonts w:ascii="Arial" w:hAnsi="Arial" w:cs="Arial"/>
          <w:sz w:val="20"/>
          <w:szCs w:val="20"/>
        </w:rPr>
        <w:t xml:space="preserve"> </w:t>
      </w:r>
      <w:r w:rsidR="00AD3354">
        <w:rPr>
          <w:rFonts w:ascii="Arial" w:hAnsi="Arial" w:cs="Arial"/>
          <w:sz w:val="20"/>
          <w:szCs w:val="20"/>
        </w:rPr>
        <w:t>being</w:t>
      </w:r>
      <w:r>
        <w:rPr>
          <w:rFonts w:ascii="Arial" w:hAnsi="Arial" w:cs="Arial"/>
          <w:sz w:val="20"/>
          <w:szCs w:val="20"/>
        </w:rPr>
        <w:t xml:space="preserve"> on maintenance</w:t>
      </w:r>
      <w:r w:rsidRPr="00450AEB">
        <w:rPr>
          <w:rFonts w:ascii="Arial" w:hAnsi="Arial" w:cs="Arial"/>
          <w:sz w:val="20"/>
          <w:szCs w:val="20"/>
        </w:rPr>
        <w:t xml:space="preserve"> </w:t>
      </w:r>
      <w:r>
        <w:rPr>
          <w:rFonts w:ascii="Arial" w:hAnsi="Arial" w:cs="Arial"/>
          <w:sz w:val="20"/>
          <w:szCs w:val="20"/>
        </w:rPr>
        <w:t>OCS (mOCS)</w:t>
      </w:r>
      <w:r w:rsidRPr="00450AEB">
        <w:rPr>
          <w:rFonts w:ascii="Arial" w:hAnsi="Arial" w:cs="Arial"/>
          <w:sz w:val="20"/>
          <w:szCs w:val="20"/>
        </w:rPr>
        <w:t xml:space="preserve"> </w:t>
      </w:r>
      <w:r>
        <w:rPr>
          <w:rFonts w:ascii="Arial" w:hAnsi="Arial" w:cs="Arial"/>
          <w:sz w:val="20"/>
          <w:szCs w:val="20"/>
        </w:rPr>
        <w:t>≥</w:t>
      </w:r>
      <w:r w:rsidRPr="00450AEB">
        <w:rPr>
          <w:rFonts w:ascii="Arial" w:hAnsi="Arial" w:cs="Arial"/>
          <w:sz w:val="20"/>
          <w:szCs w:val="20"/>
        </w:rPr>
        <w:t>5 mg per day over the previous 6 months</w:t>
      </w:r>
      <w:r>
        <w:rPr>
          <w:rFonts w:ascii="Arial" w:hAnsi="Arial" w:cs="Arial"/>
          <w:sz w:val="20"/>
          <w:szCs w:val="20"/>
        </w:rPr>
        <w:t>.</w:t>
      </w:r>
    </w:p>
    <w:p w14:paraId="2ED230AB" w14:textId="48733F0F" w:rsidR="003020B2" w:rsidRDefault="00E44021" w:rsidP="00AB4CB7">
      <w:pPr>
        <w:pStyle w:val="NormalWeb"/>
        <w:spacing w:before="100" w:after="100" w:line="480" w:lineRule="auto"/>
        <w:rPr>
          <w:rFonts w:ascii="Arial" w:hAnsi="Arial" w:cs="Arial"/>
          <w:noProof/>
          <w:sz w:val="20"/>
          <w:szCs w:val="20"/>
          <w:lang w:val="en-US"/>
        </w:rPr>
      </w:pPr>
      <w:r w:rsidRPr="00214987">
        <w:rPr>
          <w:rFonts w:ascii="Arial" w:hAnsi="Arial" w:cs="Arial"/>
          <w:noProof/>
          <w:sz w:val="20"/>
          <w:szCs w:val="20"/>
          <w:lang w:val="en-US"/>
        </w:rPr>
        <w:t xml:space="preserve">Biologic </w:t>
      </w:r>
      <w:r w:rsidR="00C03AE4" w:rsidRPr="00214987">
        <w:rPr>
          <w:rFonts w:ascii="Arial" w:hAnsi="Arial" w:cs="Arial"/>
          <w:noProof/>
          <w:sz w:val="20"/>
          <w:szCs w:val="20"/>
          <w:lang w:val="en-US"/>
        </w:rPr>
        <w:t>t</w:t>
      </w:r>
      <w:r w:rsidRPr="00214987">
        <w:rPr>
          <w:rFonts w:ascii="Arial" w:hAnsi="Arial" w:cs="Arial"/>
          <w:noProof/>
          <w:sz w:val="20"/>
          <w:szCs w:val="20"/>
          <w:lang w:val="en-US"/>
        </w:rPr>
        <w:t>rial</w:t>
      </w:r>
      <w:r w:rsidR="00AE59D2">
        <w:rPr>
          <w:rFonts w:ascii="Arial" w:hAnsi="Arial" w:cs="Arial"/>
          <w:noProof/>
          <w:sz w:val="20"/>
          <w:szCs w:val="20"/>
          <w:lang w:val="en-US"/>
        </w:rPr>
        <w:t xml:space="preserve">s were conducted and data were collected according to standard clinical practice in the UK. Specifically, </w:t>
      </w:r>
      <w:r w:rsidRPr="00214987">
        <w:rPr>
          <w:rFonts w:ascii="Arial" w:hAnsi="Arial" w:cs="Arial"/>
          <w:noProof/>
          <w:sz w:val="20"/>
          <w:szCs w:val="20"/>
          <w:lang w:val="en-US"/>
        </w:rPr>
        <w:t xml:space="preserve"> d</w:t>
      </w:r>
      <w:r w:rsidR="00A43ABA" w:rsidRPr="00214987">
        <w:rPr>
          <w:rFonts w:ascii="Arial" w:hAnsi="Arial" w:cs="Arial"/>
          <w:noProof/>
          <w:sz w:val="20"/>
          <w:szCs w:val="20"/>
          <w:lang w:val="en-US"/>
        </w:rPr>
        <w:t xml:space="preserve">ata </w:t>
      </w:r>
      <w:r w:rsidR="007A6766" w:rsidRPr="00214987">
        <w:rPr>
          <w:rFonts w:ascii="Arial" w:hAnsi="Arial" w:cs="Arial"/>
          <w:noProof/>
          <w:sz w:val="20"/>
          <w:szCs w:val="20"/>
          <w:lang w:val="en-US"/>
        </w:rPr>
        <w:t xml:space="preserve">were </w:t>
      </w:r>
      <w:r w:rsidR="00A43ABA" w:rsidRPr="00214987">
        <w:rPr>
          <w:rFonts w:ascii="Arial" w:hAnsi="Arial" w:cs="Arial"/>
          <w:noProof/>
          <w:sz w:val="20"/>
          <w:szCs w:val="20"/>
          <w:lang w:val="en-US"/>
        </w:rPr>
        <w:t>collected at baseline</w:t>
      </w:r>
      <w:r w:rsidR="000A4E77" w:rsidRPr="00214987">
        <w:rPr>
          <w:rFonts w:ascii="Arial" w:hAnsi="Arial" w:cs="Arial"/>
          <w:noProof/>
          <w:sz w:val="20"/>
          <w:szCs w:val="20"/>
          <w:lang w:val="en-US"/>
        </w:rPr>
        <w:t xml:space="preserve"> (first biologic visit) </w:t>
      </w:r>
      <w:r w:rsidR="00A43ABA" w:rsidRPr="00214987">
        <w:rPr>
          <w:rFonts w:ascii="Arial" w:hAnsi="Arial" w:cs="Arial"/>
          <w:noProof/>
          <w:sz w:val="20"/>
          <w:szCs w:val="20"/>
          <w:lang w:val="en-US"/>
        </w:rPr>
        <w:t xml:space="preserve">and </w:t>
      </w:r>
      <w:r w:rsidR="00753A4A" w:rsidRPr="00214987">
        <w:rPr>
          <w:rFonts w:ascii="Arial" w:hAnsi="Arial" w:cs="Arial"/>
          <w:noProof/>
          <w:sz w:val="20"/>
          <w:szCs w:val="20"/>
          <w:lang w:val="en-US"/>
        </w:rPr>
        <w:t>subsequent</w:t>
      </w:r>
      <w:r w:rsidR="00A43ABA" w:rsidRPr="00214987">
        <w:rPr>
          <w:rFonts w:ascii="Arial" w:hAnsi="Arial" w:cs="Arial"/>
          <w:noProof/>
          <w:sz w:val="20"/>
          <w:szCs w:val="20"/>
          <w:lang w:val="en-US"/>
        </w:rPr>
        <w:t xml:space="preserve"> </w:t>
      </w:r>
      <w:r w:rsidR="00756F6D" w:rsidRPr="00214987">
        <w:rPr>
          <w:rFonts w:ascii="Arial" w:hAnsi="Arial" w:cs="Arial"/>
          <w:noProof/>
          <w:sz w:val="20"/>
          <w:szCs w:val="20"/>
          <w:lang w:val="en-US"/>
        </w:rPr>
        <w:t xml:space="preserve">treatment </w:t>
      </w:r>
      <w:r w:rsidR="00A43ABA" w:rsidRPr="00214987">
        <w:rPr>
          <w:rFonts w:ascii="Arial" w:hAnsi="Arial" w:cs="Arial"/>
          <w:noProof/>
          <w:sz w:val="20"/>
          <w:szCs w:val="20"/>
          <w:lang w:val="en-US"/>
        </w:rPr>
        <w:t>visit</w:t>
      </w:r>
      <w:r w:rsidR="00753A4A" w:rsidRPr="00214987">
        <w:rPr>
          <w:rFonts w:ascii="Arial" w:hAnsi="Arial" w:cs="Arial"/>
          <w:noProof/>
          <w:sz w:val="20"/>
          <w:szCs w:val="20"/>
          <w:lang w:val="en-US"/>
        </w:rPr>
        <w:t>s</w:t>
      </w:r>
      <w:r w:rsidR="00A43ABA" w:rsidRPr="00214987">
        <w:rPr>
          <w:rFonts w:ascii="Arial" w:hAnsi="Arial" w:cs="Arial"/>
          <w:noProof/>
          <w:sz w:val="20"/>
          <w:szCs w:val="20"/>
          <w:lang w:val="en-US"/>
        </w:rPr>
        <w:t xml:space="preserve">: 2-4 weekly for </w:t>
      </w:r>
      <w:r w:rsidR="004C6D9A" w:rsidRPr="00214987">
        <w:rPr>
          <w:rFonts w:ascii="Arial" w:hAnsi="Arial" w:cs="Arial"/>
          <w:noProof/>
          <w:sz w:val="20"/>
          <w:szCs w:val="20"/>
          <w:lang w:val="en-US"/>
        </w:rPr>
        <w:t>Omalizumab</w:t>
      </w:r>
      <w:r w:rsidR="00B24DFE" w:rsidRPr="00214987">
        <w:rPr>
          <w:rFonts w:ascii="Arial" w:hAnsi="Arial" w:cs="Arial"/>
          <w:noProof/>
          <w:sz w:val="20"/>
          <w:szCs w:val="20"/>
          <w:lang w:val="en-US"/>
        </w:rPr>
        <w:t xml:space="preserve"> and 4-weekly for </w:t>
      </w:r>
      <w:r w:rsidR="008C6CE9">
        <w:rPr>
          <w:rFonts w:ascii="Arial" w:hAnsi="Arial" w:cs="Arial"/>
          <w:noProof/>
          <w:sz w:val="20"/>
          <w:szCs w:val="20"/>
          <w:lang w:val="en-US"/>
        </w:rPr>
        <w:t>Mepolizumab</w:t>
      </w:r>
      <w:r w:rsidR="00A43ABA" w:rsidRPr="00214987">
        <w:rPr>
          <w:rFonts w:ascii="Arial" w:hAnsi="Arial" w:cs="Arial"/>
          <w:noProof/>
          <w:sz w:val="20"/>
          <w:szCs w:val="20"/>
          <w:lang w:val="en-US"/>
        </w:rPr>
        <w:t xml:space="preserve">. </w:t>
      </w:r>
      <w:r w:rsidR="00AD3354">
        <w:rPr>
          <w:rFonts w:ascii="Arial" w:hAnsi="Arial" w:cs="Arial"/>
          <w:noProof/>
          <w:sz w:val="20"/>
          <w:szCs w:val="20"/>
          <w:lang w:val="en-US"/>
        </w:rPr>
        <w:t>Data collected at these visits</w:t>
      </w:r>
      <w:r w:rsidR="00A43ABA" w:rsidRPr="00214987">
        <w:rPr>
          <w:rFonts w:ascii="Arial" w:hAnsi="Arial" w:cs="Arial"/>
          <w:noProof/>
          <w:sz w:val="20"/>
          <w:szCs w:val="20"/>
          <w:lang w:val="en-US"/>
        </w:rPr>
        <w:t xml:space="preserve"> included Asthma </w:t>
      </w:r>
      <w:r w:rsidR="000D4695" w:rsidRPr="00214987">
        <w:rPr>
          <w:rFonts w:ascii="Arial" w:hAnsi="Arial" w:cs="Arial"/>
          <w:noProof/>
          <w:sz w:val="20"/>
          <w:szCs w:val="20"/>
          <w:lang w:val="en-US"/>
        </w:rPr>
        <w:t>C</w:t>
      </w:r>
      <w:r w:rsidR="00A43ABA" w:rsidRPr="00214987">
        <w:rPr>
          <w:rFonts w:ascii="Arial" w:hAnsi="Arial" w:cs="Arial"/>
          <w:noProof/>
          <w:sz w:val="20"/>
          <w:szCs w:val="20"/>
          <w:lang w:val="en-US"/>
        </w:rPr>
        <w:t xml:space="preserve">ontrol </w:t>
      </w:r>
      <w:r w:rsidR="000D4695" w:rsidRPr="00214987">
        <w:rPr>
          <w:rFonts w:ascii="Arial" w:hAnsi="Arial" w:cs="Arial"/>
          <w:noProof/>
          <w:sz w:val="20"/>
          <w:szCs w:val="20"/>
          <w:lang w:val="en-US"/>
        </w:rPr>
        <w:t>Q</w:t>
      </w:r>
      <w:r w:rsidR="00A43ABA" w:rsidRPr="00214987">
        <w:rPr>
          <w:rFonts w:ascii="Arial" w:hAnsi="Arial" w:cs="Arial"/>
          <w:noProof/>
          <w:sz w:val="20"/>
          <w:szCs w:val="20"/>
          <w:lang w:val="en-US"/>
        </w:rPr>
        <w:t>uestionnaire-6 (ACQ6),</w:t>
      </w:r>
      <w:r w:rsidR="002C58AA" w:rsidRPr="00214987">
        <w:rPr>
          <w:rFonts w:ascii="Arial" w:hAnsi="Arial" w:cs="Arial"/>
          <w:noProof/>
          <w:sz w:val="20"/>
          <w:szCs w:val="20"/>
          <w:lang w:val="en-US"/>
        </w:rPr>
        <w:t xml:space="preserve"> </w:t>
      </w:r>
      <w:r w:rsidR="0006253E">
        <w:rPr>
          <w:rFonts w:ascii="Arial" w:hAnsi="Arial" w:cs="Arial"/>
          <w:noProof/>
          <w:sz w:val="20"/>
          <w:szCs w:val="20"/>
          <w:lang w:val="en-US"/>
        </w:rPr>
        <w:t xml:space="preserve">the </w:t>
      </w:r>
      <w:r w:rsidR="00A43ABA" w:rsidRPr="00214987">
        <w:rPr>
          <w:rFonts w:ascii="Arial" w:hAnsi="Arial" w:cs="Arial"/>
          <w:noProof/>
          <w:sz w:val="20"/>
          <w:szCs w:val="20"/>
          <w:lang w:val="en-US"/>
        </w:rPr>
        <w:t xml:space="preserve">incidence of exacerbations </w:t>
      </w:r>
      <w:r w:rsidR="00C54E21" w:rsidRPr="00214987">
        <w:rPr>
          <w:rFonts w:ascii="Arial" w:hAnsi="Arial" w:cs="Arial"/>
          <w:noProof/>
          <w:sz w:val="20"/>
          <w:szCs w:val="20"/>
          <w:lang w:val="en-US"/>
        </w:rPr>
        <w:t xml:space="preserve">(exacerbations </w:t>
      </w:r>
      <w:r w:rsidR="00A43ABA" w:rsidRPr="00214987">
        <w:rPr>
          <w:rFonts w:ascii="Arial" w:hAnsi="Arial" w:cs="Arial"/>
          <w:noProof/>
          <w:sz w:val="20"/>
          <w:szCs w:val="20"/>
          <w:lang w:val="en-US"/>
        </w:rPr>
        <w:t xml:space="preserve">requiring </w:t>
      </w:r>
      <w:r w:rsidR="0065121F" w:rsidRPr="00214987">
        <w:rPr>
          <w:rFonts w:ascii="Arial" w:hAnsi="Arial" w:cs="Arial"/>
          <w:noProof/>
          <w:sz w:val="20"/>
          <w:szCs w:val="20"/>
          <w:lang w:val="en-US"/>
        </w:rPr>
        <w:t xml:space="preserve">an acute </w:t>
      </w:r>
      <w:r w:rsidR="009B3E88" w:rsidRPr="00214987">
        <w:rPr>
          <w:rFonts w:ascii="Arial" w:hAnsi="Arial" w:cs="Arial"/>
          <w:noProof/>
          <w:sz w:val="20"/>
          <w:szCs w:val="20"/>
          <w:lang w:val="en-US"/>
        </w:rPr>
        <w:t>OCS</w:t>
      </w:r>
      <w:r w:rsidR="0065121F" w:rsidRPr="00214987">
        <w:rPr>
          <w:rFonts w:ascii="Arial" w:hAnsi="Arial" w:cs="Arial"/>
          <w:noProof/>
          <w:sz w:val="20"/>
          <w:szCs w:val="20"/>
          <w:lang w:val="en-US"/>
        </w:rPr>
        <w:t xml:space="preserve"> course</w:t>
      </w:r>
      <w:r w:rsidR="0006253E">
        <w:rPr>
          <w:rFonts w:ascii="Arial" w:hAnsi="Arial" w:cs="Arial"/>
          <w:noProof/>
          <w:sz w:val="20"/>
          <w:szCs w:val="20"/>
          <w:lang w:val="en-US"/>
        </w:rPr>
        <w:t>/</w:t>
      </w:r>
      <w:r w:rsidR="00A43ABA" w:rsidRPr="00214987">
        <w:rPr>
          <w:rFonts w:ascii="Arial" w:hAnsi="Arial" w:cs="Arial"/>
          <w:noProof/>
          <w:sz w:val="20"/>
          <w:szCs w:val="20"/>
          <w:lang w:val="en-US"/>
        </w:rPr>
        <w:t xml:space="preserve">increase in </w:t>
      </w:r>
      <w:r w:rsidR="0081417B">
        <w:rPr>
          <w:rFonts w:ascii="Arial" w:hAnsi="Arial" w:cs="Arial"/>
          <w:noProof/>
          <w:sz w:val="20"/>
          <w:szCs w:val="20"/>
          <w:lang w:val="en-US"/>
        </w:rPr>
        <w:t>mOCS</w:t>
      </w:r>
      <w:r w:rsidR="00C54E21" w:rsidRPr="00214987">
        <w:rPr>
          <w:rFonts w:ascii="Arial" w:hAnsi="Arial" w:cs="Arial"/>
          <w:noProof/>
          <w:sz w:val="20"/>
          <w:szCs w:val="20"/>
          <w:lang w:val="en-US"/>
        </w:rPr>
        <w:t>)</w:t>
      </w:r>
      <w:r w:rsidR="002C58AA" w:rsidRPr="00214987">
        <w:rPr>
          <w:rFonts w:ascii="Arial" w:hAnsi="Arial" w:cs="Arial"/>
          <w:noProof/>
          <w:sz w:val="20"/>
          <w:szCs w:val="20"/>
          <w:lang w:val="en-US"/>
        </w:rPr>
        <w:t xml:space="preserve">, </w:t>
      </w:r>
      <w:r w:rsidR="0006253E">
        <w:rPr>
          <w:rFonts w:ascii="Arial" w:hAnsi="Arial" w:cs="Arial"/>
          <w:noProof/>
          <w:sz w:val="20"/>
          <w:szCs w:val="20"/>
          <w:lang w:val="en-US"/>
        </w:rPr>
        <w:t xml:space="preserve">the </w:t>
      </w:r>
      <w:r w:rsidR="00A43ABA" w:rsidRPr="00214987">
        <w:rPr>
          <w:rFonts w:ascii="Arial" w:hAnsi="Arial" w:cs="Arial"/>
          <w:noProof/>
          <w:sz w:val="20"/>
          <w:szCs w:val="20"/>
          <w:lang w:val="en-US"/>
        </w:rPr>
        <w:t>incidence of emergency department or hospital admissions</w:t>
      </w:r>
      <w:r w:rsidR="00E22121" w:rsidRPr="00214987">
        <w:rPr>
          <w:rFonts w:ascii="Arial" w:hAnsi="Arial" w:cs="Arial"/>
          <w:noProof/>
          <w:sz w:val="20"/>
          <w:szCs w:val="20"/>
          <w:lang w:val="en-US"/>
        </w:rPr>
        <w:t xml:space="preserve"> (Acute Healthcare Encounters [AHE]</w:t>
      </w:r>
      <w:r w:rsidR="0076419D" w:rsidRPr="00214987">
        <w:rPr>
          <w:rFonts w:ascii="Arial" w:hAnsi="Arial" w:cs="Arial"/>
          <w:noProof/>
          <w:sz w:val="20"/>
          <w:szCs w:val="20"/>
          <w:lang w:val="en-US"/>
        </w:rPr>
        <w:t>)</w:t>
      </w:r>
      <w:r w:rsidR="00A43ABA" w:rsidRPr="00214987">
        <w:rPr>
          <w:rFonts w:ascii="Arial" w:hAnsi="Arial" w:cs="Arial"/>
          <w:noProof/>
          <w:sz w:val="20"/>
          <w:szCs w:val="20"/>
          <w:lang w:val="en-US"/>
        </w:rPr>
        <w:t xml:space="preserve">, current </w:t>
      </w:r>
      <w:r w:rsidR="00C54E21" w:rsidRPr="00214987">
        <w:rPr>
          <w:rFonts w:ascii="Arial" w:hAnsi="Arial" w:cs="Arial"/>
          <w:noProof/>
          <w:sz w:val="20"/>
          <w:szCs w:val="20"/>
          <w:lang w:val="en-US"/>
        </w:rPr>
        <w:t>mOCS</w:t>
      </w:r>
      <w:r w:rsidR="00A43ABA" w:rsidRPr="00214987">
        <w:rPr>
          <w:rFonts w:ascii="Arial" w:hAnsi="Arial" w:cs="Arial"/>
          <w:noProof/>
          <w:sz w:val="20"/>
          <w:szCs w:val="20"/>
          <w:lang w:val="en-US"/>
        </w:rPr>
        <w:t xml:space="preserve"> dose</w:t>
      </w:r>
      <w:r w:rsidR="0076419D" w:rsidRPr="00214987">
        <w:rPr>
          <w:rFonts w:ascii="Arial" w:hAnsi="Arial" w:cs="Arial"/>
          <w:noProof/>
          <w:sz w:val="20"/>
          <w:szCs w:val="20"/>
          <w:lang w:val="en-US"/>
        </w:rPr>
        <w:t xml:space="preserve"> and</w:t>
      </w:r>
      <w:r w:rsidR="00A43ABA" w:rsidRPr="00214987">
        <w:rPr>
          <w:rFonts w:ascii="Arial" w:hAnsi="Arial" w:cs="Arial"/>
          <w:noProof/>
          <w:sz w:val="20"/>
          <w:szCs w:val="20"/>
          <w:lang w:val="en-US"/>
        </w:rPr>
        <w:t xml:space="preserve"> </w:t>
      </w:r>
      <w:r w:rsidR="00FA1E2C" w:rsidRPr="00214987">
        <w:rPr>
          <w:rFonts w:ascii="Arial" w:hAnsi="Arial" w:cs="Arial"/>
          <w:noProof/>
          <w:sz w:val="20"/>
          <w:szCs w:val="20"/>
          <w:lang w:val="en-US"/>
        </w:rPr>
        <w:t>C</w:t>
      </w:r>
      <w:r w:rsidR="0084641C" w:rsidRPr="00214987">
        <w:rPr>
          <w:rFonts w:ascii="Arial" w:hAnsi="Arial" w:cs="Arial"/>
          <w:noProof/>
          <w:sz w:val="20"/>
          <w:szCs w:val="20"/>
          <w:lang w:val="en-US"/>
        </w:rPr>
        <w:t>linic</w:t>
      </w:r>
      <w:r w:rsidR="00A43ABA" w:rsidRPr="00214987">
        <w:rPr>
          <w:rFonts w:ascii="Arial" w:hAnsi="Arial" w:cs="Arial"/>
          <w:noProof/>
          <w:sz w:val="20"/>
          <w:szCs w:val="20"/>
          <w:lang w:val="en-US"/>
        </w:rPr>
        <w:t xml:space="preserve"> </w:t>
      </w:r>
      <w:r w:rsidR="008310B5" w:rsidRPr="00214987">
        <w:rPr>
          <w:rFonts w:ascii="Arial" w:hAnsi="Arial" w:cs="Arial"/>
          <w:noProof/>
          <w:sz w:val="20"/>
          <w:szCs w:val="20"/>
          <w:lang w:val="en-US"/>
        </w:rPr>
        <w:t xml:space="preserve">percent predicted </w:t>
      </w:r>
      <w:r w:rsidR="00643ADC" w:rsidRPr="00214987">
        <w:rPr>
          <w:rFonts w:ascii="Arial" w:hAnsi="Arial" w:cs="Arial"/>
          <w:noProof/>
          <w:sz w:val="20"/>
          <w:szCs w:val="20"/>
          <w:lang w:val="en-US"/>
        </w:rPr>
        <w:t>FEV</w:t>
      </w:r>
      <w:r w:rsidR="00643ADC" w:rsidRPr="00214987">
        <w:rPr>
          <w:rFonts w:ascii="Arial" w:hAnsi="Arial" w:cs="Arial"/>
          <w:noProof/>
          <w:sz w:val="20"/>
          <w:szCs w:val="20"/>
          <w:vertAlign w:val="subscript"/>
          <w:lang w:val="en-US"/>
        </w:rPr>
        <w:t>1</w:t>
      </w:r>
      <w:r w:rsidR="00643ADC" w:rsidRPr="00214987">
        <w:rPr>
          <w:rFonts w:ascii="Arial" w:hAnsi="Arial" w:cs="Arial"/>
          <w:noProof/>
          <w:sz w:val="20"/>
          <w:szCs w:val="20"/>
          <w:lang w:val="en-US"/>
        </w:rPr>
        <w:t xml:space="preserve"> </w:t>
      </w:r>
      <w:r w:rsidR="00FA1E2C" w:rsidRPr="00214987">
        <w:rPr>
          <w:rFonts w:ascii="Arial" w:hAnsi="Arial" w:cs="Arial"/>
          <w:noProof/>
          <w:sz w:val="20"/>
          <w:szCs w:val="20"/>
          <w:lang w:val="en-US"/>
        </w:rPr>
        <w:t>(</w:t>
      </w:r>
      <w:r w:rsidR="00643ADC" w:rsidRPr="00214987">
        <w:rPr>
          <w:rFonts w:ascii="Arial" w:hAnsi="Arial" w:cs="Arial"/>
          <w:noProof/>
          <w:sz w:val="20"/>
          <w:szCs w:val="20"/>
          <w:lang w:val="en-US"/>
        </w:rPr>
        <w:t>FEV</w:t>
      </w:r>
      <w:r w:rsidR="00643ADC" w:rsidRPr="00214987">
        <w:rPr>
          <w:rFonts w:ascii="Arial" w:hAnsi="Arial" w:cs="Arial"/>
          <w:noProof/>
          <w:sz w:val="20"/>
          <w:szCs w:val="20"/>
          <w:vertAlign w:val="subscript"/>
          <w:lang w:val="en-US"/>
        </w:rPr>
        <w:t>1</w:t>
      </w:r>
      <w:r w:rsidR="0084641C" w:rsidRPr="00214987">
        <w:rPr>
          <w:rFonts w:ascii="Arial" w:hAnsi="Arial" w:cs="Arial"/>
          <w:noProof/>
          <w:sz w:val="20"/>
          <w:szCs w:val="20"/>
          <w:lang w:val="en-US"/>
        </w:rPr>
        <w:t>%</w:t>
      </w:r>
      <w:r w:rsidR="00FA1E2C" w:rsidRPr="00214987">
        <w:rPr>
          <w:rFonts w:ascii="Arial" w:hAnsi="Arial" w:cs="Arial"/>
          <w:noProof/>
          <w:sz w:val="20"/>
          <w:szCs w:val="20"/>
          <w:lang w:val="en-US"/>
        </w:rPr>
        <w:t>)</w:t>
      </w:r>
      <w:r w:rsidR="0084641C" w:rsidRPr="00214987">
        <w:rPr>
          <w:rFonts w:ascii="Arial" w:hAnsi="Arial" w:cs="Arial"/>
          <w:noProof/>
          <w:sz w:val="20"/>
          <w:szCs w:val="20"/>
          <w:lang w:val="en-US"/>
        </w:rPr>
        <w:t>.</w:t>
      </w:r>
      <w:r w:rsidR="0076419D" w:rsidRPr="00214987">
        <w:rPr>
          <w:rFonts w:ascii="Arial" w:hAnsi="Arial" w:cs="Arial"/>
          <w:noProof/>
          <w:sz w:val="20"/>
          <w:szCs w:val="20"/>
          <w:lang w:val="en-US"/>
        </w:rPr>
        <w:t xml:space="preserve"> </w:t>
      </w:r>
      <w:r w:rsidR="00A43ABA" w:rsidRPr="00214987">
        <w:rPr>
          <w:rFonts w:ascii="Arial" w:hAnsi="Arial" w:cs="Arial"/>
          <w:noProof/>
          <w:sz w:val="20"/>
          <w:szCs w:val="20"/>
          <w:lang w:val="en-US"/>
        </w:rPr>
        <w:t xml:space="preserve">Hospital anxiety and depression scale (HADS) and Asthma </w:t>
      </w:r>
      <w:r w:rsidR="00B074E1" w:rsidRPr="00214987">
        <w:rPr>
          <w:rFonts w:ascii="Arial" w:hAnsi="Arial" w:cs="Arial"/>
          <w:noProof/>
          <w:sz w:val="20"/>
          <w:szCs w:val="20"/>
          <w:lang w:val="en-US"/>
        </w:rPr>
        <w:t xml:space="preserve">Quality </w:t>
      </w:r>
      <w:r w:rsidR="00A43ABA" w:rsidRPr="00214987">
        <w:rPr>
          <w:rFonts w:ascii="Arial" w:hAnsi="Arial" w:cs="Arial"/>
          <w:noProof/>
          <w:sz w:val="20"/>
          <w:szCs w:val="20"/>
          <w:lang w:val="en-US"/>
        </w:rPr>
        <w:t xml:space="preserve">of </w:t>
      </w:r>
      <w:r w:rsidR="00B074E1" w:rsidRPr="00214987">
        <w:rPr>
          <w:rFonts w:ascii="Arial" w:hAnsi="Arial" w:cs="Arial"/>
          <w:noProof/>
          <w:sz w:val="20"/>
          <w:szCs w:val="20"/>
          <w:lang w:val="en-US"/>
        </w:rPr>
        <w:t>L</w:t>
      </w:r>
      <w:r w:rsidR="00A43ABA" w:rsidRPr="00214987">
        <w:rPr>
          <w:rFonts w:ascii="Arial" w:hAnsi="Arial" w:cs="Arial"/>
          <w:noProof/>
          <w:sz w:val="20"/>
          <w:szCs w:val="20"/>
          <w:lang w:val="en-US"/>
        </w:rPr>
        <w:t xml:space="preserve">ife </w:t>
      </w:r>
      <w:r w:rsidR="00B074E1" w:rsidRPr="00214987">
        <w:rPr>
          <w:rFonts w:ascii="Arial" w:hAnsi="Arial" w:cs="Arial"/>
          <w:noProof/>
          <w:sz w:val="20"/>
          <w:szCs w:val="20"/>
          <w:lang w:val="en-US"/>
        </w:rPr>
        <w:t>Q</w:t>
      </w:r>
      <w:r w:rsidR="00A43ABA" w:rsidRPr="00214987">
        <w:rPr>
          <w:rFonts w:ascii="Arial" w:hAnsi="Arial" w:cs="Arial"/>
          <w:noProof/>
          <w:sz w:val="20"/>
          <w:szCs w:val="20"/>
          <w:lang w:val="en-US"/>
        </w:rPr>
        <w:t xml:space="preserve">uestionnaire (AQLQ) </w:t>
      </w:r>
      <w:r w:rsidR="00631A4E" w:rsidRPr="00214987">
        <w:rPr>
          <w:rFonts w:ascii="Arial" w:hAnsi="Arial" w:cs="Arial"/>
          <w:noProof/>
          <w:sz w:val="20"/>
          <w:szCs w:val="20"/>
          <w:lang w:val="en-US"/>
        </w:rPr>
        <w:t xml:space="preserve">were </w:t>
      </w:r>
      <w:r w:rsidR="00A43ABA" w:rsidRPr="00214987">
        <w:rPr>
          <w:rFonts w:ascii="Arial" w:hAnsi="Arial" w:cs="Arial"/>
          <w:noProof/>
          <w:sz w:val="20"/>
          <w:szCs w:val="20"/>
          <w:lang w:val="en-US"/>
        </w:rPr>
        <w:t xml:space="preserve">collected at baseline and final visits for </w:t>
      </w:r>
      <w:r w:rsidR="008C6CE9">
        <w:rPr>
          <w:rFonts w:ascii="Arial" w:hAnsi="Arial" w:cs="Arial"/>
          <w:noProof/>
          <w:sz w:val="20"/>
          <w:szCs w:val="20"/>
          <w:lang w:val="en-US"/>
        </w:rPr>
        <w:t>Mepolizumab</w:t>
      </w:r>
      <w:r w:rsidR="00A43ABA" w:rsidRPr="00214987">
        <w:rPr>
          <w:rFonts w:ascii="Arial" w:hAnsi="Arial" w:cs="Arial"/>
          <w:noProof/>
          <w:sz w:val="20"/>
          <w:szCs w:val="20"/>
          <w:lang w:val="en-US"/>
        </w:rPr>
        <w:t xml:space="preserve">. </w:t>
      </w:r>
      <w:r w:rsidR="00B074E1" w:rsidRPr="00214987">
        <w:rPr>
          <w:rFonts w:ascii="Arial" w:hAnsi="Arial" w:cs="Arial"/>
          <w:noProof/>
          <w:sz w:val="20"/>
          <w:szCs w:val="20"/>
          <w:lang w:val="en-US"/>
        </w:rPr>
        <w:t>F</w:t>
      </w:r>
      <w:r w:rsidR="00A43ABA" w:rsidRPr="00214987">
        <w:rPr>
          <w:rFonts w:ascii="Arial" w:hAnsi="Arial" w:cs="Arial"/>
          <w:noProof/>
          <w:sz w:val="20"/>
          <w:szCs w:val="20"/>
          <w:lang w:val="en-US"/>
        </w:rPr>
        <w:t xml:space="preserve">ractional </w:t>
      </w:r>
      <w:r w:rsidR="00B074E1" w:rsidRPr="00214987">
        <w:rPr>
          <w:rFonts w:ascii="Arial" w:hAnsi="Arial" w:cs="Arial"/>
          <w:noProof/>
          <w:sz w:val="20"/>
          <w:szCs w:val="20"/>
          <w:lang w:val="en-US"/>
        </w:rPr>
        <w:t>E</w:t>
      </w:r>
      <w:r w:rsidR="00A43ABA" w:rsidRPr="00214987">
        <w:rPr>
          <w:rFonts w:ascii="Arial" w:hAnsi="Arial" w:cs="Arial"/>
          <w:noProof/>
          <w:sz w:val="20"/>
          <w:szCs w:val="20"/>
          <w:lang w:val="en-US"/>
        </w:rPr>
        <w:t xml:space="preserve">xhaled </w:t>
      </w:r>
      <w:r w:rsidR="00B074E1" w:rsidRPr="00214987">
        <w:rPr>
          <w:rFonts w:ascii="Arial" w:hAnsi="Arial" w:cs="Arial"/>
          <w:noProof/>
          <w:sz w:val="20"/>
          <w:szCs w:val="20"/>
          <w:lang w:val="en-US"/>
        </w:rPr>
        <w:t>N</w:t>
      </w:r>
      <w:r w:rsidR="00A43ABA" w:rsidRPr="00214987">
        <w:rPr>
          <w:rFonts w:ascii="Arial" w:hAnsi="Arial" w:cs="Arial"/>
          <w:noProof/>
          <w:sz w:val="20"/>
          <w:szCs w:val="20"/>
          <w:lang w:val="en-US"/>
        </w:rPr>
        <w:t xml:space="preserve">itric </w:t>
      </w:r>
      <w:r w:rsidR="006C51D5" w:rsidRPr="00214987">
        <w:rPr>
          <w:rFonts w:ascii="Arial" w:hAnsi="Arial" w:cs="Arial"/>
          <w:noProof/>
          <w:sz w:val="20"/>
          <w:szCs w:val="20"/>
          <w:lang w:val="en-US"/>
        </w:rPr>
        <w:t>O</w:t>
      </w:r>
      <w:r w:rsidR="00A43ABA" w:rsidRPr="00214987">
        <w:rPr>
          <w:rFonts w:ascii="Arial" w:hAnsi="Arial" w:cs="Arial"/>
          <w:noProof/>
          <w:sz w:val="20"/>
          <w:szCs w:val="20"/>
          <w:lang w:val="en-US"/>
        </w:rPr>
        <w:t>xide</w:t>
      </w:r>
      <w:r w:rsidR="007177F8" w:rsidRPr="00214987">
        <w:rPr>
          <w:rFonts w:ascii="Arial" w:hAnsi="Arial" w:cs="Arial"/>
          <w:noProof/>
          <w:sz w:val="20"/>
          <w:szCs w:val="20"/>
          <w:lang w:val="en-US"/>
        </w:rPr>
        <w:t xml:space="preserve"> </w:t>
      </w:r>
      <w:r w:rsidR="00A43ABA" w:rsidRPr="00214987">
        <w:rPr>
          <w:rFonts w:ascii="Arial" w:hAnsi="Arial" w:cs="Arial"/>
          <w:noProof/>
          <w:sz w:val="20"/>
          <w:szCs w:val="20"/>
          <w:lang w:val="en-US"/>
        </w:rPr>
        <w:t xml:space="preserve">(FENO) was collected </w:t>
      </w:r>
      <w:r w:rsidR="000A4E77" w:rsidRPr="00214987">
        <w:rPr>
          <w:rFonts w:ascii="Arial" w:hAnsi="Arial" w:cs="Arial"/>
          <w:noProof/>
          <w:sz w:val="20"/>
          <w:szCs w:val="20"/>
          <w:lang w:val="en-US"/>
        </w:rPr>
        <w:t>at</w:t>
      </w:r>
      <w:r w:rsidR="00A43ABA" w:rsidRPr="00214987">
        <w:rPr>
          <w:rFonts w:ascii="Arial" w:hAnsi="Arial" w:cs="Arial"/>
          <w:noProof/>
          <w:sz w:val="20"/>
          <w:szCs w:val="20"/>
          <w:lang w:val="en-US"/>
        </w:rPr>
        <w:t xml:space="preserve"> </w:t>
      </w:r>
      <w:r w:rsidR="002675A4" w:rsidRPr="00214987">
        <w:rPr>
          <w:rFonts w:ascii="Arial" w:hAnsi="Arial" w:cs="Arial"/>
          <w:noProof/>
          <w:sz w:val="20"/>
          <w:szCs w:val="20"/>
          <w:lang w:val="en-US"/>
        </w:rPr>
        <w:t xml:space="preserve">all </w:t>
      </w:r>
      <w:r w:rsidR="008C6CE9">
        <w:rPr>
          <w:rFonts w:ascii="Arial" w:hAnsi="Arial" w:cs="Arial"/>
          <w:noProof/>
          <w:sz w:val="20"/>
          <w:szCs w:val="20"/>
          <w:lang w:val="en-US"/>
        </w:rPr>
        <w:t>Mepolizumab</w:t>
      </w:r>
      <w:r w:rsidR="00A43ABA" w:rsidRPr="00214987">
        <w:rPr>
          <w:rFonts w:ascii="Arial" w:hAnsi="Arial" w:cs="Arial"/>
          <w:noProof/>
          <w:sz w:val="20"/>
          <w:szCs w:val="20"/>
          <w:lang w:val="en-US"/>
        </w:rPr>
        <w:t xml:space="preserve"> visit</w:t>
      </w:r>
      <w:r w:rsidR="000A4E77" w:rsidRPr="00214987">
        <w:rPr>
          <w:rFonts w:ascii="Arial" w:hAnsi="Arial" w:cs="Arial"/>
          <w:noProof/>
          <w:sz w:val="20"/>
          <w:szCs w:val="20"/>
          <w:lang w:val="en-US"/>
        </w:rPr>
        <w:t>s</w:t>
      </w:r>
      <w:r w:rsidR="00A43ABA" w:rsidRPr="00214987">
        <w:rPr>
          <w:rFonts w:ascii="Arial" w:hAnsi="Arial" w:cs="Arial"/>
          <w:noProof/>
          <w:sz w:val="20"/>
          <w:szCs w:val="20"/>
          <w:lang w:val="en-US"/>
        </w:rPr>
        <w:t xml:space="preserve">, but only at the baseline </w:t>
      </w:r>
      <w:r w:rsidR="004C6D9A" w:rsidRPr="00214987">
        <w:rPr>
          <w:rFonts w:ascii="Arial" w:hAnsi="Arial" w:cs="Arial"/>
          <w:noProof/>
          <w:sz w:val="20"/>
          <w:szCs w:val="20"/>
          <w:lang w:val="en-US"/>
        </w:rPr>
        <w:t>Omalizumab</w:t>
      </w:r>
      <w:r w:rsidR="00A43ABA" w:rsidRPr="00214987">
        <w:rPr>
          <w:rFonts w:ascii="Arial" w:hAnsi="Arial" w:cs="Arial"/>
          <w:noProof/>
          <w:sz w:val="20"/>
          <w:szCs w:val="20"/>
          <w:lang w:val="en-US"/>
        </w:rPr>
        <w:t xml:space="preserve"> visit</w:t>
      </w:r>
      <w:r w:rsidR="0018729E">
        <w:rPr>
          <w:rFonts w:ascii="Arial" w:hAnsi="Arial" w:cs="Arial"/>
          <w:noProof/>
          <w:sz w:val="20"/>
          <w:szCs w:val="20"/>
          <w:lang w:val="en-US"/>
        </w:rPr>
        <w:t xml:space="preserve">, </w:t>
      </w:r>
      <w:r w:rsidR="00EC1B18">
        <w:rPr>
          <w:rFonts w:ascii="Arial" w:hAnsi="Arial" w:cs="Arial"/>
          <w:noProof/>
          <w:sz w:val="20"/>
          <w:szCs w:val="20"/>
          <w:lang w:val="en-US"/>
        </w:rPr>
        <w:t>as per</w:t>
      </w:r>
      <w:r w:rsidR="0018729E">
        <w:rPr>
          <w:rFonts w:ascii="Arial" w:hAnsi="Arial" w:cs="Arial"/>
          <w:noProof/>
          <w:sz w:val="20"/>
          <w:szCs w:val="20"/>
          <w:lang w:val="en-US"/>
        </w:rPr>
        <w:t xml:space="preserve"> clinical practice </w:t>
      </w:r>
      <w:r w:rsidR="00EC1B18">
        <w:rPr>
          <w:rFonts w:ascii="Arial" w:hAnsi="Arial" w:cs="Arial"/>
          <w:noProof/>
          <w:sz w:val="20"/>
          <w:szCs w:val="20"/>
          <w:lang w:val="en-US"/>
        </w:rPr>
        <w:t>in the prior decade</w:t>
      </w:r>
      <w:r w:rsidR="00A43ABA" w:rsidRPr="00214987">
        <w:rPr>
          <w:rFonts w:ascii="Arial" w:hAnsi="Arial" w:cs="Arial"/>
          <w:noProof/>
          <w:sz w:val="20"/>
          <w:szCs w:val="20"/>
          <w:lang w:val="en-US"/>
        </w:rPr>
        <w:t xml:space="preserve">. </w:t>
      </w:r>
      <w:r w:rsidR="00A43ABA" w:rsidRPr="00214987">
        <w:rPr>
          <w:rFonts w:ascii="Arial" w:hAnsi="Arial" w:cs="Arial"/>
          <w:noProof/>
          <w:sz w:val="20"/>
          <w:szCs w:val="20"/>
          <w:lang w:val="en-US"/>
        </w:rPr>
        <w:lastRenderedPageBreak/>
        <w:t>Co-morbidity, anthropometric and demographic data were extracted from the WATCH database.</w:t>
      </w:r>
      <w:r w:rsidR="00664B19" w:rsidRPr="00214987">
        <w:rPr>
          <w:rFonts w:ascii="Arial" w:hAnsi="Arial" w:cs="Arial"/>
          <w:noProof/>
          <w:sz w:val="20"/>
          <w:szCs w:val="20"/>
          <w:lang w:val="en-US"/>
        </w:rPr>
        <w:t xml:space="preserve"> </w:t>
      </w:r>
      <w:r w:rsidR="00474226" w:rsidRPr="00214987">
        <w:rPr>
          <w:rFonts w:ascii="Arial" w:hAnsi="Arial" w:cs="Arial"/>
          <w:noProof/>
          <w:sz w:val="20"/>
          <w:szCs w:val="20"/>
          <w:lang w:val="en-US"/>
        </w:rPr>
        <w:t xml:space="preserve">Exacerbations and </w:t>
      </w:r>
      <w:r w:rsidR="00734AAE" w:rsidRPr="00214987">
        <w:rPr>
          <w:rFonts w:ascii="Arial" w:hAnsi="Arial" w:cs="Arial"/>
          <w:noProof/>
          <w:sz w:val="20"/>
          <w:szCs w:val="20"/>
          <w:lang w:val="en-US"/>
        </w:rPr>
        <w:t>AHE</w:t>
      </w:r>
      <w:r w:rsidR="00474226" w:rsidRPr="00214987">
        <w:rPr>
          <w:rFonts w:ascii="Arial" w:hAnsi="Arial" w:cs="Arial"/>
          <w:noProof/>
          <w:sz w:val="20"/>
          <w:szCs w:val="20"/>
          <w:lang w:val="en-US"/>
        </w:rPr>
        <w:t xml:space="preserve"> were annuali</w:t>
      </w:r>
      <w:r w:rsidR="007E18DF">
        <w:rPr>
          <w:rFonts w:ascii="Arial" w:hAnsi="Arial" w:cs="Arial"/>
          <w:noProof/>
          <w:sz w:val="20"/>
          <w:szCs w:val="20"/>
          <w:lang w:val="en-US"/>
        </w:rPr>
        <w:t>s</w:t>
      </w:r>
      <w:r w:rsidR="00474226" w:rsidRPr="00214987">
        <w:rPr>
          <w:rFonts w:ascii="Arial" w:hAnsi="Arial" w:cs="Arial"/>
          <w:noProof/>
          <w:sz w:val="20"/>
          <w:szCs w:val="20"/>
          <w:lang w:val="en-US"/>
        </w:rPr>
        <w:t>ed for comparisons.</w:t>
      </w:r>
    </w:p>
    <w:p w14:paraId="1B114B1F" w14:textId="0E9FC477" w:rsidR="00717B40" w:rsidRDefault="00717B40" w:rsidP="00AB4CB7">
      <w:pPr>
        <w:pStyle w:val="NormalWeb"/>
        <w:spacing w:before="280" w:after="280" w:line="480" w:lineRule="auto"/>
        <w:rPr>
          <w:rFonts w:ascii="Arial" w:hAnsi="Arial" w:cs="Arial"/>
          <w:noProof/>
          <w:sz w:val="20"/>
          <w:szCs w:val="20"/>
          <w:lang w:val="en-US"/>
        </w:rPr>
      </w:pPr>
      <w:r w:rsidRPr="00214987">
        <w:rPr>
          <w:rFonts w:ascii="Arial" w:hAnsi="Arial" w:cs="Arial"/>
          <w:noProof/>
          <w:sz w:val="20"/>
          <w:szCs w:val="20"/>
          <w:lang w:val="en-US"/>
        </w:rPr>
        <w:t xml:space="preserve">Biologic response was determined by the clinical MDT (Multi-Disciplinary Team), </w:t>
      </w:r>
      <w:r w:rsidR="00951F54">
        <w:rPr>
          <w:rFonts w:ascii="Arial" w:hAnsi="Arial" w:cs="Arial"/>
          <w:noProof/>
          <w:sz w:val="20"/>
          <w:szCs w:val="20"/>
          <w:lang w:val="en-US"/>
        </w:rPr>
        <w:t xml:space="preserve">using separate </w:t>
      </w:r>
      <w:r w:rsidR="008068F9">
        <w:rPr>
          <w:rFonts w:ascii="Arial" w:hAnsi="Arial" w:cs="Arial"/>
          <w:noProof/>
          <w:sz w:val="20"/>
          <w:szCs w:val="20"/>
          <w:lang w:val="en-US"/>
        </w:rPr>
        <w:t>biologic</w:t>
      </w:r>
      <w:r w:rsidR="008925B7">
        <w:rPr>
          <w:rFonts w:ascii="Arial" w:hAnsi="Arial" w:cs="Arial"/>
          <w:noProof/>
          <w:sz w:val="20"/>
          <w:szCs w:val="20"/>
          <w:lang w:val="en-US"/>
        </w:rPr>
        <w:t xml:space="preserve">-specific </w:t>
      </w:r>
      <w:r>
        <w:rPr>
          <w:rFonts w:ascii="Arial" w:hAnsi="Arial" w:cs="Arial"/>
          <w:noProof/>
          <w:sz w:val="20"/>
          <w:szCs w:val="20"/>
          <w:lang w:val="en-US"/>
        </w:rPr>
        <w:t>standard national criteria</w:t>
      </w:r>
      <w:r w:rsidRPr="00214987">
        <w:rPr>
          <w:rFonts w:ascii="Arial" w:hAnsi="Arial" w:cs="Arial"/>
          <w:noProof/>
          <w:sz w:val="20"/>
          <w:szCs w:val="20"/>
          <w:lang w:val="en-US"/>
        </w:rPr>
        <w:fldChar w:fldCharType="begin" w:fldLock="1"/>
      </w:r>
      <w:r>
        <w:rPr>
          <w:rFonts w:ascii="Arial" w:hAnsi="Arial" w:cs="Arial"/>
          <w:noProof/>
          <w:sz w:val="20"/>
          <w:szCs w:val="20"/>
          <w:lang w:val="en-US"/>
        </w:rPr>
        <w:instrText>ADDIN CSL_CITATION {"citationItems":[{"id":"ITEM-1","itemData":{"id":"ITEM-1","issued":{"date-parts":[["0"]]},"publisher":"NICE","title":"Overview | Omalizumab for treating severe persistent allergic asthma | Guidance | NICE","type":"article-journal"},"uris":["http://www.mendeley.com/documents/?uuid=37c5c4b8-d7e6-38d7-8893-984438afdcd1"]},{"id":"ITEM-2","itemData":{"id":"ITEM-2","issued":{"date-parts":[["0"]]},"publisher":"NICE","title":"Overview | Mepolizumab for treating severe refractory eosinophilic asthma | Guidance | NICE","type":"article-journal"},"uris":["http://www.mendeley.com/documents/?uuid=09f2774c-9c77-3d28-ae7e-f624bf5474cf"]}],"mendeley":{"formattedCitation":"&lt;sup&gt;13,14&lt;/sup&gt;","plainTextFormattedCitation":"13,14","previouslyFormattedCitation":"&lt;sup&gt;13,14&lt;/sup&gt;"},"properties":{"noteIndex":0},"schema":"https://github.com/citation-style-language/schema/raw/master/csl-citation.json"}</w:instrText>
      </w:r>
      <w:r w:rsidRPr="00214987">
        <w:rPr>
          <w:rFonts w:ascii="Arial" w:hAnsi="Arial" w:cs="Arial"/>
          <w:noProof/>
          <w:sz w:val="20"/>
          <w:szCs w:val="20"/>
          <w:lang w:val="en-US"/>
        </w:rPr>
        <w:fldChar w:fldCharType="separate"/>
      </w:r>
      <w:r w:rsidRPr="00214987">
        <w:rPr>
          <w:rFonts w:ascii="Arial" w:hAnsi="Arial" w:cs="Arial"/>
          <w:noProof/>
          <w:sz w:val="20"/>
          <w:szCs w:val="20"/>
          <w:vertAlign w:val="superscript"/>
          <w:lang w:val="en-US"/>
        </w:rPr>
        <w:t>13,14</w:t>
      </w:r>
      <w:r w:rsidRPr="00214987">
        <w:rPr>
          <w:rFonts w:ascii="Arial" w:hAnsi="Arial" w:cs="Arial"/>
          <w:noProof/>
          <w:sz w:val="20"/>
          <w:szCs w:val="20"/>
          <w:lang w:val="en-US"/>
        </w:rPr>
        <w:fldChar w:fldCharType="end"/>
      </w:r>
      <w:r w:rsidRPr="00214987">
        <w:rPr>
          <w:rFonts w:ascii="Arial" w:hAnsi="Arial" w:cs="Arial"/>
          <w:noProof/>
          <w:sz w:val="20"/>
          <w:szCs w:val="20"/>
          <w:lang w:val="en-US"/>
        </w:rPr>
        <w:t xml:space="preserve">. For Omalizumab, response was assessed using the </w:t>
      </w:r>
      <w:r w:rsidR="00765B86">
        <w:rPr>
          <w:rFonts w:ascii="Arial" w:hAnsi="Arial" w:cs="Arial"/>
          <w:noProof/>
          <w:sz w:val="20"/>
          <w:szCs w:val="20"/>
          <w:lang w:val="en-US"/>
        </w:rPr>
        <w:t>‘</w:t>
      </w:r>
      <w:r w:rsidRPr="00214987">
        <w:rPr>
          <w:rFonts w:ascii="Arial" w:hAnsi="Arial" w:cs="Arial"/>
          <w:noProof/>
          <w:sz w:val="20"/>
          <w:szCs w:val="20"/>
          <w:lang w:val="en-US"/>
        </w:rPr>
        <w:t>Global Evaluation of Treatment Effectiveness</w:t>
      </w:r>
      <w:r w:rsidR="00765B86">
        <w:rPr>
          <w:rFonts w:ascii="Arial" w:hAnsi="Arial" w:cs="Arial"/>
          <w:noProof/>
          <w:sz w:val="20"/>
          <w:szCs w:val="20"/>
          <w:lang w:val="en-US"/>
        </w:rPr>
        <w:t>’ tool</w:t>
      </w:r>
      <w:r w:rsidRPr="00214987">
        <w:rPr>
          <w:rFonts w:ascii="Arial" w:hAnsi="Arial" w:cs="Arial"/>
          <w:noProof/>
          <w:sz w:val="20"/>
          <w:szCs w:val="20"/>
          <w:lang w:val="en-US"/>
        </w:rPr>
        <w:t xml:space="preserve"> </w:t>
      </w:r>
      <w:r w:rsidRPr="00214987">
        <w:rPr>
          <w:rFonts w:ascii="Arial" w:hAnsi="Arial" w:cs="Arial"/>
          <w:noProof/>
          <w:sz w:val="20"/>
          <w:szCs w:val="20"/>
          <w:lang w:val="en-US"/>
        </w:rPr>
        <w:fldChar w:fldCharType="begin" w:fldLock="1"/>
      </w:r>
      <w:r>
        <w:rPr>
          <w:rFonts w:ascii="Arial" w:hAnsi="Arial" w:cs="Arial"/>
          <w:noProof/>
          <w:sz w:val="20"/>
          <w:szCs w:val="20"/>
          <w:lang w:val="en-US"/>
        </w:rPr>
        <w:instrText>ADDIN CSL_CITATION {"citationItems":[{"id":"ITEM-1","itemData":{"DOI":"10.1016/j.rmed.2013.04.017","ISSN":"09546111","abstract":"Omalizumab has demonstrated therapeutic benefits in controlled clinical trials. Evaluation of outcomes in real-world clinical practice is needed to provide a complete understanding of the benefits of omalizumab treatment. eXpeRience was a 2-year, international, single-arm, open-label, observational registry that evaluated real-world effectiveness, safety and use of omalizumab therapy in 943 patients with uncontrolled persistent allergic asthma. Effectiveness variables (physician's Global Evaluation of Treatment Effectiveness [GETE], and change from baseline in exacerbation rate, symptoms, rescue medication use, and oral corticosteroid [OCS] use) were evaluated at pre-specified time-points. Safety data were also recorded. By physician's GETE, 69.9% of patients were responders to omalizumab after 16 (±1) weeks. The proportion of patients with no clinically significant exacerbations increased from 6.8% during the 12-month pre-treatment period to 54.1% and 67.3% at Months 12 and 24, respectively. Symptoms and rescue medication use at Month 24 were reduced by &gt;50% from baseline. Maintenance OCS use was lower at Month 24 (14.2%) compared with Month 12 (16.1%) and baseline (28.6%). Overall, omalizumab had an acceptable safety profile. The results from eXpeRience indicate that omalizumab was associated with improvements in outcomes in patients with uncontrolled persistent allergic asthma; these improvements were consistent with the results of clinical trials. © 2012 Elsevier Ltd. All rights reserved.","author":[{"dropping-particle":"","family":"Braunstahl","given":"G. J.","non-dropping-particle":"","parse-names":false,"suffix":""},{"dropping-particle":"","family":"Chen","given":"C. W.","non-dropping-particle":"","parse-names":false,"suffix":""},{"dropping-particle":"","family":"Maykut","given":"R.","non-dropping-particle":"","parse-names":false,"suffix":""},{"dropping-particle":"","family":"Georgiou","given":"P.","non-dropping-particle":"","parse-names":false,"suffix":""},{"dropping-particle":"","family":"Peachey","given":"G.","non-dropping-particle":"","parse-names":false,"suffix":""},{"dropping-particle":"","family":"Bruce","given":"J.","non-dropping-particle":"","parse-names":false,"suffix":""}],"container-title":"Respiratory Medicine","id":"ITEM-1","issue":"8","issued":{"date-parts":[["2013","8","1"]]},"page":"1141-1151","publisher":"W.B. Saunders","title":"The eXpeRience registry: The 'real-world' effectiveness of omalizumab in allergic asthma","type":"article-journal","volume":"107"},"uris":["http://www.mendeley.com/documents/?uuid=ae7fecec-2e4b-3a67-9d9f-6dcbf1ff791d"]},{"id":"ITEM-2","itemData":{"DOI":"10.1016/j.rmed.2009.06.014","ISSN":"09546111","PMID":"19619998","abstract":"Objective: To evaluate the 16- and 52-week effectiveness of add-on omalizumab treatment under real-life heterogeneity in patients, settings, and physicians in an open-label, multicenter, pharmaco-epidemiologic study of patients with severe persistent allergic asthma in Belgium. Methods: Effectiveness outcomes included improvement in 2005 global initiative for asthma (GINA) classification, physician-rated global evaluation of treatment effectiveness (GETE), quality of life (Juniper asthma-related quality of life (AQLQ) and European quality of life questionnaire 5 dimensions (EQ-5D)), and severe asthma exacerbations. Patients studied included both intent-to-treat and per-protocol populations. Results: The sample (n = 158) had a mean age of 48.17 ± 17.18 years, and a slight majority were female (53.8%). Despite being treated with high-dose inhaled corticosteroids and long-acting β2-agonists, all patients experienced frequent symptoms and had exacerbations in the past year. At 16 weeks, &gt;82% had good/excellent GETE (P values &lt;0.001), &gt;82% had an improvement in total AQLQ scores of ≥0.5 points (P &lt; 0.001), and &gt;91% were severe exacerbation-free (P &lt; 0.001). At 52 weeks, &gt;72% had a good/excellent GETE rating (P &lt; 0.001), &gt;84% had improvements in total AQLQ score of ≥0.5 points (P &lt; 0.001), &gt;56% had minimally important improvements in EQ-5D utility scores (P = 0.012), and &gt;65% were severe exacerbation-free (P &lt; 0.001). Significant reductions in healthcare utilization compared to the one year prior to treatment were noted. Conclusion: The PERSIST study shows better physician-rated effectiveness, greater improvements in quality of life, greater reductions in exacerbation rates, and greater reductions in healthcare utilization than previously reported in efficacy studies. Under real-life conditions, omalizumab is effective as add-on therapy in the treatment of patients with persistent severe allergic asthma. © 2009 Elsevier Ltd. All rights reserved.","author":[{"dropping-particle":"","family":"Brusselle","given":"G.","non-dropping-particle":"","parse-names":false,"suffix":""},{"dropping-particle":"","family":"Michils","given":"A.","non-dropping-particle":"","parse-names":false,"suffix":""},{"dropping-particle":"","family":"Louis","given":"R.","non-dropping-particle":"","parse-names":false,"suffix":""},{"dropping-particle":"","family":"Dupont","given":"L.","non-dropping-particle":"","parse-names":false,"suffix":""},{"dropping-particle":"","family":"Maele","given":"B.","non-dropping-particle":"Van de","parse-names":false,"suffix":""},{"dropping-particle":"","family":"Delobbe","given":"A.","non-dropping-particle":"","parse-names":false,"suffix":""},{"dropping-particle":"","family":"Pilette","given":"C.","non-dropping-particle":"","parse-names":false,"suffix":""},{"dropping-particle":"","family":"Lee","given":"C. S.","non-dropping-particle":"","parse-names":false,"suffix":""},{"dropping-particle":"","family":"Gurdain","given":"S.","non-dropping-particle":"","parse-names":false,"suffix":""},{"dropping-particle":"","family":"Vancayzeele","given":"S.","non-dropping-particle":"","parse-names":false,"suffix":""},{"dropping-particle":"","family":"Lecomte","given":"P.","non-dropping-particle":"","parse-names":false,"suffix":""},{"dropping-particle":"","family":"Hermans","given":"C.","non-dropping-particle":"","parse-names":false,"suffix":""},{"dropping-particle":"","family":"MacDonald","given":"K.","non-dropping-particle":"","parse-names":false,"suffix":""},{"dropping-particle":"","family":"Song","given":"M.","non-dropping-particle":"","parse-names":false,"suffix":""},{"dropping-particle":"","family":"Abraham","given":"I.","non-dropping-particle":"","parse-names":false,"suffix":""}],"container-title":"Respiratory Medicine","id":"ITEM-2","issue":"11","issued":{"date-parts":[["2009","11","1"]]},"page":"1633-1642","publisher":"W.B. Saunders","title":"\"Real-life\" effectiveness of omalizumab in patients with severe persistent allergic asthma: The PERSIST study","type":"article-journal","volume":"103"},"uris":["http://www.mendeley.com/documents/?uuid=7daeead1-5fa1-3f0b-8cca-728b89533531"]},{"id":"ITEM-3","itemData":{"author":[{"dropping-particle":"","family":"Bousquet","given":"Jean","non-dropping-particle":"","parse-names":false,"suffix":""},{"dropping-particle":"","family":"Rao","given":"Shashidhar","non-dropping-particle":"","parse-names":false,"suffix":""},{"dropping-particle":"","family":"Manga","given":"Volkan","non-dropping-particle":"","parse-names":false,"suffix":""}],"container-title":"European Respiratory Journal","id":"ITEM-3","issue":"Suppl 58","issued":{"date-parts":[["2014"]]},"title":"Global evaluation of treatment effectiveness (GETE) is an accurate predictor of response to omalizumab in patients with severe allergic asthma: A pooled analysis","type":"article-journal","volume":"44"},"uris":["http://www.mendeley.com/documents/?uuid=d27e4373-acc3-3bb8-913d-cd5a3fa92a43"]}],"mendeley":{"formattedCitation":"&lt;sup&gt;15–17&lt;/sup&gt;","plainTextFormattedCitation":"15–17","previouslyFormattedCitation":"&lt;sup&gt;16–18&lt;/sup&gt;"},"properties":{"noteIndex":0},"schema":"https://github.com/citation-style-language/schema/raw/master/csl-citation.json"}</w:instrText>
      </w:r>
      <w:r w:rsidRPr="00214987">
        <w:rPr>
          <w:rFonts w:ascii="Arial" w:hAnsi="Arial" w:cs="Arial"/>
          <w:noProof/>
          <w:sz w:val="20"/>
          <w:szCs w:val="20"/>
          <w:lang w:val="en-US"/>
        </w:rPr>
        <w:fldChar w:fldCharType="separate"/>
      </w:r>
      <w:r w:rsidRPr="00717B40">
        <w:rPr>
          <w:rFonts w:ascii="Arial" w:hAnsi="Arial" w:cs="Arial"/>
          <w:noProof/>
          <w:sz w:val="20"/>
          <w:szCs w:val="20"/>
          <w:vertAlign w:val="superscript"/>
          <w:lang w:val="en-US"/>
        </w:rPr>
        <w:t>15–17</w:t>
      </w:r>
      <w:r w:rsidRPr="00214987">
        <w:rPr>
          <w:rFonts w:ascii="Arial" w:hAnsi="Arial" w:cs="Arial"/>
          <w:noProof/>
          <w:sz w:val="20"/>
          <w:szCs w:val="20"/>
          <w:lang w:val="en-US"/>
        </w:rPr>
        <w:fldChar w:fldCharType="end"/>
      </w:r>
      <w:r w:rsidRPr="00214987">
        <w:rPr>
          <w:rFonts w:ascii="Arial" w:hAnsi="Arial" w:cs="Arial"/>
          <w:noProof/>
          <w:sz w:val="20"/>
          <w:szCs w:val="20"/>
          <w:lang w:val="en-US"/>
        </w:rPr>
        <w:t xml:space="preserve">. For </w:t>
      </w:r>
      <w:r>
        <w:rPr>
          <w:rFonts w:ascii="Arial" w:hAnsi="Arial" w:cs="Arial"/>
          <w:noProof/>
          <w:sz w:val="20"/>
          <w:szCs w:val="20"/>
          <w:lang w:val="en-US"/>
        </w:rPr>
        <w:t>Mepolizumab</w:t>
      </w:r>
      <w:r w:rsidRPr="00214987">
        <w:rPr>
          <w:rFonts w:ascii="Arial" w:hAnsi="Arial" w:cs="Arial"/>
          <w:noProof/>
          <w:sz w:val="20"/>
          <w:szCs w:val="20"/>
          <w:lang w:val="en-US"/>
        </w:rPr>
        <w:t>, response was defined as a ≥50% reduction in exacerbations or mOCS dose without loss of asthma control</w:t>
      </w:r>
      <w:r>
        <w:rPr>
          <w:rFonts w:ascii="Arial" w:hAnsi="Arial" w:cs="Arial"/>
          <w:noProof/>
          <w:sz w:val="20"/>
          <w:szCs w:val="20"/>
          <w:lang w:val="en-US"/>
        </w:rPr>
        <w:fldChar w:fldCharType="begin" w:fldLock="1"/>
      </w:r>
      <w:r>
        <w:rPr>
          <w:rFonts w:ascii="Arial" w:hAnsi="Arial" w:cs="Arial"/>
          <w:noProof/>
          <w:sz w:val="20"/>
          <w:szCs w:val="20"/>
          <w:lang w:val="en-US"/>
        </w:rPr>
        <w:instrText>ADDIN CSL_CITATION {"citationItems":[{"id":"ITEM-1","itemData":{"id":"ITEM-1","issued":{"date-parts":[["0"]]},"publisher":"NICE","title":"Overview | Mepolizumab for treating severe refractory eosinophilic asthma | Guidance | NICE","type":"article-journal"},"uris":["http://www.mendeley.com/documents/?uuid=09f2774c-9c77-3d28-ae7e-f624bf5474cf"]}],"mendeley":{"formattedCitation":"&lt;sup&gt;14&lt;/sup&gt;","plainTextFormattedCitation":"14"},"properties":{"noteIndex":0},"schema":"https://github.com/citation-style-language/schema/raw/master/csl-citation.json"}</w:instrText>
      </w:r>
      <w:r>
        <w:rPr>
          <w:rFonts w:ascii="Arial" w:hAnsi="Arial" w:cs="Arial"/>
          <w:noProof/>
          <w:sz w:val="20"/>
          <w:szCs w:val="20"/>
          <w:lang w:val="en-US"/>
        </w:rPr>
        <w:fldChar w:fldCharType="separate"/>
      </w:r>
      <w:r w:rsidRPr="00717B40">
        <w:rPr>
          <w:rFonts w:ascii="Arial" w:hAnsi="Arial" w:cs="Arial"/>
          <w:noProof/>
          <w:sz w:val="20"/>
          <w:szCs w:val="20"/>
          <w:vertAlign w:val="superscript"/>
          <w:lang w:val="en-US"/>
        </w:rPr>
        <w:t>14</w:t>
      </w:r>
      <w:r>
        <w:rPr>
          <w:rFonts w:ascii="Arial" w:hAnsi="Arial" w:cs="Arial"/>
          <w:noProof/>
          <w:sz w:val="20"/>
          <w:szCs w:val="20"/>
          <w:lang w:val="en-US"/>
        </w:rPr>
        <w:fldChar w:fldCharType="end"/>
      </w:r>
      <w:r w:rsidRPr="00214987">
        <w:rPr>
          <w:rFonts w:ascii="Arial" w:hAnsi="Arial" w:cs="Arial"/>
          <w:noProof/>
          <w:sz w:val="20"/>
          <w:szCs w:val="20"/>
          <w:lang w:val="en-US"/>
        </w:rPr>
        <w:t>. In borderline responders</w:t>
      </w:r>
      <w:r>
        <w:rPr>
          <w:rFonts w:ascii="Arial" w:hAnsi="Arial" w:cs="Arial"/>
          <w:noProof/>
          <w:sz w:val="20"/>
          <w:szCs w:val="20"/>
          <w:lang w:val="en-US"/>
        </w:rPr>
        <w:t xml:space="preserve"> based on standard criteria</w:t>
      </w:r>
      <w:r w:rsidRPr="00214987">
        <w:rPr>
          <w:rFonts w:ascii="Arial" w:hAnsi="Arial" w:cs="Arial"/>
          <w:noProof/>
          <w:sz w:val="20"/>
          <w:szCs w:val="20"/>
          <w:lang w:val="en-US"/>
        </w:rPr>
        <w:t>, factors such as change</w:t>
      </w:r>
      <w:r>
        <w:rPr>
          <w:rFonts w:ascii="Arial" w:hAnsi="Arial" w:cs="Arial"/>
          <w:noProof/>
          <w:sz w:val="20"/>
          <w:szCs w:val="20"/>
          <w:lang w:val="en-US"/>
        </w:rPr>
        <w:t>s</w:t>
      </w:r>
      <w:r w:rsidRPr="00214987">
        <w:rPr>
          <w:rFonts w:ascii="Arial" w:hAnsi="Arial" w:cs="Arial"/>
          <w:noProof/>
          <w:sz w:val="20"/>
          <w:szCs w:val="20"/>
          <w:lang w:val="en-US"/>
        </w:rPr>
        <w:t xml:space="preserve"> in AHE, symptom control or quality-of-life would additionally guide </w:t>
      </w:r>
      <w:r>
        <w:rPr>
          <w:rFonts w:ascii="Arial" w:hAnsi="Arial" w:cs="Arial"/>
          <w:noProof/>
          <w:sz w:val="20"/>
          <w:szCs w:val="20"/>
          <w:lang w:val="en-US"/>
        </w:rPr>
        <w:t>Mepolizumab</w:t>
      </w:r>
      <w:r w:rsidRPr="00214987">
        <w:rPr>
          <w:rFonts w:ascii="Arial" w:hAnsi="Arial" w:cs="Arial"/>
          <w:noProof/>
          <w:sz w:val="20"/>
          <w:szCs w:val="20"/>
          <w:lang w:val="en-US"/>
        </w:rPr>
        <w:t xml:space="preserve"> continuation. </w:t>
      </w:r>
      <w:r>
        <w:rPr>
          <w:rFonts w:ascii="Arial" w:hAnsi="Arial" w:cs="Arial"/>
          <w:noProof/>
          <w:sz w:val="20"/>
          <w:szCs w:val="20"/>
          <w:lang w:val="en-US"/>
        </w:rPr>
        <w:t>As per standard clinical practice in the UK, t</w:t>
      </w:r>
      <w:r w:rsidRPr="00214987">
        <w:rPr>
          <w:rFonts w:ascii="Arial" w:hAnsi="Arial" w:cs="Arial"/>
          <w:noProof/>
          <w:sz w:val="20"/>
          <w:szCs w:val="20"/>
          <w:lang w:val="en-US"/>
        </w:rPr>
        <w:t xml:space="preserve">reatment trials </w:t>
      </w:r>
      <w:r w:rsidR="001B3F45">
        <w:rPr>
          <w:rFonts w:ascii="Arial" w:hAnsi="Arial" w:cs="Arial"/>
          <w:noProof/>
          <w:sz w:val="20"/>
          <w:szCs w:val="20"/>
          <w:lang w:val="en-US"/>
        </w:rPr>
        <w:t xml:space="preserve">were </w:t>
      </w:r>
      <w:r w:rsidRPr="00214987">
        <w:rPr>
          <w:rFonts w:ascii="Arial" w:hAnsi="Arial" w:cs="Arial"/>
          <w:noProof/>
          <w:sz w:val="20"/>
          <w:szCs w:val="20"/>
          <w:lang w:val="en-US"/>
        </w:rPr>
        <w:t xml:space="preserve">typically 16 weeks for Omalizumab and 12 months for </w:t>
      </w:r>
      <w:r>
        <w:rPr>
          <w:rFonts w:ascii="Arial" w:hAnsi="Arial" w:cs="Arial"/>
          <w:noProof/>
          <w:sz w:val="20"/>
          <w:szCs w:val="20"/>
          <w:lang w:val="en-US"/>
        </w:rPr>
        <w:t>Mepolizumab</w:t>
      </w:r>
      <w:r w:rsidRPr="00214987">
        <w:rPr>
          <w:rFonts w:ascii="Arial" w:hAnsi="Arial" w:cs="Arial"/>
          <w:noProof/>
          <w:sz w:val="20"/>
          <w:szCs w:val="20"/>
          <w:lang w:val="en-US"/>
        </w:rPr>
        <w:t xml:space="preserve">. However, equivocal trials were extended up to 32 weeks for Omalizumab and 18 months for </w:t>
      </w:r>
      <w:r>
        <w:rPr>
          <w:rFonts w:ascii="Arial" w:hAnsi="Arial" w:cs="Arial"/>
          <w:noProof/>
          <w:sz w:val="20"/>
          <w:szCs w:val="20"/>
          <w:lang w:val="en-US"/>
        </w:rPr>
        <w:t>Mepolizumab</w:t>
      </w:r>
      <w:r w:rsidRPr="00214987">
        <w:rPr>
          <w:rFonts w:ascii="Arial" w:hAnsi="Arial" w:cs="Arial"/>
          <w:noProof/>
          <w:sz w:val="20"/>
          <w:szCs w:val="20"/>
          <w:lang w:val="en-US"/>
        </w:rPr>
        <w:t xml:space="preserve">. </w:t>
      </w:r>
    </w:p>
    <w:p w14:paraId="4D5D3D5A" w14:textId="7DA124E8" w:rsidR="00717B40" w:rsidRDefault="00717B40" w:rsidP="00AB4CB7">
      <w:pPr>
        <w:pStyle w:val="NormalWeb"/>
        <w:spacing w:before="280" w:after="280" w:line="480" w:lineRule="auto"/>
        <w:rPr>
          <w:rFonts w:ascii="Arial" w:hAnsi="Arial" w:cs="Arial"/>
          <w:noProof/>
          <w:sz w:val="20"/>
          <w:szCs w:val="20"/>
          <w:lang w:val="en-US"/>
        </w:rPr>
      </w:pPr>
      <w:r w:rsidRPr="00214987">
        <w:rPr>
          <w:rFonts w:ascii="Arial" w:hAnsi="Arial" w:cs="Arial"/>
          <w:noProof/>
          <w:sz w:val="20"/>
          <w:szCs w:val="20"/>
          <w:lang w:val="en-US"/>
        </w:rPr>
        <w:t>We defined ‘super-response’ separately for both biologics</w:t>
      </w:r>
      <w:r>
        <w:rPr>
          <w:rFonts w:ascii="Arial" w:hAnsi="Arial" w:cs="Arial"/>
          <w:noProof/>
          <w:sz w:val="20"/>
          <w:szCs w:val="20"/>
          <w:lang w:val="en-US"/>
        </w:rPr>
        <w:t>, given the separate eligibility and continuation criteria</w:t>
      </w:r>
      <w:r w:rsidRPr="00214987">
        <w:rPr>
          <w:rFonts w:ascii="Arial" w:hAnsi="Arial" w:cs="Arial"/>
          <w:noProof/>
          <w:sz w:val="20"/>
          <w:szCs w:val="20"/>
          <w:lang w:val="en-US"/>
        </w:rPr>
        <w:t xml:space="preserve">. Omalizumab super-responders were defined as 16-week responders who had the top quartile of percentage reduction in mOCS dose while being exacerbation and AHE free; or if not on mOCS, were exacerbation and AHE free. For </w:t>
      </w:r>
      <w:r>
        <w:rPr>
          <w:rFonts w:ascii="Arial" w:hAnsi="Arial" w:cs="Arial"/>
          <w:noProof/>
          <w:sz w:val="20"/>
          <w:szCs w:val="20"/>
          <w:lang w:val="en-US"/>
        </w:rPr>
        <w:t>Mepolizumab</w:t>
      </w:r>
      <w:r w:rsidRPr="00214987">
        <w:rPr>
          <w:rFonts w:ascii="Arial" w:hAnsi="Arial" w:cs="Arial"/>
          <w:noProof/>
          <w:sz w:val="20"/>
          <w:szCs w:val="20"/>
          <w:lang w:val="en-US"/>
        </w:rPr>
        <w:t>, super-responders were defined as 12-month responders who had the top quartile of percentage reduction in mOCS dose, while having a synchronous reduction in exacerbations; or if not on mOCS, had the top quartile of percentage reduction in exacerbations.</w:t>
      </w:r>
    </w:p>
    <w:p w14:paraId="750AB7EA" w14:textId="5D6B82E2" w:rsidR="00BC2A93" w:rsidRPr="00214987" w:rsidRDefault="006D21E6" w:rsidP="00AB4CB7">
      <w:pPr>
        <w:pStyle w:val="NormalWeb"/>
        <w:spacing w:before="280" w:after="280" w:line="480" w:lineRule="auto"/>
        <w:rPr>
          <w:rFonts w:ascii="Arial" w:hAnsi="Arial" w:cs="Arial"/>
          <w:noProof/>
          <w:sz w:val="20"/>
          <w:szCs w:val="20"/>
          <w:lang w:val="en-US"/>
        </w:rPr>
      </w:pPr>
      <w:r w:rsidRPr="00214987">
        <w:rPr>
          <w:rFonts w:ascii="Arial" w:hAnsi="Arial" w:cs="Arial"/>
          <w:noProof/>
          <w:sz w:val="20"/>
          <w:szCs w:val="20"/>
          <w:lang w:val="en-US"/>
        </w:rPr>
        <w:t xml:space="preserve">To </w:t>
      </w:r>
      <w:r w:rsidR="00900F3F" w:rsidRPr="00214987">
        <w:rPr>
          <w:rFonts w:ascii="Arial" w:hAnsi="Arial" w:cs="Arial"/>
          <w:noProof/>
          <w:sz w:val="20"/>
          <w:szCs w:val="20"/>
          <w:lang w:val="en-US"/>
        </w:rPr>
        <w:t>describe</w:t>
      </w:r>
      <w:r w:rsidRPr="00214987">
        <w:rPr>
          <w:rFonts w:ascii="Arial" w:hAnsi="Arial" w:cs="Arial"/>
          <w:noProof/>
          <w:sz w:val="20"/>
          <w:szCs w:val="20"/>
          <w:lang w:val="en-US"/>
        </w:rPr>
        <w:t xml:space="preserve"> the biologic</w:t>
      </w:r>
      <w:r w:rsidR="009D6056" w:rsidRPr="00214987">
        <w:rPr>
          <w:rFonts w:ascii="Arial" w:hAnsi="Arial" w:cs="Arial"/>
          <w:noProof/>
          <w:sz w:val="20"/>
          <w:szCs w:val="20"/>
          <w:lang w:val="en-US"/>
        </w:rPr>
        <w:t>-</w:t>
      </w:r>
      <w:r w:rsidRPr="00214987">
        <w:rPr>
          <w:rFonts w:ascii="Arial" w:hAnsi="Arial" w:cs="Arial"/>
          <w:noProof/>
          <w:sz w:val="20"/>
          <w:szCs w:val="20"/>
          <w:lang w:val="en-US"/>
        </w:rPr>
        <w:t xml:space="preserve">naïve </w:t>
      </w:r>
      <w:r w:rsidR="009D6056" w:rsidRPr="00214987">
        <w:rPr>
          <w:rFonts w:ascii="Arial" w:hAnsi="Arial" w:cs="Arial"/>
          <w:noProof/>
          <w:sz w:val="20"/>
          <w:szCs w:val="20"/>
          <w:lang w:val="en-US"/>
        </w:rPr>
        <w:t>characteristics</w:t>
      </w:r>
      <w:r w:rsidRPr="00214987">
        <w:rPr>
          <w:rFonts w:ascii="Arial" w:hAnsi="Arial" w:cs="Arial"/>
          <w:noProof/>
          <w:sz w:val="20"/>
          <w:szCs w:val="20"/>
          <w:lang w:val="en-US"/>
        </w:rPr>
        <w:t xml:space="preserve"> of the biologic </w:t>
      </w:r>
      <w:r w:rsidR="0085331B" w:rsidRPr="00214987">
        <w:rPr>
          <w:rFonts w:ascii="Arial" w:hAnsi="Arial" w:cs="Arial"/>
          <w:noProof/>
          <w:sz w:val="20"/>
          <w:szCs w:val="20"/>
          <w:lang w:val="en-US"/>
        </w:rPr>
        <w:t xml:space="preserve">treated </w:t>
      </w:r>
      <w:r w:rsidRPr="00214987">
        <w:rPr>
          <w:rFonts w:ascii="Arial" w:hAnsi="Arial" w:cs="Arial"/>
          <w:noProof/>
          <w:sz w:val="20"/>
          <w:szCs w:val="20"/>
          <w:lang w:val="en-US"/>
        </w:rPr>
        <w:t>group</w:t>
      </w:r>
      <w:r w:rsidR="009D6056" w:rsidRPr="00214987">
        <w:rPr>
          <w:rFonts w:ascii="Arial" w:hAnsi="Arial" w:cs="Arial"/>
          <w:noProof/>
          <w:sz w:val="20"/>
          <w:szCs w:val="20"/>
          <w:lang w:val="en-US"/>
        </w:rPr>
        <w:t>s</w:t>
      </w:r>
      <w:r w:rsidRPr="00214987">
        <w:rPr>
          <w:rFonts w:ascii="Arial" w:hAnsi="Arial" w:cs="Arial"/>
          <w:noProof/>
          <w:sz w:val="20"/>
          <w:szCs w:val="20"/>
          <w:lang w:val="en-US"/>
        </w:rPr>
        <w:t xml:space="preserve">, </w:t>
      </w:r>
      <w:r w:rsidR="008B1628" w:rsidRPr="00214987">
        <w:rPr>
          <w:rFonts w:ascii="Arial" w:hAnsi="Arial" w:cs="Arial"/>
          <w:noProof/>
          <w:sz w:val="20"/>
          <w:szCs w:val="20"/>
          <w:lang w:val="en-US"/>
        </w:rPr>
        <w:t>a</w:t>
      </w:r>
      <w:r w:rsidR="00AC606E" w:rsidRPr="00214987">
        <w:rPr>
          <w:rFonts w:ascii="Arial" w:hAnsi="Arial" w:cs="Arial"/>
          <w:noProof/>
          <w:sz w:val="20"/>
          <w:szCs w:val="20"/>
          <w:lang w:val="en-US"/>
        </w:rPr>
        <w:t xml:space="preserve"> </w:t>
      </w:r>
      <w:r w:rsidR="00CA6263" w:rsidRPr="00214987">
        <w:rPr>
          <w:rFonts w:ascii="Arial" w:hAnsi="Arial" w:cs="Arial"/>
          <w:noProof/>
          <w:sz w:val="20"/>
          <w:szCs w:val="20"/>
          <w:lang w:val="en-US"/>
        </w:rPr>
        <w:t xml:space="preserve">common </w:t>
      </w:r>
      <w:r w:rsidR="00A209BF" w:rsidRPr="00214987">
        <w:rPr>
          <w:rFonts w:ascii="Arial" w:hAnsi="Arial" w:cs="Arial"/>
          <w:noProof/>
          <w:sz w:val="20"/>
          <w:szCs w:val="20"/>
          <w:lang w:val="en-US"/>
        </w:rPr>
        <w:t>comparator ‘</w:t>
      </w:r>
      <w:r w:rsidRPr="00214987">
        <w:rPr>
          <w:rFonts w:ascii="Arial" w:hAnsi="Arial" w:cs="Arial"/>
          <w:noProof/>
          <w:sz w:val="20"/>
          <w:szCs w:val="20"/>
          <w:lang w:val="en-US"/>
        </w:rPr>
        <w:t>s</w:t>
      </w:r>
      <w:r w:rsidR="00317EFE" w:rsidRPr="00214987">
        <w:rPr>
          <w:rFonts w:ascii="Arial" w:hAnsi="Arial" w:cs="Arial"/>
          <w:noProof/>
          <w:sz w:val="20"/>
          <w:szCs w:val="20"/>
          <w:lang w:val="en-US"/>
        </w:rPr>
        <w:t>evere</w:t>
      </w:r>
      <w:r w:rsidR="00CB34E9" w:rsidRPr="00214987">
        <w:rPr>
          <w:rFonts w:ascii="Arial" w:hAnsi="Arial" w:cs="Arial"/>
          <w:noProof/>
          <w:sz w:val="20"/>
          <w:szCs w:val="20"/>
          <w:lang w:val="en-US"/>
        </w:rPr>
        <w:t xml:space="preserve"> asthma</w:t>
      </w:r>
      <w:r w:rsidR="007F1592" w:rsidRPr="00214987">
        <w:rPr>
          <w:rFonts w:ascii="Arial" w:hAnsi="Arial" w:cs="Arial"/>
          <w:noProof/>
          <w:sz w:val="20"/>
          <w:szCs w:val="20"/>
          <w:lang w:val="en-US"/>
        </w:rPr>
        <w:t>, no</w:t>
      </w:r>
      <w:r w:rsidR="00923F90">
        <w:rPr>
          <w:rFonts w:ascii="Arial" w:hAnsi="Arial" w:cs="Arial"/>
          <w:noProof/>
          <w:sz w:val="20"/>
          <w:szCs w:val="20"/>
          <w:lang w:val="en-US"/>
        </w:rPr>
        <w:t>n-</w:t>
      </w:r>
      <w:r w:rsidR="007F1592" w:rsidRPr="00214987">
        <w:rPr>
          <w:rFonts w:ascii="Arial" w:hAnsi="Arial" w:cs="Arial"/>
          <w:noProof/>
          <w:sz w:val="20"/>
          <w:szCs w:val="20"/>
          <w:lang w:val="en-US"/>
        </w:rPr>
        <w:t>biologic</w:t>
      </w:r>
      <w:r w:rsidR="003A3748" w:rsidRPr="00214987">
        <w:rPr>
          <w:rFonts w:ascii="Arial" w:hAnsi="Arial" w:cs="Arial"/>
          <w:noProof/>
          <w:sz w:val="20"/>
          <w:szCs w:val="20"/>
          <w:lang w:val="en-US"/>
        </w:rPr>
        <w:t>’</w:t>
      </w:r>
      <w:r w:rsidR="00A2701A" w:rsidRPr="00214987">
        <w:rPr>
          <w:rFonts w:ascii="Arial" w:hAnsi="Arial" w:cs="Arial"/>
          <w:noProof/>
          <w:sz w:val="20"/>
          <w:szCs w:val="20"/>
          <w:lang w:val="en-US"/>
        </w:rPr>
        <w:t xml:space="preserve"> (SNB)</w:t>
      </w:r>
      <w:r w:rsidR="00317EFE" w:rsidRPr="00214987">
        <w:rPr>
          <w:rFonts w:ascii="Arial" w:hAnsi="Arial" w:cs="Arial"/>
          <w:noProof/>
          <w:sz w:val="20"/>
          <w:szCs w:val="20"/>
          <w:lang w:val="en-US"/>
        </w:rPr>
        <w:t xml:space="preserve"> </w:t>
      </w:r>
      <w:r w:rsidR="008B1628" w:rsidRPr="00214987">
        <w:rPr>
          <w:rFonts w:ascii="Arial" w:hAnsi="Arial" w:cs="Arial"/>
          <w:noProof/>
          <w:sz w:val="20"/>
          <w:szCs w:val="20"/>
          <w:lang w:val="en-US"/>
        </w:rPr>
        <w:t>group</w:t>
      </w:r>
      <w:r w:rsidR="00CB34E9" w:rsidRPr="00214987">
        <w:rPr>
          <w:rFonts w:ascii="Arial" w:hAnsi="Arial" w:cs="Arial"/>
          <w:noProof/>
          <w:sz w:val="20"/>
          <w:szCs w:val="20"/>
          <w:lang w:val="en-US"/>
        </w:rPr>
        <w:t xml:space="preserve"> </w:t>
      </w:r>
      <w:r w:rsidR="009D6056" w:rsidRPr="00214987">
        <w:rPr>
          <w:rFonts w:ascii="Arial" w:hAnsi="Arial" w:cs="Arial"/>
          <w:noProof/>
          <w:sz w:val="20"/>
          <w:szCs w:val="20"/>
          <w:lang w:val="en-US"/>
        </w:rPr>
        <w:t xml:space="preserve">was </w:t>
      </w:r>
      <w:r w:rsidR="003020B2" w:rsidRPr="00214987">
        <w:rPr>
          <w:rFonts w:ascii="Arial" w:hAnsi="Arial" w:cs="Arial"/>
          <w:noProof/>
          <w:sz w:val="20"/>
          <w:szCs w:val="20"/>
          <w:lang w:val="en-US"/>
        </w:rPr>
        <w:t xml:space="preserve">extracted from </w:t>
      </w:r>
      <w:r w:rsidR="00900F3F" w:rsidRPr="00214987">
        <w:rPr>
          <w:rFonts w:ascii="Arial" w:hAnsi="Arial" w:cs="Arial"/>
          <w:noProof/>
          <w:sz w:val="20"/>
          <w:szCs w:val="20"/>
          <w:lang w:val="en-US"/>
        </w:rPr>
        <w:t>WATCH</w:t>
      </w:r>
      <w:r w:rsidRPr="00214987">
        <w:rPr>
          <w:rFonts w:ascii="Arial" w:hAnsi="Arial" w:cs="Arial"/>
          <w:noProof/>
          <w:sz w:val="20"/>
          <w:szCs w:val="20"/>
          <w:lang w:val="en-US"/>
        </w:rPr>
        <w:t xml:space="preserve">. </w:t>
      </w:r>
      <w:r w:rsidR="00A2701A" w:rsidRPr="00214987">
        <w:rPr>
          <w:rFonts w:ascii="Arial" w:hAnsi="Arial" w:cs="Arial"/>
          <w:noProof/>
          <w:sz w:val="20"/>
          <w:szCs w:val="20"/>
          <w:lang w:val="en-US"/>
        </w:rPr>
        <w:t>SNB</w:t>
      </w:r>
      <w:r w:rsidR="00317EFE" w:rsidRPr="00214987">
        <w:rPr>
          <w:rFonts w:ascii="Arial" w:hAnsi="Arial" w:cs="Arial"/>
          <w:noProof/>
          <w:sz w:val="20"/>
          <w:szCs w:val="20"/>
          <w:lang w:val="en-US"/>
        </w:rPr>
        <w:t xml:space="preserve"> subjects </w:t>
      </w:r>
      <w:r w:rsidR="006B0DC1" w:rsidRPr="00214987">
        <w:rPr>
          <w:rFonts w:ascii="Arial" w:hAnsi="Arial" w:cs="Arial"/>
          <w:noProof/>
          <w:sz w:val="20"/>
          <w:szCs w:val="20"/>
          <w:lang w:val="en-US"/>
        </w:rPr>
        <w:t>(</w:t>
      </w:r>
      <w:r w:rsidR="00734DA1">
        <w:rPr>
          <w:rFonts w:ascii="Arial" w:hAnsi="Arial" w:cs="Arial"/>
          <w:noProof/>
          <w:sz w:val="20"/>
          <w:szCs w:val="20"/>
          <w:lang w:val="en-US"/>
        </w:rPr>
        <w:t>N</w:t>
      </w:r>
      <w:r w:rsidR="006B0DC1" w:rsidRPr="00214987">
        <w:rPr>
          <w:rFonts w:ascii="Arial" w:hAnsi="Arial" w:cs="Arial"/>
          <w:noProof/>
          <w:sz w:val="20"/>
          <w:szCs w:val="20"/>
          <w:lang w:val="en-US"/>
        </w:rPr>
        <w:t xml:space="preserve">=178) </w:t>
      </w:r>
      <w:r w:rsidR="00317EFE" w:rsidRPr="00214987">
        <w:rPr>
          <w:rFonts w:ascii="Arial" w:hAnsi="Arial" w:cs="Arial"/>
          <w:noProof/>
          <w:sz w:val="20"/>
          <w:szCs w:val="20"/>
          <w:lang w:val="en-US"/>
        </w:rPr>
        <w:t xml:space="preserve">were participants who </w:t>
      </w:r>
      <w:r w:rsidR="007F4455">
        <w:rPr>
          <w:rFonts w:ascii="Arial" w:hAnsi="Arial" w:cs="Arial"/>
          <w:noProof/>
          <w:sz w:val="20"/>
          <w:szCs w:val="20"/>
          <w:lang w:val="en-US"/>
        </w:rPr>
        <w:t>in the past year either</w:t>
      </w:r>
      <w:r w:rsidR="00970504" w:rsidRPr="00214987">
        <w:rPr>
          <w:rFonts w:ascii="Arial" w:hAnsi="Arial" w:cs="Arial"/>
          <w:noProof/>
          <w:sz w:val="20"/>
          <w:szCs w:val="20"/>
          <w:lang w:val="en-US"/>
        </w:rPr>
        <w:t xml:space="preserve"> </w:t>
      </w:r>
      <w:r w:rsidR="00AB0FBC" w:rsidRPr="00214987">
        <w:rPr>
          <w:rFonts w:ascii="Arial" w:hAnsi="Arial" w:cs="Arial"/>
          <w:noProof/>
          <w:sz w:val="20"/>
          <w:szCs w:val="20"/>
          <w:lang w:val="en-US"/>
        </w:rPr>
        <w:t>had ≥</w:t>
      </w:r>
      <w:r w:rsidR="00970504" w:rsidRPr="00214987">
        <w:rPr>
          <w:rFonts w:ascii="Arial" w:hAnsi="Arial" w:cs="Arial"/>
          <w:noProof/>
          <w:sz w:val="20"/>
          <w:szCs w:val="20"/>
          <w:lang w:val="en-US"/>
        </w:rPr>
        <w:t xml:space="preserve">4 </w:t>
      </w:r>
      <w:r w:rsidR="00BC2A93" w:rsidRPr="00214987">
        <w:rPr>
          <w:rFonts w:ascii="Arial" w:hAnsi="Arial" w:cs="Arial"/>
          <w:noProof/>
          <w:sz w:val="20"/>
          <w:szCs w:val="20"/>
          <w:lang w:val="en-US"/>
        </w:rPr>
        <w:t>exacerbations or ≥1 AHE or were on mOCS</w:t>
      </w:r>
      <w:r w:rsidR="007F4455">
        <w:rPr>
          <w:rFonts w:ascii="Arial" w:hAnsi="Arial" w:cs="Arial"/>
          <w:noProof/>
          <w:sz w:val="20"/>
          <w:szCs w:val="20"/>
          <w:lang w:val="en-US"/>
        </w:rPr>
        <w:t xml:space="preserve">, </w:t>
      </w:r>
      <w:r w:rsidR="00EB6D80" w:rsidRPr="00214987">
        <w:rPr>
          <w:rFonts w:ascii="Arial" w:hAnsi="Arial" w:cs="Arial"/>
          <w:noProof/>
          <w:sz w:val="20"/>
          <w:szCs w:val="20"/>
          <w:lang w:val="en-US"/>
        </w:rPr>
        <w:t xml:space="preserve">but did not </w:t>
      </w:r>
      <w:r w:rsidR="00B22766" w:rsidRPr="00214987">
        <w:rPr>
          <w:rFonts w:ascii="Arial" w:hAnsi="Arial" w:cs="Arial"/>
          <w:noProof/>
          <w:sz w:val="20"/>
          <w:szCs w:val="20"/>
          <w:lang w:val="en-US"/>
        </w:rPr>
        <w:t>commence biologic</w:t>
      </w:r>
      <w:r w:rsidR="00DB2E56" w:rsidRPr="00214987">
        <w:rPr>
          <w:rFonts w:ascii="Arial" w:hAnsi="Arial" w:cs="Arial"/>
          <w:noProof/>
          <w:sz w:val="20"/>
          <w:szCs w:val="20"/>
          <w:lang w:val="en-US"/>
        </w:rPr>
        <w:t xml:space="preserve">s </w:t>
      </w:r>
      <w:r w:rsidR="00E76607" w:rsidRPr="00214987">
        <w:rPr>
          <w:rFonts w:ascii="Arial" w:hAnsi="Arial" w:cs="Arial"/>
          <w:noProof/>
          <w:sz w:val="20"/>
          <w:szCs w:val="20"/>
          <w:lang w:val="en-US"/>
        </w:rPr>
        <w:t>during the study period</w:t>
      </w:r>
      <w:r w:rsidR="00BC2A93" w:rsidRPr="00214987">
        <w:rPr>
          <w:rFonts w:ascii="Arial" w:hAnsi="Arial" w:cs="Arial"/>
          <w:noProof/>
          <w:sz w:val="20"/>
          <w:szCs w:val="20"/>
          <w:lang w:val="en-US"/>
        </w:rPr>
        <w:t xml:space="preserve">. </w:t>
      </w:r>
      <w:r w:rsidR="005520E8" w:rsidRPr="00214987">
        <w:rPr>
          <w:rFonts w:ascii="Arial" w:hAnsi="Arial" w:cs="Arial"/>
          <w:noProof/>
          <w:sz w:val="20"/>
          <w:szCs w:val="20"/>
          <w:lang w:val="en-US"/>
        </w:rPr>
        <w:t xml:space="preserve"> </w:t>
      </w:r>
      <w:r w:rsidR="00C70C4C" w:rsidRPr="00214987">
        <w:rPr>
          <w:rFonts w:ascii="Arial" w:hAnsi="Arial" w:cs="Arial"/>
          <w:noProof/>
          <w:sz w:val="20"/>
          <w:szCs w:val="20"/>
          <w:lang w:val="en-US"/>
        </w:rPr>
        <w:t>Comparisons were made</w:t>
      </w:r>
      <w:r w:rsidR="00B40FA4" w:rsidRPr="00214987">
        <w:rPr>
          <w:rFonts w:ascii="Arial" w:hAnsi="Arial" w:cs="Arial"/>
          <w:noProof/>
          <w:sz w:val="20"/>
          <w:szCs w:val="20"/>
          <w:lang w:val="en-US"/>
        </w:rPr>
        <w:t xml:space="preserve"> using </w:t>
      </w:r>
      <w:r w:rsidR="00474226" w:rsidRPr="00214987">
        <w:rPr>
          <w:rFonts w:ascii="Arial" w:hAnsi="Arial" w:cs="Arial"/>
          <w:noProof/>
          <w:sz w:val="20"/>
          <w:szCs w:val="20"/>
          <w:lang w:val="en-US"/>
        </w:rPr>
        <w:t xml:space="preserve">baseline biologic </w:t>
      </w:r>
      <w:r w:rsidR="00BC2A93" w:rsidRPr="00214987">
        <w:rPr>
          <w:rFonts w:ascii="Arial" w:hAnsi="Arial" w:cs="Arial"/>
          <w:noProof/>
          <w:sz w:val="20"/>
          <w:szCs w:val="20"/>
          <w:lang w:val="en-US"/>
        </w:rPr>
        <w:t xml:space="preserve">data </w:t>
      </w:r>
      <w:r w:rsidR="007959B0" w:rsidRPr="00214987">
        <w:rPr>
          <w:rFonts w:ascii="Arial" w:hAnsi="Arial" w:cs="Arial"/>
          <w:noProof/>
          <w:sz w:val="20"/>
          <w:szCs w:val="20"/>
          <w:lang w:val="en-US"/>
        </w:rPr>
        <w:t xml:space="preserve">for </w:t>
      </w:r>
      <w:r w:rsidR="000A4E77" w:rsidRPr="00214987">
        <w:rPr>
          <w:rFonts w:ascii="Arial" w:hAnsi="Arial" w:cs="Arial"/>
          <w:noProof/>
          <w:sz w:val="20"/>
          <w:szCs w:val="20"/>
          <w:lang w:val="en-US"/>
        </w:rPr>
        <w:t>the biologic treated group</w:t>
      </w:r>
      <w:r w:rsidR="00900F3F" w:rsidRPr="00214987">
        <w:rPr>
          <w:rFonts w:ascii="Arial" w:hAnsi="Arial" w:cs="Arial"/>
          <w:noProof/>
          <w:sz w:val="20"/>
          <w:szCs w:val="20"/>
          <w:lang w:val="en-US"/>
        </w:rPr>
        <w:t>s</w:t>
      </w:r>
      <w:r w:rsidR="00702C25" w:rsidRPr="00214987">
        <w:rPr>
          <w:rFonts w:ascii="Arial" w:hAnsi="Arial" w:cs="Arial"/>
          <w:noProof/>
          <w:sz w:val="20"/>
          <w:szCs w:val="20"/>
          <w:lang w:val="en-US"/>
        </w:rPr>
        <w:t xml:space="preserve"> </w:t>
      </w:r>
      <w:r w:rsidR="00BC2A93" w:rsidRPr="00214987">
        <w:rPr>
          <w:rFonts w:ascii="Arial" w:hAnsi="Arial" w:cs="Arial"/>
          <w:noProof/>
          <w:sz w:val="20"/>
          <w:szCs w:val="20"/>
          <w:lang w:val="en-US"/>
        </w:rPr>
        <w:t>and</w:t>
      </w:r>
      <w:r w:rsidR="00702C25" w:rsidRPr="00214987">
        <w:rPr>
          <w:rFonts w:ascii="Arial" w:hAnsi="Arial" w:cs="Arial"/>
          <w:noProof/>
          <w:sz w:val="20"/>
          <w:szCs w:val="20"/>
          <w:lang w:val="en-US"/>
        </w:rPr>
        <w:t xml:space="preserve"> </w:t>
      </w:r>
      <w:r w:rsidR="00BC2A93" w:rsidRPr="00214987">
        <w:rPr>
          <w:rFonts w:ascii="Arial" w:hAnsi="Arial" w:cs="Arial"/>
          <w:noProof/>
          <w:sz w:val="20"/>
          <w:szCs w:val="20"/>
          <w:lang w:val="en-US"/>
        </w:rPr>
        <w:t>WATCH</w:t>
      </w:r>
      <w:r w:rsidR="00702C25" w:rsidRPr="00214987">
        <w:rPr>
          <w:rFonts w:ascii="Arial" w:hAnsi="Arial" w:cs="Arial"/>
          <w:noProof/>
          <w:sz w:val="20"/>
          <w:szCs w:val="20"/>
          <w:lang w:val="en-US"/>
        </w:rPr>
        <w:t xml:space="preserve"> enrolment </w:t>
      </w:r>
      <w:r w:rsidR="00474226" w:rsidRPr="00214987">
        <w:rPr>
          <w:rFonts w:ascii="Arial" w:hAnsi="Arial" w:cs="Arial"/>
          <w:noProof/>
          <w:sz w:val="20"/>
          <w:szCs w:val="20"/>
          <w:lang w:val="en-US"/>
        </w:rPr>
        <w:t xml:space="preserve">data </w:t>
      </w:r>
      <w:r w:rsidR="00702C25" w:rsidRPr="00214987">
        <w:rPr>
          <w:rFonts w:ascii="Arial" w:hAnsi="Arial" w:cs="Arial"/>
          <w:noProof/>
          <w:sz w:val="20"/>
          <w:szCs w:val="20"/>
          <w:lang w:val="en-US"/>
        </w:rPr>
        <w:t xml:space="preserve">for </w:t>
      </w:r>
      <w:r w:rsidR="000A4E77" w:rsidRPr="00214987">
        <w:rPr>
          <w:rFonts w:ascii="Arial" w:hAnsi="Arial" w:cs="Arial"/>
          <w:noProof/>
          <w:sz w:val="20"/>
          <w:szCs w:val="20"/>
          <w:lang w:val="en-US"/>
        </w:rPr>
        <w:t>the SNB group</w:t>
      </w:r>
      <w:r w:rsidR="00BC2A93" w:rsidRPr="00214987">
        <w:rPr>
          <w:rFonts w:ascii="Arial" w:hAnsi="Arial" w:cs="Arial"/>
          <w:noProof/>
          <w:sz w:val="20"/>
          <w:szCs w:val="20"/>
          <w:lang w:val="en-US"/>
        </w:rPr>
        <w:t>.</w:t>
      </w:r>
      <w:r w:rsidR="00F856AD" w:rsidRPr="00214987">
        <w:rPr>
          <w:rFonts w:ascii="Arial" w:hAnsi="Arial" w:cs="Arial"/>
          <w:noProof/>
          <w:sz w:val="20"/>
          <w:szCs w:val="20"/>
          <w:lang w:val="en-US"/>
        </w:rPr>
        <w:t xml:space="preserve"> </w:t>
      </w:r>
      <w:r w:rsidR="005141F1" w:rsidRPr="00214987">
        <w:rPr>
          <w:rFonts w:ascii="Arial" w:hAnsi="Arial" w:cs="Arial"/>
          <w:noProof/>
          <w:sz w:val="20"/>
          <w:szCs w:val="20"/>
          <w:lang w:val="en-US"/>
        </w:rPr>
        <w:t>Additionally,</w:t>
      </w:r>
      <w:r w:rsidR="005141F1" w:rsidRPr="00214987">
        <w:rPr>
          <w:rStyle w:val="CommentReference"/>
          <w:rFonts w:ascii="Arial" w:eastAsiaTheme="minorHAnsi" w:hAnsi="Arial" w:cs="Arial"/>
          <w:noProof/>
          <w:lang w:val="en-US" w:eastAsia="en-US"/>
        </w:rPr>
        <w:t xml:space="preserve"> </w:t>
      </w:r>
      <w:r w:rsidR="002641EE" w:rsidRPr="00214987">
        <w:rPr>
          <w:rFonts w:ascii="Arial" w:hAnsi="Arial" w:cs="Arial"/>
          <w:noProof/>
          <w:sz w:val="20"/>
          <w:szCs w:val="20"/>
          <w:lang w:val="en-US"/>
        </w:rPr>
        <w:t xml:space="preserve">biologic </w:t>
      </w:r>
      <w:r w:rsidR="005141F1" w:rsidRPr="00214987">
        <w:rPr>
          <w:rFonts w:ascii="Arial" w:hAnsi="Arial" w:cs="Arial"/>
          <w:noProof/>
          <w:sz w:val="20"/>
          <w:szCs w:val="20"/>
          <w:lang w:val="en-US"/>
        </w:rPr>
        <w:t>treated groups</w:t>
      </w:r>
      <w:r w:rsidR="00D357A9" w:rsidRPr="00214987">
        <w:rPr>
          <w:rFonts w:ascii="Arial" w:hAnsi="Arial" w:cs="Arial"/>
          <w:noProof/>
          <w:sz w:val="20"/>
          <w:szCs w:val="20"/>
          <w:lang w:val="en-US"/>
        </w:rPr>
        <w:t xml:space="preserve"> were mapped</w:t>
      </w:r>
      <w:r w:rsidR="005141F1" w:rsidRPr="00214987">
        <w:rPr>
          <w:rFonts w:ascii="Arial" w:hAnsi="Arial" w:cs="Arial"/>
          <w:noProof/>
          <w:sz w:val="20"/>
          <w:szCs w:val="20"/>
          <w:lang w:val="en-US"/>
        </w:rPr>
        <w:t xml:space="preserve"> onto </w:t>
      </w:r>
      <w:r w:rsidR="005E613B" w:rsidRPr="00214987">
        <w:rPr>
          <w:rFonts w:ascii="Arial" w:hAnsi="Arial" w:cs="Arial"/>
          <w:noProof/>
          <w:sz w:val="20"/>
          <w:szCs w:val="20"/>
          <w:lang w:val="en-US"/>
        </w:rPr>
        <w:t xml:space="preserve">four </w:t>
      </w:r>
      <w:r w:rsidR="00FD17A0" w:rsidRPr="00214987">
        <w:rPr>
          <w:rFonts w:ascii="Arial" w:hAnsi="Arial" w:cs="Arial"/>
          <w:noProof/>
          <w:sz w:val="20"/>
          <w:szCs w:val="20"/>
          <w:lang w:val="en-US"/>
        </w:rPr>
        <w:t>age-of-onset</w:t>
      </w:r>
      <w:r w:rsidR="00A76D73" w:rsidRPr="00214987">
        <w:rPr>
          <w:rFonts w:ascii="Arial" w:hAnsi="Arial" w:cs="Arial"/>
          <w:noProof/>
          <w:sz w:val="20"/>
          <w:szCs w:val="20"/>
          <w:lang w:val="en-US"/>
        </w:rPr>
        <w:t>/sex</w:t>
      </w:r>
      <w:r w:rsidR="005141F1" w:rsidRPr="00214987">
        <w:rPr>
          <w:rFonts w:ascii="Arial" w:hAnsi="Arial" w:cs="Arial"/>
          <w:noProof/>
          <w:sz w:val="20"/>
          <w:szCs w:val="20"/>
          <w:lang w:val="en-US"/>
        </w:rPr>
        <w:t xml:space="preserve"> clinical </w:t>
      </w:r>
      <w:r w:rsidR="008B35E5" w:rsidRPr="00214987">
        <w:rPr>
          <w:rFonts w:ascii="Arial" w:hAnsi="Arial" w:cs="Arial"/>
          <w:noProof/>
          <w:sz w:val="20"/>
          <w:szCs w:val="20"/>
          <w:lang w:val="en-US"/>
        </w:rPr>
        <w:t>clusters</w:t>
      </w:r>
      <w:r w:rsidR="00156F48" w:rsidRPr="00214987">
        <w:rPr>
          <w:rFonts w:ascii="Arial" w:hAnsi="Arial" w:cs="Arial"/>
          <w:noProof/>
          <w:sz w:val="20"/>
          <w:szCs w:val="20"/>
          <w:lang w:val="en-US"/>
        </w:rPr>
        <w:t xml:space="preserve"> </w:t>
      </w:r>
      <w:r w:rsidR="007C185F">
        <w:rPr>
          <w:rFonts w:ascii="Arial" w:hAnsi="Arial" w:cs="Arial"/>
          <w:noProof/>
          <w:sz w:val="20"/>
          <w:szCs w:val="20"/>
          <w:lang w:val="en-US"/>
        </w:rPr>
        <w:t>(</w:t>
      </w:r>
      <w:r w:rsidR="00814FE2" w:rsidRPr="00214987">
        <w:rPr>
          <w:rFonts w:ascii="Arial" w:hAnsi="Arial" w:cs="Arial"/>
          <w:noProof/>
          <w:sz w:val="20"/>
          <w:szCs w:val="20"/>
          <w:lang w:val="en-US"/>
        </w:rPr>
        <w:t xml:space="preserve">male/early-onset </w:t>
      </w:r>
      <w:r w:rsidR="007C185F">
        <w:rPr>
          <w:rFonts w:ascii="Arial" w:hAnsi="Arial" w:cs="Arial"/>
          <w:noProof/>
          <w:sz w:val="20"/>
          <w:szCs w:val="20"/>
          <w:lang w:val="en-US"/>
        </w:rPr>
        <w:t>[</w:t>
      </w:r>
      <w:r w:rsidR="00814FE2" w:rsidRPr="00214987">
        <w:rPr>
          <w:rFonts w:ascii="Arial" w:hAnsi="Arial" w:cs="Arial"/>
          <w:noProof/>
          <w:sz w:val="20"/>
          <w:szCs w:val="20"/>
          <w:lang w:val="en-US"/>
        </w:rPr>
        <w:t>&lt;18 years</w:t>
      </w:r>
      <w:r w:rsidR="007C185F">
        <w:rPr>
          <w:rFonts w:ascii="Arial" w:hAnsi="Arial" w:cs="Arial"/>
          <w:noProof/>
          <w:sz w:val="20"/>
          <w:szCs w:val="20"/>
          <w:lang w:val="en-US"/>
        </w:rPr>
        <w:t>]</w:t>
      </w:r>
      <w:r w:rsidR="00814FE2" w:rsidRPr="00214987">
        <w:rPr>
          <w:rFonts w:ascii="Arial" w:hAnsi="Arial" w:cs="Arial"/>
          <w:noProof/>
          <w:sz w:val="20"/>
          <w:szCs w:val="20"/>
          <w:lang w:val="en-US"/>
        </w:rPr>
        <w:t>, female/early-onset, male/</w:t>
      </w:r>
      <w:r w:rsidR="006B388C" w:rsidRPr="00214987">
        <w:rPr>
          <w:rFonts w:ascii="Arial" w:hAnsi="Arial" w:cs="Arial"/>
          <w:noProof/>
          <w:sz w:val="20"/>
          <w:szCs w:val="20"/>
          <w:lang w:val="en-US"/>
        </w:rPr>
        <w:t>adult</w:t>
      </w:r>
      <w:r w:rsidR="00814FE2" w:rsidRPr="00214987">
        <w:rPr>
          <w:rFonts w:ascii="Arial" w:hAnsi="Arial" w:cs="Arial"/>
          <w:noProof/>
          <w:sz w:val="20"/>
          <w:szCs w:val="20"/>
          <w:lang w:val="en-US"/>
        </w:rPr>
        <w:t xml:space="preserve">-onset </w:t>
      </w:r>
      <w:r w:rsidR="007C185F">
        <w:rPr>
          <w:rFonts w:ascii="Arial" w:hAnsi="Arial" w:cs="Arial"/>
          <w:noProof/>
          <w:sz w:val="20"/>
          <w:szCs w:val="20"/>
          <w:lang w:val="en-US"/>
        </w:rPr>
        <w:t>[</w:t>
      </w:r>
      <w:r w:rsidR="008D30B1" w:rsidRPr="00214987">
        <w:rPr>
          <w:rFonts w:ascii="Arial" w:hAnsi="Arial" w:cs="Arial"/>
          <w:noProof/>
          <w:sz w:val="20"/>
          <w:szCs w:val="20"/>
          <w:lang w:val="en-US"/>
        </w:rPr>
        <w:t>≥</w:t>
      </w:r>
      <w:r w:rsidR="00814FE2" w:rsidRPr="00214987">
        <w:rPr>
          <w:rFonts w:ascii="Arial" w:hAnsi="Arial" w:cs="Arial"/>
          <w:noProof/>
          <w:sz w:val="20"/>
          <w:szCs w:val="20"/>
          <w:lang w:val="en-US"/>
        </w:rPr>
        <w:t>18 years</w:t>
      </w:r>
      <w:r w:rsidR="007C185F">
        <w:rPr>
          <w:rFonts w:ascii="Arial" w:hAnsi="Arial" w:cs="Arial"/>
          <w:noProof/>
          <w:sz w:val="20"/>
          <w:szCs w:val="20"/>
          <w:lang w:val="en-US"/>
        </w:rPr>
        <w:t>]</w:t>
      </w:r>
      <w:r w:rsidR="00814FE2" w:rsidRPr="00214987">
        <w:rPr>
          <w:rFonts w:ascii="Arial" w:hAnsi="Arial" w:cs="Arial"/>
          <w:noProof/>
          <w:sz w:val="20"/>
          <w:szCs w:val="20"/>
          <w:lang w:val="en-US"/>
        </w:rPr>
        <w:t>, female/</w:t>
      </w:r>
      <w:r w:rsidR="006B388C" w:rsidRPr="00214987">
        <w:rPr>
          <w:rFonts w:ascii="Arial" w:hAnsi="Arial" w:cs="Arial"/>
          <w:noProof/>
          <w:sz w:val="20"/>
          <w:szCs w:val="20"/>
          <w:lang w:val="en-US"/>
        </w:rPr>
        <w:t>adult</w:t>
      </w:r>
      <w:r w:rsidR="00814FE2" w:rsidRPr="00214987">
        <w:rPr>
          <w:rFonts w:ascii="Arial" w:hAnsi="Arial" w:cs="Arial"/>
          <w:noProof/>
          <w:sz w:val="20"/>
          <w:szCs w:val="20"/>
          <w:lang w:val="en-US"/>
        </w:rPr>
        <w:t>-onset</w:t>
      </w:r>
      <w:r w:rsidR="007C185F">
        <w:rPr>
          <w:rFonts w:ascii="Arial" w:hAnsi="Arial" w:cs="Arial"/>
          <w:noProof/>
          <w:sz w:val="20"/>
          <w:szCs w:val="20"/>
          <w:lang w:val="en-US"/>
        </w:rPr>
        <w:t>)</w:t>
      </w:r>
      <w:r w:rsidR="001A053E" w:rsidRPr="00214987">
        <w:rPr>
          <w:rFonts w:ascii="Arial" w:hAnsi="Arial" w:cs="Arial"/>
          <w:noProof/>
          <w:sz w:val="20"/>
          <w:szCs w:val="20"/>
          <w:lang w:val="en-US"/>
        </w:rPr>
        <w:t xml:space="preserve"> that we recently described</w:t>
      </w:r>
      <w:r w:rsidR="001A053E" w:rsidRPr="00214987">
        <w:rPr>
          <w:rFonts w:ascii="Arial" w:hAnsi="Arial" w:cs="Arial"/>
          <w:noProof/>
          <w:sz w:val="20"/>
          <w:szCs w:val="20"/>
          <w:lang w:val="en-US"/>
        </w:rPr>
        <w:fldChar w:fldCharType="begin" w:fldLock="1"/>
      </w:r>
      <w:r w:rsidR="00717B40">
        <w:rPr>
          <w:rFonts w:ascii="Arial" w:hAnsi="Arial" w:cs="Arial"/>
          <w:noProof/>
          <w:sz w:val="20"/>
          <w:szCs w:val="20"/>
          <w:lang w:val="en-US"/>
        </w:rPr>
        <w:instrText>ADDIN CSL_CITATION {"citationItems":[{"id":"ITEM-1","itemData":{"DOI":"10.1016/j.jaip.2020.05.053","ISSN":"22132198","PMID":"32544545","abstract":"Background: Asthma is a diverse condition that differs with age and sex. However, it remains unclear how sex, age of asthma onset, and/or their interaction influence clinical expression of more problematic adult “difficult” asthma. Objectives: To better understand the clinical features of difficult asthma within a real-world clinical setting using novel phenotypic classification, stratifying subjects by sex and age of asthma onset. Methods: Participants in a longitudinal difficult asthma clinical cohort study (Wessex AsThma CoHort of difficult asthma; WATCH), United Kingdom (n = 501), were stratified into 4 difficult asthma phenotypes based on sex and age of asthma onset (early &lt;18 years or adult ≥18 years) and characterized in relation to clinical and pathophysiological features. Results: The cohort had more female participants (65%) but had similar proportions of participants with early- or adult-onset disease. Early-onset female disease was commonest (35%), highly atopic, with good spirometry and strong associations with some physical comorbidities but highest psychophysiologic comorbidities. Adult-onset females also had considerable psychophysiologic comorbidities and highest obesity, and were least atopic. Amongst male subjects, proportionately more had adult-onset disease. Early-onset male disease was rarest (14%) but associated with worst lung function, high smoking, atopy, and fungal sensitization. Despite shortest disease duration, adult-onset males had highest use of maintenance oral corticosteroid, poor lung function, and highest fractional exhaled nitrogen oxide in spite of highest smoking prevalence. Conclusions: This study shows that sex, age of asthma onset, and their interactions influence different clinical manifestations of difficult asthma and identifies a greater risk for lung function loss and oral corticosteroid dependence associated with smoking in adult-onset male subjects.","author":[{"dropping-particle":"","family":"Azim","given":"Adnan","non-dropping-particle":"","parse-names":false,"suffix":""},{"dropping-particle":"","family":"Freeman","given":"Anna","non-dropping-particle":"","parse-names":false,"suffix":""},{"dropping-particle":"","family":"Lavenu","given":"Audrey","non-dropping-particle":"","parse-names":false,"suffix":""},{"dropping-particle":"","family":"Mistry","given":"Heena","non-dropping-particle":"","parse-names":false,"suffix":""},{"dropping-particle":"","family":"Haitchi","given":"Hans Michael","non-dropping-particle":"","parse-names":false,"suffix":""},{"dropping-particle":"","family":"Newell","given":"Colin","non-dropping-particle":"","parse-names":false,"suffix":""},{"dropping-particle":"","family":"Cheng","given":"Yueqing","non-dropping-particle":"","parse-names":false,"suffix":""},{"dropping-particle":"","family":"Thirlwall","given":"Yvette","non-dropping-particle":"","parse-names":false,"suffix":""},{"dropping-particle":"","family":"Harvey","given":"Matthew","non-dropping-particle":"","parse-names":false,"suffix":""},{"dropping-particle":"","family":"Barber","given":"Clair","non-dropping-particle":"","parse-names":false,"suffix":""},{"dropping-particle":"","family":"Pontoppidan","given":"Katarina","non-dropping-particle":"","parse-names":false,"suffix":""},{"dropping-particle":"","family":"Dennison","given":"Paddy","non-dropping-particle":"","parse-names":false,"suffix":""},{"dropping-particle":"","family":"Arshad","given":"S. Hasan","non-dropping-particle":"","parse-names":false,"suffix":""},{"dropping-particle":"","family":"Djukanovic","given":"Ratko","non-dropping-particle":"","parse-names":false,"suffix":""},{"dropping-particle":"","family":"Howarth","given":"Peter","non-dropping-particle":"","parse-names":false,"suffix":""},{"dropping-particle":"","family":"Kurukulaaratchy","given":"Ramesh J.","non-dropping-particle":"","parse-names":false,"suffix":""}],"container-title":"Journal of Allergy and Clinical Immunology: In Practice","id":"ITEM-1","issued":{"date-parts":[["2020","11","1"]]},"publisher":"American Academy of Allergy, Asthma and Immunology","title":"New Perspectives on Difficult Asthma; Sex and Age of Asthma-Onset Based Phenotypes","type":"article-journal"},"uris":["http://www.mendeley.com/documents/?uuid=69d488f5-8733-3b3a-aa5c-cca896b0e6d3"]}],"mendeley":{"formattedCitation":"&lt;sup&gt;18&lt;/sup&gt;","plainTextFormattedCitation":"18","previouslyFormattedCitation":"&lt;sup&gt;15&lt;/sup&gt;"},"properties":{"noteIndex":0},"schema":"https://github.com/citation-style-language/schema/raw/master/csl-citation.json"}</w:instrText>
      </w:r>
      <w:r w:rsidR="001A053E" w:rsidRPr="00214987">
        <w:rPr>
          <w:rFonts w:ascii="Arial" w:hAnsi="Arial" w:cs="Arial"/>
          <w:noProof/>
          <w:sz w:val="20"/>
          <w:szCs w:val="20"/>
          <w:lang w:val="en-US"/>
        </w:rPr>
        <w:fldChar w:fldCharType="separate"/>
      </w:r>
      <w:r w:rsidR="00717B40" w:rsidRPr="00717B40">
        <w:rPr>
          <w:rFonts w:ascii="Arial" w:hAnsi="Arial" w:cs="Arial"/>
          <w:noProof/>
          <w:sz w:val="20"/>
          <w:szCs w:val="20"/>
          <w:vertAlign w:val="superscript"/>
          <w:lang w:val="en-US"/>
        </w:rPr>
        <w:t>18</w:t>
      </w:r>
      <w:r w:rsidR="001A053E" w:rsidRPr="00214987">
        <w:rPr>
          <w:rFonts w:ascii="Arial" w:hAnsi="Arial" w:cs="Arial"/>
          <w:noProof/>
          <w:sz w:val="20"/>
          <w:szCs w:val="20"/>
          <w:lang w:val="en-US"/>
        </w:rPr>
        <w:fldChar w:fldCharType="end"/>
      </w:r>
      <w:r w:rsidR="00D357A9" w:rsidRPr="00214987">
        <w:rPr>
          <w:rFonts w:ascii="Arial" w:hAnsi="Arial" w:cs="Arial"/>
          <w:noProof/>
          <w:sz w:val="20"/>
          <w:szCs w:val="20"/>
          <w:lang w:val="en-US"/>
        </w:rPr>
        <w:t xml:space="preserve">, </w:t>
      </w:r>
      <w:r w:rsidR="00DB2E56" w:rsidRPr="00214987">
        <w:rPr>
          <w:rFonts w:ascii="Arial" w:hAnsi="Arial" w:cs="Arial"/>
          <w:noProof/>
          <w:sz w:val="20"/>
          <w:szCs w:val="20"/>
          <w:lang w:val="en-US"/>
        </w:rPr>
        <w:t>for</w:t>
      </w:r>
      <w:r w:rsidR="00D357A9" w:rsidRPr="00214987">
        <w:rPr>
          <w:rFonts w:ascii="Arial" w:hAnsi="Arial" w:cs="Arial"/>
          <w:noProof/>
          <w:sz w:val="20"/>
          <w:szCs w:val="20"/>
          <w:lang w:val="en-US"/>
        </w:rPr>
        <w:t xml:space="preserve"> further </w:t>
      </w:r>
      <w:r w:rsidR="00DB2E56" w:rsidRPr="00214987">
        <w:rPr>
          <w:rFonts w:ascii="Arial" w:hAnsi="Arial" w:cs="Arial"/>
          <w:noProof/>
          <w:sz w:val="20"/>
          <w:szCs w:val="20"/>
          <w:lang w:val="en-US"/>
        </w:rPr>
        <w:t>phenotyping</w:t>
      </w:r>
      <w:r w:rsidR="001A053E" w:rsidRPr="00214987">
        <w:rPr>
          <w:rFonts w:ascii="Arial" w:hAnsi="Arial" w:cs="Arial"/>
          <w:noProof/>
          <w:sz w:val="20"/>
          <w:szCs w:val="20"/>
          <w:lang w:val="en-US"/>
        </w:rPr>
        <w:t xml:space="preserve">. </w:t>
      </w:r>
    </w:p>
    <w:p w14:paraId="752DFEA6" w14:textId="46AD6ACC" w:rsidR="00CA2E1A" w:rsidRDefault="00A43ABA" w:rsidP="004C3E62">
      <w:pPr>
        <w:pStyle w:val="NormalWeb"/>
        <w:spacing w:before="280" w:after="280" w:line="480" w:lineRule="auto"/>
        <w:rPr>
          <w:rFonts w:ascii="Arial" w:hAnsi="Arial" w:cs="Arial"/>
          <w:noProof/>
          <w:sz w:val="20"/>
          <w:szCs w:val="20"/>
          <w:lang w:val="en-US"/>
        </w:rPr>
      </w:pPr>
      <w:r w:rsidRPr="00C37360">
        <w:rPr>
          <w:rFonts w:ascii="Arial" w:hAnsi="Arial" w:cs="Arial"/>
          <w:noProof/>
          <w:sz w:val="20"/>
          <w:szCs w:val="20"/>
          <w:lang w:val="en-US"/>
        </w:rPr>
        <w:t>Statistical analysis was performed with SPSS 26 (</w:t>
      </w:r>
      <w:r w:rsidR="00D7504D" w:rsidRPr="00C37360">
        <w:rPr>
          <w:rFonts w:ascii="Arial" w:hAnsi="Arial" w:cs="Arial"/>
          <w:noProof/>
          <w:sz w:val="20"/>
          <w:szCs w:val="20"/>
          <w:lang w:val="en-US"/>
        </w:rPr>
        <w:t xml:space="preserve">IBM Corp, </w:t>
      </w:r>
      <w:r w:rsidRPr="00C37360">
        <w:rPr>
          <w:rFonts w:ascii="Arial" w:hAnsi="Arial" w:cs="Arial"/>
          <w:noProof/>
          <w:sz w:val="20"/>
          <w:szCs w:val="20"/>
          <w:lang w:val="en-US"/>
        </w:rPr>
        <w:t>NY, USA</w:t>
      </w:r>
      <w:r w:rsidR="00817A8D" w:rsidRPr="00C37360">
        <w:rPr>
          <w:rFonts w:ascii="Arial" w:hAnsi="Arial" w:cs="Arial"/>
          <w:noProof/>
          <w:sz w:val="20"/>
          <w:szCs w:val="20"/>
          <w:lang w:val="en-US"/>
        </w:rPr>
        <w:t>),</w:t>
      </w:r>
      <w:r w:rsidRPr="00C37360">
        <w:rPr>
          <w:rFonts w:ascii="Arial" w:hAnsi="Arial" w:cs="Arial"/>
          <w:noProof/>
          <w:sz w:val="20"/>
          <w:szCs w:val="20"/>
          <w:lang w:val="en-US"/>
        </w:rPr>
        <w:t xml:space="preserve"> GraphPad Prism </w:t>
      </w:r>
      <w:r w:rsidR="00F25B1C" w:rsidRPr="00C37360">
        <w:rPr>
          <w:rFonts w:ascii="Arial" w:hAnsi="Arial" w:cs="Arial"/>
          <w:noProof/>
          <w:sz w:val="20"/>
          <w:szCs w:val="20"/>
          <w:lang w:val="en-US"/>
        </w:rPr>
        <w:t>9</w:t>
      </w:r>
      <w:r w:rsidRPr="00C37360">
        <w:rPr>
          <w:rFonts w:ascii="Arial" w:hAnsi="Arial" w:cs="Arial"/>
          <w:noProof/>
          <w:sz w:val="20"/>
          <w:szCs w:val="20"/>
          <w:lang w:val="en-US"/>
        </w:rPr>
        <w:t xml:space="preserve"> (</w:t>
      </w:r>
      <w:r w:rsidR="006D5127" w:rsidRPr="00C37360">
        <w:rPr>
          <w:rFonts w:ascii="Arial" w:hAnsi="Arial" w:cs="Arial"/>
          <w:noProof/>
          <w:sz w:val="20"/>
          <w:szCs w:val="20"/>
          <w:lang w:val="en-US"/>
        </w:rPr>
        <w:t>GraphPad</w:t>
      </w:r>
      <w:r w:rsidR="00D7504D" w:rsidRPr="00C37360">
        <w:rPr>
          <w:rFonts w:ascii="Arial" w:hAnsi="Arial" w:cs="Arial"/>
          <w:noProof/>
          <w:sz w:val="20"/>
          <w:szCs w:val="20"/>
          <w:lang w:val="en-US"/>
        </w:rPr>
        <w:t xml:space="preserve"> Sof</w:t>
      </w:r>
      <w:r w:rsidR="009223B1" w:rsidRPr="00C37360">
        <w:rPr>
          <w:rFonts w:ascii="Arial" w:hAnsi="Arial" w:cs="Arial"/>
          <w:noProof/>
          <w:sz w:val="20"/>
          <w:szCs w:val="20"/>
          <w:lang w:val="en-US"/>
        </w:rPr>
        <w:t>t</w:t>
      </w:r>
      <w:r w:rsidR="00D7504D" w:rsidRPr="00C37360">
        <w:rPr>
          <w:rFonts w:ascii="Arial" w:hAnsi="Arial" w:cs="Arial"/>
          <w:noProof/>
          <w:sz w:val="20"/>
          <w:szCs w:val="20"/>
          <w:lang w:val="en-US"/>
        </w:rPr>
        <w:t xml:space="preserve">ware, </w:t>
      </w:r>
      <w:r w:rsidRPr="00C37360">
        <w:rPr>
          <w:rFonts w:ascii="Arial" w:hAnsi="Arial" w:cs="Arial"/>
          <w:noProof/>
          <w:sz w:val="20"/>
          <w:szCs w:val="20"/>
          <w:lang w:val="en-US"/>
        </w:rPr>
        <w:t>California, USA) and R</w:t>
      </w:r>
      <w:r w:rsidR="00560679" w:rsidRPr="00C37360">
        <w:rPr>
          <w:rFonts w:ascii="Arial" w:hAnsi="Arial" w:cs="Arial"/>
          <w:noProof/>
          <w:sz w:val="20"/>
          <w:szCs w:val="20"/>
          <w:lang w:val="en-US"/>
        </w:rPr>
        <w:t xml:space="preserve"> (</w:t>
      </w:r>
      <w:r w:rsidR="00D877C1" w:rsidRPr="00C37360">
        <w:rPr>
          <w:rFonts w:ascii="Arial" w:hAnsi="Arial" w:cs="Arial"/>
          <w:noProof/>
          <w:sz w:val="20"/>
          <w:szCs w:val="20"/>
          <w:lang w:val="en-US"/>
        </w:rPr>
        <w:t>R Foundation, Vienna, Austria)</w:t>
      </w:r>
      <w:r w:rsidRPr="00C37360">
        <w:rPr>
          <w:rFonts w:ascii="Arial" w:hAnsi="Arial" w:cs="Arial"/>
          <w:noProof/>
          <w:sz w:val="20"/>
          <w:szCs w:val="20"/>
          <w:lang w:val="en-US"/>
        </w:rPr>
        <w:t xml:space="preserve">. Continuous variables were presented </w:t>
      </w:r>
      <w:r w:rsidR="00EA7B76" w:rsidRPr="00C37360">
        <w:rPr>
          <w:rFonts w:ascii="Arial" w:hAnsi="Arial" w:cs="Arial"/>
          <w:noProof/>
          <w:sz w:val="20"/>
          <w:szCs w:val="20"/>
          <w:lang w:val="en-US"/>
        </w:rPr>
        <w:t xml:space="preserve">as </w:t>
      </w:r>
      <w:r w:rsidRPr="00C37360">
        <w:rPr>
          <w:rFonts w:ascii="Arial" w:hAnsi="Arial" w:cs="Arial"/>
          <w:noProof/>
          <w:sz w:val="20"/>
          <w:szCs w:val="20"/>
          <w:lang w:val="en-US"/>
        </w:rPr>
        <w:t xml:space="preserve">Mean (Standard deviation[SD]) or </w:t>
      </w:r>
      <w:r w:rsidR="005F673F" w:rsidRPr="00C37360">
        <w:rPr>
          <w:rFonts w:ascii="Arial" w:hAnsi="Arial" w:cs="Arial"/>
          <w:noProof/>
          <w:sz w:val="20"/>
          <w:szCs w:val="20"/>
          <w:lang w:val="en-US"/>
        </w:rPr>
        <w:t>Median (</w:t>
      </w:r>
      <w:r w:rsidR="00F25B1C" w:rsidRPr="00C37360">
        <w:rPr>
          <w:rFonts w:ascii="Arial" w:hAnsi="Arial" w:cs="Arial"/>
          <w:noProof/>
          <w:sz w:val="20"/>
          <w:szCs w:val="20"/>
          <w:lang w:val="en-US"/>
        </w:rPr>
        <w:t>I</w:t>
      </w:r>
      <w:r w:rsidRPr="00C37360">
        <w:rPr>
          <w:rFonts w:ascii="Arial" w:hAnsi="Arial" w:cs="Arial"/>
          <w:noProof/>
          <w:sz w:val="20"/>
          <w:szCs w:val="20"/>
          <w:lang w:val="en-US"/>
        </w:rPr>
        <w:t xml:space="preserve">nterquartile range[IQR]). </w:t>
      </w:r>
      <w:r w:rsidR="007642C5" w:rsidRPr="00C37360">
        <w:rPr>
          <w:rFonts w:ascii="Arial" w:hAnsi="Arial" w:cs="Arial"/>
          <w:noProof/>
          <w:sz w:val="20"/>
          <w:szCs w:val="20"/>
          <w:lang w:val="en-US"/>
        </w:rPr>
        <w:t xml:space="preserve">Categorical data </w:t>
      </w:r>
      <w:r w:rsidR="00013BBB" w:rsidRPr="00C37360">
        <w:rPr>
          <w:rFonts w:ascii="Arial" w:hAnsi="Arial" w:cs="Arial"/>
          <w:noProof/>
          <w:sz w:val="20"/>
          <w:szCs w:val="20"/>
          <w:lang w:val="en-US"/>
        </w:rPr>
        <w:t xml:space="preserve">were </w:t>
      </w:r>
      <w:r w:rsidR="007642C5" w:rsidRPr="00C37360">
        <w:rPr>
          <w:rFonts w:ascii="Arial" w:hAnsi="Arial" w:cs="Arial"/>
          <w:noProof/>
          <w:sz w:val="20"/>
          <w:szCs w:val="20"/>
          <w:lang w:val="en-US"/>
        </w:rPr>
        <w:t xml:space="preserve">presented </w:t>
      </w:r>
      <w:r w:rsidR="001F7447" w:rsidRPr="00C37360">
        <w:rPr>
          <w:rFonts w:ascii="Arial" w:hAnsi="Arial" w:cs="Arial"/>
          <w:noProof/>
          <w:sz w:val="20"/>
          <w:szCs w:val="20"/>
          <w:lang w:val="en-US"/>
        </w:rPr>
        <w:t>as</w:t>
      </w:r>
      <w:r w:rsidR="007642C5" w:rsidRPr="00C37360">
        <w:rPr>
          <w:rFonts w:ascii="Arial" w:hAnsi="Arial" w:cs="Arial"/>
          <w:noProof/>
          <w:sz w:val="20"/>
          <w:szCs w:val="20"/>
          <w:lang w:val="en-US"/>
        </w:rPr>
        <w:t xml:space="preserve"> percentage(frequency). </w:t>
      </w:r>
      <w:r w:rsidR="00AF2290">
        <w:rPr>
          <w:rFonts w:ascii="Arial" w:hAnsi="Arial" w:cs="Arial"/>
          <w:noProof/>
          <w:sz w:val="20"/>
          <w:szCs w:val="20"/>
          <w:lang w:val="en-US"/>
        </w:rPr>
        <w:t xml:space="preserve">Baseline characteristics </w:t>
      </w:r>
      <w:r w:rsidR="00AA3084">
        <w:rPr>
          <w:rFonts w:ascii="Arial" w:hAnsi="Arial" w:cs="Arial"/>
          <w:noProof/>
          <w:sz w:val="20"/>
          <w:szCs w:val="20"/>
          <w:lang w:val="en-US"/>
        </w:rPr>
        <w:t xml:space="preserve">were compared with </w:t>
      </w:r>
      <w:r w:rsidR="00AA3084" w:rsidRPr="00C37360">
        <w:rPr>
          <w:rFonts w:ascii="Arial" w:hAnsi="Arial" w:cs="Arial"/>
          <w:noProof/>
          <w:sz w:val="20"/>
          <w:szCs w:val="20"/>
          <w:lang w:val="en-US"/>
        </w:rPr>
        <w:t>unpaired t-tests, Mann-Whitney U test</w:t>
      </w:r>
      <w:r w:rsidR="00AA3084">
        <w:rPr>
          <w:rFonts w:ascii="Arial" w:hAnsi="Arial" w:cs="Arial"/>
          <w:noProof/>
          <w:sz w:val="20"/>
          <w:szCs w:val="20"/>
          <w:lang w:val="en-US"/>
        </w:rPr>
        <w:t xml:space="preserve">s, </w:t>
      </w:r>
      <w:r w:rsidR="00AA3084" w:rsidRPr="00C37360">
        <w:rPr>
          <w:rFonts w:ascii="Arial" w:hAnsi="Arial" w:cs="Arial"/>
          <w:noProof/>
          <w:sz w:val="20"/>
          <w:szCs w:val="20"/>
          <w:lang w:val="en-US"/>
        </w:rPr>
        <w:t>Chi-square test</w:t>
      </w:r>
      <w:r w:rsidR="00AA3084">
        <w:rPr>
          <w:rFonts w:ascii="Arial" w:hAnsi="Arial" w:cs="Arial"/>
          <w:noProof/>
          <w:sz w:val="20"/>
          <w:szCs w:val="20"/>
          <w:lang w:val="en-US"/>
        </w:rPr>
        <w:t>s and Fishers Exact tests as appropriate. Baseline data w</w:t>
      </w:r>
      <w:r w:rsidR="003D70F6">
        <w:rPr>
          <w:rFonts w:ascii="Arial" w:hAnsi="Arial" w:cs="Arial"/>
          <w:noProof/>
          <w:sz w:val="20"/>
          <w:szCs w:val="20"/>
          <w:lang w:val="en-US"/>
        </w:rPr>
        <w:t>ere</w:t>
      </w:r>
      <w:r w:rsidR="00AA3084">
        <w:rPr>
          <w:rFonts w:ascii="Arial" w:hAnsi="Arial" w:cs="Arial"/>
          <w:noProof/>
          <w:sz w:val="20"/>
          <w:szCs w:val="20"/>
          <w:lang w:val="en-US"/>
        </w:rPr>
        <w:t xml:space="preserve"> compared against end-of-trial data using </w:t>
      </w:r>
      <w:r w:rsidRPr="00C37360">
        <w:rPr>
          <w:rFonts w:ascii="Arial" w:hAnsi="Arial" w:cs="Arial"/>
          <w:noProof/>
          <w:sz w:val="20"/>
          <w:szCs w:val="20"/>
          <w:lang w:val="en-US"/>
        </w:rPr>
        <w:t xml:space="preserve">paired t-tests, </w:t>
      </w:r>
      <w:r w:rsidR="007642C5" w:rsidRPr="00C37360">
        <w:rPr>
          <w:rFonts w:ascii="Arial" w:hAnsi="Arial" w:cs="Arial"/>
          <w:noProof/>
          <w:sz w:val="20"/>
          <w:szCs w:val="20"/>
          <w:lang w:val="en-US"/>
        </w:rPr>
        <w:t>W</w:t>
      </w:r>
      <w:r w:rsidRPr="00C37360">
        <w:rPr>
          <w:rFonts w:ascii="Arial" w:hAnsi="Arial" w:cs="Arial"/>
          <w:noProof/>
          <w:sz w:val="20"/>
          <w:szCs w:val="20"/>
          <w:lang w:val="en-US"/>
        </w:rPr>
        <w:t>ilcoxon</w:t>
      </w:r>
      <w:r w:rsidR="00B77ADB" w:rsidRPr="00C37360">
        <w:rPr>
          <w:rFonts w:ascii="Arial" w:hAnsi="Arial" w:cs="Arial"/>
          <w:noProof/>
          <w:sz w:val="20"/>
          <w:szCs w:val="20"/>
          <w:lang w:val="en-US"/>
        </w:rPr>
        <w:t>-</w:t>
      </w:r>
      <w:r w:rsidRPr="00C37360">
        <w:rPr>
          <w:rFonts w:ascii="Arial" w:hAnsi="Arial" w:cs="Arial"/>
          <w:noProof/>
          <w:sz w:val="20"/>
          <w:szCs w:val="20"/>
          <w:lang w:val="en-US"/>
        </w:rPr>
        <w:t>Signed Rank test</w:t>
      </w:r>
      <w:r w:rsidR="007642C5" w:rsidRPr="00C37360">
        <w:rPr>
          <w:rFonts w:ascii="Arial" w:hAnsi="Arial" w:cs="Arial"/>
          <w:noProof/>
          <w:sz w:val="20"/>
          <w:szCs w:val="20"/>
          <w:lang w:val="en-US"/>
        </w:rPr>
        <w:t>,</w:t>
      </w:r>
      <w:r w:rsidRPr="00C37360">
        <w:rPr>
          <w:rFonts w:ascii="Arial" w:hAnsi="Arial" w:cs="Arial"/>
          <w:noProof/>
          <w:sz w:val="20"/>
          <w:szCs w:val="20"/>
          <w:lang w:val="en-US"/>
        </w:rPr>
        <w:t xml:space="preserve"> </w:t>
      </w:r>
      <w:r w:rsidR="00CF77CF">
        <w:rPr>
          <w:rFonts w:ascii="Arial" w:hAnsi="Arial" w:cs="Arial"/>
          <w:noProof/>
          <w:sz w:val="20"/>
          <w:szCs w:val="20"/>
          <w:lang w:val="en-US"/>
        </w:rPr>
        <w:t xml:space="preserve">and </w:t>
      </w:r>
      <w:r w:rsidR="00D52E50" w:rsidRPr="00C37360">
        <w:rPr>
          <w:rFonts w:ascii="Arial" w:hAnsi="Arial" w:cs="Arial"/>
          <w:noProof/>
          <w:sz w:val="20"/>
          <w:szCs w:val="20"/>
          <w:lang w:val="en-US"/>
        </w:rPr>
        <w:t xml:space="preserve">McNemar test </w:t>
      </w:r>
      <w:r w:rsidR="001F7447" w:rsidRPr="00C37360">
        <w:rPr>
          <w:rFonts w:ascii="Arial" w:hAnsi="Arial" w:cs="Arial"/>
          <w:noProof/>
          <w:sz w:val="20"/>
          <w:szCs w:val="20"/>
          <w:lang w:val="en-US"/>
        </w:rPr>
        <w:t>as</w:t>
      </w:r>
      <w:r w:rsidR="007642C5" w:rsidRPr="00C37360">
        <w:rPr>
          <w:rFonts w:ascii="Arial" w:hAnsi="Arial" w:cs="Arial"/>
          <w:noProof/>
          <w:sz w:val="20"/>
          <w:szCs w:val="20"/>
          <w:lang w:val="en-US"/>
        </w:rPr>
        <w:t xml:space="preserve"> appropriate</w:t>
      </w:r>
      <w:r w:rsidRPr="00C37360">
        <w:rPr>
          <w:rFonts w:ascii="Arial" w:hAnsi="Arial" w:cs="Arial"/>
          <w:noProof/>
          <w:sz w:val="20"/>
          <w:szCs w:val="20"/>
          <w:lang w:val="en-US"/>
        </w:rPr>
        <w:t xml:space="preserve">. Multiple logistic </w:t>
      </w:r>
      <w:r w:rsidRPr="00C37360">
        <w:rPr>
          <w:rFonts w:ascii="Arial" w:hAnsi="Arial" w:cs="Arial"/>
          <w:noProof/>
          <w:sz w:val="20"/>
          <w:szCs w:val="20"/>
          <w:lang w:val="en-US"/>
        </w:rPr>
        <w:lastRenderedPageBreak/>
        <w:t>regression</w:t>
      </w:r>
      <w:r w:rsidR="001A4976" w:rsidRPr="00C37360">
        <w:rPr>
          <w:rFonts w:ascii="Arial" w:hAnsi="Arial" w:cs="Arial"/>
          <w:noProof/>
          <w:sz w:val="20"/>
          <w:szCs w:val="20"/>
          <w:lang w:val="en-US"/>
        </w:rPr>
        <w:t xml:space="preserve"> (</w:t>
      </w:r>
      <w:r w:rsidR="005E459B" w:rsidRPr="00C37360">
        <w:rPr>
          <w:rFonts w:ascii="Arial" w:hAnsi="Arial" w:cs="Arial"/>
          <w:noProof/>
          <w:sz w:val="20"/>
          <w:szCs w:val="20"/>
          <w:lang w:val="en-US"/>
        </w:rPr>
        <w:t>backward variable selection</w:t>
      </w:r>
      <w:r w:rsidR="00FB7C65" w:rsidRPr="00C37360">
        <w:rPr>
          <w:rFonts w:ascii="Arial" w:hAnsi="Arial" w:cs="Arial"/>
          <w:noProof/>
          <w:sz w:val="20"/>
          <w:szCs w:val="20"/>
          <w:lang w:val="en-US"/>
        </w:rPr>
        <w:t>)</w:t>
      </w:r>
      <w:r w:rsidRPr="00C37360">
        <w:rPr>
          <w:rFonts w:ascii="Arial" w:hAnsi="Arial" w:cs="Arial"/>
          <w:noProof/>
          <w:sz w:val="20"/>
          <w:szCs w:val="20"/>
          <w:lang w:val="en-US"/>
        </w:rPr>
        <w:t xml:space="preserve"> was performed using variables trending towards significance (P&lt;0.2</w:t>
      </w:r>
      <w:r w:rsidR="00944BCA" w:rsidRPr="00C37360">
        <w:rPr>
          <w:rFonts w:ascii="Arial" w:hAnsi="Arial" w:cs="Arial"/>
          <w:noProof/>
          <w:sz w:val="20"/>
          <w:szCs w:val="20"/>
          <w:lang w:val="en-US"/>
        </w:rPr>
        <w:t>)</w:t>
      </w:r>
      <w:r w:rsidR="00035CEA">
        <w:rPr>
          <w:rFonts w:ascii="Arial" w:hAnsi="Arial" w:cs="Arial"/>
          <w:noProof/>
          <w:sz w:val="20"/>
          <w:szCs w:val="20"/>
          <w:lang w:val="en-US"/>
        </w:rPr>
        <w:t xml:space="preserve"> at univariate analyses</w:t>
      </w:r>
      <w:r w:rsidR="002646BB">
        <w:rPr>
          <w:rFonts w:ascii="Arial" w:hAnsi="Arial" w:cs="Arial"/>
          <w:noProof/>
          <w:sz w:val="20"/>
          <w:szCs w:val="20"/>
          <w:lang w:val="en-US"/>
        </w:rPr>
        <w:t xml:space="preserve">, </w:t>
      </w:r>
      <w:r w:rsidR="00CF77CF">
        <w:rPr>
          <w:rFonts w:ascii="Arial" w:hAnsi="Arial" w:cs="Arial"/>
          <w:noProof/>
          <w:sz w:val="20"/>
          <w:szCs w:val="20"/>
          <w:lang w:val="en-US"/>
        </w:rPr>
        <w:t>to determine variables independently associated with response and super-respo</w:t>
      </w:r>
      <w:r w:rsidR="00353F43">
        <w:rPr>
          <w:rFonts w:ascii="Arial" w:hAnsi="Arial" w:cs="Arial"/>
          <w:noProof/>
          <w:sz w:val="20"/>
          <w:szCs w:val="20"/>
          <w:lang w:val="en-US"/>
        </w:rPr>
        <w:t>ns</w:t>
      </w:r>
      <w:r w:rsidR="00CF77CF">
        <w:rPr>
          <w:rFonts w:ascii="Arial" w:hAnsi="Arial" w:cs="Arial"/>
          <w:noProof/>
          <w:sz w:val="20"/>
          <w:szCs w:val="20"/>
          <w:lang w:val="en-US"/>
        </w:rPr>
        <w:t xml:space="preserve">e to </w:t>
      </w:r>
      <w:r w:rsidR="00353F43">
        <w:rPr>
          <w:rFonts w:ascii="Arial" w:hAnsi="Arial" w:cs="Arial"/>
          <w:noProof/>
          <w:sz w:val="20"/>
          <w:szCs w:val="20"/>
          <w:lang w:val="en-US"/>
        </w:rPr>
        <w:t>the</w:t>
      </w:r>
      <w:r w:rsidR="00CF77CF">
        <w:rPr>
          <w:rFonts w:ascii="Arial" w:hAnsi="Arial" w:cs="Arial"/>
          <w:noProof/>
          <w:sz w:val="20"/>
          <w:szCs w:val="20"/>
          <w:lang w:val="en-US"/>
        </w:rPr>
        <w:t xml:space="preserve"> biologics</w:t>
      </w:r>
      <w:r w:rsidRPr="00C37360">
        <w:rPr>
          <w:rFonts w:ascii="Arial" w:hAnsi="Arial" w:cs="Arial"/>
          <w:noProof/>
          <w:sz w:val="20"/>
          <w:szCs w:val="20"/>
          <w:lang w:val="en-US"/>
        </w:rPr>
        <w:t xml:space="preserve">. </w:t>
      </w:r>
      <w:r w:rsidR="004E793F" w:rsidRPr="00C37360">
        <w:rPr>
          <w:rFonts w:ascii="Arial" w:hAnsi="Arial" w:cs="Arial"/>
          <w:noProof/>
          <w:sz w:val="20"/>
          <w:szCs w:val="20"/>
          <w:lang w:val="en-US"/>
        </w:rPr>
        <w:t xml:space="preserve">Statistical significance was set at </w:t>
      </w:r>
      <w:r w:rsidR="002B304A" w:rsidRPr="00C37360">
        <w:rPr>
          <w:rFonts w:ascii="Arial" w:hAnsi="Arial" w:cs="Arial"/>
          <w:noProof/>
          <w:sz w:val="20"/>
          <w:szCs w:val="20"/>
          <w:lang w:val="en-US"/>
        </w:rPr>
        <w:t>P-value</w:t>
      </w:r>
      <w:r w:rsidRPr="00C37360">
        <w:rPr>
          <w:rFonts w:ascii="Arial" w:hAnsi="Arial" w:cs="Arial"/>
          <w:noProof/>
          <w:sz w:val="20"/>
          <w:szCs w:val="20"/>
          <w:lang w:val="en-US"/>
        </w:rPr>
        <w:t xml:space="preserve"> </w:t>
      </w:r>
      <w:r w:rsidR="004E793F" w:rsidRPr="00C37360">
        <w:rPr>
          <w:rFonts w:ascii="Arial" w:hAnsi="Arial" w:cs="Arial"/>
          <w:noProof/>
          <w:sz w:val="20"/>
          <w:szCs w:val="20"/>
          <w:lang w:val="en-US"/>
        </w:rPr>
        <w:t>&lt;</w:t>
      </w:r>
      <w:r w:rsidRPr="00C37360">
        <w:rPr>
          <w:rFonts w:ascii="Arial" w:hAnsi="Arial" w:cs="Arial"/>
          <w:noProof/>
          <w:sz w:val="20"/>
          <w:szCs w:val="20"/>
          <w:lang w:val="en-US"/>
        </w:rPr>
        <w:t>0.05.</w:t>
      </w:r>
      <w:r w:rsidRPr="00214987">
        <w:rPr>
          <w:rFonts w:ascii="Arial" w:hAnsi="Arial" w:cs="Arial"/>
          <w:noProof/>
          <w:sz w:val="20"/>
          <w:szCs w:val="20"/>
          <w:lang w:val="en-US"/>
        </w:rPr>
        <w:t xml:space="preserve"> </w:t>
      </w:r>
    </w:p>
    <w:p w14:paraId="578C22A2" w14:textId="77777777" w:rsidR="00A350C0" w:rsidRDefault="00A350C0">
      <w:pPr>
        <w:rPr>
          <w:rFonts w:ascii="Arial" w:eastAsiaTheme="majorEastAsia" w:hAnsi="Arial" w:cs="Arial"/>
          <w:color w:val="2F5496" w:themeColor="accent1" w:themeShade="BF"/>
          <w:sz w:val="32"/>
          <w:szCs w:val="32"/>
          <w:lang w:val="en-US"/>
        </w:rPr>
      </w:pPr>
      <w:r>
        <w:rPr>
          <w:rFonts w:ascii="Arial" w:hAnsi="Arial" w:cs="Arial"/>
        </w:rPr>
        <w:br w:type="page"/>
      </w:r>
    </w:p>
    <w:p w14:paraId="22F17954" w14:textId="0A64C953" w:rsidR="00260269" w:rsidRPr="00260269" w:rsidRDefault="00260269" w:rsidP="00260269">
      <w:pPr>
        <w:pStyle w:val="Heading1"/>
        <w:rPr>
          <w:rFonts w:ascii="Arial" w:hAnsi="Arial" w:cs="Arial"/>
        </w:rPr>
      </w:pPr>
      <w:r w:rsidRPr="00260269">
        <w:rPr>
          <w:rFonts w:ascii="Arial" w:hAnsi="Arial" w:cs="Arial"/>
        </w:rPr>
        <w:lastRenderedPageBreak/>
        <w:t>Results</w:t>
      </w:r>
    </w:p>
    <w:p w14:paraId="39E4BD85" w14:textId="2EAD89B5" w:rsidR="004159A6" w:rsidRPr="00214987" w:rsidRDefault="00260269" w:rsidP="00992B16">
      <w:pPr>
        <w:pStyle w:val="NoSpacing"/>
        <w:spacing w:line="480" w:lineRule="auto"/>
        <w:rPr>
          <w:rFonts w:ascii="Arial" w:hAnsi="Arial" w:cs="Arial"/>
          <w:b/>
          <w:bCs/>
          <w:noProof/>
          <w:u w:val="single"/>
          <w:lang w:val="en-US"/>
        </w:rPr>
      </w:pPr>
      <w:r>
        <w:rPr>
          <w:rFonts w:ascii="Arial" w:hAnsi="Arial" w:cs="Arial"/>
          <w:noProof/>
          <w:sz w:val="20"/>
          <w:szCs w:val="20"/>
          <w:lang w:val="en-US"/>
        </w:rPr>
        <w:br/>
      </w:r>
      <w:r w:rsidR="002C3293" w:rsidRPr="00214987">
        <w:rPr>
          <w:rFonts w:ascii="Arial" w:hAnsi="Arial" w:cs="Arial"/>
          <w:noProof/>
          <w:sz w:val="20"/>
          <w:szCs w:val="20"/>
          <w:lang w:val="en-US"/>
        </w:rPr>
        <w:t xml:space="preserve">Among the WATCH cohort, 37.7% (182/478) </w:t>
      </w:r>
      <w:r w:rsidR="006E7931">
        <w:rPr>
          <w:rFonts w:ascii="Arial" w:hAnsi="Arial" w:cs="Arial"/>
          <w:noProof/>
          <w:sz w:val="20"/>
          <w:szCs w:val="20"/>
          <w:lang w:val="en-US"/>
        </w:rPr>
        <w:t>commenced on</w:t>
      </w:r>
      <w:r w:rsidR="002C3293" w:rsidRPr="00214987">
        <w:rPr>
          <w:rFonts w:ascii="Arial" w:hAnsi="Arial" w:cs="Arial"/>
          <w:noProof/>
          <w:sz w:val="20"/>
          <w:szCs w:val="20"/>
          <w:lang w:val="en-US"/>
        </w:rPr>
        <w:t xml:space="preserve"> </w:t>
      </w:r>
      <w:r w:rsidR="00D2675A">
        <w:rPr>
          <w:rFonts w:ascii="Arial" w:hAnsi="Arial" w:cs="Arial"/>
          <w:noProof/>
          <w:sz w:val="20"/>
          <w:szCs w:val="20"/>
          <w:lang w:val="en-US"/>
        </w:rPr>
        <w:t xml:space="preserve">biologic </w:t>
      </w:r>
      <w:r w:rsidR="002C3293" w:rsidRPr="00214987">
        <w:rPr>
          <w:rFonts w:ascii="Arial" w:hAnsi="Arial" w:cs="Arial"/>
          <w:noProof/>
          <w:sz w:val="20"/>
          <w:szCs w:val="20"/>
          <w:lang w:val="en-US"/>
        </w:rPr>
        <w:t xml:space="preserve">trials with either </w:t>
      </w:r>
      <w:r w:rsidR="004C6D9A" w:rsidRPr="00214987">
        <w:rPr>
          <w:rFonts w:ascii="Arial" w:hAnsi="Arial" w:cs="Arial"/>
          <w:noProof/>
          <w:sz w:val="20"/>
          <w:szCs w:val="20"/>
          <w:lang w:val="en-US"/>
        </w:rPr>
        <w:t>Omalizumab</w:t>
      </w:r>
      <w:r w:rsidR="002C3293" w:rsidRPr="00214987">
        <w:rPr>
          <w:rFonts w:ascii="Arial" w:hAnsi="Arial" w:cs="Arial"/>
          <w:noProof/>
          <w:sz w:val="20"/>
          <w:szCs w:val="20"/>
          <w:lang w:val="en-US"/>
        </w:rPr>
        <w:t xml:space="preserve"> or </w:t>
      </w:r>
      <w:r w:rsidR="008C6CE9">
        <w:rPr>
          <w:rFonts w:ascii="Arial" w:hAnsi="Arial" w:cs="Arial"/>
          <w:noProof/>
          <w:sz w:val="20"/>
          <w:szCs w:val="20"/>
          <w:lang w:val="en-US"/>
        </w:rPr>
        <w:t>Mepolizumab</w:t>
      </w:r>
      <w:r w:rsidR="00317022">
        <w:rPr>
          <w:rFonts w:ascii="Arial" w:hAnsi="Arial" w:cs="Arial"/>
          <w:noProof/>
          <w:sz w:val="20"/>
          <w:szCs w:val="20"/>
          <w:lang w:val="en-US"/>
        </w:rPr>
        <w:t xml:space="preserve"> (Figure 1)</w:t>
      </w:r>
      <w:r w:rsidR="00762028" w:rsidRPr="00214987">
        <w:rPr>
          <w:rFonts w:ascii="Arial" w:hAnsi="Arial" w:cs="Arial"/>
          <w:noProof/>
          <w:sz w:val="20"/>
          <w:szCs w:val="20"/>
          <w:lang w:val="en-US"/>
        </w:rPr>
        <w:t>.</w:t>
      </w:r>
      <w:r w:rsidR="00A65026" w:rsidRPr="00214987">
        <w:rPr>
          <w:rFonts w:ascii="Arial" w:hAnsi="Arial" w:cs="Arial"/>
          <w:noProof/>
          <w:sz w:val="20"/>
          <w:szCs w:val="20"/>
          <w:lang w:val="en-US"/>
        </w:rPr>
        <w:t xml:space="preserve"> N</w:t>
      </w:r>
      <w:r w:rsidR="002C3293" w:rsidRPr="00214987">
        <w:rPr>
          <w:rFonts w:ascii="Arial" w:hAnsi="Arial" w:cs="Arial"/>
          <w:noProof/>
          <w:sz w:val="20"/>
          <w:szCs w:val="20"/>
          <w:lang w:val="en-US"/>
        </w:rPr>
        <w:t xml:space="preserve">early </w:t>
      </w:r>
      <w:r w:rsidR="009706B5" w:rsidRPr="00214987">
        <w:rPr>
          <w:rFonts w:ascii="Arial" w:hAnsi="Arial" w:cs="Arial"/>
          <w:noProof/>
          <w:sz w:val="20"/>
          <w:szCs w:val="20"/>
          <w:lang w:val="en-US"/>
        </w:rPr>
        <w:t>two-thirds</w:t>
      </w:r>
      <w:r w:rsidR="00317022">
        <w:rPr>
          <w:rFonts w:ascii="Arial" w:hAnsi="Arial" w:cs="Arial"/>
          <w:noProof/>
          <w:sz w:val="20"/>
          <w:szCs w:val="20"/>
          <w:lang w:val="en-US"/>
        </w:rPr>
        <w:t xml:space="preserve"> (Figure 1)</w:t>
      </w:r>
      <w:r w:rsidR="002C3293" w:rsidRPr="00214987">
        <w:rPr>
          <w:rFonts w:ascii="Arial" w:hAnsi="Arial" w:cs="Arial"/>
          <w:noProof/>
          <w:sz w:val="20"/>
          <w:szCs w:val="20"/>
          <w:lang w:val="en-US"/>
        </w:rPr>
        <w:t xml:space="preserve"> were with </w:t>
      </w:r>
      <w:r w:rsidR="004C6D9A" w:rsidRPr="00214987">
        <w:rPr>
          <w:rFonts w:ascii="Arial" w:hAnsi="Arial" w:cs="Arial"/>
          <w:noProof/>
          <w:sz w:val="20"/>
          <w:szCs w:val="20"/>
          <w:lang w:val="en-US"/>
        </w:rPr>
        <w:t>Omalizumab</w:t>
      </w:r>
      <w:r w:rsidR="002C3293" w:rsidRPr="00214987">
        <w:rPr>
          <w:rFonts w:ascii="Arial" w:hAnsi="Arial" w:cs="Arial"/>
          <w:noProof/>
          <w:sz w:val="20"/>
          <w:szCs w:val="20"/>
          <w:lang w:val="en-US"/>
        </w:rPr>
        <w:t xml:space="preserve"> (63.7%; 116/182)</w:t>
      </w:r>
      <w:r w:rsidR="00863531" w:rsidRPr="00214987">
        <w:rPr>
          <w:rFonts w:ascii="Arial" w:hAnsi="Arial" w:cs="Arial"/>
          <w:noProof/>
          <w:sz w:val="20"/>
          <w:szCs w:val="20"/>
          <w:lang w:val="en-US"/>
        </w:rPr>
        <w:t xml:space="preserve"> and </w:t>
      </w:r>
      <w:r w:rsidR="00A65026" w:rsidRPr="00214987">
        <w:rPr>
          <w:rFonts w:ascii="Arial" w:hAnsi="Arial" w:cs="Arial"/>
          <w:noProof/>
          <w:sz w:val="20"/>
          <w:szCs w:val="20"/>
          <w:lang w:val="en-US"/>
        </w:rPr>
        <w:t>the rest were</w:t>
      </w:r>
      <w:r w:rsidR="009706B5" w:rsidRPr="00214987">
        <w:rPr>
          <w:rFonts w:ascii="Arial" w:hAnsi="Arial" w:cs="Arial"/>
          <w:noProof/>
          <w:sz w:val="20"/>
          <w:szCs w:val="20"/>
          <w:lang w:val="en-US"/>
        </w:rPr>
        <w:t xml:space="preserve"> with</w:t>
      </w:r>
      <w:r w:rsidR="00863531"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863531" w:rsidRPr="00214987">
        <w:rPr>
          <w:rFonts w:ascii="Arial" w:hAnsi="Arial" w:cs="Arial"/>
          <w:noProof/>
          <w:sz w:val="20"/>
          <w:szCs w:val="20"/>
          <w:lang w:val="en-US"/>
        </w:rPr>
        <w:t xml:space="preserve"> </w:t>
      </w:r>
      <w:r w:rsidR="009706B5" w:rsidRPr="00214987">
        <w:rPr>
          <w:rFonts w:ascii="Arial" w:hAnsi="Arial" w:cs="Arial"/>
          <w:noProof/>
          <w:sz w:val="20"/>
          <w:szCs w:val="20"/>
          <w:lang w:val="en-US"/>
        </w:rPr>
        <w:t>(</w:t>
      </w:r>
      <w:r w:rsidR="004038A9" w:rsidRPr="00214987">
        <w:rPr>
          <w:rFonts w:ascii="Arial" w:hAnsi="Arial" w:cs="Arial"/>
          <w:noProof/>
          <w:sz w:val="20"/>
          <w:szCs w:val="20"/>
          <w:lang w:val="en-US"/>
        </w:rPr>
        <w:t>36.3</w:t>
      </w:r>
      <w:r w:rsidR="00863531" w:rsidRPr="00214987">
        <w:rPr>
          <w:rFonts w:ascii="Arial" w:hAnsi="Arial" w:cs="Arial"/>
          <w:noProof/>
          <w:sz w:val="20"/>
          <w:szCs w:val="20"/>
          <w:lang w:val="en-US"/>
        </w:rPr>
        <w:t>%</w:t>
      </w:r>
      <w:r w:rsidR="009706B5" w:rsidRPr="00214987">
        <w:rPr>
          <w:rFonts w:ascii="Arial" w:hAnsi="Arial" w:cs="Arial"/>
          <w:noProof/>
          <w:sz w:val="20"/>
          <w:szCs w:val="20"/>
          <w:lang w:val="en-US"/>
        </w:rPr>
        <w:t>; 66/</w:t>
      </w:r>
      <w:r w:rsidR="004F66BD" w:rsidRPr="00214987">
        <w:rPr>
          <w:rFonts w:ascii="Arial" w:hAnsi="Arial" w:cs="Arial"/>
          <w:noProof/>
          <w:sz w:val="20"/>
          <w:szCs w:val="20"/>
          <w:lang w:val="en-US"/>
        </w:rPr>
        <w:t>182</w:t>
      </w:r>
      <w:r w:rsidR="009706B5" w:rsidRPr="00214987">
        <w:rPr>
          <w:rFonts w:ascii="Arial" w:hAnsi="Arial" w:cs="Arial"/>
          <w:noProof/>
          <w:sz w:val="20"/>
          <w:szCs w:val="20"/>
          <w:lang w:val="en-US"/>
        </w:rPr>
        <w:t>).</w:t>
      </w:r>
      <w:r w:rsidR="00863531" w:rsidRPr="00214987">
        <w:rPr>
          <w:rFonts w:ascii="Arial" w:hAnsi="Arial" w:cs="Arial"/>
          <w:noProof/>
          <w:sz w:val="20"/>
          <w:szCs w:val="20"/>
          <w:lang w:val="en-US"/>
        </w:rPr>
        <w:t xml:space="preserve"> </w:t>
      </w:r>
      <w:r w:rsidR="006B13E9" w:rsidRPr="00214987">
        <w:rPr>
          <w:rFonts w:ascii="Arial" w:hAnsi="Arial" w:cs="Arial"/>
          <w:noProof/>
          <w:sz w:val="20"/>
          <w:szCs w:val="20"/>
          <w:lang w:val="en-US"/>
        </w:rPr>
        <w:t xml:space="preserve">Eleven </w:t>
      </w:r>
      <w:r w:rsidR="004159A6" w:rsidRPr="00214987">
        <w:rPr>
          <w:rFonts w:ascii="Arial" w:hAnsi="Arial" w:cs="Arial"/>
          <w:noProof/>
          <w:sz w:val="20"/>
          <w:szCs w:val="20"/>
          <w:lang w:val="en-US"/>
        </w:rPr>
        <w:t xml:space="preserve">from </w:t>
      </w:r>
      <w:r w:rsidR="004C6D9A" w:rsidRPr="00214987">
        <w:rPr>
          <w:rFonts w:ascii="Arial" w:hAnsi="Arial" w:cs="Arial"/>
          <w:noProof/>
          <w:sz w:val="20"/>
          <w:szCs w:val="20"/>
          <w:lang w:val="en-US"/>
        </w:rPr>
        <w:t>Omalizumab</w:t>
      </w:r>
      <w:r w:rsidR="004159A6" w:rsidRPr="00214987">
        <w:rPr>
          <w:rFonts w:ascii="Arial" w:hAnsi="Arial" w:cs="Arial"/>
          <w:noProof/>
          <w:sz w:val="20"/>
          <w:szCs w:val="20"/>
          <w:lang w:val="en-US"/>
        </w:rPr>
        <w:t xml:space="preserve"> analysis and </w:t>
      </w:r>
      <w:r w:rsidR="009706B5" w:rsidRPr="00214987">
        <w:rPr>
          <w:rFonts w:ascii="Arial" w:hAnsi="Arial" w:cs="Arial"/>
          <w:noProof/>
          <w:sz w:val="20"/>
          <w:szCs w:val="20"/>
          <w:lang w:val="en-US"/>
        </w:rPr>
        <w:t>four</w:t>
      </w:r>
      <w:r w:rsidR="004159A6" w:rsidRPr="00214987">
        <w:rPr>
          <w:rFonts w:ascii="Arial" w:hAnsi="Arial" w:cs="Arial"/>
          <w:noProof/>
          <w:sz w:val="20"/>
          <w:szCs w:val="20"/>
          <w:lang w:val="en-US"/>
        </w:rPr>
        <w:t xml:space="preserve"> from </w:t>
      </w:r>
      <w:r w:rsidR="008C6CE9">
        <w:rPr>
          <w:rFonts w:ascii="Arial" w:hAnsi="Arial" w:cs="Arial"/>
          <w:noProof/>
          <w:sz w:val="20"/>
          <w:szCs w:val="20"/>
          <w:lang w:val="en-US"/>
        </w:rPr>
        <w:t>Mepolizumab</w:t>
      </w:r>
      <w:r w:rsidR="004159A6" w:rsidRPr="00214987">
        <w:rPr>
          <w:rFonts w:ascii="Arial" w:hAnsi="Arial" w:cs="Arial"/>
          <w:noProof/>
          <w:sz w:val="20"/>
          <w:szCs w:val="20"/>
          <w:lang w:val="en-US"/>
        </w:rPr>
        <w:t xml:space="preserve"> analysis</w:t>
      </w:r>
      <w:r w:rsidR="00B56780" w:rsidRPr="00214987">
        <w:rPr>
          <w:rFonts w:ascii="Arial" w:hAnsi="Arial" w:cs="Arial"/>
          <w:noProof/>
          <w:sz w:val="20"/>
          <w:szCs w:val="20"/>
          <w:lang w:val="en-US"/>
        </w:rPr>
        <w:t xml:space="preserve"> were excluded</w:t>
      </w:r>
      <w:r w:rsidR="004159A6" w:rsidRPr="00214987">
        <w:rPr>
          <w:rFonts w:ascii="Arial" w:hAnsi="Arial" w:cs="Arial"/>
          <w:noProof/>
          <w:sz w:val="20"/>
          <w:szCs w:val="20"/>
          <w:lang w:val="en-US"/>
        </w:rPr>
        <w:t xml:space="preserve"> due to </w:t>
      </w:r>
      <w:r w:rsidR="0037748A">
        <w:rPr>
          <w:rFonts w:ascii="Arial" w:hAnsi="Arial" w:cs="Arial"/>
          <w:noProof/>
          <w:sz w:val="20"/>
          <w:szCs w:val="20"/>
          <w:lang w:val="en-US"/>
        </w:rPr>
        <w:t>unavailable biologic trial</w:t>
      </w:r>
      <w:r w:rsidR="004159A6" w:rsidRPr="00214987">
        <w:rPr>
          <w:rFonts w:ascii="Arial" w:hAnsi="Arial" w:cs="Arial"/>
          <w:noProof/>
          <w:sz w:val="20"/>
          <w:szCs w:val="20"/>
          <w:lang w:val="en-US"/>
        </w:rPr>
        <w:t xml:space="preserve"> data</w:t>
      </w:r>
      <w:r w:rsidR="00317022">
        <w:rPr>
          <w:rFonts w:ascii="Arial" w:hAnsi="Arial" w:cs="Arial"/>
          <w:noProof/>
          <w:sz w:val="20"/>
          <w:szCs w:val="20"/>
          <w:lang w:val="en-US"/>
        </w:rPr>
        <w:t xml:space="preserve"> (Figure 1)</w:t>
      </w:r>
      <w:r w:rsidR="004159A6" w:rsidRPr="00214987">
        <w:rPr>
          <w:rFonts w:ascii="Arial" w:hAnsi="Arial" w:cs="Arial"/>
          <w:noProof/>
          <w:sz w:val="20"/>
          <w:szCs w:val="20"/>
          <w:lang w:val="en-US"/>
        </w:rPr>
        <w:t>.</w:t>
      </w:r>
      <w:r w:rsidR="00797217" w:rsidRPr="00214987">
        <w:rPr>
          <w:rFonts w:ascii="Arial" w:hAnsi="Arial" w:cs="Arial"/>
          <w:noProof/>
          <w:sz w:val="20"/>
          <w:szCs w:val="20"/>
          <w:lang w:val="en-US"/>
        </w:rPr>
        <w:t xml:space="preserve"> </w:t>
      </w:r>
    </w:p>
    <w:p w14:paraId="11C954B5" w14:textId="77777777" w:rsidR="003A664D" w:rsidRPr="003F789B" w:rsidRDefault="003A664D" w:rsidP="00AB4CB7">
      <w:pPr>
        <w:spacing w:line="480" w:lineRule="auto"/>
        <w:rPr>
          <w:rFonts w:ascii="Arial" w:hAnsi="Arial" w:cs="Arial"/>
          <w:b/>
          <w:bCs/>
          <w:sz w:val="20"/>
          <w:szCs w:val="20"/>
          <w:u w:val="single"/>
        </w:rPr>
      </w:pPr>
      <w:r w:rsidRPr="003F789B">
        <w:rPr>
          <w:rFonts w:ascii="Arial" w:hAnsi="Arial" w:cs="Arial"/>
          <w:b/>
          <w:bCs/>
          <w:sz w:val="20"/>
          <w:szCs w:val="20"/>
          <w:u w:val="single"/>
        </w:rPr>
        <w:t>Baseline characteristics of Biologic Treated Groups vs SNB (comparator) group</w:t>
      </w:r>
    </w:p>
    <w:p w14:paraId="44BB4BA3" w14:textId="11472692" w:rsidR="002756B2" w:rsidRPr="00214987" w:rsidRDefault="00040922"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Compared to </w:t>
      </w:r>
      <w:r w:rsidR="00D205AB" w:rsidRPr="00214987">
        <w:rPr>
          <w:rFonts w:ascii="Arial" w:hAnsi="Arial" w:cs="Arial"/>
          <w:noProof/>
          <w:sz w:val="20"/>
          <w:szCs w:val="20"/>
          <w:lang w:val="en-US"/>
        </w:rPr>
        <w:t>SNB</w:t>
      </w:r>
      <w:r w:rsidR="00474226" w:rsidRPr="00214987">
        <w:rPr>
          <w:rFonts w:ascii="Arial" w:hAnsi="Arial" w:cs="Arial"/>
          <w:noProof/>
          <w:sz w:val="20"/>
          <w:szCs w:val="20"/>
          <w:lang w:val="en-US"/>
        </w:rPr>
        <w:t xml:space="preserve"> subjects, </w:t>
      </w:r>
      <w:r w:rsidR="004E13AB" w:rsidRPr="00214987">
        <w:rPr>
          <w:rFonts w:ascii="Arial" w:hAnsi="Arial" w:cs="Arial"/>
          <w:noProof/>
          <w:sz w:val="20"/>
          <w:szCs w:val="20"/>
          <w:lang w:val="en-US"/>
        </w:rPr>
        <w:t xml:space="preserve">neither </w:t>
      </w:r>
      <w:r w:rsidR="00622AD0" w:rsidRPr="00214987">
        <w:rPr>
          <w:rFonts w:ascii="Arial" w:hAnsi="Arial" w:cs="Arial"/>
          <w:noProof/>
          <w:sz w:val="20"/>
          <w:szCs w:val="20"/>
          <w:lang w:val="en-US"/>
        </w:rPr>
        <w:t>biologic</w:t>
      </w:r>
      <w:r w:rsidR="002756B2" w:rsidRPr="00214987">
        <w:rPr>
          <w:rFonts w:ascii="Arial" w:hAnsi="Arial" w:cs="Arial"/>
          <w:noProof/>
          <w:sz w:val="20"/>
          <w:szCs w:val="20"/>
          <w:lang w:val="en-US"/>
        </w:rPr>
        <w:t xml:space="preserve"> </w:t>
      </w:r>
      <w:r w:rsidRPr="00214987">
        <w:rPr>
          <w:rFonts w:ascii="Arial" w:hAnsi="Arial" w:cs="Arial"/>
          <w:noProof/>
          <w:sz w:val="20"/>
          <w:szCs w:val="20"/>
          <w:lang w:val="en-US"/>
        </w:rPr>
        <w:t>group</w:t>
      </w:r>
      <w:r w:rsidR="002756B2" w:rsidRPr="00214987">
        <w:rPr>
          <w:rFonts w:ascii="Arial" w:hAnsi="Arial" w:cs="Arial"/>
          <w:noProof/>
          <w:sz w:val="20"/>
          <w:szCs w:val="20"/>
          <w:lang w:val="en-US"/>
        </w:rPr>
        <w:t>s</w:t>
      </w:r>
      <w:r w:rsidRPr="00214987">
        <w:rPr>
          <w:rFonts w:ascii="Arial" w:hAnsi="Arial" w:cs="Arial"/>
          <w:noProof/>
          <w:sz w:val="20"/>
          <w:szCs w:val="20"/>
          <w:lang w:val="en-US"/>
        </w:rPr>
        <w:t xml:space="preserve"> </w:t>
      </w:r>
      <w:r w:rsidR="00C9104F">
        <w:rPr>
          <w:rFonts w:ascii="Arial" w:hAnsi="Arial" w:cs="Arial"/>
          <w:noProof/>
          <w:sz w:val="20"/>
          <w:szCs w:val="20"/>
          <w:lang w:val="en-US"/>
        </w:rPr>
        <w:t>were</w:t>
      </w:r>
      <w:r w:rsidRPr="00214987">
        <w:rPr>
          <w:rFonts w:ascii="Arial" w:hAnsi="Arial" w:cs="Arial"/>
          <w:noProof/>
          <w:sz w:val="20"/>
          <w:szCs w:val="20"/>
          <w:lang w:val="en-US"/>
        </w:rPr>
        <w:t xml:space="preserve"> significantly </w:t>
      </w:r>
      <w:r w:rsidR="0000160C" w:rsidRPr="00214987">
        <w:rPr>
          <w:rFonts w:ascii="Arial" w:hAnsi="Arial" w:cs="Arial"/>
          <w:noProof/>
          <w:sz w:val="20"/>
          <w:szCs w:val="20"/>
          <w:lang w:val="en-US"/>
        </w:rPr>
        <w:t>different</w:t>
      </w:r>
      <w:r w:rsidR="00C9104F">
        <w:rPr>
          <w:rFonts w:ascii="Arial" w:hAnsi="Arial" w:cs="Arial"/>
          <w:noProof/>
          <w:sz w:val="20"/>
          <w:szCs w:val="20"/>
          <w:lang w:val="en-US"/>
        </w:rPr>
        <w:t xml:space="preserve"> in terms of</w:t>
      </w:r>
      <w:r w:rsidR="0000160C" w:rsidRPr="00214987">
        <w:rPr>
          <w:rFonts w:ascii="Arial" w:hAnsi="Arial" w:cs="Arial"/>
          <w:noProof/>
          <w:sz w:val="20"/>
          <w:szCs w:val="20"/>
          <w:lang w:val="en-US"/>
        </w:rPr>
        <w:t xml:space="preserve"> </w:t>
      </w:r>
      <w:r w:rsidR="002A358B" w:rsidRPr="00214987">
        <w:rPr>
          <w:rFonts w:ascii="Arial" w:hAnsi="Arial" w:cs="Arial"/>
          <w:noProof/>
          <w:sz w:val="20"/>
          <w:szCs w:val="20"/>
          <w:lang w:val="en-US"/>
        </w:rPr>
        <w:t>baseline</w:t>
      </w:r>
      <w:r w:rsidR="00143D08" w:rsidRPr="00214987">
        <w:rPr>
          <w:rFonts w:ascii="Arial" w:hAnsi="Arial" w:cs="Arial"/>
          <w:noProof/>
          <w:sz w:val="20"/>
          <w:szCs w:val="20"/>
          <w:lang w:val="en-US"/>
        </w:rPr>
        <w:t xml:space="preserve"> </w:t>
      </w:r>
      <w:r w:rsidRPr="00214987">
        <w:rPr>
          <w:rFonts w:ascii="Arial" w:hAnsi="Arial" w:cs="Arial"/>
          <w:noProof/>
          <w:sz w:val="20"/>
          <w:szCs w:val="20"/>
          <w:lang w:val="en-US"/>
        </w:rPr>
        <w:t xml:space="preserve">exacerbations or </w:t>
      </w:r>
      <w:r w:rsidR="00734AAE" w:rsidRPr="00214987">
        <w:rPr>
          <w:rFonts w:ascii="Arial" w:hAnsi="Arial" w:cs="Arial"/>
          <w:noProof/>
          <w:sz w:val="20"/>
          <w:szCs w:val="20"/>
          <w:lang w:val="en-US"/>
        </w:rPr>
        <w:t>AHE</w:t>
      </w:r>
      <w:r w:rsidRPr="00214987">
        <w:rPr>
          <w:rFonts w:ascii="Arial" w:hAnsi="Arial" w:cs="Arial"/>
          <w:noProof/>
          <w:sz w:val="20"/>
          <w:szCs w:val="20"/>
          <w:lang w:val="en-US"/>
        </w:rPr>
        <w:t xml:space="preserve"> (</w:t>
      </w:r>
      <w:r w:rsidR="004B1EBD" w:rsidRPr="00214987">
        <w:rPr>
          <w:rFonts w:ascii="Arial" w:hAnsi="Arial" w:cs="Arial"/>
          <w:noProof/>
          <w:sz w:val="20"/>
          <w:szCs w:val="20"/>
          <w:lang w:val="en-US"/>
        </w:rPr>
        <w:t xml:space="preserve">Table </w:t>
      </w:r>
      <w:r w:rsidR="00C77BFE">
        <w:rPr>
          <w:rFonts w:ascii="Arial" w:hAnsi="Arial" w:cs="Arial"/>
          <w:noProof/>
          <w:sz w:val="20"/>
          <w:szCs w:val="20"/>
          <w:lang w:val="en-US"/>
        </w:rPr>
        <w:t>1 and Table 2</w:t>
      </w:r>
      <w:r w:rsidRPr="00214987">
        <w:rPr>
          <w:rFonts w:ascii="Arial" w:hAnsi="Arial" w:cs="Arial"/>
          <w:noProof/>
          <w:sz w:val="20"/>
          <w:szCs w:val="20"/>
          <w:lang w:val="en-US"/>
        </w:rPr>
        <w:t xml:space="preserve">). However, </w:t>
      </w:r>
      <w:r w:rsidR="003C02A3">
        <w:rPr>
          <w:rFonts w:ascii="Arial" w:hAnsi="Arial" w:cs="Arial"/>
          <w:noProof/>
          <w:sz w:val="20"/>
          <w:szCs w:val="20"/>
          <w:lang w:val="en-US"/>
        </w:rPr>
        <w:t xml:space="preserve">the biologic </w:t>
      </w:r>
      <w:r w:rsidR="00774BB7">
        <w:rPr>
          <w:rFonts w:ascii="Arial" w:hAnsi="Arial" w:cs="Arial"/>
          <w:noProof/>
          <w:sz w:val="20"/>
          <w:szCs w:val="20"/>
          <w:lang w:val="en-US"/>
        </w:rPr>
        <w:t xml:space="preserve">treated </w:t>
      </w:r>
      <w:r w:rsidR="003C02A3">
        <w:rPr>
          <w:rFonts w:ascii="Arial" w:hAnsi="Arial" w:cs="Arial"/>
          <w:noProof/>
          <w:sz w:val="20"/>
          <w:szCs w:val="20"/>
          <w:lang w:val="en-US"/>
        </w:rPr>
        <w:t>groups</w:t>
      </w:r>
      <w:r w:rsidR="00FC17DD" w:rsidRPr="00214987">
        <w:rPr>
          <w:rFonts w:ascii="Arial" w:hAnsi="Arial" w:cs="Arial"/>
          <w:noProof/>
          <w:sz w:val="20"/>
          <w:szCs w:val="20"/>
          <w:lang w:val="en-US"/>
        </w:rPr>
        <w:t xml:space="preserve"> </w:t>
      </w:r>
      <w:r w:rsidR="00AA4955" w:rsidRPr="00214987">
        <w:rPr>
          <w:rFonts w:ascii="Arial" w:hAnsi="Arial" w:cs="Arial"/>
          <w:noProof/>
          <w:sz w:val="20"/>
          <w:szCs w:val="20"/>
          <w:lang w:val="en-US"/>
        </w:rPr>
        <w:t>had</w:t>
      </w:r>
      <w:r w:rsidRPr="00214987">
        <w:rPr>
          <w:rFonts w:ascii="Arial" w:hAnsi="Arial" w:cs="Arial"/>
          <w:noProof/>
          <w:sz w:val="20"/>
          <w:szCs w:val="20"/>
          <w:lang w:val="en-US"/>
        </w:rPr>
        <w:t xml:space="preserve"> sig</w:t>
      </w:r>
      <w:r w:rsidR="00FB7C65" w:rsidRPr="00214987">
        <w:rPr>
          <w:rFonts w:ascii="Arial" w:hAnsi="Arial" w:cs="Arial"/>
          <w:noProof/>
          <w:sz w:val="20"/>
          <w:szCs w:val="20"/>
          <w:lang w:val="en-US"/>
        </w:rPr>
        <w:t>nificantly higher FENO</w:t>
      </w:r>
      <w:r w:rsidRPr="00214987">
        <w:rPr>
          <w:rFonts w:ascii="Arial" w:hAnsi="Arial" w:cs="Arial"/>
          <w:noProof/>
          <w:sz w:val="20"/>
          <w:szCs w:val="20"/>
          <w:lang w:val="en-US"/>
        </w:rPr>
        <w:t>,</w:t>
      </w:r>
      <w:r w:rsidR="000971F1" w:rsidRPr="00214987">
        <w:rPr>
          <w:rFonts w:ascii="Arial" w:hAnsi="Arial" w:cs="Arial"/>
          <w:noProof/>
          <w:sz w:val="20"/>
          <w:szCs w:val="20"/>
          <w:lang w:val="en-US"/>
        </w:rPr>
        <w:t xml:space="preserve"> </w:t>
      </w:r>
      <w:r w:rsidRPr="00214987">
        <w:rPr>
          <w:rFonts w:ascii="Arial" w:hAnsi="Arial" w:cs="Arial"/>
          <w:noProof/>
          <w:sz w:val="20"/>
          <w:szCs w:val="20"/>
          <w:lang w:val="en-US"/>
        </w:rPr>
        <w:t xml:space="preserve">worse lung function and </w:t>
      </w:r>
      <w:r w:rsidR="002756B2" w:rsidRPr="00214987">
        <w:rPr>
          <w:rFonts w:ascii="Arial" w:hAnsi="Arial" w:cs="Arial"/>
          <w:noProof/>
          <w:sz w:val="20"/>
          <w:szCs w:val="20"/>
          <w:lang w:val="en-US"/>
        </w:rPr>
        <w:t>more mOCS dependen</w:t>
      </w:r>
      <w:r w:rsidR="00542EF1" w:rsidRPr="00214987">
        <w:rPr>
          <w:rFonts w:ascii="Arial" w:hAnsi="Arial" w:cs="Arial"/>
          <w:noProof/>
          <w:sz w:val="20"/>
          <w:szCs w:val="20"/>
          <w:lang w:val="en-US"/>
        </w:rPr>
        <w:t>cy</w:t>
      </w:r>
      <w:r w:rsidR="00035CEA">
        <w:rPr>
          <w:rFonts w:ascii="Arial" w:hAnsi="Arial" w:cs="Arial"/>
          <w:noProof/>
          <w:sz w:val="20"/>
          <w:szCs w:val="20"/>
          <w:lang w:val="en-US"/>
        </w:rPr>
        <w:t xml:space="preserve"> (Table 1 and Table 2)</w:t>
      </w:r>
      <w:r w:rsidR="002756B2" w:rsidRPr="00214987">
        <w:rPr>
          <w:rFonts w:ascii="Arial" w:hAnsi="Arial" w:cs="Arial"/>
          <w:noProof/>
          <w:sz w:val="20"/>
          <w:szCs w:val="20"/>
          <w:lang w:val="en-US"/>
        </w:rPr>
        <w:t xml:space="preserve">. </w:t>
      </w:r>
    </w:p>
    <w:p w14:paraId="72C646C0" w14:textId="44D110A9" w:rsidR="00040922" w:rsidRPr="00214987" w:rsidRDefault="002756B2"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Compared to SNB subjects, </w:t>
      </w:r>
      <w:r w:rsidR="004C6D9A" w:rsidRPr="00214987">
        <w:rPr>
          <w:rFonts w:ascii="Arial" w:hAnsi="Arial" w:cs="Arial"/>
          <w:noProof/>
          <w:sz w:val="20"/>
          <w:szCs w:val="20"/>
          <w:lang w:val="en-US"/>
        </w:rPr>
        <w:t>Omalizumab</w:t>
      </w:r>
      <w:r w:rsidR="00EF2D2B" w:rsidRPr="00214987">
        <w:rPr>
          <w:rFonts w:ascii="Arial" w:hAnsi="Arial" w:cs="Arial"/>
          <w:noProof/>
          <w:sz w:val="20"/>
          <w:szCs w:val="20"/>
          <w:lang w:val="en-US"/>
        </w:rPr>
        <w:t xml:space="preserve"> </w:t>
      </w:r>
      <w:r w:rsidR="00774BB7">
        <w:rPr>
          <w:rFonts w:ascii="Arial" w:hAnsi="Arial" w:cs="Arial"/>
          <w:noProof/>
          <w:sz w:val="20"/>
          <w:szCs w:val="20"/>
          <w:lang w:val="en-US"/>
        </w:rPr>
        <w:t xml:space="preserve">treated </w:t>
      </w:r>
      <w:r w:rsidR="00EF2D2B" w:rsidRPr="00214987">
        <w:rPr>
          <w:rFonts w:ascii="Arial" w:hAnsi="Arial" w:cs="Arial"/>
          <w:noProof/>
          <w:sz w:val="20"/>
          <w:szCs w:val="20"/>
          <w:lang w:val="en-US"/>
        </w:rPr>
        <w:t>subjects</w:t>
      </w:r>
      <w:r w:rsidRPr="00214987">
        <w:rPr>
          <w:rFonts w:ascii="Arial" w:hAnsi="Arial" w:cs="Arial"/>
          <w:noProof/>
          <w:sz w:val="20"/>
          <w:szCs w:val="20"/>
          <w:lang w:val="en-US"/>
        </w:rPr>
        <w:t xml:space="preserve"> </w:t>
      </w:r>
      <w:r w:rsidR="00EF2D2B" w:rsidRPr="00214987">
        <w:rPr>
          <w:rFonts w:ascii="Arial" w:hAnsi="Arial" w:cs="Arial"/>
          <w:noProof/>
          <w:sz w:val="20"/>
          <w:szCs w:val="20"/>
          <w:lang w:val="en-US"/>
        </w:rPr>
        <w:t xml:space="preserve">had </w:t>
      </w:r>
      <w:r w:rsidR="009C1448">
        <w:rPr>
          <w:rFonts w:ascii="Arial" w:hAnsi="Arial" w:cs="Arial"/>
          <w:noProof/>
          <w:sz w:val="20"/>
          <w:szCs w:val="20"/>
          <w:lang w:val="en-US"/>
        </w:rPr>
        <w:t xml:space="preserve">a </w:t>
      </w:r>
      <w:r w:rsidR="00EF2D2B" w:rsidRPr="00214987">
        <w:rPr>
          <w:rFonts w:ascii="Arial" w:hAnsi="Arial" w:cs="Arial"/>
          <w:noProof/>
          <w:sz w:val="20"/>
          <w:szCs w:val="20"/>
          <w:lang w:val="en-US"/>
        </w:rPr>
        <w:t>significant</w:t>
      </w:r>
      <w:r w:rsidR="00880F20" w:rsidRPr="00214987">
        <w:rPr>
          <w:rFonts w:ascii="Arial" w:hAnsi="Arial" w:cs="Arial"/>
          <w:noProof/>
          <w:sz w:val="20"/>
          <w:szCs w:val="20"/>
          <w:lang w:val="en-US"/>
        </w:rPr>
        <w:t>ly</w:t>
      </w:r>
      <w:r w:rsidR="00EF2D2B" w:rsidRPr="00214987">
        <w:rPr>
          <w:rFonts w:ascii="Arial" w:hAnsi="Arial" w:cs="Arial"/>
          <w:noProof/>
          <w:sz w:val="20"/>
          <w:szCs w:val="20"/>
          <w:lang w:val="en-US"/>
        </w:rPr>
        <w:t xml:space="preserve"> younger age of asthma onset</w:t>
      </w:r>
      <w:r w:rsidR="00176579" w:rsidRPr="00214987">
        <w:rPr>
          <w:rFonts w:ascii="Arial" w:hAnsi="Arial" w:cs="Arial"/>
          <w:noProof/>
          <w:sz w:val="20"/>
          <w:szCs w:val="20"/>
          <w:lang w:val="en-US"/>
        </w:rPr>
        <w:t xml:space="preserve"> (</w:t>
      </w:r>
      <w:r w:rsidR="004B1EBD" w:rsidRPr="00214987">
        <w:rPr>
          <w:rFonts w:ascii="Arial" w:hAnsi="Arial" w:cs="Arial"/>
          <w:noProof/>
          <w:sz w:val="20"/>
          <w:szCs w:val="20"/>
          <w:lang w:val="en-US"/>
        </w:rPr>
        <w:t xml:space="preserve">Table </w:t>
      </w:r>
      <w:r w:rsidR="00C77BFE">
        <w:rPr>
          <w:rFonts w:ascii="Arial" w:hAnsi="Arial" w:cs="Arial"/>
          <w:noProof/>
          <w:sz w:val="20"/>
          <w:szCs w:val="20"/>
          <w:lang w:val="en-US"/>
        </w:rPr>
        <w:t>1</w:t>
      </w:r>
      <w:r w:rsidR="00176579" w:rsidRPr="00214987">
        <w:rPr>
          <w:rFonts w:ascii="Arial" w:hAnsi="Arial" w:cs="Arial"/>
          <w:noProof/>
          <w:sz w:val="20"/>
          <w:szCs w:val="20"/>
          <w:lang w:val="en-US"/>
        </w:rPr>
        <w:t>)</w:t>
      </w:r>
      <w:r w:rsidR="00EF2D2B" w:rsidRPr="00214987">
        <w:rPr>
          <w:rFonts w:ascii="Arial" w:hAnsi="Arial" w:cs="Arial"/>
          <w:noProof/>
          <w:sz w:val="20"/>
          <w:szCs w:val="20"/>
          <w:lang w:val="en-US"/>
        </w:rPr>
        <w:t>. They</w:t>
      </w:r>
      <w:r w:rsidR="00040922" w:rsidRPr="00214987">
        <w:rPr>
          <w:rFonts w:ascii="Arial" w:hAnsi="Arial" w:cs="Arial"/>
          <w:noProof/>
          <w:sz w:val="20"/>
          <w:szCs w:val="20"/>
          <w:lang w:val="en-US"/>
        </w:rPr>
        <w:t xml:space="preserve"> </w:t>
      </w:r>
      <w:r w:rsidR="00474226" w:rsidRPr="00214987">
        <w:rPr>
          <w:rFonts w:ascii="Arial" w:hAnsi="Arial" w:cs="Arial"/>
          <w:noProof/>
          <w:sz w:val="20"/>
          <w:szCs w:val="20"/>
          <w:lang w:val="en-US"/>
        </w:rPr>
        <w:t xml:space="preserve">were </w:t>
      </w:r>
      <w:r w:rsidR="00EF2D2B" w:rsidRPr="00214987">
        <w:rPr>
          <w:rFonts w:ascii="Arial" w:hAnsi="Arial" w:cs="Arial"/>
          <w:noProof/>
          <w:sz w:val="20"/>
          <w:szCs w:val="20"/>
          <w:lang w:val="en-US"/>
        </w:rPr>
        <w:t xml:space="preserve">also </w:t>
      </w:r>
      <w:r w:rsidR="00040922" w:rsidRPr="00214987">
        <w:rPr>
          <w:rFonts w:ascii="Arial" w:hAnsi="Arial" w:cs="Arial"/>
          <w:noProof/>
          <w:sz w:val="20"/>
          <w:szCs w:val="20"/>
          <w:lang w:val="en-US"/>
        </w:rPr>
        <w:t>more ethnically diverse</w:t>
      </w:r>
      <w:r w:rsidR="001749AD">
        <w:rPr>
          <w:rFonts w:ascii="Arial" w:hAnsi="Arial" w:cs="Arial"/>
          <w:noProof/>
          <w:sz w:val="20"/>
          <w:szCs w:val="20"/>
          <w:lang w:val="en-US"/>
        </w:rPr>
        <w:t xml:space="preserve">, </w:t>
      </w:r>
      <w:r w:rsidR="00364F5E" w:rsidRPr="00214987">
        <w:rPr>
          <w:rFonts w:ascii="Arial" w:hAnsi="Arial" w:cs="Arial"/>
          <w:noProof/>
          <w:sz w:val="20"/>
          <w:szCs w:val="20"/>
          <w:lang w:val="en-US"/>
        </w:rPr>
        <w:t>were</w:t>
      </w:r>
      <w:r w:rsidR="00040922" w:rsidRPr="00214987">
        <w:rPr>
          <w:rFonts w:ascii="Arial" w:hAnsi="Arial" w:cs="Arial"/>
          <w:noProof/>
          <w:sz w:val="20"/>
          <w:szCs w:val="20"/>
          <w:lang w:val="en-US"/>
        </w:rPr>
        <w:t xml:space="preserve"> all atopic</w:t>
      </w:r>
      <w:r w:rsidR="001749AD">
        <w:rPr>
          <w:rFonts w:ascii="Arial" w:hAnsi="Arial" w:cs="Arial"/>
          <w:noProof/>
          <w:sz w:val="20"/>
          <w:szCs w:val="20"/>
          <w:lang w:val="en-US"/>
        </w:rPr>
        <w:t xml:space="preserve"> and </w:t>
      </w:r>
      <w:r w:rsidR="00040922" w:rsidRPr="00214987">
        <w:rPr>
          <w:rFonts w:ascii="Arial" w:hAnsi="Arial" w:cs="Arial"/>
          <w:noProof/>
          <w:sz w:val="20"/>
          <w:szCs w:val="20"/>
          <w:lang w:val="en-US"/>
        </w:rPr>
        <w:t>had a significantly great</w:t>
      </w:r>
      <w:r w:rsidR="00935561" w:rsidRPr="00214987">
        <w:rPr>
          <w:rFonts w:ascii="Arial" w:hAnsi="Arial" w:cs="Arial"/>
          <w:noProof/>
          <w:sz w:val="20"/>
          <w:szCs w:val="20"/>
          <w:lang w:val="en-US"/>
        </w:rPr>
        <w:t>er</w:t>
      </w:r>
      <w:r w:rsidR="00040922" w:rsidRPr="00214987">
        <w:rPr>
          <w:rFonts w:ascii="Arial" w:hAnsi="Arial" w:cs="Arial"/>
          <w:noProof/>
          <w:sz w:val="20"/>
          <w:szCs w:val="20"/>
          <w:lang w:val="en-US"/>
        </w:rPr>
        <w:t xml:space="preserve"> </w:t>
      </w:r>
      <w:r w:rsidR="00154B9C" w:rsidRPr="00214987">
        <w:rPr>
          <w:rFonts w:ascii="Arial" w:hAnsi="Arial" w:cs="Arial"/>
          <w:noProof/>
          <w:sz w:val="20"/>
          <w:szCs w:val="20"/>
          <w:lang w:val="en-US"/>
        </w:rPr>
        <w:t xml:space="preserve">prevalence </w:t>
      </w:r>
      <w:r w:rsidR="00040922" w:rsidRPr="00214987">
        <w:rPr>
          <w:rFonts w:ascii="Arial" w:hAnsi="Arial" w:cs="Arial"/>
          <w:noProof/>
          <w:sz w:val="20"/>
          <w:szCs w:val="20"/>
          <w:lang w:val="en-US"/>
        </w:rPr>
        <w:t xml:space="preserve">of rhinitis, allergic bronchopulmonary </w:t>
      </w:r>
      <w:r w:rsidR="00486729" w:rsidRPr="00214987">
        <w:rPr>
          <w:rFonts w:ascii="Arial" w:hAnsi="Arial" w:cs="Arial"/>
          <w:noProof/>
          <w:sz w:val="20"/>
          <w:szCs w:val="20"/>
          <w:lang w:val="en-US"/>
        </w:rPr>
        <w:t>aspergillosis,</w:t>
      </w:r>
      <w:r w:rsidR="00040922" w:rsidRPr="00214987">
        <w:rPr>
          <w:rFonts w:ascii="Arial" w:hAnsi="Arial" w:cs="Arial"/>
          <w:noProof/>
          <w:sz w:val="20"/>
          <w:szCs w:val="20"/>
          <w:lang w:val="en-US"/>
        </w:rPr>
        <w:t xml:space="preserve"> and nasal </w:t>
      </w:r>
      <w:r w:rsidR="002B3CDB" w:rsidRPr="00214987">
        <w:rPr>
          <w:rFonts w:ascii="Arial" w:hAnsi="Arial" w:cs="Arial"/>
          <w:noProof/>
          <w:sz w:val="20"/>
          <w:szCs w:val="20"/>
          <w:lang w:val="en-US"/>
        </w:rPr>
        <w:t>(</w:t>
      </w:r>
      <w:r w:rsidR="009E1CB0" w:rsidRPr="00214987">
        <w:rPr>
          <w:rFonts w:ascii="Arial" w:hAnsi="Arial" w:cs="Arial"/>
          <w:noProof/>
          <w:sz w:val="20"/>
          <w:szCs w:val="20"/>
          <w:lang w:val="en-US"/>
        </w:rPr>
        <w:t>polyp</w:t>
      </w:r>
      <w:r w:rsidR="002B3CDB" w:rsidRPr="00214987">
        <w:rPr>
          <w:rFonts w:ascii="Arial" w:hAnsi="Arial" w:cs="Arial"/>
          <w:noProof/>
          <w:sz w:val="20"/>
          <w:szCs w:val="20"/>
          <w:lang w:val="en-US"/>
        </w:rPr>
        <w:t>s</w:t>
      </w:r>
      <w:r w:rsidR="009E1CB0" w:rsidRPr="00214987">
        <w:rPr>
          <w:rFonts w:ascii="Arial" w:hAnsi="Arial" w:cs="Arial"/>
          <w:noProof/>
          <w:sz w:val="20"/>
          <w:szCs w:val="20"/>
          <w:lang w:val="en-US"/>
        </w:rPr>
        <w:t>/sinus</w:t>
      </w:r>
      <w:r w:rsidR="002B3CDB" w:rsidRPr="00214987">
        <w:rPr>
          <w:rFonts w:ascii="Arial" w:hAnsi="Arial" w:cs="Arial"/>
          <w:noProof/>
          <w:sz w:val="20"/>
          <w:szCs w:val="20"/>
          <w:lang w:val="en-US"/>
        </w:rPr>
        <w:t>)</w:t>
      </w:r>
      <w:r w:rsidR="009E1CB0" w:rsidRPr="00214987">
        <w:rPr>
          <w:rFonts w:ascii="Arial" w:hAnsi="Arial" w:cs="Arial"/>
          <w:noProof/>
          <w:sz w:val="20"/>
          <w:szCs w:val="20"/>
          <w:lang w:val="en-US"/>
        </w:rPr>
        <w:t xml:space="preserve"> </w:t>
      </w:r>
      <w:r w:rsidR="00364F5E" w:rsidRPr="00214987">
        <w:rPr>
          <w:rFonts w:ascii="Arial" w:hAnsi="Arial" w:cs="Arial"/>
          <w:noProof/>
          <w:sz w:val="20"/>
          <w:szCs w:val="20"/>
          <w:lang w:val="en-US"/>
        </w:rPr>
        <w:t>surgery</w:t>
      </w:r>
      <w:r w:rsidR="00040922" w:rsidRPr="00214987">
        <w:rPr>
          <w:rFonts w:ascii="Arial" w:hAnsi="Arial" w:cs="Arial"/>
          <w:noProof/>
          <w:sz w:val="20"/>
          <w:szCs w:val="20"/>
          <w:lang w:val="en-US"/>
        </w:rPr>
        <w:t xml:space="preserve">. </w:t>
      </w:r>
    </w:p>
    <w:p w14:paraId="57816BA8" w14:textId="5DCB9F95" w:rsidR="00040922" w:rsidRPr="00214987" w:rsidRDefault="00EF2D2B"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Conversely, compared to </w:t>
      </w:r>
      <w:r w:rsidR="00314238" w:rsidRPr="00214987">
        <w:rPr>
          <w:rFonts w:ascii="Arial" w:hAnsi="Arial" w:cs="Arial"/>
          <w:noProof/>
          <w:sz w:val="20"/>
          <w:szCs w:val="20"/>
          <w:lang w:val="en-US"/>
        </w:rPr>
        <w:t>SNB subjects</w:t>
      </w:r>
      <w:r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040922" w:rsidRPr="00214987">
        <w:rPr>
          <w:rFonts w:ascii="Arial" w:hAnsi="Arial" w:cs="Arial"/>
          <w:noProof/>
          <w:sz w:val="20"/>
          <w:szCs w:val="20"/>
          <w:lang w:val="en-US"/>
        </w:rPr>
        <w:t xml:space="preserve"> </w:t>
      </w:r>
      <w:r w:rsidR="00774BB7">
        <w:rPr>
          <w:rFonts w:ascii="Arial" w:hAnsi="Arial" w:cs="Arial"/>
          <w:noProof/>
          <w:sz w:val="20"/>
          <w:szCs w:val="20"/>
          <w:lang w:val="en-US"/>
        </w:rPr>
        <w:t xml:space="preserve">treated </w:t>
      </w:r>
      <w:r w:rsidRPr="00214987">
        <w:rPr>
          <w:rFonts w:ascii="Arial" w:hAnsi="Arial" w:cs="Arial"/>
          <w:noProof/>
          <w:sz w:val="20"/>
          <w:szCs w:val="20"/>
          <w:lang w:val="en-US"/>
        </w:rPr>
        <w:t>subjects</w:t>
      </w:r>
      <w:r w:rsidR="00040922" w:rsidRPr="00214987">
        <w:rPr>
          <w:rFonts w:ascii="Arial" w:hAnsi="Arial" w:cs="Arial"/>
          <w:noProof/>
          <w:sz w:val="20"/>
          <w:szCs w:val="20"/>
          <w:lang w:val="en-US"/>
        </w:rPr>
        <w:t xml:space="preserve"> </w:t>
      </w:r>
      <w:r w:rsidR="002756B2" w:rsidRPr="00214987">
        <w:rPr>
          <w:rFonts w:ascii="Arial" w:hAnsi="Arial" w:cs="Arial"/>
          <w:noProof/>
          <w:sz w:val="20"/>
          <w:szCs w:val="20"/>
          <w:lang w:val="en-US"/>
        </w:rPr>
        <w:t xml:space="preserve">had </w:t>
      </w:r>
      <w:r w:rsidR="00474226" w:rsidRPr="00214987">
        <w:rPr>
          <w:rFonts w:ascii="Arial" w:hAnsi="Arial" w:cs="Arial"/>
          <w:noProof/>
          <w:sz w:val="20"/>
          <w:szCs w:val="20"/>
          <w:lang w:val="en-US"/>
        </w:rPr>
        <w:t xml:space="preserve">a </w:t>
      </w:r>
      <w:r w:rsidRPr="00214987">
        <w:rPr>
          <w:rFonts w:ascii="Arial" w:hAnsi="Arial" w:cs="Arial"/>
          <w:noProof/>
          <w:sz w:val="20"/>
          <w:szCs w:val="20"/>
          <w:lang w:val="en-US"/>
        </w:rPr>
        <w:t xml:space="preserve">significantly </w:t>
      </w:r>
      <w:r w:rsidR="002756B2" w:rsidRPr="00214987">
        <w:rPr>
          <w:rFonts w:ascii="Arial" w:hAnsi="Arial" w:cs="Arial"/>
          <w:noProof/>
          <w:sz w:val="20"/>
          <w:szCs w:val="20"/>
          <w:lang w:val="en-US"/>
        </w:rPr>
        <w:t>higher</w:t>
      </w:r>
      <w:r w:rsidR="000B513C" w:rsidRPr="00214987">
        <w:rPr>
          <w:rFonts w:ascii="Arial" w:hAnsi="Arial" w:cs="Arial"/>
          <w:noProof/>
          <w:sz w:val="20"/>
          <w:szCs w:val="20"/>
          <w:lang w:val="en-US"/>
        </w:rPr>
        <w:t xml:space="preserve"> maximum </w:t>
      </w:r>
      <w:r w:rsidR="0026514E">
        <w:rPr>
          <w:rFonts w:ascii="Arial" w:hAnsi="Arial" w:cs="Arial"/>
          <w:noProof/>
          <w:sz w:val="20"/>
          <w:szCs w:val="20"/>
          <w:lang w:val="en-US"/>
        </w:rPr>
        <w:t>PBE</w:t>
      </w:r>
      <w:r w:rsidR="002756B2" w:rsidRPr="00214987">
        <w:rPr>
          <w:rFonts w:ascii="Arial" w:hAnsi="Arial" w:cs="Arial"/>
          <w:noProof/>
          <w:sz w:val="20"/>
          <w:szCs w:val="20"/>
          <w:lang w:val="en-US"/>
        </w:rPr>
        <w:t xml:space="preserve"> </w:t>
      </w:r>
      <w:r w:rsidR="004A1537" w:rsidRPr="00214987">
        <w:rPr>
          <w:rFonts w:ascii="Arial" w:hAnsi="Arial" w:cs="Arial"/>
          <w:noProof/>
          <w:sz w:val="20"/>
          <w:szCs w:val="20"/>
          <w:lang w:val="en-US"/>
        </w:rPr>
        <w:t>(</w:t>
      </w:r>
      <w:r w:rsidR="004B1EBD" w:rsidRPr="00214987">
        <w:rPr>
          <w:rFonts w:ascii="Arial" w:hAnsi="Arial" w:cs="Arial"/>
          <w:noProof/>
          <w:sz w:val="20"/>
          <w:szCs w:val="20"/>
          <w:lang w:val="en-US"/>
        </w:rPr>
        <w:t xml:space="preserve">Table </w:t>
      </w:r>
      <w:r w:rsidR="00C77BFE">
        <w:rPr>
          <w:rFonts w:ascii="Arial" w:hAnsi="Arial" w:cs="Arial"/>
          <w:noProof/>
          <w:sz w:val="20"/>
          <w:szCs w:val="20"/>
          <w:lang w:val="en-US"/>
        </w:rPr>
        <w:t>2</w:t>
      </w:r>
      <w:r w:rsidR="004A1537" w:rsidRPr="00214987">
        <w:rPr>
          <w:rFonts w:ascii="Arial" w:hAnsi="Arial" w:cs="Arial"/>
          <w:noProof/>
          <w:sz w:val="20"/>
          <w:szCs w:val="20"/>
          <w:lang w:val="en-US"/>
        </w:rPr>
        <w:t>)</w:t>
      </w:r>
      <w:r w:rsidR="002756B2" w:rsidRPr="00214987">
        <w:rPr>
          <w:rFonts w:ascii="Arial" w:hAnsi="Arial" w:cs="Arial"/>
          <w:noProof/>
          <w:sz w:val="20"/>
          <w:szCs w:val="20"/>
          <w:lang w:val="en-US"/>
        </w:rPr>
        <w:t>,</w:t>
      </w:r>
      <w:r w:rsidR="00040922" w:rsidRPr="00214987">
        <w:rPr>
          <w:rFonts w:ascii="Arial" w:hAnsi="Arial" w:cs="Arial"/>
          <w:noProof/>
          <w:sz w:val="20"/>
          <w:szCs w:val="20"/>
          <w:lang w:val="en-US"/>
        </w:rPr>
        <w:t xml:space="preserve"> were older, diagnosed with asthma later</w:t>
      </w:r>
      <w:r w:rsidR="003A3748" w:rsidRPr="00214987">
        <w:rPr>
          <w:rFonts w:ascii="Arial" w:hAnsi="Arial" w:cs="Arial"/>
          <w:noProof/>
          <w:sz w:val="20"/>
          <w:szCs w:val="20"/>
          <w:lang w:val="en-US"/>
        </w:rPr>
        <w:t xml:space="preserve"> in life</w:t>
      </w:r>
      <w:r w:rsidR="00040922" w:rsidRPr="00214987">
        <w:rPr>
          <w:rFonts w:ascii="Arial" w:hAnsi="Arial" w:cs="Arial"/>
          <w:noProof/>
          <w:sz w:val="20"/>
          <w:szCs w:val="20"/>
          <w:lang w:val="en-US"/>
        </w:rPr>
        <w:t xml:space="preserve">, and predominantly male. Additionally, they had a </w:t>
      </w:r>
      <w:r w:rsidRPr="00214987">
        <w:rPr>
          <w:rFonts w:ascii="Arial" w:hAnsi="Arial" w:cs="Arial"/>
          <w:noProof/>
          <w:sz w:val="20"/>
          <w:szCs w:val="20"/>
          <w:lang w:val="en-US"/>
        </w:rPr>
        <w:t xml:space="preserve">significantly </w:t>
      </w:r>
      <w:r w:rsidR="004B4B69" w:rsidRPr="00214987">
        <w:rPr>
          <w:rFonts w:ascii="Arial" w:hAnsi="Arial" w:cs="Arial"/>
          <w:noProof/>
          <w:sz w:val="20"/>
          <w:szCs w:val="20"/>
          <w:lang w:val="en-US"/>
        </w:rPr>
        <w:t xml:space="preserve">higher </w:t>
      </w:r>
      <w:r w:rsidR="008A1F74" w:rsidRPr="00214987">
        <w:rPr>
          <w:rFonts w:ascii="Arial" w:hAnsi="Arial" w:cs="Arial"/>
          <w:noProof/>
          <w:sz w:val="20"/>
          <w:szCs w:val="20"/>
          <w:lang w:val="en-US"/>
        </w:rPr>
        <w:t>prevalence</w:t>
      </w:r>
      <w:r w:rsidR="00040922" w:rsidRPr="00214987">
        <w:rPr>
          <w:rFonts w:ascii="Arial" w:hAnsi="Arial" w:cs="Arial"/>
          <w:noProof/>
          <w:sz w:val="20"/>
          <w:szCs w:val="20"/>
          <w:lang w:val="en-US"/>
        </w:rPr>
        <w:t xml:space="preserve"> of nasal polyp</w:t>
      </w:r>
      <w:r w:rsidR="00035CEA">
        <w:rPr>
          <w:rFonts w:ascii="Arial" w:hAnsi="Arial" w:cs="Arial"/>
          <w:noProof/>
          <w:sz w:val="20"/>
          <w:szCs w:val="20"/>
          <w:lang w:val="en-US"/>
        </w:rPr>
        <w:t>osis</w:t>
      </w:r>
      <w:r w:rsidR="008A1F74" w:rsidRPr="00214987">
        <w:rPr>
          <w:rFonts w:ascii="Arial" w:hAnsi="Arial" w:cs="Arial"/>
          <w:noProof/>
          <w:sz w:val="20"/>
          <w:szCs w:val="20"/>
          <w:lang w:val="en-US"/>
        </w:rPr>
        <w:t xml:space="preserve"> and </w:t>
      </w:r>
      <w:r w:rsidR="009E1CB0" w:rsidRPr="00214987">
        <w:rPr>
          <w:rFonts w:ascii="Arial" w:hAnsi="Arial" w:cs="Arial"/>
          <w:noProof/>
          <w:sz w:val="20"/>
          <w:szCs w:val="20"/>
          <w:lang w:val="en-US"/>
        </w:rPr>
        <w:t xml:space="preserve">nasal </w:t>
      </w:r>
      <w:r w:rsidR="002B3CDB" w:rsidRPr="00214987">
        <w:rPr>
          <w:rFonts w:ascii="Arial" w:hAnsi="Arial" w:cs="Arial"/>
          <w:noProof/>
          <w:sz w:val="20"/>
          <w:szCs w:val="20"/>
          <w:lang w:val="en-US"/>
        </w:rPr>
        <w:t xml:space="preserve">(polyps/sinus) </w:t>
      </w:r>
      <w:r w:rsidR="009E1CB0" w:rsidRPr="00214987">
        <w:rPr>
          <w:rFonts w:ascii="Arial" w:hAnsi="Arial" w:cs="Arial"/>
          <w:noProof/>
          <w:sz w:val="20"/>
          <w:szCs w:val="20"/>
          <w:lang w:val="en-US"/>
        </w:rPr>
        <w:t xml:space="preserve">surgery </w:t>
      </w:r>
      <w:r w:rsidR="00040922" w:rsidRPr="00214987">
        <w:rPr>
          <w:rFonts w:ascii="Arial" w:hAnsi="Arial" w:cs="Arial"/>
          <w:noProof/>
          <w:sz w:val="20"/>
          <w:szCs w:val="20"/>
          <w:lang w:val="en-US"/>
        </w:rPr>
        <w:t xml:space="preserve">but less dysfunctional breathing. </w:t>
      </w:r>
    </w:p>
    <w:p w14:paraId="0E7AA050" w14:textId="67B5FDEE" w:rsidR="00BC533A" w:rsidRPr="00214987" w:rsidRDefault="00BC533A" w:rsidP="00AB4CB7">
      <w:pPr>
        <w:spacing w:line="480" w:lineRule="auto"/>
        <w:rPr>
          <w:rFonts w:ascii="Arial" w:hAnsi="Arial" w:cs="Arial"/>
          <w:noProof/>
          <w:sz w:val="20"/>
          <w:szCs w:val="20"/>
          <w:lang w:val="en-US"/>
        </w:rPr>
      </w:pPr>
      <w:r w:rsidRPr="00214987">
        <w:rPr>
          <w:rFonts w:ascii="Arial" w:hAnsi="Arial" w:cs="Arial"/>
          <w:b/>
          <w:bCs/>
          <w:noProof/>
          <w:sz w:val="20"/>
          <w:szCs w:val="20"/>
          <w:u w:val="single"/>
          <w:lang w:val="en-US"/>
        </w:rPr>
        <w:t>Omalizumab response</w:t>
      </w:r>
      <w:r w:rsidR="00E52391" w:rsidRPr="00214987">
        <w:rPr>
          <w:rFonts w:ascii="Arial" w:hAnsi="Arial" w:cs="Arial"/>
          <w:b/>
          <w:bCs/>
          <w:noProof/>
          <w:sz w:val="20"/>
          <w:szCs w:val="20"/>
          <w:u w:val="single"/>
          <w:lang w:val="en-US"/>
        </w:rPr>
        <w:br/>
      </w:r>
      <w:r w:rsidR="00474226" w:rsidRPr="00214987">
        <w:rPr>
          <w:rFonts w:ascii="Arial" w:hAnsi="Arial" w:cs="Arial"/>
          <w:noProof/>
          <w:sz w:val="20"/>
          <w:szCs w:val="20"/>
          <w:lang w:val="en-US"/>
        </w:rPr>
        <w:t xml:space="preserve">Overall, </w:t>
      </w:r>
      <w:r w:rsidR="00E772D1" w:rsidRPr="00214987">
        <w:rPr>
          <w:rFonts w:ascii="Arial" w:hAnsi="Arial" w:cs="Arial"/>
          <w:noProof/>
          <w:sz w:val="20"/>
          <w:szCs w:val="20"/>
          <w:lang w:val="en-US"/>
        </w:rPr>
        <w:t>99.</w:t>
      </w:r>
      <w:r w:rsidR="0089586F" w:rsidRPr="00214987">
        <w:rPr>
          <w:rFonts w:ascii="Arial" w:hAnsi="Arial" w:cs="Arial"/>
          <w:noProof/>
          <w:sz w:val="20"/>
          <w:szCs w:val="20"/>
          <w:lang w:val="en-US"/>
        </w:rPr>
        <w:t>0</w:t>
      </w:r>
      <w:r w:rsidR="00E772D1" w:rsidRPr="00214987">
        <w:rPr>
          <w:rFonts w:ascii="Arial" w:hAnsi="Arial" w:cs="Arial"/>
          <w:noProof/>
          <w:sz w:val="20"/>
          <w:szCs w:val="20"/>
          <w:lang w:val="en-US"/>
        </w:rPr>
        <w:t>%</w:t>
      </w:r>
      <w:r w:rsidR="00C770C0" w:rsidRPr="00214987">
        <w:rPr>
          <w:rFonts w:ascii="Arial" w:hAnsi="Arial" w:cs="Arial"/>
          <w:noProof/>
          <w:sz w:val="20"/>
          <w:szCs w:val="20"/>
          <w:lang w:val="en-US"/>
        </w:rPr>
        <w:t>,</w:t>
      </w:r>
      <w:r w:rsidR="005B4D52" w:rsidRPr="00214987">
        <w:rPr>
          <w:rFonts w:ascii="Arial" w:hAnsi="Arial" w:cs="Arial"/>
          <w:noProof/>
          <w:sz w:val="20"/>
          <w:szCs w:val="20"/>
          <w:lang w:val="en-US"/>
        </w:rPr>
        <w:t>(</w:t>
      </w:r>
      <w:r w:rsidR="00474226" w:rsidRPr="00214987">
        <w:rPr>
          <w:rFonts w:ascii="Arial" w:hAnsi="Arial" w:cs="Arial"/>
          <w:noProof/>
          <w:sz w:val="20"/>
          <w:szCs w:val="20"/>
          <w:lang w:val="en-US"/>
        </w:rPr>
        <w:t>104/105</w:t>
      </w:r>
      <w:r w:rsidR="005B4D52" w:rsidRPr="00214987">
        <w:rPr>
          <w:rFonts w:ascii="Arial" w:hAnsi="Arial" w:cs="Arial"/>
          <w:noProof/>
          <w:sz w:val="20"/>
          <w:szCs w:val="20"/>
          <w:lang w:val="en-US"/>
        </w:rPr>
        <w:t>)</w:t>
      </w:r>
      <w:r w:rsidR="00474226" w:rsidRPr="00214987">
        <w:rPr>
          <w:rFonts w:ascii="Arial" w:hAnsi="Arial" w:cs="Arial"/>
          <w:noProof/>
          <w:sz w:val="20"/>
          <w:szCs w:val="20"/>
          <w:lang w:val="en-US"/>
        </w:rPr>
        <w:t xml:space="preserve"> patients completed </w:t>
      </w:r>
      <w:r w:rsidR="004C6D9A" w:rsidRPr="00214987">
        <w:rPr>
          <w:rFonts w:ascii="Arial" w:hAnsi="Arial" w:cs="Arial"/>
          <w:noProof/>
          <w:sz w:val="20"/>
          <w:szCs w:val="20"/>
          <w:lang w:val="en-US"/>
        </w:rPr>
        <w:t>Omalizumab</w:t>
      </w:r>
      <w:r w:rsidR="00474226" w:rsidRPr="00214987">
        <w:rPr>
          <w:rFonts w:ascii="Arial" w:hAnsi="Arial" w:cs="Arial"/>
          <w:noProof/>
          <w:sz w:val="20"/>
          <w:szCs w:val="20"/>
          <w:lang w:val="en-US"/>
        </w:rPr>
        <w:t xml:space="preserve"> trials</w:t>
      </w:r>
      <w:r w:rsidR="00317022">
        <w:rPr>
          <w:rFonts w:ascii="Arial" w:hAnsi="Arial" w:cs="Arial"/>
          <w:noProof/>
          <w:sz w:val="20"/>
          <w:szCs w:val="20"/>
          <w:lang w:val="en-US"/>
        </w:rPr>
        <w:t xml:space="preserve"> (Figure 1)</w:t>
      </w:r>
      <w:r w:rsidR="00474226" w:rsidRPr="00214987">
        <w:rPr>
          <w:rFonts w:ascii="Arial" w:hAnsi="Arial" w:cs="Arial"/>
          <w:noProof/>
          <w:sz w:val="20"/>
          <w:szCs w:val="20"/>
          <w:lang w:val="en-US"/>
        </w:rPr>
        <w:t xml:space="preserve">. One person withdrew due to side-effects. </w:t>
      </w:r>
      <w:r w:rsidR="004C6D9A" w:rsidRPr="00214987">
        <w:rPr>
          <w:rFonts w:ascii="Arial" w:hAnsi="Arial" w:cs="Arial"/>
          <w:noProof/>
          <w:sz w:val="20"/>
          <w:szCs w:val="20"/>
          <w:lang w:val="en-US"/>
        </w:rPr>
        <w:t>Omalizumab</w:t>
      </w:r>
      <w:r w:rsidRPr="00214987">
        <w:rPr>
          <w:rFonts w:ascii="Arial" w:hAnsi="Arial" w:cs="Arial"/>
          <w:noProof/>
          <w:sz w:val="20"/>
          <w:szCs w:val="20"/>
          <w:lang w:val="en-US"/>
        </w:rPr>
        <w:t xml:space="preserve"> </w:t>
      </w:r>
      <w:r w:rsidR="00F6574C" w:rsidRPr="00214987">
        <w:rPr>
          <w:rFonts w:ascii="Arial" w:hAnsi="Arial" w:cs="Arial"/>
          <w:noProof/>
          <w:sz w:val="20"/>
          <w:szCs w:val="20"/>
          <w:lang w:val="en-US"/>
        </w:rPr>
        <w:t xml:space="preserve">(Figure </w:t>
      </w:r>
      <w:r w:rsidR="00317022">
        <w:rPr>
          <w:rFonts w:ascii="Arial" w:hAnsi="Arial" w:cs="Arial"/>
          <w:noProof/>
          <w:sz w:val="20"/>
          <w:szCs w:val="20"/>
          <w:lang w:val="en-US"/>
        </w:rPr>
        <w:t>2</w:t>
      </w:r>
      <w:r w:rsidR="00F6574C" w:rsidRPr="00214987">
        <w:rPr>
          <w:rFonts w:ascii="Arial" w:hAnsi="Arial" w:cs="Arial"/>
          <w:noProof/>
          <w:sz w:val="20"/>
          <w:szCs w:val="20"/>
          <w:lang w:val="en-US"/>
        </w:rPr>
        <w:t xml:space="preserve">) </w:t>
      </w:r>
      <w:r w:rsidRPr="00214987">
        <w:rPr>
          <w:rFonts w:ascii="Arial" w:hAnsi="Arial" w:cs="Arial"/>
          <w:noProof/>
          <w:sz w:val="20"/>
          <w:szCs w:val="20"/>
          <w:lang w:val="en-US"/>
        </w:rPr>
        <w:t>significantly reduced exacerbations</w:t>
      </w:r>
      <w:r w:rsidR="008F1447" w:rsidRPr="00214987">
        <w:rPr>
          <w:rFonts w:ascii="Arial" w:hAnsi="Arial" w:cs="Arial"/>
          <w:noProof/>
          <w:sz w:val="20"/>
          <w:szCs w:val="20"/>
          <w:lang w:val="en-US"/>
        </w:rPr>
        <w:t xml:space="preserve"> [Median(IQR)</w:t>
      </w:r>
      <w:r w:rsidR="002939F6" w:rsidRPr="00214987">
        <w:rPr>
          <w:rFonts w:ascii="Arial" w:hAnsi="Arial" w:cs="Arial"/>
          <w:noProof/>
          <w:sz w:val="20"/>
          <w:szCs w:val="20"/>
          <w:lang w:val="en-US"/>
        </w:rPr>
        <w:t>,</w:t>
      </w:r>
      <w:r w:rsidR="008F1447" w:rsidRPr="00214987">
        <w:rPr>
          <w:rFonts w:ascii="Arial" w:hAnsi="Arial" w:cs="Arial"/>
          <w:noProof/>
          <w:sz w:val="20"/>
          <w:szCs w:val="20"/>
          <w:lang w:val="en-US"/>
        </w:rPr>
        <w:t xml:space="preserve">  </w:t>
      </w:r>
      <w:r w:rsidR="0076419D" w:rsidRPr="00214987">
        <w:rPr>
          <w:rFonts w:ascii="Arial" w:hAnsi="Arial" w:cs="Arial"/>
          <w:noProof/>
          <w:sz w:val="20"/>
          <w:szCs w:val="20"/>
          <w:lang w:val="en-US"/>
        </w:rPr>
        <w:t xml:space="preserve">baseline: </w:t>
      </w:r>
      <w:r w:rsidR="008F1447" w:rsidRPr="00214987">
        <w:rPr>
          <w:rFonts w:ascii="Arial" w:hAnsi="Arial" w:cs="Arial"/>
          <w:noProof/>
          <w:sz w:val="20"/>
          <w:szCs w:val="20"/>
          <w:lang w:val="en-US"/>
        </w:rPr>
        <w:t>5(3) to 0(3), P&lt;0.001]</w:t>
      </w:r>
      <w:r w:rsidRPr="00214987">
        <w:rPr>
          <w:rFonts w:ascii="Arial" w:hAnsi="Arial" w:cs="Arial"/>
          <w:noProof/>
          <w:sz w:val="20"/>
          <w:szCs w:val="20"/>
          <w:lang w:val="en-US"/>
        </w:rPr>
        <w:t xml:space="preserve">, </w:t>
      </w:r>
      <w:r w:rsidR="008F1447" w:rsidRPr="00214987">
        <w:rPr>
          <w:rFonts w:ascii="Arial" w:hAnsi="Arial" w:cs="Arial"/>
          <w:noProof/>
          <w:sz w:val="20"/>
          <w:szCs w:val="20"/>
          <w:lang w:val="en-US"/>
        </w:rPr>
        <w:t>mOCS dose [Median(IQR)</w:t>
      </w:r>
      <w:r w:rsidR="002939F6" w:rsidRPr="00214987">
        <w:rPr>
          <w:rFonts w:ascii="Arial" w:hAnsi="Arial" w:cs="Arial"/>
          <w:noProof/>
          <w:sz w:val="20"/>
          <w:szCs w:val="20"/>
          <w:lang w:val="en-US"/>
        </w:rPr>
        <w:t>,</w:t>
      </w:r>
      <w:r w:rsidR="008F1447" w:rsidRPr="00214987">
        <w:rPr>
          <w:rFonts w:ascii="Arial" w:hAnsi="Arial" w:cs="Arial"/>
          <w:noProof/>
          <w:sz w:val="20"/>
          <w:szCs w:val="20"/>
          <w:lang w:val="en-US"/>
        </w:rPr>
        <w:t xml:space="preserve"> baseline: 10(10-20) to 10(5-15), P=0.002]</w:t>
      </w:r>
      <w:r w:rsidR="00F6574C" w:rsidRPr="00214987">
        <w:rPr>
          <w:rFonts w:ascii="Arial" w:hAnsi="Arial" w:cs="Arial"/>
          <w:noProof/>
          <w:sz w:val="20"/>
          <w:szCs w:val="20"/>
          <w:lang w:val="en-US"/>
        </w:rPr>
        <w:t xml:space="preserve">, </w:t>
      </w:r>
      <w:r w:rsidR="00734AAE" w:rsidRPr="00214987">
        <w:rPr>
          <w:rFonts w:ascii="Arial" w:hAnsi="Arial" w:cs="Arial"/>
          <w:noProof/>
          <w:sz w:val="20"/>
          <w:szCs w:val="20"/>
          <w:lang w:val="en-US"/>
        </w:rPr>
        <w:t>AHE</w:t>
      </w:r>
      <w:r w:rsidR="008F1447" w:rsidRPr="00214987">
        <w:rPr>
          <w:rFonts w:ascii="Arial" w:hAnsi="Arial" w:cs="Arial"/>
          <w:noProof/>
          <w:sz w:val="20"/>
          <w:szCs w:val="20"/>
          <w:lang w:val="en-US"/>
        </w:rPr>
        <w:t xml:space="preserve"> [Median(IQR)</w:t>
      </w:r>
      <w:r w:rsidR="002939F6" w:rsidRPr="00214987">
        <w:rPr>
          <w:rFonts w:ascii="Arial" w:hAnsi="Arial" w:cs="Arial"/>
          <w:noProof/>
          <w:sz w:val="20"/>
          <w:szCs w:val="20"/>
          <w:lang w:val="en-US"/>
        </w:rPr>
        <w:t>,</w:t>
      </w:r>
      <w:r w:rsidR="008F1447" w:rsidRPr="00214987">
        <w:rPr>
          <w:rFonts w:ascii="Arial" w:hAnsi="Arial" w:cs="Arial"/>
          <w:noProof/>
          <w:sz w:val="20"/>
          <w:szCs w:val="20"/>
          <w:lang w:val="en-US"/>
        </w:rPr>
        <w:t xml:space="preserve"> baseline: 1(2)  to 0(0)</w:t>
      </w:r>
      <w:r w:rsidR="00035CEA">
        <w:rPr>
          <w:rFonts w:ascii="Arial" w:hAnsi="Arial" w:cs="Arial"/>
          <w:noProof/>
          <w:sz w:val="20"/>
          <w:szCs w:val="20"/>
          <w:lang w:val="en-US"/>
        </w:rPr>
        <w:t>,</w:t>
      </w:r>
      <w:r w:rsidR="008F1447" w:rsidRPr="00214987">
        <w:rPr>
          <w:rFonts w:ascii="Arial" w:hAnsi="Arial" w:cs="Arial"/>
          <w:noProof/>
          <w:sz w:val="20"/>
          <w:szCs w:val="20"/>
          <w:lang w:val="en-US"/>
        </w:rPr>
        <w:t xml:space="preserve"> P=0.003]</w:t>
      </w:r>
      <w:r w:rsidRPr="00214987">
        <w:rPr>
          <w:rFonts w:ascii="Arial" w:hAnsi="Arial" w:cs="Arial"/>
          <w:noProof/>
          <w:sz w:val="20"/>
          <w:szCs w:val="20"/>
          <w:lang w:val="en-US"/>
        </w:rPr>
        <w:t xml:space="preserve"> and the proportion of </w:t>
      </w:r>
      <w:r w:rsidR="007B38F2" w:rsidRPr="00214987">
        <w:rPr>
          <w:rFonts w:ascii="Arial" w:hAnsi="Arial" w:cs="Arial"/>
          <w:noProof/>
          <w:sz w:val="20"/>
          <w:szCs w:val="20"/>
          <w:lang w:val="en-US"/>
        </w:rPr>
        <w:t>patients</w:t>
      </w:r>
      <w:r w:rsidRPr="00214987">
        <w:rPr>
          <w:rFonts w:ascii="Arial" w:hAnsi="Arial" w:cs="Arial"/>
          <w:noProof/>
          <w:sz w:val="20"/>
          <w:szCs w:val="20"/>
          <w:lang w:val="en-US"/>
        </w:rPr>
        <w:t xml:space="preserve"> with multiple</w:t>
      </w:r>
      <w:r w:rsidR="001637E6" w:rsidRPr="00214987">
        <w:rPr>
          <w:rFonts w:ascii="Arial" w:hAnsi="Arial" w:cs="Arial"/>
          <w:noProof/>
          <w:sz w:val="20"/>
          <w:szCs w:val="20"/>
          <w:lang w:val="en-US"/>
        </w:rPr>
        <w:t xml:space="preserve"> (&gt;1)</w:t>
      </w:r>
      <w:r w:rsidRPr="00214987">
        <w:rPr>
          <w:rFonts w:ascii="Arial" w:hAnsi="Arial" w:cs="Arial"/>
          <w:noProof/>
          <w:sz w:val="20"/>
          <w:szCs w:val="20"/>
          <w:lang w:val="en-US"/>
        </w:rPr>
        <w:t xml:space="preserve"> </w:t>
      </w:r>
      <w:r w:rsidR="00734AAE" w:rsidRPr="00214987">
        <w:rPr>
          <w:rFonts w:ascii="Arial" w:hAnsi="Arial" w:cs="Arial"/>
          <w:noProof/>
          <w:sz w:val="20"/>
          <w:szCs w:val="20"/>
          <w:lang w:val="en-US"/>
        </w:rPr>
        <w:t>AHE</w:t>
      </w:r>
      <w:r w:rsidR="008653AD" w:rsidRPr="00214987">
        <w:rPr>
          <w:rFonts w:ascii="Arial" w:hAnsi="Arial" w:cs="Arial"/>
          <w:noProof/>
          <w:sz w:val="20"/>
          <w:szCs w:val="20"/>
          <w:lang w:val="en-US"/>
        </w:rPr>
        <w:t xml:space="preserve"> </w:t>
      </w:r>
      <w:r w:rsidR="008F1447" w:rsidRPr="00214987">
        <w:rPr>
          <w:rFonts w:ascii="Arial" w:hAnsi="Arial" w:cs="Arial"/>
          <w:noProof/>
          <w:sz w:val="20"/>
          <w:szCs w:val="20"/>
          <w:lang w:val="en-US"/>
        </w:rPr>
        <w:t>[</w:t>
      </w:r>
      <w:r w:rsidR="00EF2D2B" w:rsidRPr="00214987">
        <w:rPr>
          <w:rFonts w:ascii="Arial" w:hAnsi="Arial" w:cs="Arial"/>
          <w:noProof/>
          <w:sz w:val="20"/>
          <w:szCs w:val="20"/>
          <w:lang w:val="en-US"/>
        </w:rPr>
        <w:t>B</w:t>
      </w:r>
      <w:r w:rsidR="008F1447" w:rsidRPr="00214987">
        <w:rPr>
          <w:rFonts w:ascii="Arial" w:hAnsi="Arial" w:cs="Arial"/>
          <w:noProof/>
          <w:sz w:val="20"/>
          <w:szCs w:val="20"/>
          <w:lang w:val="en-US"/>
        </w:rPr>
        <w:t>aseline</w:t>
      </w:r>
      <w:r w:rsidR="00EF2D2B" w:rsidRPr="00214987">
        <w:rPr>
          <w:rFonts w:ascii="Arial" w:hAnsi="Arial" w:cs="Arial"/>
          <w:noProof/>
          <w:sz w:val="20"/>
          <w:szCs w:val="20"/>
          <w:lang w:val="en-US"/>
        </w:rPr>
        <w:t xml:space="preserve">: </w:t>
      </w:r>
      <w:r w:rsidR="008653AD" w:rsidRPr="00214987">
        <w:rPr>
          <w:rFonts w:ascii="Arial" w:hAnsi="Arial" w:cs="Arial"/>
          <w:noProof/>
          <w:sz w:val="20"/>
          <w:szCs w:val="20"/>
          <w:lang w:val="en-US"/>
        </w:rPr>
        <w:t>36.5%</w:t>
      </w:r>
      <w:r w:rsidR="00437A5B" w:rsidRPr="00214987">
        <w:rPr>
          <w:rFonts w:ascii="Arial" w:hAnsi="Arial" w:cs="Arial"/>
          <w:noProof/>
          <w:sz w:val="20"/>
          <w:szCs w:val="20"/>
          <w:lang w:val="en-US"/>
        </w:rPr>
        <w:t>,</w:t>
      </w:r>
      <w:r w:rsidR="005B4D52" w:rsidRPr="00214987">
        <w:rPr>
          <w:rFonts w:ascii="Arial" w:hAnsi="Arial" w:cs="Arial"/>
          <w:noProof/>
          <w:sz w:val="20"/>
          <w:szCs w:val="20"/>
          <w:lang w:val="en-US"/>
        </w:rPr>
        <w:t>(</w:t>
      </w:r>
      <w:r w:rsidR="008653AD" w:rsidRPr="00214987">
        <w:rPr>
          <w:rFonts w:ascii="Arial" w:hAnsi="Arial" w:cs="Arial"/>
          <w:noProof/>
          <w:sz w:val="20"/>
          <w:szCs w:val="20"/>
          <w:lang w:val="en-US"/>
        </w:rPr>
        <w:t>38</w:t>
      </w:r>
      <w:r w:rsidR="00DA7B4D" w:rsidRPr="00214987">
        <w:rPr>
          <w:rFonts w:ascii="Arial" w:hAnsi="Arial" w:cs="Arial"/>
          <w:noProof/>
          <w:sz w:val="20"/>
          <w:szCs w:val="20"/>
          <w:lang w:val="en-US"/>
        </w:rPr>
        <w:t>/104</w:t>
      </w:r>
      <w:r w:rsidR="005B4D52" w:rsidRPr="00214987">
        <w:rPr>
          <w:rFonts w:ascii="Arial" w:hAnsi="Arial" w:cs="Arial"/>
          <w:noProof/>
          <w:sz w:val="20"/>
          <w:szCs w:val="20"/>
          <w:lang w:val="en-US"/>
        </w:rPr>
        <w:t>)</w:t>
      </w:r>
      <w:r w:rsidR="00F86831" w:rsidRPr="00214987">
        <w:rPr>
          <w:rFonts w:ascii="Arial" w:hAnsi="Arial" w:cs="Arial"/>
          <w:noProof/>
          <w:sz w:val="20"/>
          <w:szCs w:val="20"/>
          <w:lang w:val="en-US"/>
        </w:rPr>
        <w:t xml:space="preserve"> to</w:t>
      </w:r>
      <w:r w:rsidR="008F1447" w:rsidRPr="00214987">
        <w:rPr>
          <w:rFonts w:ascii="Arial" w:hAnsi="Arial" w:cs="Arial"/>
          <w:noProof/>
          <w:sz w:val="20"/>
          <w:szCs w:val="20"/>
          <w:lang w:val="en-US"/>
        </w:rPr>
        <w:t xml:space="preserve"> </w:t>
      </w:r>
      <w:r w:rsidR="008653AD" w:rsidRPr="00214987">
        <w:rPr>
          <w:rFonts w:ascii="Arial" w:hAnsi="Arial" w:cs="Arial"/>
          <w:noProof/>
          <w:sz w:val="20"/>
          <w:szCs w:val="20"/>
          <w:lang w:val="en-US"/>
        </w:rPr>
        <w:t>15.4%,</w:t>
      </w:r>
      <w:r w:rsidR="005B4D52" w:rsidRPr="00214987">
        <w:rPr>
          <w:rFonts w:ascii="Arial" w:hAnsi="Arial" w:cs="Arial"/>
          <w:noProof/>
          <w:sz w:val="20"/>
          <w:szCs w:val="20"/>
          <w:lang w:val="en-US"/>
        </w:rPr>
        <w:t>(</w:t>
      </w:r>
      <w:r w:rsidR="008653AD" w:rsidRPr="00214987">
        <w:rPr>
          <w:rFonts w:ascii="Arial" w:hAnsi="Arial" w:cs="Arial"/>
          <w:noProof/>
          <w:sz w:val="20"/>
          <w:szCs w:val="20"/>
          <w:lang w:val="en-US"/>
        </w:rPr>
        <w:t>16</w:t>
      </w:r>
      <w:r w:rsidR="00DA7B4D" w:rsidRPr="00214987">
        <w:rPr>
          <w:rFonts w:ascii="Arial" w:hAnsi="Arial" w:cs="Arial"/>
          <w:noProof/>
          <w:sz w:val="20"/>
          <w:szCs w:val="20"/>
          <w:lang w:val="en-US"/>
        </w:rPr>
        <w:t>/104</w:t>
      </w:r>
      <w:r w:rsidR="005B4D52" w:rsidRPr="00214987">
        <w:rPr>
          <w:rFonts w:ascii="Arial" w:hAnsi="Arial" w:cs="Arial"/>
          <w:noProof/>
          <w:sz w:val="20"/>
          <w:szCs w:val="20"/>
          <w:lang w:val="en-US"/>
        </w:rPr>
        <w:t>)</w:t>
      </w:r>
      <w:r w:rsidR="00D416E8" w:rsidRPr="00214987">
        <w:rPr>
          <w:rFonts w:ascii="Arial" w:hAnsi="Arial" w:cs="Arial"/>
          <w:noProof/>
          <w:sz w:val="20"/>
          <w:szCs w:val="20"/>
          <w:lang w:val="en-US"/>
        </w:rPr>
        <w:t>,</w:t>
      </w:r>
      <w:r w:rsidR="008653AD" w:rsidRPr="00214987">
        <w:rPr>
          <w:rFonts w:ascii="Arial" w:hAnsi="Arial" w:cs="Arial"/>
          <w:noProof/>
          <w:sz w:val="20"/>
          <w:szCs w:val="20"/>
          <w:lang w:val="en-US"/>
        </w:rPr>
        <w:t xml:space="preserve"> P=0.00</w:t>
      </w:r>
      <w:r w:rsidR="00D52E50" w:rsidRPr="00214987">
        <w:rPr>
          <w:rFonts w:ascii="Arial" w:hAnsi="Arial" w:cs="Arial"/>
          <w:noProof/>
          <w:sz w:val="20"/>
          <w:szCs w:val="20"/>
          <w:lang w:val="en-US"/>
        </w:rPr>
        <w:t>7</w:t>
      </w:r>
      <w:r w:rsidR="008F1447" w:rsidRPr="00214987">
        <w:rPr>
          <w:rFonts w:ascii="Arial" w:hAnsi="Arial" w:cs="Arial"/>
          <w:noProof/>
          <w:sz w:val="20"/>
          <w:szCs w:val="20"/>
          <w:lang w:val="en-US"/>
        </w:rPr>
        <w:t>]</w:t>
      </w:r>
      <w:r w:rsidR="00F6574C" w:rsidRPr="00214987">
        <w:rPr>
          <w:rFonts w:ascii="Arial" w:hAnsi="Arial" w:cs="Arial"/>
          <w:noProof/>
          <w:sz w:val="20"/>
          <w:szCs w:val="20"/>
          <w:lang w:val="en-US"/>
        </w:rPr>
        <w:t xml:space="preserve">. </w:t>
      </w:r>
      <w:r w:rsidR="004C6D9A" w:rsidRPr="00214987">
        <w:rPr>
          <w:rFonts w:ascii="Arial" w:hAnsi="Arial" w:cs="Arial"/>
          <w:noProof/>
          <w:sz w:val="20"/>
          <w:szCs w:val="20"/>
          <w:lang w:val="en-US"/>
        </w:rPr>
        <w:t>Omalizumab</w:t>
      </w:r>
      <w:r w:rsidR="00F6574C" w:rsidRPr="00214987">
        <w:rPr>
          <w:rFonts w:ascii="Arial" w:hAnsi="Arial" w:cs="Arial"/>
          <w:noProof/>
          <w:sz w:val="20"/>
          <w:szCs w:val="20"/>
          <w:lang w:val="en-US"/>
        </w:rPr>
        <w:t xml:space="preserve"> (Figure </w:t>
      </w:r>
      <w:r w:rsidR="00317022">
        <w:rPr>
          <w:rFonts w:ascii="Arial" w:hAnsi="Arial" w:cs="Arial"/>
          <w:noProof/>
          <w:sz w:val="20"/>
          <w:szCs w:val="20"/>
          <w:lang w:val="en-US"/>
        </w:rPr>
        <w:t>2</w:t>
      </w:r>
      <w:r w:rsidR="00F6574C" w:rsidRPr="00214987">
        <w:rPr>
          <w:rFonts w:ascii="Arial" w:hAnsi="Arial" w:cs="Arial"/>
          <w:noProof/>
          <w:sz w:val="20"/>
          <w:szCs w:val="20"/>
          <w:lang w:val="en-US"/>
        </w:rPr>
        <w:t>)</w:t>
      </w:r>
      <w:r w:rsidRPr="00214987">
        <w:rPr>
          <w:rFonts w:ascii="Arial" w:hAnsi="Arial" w:cs="Arial"/>
          <w:noProof/>
          <w:sz w:val="20"/>
          <w:szCs w:val="20"/>
          <w:lang w:val="en-US"/>
        </w:rPr>
        <w:t xml:space="preserve"> also </w:t>
      </w:r>
      <w:r w:rsidR="00474226" w:rsidRPr="00214987">
        <w:rPr>
          <w:rFonts w:ascii="Arial" w:hAnsi="Arial" w:cs="Arial"/>
          <w:noProof/>
          <w:sz w:val="20"/>
          <w:szCs w:val="20"/>
          <w:lang w:val="en-US"/>
        </w:rPr>
        <w:t xml:space="preserve">significantly </w:t>
      </w:r>
      <w:r w:rsidRPr="00214987">
        <w:rPr>
          <w:rFonts w:ascii="Arial" w:hAnsi="Arial" w:cs="Arial"/>
          <w:noProof/>
          <w:sz w:val="20"/>
          <w:szCs w:val="20"/>
          <w:lang w:val="en-US"/>
        </w:rPr>
        <w:t>improved</w:t>
      </w:r>
      <w:r w:rsidR="00B678E6" w:rsidRPr="00214987">
        <w:rPr>
          <w:rFonts w:ascii="Arial" w:hAnsi="Arial" w:cs="Arial"/>
          <w:noProof/>
          <w:sz w:val="20"/>
          <w:szCs w:val="20"/>
          <w:lang w:val="en-US"/>
        </w:rPr>
        <w:t xml:space="preserve"> asthma control</w:t>
      </w:r>
      <w:r w:rsidR="009014BB" w:rsidRPr="00214987">
        <w:rPr>
          <w:rFonts w:ascii="Arial" w:hAnsi="Arial" w:cs="Arial"/>
          <w:noProof/>
          <w:sz w:val="20"/>
          <w:szCs w:val="20"/>
          <w:lang w:val="en-US"/>
        </w:rPr>
        <w:t xml:space="preserve"> [</w:t>
      </w:r>
      <w:r w:rsidR="00F6574C" w:rsidRPr="00214987">
        <w:rPr>
          <w:rFonts w:ascii="Arial" w:hAnsi="Arial" w:cs="Arial"/>
          <w:noProof/>
          <w:sz w:val="20"/>
          <w:szCs w:val="20"/>
          <w:lang w:val="en-US"/>
        </w:rPr>
        <w:t>Mean(</w:t>
      </w:r>
      <w:r w:rsidR="009014BB" w:rsidRPr="00214987">
        <w:rPr>
          <w:rFonts w:ascii="Arial" w:hAnsi="Arial" w:cs="Arial"/>
          <w:noProof/>
          <w:sz w:val="20"/>
          <w:szCs w:val="20"/>
          <w:lang w:val="en-US"/>
        </w:rPr>
        <w:t>SD) ACQ6</w:t>
      </w:r>
      <w:r w:rsidR="002939F6" w:rsidRPr="00214987">
        <w:rPr>
          <w:rFonts w:ascii="Arial" w:hAnsi="Arial" w:cs="Arial"/>
          <w:noProof/>
          <w:sz w:val="20"/>
          <w:szCs w:val="20"/>
          <w:lang w:val="en-US"/>
        </w:rPr>
        <w:t>,</w:t>
      </w:r>
      <w:r w:rsidR="009014BB" w:rsidRPr="00214987">
        <w:rPr>
          <w:rFonts w:ascii="Arial" w:hAnsi="Arial" w:cs="Arial"/>
          <w:noProof/>
          <w:sz w:val="20"/>
          <w:szCs w:val="20"/>
          <w:lang w:val="en-US"/>
        </w:rPr>
        <w:t xml:space="preserve"> baseline</w:t>
      </w:r>
      <w:r w:rsidR="0076419D" w:rsidRPr="00214987">
        <w:rPr>
          <w:rFonts w:ascii="Arial" w:hAnsi="Arial" w:cs="Arial"/>
          <w:noProof/>
          <w:sz w:val="20"/>
          <w:szCs w:val="20"/>
          <w:lang w:val="en-US"/>
        </w:rPr>
        <w:t>:</w:t>
      </w:r>
      <w:r w:rsidR="009014BB" w:rsidRPr="00214987">
        <w:rPr>
          <w:rFonts w:ascii="Arial" w:hAnsi="Arial" w:cs="Arial"/>
          <w:noProof/>
          <w:sz w:val="20"/>
          <w:szCs w:val="20"/>
          <w:lang w:val="en-US"/>
        </w:rPr>
        <w:t xml:space="preserve"> 2.96(1.26) </w:t>
      </w:r>
      <w:r w:rsidR="008F1447" w:rsidRPr="00214987">
        <w:rPr>
          <w:rFonts w:ascii="Arial" w:hAnsi="Arial" w:cs="Arial"/>
          <w:noProof/>
          <w:sz w:val="20"/>
          <w:szCs w:val="20"/>
          <w:lang w:val="en-US"/>
        </w:rPr>
        <w:t>to</w:t>
      </w:r>
      <w:r w:rsidR="009014BB" w:rsidRPr="00214987">
        <w:rPr>
          <w:rFonts w:ascii="Arial" w:hAnsi="Arial" w:cs="Arial"/>
          <w:noProof/>
          <w:sz w:val="20"/>
          <w:szCs w:val="20"/>
          <w:lang w:val="en-US"/>
        </w:rPr>
        <w:t xml:space="preserve"> 1.64(1.12)</w:t>
      </w:r>
      <w:r w:rsidR="00456213" w:rsidRPr="00214987">
        <w:rPr>
          <w:rFonts w:ascii="Arial" w:hAnsi="Arial" w:cs="Arial"/>
          <w:noProof/>
          <w:sz w:val="20"/>
          <w:szCs w:val="20"/>
          <w:lang w:val="en-US"/>
        </w:rPr>
        <w:t xml:space="preserve">, </w:t>
      </w:r>
      <w:r w:rsidR="009014BB" w:rsidRPr="00214987">
        <w:rPr>
          <w:rFonts w:ascii="Arial" w:hAnsi="Arial" w:cs="Arial"/>
          <w:noProof/>
          <w:sz w:val="20"/>
          <w:szCs w:val="20"/>
          <w:lang w:val="en-US"/>
        </w:rPr>
        <w:t>P &lt;0.001]</w:t>
      </w:r>
      <w:r w:rsidR="00B678E6" w:rsidRPr="00214987">
        <w:rPr>
          <w:rFonts w:ascii="Arial" w:hAnsi="Arial" w:cs="Arial"/>
          <w:noProof/>
          <w:sz w:val="20"/>
          <w:szCs w:val="20"/>
          <w:lang w:val="en-US"/>
        </w:rPr>
        <w:t>,</w:t>
      </w:r>
      <w:r w:rsidRPr="00214987">
        <w:rPr>
          <w:rFonts w:ascii="Arial" w:hAnsi="Arial" w:cs="Arial"/>
          <w:noProof/>
          <w:sz w:val="20"/>
          <w:szCs w:val="20"/>
          <w:lang w:val="en-US"/>
        </w:rPr>
        <w:t xml:space="preserve"> </w:t>
      </w:r>
      <w:r w:rsidR="0084641C" w:rsidRPr="00214987">
        <w:rPr>
          <w:rFonts w:ascii="Arial" w:eastAsia="Times New Roman" w:hAnsi="Arial" w:cs="Arial"/>
          <w:noProof/>
          <w:sz w:val="20"/>
          <w:szCs w:val="20"/>
          <w:lang w:val="en-US" w:eastAsia="en-MY"/>
        </w:rPr>
        <w:t>Clinic</w:t>
      </w:r>
      <w:r w:rsidR="006F203F" w:rsidRPr="00214987">
        <w:rPr>
          <w:rFonts w:ascii="Arial" w:eastAsia="Times New Roman" w:hAnsi="Arial" w:cs="Arial"/>
          <w:noProof/>
          <w:sz w:val="20"/>
          <w:szCs w:val="20"/>
          <w:lang w:val="en-US" w:eastAsia="en-MY"/>
        </w:rPr>
        <w:t xml:space="preserve"> FEV</w:t>
      </w:r>
      <w:r w:rsidR="006F203F" w:rsidRPr="00214987">
        <w:rPr>
          <w:rFonts w:ascii="Arial" w:eastAsia="Times New Roman" w:hAnsi="Arial" w:cs="Arial"/>
          <w:noProof/>
          <w:sz w:val="20"/>
          <w:szCs w:val="20"/>
          <w:vertAlign w:val="subscript"/>
          <w:lang w:val="en-US" w:eastAsia="en-MY"/>
        </w:rPr>
        <w:t>1</w:t>
      </w:r>
      <w:r w:rsidR="00F745C3" w:rsidRPr="00214987">
        <w:rPr>
          <w:rFonts w:ascii="Arial" w:eastAsia="Times New Roman" w:hAnsi="Arial" w:cs="Arial"/>
          <w:noProof/>
          <w:sz w:val="20"/>
          <w:szCs w:val="20"/>
          <w:lang w:val="en-US" w:eastAsia="en-MY"/>
        </w:rPr>
        <w:t xml:space="preserve">% </w:t>
      </w:r>
      <w:r w:rsidR="00F745C3" w:rsidRPr="00214987">
        <w:rPr>
          <w:rFonts w:ascii="Arial" w:hAnsi="Arial" w:cs="Arial"/>
          <w:noProof/>
          <w:sz w:val="20"/>
          <w:szCs w:val="20"/>
          <w:lang w:val="en-US"/>
        </w:rPr>
        <w:t>[</w:t>
      </w:r>
      <w:r w:rsidR="00F6574C" w:rsidRPr="00214987">
        <w:rPr>
          <w:rFonts w:ascii="Arial" w:hAnsi="Arial" w:cs="Arial"/>
          <w:noProof/>
          <w:sz w:val="20"/>
          <w:szCs w:val="20"/>
          <w:lang w:val="en-US"/>
        </w:rPr>
        <w:t>Mean(</w:t>
      </w:r>
      <w:r w:rsidR="009014BB" w:rsidRPr="00214987">
        <w:rPr>
          <w:rFonts w:ascii="Arial" w:hAnsi="Arial" w:cs="Arial"/>
          <w:noProof/>
          <w:sz w:val="20"/>
          <w:szCs w:val="20"/>
          <w:lang w:val="en-US"/>
        </w:rPr>
        <w:t>SD)</w:t>
      </w:r>
      <w:r w:rsidR="002939F6" w:rsidRPr="00214987">
        <w:rPr>
          <w:rFonts w:ascii="Arial" w:hAnsi="Arial" w:cs="Arial"/>
          <w:noProof/>
          <w:sz w:val="20"/>
          <w:szCs w:val="20"/>
          <w:lang w:val="en-US"/>
        </w:rPr>
        <w:t>,</w:t>
      </w:r>
      <w:r w:rsidR="009014BB" w:rsidRPr="00214987">
        <w:rPr>
          <w:rFonts w:ascii="Arial" w:hAnsi="Arial" w:cs="Arial"/>
          <w:noProof/>
          <w:sz w:val="20"/>
          <w:szCs w:val="20"/>
          <w:lang w:val="en-US"/>
        </w:rPr>
        <w:t xml:space="preserve"> baseline</w:t>
      </w:r>
      <w:r w:rsidR="0076419D" w:rsidRPr="00214987">
        <w:rPr>
          <w:rFonts w:ascii="Arial" w:hAnsi="Arial" w:cs="Arial"/>
          <w:noProof/>
          <w:sz w:val="20"/>
          <w:szCs w:val="20"/>
          <w:lang w:val="en-US"/>
        </w:rPr>
        <w:t xml:space="preserve">: </w:t>
      </w:r>
      <w:r w:rsidR="009014BB" w:rsidRPr="00214987">
        <w:rPr>
          <w:rFonts w:ascii="Arial" w:hAnsi="Arial" w:cs="Arial"/>
          <w:noProof/>
          <w:sz w:val="20"/>
          <w:szCs w:val="20"/>
          <w:lang w:val="en-US"/>
        </w:rPr>
        <w:t xml:space="preserve">67.34(25.93) </w:t>
      </w:r>
      <w:r w:rsidR="008F1447" w:rsidRPr="00214987">
        <w:rPr>
          <w:rFonts w:ascii="Arial" w:hAnsi="Arial" w:cs="Arial"/>
          <w:noProof/>
          <w:sz w:val="20"/>
          <w:szCs w:val="20"/>
          <w:lang w:val="en-US"/>
        </w:rPr>
        <w:t>to</w:t>
      </w:r>
      <w:r w:rsidR="009014BB" w:rsidRPr="00214987">
        <w:rPr>
          <w:rFonts w:ascii="Arial" w:hAnsi="Arial" w:cs="Arial"/>
          <w:noProof/>
          <w:sz w:val="20"/>
          <w:szCs w:val="20"/>
          <w:lang w:val="en-US"/>
        </w:rPr>
        <w:t xml:space="preserve"> 75.40(21.79)</w:t>
      </w:r>
      <w:r w:rsidR="008F1447" w:rsidRPr="00214987">
        <w:rPr>
          <w:rFonts w:ascii="Arial" w:hAnsi="Arial" w:cs="Arial"/>
          <w:noProof/>
          <w:sz w:val="20"/>
          <w:szCs w:val="20"/>
          <w:lang w:val="en-US"/>
        </w:rPr>
        <w:t>,</w:t>
      </w:r>
      <w:r w:rsidR="009014BB" w:rsidRPr="00214987">
        <w:rPr>
          <w:rFonts w:ascii="Arial" w:hAnsi="Arial" w:cs="Arial"/>
          <w:noProof/>
          <w:sz w:val="20"/>
          <w:szCs w:val="20"/>
          <w:lang w:val="en-US"/>
        </w:rPr>
        <w:t xml:space="preserve"> P&lt;0.001] </w:t>
      </w:r>
      <w:r w:rsidRPr="00214987">
        <w:rPr>
          <w:rFonts w:ascii="Arial" w:hAnsi="Arial" w:cs="Arial"/>
          <w:noProof/>
          <w:sz w:val="20"/>
          <w:szCs w:val="20"/>
          <w:lang w:val="en-US"/>
        </w:rPr>
        <w:t xml:space="preserve">and reduced </w:t>
      </w:r>
      <w:r w:rsidR="00EC2ED7" w:rsidRPr="00214987">
        <w:rPr>
          <w:rFonts w:ascii="Arial" w:hAnsi="Arial" w:cs="Arial"/>
          <w:noProof/>
          <w:sz w:val="20"/>
          <w:szCs w:val="20"/>
          <w:lang w:val="en-US"/>
        </w:rPr>
        <w:t>PBE</w:t>
      </w:r>
      <w:r w:rsidR="008F1447" w:rsidRPr="00214987">
        <w:rPr>
          <w:rFonts w:ascii="Arial" w:hAnsi="Arial" w:cs="Arial"/>
          <w:noProof/>
          <w:sz w:val="20"/>
          <w:szCs w:val="20"/>
          <w:lang w:val="en-US"/>
        </w:rPr>
        <w:t xml:space="preserve"> </w:t>
      </w:r>
      <w:r w:rsidR="008440E0" w:rsidRPr="00214987">
        <w:rPr>
          <w:rFonts w:ascii="Arial" w:hAnsi="Arial" w:cs="Arial"/>
          <w:noProof/>
          <w:sz w:val="20"/>
          <w:szCs w:val="20"/>
          <w:lang w:val="en-US"/>
        </w:rPr>
        <w:t xml:space="preserve">(cells/μL) </w:t>
      </w:r>
      <w:r w:rsidR="008F1447" w:rsidRPr="00214987">
        <w:rPr>
          <w:rFonts w:ascii="Arial" w:hAnsi="Arial" w:cs="Arial"/>
          <w:noProof/>
          <w:sz w:val="20"/>
          <w:szCs w:val="20"/>
          <w:lang w:val="en-US"/>
        </w:rPr>
        <w:t>[</w:t>
      </w:r>
      <w:r w:rsidR="00F6574C" w:rsidRPr="00214987">
        <w:rPr>
          <w:rFonts w:ascii="Arial" w:hAnsi="Arial" w:cs="Arial"/>
          <w:noProof/>
          <w:sz w:val="20"/>
          <w:szCs w:val="20"/>
          <w:lang w:val="en-US"/>
        </w:rPr>
        <w:t>Median(</w:t>
      </w:r>
      <w:r w:rsidR="008F1447" w:rsidRPr="00214987">
        <w:rPr>
          <w:rFonts w:ascii="Arial" w:hAnsi="Arial" w:cs="Arial"/>
          <w:noProof/>
          <w:sz w:val="20"/>
          <w:szCs w:val="20"/>
          <w:lang w:val="en-US"/>
        </w:rPr>
        <w:t>IQR)</w:t>
      </w:r>
      <w:r w:rsidR="002939F6" w:rsidRPr="00214987">
        <w:rPr>
          <w:rFonts w:ascii="Arial" w:hAnsi="Arial" w:cs="Arial"/>
          <w:noProof/>
          <w:sz w:val="20"/>
          <w:szCs w:val="20"/>
          <w:lang w:val="en-US"/>
        </w:rPr>
        <w:t xml:space="preserve"> baseline</w:t>
      </w:r>
      <w:r w:rsidR="008F1447" w:rsidRPr="00214987">
        <w:rPr>
          <w:rFonts w:ascii="Arial" w:hAnsi="Arial" w:cs="Arial"/>
          <w:noProof/>
          <w:sz w:val="20"/>
          <w:szCs w:val="20"/>
          <w:lang w:val="en-US"/>
        </w:rPr>
        <w:t>: 200(400) to 200(200)</w:t>
      </w:r>
      <w:r w:rsidR="00456213" w:rsidRPr="00214987">
        <w:rPr>
          <w:rFonts w:ascii="Arial" w:hAnsi="Arial" w:cs="Arial"/>
          <w:noProof/>
          <w:sz w:val="20"/>
          <w:szCs w:val="20"/>
          <w:lang w:val="en-US"/>
        </w:rPr>
        <w:t xml:space="preserve">, </w:t>
      </w:r>
      <w:r w:rsidR="008F1447" w:rsidRPr="00214987">
        <w:rPr>
          <w:rFonts w:ascii="Arial" w:hAnsi="Arial" w:cs="Arial"/>
          <w:noProof/>
          <w:sz w:val="20"/>
          <w:szCs w:val="20"/>
          <w:lang w:val="en-US"/>
        </w:rPr>
        <w:t>P=0.002]</w:t>
      </w:r>
      <w:r w:rsidR="008653AD" w:rsidRPr="00214987">
        <w:rPr>
          <w:rFonts w:ascii="Arial" w:hAnsi="Arial" w:cs="Arial"/>
          <w:noProof/>
          <w:sz w:val="20"/>
          <w:szCs w:val="20"/>
          <w:lang w:val="en-US"/>
        </w:rPr>
        <w:t xml:space="preserve">. </w:t>
      </w:r>
      <w:r w:rsidR="004F66BD" w:rsidRPr="00214987">
        <w:rPr>
          <w:rFonts w:ascii="Arial" w:hAnsi="Arial" w:cs="Arial"/>
          <w:noProof/>
          <w:sz w:val="20"/>
          <w:szCs w:val="20"/>
          <w:lang w:val="en-US"/>
        </w:rPr>
        <w:t>However, it did not significantly reduce</w:t>
      </w:r>
      <w:r w:rsidRPr="00214987">
        <w:rPr>
          <w:rFonts w:ascii="Arial" w:hAnsi="Arial" w:cs="Arial"/>
          <w:noProof/>
          <w:sz w:val="20"/>
          <w:szCs w:val="20"/>
          <w:lang w:val="en-US"/>
        </w:rPr>
        <w:t xml:space="preserve"> </w:t>
      </w:r>
      <w:r w:rsidR="00474226" w:rsidRPr="00214987">
        <w:rPr>
          <w:rFonts w:ascii="Arial" w:hAnsi="Arial" w:cs="Arial"/>
          <w:noProof/>
          <w:sz w:val="20"/>
          <w:szCs w:val="20"/>
          <w:lang w:val="en-US"/>
        </w:rPr>
        <w:t>m</w:t>
      </w:r>
      <w:r w:rsidRPr="00214987">
        <w:rPr>
          <w:rFonts w:ascii="Arial" w:hAnsi="Arial" w:cs="Arial"/>
          <w:noProof/>
          <w:sz w:val="20"/>
          <w:szCs w:val="20"/>
          <w:lang w:val="en-US"/>
        </w:rPr>
        <w:t>OCS</w:t>
      </w:r>
      <w:r w:rsidR="00C95CF4" w:rsidRPr="00214987">
        <w:rPr>
          <w:rFonts w:ascii="Arial" w:hAnsi="Arial" w:cs="Arial"/>
          <w:noProof/>
          <w:sz w:val="20"/>
          <w:szCs w:val="20"/>
          <w:lang w:val="en-US"/>
        </w:rPr>
        <w:t xml:space="preserve"> dependency</w:t>
      </w:r>
      <w:r w:rsidR="008614A8" w:rsidRPr="00214987">
        <w:rPr>
          <w:rFonts w:ascii="Arial" w:hAnsi="Arial" w:cs="Arial"/>
          <w:noProof/>
          <w:sz w:val="20"/>
          <w:szCs w:val="20"/>
          <w:lang w:val="en-US"/>
        </w:rPr>
        <w:t xml:space="preserve"> </w:t>
      </w:r>
      <w:r w:rsidR="003F144E" w:rsidRPr="00214987">
        <w:rPr>
          <w:rFonts w:ascii="Arial" w:hAnsi="Arial" w:cs="Arial"/>
          <w:noProof/>
          <w:sz w:val="20"/>
          <w:szCs w:val="20"/>
          <w:lang w:val="en-US"/>
        </w:rPr>
        <w:t>[</w:t>
      </w:r>
      <w:r w:rsidR="008614A8" w:rsidRPr="00214987">
        <w:rPr>
          <w:rFonts w:ascii="Arial" w:hAnsi="Arial" w:cs="Arial"/>
          <w:noProof/>
          <w:sz w:val="20"/>
          <w:szCs w:val="20"/>
          <w:lang w:val="en-US"/>
        </w:rPr>
        <w:t>Baseline</w:t>
      </w:r>
      <w:r w:rsidR="003F144E" w:rsidRPr="00214987">
        <w:rPr>
          <w:rFonts w:ascii="Arial" w:hAnsi="Arial" w:cs="Arial"/>
          <w:noProof/>
          <w:sz w:val="20"/>
          <w:szCs w:val="20"/>
          <w:lang w:val="en-US"/>
        </w:rPr>
        <w:t xml:space="preserve">: </w:t>
      </w:r>
      <w:r w:rsidR="007D55BF" w:rsidRPr="00214987">
        <w:rPr>
          <w:rFonts w:ascii="Arial" w:hAnsi="Arial" w:cs="Arial"/>
          <w:noProof/>
          <w:sz w:val="20"/>
          <w:szCs w:val="20"/>
          <w:lang w:val="en-US"/>
        </w:rPr>
        <w:t>48.1%, (</w:t>
      </w:r>
      <w:r w:rsidR="00091B9C" w:rsidRPr="00214987">
        <w:rPr>
          <w:rFonts w:ascii="Arial" w:hAnsi="Arial" w:cs="Arial"/>
          <w:noProof/>
          <w:sz w:val="20"/>
          <w:szCs w:val="20"/>
          <w:lang w:val="en-US"/>
        </w:rPr>
        <w:t>50</w:t>
      </w:r>
      <w:r w:rsidR="003F144E" w:rsidRPr="00214987">
        <w:rPr>
          <w:rFonts w:ascii="Arial" w:hAnsi="Arial" w:cs="Arial"/>
          <w:noProof/>
          <w:sz w:val="20"/>
          <w:szCs w:val="20"/>
          <w:lang w:val="en-US"/>
        </w:rPr>
        <w:t>/104</w:t>
      </w:r>
      <w:r w:rsidR="007D55BF" w:rsidRPr="00214987">
        <w:rPr>
          <w:rFonts w:ascii="Arial" w:hAnsi="Arial" w:cs="Arial"/>
          <w:noProof/>
          <w:sz w:val="20"/>
          <w:szCs w:val="20"/>
          <w:lang w:val="en-US"/>
        </w:rPr>
        <w:t>)</w:t>
      </w:r>
      <w:r w:rsidR="00456213" w:rsidRPr="00214987">
        <w:rPr>
          <w:rFonts w:ascii="Arial" w:hAnsi="Arial" w:cs="Arial"/>
          <w:noProof/>
          <w:sz w:val="20"/>
          <w:szCs w:val="20"/>
          <w:lang w:val="en-US"/>
        </w:rPr>
        <w:t xml:space="preserve"> to </w:t>
      </w:r>
      <w:r w:rsidR="001C467F" w:rsidRPr="00214987">
        <w:rPr>
          <w:rFonts w:ascii="Arial" w:hAnsi="Arial" w:cs="Arial"/>
          <w:noProof/>
          <w:sz w:val="20"/>
          <w:szCs w:val="20"/>
          <w:lang w:val="en-US"/>
        </w:rPr>
        <w:t>41.6</w:t>
      </w:r>
      <w:r w:rsidR="001871DF" w:rsidRPr="00214987">
        <w:rPr>
          <w:rFonts w:ascii="Arial" w:hAnsi="Arial" w:cs="Arial"/>
          <w:noProof/>
          <w:sz w:val="20"/>
          <w:szCs w:val="20"/>
          <w:lang w:val="en-US"/>
        </w:rPr>
        <w:t>%</w:t>
      </w:r>
      <w:r w:rsidR="001C467F" w:rsidRPr="00214987">
        <w:rPr>
          <w:rFonts w:ascii="Arial" w:hAnsi="Arial" w:cs="Arial"/>
          <w:noProof/>
          <w:sz w:val="20"/>
          <w:szCs w:val="20"/>
          <w:lang w:val="en-US"/>
        </w:rPr>
        <w:t xml:space="preserve"> (</w:t>
      </w:r>
      <w:r w:rsidR="007420EB" w:rsidRPr="00214987">
        <w:rPr>
          <w:rFonts w:ascii="Arial" w:hAnsi="Arial" w:cs="Arial"/>
          <w:noProof/>
          <w:sz w:val="20"/>
          <w:szCs w:val="20"/>
          <w:lang w:val="en-US"/>
        </w:rPr>
        <w:t>42/101</w:t>
      </w:r>
      <w:r w:rsidR="001C467F" w:rsidRPr="00214987">
        <w:rPr>
          <w:rFonts w:ascii="Arial" w:hAnsi="Arial" w:cs="Arial"/>
          <w:noProof/>
          <w:sz w:val="20"/>
          <w:szCs w:val="20"/>
          <w:lang w:val="en-US"/>
        </w:rPr>
        <w:t>)</w:t>
      </w:r>
      <w:r w:rsidR="00AC7607" w:rsidRPr="00214987">
        <w:rPr>
          <w:rFonts w:ascii="Arial" w:hAnsi="Arial" w:cs="Arial"/>
          <w:noProof/>
          <w:sz w:val="20"/>
          <w:szCs w:val="20"/>
          <w:lang w:val="en-US"/>
        </w:rPr>
        <w:t>, P=NS</w:t>
      </w:r>
      <w:r w:rsidR="00801D44" w:rsidRPr="00214987">
        <w:rPr>
          <w:rFonts w:ascii="Arial" w:hAnsi="Arial" w:cs="Arial"/>
          <w:noProof/>
          <w:sz w:val="20"/>
          <w:szCs w:val="20"/>
          <w:lang w:val="en-US"/>
        </w:rPr>
        <w:t>]</w:t>
      </w:r>
      <w:r w:rsidR="004F66BD" w:rsidRPr="00214987">
        <w:rPr>
          <w:rFonts w:ascii="Arial" w:hAnsi="Arial" w:cs="Arial"/>
          <w:noProof/>
          <w:sz w:val="20"/>
          <w:szCs w:val="20"/>
          <w:lang w:val="en-US"/>
        </w:rPr>
        <w:t>.</w:t>
      </w:r>
      <w:r w:rsidR="00456A19" w:rsidRPr="00214987">
        <w:rPr>
          <w:rFonts w:ascii="Arial" w:hAnsi="Arial" w:cs="Arial"/>
          <w:noProof/>
          <w:sz w:val="20"/>
          <w:szCs w:val="20"/>
          <w:lang w:val="en-US"/>
        </w:rPr>
        <w:t xml:space="preserve"> </w:t>
      </w:r>
    </w:p>
    <w:p w14:paraId="0D4ABD38" w14:textId="63E89D34" w:rsidR="002B23E8" w:rsidRPr="00214987" w:rsidRDefault="00BC533A" w:rsidP="00AB4CB7">
      <w:pPr>
        <w:spacing w:line="480" w:lineRule="auto"/>
        <w:rPr>
          <w:rFonts w:ascii="Arial" w:hAnsi="Arial" w:cs="Arial"/>
          <w:noProof/>
          <w:sz w:val="20"/>
          <w:szCs w:val="20"/>
          <w:lang w:val="en-US"/>
        </w:rPr>
      </w:pPr>
      <w:r w:rsidRPr="00214987">
        <w:rPr>
          <w:rFonts w:ascii="Arial" w:hAnsi="Arial" w:cs="Arial"/>
          <w:b/>
          <w:bCs/>
          <w:noProof/>
          <w:sz w:val="20"/>
          <w:szCs w:val="20"/>
          <w:u w:val="single"/>
          <w:lang w:val="en-US"/>
        </w:rPr>
        <w:t>O</w:t>
      </w:r>
      <w:r w:rsidR="00E52391" w:rsidRPr="00214987">
        <w:rPr>
          <w:rFonts w:ascii="Arial" w:hAnsi="Arial" w:cs="Arial"/>
          <w:b/>
          <w:bCs/>
          <w:noProof/>
          <w:sz w:val="20"/>
          <w:szCs w:val="20"/>
          <w:u w:val="single"/>
          <w:lang w:val="en-US"/>
        </w:rPr>
        <w:t>malizumab</w:t>
      </w:r>
      <w:r w:rsidRPr="00214987">
        <w:rPr>
          <w:rFonts w:ascii="Arial" w:hAnsi="Arial" w:cs="Arial"/>
          <w:b/>
          <w:bCs/>
          <w:noProof/>
          <w:sz w:val="20"/>
          <w:szCs w:val="20"/>
          <w:u w:val="single"/>
          <w:lang w:val="en-US"/>
        </w:rPr>
        <w:t xml:space="preserve"> responders</w:t>
      </w:r>
      <w:r w:rsidR="0065265F" w:rsidRPr="00214987">
        <w:rPr>
          <w:rFonts w:ascii="Arial" w:hAnsi="Arial" w:cs="Arial"/>
          <w:b/>
          <w:bCs/>
          <w:noProof/>
          <w:sz w:val="20"/>
          <w:szCs w:val="20"/>
          <w:u w:val="single"/>
          <w:lang w:val="en-US"/>
        </w:rPr>
        <w:t>,</w:t>
      </w:r>
      <w:r w:rsidRPr="00214987">
        <w:rPr>
          <w:rFonts w:ascii="Arial" w:hAnsi="Arial" w:cs="Arial"/>
          <w:b/>
          <w:bCs/>
          <w:noProof/>
          <w:sz w:val="20"/>
          <w:szCs w:val="20"/>
          <w:u w:val="single"/>
          <w:lang w:val="en-US"/>
        </w:rPr>
        <w:t xml:space="preserve"> non-responders </w:t>
      </w:r>
      <w:r w:rsidR="0065265F" w:rsidRPr="00214987">
        <w:rPr>
          <w:rFonts w:ascii="Arial" w:hAnsi="Arial" w:cs="Arial"/>
          <w:b/>
          <w:bCs/>
          <w:noProof/>
          <w:sz w:val="20"/>
          <w:szCs w:val="20"/>
          <w:u w:val="single"/>
          <w:lang w:val="en-US"/>
        </w:rPr>
        <w:t>and super-responders</w:t>
      </w:r>
      <w:r w:rsidR="004F66BD" w:rsidRPr="00214987">
        <w:rPr>
          <w:rFonts w:ascii="Arial" w:hAnsi="Arial" w:cs="Arial"/>
          <w:noProof/>
          <w:sz w:val="20"/>
          <w:szCs w:val="20"/>
          <w:lang w:val="en-US"/>
        </w:rPr>
        <w:br/>
      </w:r>
      <w:r w:rsidR="00645D65" w:rsidRPr="00214987">
        <w:rPr>
          <w:rFonts w:ascii="Arial" w:hAnsi="Arial" w:cs="Arial"/>
          <w:noProof/>
          <w:sz w:val="20"/>
          <w:szCs w:val="20"/>
          <w:lang w:val="en-US"/>
        </w:rPr>
        <w:t>Based on our definitions,</w:t>
      </w:r>
      <w:r w:rsidR="006007DC">
        <w:rPr>
          <w:rFonts w:ascii="Arial" w:hAnsi="Arial" w:cs="Arial"/>
          <w:noProof/>
          <w:sz w:val="20"/>
          <w:szCs w:val="20"/>
          <w:lang w:val="en-US"/>
        </w:rPr>
        <w:t xml:space="preserve"> of </w:t>
      </w:r>
      <w:r w:rsidR="004C6D9A" w:rsidRPr="00214987">
        <w:rPr>
          <w:rFonts w:ascii="Arial" w:hAnsi="Arial" w:cs="Arial"/>
          <w:noProof/>
          <w:sz w:val="20"/>
          <w:szCs w:val="20"/>
          <w:lang w:val="en-US"/>
        </w:rPr>
        <w:t>Omalizumab</w:t>
      </w:r>
      <w:r w:rsidR="006007DC">
        <w:rPr>
          <w:rFonts w:ascii="Arial" w:hAnsi="Arial" w:cs="Arial"/>
          <w:noProof/>
          <w:sz w:val="20"/>
          <w:szCs w:val="20"/>
          <w:lang w:val="en-US"/>
        </w:rPr>
        <w:t xml:space="preserve"> subjects who completed trials</w:t>
      </w:r>
      <w:r w:rsidR="00317022">
        <w:rPr>
          <w:rFonts w:ascii="Arial" w:hAnsi="Arial" w:cs="Arial"/>
          <w:noProof/>
          <w:sz w:val="20"/>
          <w:szCs w:val="20"/>
          <w:lang w:val="en-US"/>
        </w:rPr>
        <w:t xml:space="preserve"> (Figure 1)</w:t>
      </w:r>
      <w:r w:rsidR="006007DC">
        <w:rPr>
          <w:rFonts w:ascii="Arial" w:hAnsi="Arial" w:cs="Arial"/>
          <w:noProof/>
          <w:sz w:val="20"/>
          <w:szCs w:val="20"/>
          <w:lang w:val="en-US"/>
        </w:rPr>
        <w:t xml:space="preserve">, </w:t>
      </w:r>
      <w:r w:rsidR="00645D65" w:rsidRPr="00214987">
        <w:rPr>
          <w:rFonts w:ascii="Arial" w:hAnsi="Arial" w:cs="Arial"/>
          <w:noProof/>
          <w:sz w:val="20"/>
          <w:szCs w:val="20"/>
          <w:lang w:val="en-US"/>
        </w:rPr>
        <w:t xml:space="preserve"> </w:t>
      </w:r>
      <w:r w:rsidRPr="00214987">
        <w:rPr>
          <w:rFonts w:ascii="Arial" w:hAnsi="Arial" w:cs="Arial"/>
          <w:noProof/>
          <w:sz w:val="20"/>
          <w:szCs w:val="20"/>
          <w:lang w:val="en-US"/>
        </w:rPr>
        <w:t>88.5%</w:t>
      </w:r>
      <w:r w:rsidR="00C770C0" w:rsidRPr="00214987">
        <w:rPr>
          <w:rFonts w:ascii="Arial" w:hAnsi="Arial" w:cs="Arial"/>
          <w:noProof/>
          <w:sz w:val="20"/>
          <w:szCs w:val="20"/>
          <w:lang w:val="en-US"/>
        </w:rPr>
        <w:t>,</w:t>
      </w:r>
      <w:r w:rsidRPr="00214987">
        <w:rPr>
          <w:rFonts w:ascii="Arial" w:hAnsi="Arial" w:cs="Arial"/>
          <w:noProof/>
          <w:sz w:val="20"/>
          <w:szCs w:val="20"/>
          <w:lang w:val="en-US"/>
        </w:rPr>
        <w:t xml:space="preserve"> (92/104)</w:t>
      </w:r>
      <w:r w:rsidR="005C22CE" w:rsidRPr="00214987">
        <w:rPr>
          <w:rFonts w:ascii="Arial" w:hAnsi="Arial" w:cs="Arial"/>
          <w:noProof/>
          <w:sz w:val="20"/>
          <w:szCs w:val="20"/>
          <w:lang w:val="en-US"/>
        </w:rPr>
        <w:t xml:space="preserve"> were responders</w:t>
      </w:r>
      <w:r w:rsidRPr="00214987">
        <w:rPr>
          <w:rFonts w:ascii="Arial" w:hAnsi="Arial" w:cs="Arial"/>
          <w:noProof/>
          <w:sz w:val="20"/>
          <w:szCs w:val="20"/>
          <w:lang w:val="en-US"/>
        </w:rPr>
        <w:t xml:space="preserve"> </w:t>
      </w:r>
      <w:r w:rsidR="00645D65" w:rsidRPr="00214987">
        <w:rPr>
          <w:rFonts w:ascii="Arial" w:hAnsi="Arial" w:cs="Arial"/>
          <w:noProof/>
          <w:sz w:val="20"/>
          <w:szCs w:val="20"/>
          <w:lang w:val="en-US"/>
        </w:rPr>
        <w:t xml:space="preserve">and </w:t>
      </w:r>
      <w:r w:rsidR="005C22CE" w:rsidRPr="00214987">
        <w:rPr>
          <w:rFonts w:ascii="Arial" w:hAnsi="Arial" w:cs="Arial"/>
          <w:noProof/>
          <w:sz w:val="20"/>
          <w:szCs w:val="20"/>
          <w:lang w:val="en-US"/>
        </w:rPr>
        <w:t>33.7%, (35/104)  were super-responders</w:t>
      </w:r>
      <w:r w:rsidRPr="00214987">
        <w:rPr>
          <w:rFonts w:ascii="Arial" w:hAnsi="Arial" w:cs="Arial"/>
          <w:noProof/>
          <w:sz w:val="20"/>
          <w:szCs w:val="20"/>
          <w:lang w:val="en-US"/>
        </w:rPr>
        <w:t xml:space="preserve">. </w:t>
      </w:r>
      <w:r w:rsidR="004578EE">
        <w:rPr>
          <w:rFonts w:ascii="Arial" w:hAnsi="Arial" w:cs="Arial"/>
          <w:noProof/>
          <w:sz w:val="20"/>
          <w:szCs w:val="20"/>
          <w:lang w:val="en-US"/>
        </w:rPr>
        <w:t xml:space="preserve">Compared to Omalizumab non-responders, </w:t>
      </w:r>
      <w:r w:rsidR="004C6D9A" w:rsidRPr="00214987">
        <w:rPr>
          <w:rFonts w:ascii="Arial" w:hAnsi="Arial" w:cs="Arial"/>
          <w:noProof/>
          <w:sz w:val="20"/>
          <w:szCs w:val="20"/>
          <w:lang w:val="en-US"/>
        </w:rPr>
        <w:lastRenderedPageBreak/>
        <w:t>Omalizumab</w:t>
      </w:r>
      <w:r w:rsidRPr="00214987">
        <w:rPr>
          <w:rFonts w:ascii="Arial" w:hAnsi="Arial" w:cs="Arial"/>
          <w:noProof/>
          <w:sz w:val="20"/>
          <w:szCs w:val="20"/>
          <w:lang w:val="en-US"/>
        </w:rPr>
        <w:t xml:space="preserve"> responders </w:t>
      </w:r>
      <w:r w:rsidR="00474226" w:rsidRPr="00214987">
        <w:rPr>
          <w:rFonts w:ascii="Arial" w:hAnsi="Arial" w:cs="Arial"/>
          <w:noProof/>
          <w:sz w:val="20"/>
          <w:szCs w:val="20"/>
          <w:lang w:val="en-US"/>
        </w:rPr>
        <w:t>(</w:t>
      </w:r>
      <w:r w:rsidR="00B875DD">
        <w:rPr>
          <w:rFonts w:ascii="Arial" w:hAnsi="Arial" w:cs="Arial"/>
          <w:noProof/>
          <w:sz w:val="20"/>
          <w:szCs w:val="20"/>
          <w:lang w:val="en-US"/>
        </w:rPr>
        <w:t xml:space="preserve">Supplementary </w:t>
      </w:r>
      <w:r w:rsidR="000C77A7" w:rsidRPr="00214987">
        <w:rPr>
          <w:rFonts w:ascii="Arial" w:hAnsi="Arial" w:cs="Arial"/>
          <w:noProof/>
          <w:sz w:val="20"/>
          <w:szCs w:val="20"/>
          <w:lang w:val="en-US"/>
        </w:rPr>
        <w:t xml:space="preserve">Table </w:t>
      </w:r>
      <w:r w:rsidR="00427B61">
        <w:rPr>
          <w:rFonts w:ascii="Arial" w:hAnsi="Arial" w:cs="Arial"/>
          <w:noProof/>
          <w:sz w:val="20"/>
          <w:szCs w:val="20"/>
          <w:lang w:val="en-US"/>
        </w:rPr>
        <w:t>E1</w:t>
      </w:r>
      <w:r w:rsidR="00474226" w:rsidRPr="00214987">
        <w:rPr>
          <w:rFonts w:ascii="Arial" w:hAnsi="Arial" w:cs="Arial"/>
          <w:noProof/>
          <w:sz w:val="20"/>
          <w:szCs w:val="20"/>
          <w:lang w:val="en-US"/>
        </w:rPr>
        <w:t xml:space="preserve">) </w:t>
      </w:r>
      <w:r w:rsidRPr="00214987">
        <w:rPr>
          <w:rFonts w:ascii="Arial" w:hAnsi="Arial" w:cs="Arial"/>
          <w:noProof/>
          <w:sz w:val="20"/>
          <w:szCs w:val="20"/>
          <w:lang w:val="en-US"/>
        </w:rPr>
        <w:t xml:space="preserve">were significantly </w:t>
      </w:r>
      <w:r w:rsidR="00723C34" w:rsidRPr="00214987">
        <w:rPr>
          <w:rFonts w:ascii="Arial" w:hAnsi="Arial" w:cs="Arial"/>
          <w:noProof/>
          <w:sz w:val="20"/>
          <w:szCs w:val="20"/>
          <w:lang w:val="en-US"/>
        </w:rPr>
        <w:t>older</w:t>
      </w:r>
      <w:r w:rsidR="00A632D4" w:rsidRPr="00214987">
        <w:rPr>
          <w:rFonts w:ascii="Arial" w:hAnsi="Arial" w:cs="Arial"/>
          <w:noProof/>
          <w:sz w:val="20"/>
          <w:szCs w:val="20"/>
          <w:lang w:val="en-US"/>
        </w:rPr>
        <w:t xml:space="preserve"> </w:t>
      </w:r>
      <w:r w:rsidR="00723C34" w:rsidRPr="00214987">
        <w:rPr>
          <w:rFonts w:ascii="Arial" w:hAnsi="Arial" w:cs="Arial"/>
          <w:noProof/>
          <w:sz w:val="20"/>
          <w:szCs w:val="20"/>
          <w:lang w:val="en-US"/>
        </w:rPr>
        <w:t>[</w:t>
      </w:r>
      <w:r w:rsidR="00D640A6" w:rsidRPr="00214987">
        <w:rPr>
          <w:rFonts w:ascii="Arial" w:hAnsi="Arial" w:cs="Arial"/>
          <w:noProof/>
          <w:sz w:val="20"/>
          <w:szCs w:val="20"/>
          <w:lang w:val="en-US"/>
        </w:rPr>
        <w:t>Mean(</w:t>
      </w:r>
      <w:r w:rsidR="00A632D4" w:rsidRPr="00214987">
        <w:rPr>
          <w:rFonts w:ascii="Arial" w:hAnsi="Arial" w:cs="Arial"/>
          <w:noProof/>
          <w:sz w:val="20"/>
          <w:szCs w:val="20"/>
          <w:lang w:val="en-US"/>
        </w:rPr>
        <w:t xml:space="preserve">SD) Age, Responder: </w:t>
      </w:r>
      <w:r w:rsidR="00723C34" w:rsidRPr="00214987">
        <w:rPr>
          <w:rFonts w:ascii="Arial" w:hAnsi="Arial" w:cs="Arial"/>
          <w:noProof/>
          <w:sz w:val="20"/>
          <w:szCs w:val="20"/>
          <w:lang w:val="en-US"/>
        </w:rPr>
        <w:t xml:space="preserve">53(15) </w:t>
      </w:r>
      <w:r w:rsidR="004575EC" w:rsidRPr="00214987">
        <w:rPr>
          <w:rFonts w:ascii="Arial" w:hAnsi="Arial" w:cs="Arial"/>
          <w:noProof/>
          <w:sz w:val="20"/>
          <w:szCs w:val="20"/>
          <w:lang w:val="en-US"/>
        </w:rPr>
        <w:t>vs non</w:t>
      </w:r>
      <w:r w:rsidR="00723C34" w:rsidRPr="00214987">
        <w:rPr>
          <w:rFonts w:ascii="Arial" w:hAnsi="Arial" w:cs="Arial"/>
          <w:noProof/>
          <w:sz w:val="20"/>
          <w:szCs w:val="20"/>
          <w:lang w:val="en-US"/>
        </w:rPr>
        <w:t>-responder: 44(12), P=0.025]</w:t>
      </w:r>
      <w:r w:rsidRPr="00214987">
        <w:rPr>
          <w:rFonts w:ascii="Arial" w:hAnsi="Arial" w:cs="Arial"/>
          <w:noProof/>
          <w:sz w:val="20"/>
          <w:szCs w:val="20"/>
          <w:lang w:val="en-US"/>
        </w:rPr>
        <w:t xml:space="preserve"> and had </w:t>
      </w:r>
      <w:r w:rsidR="004F66BD" w:rsidRPr="00214987">
        <w:rPr>
          <w:rFonts w:ascii="Arial" w:hAnsi="Arial" w:cs="Arial"/>
          <w:noProof/>
          <w:sz w:val="20"/>
          <w:szCs w:val="20"/>
          <w:lang w:val="en-US"/>
        </w:rPr>
        <w:t>lower</w:t>
      </w:r>
      <w:r w:rsidRPr="00214987">
        <w:rPr>
          <w:rFonts w:ascii="Arial" w:hAnsi="Arial" w:cs="Arial"/>
          <w:noProof/>
          <w:sz w:val="20"/>
          <w:szCs w:val="20"/>
          <w:lang w:val="en-US"/>
        </w:rPr>
        <w:t xml:space="preserve"> </w:t>
      </w:r>
      <w:r w:rsidR="00465FEB" w:rsidRPr="00214987">
        <w:rPr>
          <w:rFonts w:ascii="Arial" w:hAnsi="Arial" w:cs="Arial"/>
          <w:noProof/>
          <w:sz w:val="20"/>
          <w:szCs w:val="20"/>
          <w:lang w:val="en-US"/>
        </w:rPr>
        <w:t>prevalence</w:t>
      </w:r>
      <w:r w:rsidRPr="00214987">
        <w:rPr>
          <w:rFonts w:ascii="Arial" w:hAnsi="Arial" w:cs="Arial"/>
          <w:noProof/>
          <w:sz w:val="20"/>
          <w:szCs w:val="20"/>
          <w:lang w:val="en-US"/>
        </w:rPr>
        <w:t xml:space="preserve"> of anxiety</w:t>
      </w:r>
      <w:r w:rsidR="00723C34" w:rsidRPr="00214987">
        <w:rPr>
          <w:rFonts w:ascii="Arial" w:hAnsi="Arial" w:cs="Arial"/>
          <w:noProof/>
          <w:sz w:val="20"/>
          <w:szCs w:val="20"/>
          <w:lang w:val="en-US"/>
        </w:rPr>
        <w:t xml:space="preserve"> [</w:t>
      </w:r>
      <w:r w:rsidR="00EB1ABD" w:rsidRPr="00214987">
        <w:rPr>
          <w:rFonts w:ascii="Arial" w:hAnsi="Arial" w:cs="Arial"/>
          <w:noProof/>
          <w:sz w:val="20"/>
          <w:szCs w:val="20"/>
          <w:lang w:val="en-US"/>
        </w:rPr>
        <w:t>Responder:</w:t>
      </w:r>
      <w:r w:rsidR="00DD6877">
        <w:rPr>
          <w:rFonts w:ascii="Arial" w:hAnsi="Arial" w:cs="Arial"/>
          <w:noProof/>
          <w:sz w:val="20"/>
          <w:szCs w:val="20"/>
          <w:lang w:val="en-US"/>
        </w:rPr>
        <w:t xml:space="preserve"> </w:t>
      </w:r>
      <w:r w:rsidR="00EB1ABD" w:rsidRPr="00214987">
        <w:rPr>
          <w:rFonts w:ascii="Arial" w:hAnsi="Arial" w:cs="Arial"/>
          <w:noProof/>
          <w:sz w:val="20"/>
          <w:szCs w:val="20"/>
          <w:lang w:val="en-US"/>
        </w:rPr>
        <w:t>26.6% vs non-responder:</w:t>
      </w:r>
      <w:r w:rsidR="00DD6877">
        <w:rPr>
          <w:rFonts w:ascii="Arial" w:hAnsi="Arial" w:cs="Arial"/>
          <w:noProof/>
          <w:sz w:val="20"/>
          <w:szCs w:val="20"/>
          <w:lang w:val="en-US"/>
        </w:rPr>
        <w:t xml:space="preserve"> </w:t>
      </w:r>
      <w:r w:rsidR="00113C4F" w:rsidRPr="00214987">
        <w:rPr>
          <w:rFonts w:ascii="Arial" w:hAnsi="Arial" w:cs="Arial"/>
          <w:noProof/>
          <w:sz w:val="20"/>
          <w:szCs w:val="20"/>
          <w:lang w:val="en-US"/>
        </w:rPr>
        <w:t>63.6%</w:t>
      </w:r>
      <w:r w:rsidR="004575EC" w:rsidRPr="00214987">
        <w:rPr>
          <w:rFonts w:ascii="Arial" w:hAnsi="Arial" w:cs="Arial"/>
          <w:noProof/>
          <w:sz w:val="20"/>
          <w:szCs w:val="20"/>
          <w:lang w:val="en-US"/>
        </w:rPr>
        <w:t>,</w:t>
      </w:r>
      <w:r w:rsidR="00113C4F" w:rsidRPr="00214987">
        <w:rPr>
          <w:rFonts w:ascii="Arial" w:hAnsi="Arial" w:cs="Arial"/>
          <w:noProof/>
          <w:sz w:val="20"/>
          <w:szCs w:val="20"/>
          <w:lang w:val="en-US"/>
        </w:rPr>
        <w:t xml:space="preserve"> </w:t>
      </w:r>
      <w:r w:rsidR="00DE266C" w:rsidRPr="00214987">
        <w:rPr>
          <w:rFonts w:ascii="Arial" w:hAnsi="Arial" w:cs="Arial"/>
          <w:noProof/>
          <w:sz w:val="20"/>
          <w:szCs w:val="20"/>
          <w:lang w:val="en-US"/>
        </w:rPr>
        <w:t>P=0.031</w:t>
      </w:r>
      <w:r w:rsidR="00474226" w:rsidRPr="00214987">
        <w:rPr>
          <w:rFonts w:ascii="Arial" w:hAnsi="Arial" w:cs="Arial"/>
          <w:noProof/>
          <w:sz w:val="20"/>
          <w:szCs w:val="20"/>
          <w:lang w:val="en-US"/>
        </w:rPr>
        <w:t>]</w:t>
      </w:r>
      <w:r w:rsidRPr="00214987">
        <w:rPr>
          <w:rFonts w:ascii="Arial" w:hAnsi="Arial" w:cs="Arial"/>
          <w:noProof/>
          <w:sz w:val="20"/>
          <w:szCs w:val="20"/>
          <w:lang w:val="en-US"/>
        </w:rPr>
        <w:t xml:space="preserve">. </w:t>
      </w:r>
      <w:r w:rsidR="005178D3" w:rsidRPr="00214987">
        <w:rPr>
          <w:rFonts w:ascii="Arial" w:hAnsi="Arial" w:cs="Arial"/>
          <w:noProof/>
          <w:sz w:val="20"/>
          <w:szCs w:val="20"/>
          <w:lang w:val="en-US"/>
        </w:rPr>
        <w:t>In m</w:t>
      </w:r>
      <w:r w:rsidRPr="00214987">
        <w:rPr>
          <w:rFonts w:ascii="Arial" w:hAnsi="Arial" w:cs="Arial"/>
          <w:noProof/>
          <w:sz w:val="20"/>
          <w:szCs w:val="20"/>
          <w:lang w:val="en-US"/>
        </w:rPr>
        <w:t>ultivariate analysis (</w:t>
      </w:r>
      <w:r w:rsidR="004B1EBD" w:rsidRPr="00214987">
        <w:rPr>
          <w:rFonts w:ascii="Arial" w:hAnsi="Arial" w:cs="Arial"/>
          <w:noProof/>
          <w:sz w:val="20"/>
          <w:szCs w:val="20"/>
          <w:lang w:val="en-US"/>
        </w:rPr>
        <w:t xml:space="preserve">Table </w:t>
      </w:r>
      <w:r w:rsidR="005C31FA">
        <w:rPr>
          <w:rFonts w:ascii="Arial" w:hAnsi="Arial" w:cs="Arial"/>
          <w:noProof/>
          <w:sz w:val="20"/>
          <w:szCs w:val="20"/>
          <w:lang w:val="en-US"/>
        </w:rPr>
        <w:t>3</w:t>
      </w:r>
      <w:r w:rsidRPr="00214987">
        <w:rPr>
          <w:rFonts w:ascii="Arial" w:hAnsi="Arial" w:cs="Arial"/>
          <w:noProof/>
          <w:sz w:val="20"/>
          <w:szCs w:val="20"/>
          <w:lang w:val="en-US"/>
        </w:rPr>
        <w:t>)</w:t>
      </w:r>
      <w:r w:rsidR="005178D3" w:rsidRPr="00214987">
        <w:rPr>
          <w:rFonts w:ascii="Arial" w:hAnsi="Arial" w:cs="Arial"/>
          <w:noProof/>
          <w:sz w:val="20"/>
          <w:szCs w:val="20"/>
          <w:lang w:val="en-US"/>
        </w:rPr>
        <w:t xml:space="preserve">, </w:t>
      </w:r>
      <w:r w:rsidRPr="00214987">
        <w:rPr>
          <w:rFonts w:ascii="Arial" w:hAnsi="Arial" w:cs="Arial"/>
          <w:noProof/>
          <w:sz w:val="20"/>
          <w:szCs w:val="20"/>
          <w:lang w:val="en-US"/>
        </w:rPr>
        <w:t xml:space="preserve">anxiety and </w:t>
      </w:r>
      <w:r w:rsidR="00AA0FCD" w:rsidRPr="00214987">
        <w:rPr>
          <w:rFonts w:ascii="Arial" w:hAnsi="Arial" w:cs="Arial"/>
          <w:noProof/>
          <w:sz w:val="20"/>
          <w:szCs w:val="20"/>
          <w:lang w:val="en-US"/>
        </w:rPr>
        <w:t xml:space="preserve">more </w:t>
      </w:r>
      <w:r w:rsidR="00734AAE" w:rsidRPr="00214987">
        <w:rPr>
          <w:rFonts w:ascii="Arial" w:hAnsi="Arial" w:cs="Arial"/>
          <w:noProof/>
          <w:sz w:val="20"/>
          <w:szCs w:val="20"/>
          <w:lang w:val="en-US"/>
        </w:rPr>
        <w:t>AHE</w:t>
      </w:r>
      <w:r w:rsidR="00AA0FCD" w:rsidRPr="00214987">
        <w:rPr>
          <w:rFonts w:ascii="Arial" w:hAnsi="Arial" w:cs="Arial"/>
          <w:noProof/>
          <w:sz w:val="20"/>
          <w:szCs w:val="20"/>
          <w:lang w:val="en-US"/>
        </w:rPr>
        <w:t xml:space="preserve"> at baseline</w:t>
      </w:r>
      <w:r w:rsidRPr="00214987">
        <w:rPr>
          <w:rFonts w:ascii="Arial" w:hAnsi="Arial" w:cs="Arial"/>
          <w:noProof/>
          <w:sz w:val="20"/>
          <w:szCs w:val="20"/>
          <w:lang w:val="en-US"/>
        </w:rPr>
        <w:t xml:space="preserve"> </w:t>
      </w:r>
      <w:r w:rsidR="00AE6733" w:rsidRPr="00214987">
        <w:rPr>
          <w:rFonts w:ascii="Arial" w:hAnsi="Arial" w:cs="Arial"/>
          <w:noProof/>
          <w:sz w:val="20"/>
          <w:szCs w:val="20"/>
          <w:lang w:val="en-US"/>
        </w:rPr>
        <w:t xml:space="preserve">were </w:t>
      </w:r>
      <w:r w:rsidR="00F62819" w:rsidRPr="00214987">
        <w:rPr>
          <w:rFonts w:ascii="Arial" w:hAnsi="Arial" w:cs="Arial"/>
          <w:noProof/>
          <w:sz w:val="20"/>
          <w:szCs w:val="20"/>
          <w:lang w:val="en-US"/>
        </w:rPr>
        <w:t xml:space="preserve">independently </w:t>
      </w:r>
      <w:r w:rsidR="00AE6733" w:rsidRPr="00214987">
        <w:rPr>
          <w:rFonts w:ascii="Arial" w:hAnsi="Arial" w:cs="Arial"/>
          <w:noProof/>
          <w:sz w:val="20"/>
          <w:szCs w:val="20"/>
          <w:lang w:val="en-US"/>
        </w:rPr>
        <w:t xml:space="preserve">associated with </w:t>
      </w:r>
      <w:r w:rsidRPr="00214987">
        <w:rPr>
          <w:rFonts w:ascii="Arial" w:hAnsi="Arial" w:cs="Arial"/>
          <w:noProof/>
          <w:sz w:val="20"/>
          <w:szCs w:val="20"/>
          <w:lang w:val="en-US"/>
        </w:rPr>
        <w:t xml:space="preserve">treatment failure, while </w:t>
      </w:r>
      <w:r w:rsidR="00194EFD" w:rsidRPr="00214987">
        <w:rPr>
          <w:rFonts w:ascii="Arial" w:hAnsi="Arial" w:cs="Arial"/>
          <w:noProof/>
          <w:sz w:val="20"/>
          <w:szCs w:val="20"/>
          <w:lang w:val="en-US"/>
        </w:rPr>
        <w:t>more</w:t>
      </w:r>
      <w:r w:rsidR="008E1534" w:rsidRPr="00214987">
        <w:rPr>
          <w:rFonts w:ascii="Arial" w:hAnsi="Arial" w:cs="Arial"/>
          <w:noProof/>
          <w:sz w:val="20"/>
          <w:szCs w:val="20"/>
          <w:lang w:val="en-US"/>
        </w:rPr>
        <w:t xml:space="preserve"> </w:t>
      </w:r>
      <w:r w:rsidRPr="00214987">
        <w:rPr>
          <w:rFonts w:ascii="Arial" w:hAnsi="Arial" w:cs="Arial"/>
          <w:noProof/>
          <w:sz w:val="20"/>
          <w:szCs w:val="20"/>
          <w:lang w:val="en-US"/>
        </w:rPr>
        <w:t>exacerbations</w:t>
      </w:r>
      <w:r w:rsidR="00AA0FCD" w:rsidRPr="00214987">
        <w:rPr>
          <w:rFonts w:ascii="Arial" w:hAnsi="Arial" w:cs="Arial"/>
          <w:noProof/>
          <w:sz w:val="20"/>
          <w:szCs w:val="20"/>
          <w:lang w:val="en-US"/>
        </w:rPr>
        <w:t xml:space="preserve"> at baseline</w:t>
      </w:r>
      <w:r w:rsidRPr="00214987">
        <w:rPr>
          <w:rFonts w:ascii="Arial" w:hAnsi="Arial" w:cs="Arial"/>
          <w:noProof/>
          <w:sz w:val="20"/>
          <w:szCs w:val="20"/>
          <w:lang w:val="en-US"/>
        </w:rPr>
        <w:t xml:space="preserve"> </w:t>
      </w:r>
      <w:r w:rsidR="004109E1" w:rsidRPr="00214987">
        <w:rPr>
          <w:rFonts w:ascii="Arial" w:hAnsi="Arial" w:cs="Arial"/>
          <w:noProof/>
          <w:sz w:val="20"/>
          <w:szCs w:val="20"/>
          <w:lang w:val="en-US"/>
        </w:rPr>
        <w:t>w</w:t>
      </w:r>
      <w:r w:rsidR="009C1448">
        <w:rPr>
          <w:rFonts w:ascii="Arial" w:hAnsi="Arial" w:cs="Arial"/>
          <w:noProof/>
          <w:sz w:val="20"/>
          <w:szCs w:val="20"/>
          <w:lang w:val="en-US"/>
        </w:rPr>
        <w:t>ere</w:t>
      </w:r>
      <w:r w:rsidR="00F62819" w:rsidRPr="00214987">
        <w:rPr>
          <w:rFonts w:ascii="Arial" w:hAnsi="Arial" w:cs="Arial"/>
          <w:noProof/>
          <w:sz w:val="20"/>
          <w:szCs w:val="20"/>
          <w:lang w:val="en-US"/>
        </w:rPr>
        <w:t xml:space="preserve"> independently</w:t>
      </w:r>
      <w:r w:rsidR="004109E1" w:rsidRPr="00214987">
        <w:rPr>
          <w:rFonts w:ascii="Arial" w:hAnsi="Arial" w:cs="Arial"/>
          <w:noProof/>
          <w:sz w:val="20"/>
          <w:szCs w:val="20"/>
          <w:lang w:val="en-US"/>
        </w:rPr>
        <w:t xml:space="preserve"> </w:t>
      </w:r>
      <w:r w:rsidR="00AE6733" w:rsidRPr="00214987">
        <w:rPr>
          <w:rFonts w:ascii="Arial" w:hAnsi="Arial" w:cs="Arial"/>
          <w:noProof/>
          <w:sz w:val="20"/>
          <w:szCs w:val="20"/>
          <w:lang w:val="en-US"/>
        </w:rPr>
        <w:t>associated with</w:t>
      </w:r>
      <w:r w:rsidRPr="00214987">
        <w:rPr>
          <w:rFonts w:ascii="Arial" w:hAnsi="Arial" w:cs="Arial"/>
          <w:noProof/>
          <w:sz w:val="20"/>
          <w:szCs w:val="20"/>
          <w:lang w:val="en-US"/>
        </w:rPr>
        <w:t xml:space="preserve"> treatment response. </w:t>
      </w:r>
    </w:p>
    <w:p w14:paraId="09AE38A5" w14:textId="06324415" w:rsidR="00613560" w:rsidRPr="00214987" w:rsidRDefault="004578EE" w:rsidP="00AB4CB7">
      <w:pPr>
        <w:spacing w:line="480" w:lineRule="auto"/>
        <w:rPr>
          <w:rFonts w:ascii="Arial" w:hAnsi="Arial" w:cs="Arial"/>
          <w:noProof/>
          <w:sz w:val="20"/>
          <w:szCs w:val="20"/>
          <w:lang w:val="en-US"/>
        </w:rPr>
      </w:pPr>
      <w:r>
        <w:rPr>
          <w:rFonts w:ascii="Arial" w:hAnsi="Arial" w:cs="Arial"/>
          <w:noProof/>
          <w:sz w:val="20"/>
          <w:szCs w:val="20"/>
          <w:lang w:val="en-US"/>
        </w:rPr>
        <w:t>Compared to Omalizumab non-super</w:t>
      </w:r>
      <w:r w:rsidR="00795A28">
        <w:rPr>
          <w:rFonts w:ascii="Arial" w:hAnsi="Arial" w:cs="Arial"/>
          <w:noProof/>
          <w:sz w:val="20"/>
          <w:szCs w:val="20"/>
          <w:lang w:val="en-US"/>
        </w:rPr>
        <w:t xml:space="preserve">-responders, </w:t>
      </w:r>
      <w:r w:rsidR="008C6CE9" w:rsidRPr="00214987">
        <w:rPr>
          <w:rFonts w:ascii="Arial" w:hAnsi="Arial" w:cs="Arial"/>
          <w:noProof/>
          <w:sz w:val="20"/>
          <w:szCs w:val="20"/>
          <w:lang w:val="en-US"/>
        </w:rPr>
        <w:t>Omalizumab</w:t>
      </w:r>
      <w:r w:rsidR="00613560" w:rsidRPr="00214987">
        <w:rPr>
          <w:rFonts w:ascii="Arial" w:hAnsi="Arial" w:cs="Arial"/>
          <w:noProof/>
          <w:sz w:val="20"/>
          <w:szCs w:val="20"/>
          <w:lang w:val="en-US"/>
        </w:rPr>
        <w:t xml:space="preserve"> </w:t>
      </w:r>
      <w:r w:rsidR="00795A28">
        <w:rPr>
          <w:rFonts w:ascii="Arial" w:hAnsi="Arial" w:cs="Arial"/>
          <w:noProof/>
          <w:sz w:val="20"/>
          <w:szCs w:val="20"/>
          <w:lang w:val="en-US"/>
        </w:rPr>
        <w:t>s</w:t>
      </w:r>
      <w:r w:rsidR="00613560" w:rsidRPr="00214987">
        <w:rPr>
          <w:rFonts w:ascii="Arial" w:hAnsi="Arial" w:cs="Arial"/>
          <w:noProof/>
          <w:sz w:val="20"/>
          <w:szCs w:val="20"/>
          <w:lang w:val="en-US"/>
        </w:rPr>
        <w:t>uper-responders (</w:t>
      </w:r>
      <w:r w:rsidR="00B875DD">
        <w:rPr>
          <w:rFonts w:ascii="Arial" w:hAnsi="Arial" w:cs="Arial"/>
          <w:noProof/>
          <w:sz w:val="20"/>
          <w:szCs w:val="20"/>
          <w:lang w:val="en-US"/>
        </w:rPr>
        <w:t>Supplementary</w:t>
      </w:r>
      <w:r w:rsidR="00B875DD" w:rsidRPr="00214987">
        <w:rPr>
          <w:rFonts w:ascii="Arial" w:hAnsi="Arial" w:cs="Arial"/>
          <w:noProof/>
          <w:sz w:val="20"/>
          <w:szCs w:val="20"/>
          <w:lang w:val="en-US"/>
        </w:rPr>
        <w:t xml:space="preserve"> </w:t>
      </w:r>
      <w:r w:rsidR="00427B61" w:rsidRPr="00214987">
        <w:rPr>
          <w:rFonts w:ascii="Arial" w:hAnsi="Arial" w:cs="Arial"/>
          <w:noProof/>
          <w:sz w:val="20"/>
          <w:szCs w:val="20"/>
          <w:lang w:val="en-US"/>
        </w:rPr>
        <w:t xml:space="preserve">Table </w:t>
      </w:r>
      <w:r w:rsidR="00427B61">
        <w:rPr>
          <w:rFonts w:ascii="Arial" w:hAnsi="Arial" w:cs="Arial"/>
          <w:noProof/>
          <w:sz w:val="20"/>
          <w:szCs w:val="20"/>
          <w:lang w:val="en-US"/>
        </w:rPr>
        <w:t>E2</w:t>
      </w:r>
      <w:r w:rsidR="00613560" w:rsidRPr="00214987">
        <w:rPr>
          <w:rFonts w:ascii="Arial" w:hAnsi="Arial" w:cs="Arial"/>
          <w:noProof/>
          <w:sz w:val="20"/>
          <w:szCs w:val="20"/>
          <w:lang w:val="en-US"/>
        </w:rPr>
        <w:t>) had significantly more exacerbations at baseline [Median(IQR),</w:t>
      </w:r>
      <w:r w:rsidR="00333A95">
        <w:rPr>
          <w:rFonts w:ascii="Arial" w:hAnsi="Arial" w:cs="Arial"/>
          <w:noProof/>
          <w:sz w:val="20"/>
          <w:szCs w:val="20"/>
          <w:lang w:val="en-US"/>
        </w:rPr>
        <w:t xml:space="preserve"> </w:t>
      </w:r>
      <w:r w:rsidR="00613560" w:rsidRPr="00214987">
        <w:rPr>
          <w:rFonts w:ascii="Arial" w:hAnsi="Arial" w:cs="Arial"/>
          <w:noProof/>
          <w:sz w:val="20"/>
          <w:szCs w:val="20"/>
          <w:lang w:val="en-US"/>
        </w:rPr>
        <w:t>super-responder: 6(2) vs non-super-responder: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4(4), P=0.029], were less mOCS depend</w:t>
      </w:r>
      <w:r w:rsidR="00DC2745" w:rsidRPr="00214987">
        <w:rPr>
          <w:rFonts w:ascii="Arial" w:hAnsi="Arial" w:cs="Arial"/>
          <w:noProof/>
          <w:sz w:val="20"/>
          <w:szCs w:val="20"/>
          <w:lang w:val="en-US"/>
        </w:rPr>
        <w:t>e</w:t>
      </w:r>
      <w:r w:rsidR="00613560" w:rsidRPr="00214987">
        <w:rPr>
          <w:rFonts w:ascii="Arial" w:hAnsi="Arial" w:cs="Arial"/>
          <w:noProof/>
          <w:sz w:val="20"/>
          <w:szCs w:val="20"/>
          <w:lang w:val="en-US"/>
        </w:rPr>
        <w:t>nt [super-responder: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14.3%</w:t>
      </w:r>
      <w:r w:rsidR="00D416E8" w:rsidRPr="00214987">
        <w:rPr>
          <w:rFonts w:ascii="Arial" w:hAnsi="Arial" w:cs="Arial"/>
          <w:noProof/>
          <w:sz w:val="20"/>
          <w:szCs w:val="20"/>
          <w:lang w:val="en-US"/>
        </w:rPr>
        <w:t>,</w:t>
      </w:r>
      <w:r w:rsidR="005C22CE" w:rsidRPr="00214987">
        <w:rPr>
          <w:rFonts w:ascii="Arial" w:hAnsi="Arial" w:cs="Arial"/>
          <w:noProof/>
          <w:sz w:val="20"/>
          <w:szCs w:val="20"/>
          <w:lang w:val="en-US"/>
        </w:rPr>
        <w:t xml:space="preserve"> </w:t>
      </w:r>
      <w:r w:rsidR="00613560" w:rsidRPr="00214987">
        <w:rPr>
          <w:rFonts w:ascii="Arial" w:hAnsi="Arial" w:cs="Arial"/>
          <w:noProof/>
          <w:sz w:val="20"/>
          <w:szCs w:val="20"/>
          <w:lang w:val="en-US"/>
        </w:rPr>
        <w:t>vs non-super-responder: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65.2%</w:t>
      </w:r>
      <w:r w:rsidR="00D416E8" w:rsidRPr="00214987">
        <w:rPr>
          <w:rFonts w:ascii="Arial" w:hAnsi="Arial" w:cs="Arial"/>
          <w:noProof/>
          <w:sz w:val="20"/>
          <w:szCs w:val="20"/>
          <w:lang w:val="en-US"/>
        </w:rPr>
        <w:t>,</w:t>
      </w:r>
      <w:r w:rsidR="00613560" w:rsidRPr="00214987">
        <w:rPr>
          <w:rFonts w:ascii="Arial" w:hAnsi="Arial" w:cs="Arial"/>
          <w:noProof/>
          <w:sz w:val="20"/>
          <w:szCs w:val="20"/>
          <w:lang w:val="en-US"/>
        </w:rPr>
        <w:t xml:space="preserve"> P&lt;0.001] and had </w:t>
      </w:r>
      <w:r w:rsidR="0036325C" w:rsidRPr="00214987">
        <w:rPr>
          <w:rFonts w:ascii="Arial" w:hAnsi="Arial" w:cs="Arial"/>
          <w:noProof/>
          <w:sz w:val="20"/>
          <w:szCs w:val="20"/>
          <w:lang w:val="en-US"/>
        </w:rPr>
        <w:t xml:space="preserve">a </w:t>
      </w:r>
      <w:r w:rsidR="00613560" w:rsidRPr="00214987">
        <w:rPr>
          <w:rFonts w:ascii="Arial" w:hAnsi="Arial" w:cs="Arial"/>
          <w:noProof/>
          <w:sz w:val="20"/>
          <w:szCs w:val="20"/>
          <w:lang w:val="en-US"/>
        </w:rPr>
        <w:t xml:space="preserve">lower </w:t>
      </w:r>
      <w:r w:rsidR="0036325C" w:rsidRPr="00214987">
        <w:rPr>
          <w:rFonts w:ascii="Arial" w:hAnsi="Arial" w:cs="Arial"/>
          <w:noProof/>
          <w:sz w:val="20"/>
          <w:szCs w:val="20"/>
          <w:lang w:val="en-US"/>
        </w:rPr>
        <w:t>prevalence</w:t>
      </w:r>
      <w:r w:rsidR="00613560" w:rsidRPr="00214987">
        <w:rPr>
          <w:rFonts w:ascii="Arial" w:hAnsi="Arial" w:cs="Arial"/>
          <w:noProof/>
          <w:sz w:val="20"/>
          <w:szCs w:val="20"/>
          <w:lang w:val="en-US"/>
        </w:rPr>
        <w:t xml:space="preserve"> of anxiety [super-responder: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16.7% vs non-super-responder: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38.3%, P=0.036] and depression [super-responder: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17.2% vs non-super-responder:</w:t>
      </w:r>
      <w:r w:rsidR="00866AD1">
        <w:rPr>
          <w:rFonts w:ascii="Arial" w:hAnsi="Arial" w:cs="Arial"/>
          <w:noProof/>
          <w:sz w:val="20"/>
          <w:szCs w:val="20"/>
          <w:lang w:val="en-US"/>
        </w:rPr>
        <w:t xml:space="preserve"> </w:t>
      </w:r>
      <w:r w:rsidR="00613560" w:rsidRPr="00214987">
        <w:rPr>
          <w:rFonts w:ascii="Arial" w:hAnsi="Arial" w:cs="Arial"/>
          <w:noProof/>
          <w:sz w:val="20"/>
          <w:szCs w:val="20"/>
          <w:lang w:val="en-US"/>
        </w:rPr>
        <w:t>39.3%</w:t>
      </w:r>
      <w:r w:rsidR="00D416E8" w:rsidRPr="00214987">
        <w:rPr>
          <w:rFonts w:ascii="Arial" w:hAnsi="Arial" w:cs="Arial"/>
          <w:noProof/>
          <w:sz w:val="20"/>
          <w:szCs w:val="20"/>
          <w:lang w:val="en-US"/>
        </w:rPr>
        <w:t>,</w:t>
      </w:r>
      <w:r w:rsidR="00613560" w:rsidRPr="00214987">
        <w:rPr>
          <w:rFonts w:ascii="Arial" w:hAnsi="Arial" w:cs="Arial"/>
          <w:noProof/>
          <w:sz w:val="20"/>
          <w:szCs w:val="20"/>
          <w:lang w:val="en-US"/>
        </w:rPr>
        <w:t xml:space="preserve">P=0.036]. </w:t>
      </w:r>
      <w:r w:rsidR="00866AD1">
        <w:rPr>
          <w:rFonts w:ascii="Arial" w:hAnsi="Arial" w:cs="Arial"/>
          <w:noProof/>
          <w:sz w:val="20"/>
          <w:szCs w:val="20"/>
          <w:lang w:val="en-US"/>
        </w:rPr>
        <w:t xml:space="preserve">In </w:t>
      </w:r>
      <w:r w:rsidR="00186209">
        <w:rPr>
          <w:rFonts w:ascii="Arial" w:hAnsi="Arial" w:cs="Arial"/>
          <w:noProof/>
          <w:sz w:val="20"/>
          <w:szCs w:val="20"/>
          <w:lang w:val="en-US"/>
        </w:rPr>
        <w:t xml:space="preserve">multivariate </w:t>
      </w:r>
      <w:r w:rsidR="00866AD1">
        <w:rPr>
          <w:rFonts w:ascii="Arial" w:hAnsi="Arial" w:cs="Arial"/>
          <w:noProof/>
          <w:sz w:val="20"/>
          <w:szCs w:val="20"/>
          <w:lang w:val="en-US"/>
        </w:rPr>
        <w:t>analysis, a</w:t>
      </w:r>
      <w:r w:rsidR="00613560" w:rsidRPr="00214987">
        <w:rPr>
          <w:rFonts w:ascii="Arial" w:hAnsi="Arial" w:cs="Arial"/>
          <w:noProof/>
          <w:sz w:val="20"/>
          <w:szCs w:val="20"/>
          <w:lang w:val="en-US"/>
        </w:rPr>
        <w:t xml:space="preserve">bsence of depression and not being on mOCS </w:t>
      </w:r>
      <w:r w:rsidR="00CC278F" w:rsidRPr="00214987">
        <w:rPr>
          <w:rFonts w:ascii="Arial" w:hAnsi="Arial" w:cs="Arial"/>
          <w:noProof/>
          <w:sz w:val="20"/>
          <w:szCs w:val="20"/>
          <w:lang w:val="en-US"/>
        </w:rPr>
        <w:t xml:space="preserve">were </w:t>
      </w:r>
      <w:r w:rsidR="00613560" w:rsidRPr="00214987">
        <w:rPr>
          <w:rFonts w:ascii="Arial" w:hAnsi="Arial" w:cs="Arial"/>
          <w:noProof/>
          <w:sz w:val="20"/>
          <w:szCs w:val="20"/>
          <w:lang w:val="en-US"/>
        </w:rPr>
        <w:t>independent</w:t>
      </w:r>
      <w:r w:rsidR="00E10400" w:rsidRPr="00214987">
        <w:rPr>
          <w:rFonts w:ascii="Arial" w:hAnsi="Arial" w:cs="Arial"/>
          <w:noProof/>
          <w:sz w:val="20"/>
          <w:szCs w:val="20"/>
          <w:lang w:val="en-US"/>
        </w:rPr>
        <w:t xml:space="preserve">ly </w:t>
      </w:r>
      <w:r w:rsidR="00CC278F" w:rsidRPr="00214987">
        <w:rPr>
          <w:rFonts w:ascii="Arial" w:hAnsi="Arial" w:cs="Arial"/>
          <w:noProof/>
          <w:sz w:val="20"/>
          <w:szCs w:val="20"/>
          <w:lang w:val="en-US"/>
        </w:rPr>
        <w:t xml:space="preserve">associated </w:t>
      </w:r>
      <w:r w:rsidR="00F6574C" w:rsidRPr="00214987">
        <w:rPr>
          <w:rFonts w:ascii="Arial" w:hAnsi="Arial" w:cs="Arial"/>
          <w:noProof/>
          <w:sz w:val="20"/>
          <w:szCs w:val="20"/>
          <w:lang w:val="en-US"/>
        </w:rPr>
        <w:t xml:space="preserve">with </w:t>
      </w:r>
      <w:r w:rsidR="008C6CE9" w:rsidRPr="00214987">
        <w:rPr>
          <w:rFonts w:ascii="Arial" w:hAnsi="Arial" w:cs="Arial"/>
          <w:noProof/>
          <w:sz w:val="20"/>
          <w:szCs w:val="20"/>
          <w:lang w:val="en-US"/>
        </w:rPr>
        <w:t>Omalizumab</w:t>
      </w:r>
      <w:r w:rsidR="00613560" w:rsidRPr="00214987">
        <w:rPr>
          <w:rFonts w:ascii="Arial" w:hAnsi="Arial" w:cs="Arial"/>
          <w:noProof/>
          <w:sz w:val="20"/>
          <w:szCs w:val="20"/>
          <w:lang w:val="en-US"/>
        </w:rPr>
        <w:t xml:space="preserve"> super-response (</w:t>
      </w:r>
      <w:r w:rsidR="004B1EBD" w:rsidRPr="00214987">
        <w:rPr>
          <w:rFonts w:ascii="Arial" w:hAnsi="Arial" w:cs="Arial"/>
          <w:noProof/>
          <w:sz w:val="20"/>
          <w:szCs w:val="20"/>
          <w:lang w:val="en-US"/>
        </w:rPr>
        <w:t xml:space="preserve">Table </w:t>
      </w:r>
      <w:r w:rsidR="00C77BFE">
        <w:rPr>
          <w:rFonts w:ascii="Arial" w:hAnsi="Arial" w:cs="Arial"/>
          <w:noProof/>
          <w:sz w:val="20"/>
          <w:szCs w:val="20"/>
          <w:lang w:val="en-US"/>
        </w:rPr>
        <w:t>3</w:t>
      </w:r>
      <w:r w:rsidR="00613560" w:rsidRPr="00214987">
        <w:rPr>
          <w:rFonts w:ascii="Arial" w:hAnsi="Arial" w:cs="Arial"/>
          <w:noProof/>
          <w:sz w:val="20"/>
          <w:szCs w:val="20"/>
          <w:lang w:val="en-US"/>
        </w:rPr>
        <w:t>).</w:t>
      </w:r>
    </w:p>
    <w:p w14:paraId="3BFD7A0D" w14:textId="064B3CCB" w:rsidR="005B43C5" w:rsidRPr="00214987" w:rsidRDefault="00BC533A" w:rsidP="00AB4CB7">
      <w:pPr>
        <w:spacing w:line="480" w:lineRule="auto"/>
        <w:rPr>
          <w:rFonts w:ascii="Arial" w:hAnsi="Arial" w:cs="Arial"/>
          <w:noProof/>
          <w:sz w:val="20"/>
          <w:szCs w:val="20"/>
          <w:lang w:val="en-US"/>
        </w:rPr>
      </w:pPr>
      <w:r w:rsidRPr="00214987">
        <w:rPr>
          <w:rFonts w:ascii="Arial" w:hAnsi="Arial" w:cs="Arial"/>
          <w:b/>
          <w:bCs/>
          <w:noProof/>
          <w:sz w:val="20"/>
          <w:szCs w:val="20"/>
          <w:u w:val="single"/>
          <w:lang w:val="en-US"/>
        </w:rPr>
        <w:t>Mepolizumab</w:t>
      </w:r>
      <w:r w:rsidR="005B43C5" w:rsidRPr="00214987">
        <w:rPr>
          <w:rFonts w:ascii="Arial" w:hAnsi="Arial" w:cs="Arial"/>
          <w:b/>
          <w:bCs/>
          <w:noProof/>
          <w:sz w:val="20"/>
          <w:szCs w:val="20"/>
          <w:u w:val="single"/>
          <w:lang w:val="en-US"/>
        </w:rPr>
        <w:t xml:space="preserve"> response</w:t>
      </w:r>
      <w:r w:rsidR="00902264">
        <w:rPr>
          <w:rFonts w:ascii="Arial" w:hAnsi="Arial" w:cs="Arial"/>
          <w:b/>
          <w:bCs/>
          <w:noProof/>
          <w:sz w:val="20"/>
          <w:szCs w:val="20"/>
          <w:u w:val="single"/>
          <w:lang w:val="en-US"/>
        </w:rPr>
        <w:t xml:space="preserve"> </w:t>
      </w:r>
    </w:p>
    <w:p w14:paraId="70D3577B" w14:textId="2F844DD4" w:rsidR="00720E0E" w:rsidRPr="00214987" w:rsidRDefault="008C6CE9" w:rsidP="00AB4CB7">
      <w:pPr>
        <w:spacing w:line="480" w:lineRule="auto"/>
        <w:rPr>
          <w:rFonts w:ascii="Arial" w:eastAsia="Times New Roman" w:hAnsi="Arial" w:cs="Arial"/>
          <w:noProof/>
          <w:sz w:val="20"/>
          <w:szCs w:val="20"/>
          <w:lang w:val="en-US" w:eastAsia="en-MY"/>
        </w:rPr>
      </w:pPr>
      <w:r>
        <w:rPr>
          <w:rFonts w:ascii="Arial" w:eastAsia="Times New Roman" w:hAnsi="Arial" w:cs="Arial"/>
          <w:noProof/>
          <w:sz w:val="20"/>
          <w:szCs w:val="20"/>
          <w:lang w:val="en-US" w:eastAsia="en-MY"/>
        </w:rPr>
        <w:t>Mepolizumab</w:t>
      </w:r>
      <w:r w:rsidR="00613560" w:rsidRPr="00214987">
        <w:rPr>
          <w:rFonts w:ascii="Arial" w:eastAsia="Times New Roman" w:hAnsi="Arial" w:cs="Arial"/>
          <w:noProof/>
          <w:sz w:val="20"/>
          <w:szCs w:val="20"/>
          <w:lang w:val="en-US" w:eastAsia="en-MY"/>
        </w:rPr>
        <w:t xml:space="preserve"> trials were completed by 93.6%, (58/62) patients, while </w:t>
      </w:r>
      <w:r w:rsidR="00613560" w:rsidRPr="00214987">
        <w:rPr>
          <w:rFonts w:ascii="Arial" w:hAnsi="Arial" w:cs="Arial"/>
          <w:noProof/>
          <w:sz w:val="20"/>
          <w:szCs w:val="20"/>
          <w:lang w:val="en-US"/>
        </w:rPr>
        <w:t>4.8%, (3/62) withdrew due to adverse effects and 1.6%</w:t>
      </w:r>
      <w:r w:rsidR="00C770C0" w:rsidRPr="00214987">
        <w:rPr>
          <w:rFonts w:ascii="Arial" w:hAnsi="Arial" w:cs="Arial"/>
          <w:noProof/>
          <w:sz w:val="20"/>
          <w:szCs w:val="20"/>
          <w:lang w:val="en-US"/>
        </w:rPr>
        <w:t>,</w:t>
      </w:r>
      <w:r w:rsidR="00613560" w:rsidRPr="00214987">
        <w:rPr>
          <w:rFonts w:ascii="Arial" w:hAnsi="Arial" w:cs="Arial"/>
          <w:noProof/>
          <w:sz w:val="20"/>
          <w:szCs w:val="20"/>
          <w:lang w:val="en-US"/>
        </w:rPr>
        <w:t xml:space="preserve"> (1/62) withdrew due to logistical reasons</w:t>
      </w:r>
      <w:r w:rsidR="00294B94">
        <w:rPr>
          <w:rFonts w:ascii="Arial" w:hAnsi="Arial" w:cs="Arial"/>
          <w:noProof/>
          <w:sz w:val="20"/>
          <w:szCs w:val="20"/>
          <w:lang w:val="en-US"/>
        </w:rPr>
        <w:t xml:space="preserve"> (Figure 1)</w:t>
      </w:r>
      <w:r w:rsidR="00613560" w:rsidRPr="00214987">
        <w:rPr>
          <w:rFonts w:ascii="Arial" w:hAnsi="Arial" w:cs="Arial"/>
          <w:noProof/>
          <w:sz w:val="20"/>
          <w:szCs w:val="20"/>
          <w:lang w:val="en-US"/>
        </w:rPr>
        <w:t xml:space="preserve">. </w:t>
      </w:r>
      <w:r>
        <w:rPr>
          <w:rFonts w:ascii="Arial" w:hAnsi="Arial" w:cs="Arial"/>
          <w:noProof/>
          <w:sz w:val="20"/>
          <w:szCs w:val="20"/>
          <w:lang w:val="en-US"/>
        </w:rPr>
        <w:t>Mepolizumab</w:t>
      </w:r>
      <w:r w:rsidR="00613560" w:rsidRPr="00214987">
        <w:rPr>
          <w:rFonts w:ascii="Arial" w:hAnsi="Arial" w:cs="Arial"/>
          <w:noProof/>
          <w:sz w:val="20"/>
          <w:szCs w:val="20"/>
          <w:lang w:val="en-US"/>
        </w:rPr>
        <w:t xml:space="preserve"> </w:t>
      </w:r>
      <w:r w:rsidR="00F6574C" w:rsidRPr="00214987">
        <w:rPr>
          <w:rFonts w:ascii="Arial" w:hAnsi="Arial" w:cs="Arial"/>
          <w:noProof/>
          <w:sz w:val="20"/>
          <w:szCs w:val="20"/>
          <w:lang w:val="en-US"/>
        </w:rPr>
        <w:t xml:space="preserve">(Figure </w:t>
      </w:r>
      <w:r w:rsidR="00294B94">
        <w:rPr>
          <w:rFonts w:ascii="Arial" w:hAnsi="Arial" w:cs="Arial"/>
          <w:noProof/>
          <w:sz w:val="20"/>
          <w:szCs w:val="20"/>
          <w:lang w:val="en-US"/>
        </w:rPr>
        <w:t>2</w:t>
      </w:r>
      <w:r w:rsidR="00F6574C" w:rsidRPr="00214987">
        <w:rPr>
          <w:rFonts w:ascii="Arial" w:hAnsi="Arial" w:cs="Arial"/>
          <w:noProof/>
          <w:sz w:val="20"/>
          <w:szCs w:val="20"/>
          <w:lang w:val="en-US"/>
        </w:rPr>
        <w:t xml:space="preserve">) </w:t>
      </w:r>
      <w:r w:rsidR="00613560" w:rsidRPr="00214987">
        <w:rPr>
          <w:rFonts w:ascii="Arial" w:hAnsi="Arial" w:cs="Arial"/>
          <w:noProof/>
          <w:sz w:val="20"/>
          <w:szCs w:val="20"/>
          <w:lang w:val="en-US"/>
        </w:rPr>
        <w:t>significantly improved symptom control</w:t>
      </w:r>
      <w:r w:rsidR="008F1447" w:rsidRPr="00214987">
        <w:rPr>
          <w:rFonts w:ascii="Arial" w:hAnsi="Arial" w:cs="Arial"/>
          <w:noProof/>
          <w:sz w:val="20"/>
          <w:szCs w:val="20"/>
          <w:lang w:val="en-US"/>
        </w:rPr>
        <w:t xml:space="preserve"> [</w:t>
      </w:r>
      <w:r w:rsidR="00F6574C" w:rsidRPr="00214987">
        <w:rPr>
          <w:rFonts w:ascii="Arial" w:hAnsi="Arial" w:cs="Arial"/>
          <w:noProof/>
          <w:sz w:val="20"/>
          <w:szCs w:val="20"/>
          <w:lang w:val="en-US"/>
        </w:rPr>
        <w:t>Mean(</w:t>
      </w:r>
      <w:r w:rsidR="008F1447" w:rsidRPr="00214987">
        <w:rPr>
          <w:rFonts w:ascii="Arial" w:hAnsi="Arial" w:cs="Arial"/>
          <w:noProof/>
          <w:sz w:val="20"/>
          <w:szCs w:val="20"/>
          <w:lang w:val="en-US"/>
        </w:rPr>
        <w:t>SD)</w:t>
      </w:r>
      <w:r w:rsidR="002939F6" w:rsidRPr="00214987">
        <w:rPr>
          <w:rFonts w:ascii="Arial" w:hAnsi="Arial" w:cs="Arial"/>
          <w:noProof/>
          <w:sz w:val="20"/>
          <w:szCs w:val="20"/>
          <w:lang w:val="en-US"/>
        </w:rPr>
        <w:t>,</w:t>
      </w:r>
      <w:r w:rsidR="008F1447" w:rsidRPr="00214987">
        <w:rPr>
          <w:rFonts w:ascii="Arial" w:hAnsi="Arial" w:cs="Arial"/>
          <w:noProof/>
          <w:sz w:val="20"/>
          <w:szCs w:val="20"/>
          <w:lang w:val="en-US"/>
        </w:rPr>
        <w:t xml:space="preserve"> ACQ6 </w:t>
      </w:r>
      <w:r w:rsidR="00F6574C" w:rsidRPr="00214987">
        <w:rPr>
          <w:rFonts w:ascii="Arial" w:hAnsi="Arial" w:cs="Arial"/>
          <w:noProof/>
          <w:sz w:val="20"/>
          <w:szCs w:val="20"/>
          <w:lang w:val="en-US"/>
        </w:rPr>
        <w:t>baseline:</w:t>
      </w:r>
      <w:r w:rsidR="00DD6877">
        <w:rPr>
          <w:rFonts w:ascii="Arial" w:hAnsi="Arial" w:cs="Arial"/>
          <w:noProof/>
          <w:sz w:val="20"/>
          <w:szCs w:val="20"/>
          <w:lang w:val="en-US"/>
        </w:rPr>
        <w:t xml:space="preserve"> </w:t>
      </w:r>
      <w:r w:rsidR="008F1447" w:rsidRPr="00214987">
        <w:rPr>
          <w:rFonts w:ascii="Arial" w:hAnsi="Arial" w:cs="Arial"/>
          <w:noProof/>
          <w:sz w:val="20"/>
          <w:szCs w:val="20"/>
          <w:lang w:val="en-US"/>
        </w:rPr>
        <w:t xml:space="preserve">2.71(1.26) </w:t>
      </w:r>
      <w:r w:rsidR="009235E2" w:rsidRPr="00214987">
        <w:rPr>
          <w:rFonts w:ascii="Arial" w:hAnsi="Arial" w:cs="Arial"/>
          <w:noProof/>
          <w:sz w:val="20"/>
          <w:szCs w:val="20"/>
          <w:lang w:val="en-US"/>
        </w:rPr>
        <w:t>to</w:t>
      </w:r>
      <w:r w:rsidR="008F1447" w:rsidRPr="00214987">
        <w:rPr>
          <w:rFonts w:ascii="Arial" w:hAnsi="Arial" w:cs="Arial"/>
          <w:noProof/>
          <w:sz w:val="20"/>
          <w:szCs w:val="20"/>
          <w:lang w:val="en-US"/>
        </w:rPr>
        <w:t xml:space="preserve"> 1.95(1.64), </w:t>
      </w:r>
      <w:bookmarkStart w:id="1" w:name="OLE_LINK2"/>
      <w:r w:rsidR="008F1447" w:rsidRPr="00214987">
        <w:rPr>
          <w:rFonts w:ascii="Arial" w:hAnsi="Arial" w:cs="Arial"/>
          <w:noProof/>
          <w:sz w:val="20"/>
          <w:szCs w:val="20"/>
          <w:lang w:val="en-US"/>
        </w:rPr>
        <w:t>P&lt;0.001</w:t>
      </w:r>
      <w:bookmarkEnd w:id="1"/>
      <w:r w:rsidR="008F1447" w:rsidRPr="00214987">
        <w:rPr>
          <w:rFonts w:ascii="Arial" w:hAnsi="Arial" w:cs="Arial"/>
          <w:noProof/>
          <w:sz w:val="20"/>
          <w:szCs w:val="20"/>
          <w:lang w:val="en-US"/>
        </w:rPr>
        <w:t>]</w:t>
      </w:r>
      <w:r w:rsidR="00613560" w:rsidRPr="00214987">
        <w:rPr>
          <w:rFonts w:ascii="Arial" w:hAnsi="Arial" w:cs="Arial"/>
          <w:noProof/>
          <w:sz w:val="20"/>
          <w:szCs w:val="20"/>
          <w:lang w:val="en-US"/>
        </w:rPr>
        <w:t>, AQLQ</w:t>
      </w:r>
      <w:r w:rsidR="008F1447" w:rsidRPr="00214987">
        <w:rPr>
          <w:rFonts w:ascii="Arial" w:hAnsi="Arial" w:cs="Arial"/>
          <w:noProof/>
          <w:sz w:val="20"/>
          <w:szCs w:val="20"/>
          <w:lang w:val="en-US"/>
        </w:rPr>
        <w:t xml:space="preserve"> [Mean(SD)</w:t>
      </w:r>
      <w:r w:rsidR="002939F6" w:rsidRPr="00214987">
        <w:rPr>
          <w:rFonts w:ascii="Arial" w:hAnsi="Arial" w:cs="Arial"/>
          <w:noProof/>
          <w:sz w:val="20"/>
          <w:szCs w:val="20"/>
          <w:lang w:val="en-US"/>
        </w:rPr>
        <w:t>,</w:t>
      </w:r>
      <w:r w:rsidR="008F1447" w:rsidRPr="00214987">
        <w:rPr>
          <w:rFonts w:ascii="Arial" w:hAnsi="Arial" w:cs="Arial"/>
          <w:noProof/>
          <w:sz w:val="20"/>
          <w:szCs w:val="20"/>
          <w:lang w:val="en-US"/>
        </w:rPr>
        <w:t xml:space="preserve"> baseline:</w:t>
      </w:r>
      <w:r w:rsidR="00DD6877">
        <w:rPr>
          <w:rFonts w:ascii="Arial" w:hAnsi="Arial" w:cs="Arial"/>
          <w:noProof/>
          <w:sz w:val="20"/>
          <w:szCs w:val="20"/>
          <w:lang w:val="en-US"/>
        </w:rPr>
        <w:t xml:space="preserve"> </w:t>
      </w:r>
      <w:r w:rsidR="008F1447" w:rsidRPr="00214987">
        <w:rPr>
          <w:rFonts w:ascii="Arial" w:hAnsi="Arial" w:cs="Arial"/>
          <w:noProof/>
          <w:sz w:val="20"/>
          <w:szCs w:val="20"/>
          <w:lang w:val="en-US"/>
        </w:rPr>
        <w:t>4.33(1.27) to 5.41(1.35), P</w:t>
      </w:r>
      <w:r w:rsidR="008F1447" w:rsidRPr="00214987">
        <w:rPr>
          <w:rFonts w:ascii="Arial" w:eastAsia="Times New Roman" w:hAnsi="Arial" w:cs="Arial"/>
          <w:noProof/>
          <w:sz w:val="20"/>
          <w:szCs w:val="20"/>
          <w:lang w:val="en-US" w:eastAsia="en-MY"/>
        </w:rPr>
        <w:t>&lt;0.001]</w:t>
      </w:r>
      <w:r w:rsidR="00613560" w:rsidRPr="00214987">
        <w:rPr>
          <w:rFonts w:ascii="Arial" w:hAnsi="Arial" w:cs="Arial"/>
          <w:noProof/>
          <w:sz w:val="20"/>
          <w:szCs w:val="20"/>
          <w:lang w:val="en-US"/>
        </w:rPr>
        <w:t xml:space="preserve"> and total HADS</w:t>
      </w:r>
      <w:r w:rsidR="008F1447" w:rsidRPr="00214987">
        <w:rPr>
          <w:rFonts w:ascii="Arial" w:hAnsi="Arial" w:cs="Arial"/>
          <w:noProof/>
          <w:sz w:val="20"/>
          <w:szCs w:val="20"/>
          <w:lang w:val="en-US"/>
        </w:rPr>
        <w:t xml:space="preserve"> [</w:t>
      </w:r>
      <w:r w:rsidR="00F6574C" w:rsidRPr="00214987">
        <w:rPr>
          <w:rFonts w:ascii="Arial" w:hAnsi="Arial" w:cs="Arial"/>
          <w:noProof/>
          <w:sz w:val="20"/>
          <w:szCs w:val="20"/>
          <w:lang w:val="en-US"/>
        </w:rPr>
        <w:t>Median(</w:t>
      </w:r>
      <w:r w:rsidR="008F1447" w:rsidRPr="00214987">
        <w:rPr>
          <w:rFonts w:ascii="Arial" w:hAnsi="Arial" w:cs="Arial"/>
          <w:noProof/>
          <w:sz w:val="20"/>
          <w:szCs w:val="20"/>
          <w:lang w:val="en-US"/>
        </w:rPr>
        <w:t>IQR)</w:t>
      </w:r>
      <w:r w:rsidR="002939F6" w:rsidRPr="00214987">
        <w:rPr>
          <w:rFonts w:ascii="Arial" w:hAnsi="Arial" w:cs="Arial"/>
          <w:noProof/>
          <w:sz w:val="20"/>
          <w:szCs w:val="20"/>
          <w:lang w:val="en-US"/>
        </w:rPr>
        <w:t>,</w:t>
      </w:r>
      <w:r w:rsidR="008F1447" w:rsidRPr="00214987">
        <w:rPr>
          <w:rFonts w:ascii="Arial" w:hAnsi="Arial" w:cs="Arial"/>
          <w:noProof/>
          <w:sz w:val="20"/>
          <w:szCs w:val="20"/>
          <w:lang w:val="en-US"/>
        </w:rPr>
        <w:t xml:space="preserve"> baseline:</w:t>
      </w:r>
      <w:r w:rsidR="00DD6877">
        <w:rPr>
          <w:rFonts w:ascii="Arial" w:hAnsi="Arial" w:cs="Arial"/>
          <w:noProof/>
          <w:sz w:val="20"/>
          <w:szCs w:val="20"/>
          <w:lang w:val="en-US"/>
        </w:rPr>
        <w:t xml:space="preserve"> </w:t>
      </w:r>
      <w:r w:rsidR="008F1447" w:rsidRPr="00214987">
        <w:rPr>
          <w:rFonts w:ascii="Arial" w:hAnsi="Arial" w:cs="Arial"/>
          <w:noProof/>
          <w:sz w:val="20"/>
          <w:szCs w:val="20"/>
          <w:lang w:val="en-US"/>
        </w:rPr>
        <w:t>9.5(10) to 6(9.5), P=</w:t>
      </w:r>
      <w:r w:rsidR="008F1447" w:rsidRPr="00214987">
        <w:rPr>
          <w:rFonts w:ascii="Arial" w:eastAsia="Times New Roman" w:hAnsi="Arial" w:cs="Arial"/>
          <w:noProof/>
          <w:sz w:val="20"/>
          <w:szCs w:val="20"/>
          <w:lang w:val="en-US" w:eastAsia="en-MY"/>
        </w:rPr>
        <w:t>0.012</w:t>
      </w:r>
      <w:r w:rsidR="00F6574C" w:rsidRPr="00214987">
        <w:rPr>
          <w:rFonts w:ascii="Arial" w:eastAsia="Times New Roman" w:hAnsi="Arial" w:cs="Arial"/>
          <w:noProof/>
          <w:sz w:val="20"/>
          <w:szCs w:val="20"/>
          <w:lang w:val="en-US" w:eastAsia="en-MY"/>
        </w:rPr>
        <w:t>]</w:t>
      </w:r>
      <w:r w:rsidR="00613560" w:rsidRPr="00214987">
        <w:rPr>
          <w:rFonts w:ascii="Arial" w:hAnsi="Arial" w:cs="Arial"/>
          <w:noProof/>
          <w:sz w:val="20"/>
          <w:szCs w:val="20"/>
          <w:lang w:val="en-US"/>
        </w:rPr>
        <w:t xml:space="preserve">. Furthermore, </w:t>
      </w:r>
      <w:r>
        <w:rPr>
          <w:rFonts w:ascii="Arial" w:hAnsi="Arial" w:cs="Arial"/>
          <w:noProof/>
          <w:sz w:val="20"/>
          <w:szCs w:val="20"/>
          <w:lang w:val="en-US"/>
        </w:rPr>
        <w:t>Mepolizumab</w:t>
      </w:r>
      <w:r w:rsidR="00613560" w:rsidRPr="00214987">
        <w:rPr>
          <w:rFonts w:ascii="Arial" w:hAnsi="Arial" w:cs="Arial"/>
          <w:noProof/>
          <w:sz w:val="20"/>
          <w:szCs w:val="20"/>
          <w:lang w:val="en-US"/>
        </w:rPr>
        <w:t xml:space="preserve"> </w:t>
      </w:r>
      <w:r w:rsidR="00823137" w:rsidRPr="00214987">
        <w:rPr>
          <w:rFonts w:ascii="Arial" w:hAnsi="Arial" w:cs="Arial"/>
          <w:noProof/>
          <w:sz w:val="20"/>
          <w:szCs w:val="20"/>
          <w:lang w:val="en-US"/>
        </w:rPr>
        <w:t xml:space="preserve">(Figure </w:t>
      </w:r>
      <w:r w:rsidR="00294B94">
        <w:rPr>
          <w:rFonts w:ascii="Arial" w:hAnsi="Arial" w:cs="Arial"/>
          <w:noProof/>
          <w:sz w:val="20"/>
          <w:szCs w:val="20"/>
          <w:lang w:val="en-US"/>
        </w:rPr>
        <w:t>2</w:t>
      </w:r>
      <w:r w:rsidR="00823137" w:rsidRPr="00214987">
        <w:rPr>
          <w:rFonts w:ascii="Arial" w:hAnsi="Arial" w:cs="Arial"/>
          <w:noProof/>
          <w:sz w:val="20"/>
          <w:szCs w:val="20"/>
          <w:lang w:val="en-US"/>
        </w:rPr>
        <w:t xml:space="preserve">) </w:t>
      </w:r>
      <w:r w:rsidR="00613560" w:rsidRPr="00214987">
        <w:rPr>
          <w:rFonts w:ascii="Arial" w:hAnsi="Arial" w:cs="Arial"/>
          <w:noProof/>
          <w:sz w:val="20"/>
          <w:szCs w:val="20"/>
          <w:lang w:val="en-US"/>
        </w:rPr>
        <w:t>significantly reduced exacerbations</w:t>
      </w:r>
      <w:r w:rsidR="008F1447" w:rsidRPr="00214987">
        <w:rPr>
          <w:rFonts w:ascii="Arial" w:hAnsi="Arial" w:cs="Arial"/>
          <w:noProof/>
          <w:sz w:val="20"/>
          <w:szCs w:val="20"/>
          <w:lang w:val="en-US"/>
        </w:rPr>
        <w:t xml:space="preserve"> [Median(IQR)</w:t>
      </w:r>
      <w:r w:rsidR="002939F6" w:rsidRPr="00214987">
        <w:rPr>
          <w:rFonts w:ascii="Arial" w:hAnsi="Arial" w:cs="Arial"/>
          <w:noProof/>
          <w:sz w:val="20"/>
          <w:szCs w:val="20"/>
          <w:lang w:val="en-US"/>
        </w:rPr>
        <w:t>,</w:t>
      </w:r>
      <w:r w:rsidR="00E42E02" w:rsidRPr="00214987">
        <w:rPr>
          <w:rFonts w:ascii="Arial" w:hAnsi="Arial" w:cs="Arial"/>
          <w:noProof/>
          <w:sz w:val="20"/>
          <w:szCs w:val="20"/>
          <w:lang w:val="en-US"/>
        </w:rPr>
        <w:t xml:space="preserve"> baseline:</w:t>
      </w:r>
      <w:r w:rsidR="00DD6877">
        <w:rPr>
          <w:rFonts w:ascii="Arial" w:hAnsi="Arial" w:cs="Arial"/>
          <w:noProof/>
          <w:sz w:val="20"/>
          <w:szCs w:val="20"/>
          <w:lang w:val="en-US"/>
        </w:rPr>
        <w:t xml:space="preserve"> </w:t>
      </w:r>
      <w:r w:rsidR="008F1447" w:rsidRPr="00214987">
        <w:rPr>
          <w:rFonts w:ascii="Arial" w:hAnsi="Arial" w:cs="Arial"/>
          <w:noProof/>
          <w:sz w:val="20"/>
          <w:szCs w:val="20"/>
          <w:lang w:val="en-US"/>
        </w:rPr>
        <w:t xml:space="preserve">4(3) </w:t>
      </w:r>
      <w:r w:rsidR="009235E2" w:rsidRPr="00214987">
        <w:rPr>
          <w:rFonts w:ascii="Arial" w:hAnsi="Arial" w:cs="Arial"/>
          <w:noProof/>
          <w:sz w:val="20"/>
          <w:szCs w:val="20"/>
          <w:lang w:val="en-US"/>
        </w:rPr>
        <w:t>to</w:t>
      </w:r>
      <w:r w:rsidR="008F1447" w:rsidRPr="00214987">
        <w:rPr>
          <w:rFonts w:ascii="Arial" w:hAnsi="Arial" w:cs="Arial"/>
          <w:noProof/>
          <w:sz w:val="20"/>
          <w:szCs w:val="20"/>
          <w:lang w:val="en-US"/>
        </w:rPr>
        <w:t xml:space="preserve"> 2(3), P&lt;0.001]</w:t>
      </w:r>
      <w:r w:rsidR="00613560" w:rsidRPr="00214987">
        <w:rPr>
          <w:rFonts w:ascii="Arial" w:hAnsi="Arial" w:cs="Arial"/>
          <w:noProof/>
          <w:sz w:val="20"/>
          <w:szCs w:val="20"/>
          <w:lang w:val="en-US"/>
        </w:rPr>
        <w:t>,</w:t>
      </w:r>
      <w:r w:rsidR="00823137" w:rsidRPr="00214987">
        <w:rPr>
          <w:rFonts w:ascii="Arial" w:hAnsi="Arial" w:cs="Arial"/>
          <w:noProof/>
          <w:sz w:val="20"/>
          <w:szCs w:val="20"/>
          <w:lang w:val="en-US"/>
        </w:rPr>
        <w:t xml:space="preserve"> AHE</w:t>
      </w:r>
      <w:r w:rsidR="008F1447" w:rsidRPr="00214987">
        <w:rPr>
          <w:rFonts w:ascii="Arial" w:hAnsi="Arial" w:cs="Arial"/>
          <w:noProof/>
          <w:sz w:val="20"/>
          <w:szCs w:val="20"/>
          <w:lang w:val="en-US"/>
        </w:rPr>
        <w:t xml:space="preserve"> [Median(IQR)</w:t>
      </w:r>
      <w:r w:rsidR="002939F6" w:rsidRPr="00214987">
        <w:rPr>
          <w:rFonts w:ascii="Arial" w:hAnsi="Arial" w:cs="Arial"/>
          <w:noProof/>
          <w:sz w:val="20"/>
          <w:szCs w:val="20"/>
          <w:lang w:val="en-US"/>
        </w:rPr>
        <w:t>,</w:t>
      </w:r>
      <w:r w:rsidR="008F1447" w:rsidRPr="00214987">
        <w:rPr>
          <w:rFonts w:ascii="Arial" w:hAnsi="Arial" w:cs="Arial"/>
          <w:noProof/>
          <w:sz w:val="20"/>
          <w:szCs w:val="20"/>
          <w:lang w:val="en-US"/>
        </w:rPr>
        <w:t xml:space="preserve"> baseline: 0(1) to 0(0), </w:t>
      </w:r>
      <w:bookmarkStart w:id="2" w:name="OLE_LINK1"/>
      <w:r w:rsidR="008F1447" w:rsidRPr="00214987">
        <w:rPr>
          <w:rFonts w:ascii="Arial" w:hAnsi="Arial" w:cs="Arial"/>
          <w:noProof/>
          <w:sz w:val="20"/>
          <w:szCs w:val="20"/>
          <w:lang w:val="en-US"/>
        </w:rPr>
        <w:t>P=0.006</w:t>
      </w:r>
      <w:bookmarkEnd w:id="2"/>
      <w:r w:rsidR="008F1447" w:rsidRPr="00214987">
        <w:rPr>
          <w:rFonts w:ascii="Arial" w:hAnsi="Arial" w:cs="Arial"/>
          <w:noProof/>
          <w:sz w:val="20"/>
          <w:szCs w:val="20"/>
          <w:lang w:val="en-US"/>
        </w:rPr>
        <w:t>]</w:t>
      </w:r>
      <w:r w:rsidR="00823137" w:rsidRPr="00214987">
        <w:rPr>
          <w:rFonts w:ascii="Arial" w:hAnsi="Arial" w:cs="Arial"/>
          <w:noProof/>
          <w:sz w:val="20"/>
          <w:szCs w:val="20"/>
          <w:lang w:val="en-US"/>
        </w:rPr>
        <w:t>, PBE</w:t>
      </w:r>
      <w:r w:rsidR="002F335C" w:rsidRPr="00214987">
        <w:rPr>
          <w:rFonts w:ascii="Arial" w:hAnsi="Arial" w:cs="Arial"/>
          <w:noProof/>
          <w:sz w:val="20"/>
          <w:szCs w:val="20"/>
          <w:lang w:val="en-US"/>
        </w:rPr>
        <w:t xml:space="preserve"> (cells/μL)</w:t>
      </w:r>
      <w:r w:rsidR="008F1447" w:rsidRPr="00214987">
        <w:rPr>
          <w:rFonts w:ascii="Arial" w:hAnsi="Arial" w:cs="Arial"/>
          <w:noProof/>
          <w:sz w:val="20"/>
          <w:szCs w:val="20"/>
          <w:lang w:val="en-US"/>
        </w:rPr>
        <w:t xml:space="preserve"> [Median(IQR)</w:t>
      </w:r>
      <w:r w:rsidR="002939F6" w:rsidRPr="00214987">
        <w:rPr>
          <w:rFonts w:ascii="Arial" w:hAnsi="Arial" w:cs="Arial"/>
          <w:noProof/>
          <w:sz w:val="20"/>
          <w:szCs w:val="20"/>
          <w:lang w:val="en-US"/>
        </w:rPr>
        <w:t>,</w:t>
      </w:r>
      <w:r w:rsidR="008F1447" w:rsidRPr="00214987">
        <w:rPr>
          <w:rFonts w:ascii="Arial" w:hAnsi="Arial" w:cs="Arial"/>
          <w:noProof/>
          <w:sz w:val="20"/>
          <w:szCs w:val="20"/>
          <w:lang w:val="en-US"/>
        </w:rPr>
        <w:t xml:space="preserve"> baseline:500(350) to 100(100) </w:t>
      </w:r>
      <w:r w:rsidR="00F6574C" w:rsidRPr="00214987">
        <w:rPr>
          <w:rFonts w:ascii="Arial" w:hAnsi="Arial" w:cs="Arial"/>
          <w:noProof/>
          <w:sz w:val="20"/>
          <w:szCs w:val="20"/>
          <w:lang w:val="en-US"/>
        </w:rPr>
        <w:t>P</w:t>
      </w:r>
      <w:r w:rsidR="008F1447" w:rsidRPr="00214987">
        <w:rPr>
          <w:rFonts w:ascii="Arial" w:hAnsi="Arial" w:cs="Arial"/>
          <w:noProof/>
          <w:sz w:val="20"/>
          <w:szCs w:val="20"/>
          <w:lang w:val="en-US"/>
        </w:rPr>
        <w:t>&lt;0.001)</w:t>
      </w:r>
      <w:r w:rsidR="00823137" w:rsidRPr="0021498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mOCS dose</w:t>
      </w:r>
      <w:r w:rsidR="008F1447" w:rsidRPr="00214987">
        <w:rPr>
          <w:rFonts w:ascii="Arial" w:eastAsia="Times New Roman" w:hAnsi="Arial" w:cs="Arial"/>
          <w:noProof/>
          <w:sz w:val="20"/>
          <w:szCs w:val="20"/>
          <w:lang w:val="en-US" w:eastAsia="en-MY"/>
        </w:rPr>
        <w:t xml:space="preserve"> [Median(IQR)</w:t>
      </w:r>
      <w:r w:rsidR="002939F6" w:rsidRPr="00214987">
        <w:rPr>
          <w:rFonts w:ascii="Arial" w:eastAsia="Times New Roman" w:hAnsi="Arial" w:cs="Arial"/>
          <w:noProof/>
          <w:sz w:val="20"/>
          <w:szCs w:val="20"/>
          <w:lang w:val="en-US" w:eastAsia="en-MY"/>
        </w:rPr>
        <w:t>,</w:t>
      </w:r>
      <w:r w:rsidR="008F1447" w:rsidRPr="00214987">
        <w:rPr>
          <w:rFonts w:ascii="Arial" w:eastAsia="Times New Roman" w:hAnsi="Arial" w:cs="Arial"/>
          <w:noProof/>
          <w:sz w:val="20"/>
          <w:szCs w:val="20"/>
          <w:lang w:val="en-US" w:eastAsia="en-MY"/>
        </w:rPr>
        <w:t xml:space="preserve"> </w:t>
      </w:r>
      <w:r w:rsidR="008F1447" w:rsidRPr="00214987">
        <w:rPr>
          <w:rFonts w:ascii="Arial" w:hAnsi="Arial" w:cs="Arial"/>
          <w:noProof/>
          <w:sz w:val="20"/>
          <w:szCs w:val="20"/>
          <w:lang w:val="en-US"/>
        </w:rPr>
        <w:t>baseline</w:t>
      </w:r>
      <w:r w:rsidR="006F5849" w:rsidRPr="00214987">
        <w:rPr>
          <w:rFonts w:ascii="Arial" w:hAnsi="Arial" w:cs="Arial"/>
          <w:noProof/>
          <w:sz w:val="20"/>
          <w:szCs w:val="20"/>
          <w:lang w:val="en-US"/>
        </w:rPr>
        <w:t>:</w:t>
      </w:r>
      <w:r w:rsidR="00DD6877">
        <w:rPr>
          <w:rFonts w:ascii="Arial" w:hAnsi="Arial" w:cs="Arial"/>
          <w:noProof/>
          <w:sz w:val="20"/>
          <w:szCs w:val="20"/>
          <w:lang w:val="en-US"/>
        </w:rPr>
        <w:t xml:space="preserve"> </w:t>
      </w:r>
      <w:r w:rsidR="008F1447" w:rsidRPr="00214987">
        <w:rPr>
          <w:rFonts w:ascii="Arial" w:eastAsia="Times New Roman" w:hAnsi="Arial" w:cs="Arial"/>
          <w:noProof/>
          <w:sz w:val="20"/>
          <w:szCs w:val="20"/>
          <w:lang w:val="en-US" w:eastAsia="en-MY"/>
        </w:rPr>
        <w:t>10(10) to 5(7), P&lt;0.001]</w:t>
      </w:r>
      <w:r w:rsidR="00613560" w:rsidRPr="00214987">
        <w:rPr>
          <w:rFonts w:ascii="Arial" w:eastAsia="Times New Roman" w:hAnsi="Arial" w:cs="Arial"/>
          <w:noProof/>
          <w:sz w:val="20"/>
          <w:szCs w:val="20"/>
          <w:lang w:val="en-US" w:eastAsia="en-MY"/>
        </w:rPr>
        <w:t>,</w:t>
      </w:r>
      <w:r w:rsidR="00613560" w:rsidRPr="00214987">
        <w:rPr>
          <w:rFonts w:ascii="Arial" w:hAnsi="Arial" w:cs="Arial"/>
          <w:noProof/>
          <w:sz w:val="20"/>
          <w:szCs w:val="20"/>
          <w:lang w:val="en-US"/>
        </w:rPr>
        <w:t xml:space="preserve"> </w:t>
      </w:r>
      <w:r w:rsidR="00823137" w:rsidRPr="00214987">
        <w:rPr>
          <w:rFonts w:ascii="Arial" w:hAnsi="Arial" w:cs="Arial"/>
          <w:noProof/>
          <w:sz w:val="20"/>
          <w:szCs w:val="20"/>
          <w:lang w:val="en-US"/>
        </w:rPr>
        <w:t xml:space="preserve">and </w:t>
      </w:r>
      <w:r w:rsidR="00C95CF4" w:rsidRPr="00214987">
        <w:rPr>
          <w:rFonts w:ascii="Arial" w:hAnsi="Arial" w:cs="Arial"/>
          <w:noProof/>
          <w:sz w:val="20"/>
          <w:szCs w:val="20"/>
          <w:lang w:val="en-US"/>
        </w:rPr>
        <w:t xml:space="preserve">mOCS dependency </w:t>
      </w:r>
      <w:r w:rsidR="00EF2D2B" w:rsidRPr="00214987">
        <w:rPr>
          <w:rFonts w:ascii="Arial" w:hAnsi="Arial" w:cs="Arial"/>
          <w:noProof/>
          <w:sz w:val="20"/>
          <w:szCs w:val="20"/>
          <w:lang w:val="en-US"/>
        </w:rPr>
        <w:t>[B</w:t>
      </w:r>
      <w:r w:rsidR="008F1447" w:rsidRPr="00214987">
        <w:rPr>
          <w:rFonts w:ascii="Arial" w:hAnsi="Arial" w:cs="Arial"/>
          <w:noProof/>
          <w:sz w:val="20"/>
          <w:szCs w:val="20"/>
          <w:lang w:val="en-US"/>
        </w:rPr>
        <w:t>aseline</w:t>
      </w:r>
      <w:r w:rsidR="00823137" w:rsidRPr="00214987">
        <w:rPr>
          <w:rFonts w:ascii="Arial" w:hAnsi="Arial" w:cs="Arial"/>
          <w:noProof/>
          <w:sz w:val="20"/>
          <w:szCs w:val="20"/>
          <w:lang w:val="en-US"/>
        </w:rPr>
        <w:t xml:space="preserve">: </w:t>
      </w:r>
      <w:r w:rsidR="00EF2D2B" w:rsidRPr="00214987">
        <w:rPr>
          <w:rFonts w:ascii="Arial" w:hAnsi="Arial" w:cs="Arial"/>
          <w:noProof/>
          <w:sz w:val="20"/>
          <w:szCs w:val="20"/>
          <w:lang w:val="en-US"/>
        </w:rPr>
        <w:t>70.7%</w:t>
      </w:r>
      <w:r w:rsidR="002F335C" w:rsidRPr="00214987">
        <w:rPr>
          <w:rFonts w:ascii="Arial" w:hAnsi="Arial" w:cs="Arial"/>
          <w:noProof/>
          <w:sz w:val="20"/>
          <w:szCs w:val="20"/>
          <w:lang w:val="en-US"/>
        </w:rPr>
        <w:t>,</w:t>
      </w:r>
      <w:r w:rsidR="00EF2D2B" w:rsidRPr="00214987">
        <w:rPr>
          <w:rFonts w:ascii="Arial" w:hAnsi="Arial" w:cs="Arial"/>
          <w:noProof/>
          <w:sz w:val="20"/>
          <w:szCs w:val="20"/>
          <w:lang w:val="en-US"/>
        </w:rPr>
        <w:t>(41/58)</w:t>
      </w:r>
      <w:r w:rsidR="009235E2" w:rsidRPr="00214987">
        <w:rPr>
          <w:rFonts w:ascii="Arial" w:hAnsi="Arial" w:cs="Arial"/>
          <w:noProof/>
          <w:sz w:val="20"/>
          <w:szCs w:val="20"/>
          <w:lang w:val="en-US"/>
        </w:rPr>
        <w:t xml:space="preserve"> to </w:t>
      </w:r>
      <w:r w:rsidR="00613560" w:rsidRPr="00214987">
        <w:rPr>
          <w:rFonts w:ascii="Arial" w:hAnsi="Arial" w:cs="Arial"/>
          <w:noProof/>
          <w:sz w:val="20"/>
          <w:szCs w:val="20"/>
          <w:lang w:val="en-US"/>
        </w:rPr>
        <w:t xml:space="preserve">56.1% </w:t>
      </w:r>
      <w:r w:rsidR="002F335C" w:rsidRPr="00214987">
        <w:rPr>
          <w:rFonts w:ascii="Arial" w:hAnsi="Arial" w:cs="Arial"/>
          <w:noProof/>
          <w:sz w:val="20"/>
          <w:szCs w:val="20"/>
          <w:lang w:val="en-US"/>
        </w:rPr>
        <w:t>,</w:t>
      </w:r>
      <w:r w:rsidR="008D3EAF" w:rsidRPr="00214987">
        <w:rPr>
          <w:rFonts w:ascii="Arial" w:hAnsi="Arial" w:cs="Arial"/>
          <w:noProof/>
          <w:sz w:val="20"/>
          <w:szCs w:val="20"/>
          <w:lang w:val="en-US"/>
        </w:rPr>
        <w:t>(</w:t>
      </w:r>
      <w:r w:rsidR="00613560" w:rsidRPr="00214987">
        <w:rPr>
          <w:rFonts w:ascii="Arial" w:hAnsi="Arial" w:cs="Arial"/>
          <w:noProof/>
          <w:sz w:val="20"/>
          <w:szCs w:val="20"/>
          <w:lang w:val="en-US"/>
        </w:rPr>
        <w:t>32/57</w:t>
      </w:r>
      <w:r w:rsidR="00283CE9" w:rsidRPr="00214987">
        <w:rPr>
          <w:rFonts w:ascii="Arial" w:hAnsi="Arial" w:cs="Arial"/>
          <w:noProof/>
          <w:sz w:val="20"/>
          <w:szCs w:val="20"/>
          <w:lang w:val="en-US"/>
        </w:rPr>
        <w:t>), P</w:t>
      </w:r>
      <w:r w:rsidR="00613560" w:rsidRPr="00214987">
        <w:rPr>
          <w:rFonts w:ascii="Arial" w:hAnsi="Arial" w:cs="Arial"/>
          <w:noProof/>
          <w:sz w:val="20"/>
          <w:szCs w:val="20"/>
          <w:lang w:val="en-US"/>
        </w:rPr>
        <w:t>=0.008]</w:t>
      </w:r>
      <w:r w:rsidR="00F6574C" w:rsidRPr="00214987">
        <w:rPr>
          <w:rFonts w:ascii="Arial" w:hAnsi="Arial" w:cs="Arial"/>
          <w:noProof/>
          <w:sz w:val="20"/>
          <w:szCs w:val="20"/>
          <w:lang w:val="en-US"/>
        </w:rPr>
        <w:t>.</w:t>
      </w:r>
      <w:r w:rsidR="00613560" w:rsidRPr="0021498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 xml:space="preserve">However, </w:t>
      </w:r>
      <w:r w:rsidR="00194EFD" w:rsidRPr="00214987">
        <w:rPr>
          <w:rFonts w:ascii="Arial" w:eastAsia="Times New Roman" w:hAnsi="Arial" w:cs="Arial"/>
          <w:noProof/>
          <w:sz w:val="20"/>
          <w:szCs w:val="20"/>
          <w:lang w:val="en-US" w:eastAsia="en-MY"/>
        </w:rPr>
        <w:t>it</w:t>
      </w:r>
      <w:r w:rsidR="00613560" w:rsidRPr="00214987">
        <w:rPr>
          <w:rFonts w:ascii="Arial" w:eastAsia="Times New Roman" w:hAnsi="Arial" w:cs="Arial"/>
          <w:noProof/>
          <w:sz w:val="20"/>
          <w:szCs w:val="20"/>
          <w:lang w:val="en-US" w:eastAsia="en-MY"/>
        </w:rPr>
        <w:t xml:space="preserve"> did not significantly improve </w:t>
      </w:r>
      <w:r w:rsidR="0084641C" w:rsidRPr="00214987">
        <w:rPr>
          <w:rFonts w:ascii="Arial" w:eastAsia="Times New Roman" w:hAnsi="Arial" w:cs="Arial"/>
          <w:noProof/>
          <w:sz w:val="20"/>
          <w:szCs w:val="20"/>
          <w:lang w:val="en-US" w:eastAsia="en-MY"/>
        </w:rPr>
        <w:t>Clinic</w:t>
      </w:r>
      <w:r w:rsidR="00EF2D2B" w:rsidRPr="00214987">
        <w:rPr>
          <w:rFonts w:ascii="Arial" w:eastAsia="Times New Roman" w:hAnsi="Arial" w:cs="Arial"/>
          <w:noProof/>
          <w:sz w:val="20"/>
          <w:szCs w:val="20"/>
          <w:lang w:val="en-US" w:eastAsia="en-MY"/>
        </w:rPr>
        <w:t xml:space="preserve"> FEV</w:t>
      </w:r>
      <w:r w:rsidR="00EF2D2B" w:rsidRPr="00214987">
        <w:rPr>
          <w:rFonts w:ascii="Arial" w:eastAsia="Times New Roman" w:hAnsi="Arial" w:cs="Arial"/>
          <w:noProof/>
          <w:sz w:val="20"/>
          <w:szCs w:val="20"/>
          <w:vertAlign w:val="subscript"/>
          <w:lang w:val="en-US" w:eastAsia="en-MY"/>
        </w:rPr>
        <w:t>1</w:t>
      </w:r>
      <w:r w:rsidR="00EF2D2B" w:rsidRPr="00214987">
        <w:rPr>
          <w:rFonts w:ascii="Arial" w:eastAsia="Times New Roman" w:hAnsi="Arial" w:cs="Arial"/>
          <w:noProof/>
          <w:sz w:val="20"/>
          <w:szCs w:val="20"/>
          <w:lang w:val="en-US" w:eastAsia="en-MY"/>
        </w:rPr>
        <w:t>%</w:t>
      </w:r>
      <w:r w:rsidR="00283CE9" w:rsidRPr="00214987">
        <w:rPr>
          <w:rFonts w:ascii="Arial" w:eastAsia="Times New Roman" w:hAnsi="Arial" w:cs="Arial"/>
          <w:noProof/>
          <w:sz w:val="20"/>
          <w:szCs w:val="20"/>
          <w:lang w:val="en-US" w:eastAsia="en-MY"/>
        </w:rPr>
        <w:t>, FENO</w:t>
      </w:r>
      <w:r w:rsidR="00613560" w:rsidRPr="00214987">
        <w:rPr>
          <w:rFonts w:ascii="Arial" w:eastAsia="Times New Roman" w:hAnsi="Arial" w:cs="Arial"/>
          <w:noProof/>
          <w:sz w:val="20"/>
          <w:szCs w:val="20"/>
          <w:lang w:val="en-US" w:eastAsia="en-MY"/>
        </w:rPr>
        <w:t xml:space="preserve"> nor the proportion of patients with multiple </w:t>
      </w:r>
      <w:r w:rsidR="00734AAE" w:rsidRPr="00214987">
        <w:rPr>
          <w:rFonts w:ascii="Arial" w:eastAsia="Times New Roman" w:hAnsi="Arial" w:cs="Arial"/>
          <w:noProof/>
          <w:sz w:val="20"/>
          <w:szCs w:val="20"/>
          <w:lang w:val="en-US" w:eastAsia="en-MY"/>
        </w:rPr>
        <w:t>AHE</w:t>
      </w:r>
      <w:r w:rsidR="00613560" w:rsidRPr="00214987">
        <w:rPr>
          <w:rFonts w:ascii="Arial" w:eastAsia="Times New Roman" w:hAnsi="Arial" w:cs="Arial"/>
          <w:noProof/>
          <w:sz w:val="20"/>
          <w:szCs w:val="20"/>
          <w:lang w:val="en-US" w:eastAsia="en-MY"/>
        </w:rPr>
        <w:t>.</w:t>
      </w:r>
      <w:r w:rsidR="00437FBE" w:rsidRPr="00214987">
        <w:rPr>
          <w:rFonts w:ascii="Arial" w:eastAsia="Times New Roman" w:hAnsi="Arial" w:cs="Arial"/>
          <w:noProof/>
          <w:sz w:val="20"/>
          <w:szCs w:val="20"/>
          <w:lang w:val="en-US" w:eastAsia="en-MY"/>
        </w:rPr>
        <w:br/>
      </w:r>
      <w:r w:rsidR="000013AC" w:rsidRPr="00214987">
        <w:rPr>
          <w:rFonts w:ascii="Arial" w:hAnsi="Arial" w:cs="Arial"/>
          <w:b/>
          <w:bCs/>
          <w:noProof/>
          <w:sz w:val="20"/>
          <w:szCs w:val="20"/>
          <w:u w:val="single"/>
          <w:lang w:val="en-US"/>
        </w:rPr>
        <w:br/>
      </w:r>
      <w:r w:rsidR="00BC533A" w:rsidRPr="00214987">
        <w:rPr>
          <w:rFonts w:ascii="Arial" w:hAnsi="Arial" w:cs="Arial"/>
          <w:b/>
          <w:bCs/>
          <w:noProof/>
          <w:sz w:val="20"/>
          <w:szCs w:val="20"/>
          <w:u w:val="single"/>
          <w:lang w:val="en-US"/>
        </w:rPr>
        <w:t>Mepolizumab</w:t>
      </w:r>
      <w:r w:rsidR="008B37CD" w:rsidRPr="00214987">
        <w:rPr>
          <w:rFonts w:ascii="Arial" w:hAnsi="Arial" w:cs="Arial"/>
          <w:b/>
          <w:bCs/>
          <w:noProof/>
          <w:sz w:val="20"/>
          <w:szCs w:val="20"/>
          <w:u w:val="single"/>
          <w:lang w:val="en-US"/>
        </w:rPr>
        <w:t xml:space="preserve"> </w:t>
      </w:r>
      <w:r w:rsidR="0065265F" w:rsidRPr="00214987">
        <w:rPr>
          <w:rFonts w:ascii="Arial" w:hAnsi="Arial" w:cs="Arial"/>
          <w:b/>
          <w:bCs/>
          <w:noProof/>
          <w:sz w:val="20"/>
          <w:szCs w:val="20"/>
          <w:u w:val="single"/>
          <w:lang w:val="en-US"/>
        </w:rPr>
        <w:t xml:space="preserve">responders, </w:t>
      </w:r>
      <w:r w:rsidR="008B37CD" w:rsidRPr="00214987">
        <w:rPr>
          <w:rFonts w:ascii="Arial" w:hAnsi="Arial" w:cs="Arial"/>
          <w:b/>
          <w:bCs/>
          <w:noProof/>
          <w:sz w:val="20"/>
          <w:szCs w:val="20"/>
          <w:u w:val="single"/>
          <w:lang w:val="en-US"/>
        </w:rPr>
        <w:t>non-responders</w:t>
      </w:r>
      <w:r w:rsidR="0065265F" w:rsidRPr="00214987">
        <w:rPr>
          <w:rFonts w:ascii="Arial" w:hAnsi="Arial" w:cs="Arial"/>
          <w:b/>
          <w:bCs/>
          <w:noProof/>
          <w:sz w:val="20"/>
          <w:szCs w:val="20"/>
          <w:u w:val="single"/>
          <w:lang w:val="en-US"/>
        </w:rPr>
        <w:t xml:space="preserve"> and super-responders</w:t>
      </w:r>
    </w:p>
    <w:p w14:paraId="239E324E" w14:textId="3E931A11" w:rsidR="00613560" w:rsidRPr="00214987" w:rsidRDefault="005F3269" w:rsidP="00AB4CB7">
      <w:pPr>
        <w:spacing w:line="480" w:lineRule="auto"/>
        <w:rPr>
          <w:rFonts w:ascii="Arial" w:eastAsia="Times New Roman" w:hAnsi="Arial" w:cs="Arial"/>
          <w:noProof/>
          <w:sz w:val="16"/>
          <w:szCs w:val="16"/>
          <w:lang w:val="en-US" w:eastAsia="en-MY"/>
        </w:rPr>
      </w:pPr>
      <w:r w:rsidRPr="00214987">
        <w:rPr>
          <w:rFonts w:ascii="Arial" w:hAnsi="Arial" w:cs="Arial"/>
          <w:noProof/>
          <w:sz w:val="20"/>
          <w:szCs w:val="20"/>
          <w:lang w:val="en-US"/>
        </w:rPr>
        <w:t>Based on our definitions, a</w:t>
      </w:r>
      <w:r w:rsidR="00613560" w:rsidRPr="00214987">
        <w:rPr>
          <w:rFonts w:ascii="Arial" w:hAnsi="Arial" w:cs="Arial"/>
          <w:noProof/>
          <w:sz w:val="20"/>
          <w:szCs w:val="20"/>
          <w:lang w:val="en-US"/>
        </w:rPr>
        <w:t xml:space="preserve">mong </w:t>
      </w:r>
      <w:r w:rsidR="008C6CE9">
        <w:rPr>
          <w:rFonts w:ascii="Arial" w:hAnsi="Arial" w:cs="Arial"/>
          <w:noProof/>
          <w:sz w:val="20"/>
          <w:szCs w:val="20"/>
          <w:lang w:val="en-US"/>
        </w:rPr>
        <w:t>Mepolizumab</w:t>
      </w:r>
      <w:r w:rsidR="00613560" w:rsidRPr="00214987">
        <w:rPr>
          <w:rFonts w:ascii="Arial" w:hAnsi="Arial" w:cs="Arial"/>
          <w:noProof/>
          <w:sz w:val="20"/>
          <w:szCs w:val="20"/>
          <w:lang w:val="en-US"/>
        </w:rPr>
        <w:t xml:space="preserve"> subjects who completed their trials</w:t>
      </w:r>
      <w:r w:rsidR="00294B94">
        <w:rPr>
          <w:rFonts w:ascii="Arial" w:hAnsi="Arial" w:cs="Arial"/>
          <w:noProof/>
          <w:sz w:val="20"/>
          <w:szCs w:val="20"/>
          <w:lang w:val="en-US"/>
        </w:rPr>
        <w:t xml:space="preserve"> (Figure 1)</w:t>
      </w:r>
      <w:r w:rsidR="00613560" w:rsidRPr="00214987">
        <w:rPr>
          <w:rFonts w:ascii="Arial" w:hAnsi="Arial" w:cs="Arial"/>
          <w:noProof/>
          <w:sz w:val="20"/>
          <w:szCs w:val="20"/>
          <w:lang w:val="en-US"/>
        </w:rPr>
        <w:t>, 74.1%</w:t>
      </w:r>
      <w:r w:rsidR="00C770C0" w:rsidRPr="00214987">
        <w:rPr>
          <w:rFonts w:ascii="Arial" w:hAnsi="Arial" w:cs="Arial"/>
          <w:noProof/>
          <w:sz w:val="20"/>
          <w:szCs w:val="20"/>
          <w:lang w:val="en-US"/>
        </w:rPr>
        <w:t>,</w:t>
      </w:r>
      <w:r w:rsidR="00613560" w:rsidRPr="00214987">
        <w:rPr>
          <w:rFonts w:ascii="Arial" w:hAnsi="Arial" w:cs="Arial"/>
          <w:noProof/>
          <w:sz w:val="20"/>
          <w:szCs w:val="20"/>
          <w:lang w:val="en-US"/>
        </w:rPr>
        <w:t xml:space="preserve"> (43/58) subjects were responders</w:t>
      </w:r>
      <w:r w:rsidR="007405F3" w:rsidRPr="00214987">
        <w:rPr>
          <w:rFonts w:ascii="Arial" w:hAnsi="Arial" w:cs="Arial"/>
          <w:noProof/>
          <w:sz w:val="20"/>
          <w:szCs w:val="20"/>
          <w:lang w:val="en-US"/>
        </w:rPr>
        <w:t xml:space="preserve"> </w:t>
      </w:r>
      <w:r w:rsidRPr="00214987">
        <w:rPr>
          <w:rFonts w:ascii="Arial" w:hAnsi="Arial" w:cs="Arial"/>
          <w:noProof/>
          <w:sz w:val="20"/>
          <w:szCs w:val="20"/>
          <w:lang w:val="en-US"/>
        </w:rPr>
        <w:t xml:space="preserve">and 19%, (11/58) of </w:t>
      </w:r>
      <w:r w:rsidR="008C6CE9">
        <w:rPr>
          <w:rFonts w:ascii="Arial" w:hAnsi="Arial" w:cs="Arial"/>
          <w:noProof/>
          <w:sz w:val="20"/>
          <w:szCs w:val="20"/>
          <w:lang w:val="en-US"/>
        </w:rPr>
        <w:t>Mepolizumab</w:t>
      </w:r>
      <w:r w:rsidRPr="00214987">
        <w:rPr>
          <w:rFonts w:ascii="Arial" w:hAnsi="Arial" w:cs="Arial"/>
          <w:noProof/>
          <w:sz w:val="20"/>
          <w:szCs w:val="20"/>
          <w:lang w:val="en-US"/>
        </w:rPr>
        <w:t xml:space="preserve"> subjects were super-responders</w:t>
      </w:r>
      <w:r w:rsidR="00613560" w:rsidRPr="00214987">
        <w:rPr>
          <w:rFonts w:ascii="Arial" w:hAnsi="Arial" w:cs="Arial"/>
          <w:noProof/>
          <w:sz w:val="20"/>
          <w:szCs w:val="20"/>
          <w:lang w:val="en-US"/>
        </w:rPr>
        <w:t>.</w:t>
      </w:r>
      <w:r w:rsidR="00823137" w:rsidRPr="00214987">
        <w:rPr>
          <w:rFonts w:ascii="Arial" w:hAnsi="Arial" w:cs="Arial"/>
          <w:noProof/>
          <w:sz w:val="20"/>
          <w:szCs w:val="20"/>
          <w:lang w:val="en-US"/>
        </w:rPr>
        <w:t xml:space="preserve"> </w:t>
      </w:r>
      <w:r w:rsidR="00684DE7" w:rsidRPr="00214987">
        <w:rPr>
          <w:rFonts w:ascii="Arial" w:hAnsi="Arial" w:cs="Arial"/>
          <w:noProof/>
          <w:sz w:val="20"/>
          <w:szCs w:val="20"/>
          <w:lang w:val="en-US"/>
        </w:rPr>
        <w:t xml:space="preserve">At baseline, </w:t>
      </w:r>
      <w:r w:rsidR="00613560" w:rsidRPr="00214987">
        <w:rPr>
          <w:rFonts w:ascii="Arial" w:hAnsi="Arial" w:cs="Arial"/>
          <w:noProof/>
          <w:sz w:val="20"/>
          <w:szCs w:val="20"/>
          <w:lang w:val="en-US"/>
        </w:rPr>
        <w:t xml:space="preserve"> </w:t>
      </w:r>
      <w:r w:rsidR="00D73808">
        <w:rPr>
          <w:rFonts w:ascii="Arial" w:hAnsi="Arial" w:cs="Arial"/>
          <w:noProof/>
          <w:sz w:val="20"/>
          <w:szCs w:val="20"/>
          <w:lang w:val="en-US"/>
        </w:rPr>
        <w:t xml:space="preserve">comapred to Mepolizumab </w:t>
      </w:r>
      <w:r w:rsidR="005E306F">
        <w:rPr>
          <w:rFonts w:ascii="Arial" w:hAnsi="Arial" w:cs="Arial"/>
          <w:noProof/>
          <w:sz w:val="20"/>
          <w:szCs w:val="20"/>
          <w:lang w:val="en-US"/>
        </w:rPr>
        <w:t xml:space="preserve">non-responders, </w:t>
      </w:r>
      <w:r w:rsidR="008C6CE9">
        <w:rPr>
          <w:rFonts w:ascii="Arial" w:hAnsi="Arial" w:cs="Arial"/>
          <w:noProof/>
          <w:sz w:val="20"/>
          <w:szCs w:val="20"/>
          <w:lang w:val="en-US"/>
        </w:rPr>
        <w:t>Mepolizumab</w:t>
      </w:r>
      <w:r w:rsidR="00613560" w:rsidRPr="00214987">
        <w:rPr>
          <w:rFonts w:ascii="Arial" w:hAnsi="Arial" w:cs="Arial"/>
          <w:noProof/>
          <w:sz w:val="20"/>
          <w:szCs w:val="20"/>
          <w:lang w:val="en-US"/>
        </w:rPr>
        <w:t xml:space="preserve"> responders were on a significantly lower mOCS dose (</w:t>
      </w:r>
      <w:r w:rsidR="00B875DD">
        <w:rPr>
          <w:rFonts w:ascii="Arial" w:hAnsi="Arial" w:cs="Arial"/>
          <w:noProof/>
          <w:sz w:val="20"/>
          <w:szCs w:val="20"/>
          <w:lang w:val="en-US"/>
        </w:rPr>
        <w:t>Supplementary</w:t>
      </w:r>
      <w:r w:rsidR="00B875DD" w:rsidRPr="00214987">
        <w:rPr>
          <w:rFonts w:ascii="Arial" w:hAnsi="Arial" w:cs="Arial"/>
          <w:noProof/>
          <w:sz w:val="20"/>
          <w:szCs w:val="20"/>
          <w:lang w:val="en-US"/>
        </w:rPr>
        <w:t xml:space="preserve"> </w:t>
      </w:r>
      <w:r w:rsidR="00427B61" w:rsidRPr="00214987">
        <w:rPr>
          <w:rFonts w:ascii="Arial" w:hAnsi="Arial" w:cs="Arial"/>
          <w:noProof/>
          <w:sz w:val="20"/>
          <w:szCs w:val="20"/>
          <w:lang w:val="en-US"/>
        </w:rPr>
        <w:t xml:space="preserve">Table </w:t>
      </w:r>
      <w:r w:rsidR="00427B61">
        <w:rPr>
          <w:rFonts w:ascii="Arial" w:hAnsi="Arial" w:cs="Arial"/>
          <w:noProof/>
          <w:sz w:val="20"/>
          <w:szCs w:val="20"/>
          <w:lang w:val="en-US"/>
        </w:rPr>
        <w:t>E3</w:t>
      </w:r>
      <w:r w:rsidR="00613560" w:rsidRPr="00214987">
        <w:rPr>
          <w:rFonts w:ascii="Arial" w:hAnsi="Arial" w:cs="Arial"/>
          <w:noProof/>
          <w:sz w:val="20"/>
          <w:szCs w:val="20"/>
          <w:lang w:val="en-US"/>
        </w:rPr>
        <w:t>) [Median(IQR), responder:</w:t>
      </w:r>
      <w:r w:rsidR="00613560" w:rsidRPr="00214987">
        <w:rPr>
          <w:rFonts w:ascii="Arial" w:eastAsia="Times New Roman" w:hAnsi="Arial" w:cs="Arial"/>
          <w:noProof/>
          <w:sz w:val="20"/>
          <w:szCs w:val="20"/>
          <w:lang w:val="en-US" w:eastAsia="en-MY"/>
        </w:rPr>
        <w:t>10(6) vs non-responder</w:t>
      </w:r>
      <w:r w:rsidR="002F335C" w:rsidRPr="00214987">
        <w:rPr>
          <w:rFonts w:ascii="Arial" w:eastAsia="Times New Roman" w:hAnsi="Arial" w:cs="Arial"/>
          <w:noProof/>
          <w:sz w:val="20"/>
          <w:szCs w:val="20"/>
          <w:lang w:val="en-US" w:eastAsia="en-MY"/>
        </w:rPr>
        <w:t>:</w:t>
      </w:r>
      <w:r w:rsidR="00613560" w:rsidRPr="00214987">
        <w:rPr>
          <w:rFonts w:ascii="Arial" w:eastAsia="Times New Roman" w:hAnsi="Arial" w:cs="Arial"/>
          <w:noProof/>
          <w:sz w:val="20"/>
          <w:szCs w:val="20"/>
          <w:lang w:val="en-US" w:eastAsia="en-MY"/>
        </w:rPr>
        <w:t>17(25), P=0.030]</w:t>
      </w:r>
      <w:r w:rsidR="00613560" w:rsidRPr="00214987">
        <w:rPr>
          <w:rFonts w:ascii="Arial" w:hAnsi="Arial" w:cs="Arial"/>
          <w:noProof/>
          <w:sz w:val="20"/>
          <w:szCs w:val="20"/>
          <w:lang w:val="en-US"/>
        </w:rPr>
        <w:t>, had better</w:t>
      </w:r>
      <w:r w:rsidR="00194EFD" w:rsidRPr="00214987">
        <w:rPr>
          <w:rFonts w:ascii="Arial" w:hAnsi="Arial" w:cs="Arial"/>
          <w:noProof/>
          <w:sz w:val="20"/>
          <w:szCs w:val="20"/>
          <w:lang w:val="en-US"/>
        </w:rPr>
        <w:t xml:space="preserve"> </w:t>
      </w:r>
      <w:r w:rsidR="00613560" w:rsidRPr="00214987">
        <w:rPr>
          <w:rFonts w:ascii="Arial" w:hAnsi="Arial" w:cs="Arial"/>
          <w:noProof/>
          <w:sz w:val="20"/>
          <w:szCs w:val="20"/>
          <w:lang w:val="en-US"/>
        </w:rPr>
        <w:t>ACQ6 [Mean(SD), responder:</w:t>
      </w:r>
      <w:r w:rsidR="00DD687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2.33(1.27) vs non-responder</w:t>
      </w:r>
      <w:r w:rsidR="002F335C" w:rsidRPr="00214987">
        <w:rPr>
          <w:rFonts w:ascii="Arial" w:eastAsia="Times New Roman" w:hAnsi="Arial" w:cs="Arial"/>
          <w:noProof/>
          <w:sz w:val="20"/>
          <w:szCs w:val="20"/>
          <w:lang w:val="en-US" w:eastAsia="en-MY"/>
        </w:rPr>
        <w:t>:</w:t>
      </w:r>
      <w:r w:rsidR="00DD6877">
        <w:rPr>
          <w:rFonts w:ascii="Arial" w:eastAsia="Times New Roman" w:hAnsi="Arial" w:cs="Arial"/>
          <w:noProof/>
          <w:sz w:val="20"/>
          <w:szCs w:val="20"/>
          <w:lang w:val="en-US" w:eastAsia="en-MY"/>
        </w:rPr>
        <w:t xml:space="preserve"> </w:t>
      </w:r>
      <w:r w:rsidR="00613560" w:rsidRPr="00214987">
        <w:rPr>
          <w:rFonts w:ascii="Arial" w:eastAsia="Times New Roman" w:hAnsi="Arial" w:cs="Arial"/>
          <w:noProof/>
          <w:sz w:val="20"/>
          <w:szCs w:val="20"/>
          <w:lang w:val="en-US" w:eastAsia="en-MY"/>
        </w:rPr>
        <w:t xml:space="preserve">4(0.94), P &lt;0.001] </w:t>
      </w:r>
      <w:r w:rsidR="00684DE7" w:rsidRPr="00214987">
        <w:rPr>
          <w:rFonts w:ascii="Arial" w:hAnsi="Arial" w:cs="Arial"/>
          <w:noProof/>
          <w:sz w:val="20"/>
          <w:szCs w:val="20"/>
          <w:lang w:val="en-US"/>
        </w:rPr>
        <w:t xml:space="preserve">, </w:t>
      </w:r>
      <w:r w:rsidR="00613560" w:rsidRPr="00214987">
        <w:rPr>
          <w:rFonts w:ascii="Arial" w:hAnsi="Arial" w:cs="Arial"/>
          <w:noProof/>
          <w:sz w:val="20"/>
          <w:szCs w:val="20"/>
          <w:lang w:val="en-US"/>
        </w:rPr>
        <w:t>better AQLQ  [Mean(SD), 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4.53(1.19)</w:t>
      </w:r>
      <w:r w:rsidR="00282AAA" w:rsidRPr="0021498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vs non-responder</w:t>
      </w:r>
      <w:r w:rsidR="00B84D64" w:rsidRPr="00214987">
        <w:rPr>
          <w:rFonts w:ascii="Arial" w:eastAsia="Times New Roman" w:hAnsi="Arial" w:cs="Arial"/>
          <w:noProof/>
          <w:sz w:val="20"/>
          <w:szCs w:val="20"/>
          <w:lang w:val="en-US" w:eastAsia="en-MY"/>
        </w:rPr>
        <w:t>:</w:t>
      </w:r>
      <w:r w:rsidR="00DD6877">
        <w:rPr>
          <w:rFonts w:ascii="Arial" w:eastAsia="Times New Roman" w:hAnsi="Arial" w:cs="Arial"/>
          <w:noProof/>
          <w:sz w:val="20"/>
          <w:szCs w:val="20"/>
          <w:lang w:val="en-US" w:eastAsia="en-MY"/>
        </w:rPr>
        <w:t xml:space="preserve"> </w:t>
      </w:r>
      <w:r w:rsidR="00613560" w:rsidRPr="00214987">
        <w:rPr>
          <w:rFonts w:ascii="Arial" w:eastAsia="Times New Roman" w:hAnsi="Arial" w:cs="Arial"/>
          <w:noProof/>
          <w:sz w:val="20"/>
          <w:szCs w:val="20"/>
          <w:lang w:val="en-US" w:eastAsia="en-MY"/>
        </w:rPr>
        <w:t>3.57(1.19), P=0.021</w:t>
      </w:r>
      <w:r w:rsidR="00684DE7" w:rsidRPr="00214987">
        <w:rPr>
          <w:rFonts w:ascii="Arial" w:eastAsia="Times New Roman" w:hAnsi="Arial" w:cs="Arial"/>
          <w:noProof/>
          <w:sz w:val="20"/>
          <w:szCs w:val="20"/>
          <w:lang w:val="en-US" w:eastAsia="en-MY"/>
        </w:rPr>
        <w:t xml:space="preserve">] </w:t>
      </w:r>
      <w:r w:rsidR="00107F02" w:rsidRPr="00214987">
        <w:rPr>
          <w:rFonts w:ascii="Arial" w:eastAsia="Times New Roman" w:hAnsi="Arial" w:cs="Arial"/>
          <w:noProof/>
          <w:sz w:val="20"/>
          <w:szCs w:val="20"/>
          <w:lang w:val="en-US" w:eastAsia="en-MY"/>
        </w:rPr>
        <w:t xml:space="preserve">, </w:t>
      </w:r>
      <w:r w:rsidR="00684DE7" w:rsidRPr="00214987">
        <w:rPr>
          <w:rFonts w:ascii="Arial" w:eastAsia="Times New Roman" w:hAnsi="Arial" w:cs="Arial"/>
          <w:noProof/>
          <w:sz w:val="20"/>
          <w:szCs w:val="20"/>
          <w:lang w:val="en-US" w:eastAsia="en-MY"/>
        </w:rPr>
        <w:t xml:space="preserve">and </w:t>
      </w:r>
      <w:r w:rsidR="00613560" w:rsidRPr="00214987">
        <w:rPr>
          <w:rFonts w:ascii="Arial" w:hAnsi="Arial" w:cs="Arial"/>
          <w:noProof/>
          <w:sz w:val="20"/>
          <w:szCs w:val="20"/>
          <w:lang w:val="en-US"/>
        </w:rPr>
        <w:t xml:space="preserve">significantly </w:t>
      </w:r>
      <w:r w:rsidR="00FE006F" w:rsidRPr="00214987">
        <w:rPr>
          <w:rFonts w:ascii="Arial" w:hAnsi="Arial" w:cs="Arial"/>
          <w:noProof/>
          <w:sz w:val="20"/>
          <w:szCs w:val="20"/>
          <w:lang w:val="en-US"/>
        </w:rPr>
        <w:t>less</w:t>
      </w:r>
      <w:r w:rsidR="00613560" w:rsidRPr="00214987">
        <w:rPr>
          <w:rFonts w:ascii="Arial" w:hAnsi="Arial" w:cs="Arial"/>
          <w:noProof/>
          <w:sz w:val="20"/>
          <w:szCs w:val="20"/>
          <w:lang w:val="en-US"/>
        </w:rPr>
        <w:t xml:space="preserve"> </w:t>
      </w:r>
      <w:r w:rsidR="00734AAE" w:rsidRPr="00214987">
        <w:rPr>
          <w:rFonts w:ascii="Arial" w:hAnsi="Arial" w:cs="Arial"/>
          <w:noProof/>
          <w:sz w:val="20"/>
          <w:szCs w:val="20"/>
          <w:lang w:val="en-US"/>
        </w:rPr>
        <w:t>AHE</w:t>
      </w:r>
      <w:r w:rsidR="00FE006F" w:rsidRPr="00214987">
        <w:rPr>
          <w:rFonts w:ascii="Arial" w:hAnsi="Arial" w:cs="Arial"/>
          <w:noProof/>
          <w:sz w:val="20"/>
          <w:szCs w:val="20"/>
          <w:lang w:val="en-US"/>
        </w:rPr>
        <w:t xml:space="preserve"> </w:t>
      </w:r>
      <w:r w:rsidR="00613560" w:rsidRPr="00214987">
        <w:rPr>
          <w:rFonts w:ascii="Arial" w:hAnsi="Arial" w:cs="Arial"/>
          <w:noProof/>
          <w:sz w:val="20"/>
          <w:szCs w:val="20"/>
          <w:lang w:val="en-US"/>
        </w:rPr>
        <w:lastRenderedPageBreak/>
        <w:t>[Median(IQR), responder:</w:t>
      </w:r>
      <w:r w:rsidR="00DD687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0(1) vs non-responder:</w:t>
      </w:r>
      <w:r w:rsidR="00DD6877">
        <w:rPr>
          <w:rFonts w:ascii="Arial" w:eastAsia="Times New Roman" w:hAnsi="Arial" w:cs="Arial"/>
          <w:noProof/>
          <w:sz w:val="20"/>
          <w:szCs w:val="20"/>
          <w:lang w:val="en-US" w:eastAsia="en-MY"/>
        </w:rPr>
        <w:t xml:space="preserve"> </w:t>
      </w:r>
      <w:r w:rsidR="00613560" w:rsidRPr="00214987">
        <w:rPr>
          <w:rFonts w:ascii="Arial" w:eastAsia="Times New Roman" w:hAnsi="Arial" w:cs="Arial"/>
          <w:noProof/>
          <w:sz w:val="20"/>
          <w:szCs w:val="20"/>
          <w:lang w:val="en-US" w:eastAsia="en-MY"/>
        </w:rPr>
        <w:t>1(4), P=0.030]</w:t>
      </w:r>
      <w:r w:rsidR="00FE006F" w:rsidRPr="00214987">
        <w:rPr>
          <w:rFonts w:ascii="Arial" w:hAnsi="Arial" w:cs="Arial"/>
          <w:noProof/>
          <w:sz w:val="20"/>
          <w:szCs w:val="20"/>
          <w:lang w:val="en-US"/>
        </w:rPr>
        <w:t>. A</w:t>
      </w:r>
      <w:r w:rsidR="00613560" w:rsidRPr="00214987">
        <w:rPr>
          <w:rFonts w:ascii="Arial" w:hAnsi="Arial" w:cs="Arial"/>
          <w:noProof/>
          <w:sz w:val="20"/>
          <w:szCs w:val="20"/>
          <w:lang w:val="en-US"/>
        </w:rPr>
        <w:t xml:space="preserve"> smaller proportion of </w:t>
      </w:r>
      <w:r w:rsidR="00684DE7" w:rsidRPr="00214987">
        <w:rPr>
          <w:rFonts w:ascii="Arial" w:hAnsi="Arial" w:cs="Arial"/>
          <w:noProof/>
          <w:sz w:val="20"/>
          <w:szCs w:val="20"/>
          <w:lang w:val="en-US"/>
        </w:rPr>
        <w:t>responders</w:t>
      </w:r>
      <w:r w:rsidR="00613560" w:rsidRPr="00214987">
        <w:rPr>
          <w:rFonts w:ascii="Arial" w:hAnsi="Arial" w:cs="Arial"/>
          <w:noProof/>
          <w:sz w:val="20"/>
          <w:szCs w:val="20"/>
          <w:lang w:val="en-US"/>
        </w:rPr>
        <w:t xml:space="preserve"> had multiple </w:t>
      </w:r>
      <w:r w:rsidR="00734AAE" w:rsidRPr="00214987">
        <w:rPr>
          <w:rFonts w:ascii="Arial" w:hAnsi="Arial" w:cs="Arial"/>
          <w:noProof/>
          <w:sz w:val="20"/>
          <w:szCs w:val="20"/>
          <w:lang w:val="en-US"/>
        </w:rPr>
        <w:t>AHE</w:t>
      </w:r>
      <w:r w:rsidR="00613560" w:rsidRPr="00214987">
        <w:rPr>
          <w:rFonts w:ascii="Arial" w:hAnsi="Arial" w:cs="Arial"/>
          <w:noProof/>
          <w:sz w:val="20"/>
          <w:szCs w:val="20"/>
          <w:lang w:val="en-US"/>
        </w:rPr>
        <w:t xml:space="preserve"> [responder</w:t>
      </w:r>
      <w:r w:rsidR="005B4D52" w:rsidRPr="00214987">
        <w:rPr>
          <w:rFonts w:ascii="Arial" w:hAnsi="Arial" w:cs="Arial"/>
          <w:noProof/>
          <w:sz w:val="20"/>
          <w:szCs w:val="20"/>
          <w:lang w:val="en-US"/>
        </w:rPr>
        <w:t>:</w:t>
      </w:r>
      <w:r w:rsidR="00AE6733" w:rsidRPr="00214987">
        <w:rPr>
          <w:rFonts w:ascii="Arial" w:hAnsi="Arial" w:cs="Arial"/>
          <w:noProof/>
          <w:sz w:val="20"/>
          <w:szCs w:val="20"/>
          <w:lang w:val="en-US"/>
        </w:rPr>
        <w:t xml:space="preserve"> </w:t>
      </w:r>
      <w:r w:rsidR="00613560" w:rsidRPr="00214987">
        <w:rPr>
          <w:rFonts w:ascii="Arial" w:hAnsi="Arial" w:cs="Arial"/>
          <w:noProof/>
          <w:sz w:val="20"/>
          <w:szCs w:val="20"/>
          <w:lang w:val="en-US"/>
        </w:rPr>
        <w:t xml:space="preserve">9.8% </w:t>
      </w:r>
      <w:r w:rsidR="00613560" w:rsidRPr="00214987">
        <w:rPr>
          <w:rFonts w:ascii="Arial" w:eastAsia="Times New Roman" w:hAnsi="Arial" w:cs="Arial"/>
          <w:noProof/>
          <w:sz w:val="20"/>
          <w:szCs w:val="20"/>
          <w:lang w:val="en-US" w:eastAsia="en-MY"/>
        </w:rPr>
        <w:t>vs non-responder</w:t>
      </w:r>
      <w:r w:rsidR="00613560" w:rsidRPr="00214987">
        <w:rPr>
          <w:rFonts w:ascii="Arial" w:hAnsi="Arial" w:cs="Arial"/>
          <w:noProof/>
          <w:sz w:val="20"/>
          <w:szCs w:val="20"/>
          <w:lang w:val="en-US"/>
        </w:rPr>
        <w:t>:</w:t>
      </w:r>
      <w:r w:rsidR="00DD687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42.9%</w:t>
      </w:r>
      <w:r w:rsidR="00B84D64" w:rsidRPr="00214987">
        <w:rPr>
          <w:rFonts w:ascii="Arial" w:eastAsia="Times New Roman" w:hAnsi="Arial" w:cs="Arial"/>
          <w:noProof/>
          <w:sz w:val="20"/>
          <w:szCs w:val="20"/>
          <w:lang w:val="en-US" w:eastAsia="en-MY"/>
        </w:rPr>
        <w:t xml:space="preserve">, </w:t>
      </w:r>
      <w:r w:rsidR="00613560" w:rsidRPr="00214987">
        <w:rPr>
          <w:rFonts w:ascii="Arial" w:eastAsia="Times New Roman" w:hAnsi="Arial" w:cs="Arial"/>
          <w:noProof/>
          <w:sz w:val="20"/>
          <w:szCs w:val="20"/>
          <w:lang w:val="en-US" w:eastAsia="en-MY"/>
        </w:rPr>
        <w:t>P=0.012] and</w:t>
      </w:r>
      <w:r w:rsidR="00613560" w:rsidRPr="00214987">
        <w:rPr>
          <w:rFonts w:ascii="Arial" w:hAnsi="Arial" w:cs="Arial"/>
          <w:noProof/>
          <w:sz w:val="20"/>
          <w:szCs w:val="20"/>
          <w:lang w:val="en-US"/>
        </w:rPr>
        <w:t xml:space="preserve"> depression [responder: 19.1% </w:t>
      </w:r>
      <w:r w:rsidR="00613560" w:rsidRPr="00214987">
        <w:rPr>
          <w:rFonts w:ascii="Arial" w:eastAsia="Times New Roman" w:hAnsi="Arial" w:cs="Arial"/>
          <w:noProof/>
          <w:sz w:val="20"/>
          <w:szCs w:val="20"/>
          <w:lang w:val="en-US" w:eastAsia="en-MY"/>
        </w:rPr>
        <w:t>vs non-responder</w:t>
      </w:r>
      <w:r w:rsidR="00613560" w:rsidRPr="0021498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46.7%</w:t>
      </w:r>
      <w:r w:rsidR="00A55C7F">
        <w:rPr>
          <w:rFonts w:ascii="Arial" w:eastAsia="Times New Roman" w:hAnsi="Arial" w:cs="Arial"/>
          <w:noProof/>
          <w:sz w:val="20"/>
          <w:szCs w:val="20"/>
          <w:lang w:val="en-US" w:eastAsia="en-MY"/>
        </w:rPr>
        <w:t>,</w:t>
      </w:r>
      <w:r w:rsidR="00AE6733" w:rsidRPr="00214987">
        <w:rPr>
          <w:rFonts w:ascii="Arial" w:eastAsia="Times New Roman" w:hAnsi="Arial" w:cs="Arial"/>
          <w:noProof/>
          <w:sz w:val="20"/>
          <w:szCs w:val="20"/>
          <w:lang w:val="en-US" w:eastAsia="en-MY"/>
        </w:rPr>
        <w:t xml:space="preserve"> </w:t>
      </w:r>
      <w:r w:rsidR="00613560" w:rsidRPr="00214987">
        <w:rPr>
          <w:rFonts w:ascii="Arial" w:eastAsia="Times New Roman" w:hAnsi="Arial" w:cs="Arial"/>
          <w:noProof/>
          <w:sz w:val="20"/>
          <w:szCs w:val="20"/>
          <w:lang w:val="en-US" w:eastAsia="en-MY"/>
        </w:rPr>
        <w:t>P=0.037]</w:t>
      </w:r>
      <w:r w:rsidR="00613560" w:rsidRPr="00214987">
        <w:rPr>
          <w:rFonts w:ascii="Arial" w:hAnsi="Arial" w:cs="Arial"/>
          <w:noProof/>
          <w:sz w:val="20"/>
          <w:szCs w:val="20"/>
          <w:lang w:val="en-US"/>
        </w:rPr>
        <w:t>. In multivariate analysis (</w:t>
      </w:r>
      <w:r w:rsidR="004B1EBD" w:rsidRPr="00214987">
        <w:rPr>
          <w:rFonts w:ascii="Arial" w:hAnsi="Arial" w:cs="Arial"/>
          <w:noProof/>
          <w:sz w:val="20"/>
          <w:szCs w:val="20"/>
          <w:lang w:val="en-US"/>
        </w:rPr>
        <w:t xml:space="preserve">Table </w:t>
      </w:r>
      <w:r w:rsidR="00D9748D">
        <w:rPr>
          <w:rFonts w:ascii="Arial" w:hAnsi="Arial" w:cs="Arial"/>
          <w:noProof/>
          <w:sz w:val="20"/>
          <w:szCs w:val="20"/>
          <w:lang w:val="en-US"/>
        </w:rPr>
        <w:t>3</w:t>
      </w:r>
      <w:r w:rsidR="00613560" w:rsidRPr="00214987">
        <w:rPr>
          <w:rFonts w:ascii="Arial" w:hAnsi="Arial" w:cs="Arial"/>
          <w:noProof/>
          <w:sz w:val="20"/>
          <w:szCs w:val="20"/>
          <w:lang w:val="en-US"/>
        </w:rPr>
        <w:t>),</w:t>
      </w:r>
      <w:r w:rsidR="00A24DD5" w:rsidRPr="00214987">
        <w:rPr>
          <w:rFonts w:ascii="Arial" w:hAnsi="Arial" w:cs="Arial"/>
          <w:noProof/>
          <w:sz w:val="20"/>
          <w:szCs w:val="20"/>
          <w:lang w:val="en-US"/>
        </w:rPr>
        <w:t xml:space="preserve"> only</w:t>
      </w:r>
      <w:r w:rsidR="00613560" w:rsidRPr="00214987">
        <w:rPr>
          <w:rFonts w:ascii="Arial" w:hAnsi="Arial" w:cs="Arial"/>
          <w:noProof/>
          <w:sz w:val="20"/>
          <w:szCs w:val="20"/>
          <w:lang w:val="en-US"/>
        </w:rPr>
        <w:t xml:space="preserve"> better ACQ6 at baseline </w:t>
      </w:r>
      <w:r w:rsidR="002B628F" w:rsidRPr="00214987">
        <w:rPr>
          <w:rFonts w:ascii="Arial" w:hAnsi="Arial" w:cs="Arial"/>
          <w:noProof/>
          <w:sz w:val="20"/>
          <w:szCs w:val="20"/>
          <w:lang w:val="en-US"/>
        </w:rPr>
        <w:t xml:space="preserve">was </w:t>
      </w:r>
      <w:r w:rsidR="00613560" w:rsidRPr="00214987">
        <w:rPr>
          <w:rFonts w:ascii="Arial" w:hAnsi="Arial" w:cs="Arial"/>
          <w:noProof/>
          <w:sz w:val="20"/>
          <w:szCs w:val="20"/>
          <w:lang w:val="en-US"/>
        </w:rPr>
        <w:t xml:space="preserve">independently </w:t>
      </w:r>
      <w:r w:rsidR="009B700B" w:rsidRPr="00214987">
        <w:rPr>
          <w:rFonts w:ascii="Arial" w:hAnsi="Arial" w:cs="Arial"/>
          <w:noProof/>
          <w:sz w:val="20"/>
          <w:szCs w:val="20"/>
          <w:lang w:val="en-US"/>
        </w:rPr>
        <w:t>associated with</w:t>
      </w:r>
      <w:r w:rsidR="00613560"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613560" w:rsidRPr="00214987">
        <w:rPr>
          <w:rFonts w:ascii="Arial" w:hAnsi="Arial" w:cs="Arial"/>
          <w:noProof/>
          <w:sz w:val="20"/>
          <w:szCs w:val="20"/>
          <w:lang w:val="en-US"/>
        </w:rPr>
        <w:t xml:space="preserve"> response. </w:t>
      </w:r>
    </w:p>
    <w:p w14:paraId="0E9C5071" w14:textId="2B04267E" w:rsidR="00613560" w:rsidRDefault="002A457A"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At baseline, </w:t>
      </w:r>
      <w:r w:rsidR="005E306F">
        <w:rPr>
          <w:rFonts w:ascii="Arial" w:hAnsi="Arial" w:cs="Arial"/>
          <w:noProof/>
          <w:sz w:val="20"/>
          <w:szCs w:val="20"/>
          <w:lang w:val="en-US"/>
        </w:rPr>
        <w:t xml:space="preserve">compared to Mepolizumab non-super-responders, </w:t>
      </w:r>
      <w:r w:rsidR="008C6CE9">
        <w:rPr>
          <w:rFonts w:ascii="Arial" w:hAnsi="Arial" w:cs="Arial"/>
          <w:noProof/>
          <w:sz w:val="20"/>
          <w:szCs w:val="20"/>
          <w:lang w:val="en-US"/>
        </w:rPr>
        <w:t>Mepolizumab</w:t>
      </w:r>
      <w:r w:rsidR="00613560" w:rsidRPr="00214987">
        <w:rPr>
          <w:rFonts w:ascii="Arial" w:hAnsi="Arial" w:cs="Arial"/>
          <w:noProof/>
          <w:sz w:val="20"/>
          <w:szCs w:val="20"/>
          <w:lang w:val="en-US"/>
        </w:rPr>
        <w:t xml:space="preserve"> super-responders (</w:t>
      </w:r>
      <w:r w:rsidR="00B875DD">
        <w:rPr>
          <w:rFonts w:ascii="Arial" w:hAnsi="Arial" w:cs="Arial"/>
          <w:noProof/>
          <w:sz w:val="20"/>
          <w:szCs w:val="20"/>
          <w:lang w:val="en-US"/>
        </w:rPr>
        <w:t>Supplementary</w:t>
      </w:r>
      <w:r w:rsidR="00B875DD" w:rsidRPr="00214987">
        <w:rPr>
          <w:rFonts w:ascii="Arial" w:hAnsi="Arial" w:cs="Arial"/>
          <w:noProof/>
          <w:sz w:val="20"/>
          <w:szCs w:val="20"/>
          <w:lang w:val="en-US"/>
        </w:rPr>
        <w:t xml:space="preserve"> </w:t>
      </w:r>
      <w:r w:rsidR="00427B61" w:rsidRPr="00214987">
        <w:rPr>
          <w:rFonts w:ascii="Arial" w:hAnsi="Arial" w:cs="Arial"/>
          <w:noProof/>
          <w:sz w:val="20"/>
          <w:szCs w:val="20"/>
          <w:lang w:val="en-US"/>
        </w:rPr>
        <w:t xml:space="preserve">Table </w:t>
      </w:r>
      <w:r w:rsidR="00427B61">
        <w:rPr>
          <w:rFonts w:ascii="Arial" w:hAnsi="Arial" w:cs="Arial"/>
          <w:noProof/>
          <w:sz w:val="20"/>
          <w:szCs w:val="20"/>
          <w:lang w:val="en-US"/>
        </w:rPr>
        <w:t>E4</w:t>
      </w:r>
      <w:r w:rsidR="00613560" w:rsidRPr="00214987">
        <w:rPr>
          <w:rFonts w:ascii="Arial" w:hAnsi="Arial" w:cs="Arial"/>
          <w:noProof/>
          <w:sz w:val="20"/>
          <w:szCs w:val="20"/>
          <w:lang w:val="en-US"/>
        </w:rPr>
        <w:t xml:space="preserve">) had significantly lower ACQ6 [Mean(SD), super-responder: </w:t>
      </w:r>
      <w:r w:rsidR="00613560" w:rsidRPr="00214987">
        <w:rPr>
          <w:rFonts w:ascii="Arial" w:eastAsia="Times New Roman" w:hAnsi="Arial" w:cs="Arial"/>
          <w:noProof/>
          <w:sz w:val="20"/>
          <w:szCs w:val="20"/>
          <w:lang w:val="en-US" w:eastAsia="en-MY"/>
        </w:rPr>
        <w:t>1.93(1.33) vs non-super-responder</w:t>
      </w:r>
      <w:r w:rsidR="002F335C" w:rsidRPr="00214987">
        <w:rPr>
          <w:rFonts w:ascii="Arial" w:eastAsia="Times New Roman" w:hAnsi="Arial" w:cs="Arial"/>
          <w:noProof/>
          <w:sz w:val="20"/>
          <w:szCs w:val="20"/>
          <w:lang w:val="en-US" w:eastAsia="en-MY"/>
        </w:rPr>
        <w:t>:</w:t>
      </w:r>
      <w:r w:rsidR="00613560" w:rsidRPr="00214987">
        <w:rPr>
          <w:rFonts w:ascii="Arial" w:eastAsia="Times New Roman" w:hAnsi="Arial" w:cs="Arial"/>
          <w:noProof/>
          <w:sz w:val="20"/>
          <w:szCs w:val="20"/>
          <w:lang w:val="en-US" w:eastAsia="en-MY"/>
        </w:rPr>
        <w:t xml:space="preserve"> 3.03(1.24), P=0.016]</w:t>
      </w:r>
      <w:r w:rsidR="00613560" w:rsidRPr="00214987">
        <w:rPr>
          <w:rFonts w:ascii="Arial" w:hAnsi="Arial" w:cs="Arial"/>
          <w:noProof/>
          <w:sz w:val="20"/>
          <w:szCs w:val="20"/>
          <w:lang w:val="en-US"/>
        </w:rPr>
        <w:t>, higher AQLQ [Mean(SD), super-responder:</w:t>
      </w:r>
      <w:r w:rsidR="00DD687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5.16(1.40) vs non-super-responder</w:t>
      </w:r>
      <w:r w:rsidR="002F335C" w:rsidRPr="00214987">
        <w:rPr>
          <w:rFonts w:ascii="Arial" w:eastAsia="Times New Roman" w:hAnsi="Arial" w:cs="Arial"/>
          <w:noProof/>
          <w:sz w:val="20"/>
          <w:szCs w:val="20"/>
          <w:lang w:val="en-US" w:eastAsia="en-MY"/>
        </w:rPr>
        <w:t>:</w:t>
      </w:r>
      <w:r w:rsidR="00DD6877">
        <w:rPr>
          <w:rFonts w:ascii="Arial" w:eastAsia="Times New Roman" w:hAnsi="Arial" w:cs="Arial"/>
          <w:noProof/>
          <w:sz w:val="20"/>
          <w:szCs w:val="20"/>
          <w:lang w:val="en-US" w:eastAsia="en-MY"/>
        </w:rPr>
        <w:t xml:space="preserve"> </w:t>
      </w:r>
      <w:r w:rsidR="00613560" w:rsidRPr="00214987">
        <w:rPr>
          <w:rFonts w:ascii="Arial" w:eastAsia="Times New Roman" w:hAnsi="Arial" w:cs="Arial"/>
          <w:noProof/>
          <w:sz w:val="20"/>
          <w:szCs w:val="20"/>
          <w:lang w:val="en-US" w:eastAsia="en-MY"/>
        </w:rPr>
        <w:t>4.09(1.13), P=0.018]</w:t>
      </w:r>
      <w:r w:rsidR="00613560" w:rsidRPr="00214987">
        <w:rPr>
          <w:rFonts w:ascii="Arial" w:hAnsi="Arial" w:cs="Arial"/>
          <w:noProof/>
          <w:sz w:val="20"/>
          <w:szCs w:val="20"/>
          <w:lang w:val="en-US"/>
        </w:rPr>
        <w:t>, more exacerbations [Median(IQR)</w:t>
      </w:r>
      <w:r w:rsidR="006253D0" w:rsidRPr="00214987">
        <w:rPr>
          <w:rFonts w:ascii="Arial" w:hAnsi="Arial" w:cs="Arial"/>
          <w:noProof/>
          <w:sz w:val="20"/>
          <w:szCs w:val="20"/>
          <w:lang w:val="en-US"/>
        </w:rPr>
        <w:t>,</w:t>
      </w:r>
      <w:r w:rsidR="00613560" w:rsidRPr="00214987">
        <w:rPr>
          <w:rFonts w:ascii="Arial" w:hAnsi="Arial" w:cs="Arial"/>
          <w:noProof/>
          <w:sz w:val="20"/>
          <w:szCs w:val="20"/>
          <w:lang w:val="en-US"/>
        </w:rPr>
        <w:t xml:space="preserve"> super-responder: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7(5) vs non-super-responder:</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4(5), P=0.010]</w:t>
      </w:r>
      <w:r w:rsidR="00C605F5" w:rsidRPr="00214987">
        <w:rPr>
          <w:rFonts w:ascii="Arial" w:hAnsi="Arial" w:cs="Arial"/>
          <w:noProof/>
          <w:sz w:val="20"/>
          <w:szCs w:val="20"/>
          <w:lang w:val="en-US"/>
        </w:rPr>
        <w:t xml:space="preserve"> </w:t>
      </w:r>
      <w:r w:rsidR="00613560" w:rsidRPr="00214987">
        <w:rPr>
          <w:rFonts w:ascii="Arial" w:hAnsi="Arial" w:cs="Arial"/>
          <w:noProof/>
          <w:sz w:val="20"/>
          <w:szCs w:val="20"/>
          <w:lang w:val="en-US"/>
        </w:rPr>
        <w:t xml:space="preserve">and better </w:t>
      </w:r>
      <w:r w:rsidR="00306D40" w:rsidRPr="00214987">
        <w:rPr>
          <w:rFonts w:ascii="Arial" w:hAnsi="Arial" w:cs="Arial"/>
          <w:noProof/>
          <w:sz w:val="20"/>
          <w:szCs w:val="20"/>
          <w:lang w:val="en-US"/>
        </w:rPr>
        <w:t>Clinic</w:t>
      </w:r>
      <w:r w:rsidR="00613560" w:rsidRPr="00214987">
        <w:rPr>
          <w:rFonts w:ascii="Arial" w:hAnsi="Arial" w:cs="Arial"/>
          <w:noProof/>
          <w:sz w:val="20"/>
          <w:szCs w:val="20"/>
          <w:lang w:val="en-US"/>
        </w:rPr>
        <w:t xml:space="preserve"> FEV</w:t>
      </w:r>
      <w:r w:rsidR="00613560" w:rsidRPr="00214987">
        <w:rPr>
          <w:rFonts w:ascii="Arial" w:hAnsi="Arial" w:cs="Arial"/>
          <w:noProof/>
          <w:sz w:val="20"/>
          <w:szCs w:val="20"/>
          <w:vertAlign w:val="subscript"/>
          <w:lang w:val="en-US"/>
        </w:rPr>
        <w:t>1</w:t>
      </w:r>
      <w:r w:rsidR="00A24DD5" w:rsidRPr="00214987">
        <w:rPr>
          <w:rFonts w:ascii="Arial" w:hAnsi="Arial" w:cs="Arial"/>
          <w:noProof/>
          <w:sz w:val="20"/>
          <w:szCs w:val="20"/>
          <w:lang w:val="en-US"/>
        </w:rPr>
        <w:t>%</w:t>
      </w:r>
      <w:r w:rsidR="00613560" w:rsidRPr="00214987">
        <w:rPr>
          <w:rFonts w:ascii="Arial" w:hAnsi="Arial" w:cs="Arial"/>
          <w:noProof/>
          <w:sz w:val="20"/>
          <w:szCs w:val="20"/>
          <w:lang w:val="en-US"/>
        </w:rPr>
        <w:t xml:space="preserve"> [Mean(SD), super-responder:</w:t>
      </w:r>
      <w:r w:rsidR="00DD6877">
        <w:rPr>
          <w:rFonts w:ascii="Arial" w:hAnsi="Arial" w:cs="Arial"/>
          <w:noProof/>
          <w:sz w:val="20"/>
          <w:szCs w:val="20"/>
          <w:lang w:val="en-US"/>
        </w:rPr>
        <w:t xml:space="preserve"> </w:t>
      </w:r>
      <w:r w:rsidR="00613560" w:rsidRPr="00214987">
        <w:rPr>
          <w:rFonts w:ascii="Arial" w:eastAsia="Times New Roman" w:hAnsi="Arial" w:cs="Arial"/>
          <w:noProof/>
          <w:sz w:val="20"/>
          <w:szCs w:val="20"/>
          <w:lang w:val="en-US" w:eastAsia="en-MY"/>
        </w:rPr>
        <w:t>79.73(19.97) vs non-super-responder</w:t>
      </w:r>
      <w:r w:rsidR="002F335C" w:rsidRPr="00214987">
        <w:rPr>
          <w:rFonts w:ascii="Arial" w:eastAsia="Times New Roman" w:hAnsi="Arial" w:cs="Arial"/>
          <w:noProof/>
          <w:sz w:val="20"/>
          <w:szCs w:val="20"/>
          <w:lang w:val="en-US" w:eastAsia="en-MY"/>
        </w:rPr>
        <w:t>:</w:t>
      </w:r>
      <w:r w:rsidR="00DD6877">
        <w:rPr>
          <w:rFonts w:ascii="Arial" w:eastAsia="Times New Roman" w:hAnsi="Arial" w:cs="Arial"/>
          <w:noProof/>
          <w:sz w:val="20"/>
          <w:szCs w:val="20"/>
          <w:lang w:val="en-US" w:eastAsia="en-MY"/>
        </w:rPr>
        <w:t xml:space="preserve"> </w:t>
      </w:r>
      <w:r w:rsidR="00613560" w:rsidRPr="00214987">
        <w:rPr>
          <w:rFonts w:ascii="Arial" w:hAnsi="Arial" w:cs="Arial"/>
          <w:noProof/>
          <w:sz w:val="20"/>
          <w:szCs w:val="20"/>
          <w:lang w:val="en-US"/>
        </w:rPr>
        <w:t xml:space="preserve">63.07(19.84), </w:t>
      </w:r>
      <w:r w:rsidR="00613560" w:rsidRPr="00214987">
        <w:rPr>
          <w:rFonts w:ascii="Arial" w:eastAsia="Times New Roman" w:hAnsi="Arial" w:cs="Arial"/>
          <w:noProof/>
          <w:sz w:val="20"/>
          <w:szCs w:val="20"/>
          <w:lang w:val="en-US" w:eastAsia="en-MY"/>
        </w:rPr>
        <w:t>P=0.016]</w:t>
      </w:r>
      <w:r w:rsidR="00613560" w:rsidRPr="00214987">
        <w:rPr>
          <w:rFonts w:ascii="Arial" w:hAnsi="Arial" w:cs="Arial"/>
          <w:noProof/>
          <w:sz w:val="20"/>
          <w:szCs w:val="20"/>
          <w:lang w:val="en-US"/>
        </w:rPr>
        <w:t xml:space="preserve">. Additionally, </w:t>
      </w:r>
      <w:r w:rsidR="00C605F5" w:rsidRPr="00214987">
        <w:rPr>
          <w:rFonts w:ascii="Arial" w:hAnsi="Arial" w:cs="Arial"/>
          <w:noProof/>
          <w:sz w:val="20"/>
          <w:szCs w:val="20"/>
          <w:lang w:val="en-US"/>
        </w:rPr>
        <w:t>super-responders also had a</w:t>
      </w:r>
      <w:r w:rsidR="00E074FE" w:rsidRPr="00214987">
        <w:rPr>
          <w:rFonts w:ascii="Arial" w:hAnsi="Arial" w:cs="Arial"/>
          <w:noProof/>
          <w:sz w:val="20"/>
          <w:szCs w:val="20"/>
          <w:lang w:val="en-US"/>
        </w:rPr>
        <w:t xml:space="preserve"> significantly</w:t>
      </w:r>
      <w:r w:rsidR="00C605F5" w:rsidRPr="00214987">
        <w:rPr>
          <w:rFonts w:ascii="Arial" w:hAnsi="Arial" w:cs="Arial"/>
          <w:noProof/>
          <w:sz w:val="20"/>
          <w:szCs w:val="20"/>
          <w:lang w:val="en-US"/>
        </w:rPr>
        <w:t xml:space="preserve"> lower </w:t>
      </w:r>
      <w:r w:rsidR="00174D63" w:rsidRPr="00214987">
        <w:rPr>
          <w:rFonts w:ascii="Arial" w:hAnsi="Arial" w:cs="Arial"/>
          <w:noProof/>
          <w:sz w:val="20"/>
          <w:szCs w:val="20"/>
          <w:lang w:val="en-US"/>
        </w:rPr>
        <w:t>body mass index</w:t>
      </w:r>
      <w:r w:rsidR="005B6693" w:rsidRPr="00214987">
        <w:rPr>
          <w:rFonts w:ascii="Arial" w:hAnsi="Arial" w:cs="Arial"/>
          <w:noProof/>
          <w:sz w:val="20"/>
          <w:szCs w:val="20"/>
          <w:lang w:val="en-US"/>
        </w:rPr>
        <w:t xml:space="preserve"> </w:t>
      </w:r>
      <w:r w:rsidR="00C605F5" w:rsidRPr="00214987">
        <w:rPr>
          <w:rFonts w:ascii="Arial" w:hAnsi="Arial" w:cs="Arial"/>
          <w:noProof/>
          <w:sz w:val="20"/>
          <w:szCs w:val="20"/>
          <w:lang w:val="en-US"/>
        </w:rPr>
        <w:t>[</w:t>
      </w:r>
      <w:r w:rsidR="00D640A6" w:rsidRPr="00214987">
        <w:rPr>
          <w:rFonts w:ascii="Arial" w:hAnsi="Arial" w:cs="Arial"/>
          <w:noProof/>
          <w:sz w:val="20"/>
          <w:szCs w:val="20"/>
          <w:lang w:val="en-US"/>
        </w:rPr>
        <w:t>Median (</w:t>
      </w:r>
      <w:r w:rsidR="00C605F5" w:rsidRPr="00214987">
        <w:rPr>
          <w:rFonts w:ascii="Arial" w:hAnsi="Arial" w:cs="Arial"/>
          <w:noProof/>
          <w:sz w:val="20"/>
          <w:szCs w:val="20"/>
          <w:lang w:val="en-US"/>
        </w:rPr>
        <w:t>IQR), super-</w:t>
      </w:r>
      <w:r w:rsidR="004575EC" w:rsidRPr="00214987">
        <w:rPr>
          <w:rFonts w:ascii="Arial" w:hAnsi="Arial" w:cs="Arial"/>
          <w:noProof/>
          <w:sz w:val="20"/>
          <w:szCs w:val="20"/>
          <w:lang w:val="en-US"/>
        </w:rPr>
        <w:t>responder</w:t>
      </w:r>
      <w:r w:rsidR="004575EC" w:rsidRPr="00214987">
        <w:rPr>
          <w:rFonts w:ascii="Arial" w:eastAsia="Times New Roman" w:hAnsi="Arial" w:cs="Arial"/>
          <w:noProof/>
          <w:sz w:val="20"/>
          <w:szCs w:val="20"/>
          <w:lang w:val="en-US" w:eastAsia="en-MY"/>
        </w:rPr>
        <w:t>:</w:t>
      </w:r>
      <w:r w:rsidR="00C605F5" w:rsidRPr="00214987">
        <w:rPr>
          <w:rFonts w:ascii="Arial" w:eastAsia="Times New Roman" w:hAnsi="Arial" w:cs="Arial"/>
          <w:noProof/>
          <w:sz w:val="20"/>
          <w:szCs w:val="20"/>
          <w:lang w:val="en-US" w:eastAsia="en-MY"/>
        </w:rPr>
        <w:t>25.1(5) vs non-super-responder:</w:t>
      </w:r>
      <w:r w:rsidR="00DD6877">
        <w:rPr>
          <w:rFonts w:ascii="Arial" w:eastAsia="Times New Roman" w:hAnsi="Arial" w:cs="Arial"/>
          <w:noProof/>
          <w:sz w:val="20"/>
          <w:szCs w:val="20"/>
          <w:lang w:val="en-US" w:eastAsia="en-MY"/>
        </w:rPr>
        <w:t xml:space="preserve"> </w:t>
      </w:r>
      <w:r w:rsidR="00C605F5" w:rsidRPr="00214987">
        <w:rPr>
          <w:rFonts w:ascii="Arial" w:eastAsia="Times New Roman" w:hAnsi="Arial" w:cs="Arial"/>
          <w:noProof/>
          <w:sz w:val="20"/>
          <w:szCs w:val="20"/>
          <w:lang w:val="en-US" w:eastAsia="en-MY"/>
        </w:rPr>
        <w:t>29.9</w:t>
      </w:r>
      <w:r w:rsidR="00DD6877">
        <w:rPr>
          <w:rFonts w:ascii="Arial" w:eastAsia="Times New Roman" w:hAnsi="Arial" w:cs="Arial"/>
          <w:noProof/>
          <w:sz w:val="20"/>
          <w:szCs w:val="20"/>
          <w:lang w:val="en-US" w:eastAsia="en-MY"/>
        </w:rPr>
        <w:t xml:space="preserve"> </w:t>
      </w:r>
      <w:r w:rsidR="00C605F5" w:rsidRPr="00214987">
        <w:rPr>
          <w:rFonts w:ascii="Arial" w:eastAsia="Times New Roman" w:hAnsi="Arial" w:cs="Arial"/>
          <w:noProof/>
          <w:sz w:val="20"/>
          <w:szCs w:val="20"/>
          <w:lang w:val="en-US" w:eastAsia="en-MY"/>
        </w:rPr>
        <w:t xml:space="preserve">(12.3), P=0.009] and </w:t>
      </w:r>
      <w:r w:rsidR="00E074FE" w:rsidRPr="00214987">
        <w:rPr>
          <w:rFonts w:ascii="Arial" w:eastAsia="Times New Roman" w:hAnsi="Arial" w:cs="Arial"/>
          <w:noProof/>
          <w:sz w:val="20"/>
          <w:szCs w:val="20"/>
          <w:lang w:val="en-US" w:eastAsia="en-MY"/>
        </w:rPr>
        <w:t xml:space="preserve">a lower prevalence of </w:t>
      </w:r>
      <w:r w:rsidR="00FE4F2E" w:rsidRPr="00214987">
        <w:rPr>
          <w:rFonts w:ascii="Arial" w:hAnsi="Arial" w:cs="Arial"/>
          <w:noProof/>
          <w:sz w:val="20"/>
          <w:szCs w:val="20"/>
          <w:lang w:val="en-US"/>
        </w:rPr>
        <w:t>obesity</w:t>
      </w:r>
      <w:r w:rsidR="00EB5BB2" w:rsidRPr="00214987">
        <w:rPr>
          <w:rFonts w:ascii="Arial" w:hAnsi="Arial" w:cs="Arial"/>
          <w:noProof/>
          <w:sz w:val="20"/>
          <w:szCs w:val="20"/>
          <w:lang w:val="en-US"/>
        </w:rPr>
        <w:t xml:space="preserve"> (</w:t>
      </w:r>
      <w:r w:rsidR="008C6CE9">
        <w:rPr>
          <w:rFonts w:ascii="Arial" w:hAnsi="Arial" w:cs="Arial"/>
          <w:noProof/>
          <w:sz w:val="20"/>
          <w:szCs w:val="20"/>
          <w:lang w:val="en-US"/>
        </w:rPr>
        <w:t>B</w:t>
      </w:r>
      <w:r w:rsidR="008C6CE9" w:rsidRPr="00214987">
        <w:rPr>
          <w:rFonts w:ascii="Arial" w:hAnsi="Arial" w:cs="Arial"/>
          <w:noProof/>
          <w:sz w:val="20"/>
          <w:szCs w:val="20"/>
          <w:lang w:val="en-US"/>
        </w:rPr>
        <w:t xml:space="preserve">ody </w:t>
      </w:r>
      <w:r w:rsidR="008C6CE9">
        <w:rPr>
          <w:rFonts w:ascii="Arial" w:hAnsi="Arial" w:cs="Arial"/>
          <w:noProof/>
          <w:sz w:val="20"/>
          <w:szCs w:val="20"/>
          <w:lang w:val="en-US"/>
        </w:rPr>
        <w:t>M</w:t>
      </w:r>
      <w:r w:rsidR="008C6CE9" w:rsidRPr="00214987">
        <w:rPr>
          <w:rFonts w:ascii="Arial" w:hAnsi="Arial" w:cs="Arial"/>
          <w:noProof/>
          <w:sz w:val="20"/>
          <w:szCs w:val="20"/>
          <w:lang w:val="en-US"/>
        </w:rPr>
        <w:t xml:space="preserve">ass </w:t>
      </w:r>
      <w:r w:rsidR="008C6CE9">
        <w:rPr>
          <w:rFonts w:ascii="Arial" w:hAnsi="Arial" w:cs="Arial"/>
          <w:noProof/>
          <w:sz w:val="20"/>
          <w:szCs w:val="20"/>
          <w:lang w:val="en-US"/>
        </w:rPr>
        <w:t>I</w:t>
      </w:r>
      <w:r w:rsidR="008C6CE9" w:rsidRPr="00214987">
        <w:rPr>
          <w:rFonts w:ascii="Arial" w:hAnsi="Arial" w:cs="Arial"/>
          <w:noProof/>
          <w:sz w:val="20"/>
          <w:szCs w:val="20"/>
          <w:lang w:val="en-US"/>
        </w:rPr>
        <w:t xml:space="preserve">ndex </w:t>
      </w:r>
      <w:r w:rsidR="00EB5BB2" w:rsidRPr="00214987">
        <w:rPr>
          <w:rFonts w:ascii="Arial" w:hAnsi="Arial" w:cs="Arial"/>
          <w:noProof/>
          <w:sz w:val="20"/>
          <w:szCs w:val="20"/>
          <w:lang w:val="en-US"/>
        </w:rPr>
        <w:t>≥30 kgm</w:t>
      </w:r>
      <w:r w:rsidR="00EB5BB2" w:rsidRPr="00214987">
        <w:rPr>
          <w:rFonts w:ascii="Arial" w:hAnsi="Arial" w:cs="Arial"/>
          <w:noProof/>
          <w:sz w:val="20"/>
          <w:szCs w:val="20"/>
          <w:vertAlign w:val="superscript"/>
          <w:lang w:val="en-US"/>
        </w:rPr>
        <w:t>-2</w:t>
      </w:r>
      <w:r w:rsidR="00046713" w:rsidRPr="00214987">
        <w:rPr>
          <w:rFonts w:ascii="Arial" w:hAnsi="Arial" w:cs="Arial"/>
          <w:noProof/>
          <w:sz w:val="20"/>
          <w:szCs w:val="20"/>
          <w:lang w:val="en-US"/>
        </w:rPr>
        <w:t>) [</w:t>
      </w:r>
      <w:r w:rsidR="00613560" w:rsidRPr="00214987">
        <w:rPr>
          <w:rFonts w:ascii="Arial" w:hAnsi="Arial" w:cs="Arial"/>
          <w:noProof/>
          <w:sz w:val="20"/>
          <w:szCs w:val="20"/>
          <w:lang w:val="en-US"/>
        </w:rPr>
        <w:t>super-responders:</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9.1% vs non-super-responder</w:t>
      </w:r>
      <w:r w:rsidR="00E074FE" w:rsidRPr="00214987">
        <w:rPr>
          <w:rFonts w:ascii="Arial" w:hAnsi="Arial" w:cs="Arial"/>
          <w:noProof/>
          <w:sz w:val="20"/>
          <w:szCs w:val="20"/>
          <w:lang w:val="en-US"/>
        </w:rPr>
        <w:t>:</w:t>
      </w:r>
      <w:r w:rsidR="00DD6877">
        <w:rPr>
          <w:rFonts w:ascii="Arial" w:hAnsi="Arial" w:cs="Arial"/>
          <w:noProof/>
          <w:sz w:val="20"/>
          <w:szCs w:val="20"/>
          <w:lang w:val="en-US"/>
        </w:rPr>
        <w:t xml:space="preserve"> </w:t>
      </w:r>
      <w:r w:rsidR="00613560" w:rsidRPr="00214987">
        <w:rPr>
          <w:rFonts w:ascii="Arial" w:hAnsi="Arial" w:cs="Arial"/>
          <w:noProof/>
          <w:sz w:val="20"/>
          <w:szCs w:val="20"/>
          <w:lang w:val="en-US"/>
        </w:rPr>
        <w:t>48.9%</w:t>
      </w:r>
      <w:r w:rsidR="002F335C" w:rsidRPr="00214987">
        <w:rPr>
          <w:rFonts w:ascii="Arial" w:hAnsi="Arial" w:cs="Arial"/>
          <w:noProof/>
          <w:sz w:val="20"/>
          <w:szCs w:val="20"/>
          <w:lang w:val="en-US"/>
        </w:rPr>
        <w:t>,</w:t>
      </w:r>
      <w:r w:rsidR="00613560" w:rsidRPr="00214987">
        <w:rPr>
          <w:rFonts w:ascii="Arial" w:eastAsia="Times New Roman" w:hAnsi="Arial" w:cs="Arial"/>
          <w:noProof/>
          <w:sz w:val="20"/>
          <w:szCs w:val="20"/>
          <w:lang w:val="en-US" w:eastAsia="en-MY"/>
        </w:rPr>
        <w:t xml:space="preserve"> P= 0.019]</w:t>
      </w:r>
      <w:r w:rsidR="00613560" w:rsidRPr="00214987">
        <w:rPr>
          <w:rFonts w:ascii="Arial" w:hAnsi="Arial" w:cs="Arial"/>
          <w:noProof/>
          <w:sz w:val="20"/>
          <w:szCs w:val="20"/>
          <w:lang w:val="en-US"/>
        </w:rPr>
        <w:t>. Multivariate analysis (</w:t>
      </w:r>
      <w:r w:rsidR="004B1EBD" w:rsidRPr="00214987">
        <w:rPr>
          <w:rFonts w:ascii="Arial" w:hAnsi="Arial" w:cs="Arial"/>
          <w:noProof/>
          <w:sz w:val="20"/>
          <w:szCs w:val="20"/>
          <w:lang w:val="en-US"/>
        </w:rPr>
        <w:t xml:space="preserve">Table </w:t>
      </w:r>
      <w:r w:rsidR="00D9748D">
        <w:rPr>
          <w:rFonts w:ascii="Arial" w:hAnsi="Arial" w:cs="Arial"/>
          <w:noProof/>
          <w:sz w:val="20"/>
          <w:szCs w:val="20"/>
          <w:lang w:val="en-US"/>
        </w:rPr>
        <w:t>3</w:t>
      </w:r>
      <w:r w:rsidR="00613560" w:rsidRPr="00214987">
        <w:rPr>
          <w:rFonts w:ascii="Arial" w:hAnsi="Arial" w:cs="Arial"/>
          <w:noProof/>
          <w:sz w:val="20"/>
          <w:szCs w:val="20"/>
          <w:lang w:val="en-US"/>
        </w:rPr>
        <w:t xml:space="preserve">) found that more exacerbations and better ACQ6 </w:t>
      </w:r>
      <w:r w:rsidR="00F0359F" w:rsidRPr="00214987">
        <w:rPr>
          <w:rFonts w:ascii="Arial" w:hAnsi="Arial" w:cs="Arial"/>
          <w:noProof/>
          <w:sz w:val="20"/>
          <w:szCs w:val="20"/>
          <w:lang w:val="en-US"/>
        </w:rPr>
        <w:t>at baseline</w:t>
      </w:r>
      <w:r w:rsidR="00CC278F" w:rsidRPr="00214987">
        <w:rPr>
          <w:rFonts w:ascii="Arial" w:hAnsi="Arial" w:cs="Arial"/>
          <w:noProof/>
          <w:sz w:val="20"/>
          <w:szCs w:val="20"/>
          <w:lang w:val="en-US"/>
        </w:rPr>
        <w:t xml:space="preserve"> were</w:t>
      </w:r>
      <w:r w:rsidR="00F0359F" w:rsidRPr="00214987">
        <w:rPr>
          <w:rFonts w:ascii="Arial" w:hAnsi="Arial" w:cs="Arial"/>
          <w:noProof/>
          <w:sz w:val="20"/>
          <w:szCs w:val="20"/>
          <w:lang w:val="en-US"/>
        </w:rPr>
        <w:t xml:space="preserve"> </w:t>
      </w:r>
      <w:r w:rsidR="00613560" w:rsidRPr="00214987">
        <w:rPr>
          <w:rFonts w:ascii="Arial" w:hAnsi="Arial" w:cs="Arial"/>
          <w:noProof/>
          <w:sz w:val="20"/>
          <w:szCs w:val="20"/>
          <w:lang w:val="en-US"/>
        </w:rPr>
        <w:t>independent</w:t>
      </w:r>
      <w:r w:rsidR="00F0359F" w:rsidRPr="00214987">
        <w:rPr>
          <w:rFonts w:ascii="Arial" w:hAnsi="Arial" w:cs="Arial"/>
          <w:noProof/>
          <w:sz w:val="20"/>
          <w:szCs w:val="20"/>
          <w:lang w:val="en-US"/>
        </w:rPr>
        <w:t>ly</w:t>
      </w:r>
      <w:r w:rsidR="00613560" w:rsidRPr="00214987">
        <w:rPr>
          <w:rFonts w:ascii="Arial" w:hAnsi="Arial" w:cs="Arial"/>
          <w:noProof/>
          <w:sz w:val="20"/>
          <w:szCs w:val="20"/>
          <w:lang w:val="en-US"/>
        </w:rPr>
        <w:t xml:space="preserve"> </w:t>
      </w:r>
      <w:r w:rsidR="00CC278F" w:rsidRPr="00214987">
        <w:rPr>
          <w:rFonts w:ascii="Arial" w:hAnsi="Arial" w:cs="Arial"/>
          <w:noProof/>
          <w:sz w:val="20"/>
          <w:szCs w:val="20"/>
          <w:lang w:val="en-US"/>
        </w:rPr>
        <w:t>associated with</w:t>
      </w:r>
      <w:r w:rsidR="00613560"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CB3994" w:rsidRPr="00214987">
        <w:rPr>
          <w:rFonts w:ascii="Arial" w:hAnsi="Arial" w:cs="Arial"/>
          <w:noProof/>
          <w:sz w:val="20"/>
          <w:szCs w:val="20"/>
          <w:lang w:val="en-US"/>
        </w:rPr>
        <w:t xml:space="preserve"> </w:t>
      </w:r>
      <w:r w:rsidR="00613560" w:rsidRPr="00214987">
        <w:rPr>
          <w:rFonts w:ascii="Arial" w:hAnsi="Arial" w:cs="Arial"/>
          <w:noProof/>
          <w:sz w:val="20"/>
          <w:szCs w:val="20"/>
          <w:lang w:val="en-US"/>
        </w:rPr>
        <w:t xml:space="preserve">super-response. </w:t>
      </w:r>
    </w:p>
    <w:p w14:paraId="2688E220" w14:textId="410D5991" w:rsidR="00D861BE" w:rsidRDefault="00D861BE" w:rsidP="00AB4CB7">
      <w:pPr>
        <w:spacing w:line="480" w:lineRule="auto"/>
        <w:rPr>
          <w:rFonts w:ascii="Arial" w:hAnsi="Arial" w:cs="Arial"/>
          <w:noProof/>
          <w:sz w:val="20"/>
          <w:szCs w:val="20"/>
          <w:lang w:val="en-US"/>
        </w:rPr>
      </w:pPr>
      <w:r w:rsidRPr="00D861BE">
        <w:rPr>
          <w:rFonts w:ascii="Arial" w:hAnsi="Arial" w:cs="Arial"/>
          <w:noProof/>
          <w:sz w:val="20"/>
          <w:szCs w:val="20"/>
          <w:lang w:val="en-US"/>
        </w:rPr>
        <w:t xml:space="preserve">Summary phenotypic features of </w:t>
      </w:r>
      <w:r w:rsidR="008C6CE9" w:rsidRPr="00214987">
        <w:rPr>
          <w:rFonts w:ascii="Arial" w:hAnsi="Arial" w:cs="Arial"/>
          <w:noProof/>
          <w:sz w:val="20"/>
          <w:szCs w:val="20"/>
          <w:lang w:val="en-US"/>
        </w:rPr>
        <w:t>Omalizumab</w:t>
      </w:r>
      <w:r w:rsidRPr="00D861BE">
        <w:rPr>
          <w:rFonts w:ascii="Arial" w:hAnsi="Arial" w:cs="Arial"/>
          <w:noProof/>
          <w:sz w:val="20"/>
          <w:szCs w:val="20"/>
          <w:lang w:val="en-US"/>
        </w:rPr>
        <w:t xml:space="preserve"> and </w:t>
      </w:r>
      <w:r w:rsidR="008C6CE9">
        <w:rPr>
          <w:rFonts w:ascii="Arial" w:hAnsi="Arial" w:cs="Arial"/>
          <w:noProof/>
          <w:sz w:val="20"/>
          <w:szCs w:val="20"/>
          <w:lang w:val="en-US"/>
        </w:rPr>
        <w:t>Mepolizumab</w:t>
      </w:r>
      <w:r w:rsidR="00293D47">
        <w:rPr>
          <w:rFonts w:ascii="Arial" w:hAnsi="Arial" w:cs="Arial"/>
          <w:noProof/>
          <w:sz w:val="20"/>
          <w:szCs w:val="20"/>
          <w:lang w:val="en-US"/>
        </w:rPr>
        <w:t xml:space="preserve"> </w:t>
      </w:r>
      <w:r w:rsidRPr="00D861BE">
        <w:rPr>
          <w:rFonts w:ascii="Arial" w:hAnsi="Arial" w:cs="Arial"/>
          <w:noProof/>
          <w:sz w:val="20"/>
          <w:szCs w:val="20"/>
          <w:lang w:val="en-US"/>
        </w:rPr>
        <w:t>treated patients and f</w:t>
      </w:r>
      <w:r w:rsidR="001E1953">
        <w:rPr>
          <w:rFonts w:ascii="Arial" w:hAnsi="Arial" w:cs="Arial"/>
          <w:noProof/>
          <w:sz w:val="20"/>
          <w:szCs w:val="20"/>
          <w:lang w:val="en-US"/>
        </w:rPr>
        <w:t>eatures</w:t>
      </w:r>
      <w:r w:rsidRPr="00D861BE">
        <w:rPr>
          <w:rFonts w:ascii="Arial" w:hAnsi="Arial" w:cs="Arial"/>
          <w:noProof/>
          <w:sz w:val="20"/>
          <w:szCs w:val="20"/>
          <w:lang w:val="en-US"/>
        </w:rPr>
        <w:t xml:space="preserve"> independently associated with response and super-response to these drugs</w:t>
      </w:r>
      <w:r w:rsidR="00293D47">
        <w:rPr>
          <w:rFonts w:ascii="Arial" w:hAnsi="Arial" w:cs="Arial"/>
          <w:noProof/>
          <w:sz w:val="20"/>
          <w:szCs w:val="20"/>
          <w:lang w:val="en-US"/>
        </w:rPr>
        <w:t xml:space="preserve"> is displayed in Figure </w:t>
      </w:r>
      <w:r w:rsidR="00D9748D">
        <w:rPr>
          <w:rFonts w:ascii="Arial" w:hAnsi="Arial" w:cs="Arial"/>
          <w:noProof/>
          <w:sz w:val="20"/>
          <w:szCs w:val="20"/>
          <w:lang w:val="en-US"/>
        </w:rPr>
        <w:t>3</w:t>
      </w:r>
      <w:r w:rsidRPr="00D861BE">
        <w:rPr>
          <w:rFonts w:ascii="Arial" w:hAnsi="Arial" w:cs="Arial"/>
          <w:noProof/>
          <w:sz w:val="20"/>
          <w:szCs w:val="20"/>
          <w:lang w:val="en-US"/>
        </w:rPr>
        <w:t xml:space="preserve">. </w:t>
      </w:r>
    </w:p>
    <w:p w14:paraId="322F8A39" w14:textId="32636BFF" w:rsidR="00613560" w:rsidRPr="00214987" w:rsidRDefault="00613560" w:rsidP="00AB4CB7">
      <w:pPr>
        <w:spacing w:line="480" w:lineRule="auto"/>
        <w:rPr>
          <w:rFonts w:ascii="Arial" w:hAnsi="Arial" w:cs="Arial"/>
          <w:b/>
          <w:bCs/>
          <w:noProof/>
          <w:sz w:val="20"/>
          <w:szCs w:val="20"/>
          <w:u w:val="single"/>
          <w:lang w:val="en-US"/>
        </w:rPr>
      </w:pPr>
      <w:r w:rsidRPr="00214987">
        <w:rPr>
          <w:rFonts w:ascii="Arial" w:hAnsi="Arial" w:cs="Arial"/>
          <w:b/>
          <w:bCs/>
          <w:noProof/>
          <w:sz w:val="20"/>
          <w:szCs w:val="20"/>
          <w:u w:val="single"/>
          <w:lang w:val="en-US"/>
        </w:rPr>
        <w:t>Overall biologic non-response</w:t>
      </w:r>
    </w:p>
    <w:p w14:paraId="64D67ED4" w14:textId="7FF63381" w:rsidR="00613560" w:rsidRPr="00214987" w:rsidRDefault="00613560" w:rsidP="00AB4CB7">
      <w:pPr>
        <w:spacing w:line="480" w:lineRule="auto"/>
        <w:rPr>
          <w:rFonts w:ascii="Arial" w:hAnsi="Arial" w:cs="Arial"/>
          <w:noProof/>
          <w:sz w:val="20"/>
          <w:szCs w:val="20"/>
          <w:lang w:val="en-US"/>
        </w:rPr>
      </w:pPr>
      <w:r w:rsidRPr="00214987">
        <w:rPr>
          <w:rFonts w:ascii="Arial" w:hAnsi="Arial" w:cs="Arial"/>
          <w:noProof/>
          <w:sz w:val="20"/>
          <w:szCs w:val="20"/>
          <w:lang w:val="en-US"/>
        </w:rPr>
        <w:t>All biologic non-responders</w:t>
      </w:r>
      <w:r w:rsidR="00FE006F" w:rsidRPr="00214987">
        <w:rPr>
          <w:rFonts w:ascii="Arial" w:hAnsi="Arial" w:cs="Arial"/>
          <w:noProof/>
          <w:sz w:val="20"/>
          <w:szCs w:val="20"/>
          <w:lang w:val="en-US"/>
        </w:rPr>
        <w:t>, N=27</w:t>
      </w:r>
      <w:r w:rsidRPr="00214987">
        <w:rPr>
          <w:rFonts w:ascii="Arial" w:hAnsi="Arial" w:cs="Arial"/>
          <w:noProof/>
          <w:sz w:val="20"/>
          <w:szCs w:val="20"/>
          <w:lang w:val="en-US"/>
        </w:rPr>
        <w:t xml:space="preserve"> (</w:t>
      </w:r>
      <w:r w:rsidR="008C6CE9" w:rsidRPr="00214987">
        <w:rPr>
          <w:rFonts w:ascii="Arial" w:hAnsi="Arial" w:cs="Arial"/>
          <w:noProof/>
          <w:sz w:val="20"/>
          <w:szCs w:val="20"/>
          <w:lang w:val="en-US"/>
        </w:rPr>
        <w:t>Omalizumab</w:t>
      </w:r>
      <w:r w:rsidRPr="00214987">
        <w:rPr>
          <w:rFonts w:ascii="Arial" w:hAnsi="Arial" w:cs="Arial"/>
          <w:noProof/>
          <w:sz w:val="20"/>
          <w:szCs w:val="20"/>
          <w:lang w:val="en-US"/>
        </w:rPr>
        <w:t xml:space="preserve"> [44.4%,12/27]</w:t>
      </w:r>
      <w:r w:rsidR="00FE006F"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Pr="00214987">
        <w:rPr>
          <w:rFonts w:ascii="Arial" w:hAnsi="Arial" w:cs="Arial"/>
          <w:noProof/>
          <w:sz w:val="20"/>
          <w:szCs w:val="20"/>
          <w:lang w:val="en-US"/>
        </w:rPr>
        <w:t xml:space="preserve"> [55.6%,15/27])</w:t>
      </w:r>
      <w:r w:rsidR="00FE006F" w:rsidRPr="00214987">
        <w:rPr>
          <w:rFonts w:ascii="Arial" w:hAnsi="Arial" w:cs="Arial"/>
          <w:noProof/>
          <w:sz w:val="20"/>
          <w:szCs w:val="20"/>
          <w:lang w:val="en-US"/>
        </w:rPr>
        <w:t xml:space="preserve">, </w:t>
      </w:r>
      <w:r w:rsidRPr="00214987">
        <w:rPr>
          <w:rFonts w:ascii="Arial" w:hAnsi="Arial" w:cs="Arial"/>
          <w:noProof/>
          <w:sz w:val="20"/>
          <w:szCs w:val="20"/>
          <w:lang w:val="en-US"/>
        </w:rPr>
        <w:t>were combined and compared with the SNB group</w:t>
      </w:r>
      <w:r w:rsidR="00EF2D2B" w:rsidRPr="00214987">
        <w:rPr>
          <w:rFonts w:ascii="Arial" w:hAnsi="Arial" w:cs="Arial"/>
          <w:noProof/>
          <w:sz w:val="20"/>
          <w:szCs w:val="20"/>
          <w:lang w:val="en-US"/>
        </w:rPr>
        <w:t xml:space="preserve"> and responder groups</w:t>
      </w:r>
      <w:r w:rsidRPr="00214987">
        <w:rPr>
          <w:rFonts w:ascii="Arial" w:hAnsi="Arial" w:cs="Arial"/>
          <w:noProof/>
          <w:sz w:val="20"/>
          <w:szCs w:val="20"/>
          <w:lang w:val="en-US"/>
        </w:rPr>
        <w:t xml:space="preserve">. Compared to SNB </w:t>
      </w:r>
      <w:r w:rsidR="00FE006F" w:rsidRPr="00214987">
        <w:rPr>
          <w:rFonts w:ascii="Arial" w:hAnsi="Arial" w:cs="Arial"/>
          <w:noProof/>
          <w:sz w:val="20"/>
          <w:szCs w:val="20"/>
          <w:lang w:val="en-US"/>
        </w:rPr>
        <w:t>subjects</w:t>
      </w:r>
      <w:r w:rsidRPr="00214987">
        <w:rPr>
          <w:rFonts w:ascii="Arial" w:hAnsi="Arial" w:cs="Arial"/>
          <w:noProof/>
          <w:sz w:val="20"/>
          <w:szCs w:val="20"/>
          <w:lang w:val="en-US"/>
        </w:rPr>
        <w:t xml:space="preserve">, </w:t>
      </w:r>
      <w:r w:rsidR="00880075" w:rsidRPr="00214987">
        <w:rPr>
          <w:rFonts w:ascii="Arial" w:hAnsi="Arial" w:cs="Arial"/>
          <w:noProof/>
          <w:sz w:val="20"/>
          <w:szCs w:val="20"/>
          <w:lang w:val="en-US"/>
        </w:rPr>
        <w:t xml:space="preserve">at baseline, </w:t>
      </w:r>
      <w:r w:rsidR="00B7200F">
        <w:rPr>
          <w:rFonts w:ascii="Arial" w:hAnsi="Arial" w:cs="Arial"/>
          <w:noProof/>
          <w:sz w:val="20"/>
          <w:szCs w:val="20"/>
          <w:lang w:val="en-US"/>
        </w:rPr>
        <w:t>C</w:t>
      </w:r>
      <w:r w:rsidRPr="00214987">
        <w:rPr>
          <w:rFonts w:ascii="Arial" w:hAnsi="Arial" w:cs="Arial"/>
          <w:noProof/>
          <w:sz w:val="20"/>
          <w:szCs w:val="20"/>
          <w:lang w:val="en-US"/>
        </w:rPr>
        <w:t>ombined non-responders (</w:t>
      </w:r>
      <w:r w:rsidR="00B875DD">
        <w:rPr>
          <w:rFonts w:ascii="Arial" w:hAnsi="Arial" w:cs="Arial"/>
          <w:noProof/>
          <w:sz w:val="20"/>
          <w:szCs w:val="20"/>
          <w:lang w:val="en-US"/>
        </w:rPr>
        <w:t xml:space="preserve">Supplementary </w:t>
      </w:r>
      <w:r w:rsidR="005A1123">
        <w:rPr>
          <w:rFonts w:ascii="Arial" w:hAnsi="Arial" w:cs="Arial"/>
          <w:noProof/>
          <w:sz w:val="20"/>
          <w:szCs w:val="20"/>
          <w:lang w:val="en-US"/>
        </w:rPr>
        <w:t>Table E5</w:t>
      </w:r>
      <w:r w:rsidRPr="00214987">
        <w:rPr>
          <w:rFonts w:ascii="Arial" w:hAnsi="Arial" w:cs="Arial"/>
          <w:noProof/>
          <w:sz w:val="20"/>
          <w:szCs w:val="20"/>
          <w:lang w:val="en-US"/>
        </w:rPr>
        <w:t xml:space="preserve">) had significantly more </w:t>
      </w:r>
      <w:r w:rsidR="00734AAE" w:rsidRPr="00214987">
        <w:rPr>
          <w:rFonts w:ascii="Arial" w:hAnsi="Arial" w:cs="Arial"/>
          <w:noProof/>
          <w:sz w:val="20"/>
          <w:szCs w:val="20"/>
          <w:lang w:val="en-US"/>
        </w:rPr>
        <w:t>AHE</w:t>
      </w:r>
      <w:r w:rsidR="00D27C31">
        <w:rPr>
          <w:rFonts w:ascii="Arial" w:hAnsi="Arial" w:cs="Arial"/>
          <w:noProof/>
          <w:sz w:val="20"/>
          <w:szCs w:val="20"/>
          <w:lang w:val="en-US"/>
        </w:rPr>
        <w:t xml:space="preserve"> </w:t>
      </w:r>
      <w:r w:rsidR="00584901">
        <w:rPr>
          <w:rFonts w:ascii="Arial" w:hAnsi="Arial" w:cs="Arial"/>
          <w:noProof/>
          <w:sz w:val="20"/>
          <w:szCs w:val="20"/>
          <w:lang w:val="en-US"/>
        </w:rPr>
        <w:t xml:space="preserve">[Median (IQR) SNB: </w:t>
      </w:r>
      <w:r w:rsidR="003423AA">
        <w:rPr>
          <w:rFonts w:ascii="Arial" w:hAnsi="Arial" w:cs="Arial"/>
          <w:noProof/>
          <w:sz w:val="20"/>
          <w:szCs w:val="20"/>
          <w:lang w:val="en-US"/>
        </w:rPr>
        <w:t>0 (1)</w:t>
      </w:r>
      <w:r w:rsidR="00E31F6E">
        <w:rPr>
          <w:rFonts w:ascii="Arial" w:hAnsi="Arial" w:cs="Arial"/>
          <w:noProof/>
          <w:sz w:val="20"/>
          <w:szCs w:val="20"/>
          <w:lang w:val="en-US"/>
        </w:rPr>
        <w:t xml:space="preserve"> vs Combined non-responders: </w:t>
      </w:r>
      <w:r w:rsidR="003423AA">
        <w:rPr>
          <w:rFonts w:ascii="Arial" w:hAnsi="Arial" w:cs="Arial"/>
          <w:noProof/>
          <w:sz w:val="20"/>
          <w:szCs w:val="20"/>
          <w:lang w:val="en-US"/>
        </w:rPr>
        <w:t>1 (3)</w:t>
      </w:r>
      <w:r w:rsidR="00E31F6E">
        <w:rPr>
          <w:rFonts w:ascii="Arial" w:hAnsi="Arial" w:cs="Arial"/>
          <w:noProof/>
          <w:sz w:val="20"/>
          <w:szCs w:val="20"/>
          <w:lang w:val="en-US"/>
        </w:rPr>
        <w:t xml:space="preserve">, P = 0.028] </w:t>
      </w:r>
      <w:r w:rsidRPr="00214987">
        <w:rPr>
          <w:rFonts w:ascii="Arial" w:hAnsi="Arial" w:cs="Arial"/>
          <w:noProof/>
          <w:sz w:val="20"/>
          <w:szCs w:val="20"/>
          <w:lang w:val="en-US"/>
        </w:rPr>
        <w:t xml:space="preserve">, </w:t>
      </w:r>
      <w:r w:rsidR="002F1BCF" w:rsidRPr="00214987">
        <w:rPr>
          <w:rFonts w:ascii="Arial" w:hAnsi="Arial" w:cs="Arial"/>
          <w:noProof/>
          <w:sz w:val="20"/>
          <w:szCs w:val="20"/>
          <w:lang w:val="en-US"/>
        </w:rPr>
        <w:t>worse</w:t>
      </w:r>
      <w:r w:rsidRPr="00214987">
        <w:rPr>
          <w:rFonts w:ascii="Arial" w:hAnsi="Arial" w:cs="Arial"/>
          <w:noProof/>
          <w:sz w:val="20"/>
          <w:szCs w:val="20"/>
          <w:lang w:val="en-US"/>
        </w:rPr>
        <w:t xml:space="preserve"> ACQ6</w:t>
      </w:r>
      <w:r w:rsidR="00E31F6E">
        <w:rPr>
          <w:rFonts w:ascii="Arial" w:hAnsi="Arial" w:cs="Arial"/>
          <w:noProof/>
          <w:sz w:val="20"/>
          <w:szCs w:val="20"/>
          <w:lang w:val="en-US"/>
        </w:rPr>
        <w:t xml:space="preserve"> [Median (IQR) SNB: </w:t>
      </w:r>
      <w:r w:rsidR="00990B92" w:rsidRPr="00990B92">
        <w:rPr>
          <w:rFonts w:ascii="Arial" w:hAnsi="Arial" w:cs="Arial"/>
          <w:noProof/>
          <w:sz w:val="20"/>
          <w:szCs w:val="20"/>
          <w:lang w:val="en-US"/>
        </w:rPr>
        <w:t xml:space="preserve">3 (1.8) </w:t>
      </w:r>
      <w:r w:rsidR="00E31F6E">
        <w:rPr>
          <w:rFonts w:ascii="Arial" w:hAnsi="Arial" w:cs="Arial"/>
          <w:noProof/>
          <w:sz w:val="20"/>
          <w:szCs w:val="20"/>
          <w:lang w:val="en-US"/>
        </w:rPr>
        <w:t xml:space="preserve">vs Combined non-responders: </w:t>
      </w:r>
      <w:r w:rsidR="003423AA" w:rsidRPr="003423AA">
        <w:rPr>
          <w:rFonts w:ascii="Arial" w:hAnsi="Arial" w:cs="Arial"/>
          <w:noProof/>
          <w:sz w:val="20"/>
          <w:szCs w:val="20"/>
          <w:lang w:val="en-US"/>
        </w:rPr>
        <w:t>3.67 (1.26)</w:t>
      </w:r>
      <w:r w:rsidR="003423AA">
        <w:rPr>
          <w:rFonts w:ascii="Arial" w:hAnsi="Arial" w:cs="Arial"/>
          <w:noProof/>
          <w:sz w:val="20"/>
          <w:szCs w:val="20"/>
          <w:lang w:val="en-US"/>
        </w:rPr>
        <w:t xml:space="preserve"> </w:t>
      </w:r>
      <w:r w:rsidR="00E31F6E">
        <w:rPr>
          <w:rFonts w:ascii="Arial" w:hAnsi="Arial" w:cs="Arial"/>
          <w:noProof/>
          <w:sz w:val="20"/>
          <w:szCs w:val="20"/>
          <w:lang w:val="en-US"/>
        </w:rPr>
        <w:t>, P = 0.0</w:t>
      </w:r>
      <w:r w:rsidR="0053581E">
        <w:rPr>
          <w:rFonts w:ascii="Arial" w:hAnsi="Arial" w:cs="Arial"/>
          <w:noProof/>
          <w:sz w:val="20"/>
          <w:szCs w:val="20"/>
          <w:lang w:val="en-US"/>
        </w:rPr>
        <w:t>17</w:t>
      </w:r>
      <w:r w:rsidR="00E31F6E">
        <w:rPr>
          <w:rFonts w:ascii="Arial" w:hAnsi="Arial" w:cs="Arial"/>
          <w:noProof/>
          <w:sz w:val="20"/>
          <w:szCs w:val="20"/>
          <w:lang w:val="en-US"/>
        </w:rPr>
        <w:t>]</w:t>
      </w:r>
      <w:r w:rsidRPr="00214987">
        <w:rPr>
          <w:rFonts w:ascii="Arial" w:hAnsi="Arial" w:cs="Arial"/>
          <w:noProof/>
          <w:sz w:val="20"/>
          <w:szCs w:val="20"/>
          <w:lang w:val="en-US"/>
        </w:rPr>
        <w:t xml:space="preserve"> and worse lung function</w:t>
      </w:r>
      <w:r w:rsidR="00990B92">
        <w:rPr>
          <w:rFonts w:ascii="Arial" w:hAnsi="Arial" w:cs="Arial"/>
          <w:noProof/>
          <w:sz w:val="20"/>
          <w:szCs w:val="20"/>
          <w:lang w:val="en-US"/>
        </w:rPr>
        <w:t xml:space="preserve"> [Mean</w:t>
      </w:r>
      <w:r w:rsidR="003A0086">
        <w:rPr>
          <w:rFonts w:ascii="Arial" w:hAnsi="Arial" w:cs="Arial"/>
          <w:noProof/>
          <w:sz w:val="20"/>
          <w:szCs w:val="20"/>
          <w:lang w:val="en-US"/>
        </w:rPr>
        <w:t>(SD) Clinic</w:t>
      </w:r>
      <w:r w:rsidR="001E38FE">
        <w:rPr>
          <w:rFonts w:ascii="Arial" w:hAnsi="Arial" w:cs="Arial"/>
          <w:noProof/>
          <w:sz w:val="20"/>
          <w:szCs w:val="20"/>
          <w:lang w:val="en-US"/>
        </w:rPr>
        <w:t xml:space="preserve"> FEV</w:t>
      </w:r>
      <w:r w:rsidR="001E38FE" w:rsidRPr="001E38FE">
        <w:rPr>
          <w:rFonts w:ascii="Arial" w:hAnsi="Arial" w:cs="Arial"/>
          <w:noProof/>
          <w:sz w:val="20"/>
          <w:szCs w:val="20"/>
          <w:vertAlign w:val="subscript"/>
          <w:lang w:val="en-US"/>
        </w:rPr>
        <w:t>1</w:t>
      </w:r>
      <w:r w:rsidR="001E38FE">
        <w:rPr>
          <w:rFonts w:ascii="Arial" w:hAnsi="Arial" w:cs="Arial"/>
          <w:noProof/>
          <w:sz w:val="20"/>
          <w:szCs w:val="20"/>
          <w:lang w:val="en-US"/>
        </w:rPr>
        <w:t xml:space="preserve"> %</w:t>
      </w:r>
      <w:r w:rsidR="00990B92">
        <w:rPr>
          <w:rFonts w:ascii="Arial" w:hAnsi="Arial" w:cs="Arial"/>
          <w:noProof/>
          <w:sz w:val="20"/>
          <w:szCs w:val="20"/>
          <w:lang w:val="en-US"/>
        </w:rPr>
        <w:t xml:space="preserve"> SNB: </w:t>
      </w:r>
      <w:r w:rsidR="001E38FE" w:rsidRPr="001E38FE">
        <w:rPr>
          <w:rFonts w:ascii="Arial" w:hAnsi="Arial" w:cs="Arial"/>
          <w:noProof/>
          <w:sz w:val="20"/>
          <w:szCs w:val="20"/>
          <w:lang w:val="en-US"/>
        </w:rPr>
        <w:t xml:space="preserve">76.78 (23.37) </w:t>
      </w:r>
      <w:r w:rsidR="00990B92">
        <w:rPr>
          <w:rFonts w:ascii="Arial" w:hAnsi="Arial" w:cs="Arial"/>
          <w:noProof/>
          <w:sz w:val="20"/>
          <w:szCs w:val="20"/>
          <w:lang w:val="en-US"/>
        </w:rPr>
        <w:t xml:space="preserve">vs Combined non-responders: </w:t>
      </w:r>
      <w:r w:rsidR="0053581E" w:rsidRPr="0053581E">
        <w:rPr>
          <w:rFonts w:ascii="Arial" w:hAnsi="Arial" w:cs="Arial"/>
          <w:noProof/>
          <w:sz w:val="20"/>
          <w:szCs w:val="20"/>
          <w:lang w:val="en-US"/>
        </w:rPr>
        <w:t>61.64 (21.75)</w:t>
      </w:r>
      <w:r w:rsidR="00990B92">
        <w:rPr>
          <w:rFonts w:ascii="Arial" w:hAnsi="Arial" w:cs="Arial"/>
          <w:noProof/>
          <w:sz w:val="20"/>
          <w:szCs w:val="20"/>
          <w:lang w:val="en-US"/>
        </w:rPr>
        <w:t>, P = 0.0</w:t>
      </w:r>
      <w:r w:rsidR="0053581E">
        <w:rPr>
          <w:rFonts w:ascii="Arial" w:hAnsi="Arial" w:cs="Arial"/>
          <w:noProof/>
          <w:sz w:val="20"/>
          <w:szCs w:val="20"/>
          <w:lang w:val="en-US"/>
        </w:rPr>
        <w:t>03</w:t>
      </w:r>
      <w:r w:rsidR="00990B92">
        <w:rPr>
          <w:rFonts w:ascii="Arial" w:hAnsi="Arial" w:cs="Arial"/>
          <w:noProof/>
          <w:sz w:val="20"/>
          <w:szCs w:val="20"/>
          <w:lang w:val="en-US"/>
        </w:rPr>
        <w:t>]</w:t>
      </w:r>
      <w:r w:rsidRPr="00214987">
        <w:rPr>
          <w:rFonts w:ascii="Arial" w:hAnsi="Arial" w:cs="Arial"/>
          <w:noProof/>
          <w:sz w:val="20"/>
          <w:szCs w:val="20"/>
          <w:lang w:val="en-US"/>
        </w:rPr>
        <w:t xml:space="preserve">. Furthermore, </w:t>
      </w:r>
      <w:r w:rsidR="00D653F2">
        <w:rPr>
          <w:rFonts w:ascii="Arial" w:hAnsi="Arial" w:cs="Arial"/>
          <w:noProof/>
          <w:sz w:val="20"/>
          <w:szCs w:val="20"/>
          <w:lang w:val="en-US"/>
        </w:rPr>
        <w:t>C</w:t>
      </w:r>
      <w:r w:rsidR="003A0086">
        <w:rPr>
          <w:rFonts w:ascii="Arial" w:hAnsi="Arial" w:cs="Arial"/>
          <w:noProof/>
          <w:sz w:val="20"/>
          <w:szCs w:val="20"/>
          <w:lang w:val="en-US"/>
        </w:rPr>
        <w:t>ombined non-responders</w:t>
      </w:r>
      <w:r w:rsidRPr="00214987">
        <w:rPr>
          <w:rFonts w:ascii="Arial" w:hAnsi="Arial" w:cs="Arial"/>
          <w:noProof/>
          <w:sz w:val="20"/>
          <w:szCs w:val="20"/>
          <w:lang w:val="en-US"/>
        </w:rPr>
        <w:t xml:space="preserve"> were </w:t>
      </w:r>
      <w:r w:rsidR="00EF2D2B" w:rsidRPr="00214987">
        <w:rPr>
          <w:rFonts w:ascii="Arial" w:hAnsi="Arial" w:cs="Arial"/>
          <w:noProof/>
          <w:sz w:val="20"/>
          <w:szCs w:val="20"/>
          <w:lang w:val="en-US"/>
        </w:rPr>
        <w:t xml:space="preserve">significantly </w:t>
      </w:r>
      <w:r w:rsidRPr="00214987">
        <w:rPr>
          <w:rFonts w:ascii="Arial" w:hAnsi="Arial" w:cs="Arial"/>
          <w:noProof/>
          <w:sz w:val="20"/>
          <w:szCs w:val="20"/>
          <w:lang w:val="en-US"/>
        </w:rPr>
        <w:t>more mOCS dependent</w:t>
      </w:r>
      <w:r w:rsidR="0053581E">
        <w:rPr>
          <w:rFonts w:ascii="Arial" w:hAnsi="Arial" w:cs="Arial"/>
          <w:noProof/>
          <w:sz w:val="20"/>
          <w:szCs w:val="20"/>
          <w:lang w:val="en-US"/>
        </w:rPr>
        <w:t xml:space="preserve"> </w:t>
      </w:r>
      <w:r w:rsidR="001D052F">
        <w:rPr>
          <w:rFonts w:ascii="Arial" w:hAnsi="Arial" w:cs="Arial"/>
          <w:noProof/>
          <w:sz w:val="20"/>
          <w:szCs w:val="20"/>
          <w:lang w:val="en-US"/>
        </w:rPr>
        <w:t>(</w:t>
      </w:r>
      <w:r w:rsidR="00ED7F49">
        <w:rPr>
          <w:rFonts w:ascii="Arial" w:hAnsi="Arial" w:cs="Arial"/>
          <w:noProof/>
          <w:sz w:val="20"/>
          <w:szCs w:val="20"/>
          <w:lang w:val="en-US"/>
        </w:rPr>
        <w:t>C</w:t>
      </w:r>
      <w:r w:rsidR="0053581E" w:rsidRPr="00214987">
        <w:rPr>
          <w:rFonts w:ascii="Arial" w:hAnsi="Arial" w:cs="Arial"/>
          <w:noProof/>
          <w:sz w:val="20"/>
          <w:szCs w:val="20"/>
          <w:lang w:val="en-US"/>
        </w:rPr>
        <w:t>ombined non-responders</w:t>
      </w:r>
      <w:r w:rsidR="002C225B">
        <w:rPr>
          <w:rFonts w:ascii="Arial" w:hAnsi="Arial" w:cs="Arial"/>
          <w:noProof/>
          <w:sz w:val="20"/>
          <w:szCs w:val="20"/>
          <w:lang w:val="en-US"/>
        </w:rPr>
        <w:t>:</w:t>
      </w:r>
      <w:r w:rsidR="001D052F" w:rsidRPr="001D052F">
        <w:t xml:space="preserve"> </w:t>
      </w:r>
      <w:r w:rsidR="001D052F">
        <w:rPr>
          <w:rFonts w:ascii="Arial" w:hAnsi="Arial" w:cs="Arial"/>
          <w:noProof/>
          <w:sz w:val="20"/>
          <w:szCs w:val="20"/>
          <w:lang w:val="en-US"/>
        </w:rPr>
        <w:t xml:space="preserve">66.7%, vs SNB: </w:t>
      </w:r>
      <w:r w:rsidR="001D052F" w:rsidRPr="001D052F">
        <w:rPr>
          <w:rFonts w:ascii="Arial" w:hAnsi="Arial" w:cs="Arial"/>
          <w:noProof/>
          <w:sz w:val="20"/>
          <w:szCs w:val="20"/>
          <w:lang w:val="en-US"/>
        </w:rPr>
        <w:t>30.6%</w:t>
      </w:r>
      <w:r w:rsidR="001D052F">
        <w:rPr>
          <w:rFonts w:ascii="Arial" w:hAnsi="Arial" w:cs="Arial"/>
          <w:noProof/>
          <w:sz w:val="20"/>
          <w:szCs w:val="20"/>
          <w:lang w:val="en-US"/>
        </w:rPr>
        <w:t>, P=0.013)</w:t>
      </w:r>
      <w:r w:rsidR="002C225B">
        <w:rPr>
          <w:rFonts w:ascii="Arial" w:hAnsi="Arial" w:cs="Arial"/>
          <w:noProof/>
          <w:sz w:val="20"/>
          <w:szCs w:val="20"/>
          <w:lang w:val="en-US"/>
        </w:rPr>
        <w:t xml:space="preserve"> </w:t>
      </w:r>
      <w:r w:rsidRPr="00214987">
        <w:rPr>
          <w:rFonts w:ascii="Arial" w:hAnsi="Arial" w:cs="Arial"/>
          <w:noProof/>
          <w:sz w:val="20"/>
          <w:szCs w:val="20"/>
          <w:lang w:val="en-US"/>
        </w:rPr>
        <w:t xml:space="preserve">, </w:t>
      </w:r>
      <w:r w:rsidR="00EF2D2B" w:rsidRPr="00214987">
        <w:rPr>
          <w:rFonts w:ascii="Arial" w:hAnsi="Arial" w:cs="Arial"/>
          <w:noProof/>
          <w:sz w:val="20"/>
          <w:szCs w:val="20"/>
          <w:lang w:val="en-US"/>
        </w:rPr>
        <w:t>more atopic</w:t>
      </w:r>
      <w:r w:rsidR="001D052F">
        <w:rPr>
          <w:rFonts w:ascii="Arial" w:hAnsi="Arial" w:cs="Arial"/>
          <w:noProof/>
          <w:sz w:val="20"/>
          <w:szCs w:val="20"/>
          <w:lang w:val="en-US"/>
        </w:rPr>
        <w:t xml:space="preserve"> (</w:t>
      </w:r>
      <w:r w:rsidR="00ED7F49">
        <w:rPr>
          <w:rFonts w:ascii="Arial" w:hAnsi="Arial" w:cs="Arial"/>
          <w:noProof/>
          <w:sz w:val="20"/>
          <w:szCs w:val="20"/>
          <w:lang w:val="en-US"/>
        </w:rPr>
        <w:t>C</w:t>
      </w:r>
      <w:r w:rsidR="001D052F" w:rsidRPr="00214987">
        <w:rPr>
          <w:rFonts w:ascii="Arial" w:hAnsi="Arial" w:cs="Arial"/>
          <w:noProof/>
          <w:sz w:val="20"/>
          <w:szCs w:val="20"/>
          <w:lang w:val="en-US"/>
        </w:rPr>
        <w:t>ombined non-responders</w:t>
      </w:r>
      <w:r w:rsidR="001D052F">
        <w:rPr>
          <w:rFonts w:ascii="Arial" w:hAnsi="Arial" w:cs="Arial"/>
          <w:noProof/>
          <w:sz w:val="20"/>
          <w:szCs w:val="20"/>
          <w:lang w:val="en-US"/>
        </w:rPr>
        <w:t>:</w:t>
      </w:r>
      <w:r w:rsidR="001D052F" w:rsidRPr="001D052F">
        <w:t xml:space="preserve"> </w:t>
      </w:r>
      <w:r w:rsidR="008D2939" w:rsidRPr="008D2939">
        <w:t>74.0%</w:t>
      </w:r>
      <w:r w:rsidR="001D052F">
        <w:rPr>
          <w:rFonts w:ascii="Arial" w:hAnsi="Arial" w:cs="Arial"/>
          <w:noProof/>
          <w:sz w:val="20"/>
          <w:szCs w:val="20"/>
          <w:lang w:val="en-US"/>
        </w:rPr>
        <w:t xml:space="preserve">, vs SNB: </w:t>
      </w:r>
      <w:r w:rsidR="00ED7F49" w:rsidRPr="00ED7F49">
        <w:rPr>
          <w:rFonts w:ascii="Arial" w:hAnsi="Arial" w:cs="Arial"/>
          <w:noProof/>
          <w:sz w:val="20"/>
          <w:szCs w:val="20"/>
          <w:lang w:val="en-US"/>
        </w:rPr>
        <w:t>52.8%</w:t>
      </w:r>
      <w:r w:rsidR="001D052F">
        <w:rPr>
          <w:rFonts w:ascii="Arial" w:hAnsi="Arial" w:cs="Arial"/>
          <w:noProof/>
          <w:sz w:val="20"/>
          <w:szCs w:val="20"/>
          <w:lang w:val="en-US"/>
        </w:rPr>
        <w:t>, P=0.0</w:t>
      </w:r>
      <w:r w:rsidR="00ED7F49">
        <w:rPr>
          <w:rFonts w:ascii="Arial" w:hAnsi="Arial" w:cs="Arial"/>
          <w:noProof/>
          <w:sz w:val="20"/>
          <w:szCs w:val="20"/>
          <w:lang w:val="en-US"/>
        </w:rPr>
        <w:t>38</w:t>
      </w:r>
      <w:r w:rsidR="001D052F">
        <w:rPr>
          <w:rFonts w:ascii="Arial" w:hAnsi="Arial" w:cs="Arial"/>
          <w:noProof/>
          <w:sz w:val="20"/>
          <w:szCs w:val="20"/>
          <w:lang w:val="en-US"/>
        </w:rPr>
        <w:t xml:space="preserve">) </w:t>
      </w:r>
      <w:r w:rsidR="00EF2D2B" w:rsidRPr="00214987">
        <w:rPr>
          <w:rFonts w:ascii="Arial" w:hAnsi="Arial" w:cs="Arial"/>
          <w:noProof/>
          <w:sz w:val="20"/>
          <w:szCs w:val="20"/>
          <w:lang w:val="en-US"/>
        </w:rPr>
        <w:t xml:space="preserve"> and </w:t>
      </w:r>
      <w:r w:rsidRPr="00214987">
        <w:rPr>
          <w:rFonts w:ascii="Arial" w:hAnsi="Arial" w:cs="Arial"/>
          <w:noProof/>
          <w:sz w:val="20"/>
          <w:szCs w:val="20"/>
          <w:lang w:val="en-US"/>
        </w:rPr>
        <w:t>had a larger pro</w:t>
      </w:r>
      <w:r w:rsidR="00EF2D2B" w:rsidRPr="00214987">
        <w:rPr>
          <w:rFonts w:ascii="Arial" w:hAnsi="Arial" w:cs="Arial"/>
          <w:noProof/>
          <w:sz w:val="20"/>
          <w:szCs w:val="20"/>
          <w:lang w:val="en-US"/>
        </w:rPr>
        <w:t xml:space="preserve">portion of multiple </w:t>
      </w:r>
      <w:r w:rsidR="00734AAE" w:rsidRPr="00214987">
        <w:rPr>
          <w:rFonts w:ascii="Arial" w:hAnsi="Arial" w:cs="Arial"/>
          <w:noProof/>
          <w:sz w:val="20"/>
          <w:szCs w:val="20"/>
          <w:lang w:val="en-US"/>
        </w:rPr>
        <w:t>AHE</w:t>
      </w:r>
      <w:r w:rsidR="00ED7F49">
        <w:rPr>
          <w:rFonts w:ascii="Arial" w:hAnsi="Arial" w:cs="Arial"/>
          <w:noProof/>
          <w:sz w:val="20"/>
          <w:szCs w:val="20"/>
          <w:lang w:val="en-US"/>
        </w:rPr>
        <w:t xml:space="preserve"> (C</w:t>
      </w:r>
      <w:r w:rsidR="00ED7F49" w:rsidRPr="00214987">
        <w:rPr>
          <w:rFonts w:ascii="Arial" w:hAnsi="Arial" w:cs="Arial"/>
          <w:noProof/>
          <w:sz w:val="20"/>
          <w:szCs w:val="20"/>
          <w:lang w:val="en-US"/>
        </w:rPr>
        <w:t>ombined non-responders</w:t>
      </w:r>
      <w:r w:rsidR="00ED7F49">
        <w:rPr>
          <w:rFonts w:ascii="Arial" w:hAnsi="Arial" w:cs="Arial"/>
          <w:noProof/>
          <w:sz w:val="20"/>
          <w:szCs w:val="20"/>
          <w:lang w:val="en-US"/>
        </w:rPr>
        <w:t>:</w:t>
      </w:r>
      <w:r w:rsidR="00ED7F49" w:rsidRPr="001D052F">
        <w:t xml:space="preserve"> </w:t>
      </w:r>
      <w:r w:rsidR="00EF05CB" w:rsidRPr="00EF05CB">
        <w:t>48%</w:t>
      </w:r>
      <w:r w:rsidR="00ED7F49" w:rsidRPr="008D2939">
        <w:t>%</w:t>
      </w:r>
      <w:r w:rsidR="00ED7F49">
        <w:rPr>
          <w:rFonts w:ascii="Arial" w:hAnsi="Arial" w:cs="Arial"/>
          <w:noProof/>
          <w:sz w:val="20"/>
          <w:szCs w:val="20"/>
          <w:lang w:val="en-US"/>
        </w:rPr>
        <w:t xml:space="preserve">, vs SNB: </w:t>
      </w:r>
      <w:r w:rsidR="00B0224C" w:rsidRPr="00B0224C">
        <w:rPr>
          <w:rFonts w:ascii="Arial" w:hAnsi="Arial" w:cs="Arial"/>
          <w:noProof/>
          <w:sz w:val="20"/>
          <w:szCs w:val="20"/>
          <w:lang w:val="en-US"/>
        </w:rPr>
        <w:t>24.3</w:t>
      </w:r>
      <w:r w:rsidR="00ED7F49" w:rsidRPr="00ED7F49">
        <w:rPr>
          <w:rFonts w:ascii="Arial" w:hAnsi="Arial" w:cs="Arial"/>
          <w:noProof/>
          <w:sz w:val="20"/>
          <w:szCs w:val="20"/>
          <w:lang w:val="en-US"/>
        </w:rPr>
        <w:t>%</w:t>
      </w:r>
      <w:r w:rsidR="00ED7F49">
        <w:rPr>
          <w:rFonts w:ascii="Arial" w:hAnsi="Arial" w:cs="Arial"/>
          <w:noProof/>
          <w:sz w:val="20"/>
          <w:szCs w:val="20"/>
          <w:lang w:val="en-US"/>
        </w:rPr>
        <w:t>, P</w:t>
      </w:r>
      <w:r w:rsidR="00B0224C">
        <w:rPr>
          <w:rFonts w:ascii="Arial" w:hAnsi="Arial" w:cs="Arial"/>
          <w:noProof/>
          <w:sz w:val="20"/>
          <w:szCs w:val="20"/>
          <w:lang w:val="en-US"/>
        </w:rPr>
        <w:t>&lt;0.001</w:t>
      </w:r>
      <w:r w:rsidR="00ED7F49">
        <w:rPr>
          <w:rFonts w:ascii="Arial" w:hAnsi="Arial" w:cs="Arial"/>
          <w:noProof/>
          <w:sz w:val="20"/>
          <w:szCs w:val="20"/>
          <w:lang w:val="en-US"/>
        </w:rPr>
        <w:t>)</w:t>
      </w:r>
      <w:r w:rsidRPr="00214987">
        <w:rPr>
          <w:rFonts w:ascii="Arial" w:hAnsi="Arial" w:cs="Arial"/>
          <w:noProof/>
          <w:sz w:val="20"/>
          <w:szCs w:val="20"/>
          <w:lang w:val="en-US"/>
        </w:rPr>
        <w:t xml:space="preserve">. </w:t>
      </w:r>
    </w:p>
    <w:p w14:paraId="5711373B" w14:textId="2322C98F" w:rsidR="00613560" w:rsidRPr="00214987" w:rsidRDefault="00613560"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Compared to both </w:t>
      </w:r>
      <w:r w:rsidR="002F1BCF" w:rsidRPr="00214987">
        <w:rPr>
          <w:rFonts w:ascii="Arial" w:hAnsi="Arial" w:cs="Arial"/>
          <w:noProof/>
          <w:sz w:val="20"/>
          <w:szCs w:val="20"/>
          <w:lang w:val="en-US"/>
        </w:rPr>
        <w:t>biologic</w:t>
      </w:r>
      <w:r w:rsidRPr="00214987">
        <w:rPr>
          <w:rFonts w:ascii="Arial" w:hAnsi="Arial" w:cs="Arial"/>
          <w:noProof/>
          <w:sz w:val="20"/>
          <w:szCs w:val="20"/>
          <w:lang w:val="en-US"/>
        </w:rPr>
        <w:t xml:space="preserve"> responders, </w:t>
      </w:r>
      <w:r w:rsidR="009C1448" w:rsidRPr="00214987">
        <w:rPr>
          <w:rFonts w:ascii="Arial" w:hAnsi="Arial" w:cs="Arial"/>
          <w:noProof/>
          <w:sz w:val="20"/>
          <w:szCs w:val="20"/>
          <w:lang w:val="en-US"/>
        </w:rPr>
        <w:t>combined non-responders</w:t>
      </w:r>
      <w:r w:rsidR="00EF2D2B" w:rsidRPr="00214987">
        <w:rPr>
          <w:rFonts w:ascii="Arial" w:hAnsi="Arial" w:cs="Arial"/>
          <w:noProof/>
          <w:sz w:val="20"/>
          <w:szCs w:val="20"/>
          <w:lang w:val="en-US"/>
        </w:rPr>
        <w:t xml:space="preserve"> </w:t>
      </w:r>
      <w:r w:rsidRPr="00214987">
        <w:rPr>
          <w:rFonts w:ascii="Arial" w:hAnsi="Arial" w:cs="Arial"/>
          <w:noProof/>
          <w:sz w:val="20"/>
          <w:szCs w:val="20"/>
          <w:lang w:val="en-US"/>
        </w:rPr>
        <w:t xml:space="preserve">had significantly worse </w:t>
      </w:r>
      <w:r w:rsidR="00FE006F" w:rsidRPr="00214987">
        <w:rPr>
          <w:rFonts w:ascii="Arial" w:hAnsi="Arial" w:cs="Arial"/>
          <w:noProof/>
          <w:sz w:val="20"/>
          <w:szCs w:val="20"/>
          <w:lang w:val="en-US"/>
        </w:rPr>
        <w:t xml:space="preserve">baseline </w:t>
      </w:r>
      <w:r w:rsidRPr="00214987">
        <w:rPr>
          <w:rFonts w:ascii="Arial" w:hAnsi="Arial" w:cs="Arial"/>
          <w:noProof/>
          <w:sz w:val="20"/>
          <w:szCs w:val="20"/>
          <w:lang w:val="en-US"/>
        </w:rPr>
        <w:t xml:space="preserve">ACQ6 </w:t>
      </w:r>
      <w:r w:rsidR="00311BA6">
        <w:rPr>
          <w:rFonts w:ascii="Arial" w:hAnsi="Arial" w:cs="Arial"/>
          <w:noProof/>
          <w:sz w:val="20"/>
          <w:szCs w:val="20"/>
          <w:lang w:val="en-US"/>
        </w:rPr>
        <w:t xml:space="preserve">[Median(IQR) </w:t>
      </w:r>
      <w:r w:rsidR="006A5D53">
        <w:rPr>
          <w:rFonts w:ascii="Arial" w:hAnsi="Arial" w:cs="Arial"/>
          <w:noProof/>
          <w:sz w:val="20"/>
          <w:szCs w:val="20"/>
          <w:lang w:val="en-US"/>
        </w:rPr>
        <w:t xml:space="preserve">Mepolizumab responders: </w:t>
      </w:r>
      <w:r w:rsidR="001E5F2B" w:rsidRPr="001E5F2B">
        <w:rPr>
          <w:rFonts w:ascii="Arial" w:hAnsi="Arial" w:cs="Arial"/>
          <w:noProof/>
          <w:sz w:val="20"/>
          <w:szCs w:val="20"/>
          <w:lang w:val="en-US"/>
        </w:rPr>
        <w:t xml:space="preserve">2.33 (2.27) </w:t>
      </w:r>
      <w:r w:rsidR="001E5F2B">
        <w:rPr>
          <w:rFonts w:ascii="Arial" w:hAnsi="Arial" w:cs="Arial"/>
          <w:noProof/>
          <w:sz w:val="20"/>
          <w:szCs w:val="20"/>
          <w:lang w:val="en-US"/>
        </w:rPr>
        <w:t xml:space="preserve">vs </w:t>
      </w:r>
      <w:r w:rsidR="00B10A7D">
        <w:rPr>
          <w:rFonts w:ascii="Arial" w:hAnsi="Arial" w:cs="Arial"/>
          <w:noProof/>
          <w:sz w:val="20"/>
          <w:szCs w:val="20"/>
          <w:lang w:val="en-US"/>
        </w:rPr>
        <w:t>C</w:t>
      </w:r>
      <w:r w:rsidR="00B10A7D" w:rsidRPr="00214987">
        <w:rPr>
          <w:rFonts w:ascii="Arial" w:hAnsi="Arial" w:cs="Arial"/>
          <w:noProof/>
          <w:sz w:val="20"/>
          <w:szCs w:val="20"/>
          <w:lang w:val="en-US"/>
        </w:rPr>
        <w:t>ombined non-responders</w:t>
      </w:r>
      <w:r w:rsidR="00B10A7D">
        <w:rPr>
          <w:rFonts w:ascii="Arial" w:hAnsi="Arial" w:cs="Arial"/>
          <w:noProof/>
          <w:sz w:val="20"/>
          <w:szCs w:val="20"/>
          <w:lang w:val="en-US"/>
        </w:rPr>
        <w:t>:</w:t>
      </w:r>
      <w:r w:rsidR="00B10A7D" w:rsidRPr="00214987">
        <w:rPr>
          <w:rFonts w:ascii="Arial" w:hAnsi="Arial" w:cs="Arial"/>
          <w:noProof/>
          <w:sz w:val="20"/>
          <w:szCs w:val="20"/>
          <w:lang w:val="en-US"/>
        </w:rPr>
        <w:t xml:space="preserve"> </w:t>
      </w:r>
      <w:r w:rsidR="00B10A7D" w:rsidRPr="00B10A7D">
        <w:rPr>
          <w:rFonts w:ascii="Arial" w:hAnsi="Arial" w:cs="Arial"/>
          <w:noProof/>
          <w:sz w:val="20"/>
          <w:szCs w:val="20"/>
          <w:lang w:val="en-US"/>
        </w:rPr>
        <w:t>3.67 (1.26)</w:t>
      </w:r>
      <w:r w:rsidR="00B10A7D">
        <w:rPr>
          <w:rFonts w:ascii="Arial" w:hAnsi="Arial" w:cs="Arial"/>
          <w:noProof/>
          <w:sz w:val="20"/>
          <w:szCs w:val="20"/>
          <w:lang w:val="en-US"/>
        </w:rPr>
        <w:t>, P</w:t>
      </w:r>
      <w:r w:rsidR="00475BC4">
        <w:rPr>
          <w:rFonts w:ascii="Arial" w:hAnsi="Arial" w:cs="Arial"/>
          <w:noProof/>
          <w:sz w:val="20"/>
          <w:szCs w:val="20"/>
          <w:lang w:val="en-US"/>
        </w:rPr>
        <w:t xml:space="preserve">&lt;0.001] </w:t>
      </w:r>
      <w:r w:rsidR="005902C3">
        <w:rPr>
          <w:rFonts w:ascii="Arial" w:hAnsi="Arial" w:cs="Arial"/>
          <w:noProof/>
          <w:sz w:val="20"/>
          <w:szCs w:val="20"/>
          <w:lang w:val="en-US"/>
        </w:rPr>
        <w:t>;</w:t>
      </w:r>
      <w:r w:rsidR="00475BC4">
        <w:rPr>
          <w:rFonts w:ascii="Arial" w:hAnsi="Arial" w:cs="Arial"/>
          <w:noProof/>
          <w:sz w:val="20"/>
          <w:szCs w:val="20"/>
          <w:lang w:val="en-US"/>
        </w:rPr>
        <w:t xml:space="preserve"> </w:t>
      </w:r>
      <w:r w:rsidR="00B10A7D" w:rsidRPr="00B10A7D">
        <w:rPr>
          <w:rFonts w:ascii="Arial" w:hAnsi="Arial" w:cs="Arial"/>
          <w:noProof/>
          <w:sz w:val="20"/>
          <w:szCs w:val="20"/>
          <w:lang w:val="en-US"/>
        </w:rPr>
        <w:t xml:space="preserve"> </w:t>
      </w:r>
      <w:r w:rsidR="00475BC4">
        <w:rPr>
          <w:rFonts w:ascii="Arial" w:hAnsi="Arial" w:cs="Arial"/>
          <w:noProof/>
          <w:sz w:val="20"/>
          <w:szCs w:val="20"/>
          <w:lang w:val="en-US"/>
        </w:rPr>
        <w:t xml:space="preserve">[Median(IQR) Omalizumab responders: </w:t>
      </w:r>
      <w:r w:rsidR="005902C3" w:rsidRPr="005902C3">
        <w:rPr>
          <w:rFonts w:ascii="Arial" w:hAnsi="Arial" w:cs="Arial"/>
          <w:noProof/>
          <w:sz w:val="20"/>
          <w:szCs w:val="20"/>
          <w:lang w:val="en-US"/>
        </w:rPr>
        <w:t>3 (1.83)</w:t>
      </w:r>
      <w:r w:rsidR="005902C3">
        <w:rPr>
          <w:rFonts w:ascii="Arial" w:hAnsi="Arial" w:cs="Arial"/>
          <w:noProof/>
          <w:sz w:val="20"/>
          <w:szCs w:val="20"/>
          <w:lang w:val="en-US"/>
        </w:rPr>
        <w:t xml:space="preserve"> </w:t>
      </w:r>
      <w:r w:rsidR="00475BC4">
        <w:rPr>
          <w:rFonts w:ascii="Arial" w:hAnsi="Arial" w:cs="Arial"/>
          <w:noProof/>
          <w:sz w:val="20"/>
          <w:szCs w:val="20"/>
          <w:lang w:val="en-US"/>
        </w:rPr>
        <w:t>vs C</w:t>
      </w:r>
      <w:r w:rsidR="00475BC4" w:rsidRPr="00214987">
        <w:rPr>
          <w:rFonts w:ascii="Arial" w:hAnsi="Arial" w:cs="Arial"/>
          <w:noProof/>
          <w:sz w:val="20"/>
          <w:szCs w:val="20"/>
          <w:lang w:val="en-US"/>
        </w:rPr>
        <w:t>ombined non-responders</w:t>
      </w:r>
      <w:r w:rsidR="00475BC4">
        <w:rPr>
          <w:rFonts w:ascii="Arial" w:hAnsi="Arial" w:cs="Arial"/>
          <w:noProof/>
          <w:sz w:val="20"/>
          <w:szCs w:val="20"/>
          <w:lang w:val="en-US"/>
        </w:rPr>
        <w:t>:</w:t>
      </w:r>
      <w:r w:rsidR="00475BC4" w:rsidRPr="00214987">
        <w:rPr>
          <w:rFonts w:ascii="Arial" w:hAnsi="Arial" w:cs="Arial"/>
          <w:noProof/>
          <w:sz w:val="20"/>
          <w:szCs w:val="20"/>
          <w:lang w:val="en-US"/>
        </w:rPr>
        <w:t xml:space="preserve"> </w:t>
      </w:r>
      <w:r w:rsidR="00475BC4" w:rsidRPr="00B10A7D">
        <w:rPr>
          <w:rFonts w:ascii="Arial" w:hAnsi="Arial" w:cs="Arial"/>
          <w:noProof/>
          <w:sz w:val="20"/>
          <w:szCs w:val="20"/>
          <w:lang w:val="en-US"/>
        </w:rPr>
        <w:t>3.67 (1.26)</w:t>
      </w:r>
      <w:r w:rsidR="00475BC4">
        <w:rPr>
          <w:rFonts w:ascii="Arial" w:hAnsi="Arial" w:cs="Arial"/>
          <w:noProof/>
          <w:sz w:val="20"/>
          <w:szCs w:val="20"/>
          <w:lang w:val="en-US"/>
        </w:rPr>
        <w:t>, P</w:t>
      </w:r>
      <w:r w:rsidR="005902C3">
        <w:rPr>
          <w:rFonts w:ascii="Arial" w:hAnsi="Arial" w:cs="Arial"/>
          <w:noProof/>
          <w:sz w:val="20"/>
          <w:szCs w:val="20"/>
          <w:lang w:val="en-US"/>
        </w:rPr>
        <w:t>=0.036</w:t>
      </w:r>
      <w:r w:rsidR="00475BC4">
        <w:rPr>
          <w:rFonts w:ascii="Arial" w:hAnsi="Arial" w:cs="Arial"/>
          <w:noProof/>
          <w:sz w:val="20"/>
          <w:szCs w:val="20"/>
          <w:lang w:val="en-US"/>
        </w:rPr>
        <w:t xml:space="preserve">] </w:t>
      </w:r>
      <w:r w:rsidRPr="00214987">
        <w:rPr>
          <w:rFonts w:ascii="Arial" w:hAnsi="Arial" w:cs="Arial"/>
          <w:noProof/>
          <w:sz w:val="20"/>
          <w:szCs w:val="20"/>
          <w:lang w:val="en-US"/>
        </w:rPr>
        <w:t xml:space="preserve">and </w:t>
      </w:r>
      <w:r w:rsidR="00163A69" w:rsidRPr="00214987">
        <w:rPr>
          <w:rFonts w:ascii="Arial" w:hAnsi="Arial" w:cs="Arial"/>
          <w:noProof/>
          <w:sz w:val="20"/>
          <w:szCs w:val="20"/>
          <w:lang w:val="en-US"/>
        </w:rPr>
        <w:lastRenderedPageBreak/>
        <w:t>greater prevalence of</w:t>
      </w:r>
      <w:r w:rsidRPr="00214987">
        <w:rPr>
          <w:rFonts w:ascii="Arial" w:hAnsi="Arial" w:cs="Arial"/>
          <w:noProof/>
          <w:sz w:val="20"/>
          <w:szCs w:val="20"/>
          <w:lang w:val="en-US"/>
        </w:rPr>
        <w:t xml:space="preserve"> </w:t>
      </w:r>
      <w:r w:rsidR="003A1769" w:rsidRPr="00214987">
        <w:rPr>
          <w:rFonts w:ascii="Arial" w:hAnsi="Arial" w:cs="Arial"/>
          <w:noProof/>
          <w:sz w:val="20"/>
          <w:szCs w:val="20"/>
          <w:lang w:val="en-US"/>
        </w:rPr>
        <w:t>anxiety</w:t>
      </w:r>
      <w:r w:rsidR="005902C3">
        <w:rPr>
          <w:rFonts w:ascii="Arial" w:hAnsi="Arial" w:cs="Arial"/>
          <w:noProof/>
          <w:sz w:val="20"/>
          <w:szCs w:val="20"/>
          <w:lang w:val="en-US"/>
        </w:rPr>
        <w:t xml:space="preserve"> [Median(IQR) Mepolizumab responders: </w:t>
      </w:r>
      <w:r w:rsidR="003A274E" w:rsidRPr="003A274E">
        <w:rPr>
          <w:rFonts w:ascii="Arial" w:hAnsi="Arial" w:cs="Arial"/>
          <w:noProof/>
          <w:sz w:val="20"/>
          <w:szCs w:val="20"/>
          <w:lang w:val="en-US"/>
        </w:rPr>
        <w:t>20.0%</w:t>
      </w:r>
      <w:r w:rsidR="003A274E">
        <w:rPr>
          <w:rFonts w:ascii="Arial" w:hAnsi="Arial" w:cs="Arial"/>
          <w:noProof/>
          <w:sz w:val="20"/>
          <w:szCs w:val="20"/>
          <w:lang w:val="en-US"/>
        </w:rPr>
        <w:t xml:space="preserve"> </w:t>
      </w:r>
      <w:r w:rsidR="005902C3">
        <w:rPr>
          <w:rFonts w:ascii="Arial" w:hAnsi="Arial" w:cs="Arial"/>
          <w:noProof/>
          <w:sz w:val="20"/>
          <w:szCs w:val="20"/>
          <w:lang w:val="en-US"/>
        </w:rPr>
        <w:t>vs C</w:t>
      </w:r>
      <w:r w:rsidR="005902C3" w:rsidRPr="00214987">
        <w:rPr>
          <w:rFonts w:ascii="Arial" w:hAnsi="Arial" w:cs="Arial"/>
          <w:noProof/>
          <w:sz w:val="20"/>
          <w:szCs w:val="20"/>
          <w:lang w:val="en-US"/>
        </w:rPr>
        <w:t>ombined non-responders</w:t>
      </w:r>
      <w:r w:rsidR="005902C3">
        <w:rPr>
          <w:rFonts w:ascii="Arial" w:hAnsi="Arial" w:cs="Arial"/>
          <w:noProof/>
          <w:sz w:val="20"/>
          <w:szCs w:val="20"/>
          <w:lang w:val="en-US"/>
        </w:rPr>
        <w:t>:</w:t>
      </w:r>
      <w:r w:rsidR="005902C3" w:rsidRPr="00214987">
        <w:rPr>
          <w:rFonts w:ascii="Arial" w:hAnsi="Arial" w:cs="Arial"/>
          <w:noProof/>
          <w:sz w:val="20"/>
          <w:szCs w:val="20"/>
          <w:lang w:val="en-US"/>
        </w:rPr>
        <w:t xml:space="preserve"> </w:t>
      </w:r>
      <w:r w:rsidR="003A7F2B" w:rsidRPr="003A7F2B">
        <w:rPr>
          <w:rFonts w:ascii="Arial" w:hAnsi="Arial" w:cs="Arial"/>
          <w:noProof/>
          <w:sz w:val="20"/>
          <w:szCs w:val="20"/>
          <w:lang w:val="en-US"/>
        </w:rPr>
        <w:t>50%</w:t>
      </w:r>
      <w:r w:rsidR="005902C3">
        <w:rPr>
          <w:rFonts w:ascii="Arial" w:hAnsi="Arial" w:cs="Arial"/>
          <w:noProof/>
          <w:sz w:val="20"/>
          <w:szCs w:val="20"/>
          <w:lang w:val="en-US"/>
        </w:rPr>
        <w:t>, P</w:t>
      </w:r>
      <w:r w:rsidR="003A7F2B">
        <w:rPr>
          <w:rFonts w:ascii="Arial" w:hAnsi="Arial" w:cs="Arial"/>
          <w:noProof/>
          <w:sz w:val="20"/>
          <w:szCs w:val="20"/>
          <w:lang w:val="en-US"/>
        </w:rPr>
        <w:t>=0.011</w:t>
      </w:r>
      <w:r w:rsidR="005902C3">
        <w:rPr>
          <w:rFonts w:ascii="Arial" w:hAnsi="Arial" w:cs="Arial"/>
          <w:noProof/>
          <w:sz w:val="20"/>
          <w:szCs w:val="20"/>
          <w:lang w:val="en-US"/>
        </w:rPr>
        <w:t>] ;</w:t>
      </w:r>
      <w:r w:rsidR="005902C3" w:rsidRPr="00B10A7D">
        <w:rPr>
          <w:rFonts w:ascii="Arial" w:hAnsi="Arial" w:cs="Arial"/>
          <w:noProof/>
          <w:sz w:val="20"/>
          <w:szCs w:val="20"/>
          <w:lang w:val="en-US"/>
        </w:rPr>
        <w:t xml:space="preserve"> </w:t>
      </w:r>
      <w:r w:rsidR="005902C3">
        <w:rPr>
          <w:rFonts w:ascii="Arial" w:hAnsi="Arial" w:cs="Arial"/>
          <w:noProof/>
          <w:sz w:val="20"/>
          <w:szCs w:val="20"/>
          <w:lang w:val="en-US"/>
        </w:rPr>
        <w:t xml:space="preserve">[Median(IQR) Omalizumab responders: </w:t>
      </w:r>
      <w:r w:rsidR="00F6536A" w:rsidRPr="00F6536A">
        <w:rPr>
          <w:rFonts w:ascii="Arial" w:hAnsi="Arial" w:cs="Arial"/>
          <w:noProof/>
          <w:sz w:val="20"/>
          <w:szCs w:val="20"/>
          <w:lang w:val="en-US"/>
        </w:rPr>
        <w:t xml:space="preserve">26.6% </w:t>
      </w:r>
      <w:r w:rsidR="005902C3">
        <w:rPr>
          <w:rFonts w:ascii="Arial" w:hAnsi="Arial" w:cs="Arial"/>
          <w:noProof/>
          <w:sz w:val="20"/>
          <w:szCs w:val="20"/>
          <w:lang w:val="en-US"/>
        </w:rPr>
        <w:t>vs C</w:t>
      </w:r>
      <w:r w:rsidR="005902C3" w:rsidRPr="00214987">
        <w:rPr>
          <w:rFonts w:ascii="Arial" w:hAnsi="Arial" w:cs="Arial"/>
          <w:noProof/>
          <w:sz w:val="20"/>
          <w:szCs w:val="20"/>
          <w:lang w:val="en-US"/>
        </w:rPr>
        <w:t>ombined non-responders</w:t>
      </w:r>
      <w:r w:rsidR="005902C3">
        <w:rPr>
          <w:rFonts w:ascii="Arial" w:hAnsi="Arial" w:cs="Arial"/>
          <w:noProof/>
          <w:sz w:val="20"/>
          <w:szCs w:val="20"/>
          <w:lang w:val="en-US"/>
        </w:rPr>
        <w:t>:</w:t>
      </w:r>
      <w:r w:rsidR="005902C3" w:rsidRPr="00214987">
        <w:rPr>
          <w:rFonts w:ascii="Arial" w:hAnsi="Arial" w:cs="Arial"/>
          <w:noProof/>
          <w:sz w:val="20"/>
          <w:szCs w:val="20"/>
          <w:lang w:val="en-US"/>
        </w:rPr>
        <w:t xml:space="preserve"> </w:t>
      </w:r>
      <w:r w:rsidR="003A7F2B" w:rsidRPr="003A7F2B">
        <w:rPr>
          <w:rFonts w:ascii="Arial" w:hAnsi="Arial" w:cs="Arial"/>
          <w:noProof/>
          <w:sz w:val="20"/>
          <w:szCs w:val="20"/>
          <w:lang w:val="en-US"/>
        </w:rPr>
        <w:t>50%</w:t>
      </w:r>
      <w:r w:rsidR="005902C3">
        <w:rPr>
          <w:rFonts w:ascii="Arial" w:hAnsi="Arial" w:cs="Arial"/>
          <w:noProof/>
          <w:sz w:val="20"/>
          <w:szCs w:val="20"/>
          <w:lang w:val="en-US"/>
        </w:rPr>
        <w:t>, P=0.0</w:t>
      </w:r>
      <w:r w:rsidR="003A7F2B">
        <w:rPr>
          <w:rFonts w:ascii="Arial" w:hAnsi="Arial" w:cs="Arial"/>
          <w:noProof/>
          <w:sz w:val="20"/>
          <w:szCs w:val="20"/>
          <w:lang w:val="en-US"/>
        </w:rPr>
        <w:t>27</w:t>
      </w:r>
      <w:r w:rsidR="005902C3">
        <w:rPr>
          <w:rFonts w:ascii="Arial" w:hAnsi="Arial" w:cs="Arial"/>
          <w:noProof/>
          <w:sz w:val="20"/>
          <w:szCs w:val="20"/>
          <w:lang w:val="en-US"/>
        </w:rPr>
        <w:t>]</w:t>
      </w:r>
      <w:r w:rsidRPr="00214987">
        <w:rPr>
          <w:rFonts w:ascii="Arial" w:hAnsi="Arial" w:cs="Arial"/>
          <w:noProof/>
          <w:sz w:val="20"/>
          <w:szCs w:val="20"/>
          <w:lang w:val="en-US"/>
        </w:rPr>
        <w:t xml:space="preserve">. </w:t>
      </w:r>
      <w:r w:rsidR="00D056E4" w:rsidRPr="00214987">
        <w:rPr>
          <w:rFonts w:ascii="Arial" w:hAnsi="Arial" w:cs="Arial"/>
          <w:noProof/>
          <w:sz w:val="20"/>
          <w:szCs w:val="20"/>
          <w:lang w:val="en-US"/>
        </w:rPr>
        <w:t>In comparison with</w:t>
      </w:r>
      <w:r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Pr="00214987">
        <w:rPr>
          <w:rFonts w:ascii="Arial" w:hAnsi="Arial" w:cs="Arial"/>
          <w:noProof/>
          <w:sz w:val="20"/>
          <w:szCs w:val="20"/>
          <w:lang w:val="en-US"/>
        </w:rPr>
        <w:t xml:space="preserve"> responder</w:t>
      </w:r>
      <w:r w:rsidR="002F1BCF" w:rsidRPr="00214987">
        <w:rPr>
          <w:rFonts w:ascii="Arial" w:hAnsi="Arial" w:cs="Arial"/>
          <w:noProof/>
          <w:sz w:val="20"/>
          <w:szCs w:val="20"/>
          <w:lang w:val="en-US"/>
        </w:rPr>
        <w:t>s</w:t>
      </w:r>
      <w:r w:rsidRPr="00214987">
        <w:rPr>
          <w:rFonts w:ascii="Arial" w:hAnsi="Arial" w:cs="Arial"/>
          <w:noProof/>
          <w:sz w:val="20"/>
          <w:szCs w:val="20"/>
          <w:lang w:val="en-US"/>
        </w:rPr>
        <w:t>, a significantl</w:t>
      </w:r>
      <w:r w:rsidR="00286A3B" w:rsidRPr="00214987">
        <w:rPr>
          <w:rFonts w:ascii="Arial" w:hAnsi="Arial" w:cs="Arial"/>
          <w:noProof/>
          <w:sz w:val="20"/>
          <w:szCs w:val="20"/>
          <w:lang w:val="en-US"/>
        </w:rPr>
        <w:t xml:space="preserve">y larger proportion of </w:t>
      </w:r>
      <w:r w:rsidR="005C48DE">
        <w:rPr>
          <w:rFonts w:ascii="Arial" w:hAnsi="Arial" w:cs="Arial"/>
          <w:noProof/>
          <w:sz w:val="20"/>
          <w:szCs w:val="20"/>
          <w:lang w:val="en-US"/>
        </w:rPr>
        <w:t>C</w:t>
      </w:r>
      <w:r w:rsidR="009C1448" w:rsidRPr="00214987">
        <w:rPr>
          <w:rFonts w:ascii="Arial" w:hAnsi="Arial" w:cs="Arial"/>
          <w:noProof/>
          <w:sz w:val="20"/>
          <w:szCs w:val="20"/>
          <w:lang w:val="en-US"/>
        </w:rPr>
        <w:t xml:space="preserve">ombined non-responders </w:t>
      </w:r>
      <w:r w:rsidRPr="00214987">
        <w:rPr>
          <w:rFonts w:ascii="Arial" w:hAnsi="Arial" w:cs="Arial"/>
          <w:noProof/>
          <w:sz w:val="20"/>
          <w:szCs w:val="20"/>
          <w:lang w:val="en-US"/>
        </w:rPr>
        <w:t>w</w:t>
      </w:r>
      <w:r w:rsidR="009C1448">
        <w:rPr>
          <w:rFonts w:ascii="Arial" w:hAnsi="Arial" w:cs="Arial"/>
          <w:noProof/>
          <w:sz w:val="20"/>
          <w:szCs w:val="20"/>
          <w:lang w:val="en-US"/>
        </w:rPr>
        <w:t>as</w:t>
      </w:r>
      <w:r w:rsidRPr="00214987">
        <w:rPr>
          <w:rFonts w:ascii="Arial" w:hAnsi="Arial" w:cs="Arial"/>
          <w:noProof/>
          <w:sz w:val="20"/>
          <w:szCs w:val="20"/>
          <w:lang w:val="en-US"/>
        </w:rPr>
        <w:t xml:space="preserve"> female</w:t>
      </w:r>
      <w:r w:rsidR="003A274E">
        <w:rPr>
          <w:rFonts w:ascii="Arial" w:hAnsi="Arial" w:cs="Arial"/>
          <w:noProof/>
          <w:sz w:val="20"/>
          <w:szCs w:val="20"/>
          <w:lang w:val="en-US"/>
        </w:rPr>
        <w:t xml:space="preserve"> </w:t>
      </w:r>
      <w:r w:rsidR="001C140D">
        <w:rPr>
          <w:rFonts w:ascii="Arial" w:hAnsi="Arial" w:cs="Arial"/>
          <w:noProof/>
          <w:sz w:val="20"/>
          <w:szCs w:val="20"/>
          <w:lang w:val="en-US"/>
        </w:rPr>
        <w:t>(</w:t>
      </w:r>
      <w:r w:rsidR="003A274E">
        <w:rPr>
          <w:rFonts w:ascii="Arial" w:hAnsi="Arial" w:cs="Arial"/>
          <w:noProof/>
          <w:sz w:val="20"/>
          <w:szCs w:val="20"/>
          <w:lang w:val="en-US"/>
        </w:rPr>
        <w:t>Mepolizumab responders</w:t>
      </w:r>
      <w:r w:rsidR="00226C2A">
        <w:rPr>
          <w:rFonts w:ascii="Arial" w:hAnsi="Arial" w:cs="Arial"/>
          <w:noProof/>
          <w:sz w:val="20"/>
          <w:szCs w:val="20"/>
          <w:lang w:val="en-US"/>
        </w:rPr>
        <w:t>, male proportion</w:t>
      </w:r>
      <w:r w:rsidR="003A274E">
        <w:rPr>
          <w:rFonts w:ascii="Arial" w:hAnsi="Arial" w:cs="Arial"/>
          <w:noProof/>
          <w:sz w:val="20"/>
          <w:szCs w:val="20"/>
          <w:lang w:val="en-US"/>
        </w:rPr>
        <w:t xml:space="preserve">: </w:t>
      </w:r>
      <w:r w:rsidR="00A6179B" w:rsidRPr="00A6179B">
        <w:rPr>
          <w:rFonts w:ascii="Arial" w:hAnsi="Arial" w:cs="Arial"/>
          <w:noProof/>
          <w:sz w:val="20"/>
          <w:szCs w:val="20"/>
          <w:lang w:val="en-US"/>
        </w:rPr>
        <w:t xml:space="preserve">58.1% </w:t>
      </w:r>
      <w:r w:rsidR="003A274E">
        <w:rPr>
          <w:rFonts w:ascii="Arial" w:hAnsi="Arial" w:cs="Arial"/>
          <w:noProof/>
          <w:sz w:val="20"/>
          <w:szCs w:val="20"/>
          <w:lang w:val="en-US"/>
        </w:rPr>
        <w:t>vs C</w:t>
      </w:r>
      <w:r w:rsidR="003A274E" w:rsidRPr="00214987">
        <w:rPr>
          <w:rFonts w:ascii="Arial" w:hAnsi="Arial" w:cs="Arial"/>
          <w:noProof/>
          <w:sz w:val="20"/>
          <w:szCs w:val="20"/>
          <w:lang w:val="en-US"/>
        </w:rPr>
        <w:t>ombined non-responders</w:t>
      </w:r>
      <w:r w:rsidR="003A274E">
        <w:rPr>
          <w:rFonts w:ascii="Arial" w:hAnsi="Arial" w:cs="Arial"/>
          <w:noProof/>
          <w:sz w:val="20"/>
          <w:szCs w:val="20"/>
          <w:lang w:val="en-US"/>
        </w:rPr>
        <w:t>:</w:t>
      </w:r>
      <w:r w:rsidR="003A274E" w:rsidRPr="00214987">
        <w:rPr>
          <w:rFonts w:ascii="Arial" w:hAnsi="Arial" w:cs="Arial"/>
          <w:noProof/>
          <w:sz w:val="20"/>
          <w:szCs w:val="20"/>
          <w:lang w:val="en-US"/>
        </w:rPr>
        <w:t xml:space="preserve"> </w:t>
      </w:r>
      <w:r w:rsidR="00085CE8" w:rsidRPr="00085CE8">
        <w:rPr>
          <w:rFonts w:ascii="Arial" w:hAnsi="Arial" w:cs="Arial"/>
          <w:noProof/>
          <w:sz w:val="20"/>
          <w:szCs w:val="20"/>
          <w:lang w:val="en-US"/>
        </w:rPr>
        <w:t xml:space="preserve">33.3% </w:t>
      </w:r>
      <w:r w:rsidR="003A274E">
        <w:rPr>
          <w:rFonts w:ascii="Arial" w:hAnsi="Arial" w:cs="Arial"/>
          <w:noProof/>
          <w:sz w:val="20"/>
          <w:szCs w:val="20"/>
          <w:lang w:val="en-US"/>
        </w:rPr>
        <w:t>, P=0.0</w:t>
      </w:r>
      <w:r w:rsidR="001C140D">
        <w:rPr>
          <w:rFonts w:ascii="Arial" w:hAnsi="Arial" w:cs="Arial"/>
          <w:noProof/>
          <w:sz w:val="20"/>
          <w:szCs w:val="20"/>
          <w:lang w:val="en-US"/>
        </w:rPr>
        <w:t>43)</w:t>
      </w:r>
      <w:r w:rsidRPr="00214987">
        <w:rPr>
          <w:rFonts w:ascii="Arial" w:hAnsi="Arial" w:cs="Arial"/>
          <w:noProof/>
          <w:sz w:val="20"/>
          <w:szCs w:val="20"/>
          <w:lang w:val="en-US"/>
        </w:rPr>
        <w:t xml:space="preserve">, had </w:t>
      </w:r>
      <w:r w:rsidR="003A1769" w:rsidRPr="00214987">
        <w:rPr>
          <w:rFonts w:ascii="Arial" w:hAnsi="Arial" w:cs="Arial"/>
          <w:noProof/>
          <w:sz w:val="20"/>
          <w:szCs w:val="20"/>
          <w:lang w:val="en-US"/>
        </w:rPr>
        <w:t>depression</w:t>
      </w:r>
      <w:r w:rsidR="00550A13">
        <w:rPr>
          <w:rFonts w:ascii="Arial" w:hAnsi="Arial" w:cs="Arial"/>
          <w:noProof/>
          <w:sz w:val="20"/>
          <w:szCs w:val="20"/>
          <w:lang w:val="en-US"/>
        </w:rPr>
        <w:t xml:space="preserve"> </w:t>
      </w:r>
      <w:r w:rsidR="001C140D">
        <w:rPr>
          <w:rFonts w:ascii="Arial" w:hAnsi="Arial" w:cs="Arial"/>
          <w:noProof/>
          <w:sz w:val="20"/>
          <w:szCs w:val="20"/>
          <w:lang w:val="en-US"/>
        </w:rPr>
        <w:t>(</w:t>
      </w:r>
      <w:r w:rsidR="00550A13">
        <w:rPr>
          <w:rFonts w:ascii="Arial" w:hAnsi="Arial" w:cs="Arial"/>
          <w:noProof/>
          <w:sz w:val="20"/>
          <w:szCs w:val="20"/>
          <w:lang w:val="en-US"/>
        </w:rPr>
        <w:t xml:space="preserve">Mepolizumab responders: </w:t>
      </w:r>
      <w:r w:rsidR="009A024D" w:rsidRPr="00052E7D">
        <w:rPr>
          <w:rFonts w:ascii="Arial" w:hAnsi="Arial" w:cs="Arial"/>
          <w:noProof/>
          <w:sz w:val="20"/>
          <w:szCs w:val="20"/>
          <w:lang w:val="en-US"/>
        </w:rPr>
        <w:t xml:space="preserve">19.1% </w:t>
      </w:r>
      <w:r w:rsidR="00550A13">
        <w:rPr>
          <w:rFonts w:ascii="Arial" w:hAnsi="Arial" w:cs="Arial"/>
          <w:noProof/>
          <w:sz w:val="20"/>
          <w:szCs w:val="20"/>
          <w:lang w:val="en-US"/>
        </w:rPr>
        <w:t>vs C</w:t>
      </w:r>
      <w:r w:rsidR="00550A13" w:rsidRPr="00214987">
        <w:rPr>
          <w:rFonts w:ascii="Arial" w:hAnsi="Arial" w:cs="Arial"/>
          <w:noProof/>
          <w:sz w:val="20"/>
          <w:szCs w:val="20"/>
          <w:lang w:val="en-US"/>
        </w:rPr>
        <w:t>ombined non-responders</w:t>
      </w:r>
      <w:r w:rsidR="00550A13">
        <w:rPr>
          <w:rFonts w:ascii="Arial" w:hAnsi="Arial" w:cs="Arial"/>
          <w:noProof/>
          <w:sz w:val="20"/>
          <w:szCs w:val="20"/>
          <w:lang w:val="en-US"/>
        </w:rPr>
        <w:t>:</w:t>
      </w:r>
      <w:r w:rsidR="00550A13" w:rsidRPr="00214987">
        <w:rPr>
          <w:rFonts w:ascii="Arial" w:hAnsi="Arial" w:cs="Arial"/>
          <w:noProof/>
          <w:sz w:val="20"/>
          <w:szCs w:val="20"/>
          <w:lang w:val="en-US"/>
        </w:rPr>
        <w:t xml:space="preserve"> </w:t>
      </w:r>
      <w:r w:rsidR="001C140D" w:rsidRPr="001C140D">
        <w:rPr>
          <w:rFonts w:ascii="Arial" w:hAnsi="Arial" w:cs="Arial"/>
          <w:noProof/>
          <w:sz w:val="20"/>
          <w:szCs w:val="20"/>
          <w:lang w:val="en-US"/>
        </w:rPr>
        <w:t>48%</w:t>
      </w:r>
      <w:r w:rsidR="001C140D">
        <w:rPr>
          <w:rFonts w:ascii="Arial" w:hAnsi="Arial" w:cs="Arial"/>
          <w:noProof/>
          <w:sz w:val="20"/>
          <w:szCs w:val="20"/>
          <w:lang w:val="en-US"/>
        </w:rPr>
        <w:t xml:space="preserve">, </w:t>
      </w:r>
      <w:r w:rsidR="00550A13">
        <w:rPr>
          <w:rFonts w:ascii="Arial" w:hAnsi="Arial" w:cs="Arial"/>
          <w:noProof/>
          <w:sz w:val="20"/>
          <w:szCs w:val="20"/>
          <w:lang w:val="en-US"/>
        </w:rPr>
        <w:t>P=0.01</w:t>
      </w:r>
      <w:r w:rsidR="001C140D">
        <w:rPr>
          <w:rFonts w:ascii="Arial" w:hAnsi="Arial" w:cs="Arial"/>
          <w:noProof/>
          <w:sz w:val="20"/>
          <w:szCs w:val="20"/>
          <w:lang w:val="en-US"/>
        </w:rPr>
        <w:t>2)</w:t>
      </w:r>
      <w:r w:rsidRPr="00214987">
        <w:rPr>
          <w:rFonts w:ascii="Arial" w:hAnsi="Arial" w:cs="Arial"/>
          <w:noProof/>
          <w:sz w:val="20"/>
          <w:szCs w:val="20"/>
          <w:lang w:val="en-US"/>
        </w:rPr>
        <w:t>, dysfunctional breathing</w:t>
      </w:r>
      <w:r w:rsidR="001C140D">
        <w:rPr>
          <w:rFonts w:ascii="Arial" w:hAnsi="Arial" w:cs="Arial"/>
          <w:noProof/>
          <w:sz w:val="20"/>
          <w:szCs w:val="20"/>
          <w:lang w:val="en-US"/>
        </w:rPr>
        <w:t xml:space="preserve"> (Mepolizumab responders: </w:t>
      </w:r>
      <w:r w:rsidR="0087440F" w:rsidRPr="0087440F">
        <w:rPr>
          <w:rFonts w:ascii="Arial" w:hAnsi="Arial" w:cs="Arial"/>
          <w:noProof/>
          <w:sz w:val="20"/>
          <w:szCs w:val="20"/>
          <w:lang w:val="en-US"/>
        </w:rPr>
        <w:t>31.7</w:t>
      </w:r>
      <w:r w:rsidR="001C140D" w:rsidRPr="00052E7D">
        <w:rPr>
          <w:rFonts w:ascii="Arial" w:hAnsi="Arial" w:cs="Arial"/>
          <w:noProof/>
          <w:sz w:val="20"/>
          <w:szCs w:val="20"/>
          <w:lang w:val="en-US"/>
        </w:rPr>
        <w:t xml:space="preserve">% </w:t>
      </w:r>
      <w:r w:rsidR="001C140D">
        <w:rPr>
          <w:rFonts w:ascii="Arial" w:hAnsi="Arial" w:cs="Arial"/>
          <w:noProof/>
          <w:sz w:val="20"/>
          <w:szCs w:val="20"/>
          <w:lang w:val="en-US"/>
        </w:rPr>
        <w:t>vs C</w:t>
      </w:r>
      <w:r w:rsidR="001C140D" w:rsidRPr="00214987">
        <w:rPr>
          <w:rFonts w:ascii="Arial" w:hAnsi="Arial" w:cs="Arial"/>
          <w:noProof/>
          <w:sz w:val="20"/>
          <w:szCs w:val="20"/>
          <w:lang w:val="en-US"/>
        </w:rPr>
        <w:t>ombined non-responders</w:t>
      </w:r>
      <w:r w:rsidR="001C140D">
        <w:rPr>
          <w:rFonts w:ascii="Arial" w:hAnsi="Arial" w:cs="Arial"/>
          <w:noProof/>
          <w:sz w:val="20"/>
          <w:szCs w:val="20"/>
          <w:lang w:val="en-US"/>
        </w:rPr>
        <w:t>:</w:t>
      </w:r>
      <w:r w:rsidR="001C140D" w:rsidRPr="00214987">
        <w:rPr>
          <w:rFonts w:ascii="Arial" w:hAnsi="Arial" w:cs="Arial"/>
          <w:noProof/>
          <w:sz w:val="20"/>
          <w:szCs w:val="20"/>
          <w:lang w:val="en-US"/>
        </w:rPr>
        <w:t xml:space="preserve"> </w:t>
      </w:r>
      <w:r w:rsidR="00993400" w:rsidRPr="00993400">
        <w:rPr>
          <w:rFonts w:ascii="Arial" w:hAnsi="Arial" w:cs="Arial"/>
          <w:noProof/>
          <w:sz w:val="20"/>
          <w:szCs w:val="20"/>
          <w:lang w:val="en-US"/>
        </w:rPr>
        <w:t>59.3%</w:t>
      </w:r>
      <w:r w:rsidR="001C140D">
        <w:rPr>
          <w:rFonts w:ascii="Arial" w:hAnsi="Arial" w:cs="Arial"/>
          <w:noProof/>
          <w:sz w:val="20"/>
          <w:szCs w:val="20"/>
          <w:lang w:val="en-US"/>
        </w:rPr>
        <w:t>, P=0.0</w:t>
      </w:r>
      <w:r w:rsidR="00993400">
        <w:rPr>
          <w:rFonts w:ascii="Arial" w:hAnsi="Arial" w:cs="Arial"/>
          <w:noProof/>
          <w:sz w:val="20"/>
          <w:szCs w:val="20"/>
          <w:lang w:val="en-US"/>
        </w:rPr>
        <w:t>25</w:t>
      </w:r>
      <w:r w:rsidR="001C140D">
        <w:rPr>
          <w:rFonts w:ascii="Arial" w:hAnsi="Arial" w:cs="Arial"/>
          <w:noProof/>
          <w:sz w:val="20"/>
          <w:szCs w:val="20"/>
          <w:lang w:val="en-US"/>
        </w:rPr>
        <w:t>)</w:t>
      </w:r>
      <w:r w:rsidRPr="00214987">
        <w:rPr>
          <w:rFonts w:ascii="Arial" w:hAnsi="Arial" w:cs="Arial"/>
          <w:noProof/>
          <w:sz w:val="20"/>
          <w:szCs w:val="20"/>
          <w:lang w:val="en-US"/>
        </w:rPr>
        <w:t xml:space="preserve"> and multiple </w:t>
      </w:r>
      <w:r w:rsidR="00734AAE" w:rsidRPr="00214987">
        <w:rPr>
          <w:rFonts w:ascii="Arial" w:hAnsi="Arial" w:cs="Arial"/>
          <w:noProof/>
          <w:sz w:val="20"/>
          <w:szCs w:val="20"/>
          <w:lang w:val="en-US"/>
        </w:rPr>
        <w:t>AHE</w:t>
      </w:r>
      <w:r w:rsidR="001C140D">
        <w:rPr>
          <w:rFonts w:ascii="Arial" w:hAnsi="Arial" w:cs="Arial"/>
          <w:noProof/>
          <w:sz w:val="20"/>
          <w:szCs w:val="20"/>
          <w:lang w:val="en-US"/>
        </w:rPr>
        <w:t xml:space="preserve"> (Mepolizumab responders: </w:t>
      </w:r>
      <w:r w:rsidR="00FE38CD">
        <w:rPr>
          <w:rFonts w:ascii="Arial" w:hAnsi="Arial" w:cs="Arial"/>
          <w:noProof/>
          <w:sz w:val="20"/>
          <w:szCs w:val="20"/>
          <w:lang w:val="en-US"/>
        </w:rPr>
        <w:t>9.8</w:t>
      </w:r>
      <w:r w:rsidR="001C140D" w:rsidRPr="00052E7D">
        <w:rPr>
          <w:rFonts w:ascii="Arial" w:hAnsi="Arial" w:cs="Arial"/>
          <w:noProof/>
          <w:sz w:val="20"/>
          <w:szCs w:val="20"/>
          <w:lang w:val="en-US"/>
        </w:rPr>
        <w:t xml:space="preserve">% </w:t>
      </w:r>
      <w:r w:rsidR="001C140D">
        <w:rPr>
          <w:rFonts w:ascii="Arial" w:hAnsi="Arial" w:cs="Arial"/>
          <w:noProof/>
          <w:sz w:val="20"/>
          <w:szCs w:val="20"/>
          <w:lang w:val="en-US"/>
        </w:rPr>
        <w:t>vs C</w:t>
      </w:r>
      <w:r w:rsidR="001C140D" w:rsidRPr="00214987">
        <w:rPr>
          <w:rFonts w:ascii="Arial" w:hAnsi="Arial" w:cs="Arial"/>
          <w:noProof/>
          <w:sz w:val="20"/>
          <w:szCs w:val="20"/>
          <w:lang w:val="en-US"/>
        </w:rPr>
        <w:t>ombined non-responders</w:t>
      </w:r>
      <w:r w:rsidR="001C140D">
        <w:rPr>
          <w:rFonts w:ascii="Arial" w:hAnsi="Arial" w:cs="Arial"/>
          <w:noProof/>
          <w:sz w:val="20"/>
          <w:szCs w:val="20"/>
          <w:lang w:val="en-US"/>
        </w:rPr>
        <w:t>:</w:t>
      </w:r>
      <w:r w:rsidR="001C140D" w:rsidRPr="00214987">
        <w:rPr>
          <w:rFonts w:ascii="Arial" w:hAnsi="Arial" w:cs="Arial"/>
          <w:noProof/>
          <w:sz w:val="20"/>
          <w:szCs w:val="20"/>
          <w:lang w:val="en-US"/>
        </w:rPr>
        <w:t xml:space="preserve"> </w:t>
      </w:r>
      <w:r w:rsidR="001C140D" w:rsidRPr="001C140D">
        <w:rPr>
          <w:rFonts w:ascii="Arial" w:hAnsi="Arial" w:cs="Arial"/>
          <w:noProof/>
          <w:sz w:val="20"/>
          <w:szCs w:val="20"/>
          <w:lang w:val="en-US"/>
        </w:rPr>
        <w:t>48%</w:t>
      </w:r>
      <w:r w:rsidR="001C140D">
        <w:rPr>
          <w:rFonts w:ascii="Arial" w:hAnsi="Arial" w:cs="Arial"/>
          <w:noProof/>
          <w:sz w:val="20"/>
          <w:szCs w:val="20"/>
          <w:lang w:val="en-US"/>
        </w:rPr>
        <w:t>, P=0.0</w:t>
      </w:r>
      <w:r w:rsidR="00367C59">
        <w:rPr>
          <w:rFonts w:ascii="Arial" w:hAnsi="Arial" w:cs="Arial"/>
          <w:noProof/>
          <w:sz w:val="20"/>
          <w:szCs w:val="20"/>
          <w:lang w:val="en-US"/>
        </w:rPr>
        <w:t>01</w:t>
      </w:r>
      <w:r w:rsidR="001C140D">
        <w:rPr>
          <w:rFonts w:ascii="Arial" w:hAnsi="Arial" w:cs="Arial"/>
          <w:noProof/>
          <w:sz w:val="20"/>
          <w:szCs w:val="20"/>
          <w:lang w:val="en-US"/>
        </w:rPr>
        <w:t>)</w:t>
      </w:r>
      <w:r w:rsidRPr="00214987">
        <w:rPr>
          <w:rFonts w:ascii="Arial" w:hAnsi="Arial" w:cs="Arial"/>
          <w:noProof/>
          <w:sz w:val="20"/>
          <w:szCs w:val="20"/>
          <w:lang w:val="en-US"/>
        </w:rPr>
        <w:t xml:space="preserve">. </w:t>
      </w:r>
      <w:r w:rsidR="009C1448">
        <w:rPr>
          <w:rFonts w:ascii="Arial" w:hAnsi="Arial" w:cs="Arial"/>
          <w:noProof/>
          <w:sz w:val="20"/>
          <w:szCs w:val="20"/>
          <w:lang w:val="en-US"/>
        </w:rPr>
        <w:t>C</w:t>
      </w:r>
      <w:r w:rsidR="009C1448" w:rsidRPr="00214987">
        <w:rPr>
          <w:rFonts w:ascii="Arial" w:hAnsi="Arial" w:cs="Arial"/>
          <w:noProof/>
          <w:sz w:val="20"/>
          <w:szCs w:val="20"/>
          <w:lang w:val="en-US"/>
        </w:rPr>
        <w:t xml:space="preserve">ombined non-responders </w:t>
      </w:r>
      <w:r w:rsidR="00237E21" w:rsidRPr="00214987">
        <w:rPr>
          <w:rFonts w:ascii="Arial" w:hAnsi="Arial" w:cs="Arial"/>
          <w:noProof/>
          <w:sz w:val="20"/>
          <w:szCs w:val="20"/>
          <w:lang w:val="en-US"/>
        </w:rPr>
        <w:t>also</w:t>
      </w:r>
      <w:r w:rsidRPr="00214987">
        <w:rPr>
          <w:rFonts w:ascii="Arial" w:hAnsi="Arial" w:cs="Arial"/>
          <w:noProof/>
          <w:sz w:val="20"/>
          <w:szCs w:val="20"/>
          <w:lang w:val="en-US"/>
        </w:rPr>
        <w:t xml:space="preserve"> had significantly more </w:t>
      </w:r>
      <w:r w:rsidR="00734AAE" w:rsidRPr="00214987">
        <w:rPr>
          <w:rFonts w:ascii="Arial" w:hAnsi="Arial" w:cs="Arial"/>
          <w:noProof/>
          <w:sz w:val="20"/>
          <w:szCs w:val="20"/>
          <w:lang w:val="en-US"/>
        </w:rPr>
        <w:t>AHE</w:t>
      </w:r>
      <w:r w:rsidRPr="00214987">
        <w:rPr>
          <w:rFonts w:ascii="Arial" w:hAnsi="Arial" w:cs="Arial"/>
          <w:noProof/>
          <w:sz w:val="20"/>
          <w:szCs w:val="20"/>
          <w:lang w:val="en-US"/>
        </w:rPr>
        <w:t xml:space="preserve"> at baseline</w:t>
      </w:r>
      <w:r w:rsidR="00FE38CD">
        <w:rPr>
          <w:rFonts w:ascii="Arial" w:hAnsi="Arial" w:cs="Arial"/>
          <w:noProof/>
          <w:sz w:val="20"/>
          <w:szCs w:val="20"/>
          <w:lang w:val="en-US"/>
        </w:rPr>
        <w:t xml:space="preserve"> [Median(IQR) C</w:t>
      </w:r>
      <w:r w:rsidR="00FE38CD" w:rsidRPr="00214987">
        <w:rPr>
          <w:rFonts w:ascii="Arial" w:hAnsi="Arial" w:cs="Arial"/>
          <w:noProof/>
          <w:sz w:val="20"/>
          <w:szCs w:val="20"/>
          <w:lang w:val="en-US"/>
        </w:rPr>
        <w:t>ombined non-responders</w:t>
      </w:r>
      <w:r w:rsidR="00FE38CD">
        <w:rPr>
          <w:rFonts w:ascii="Arial" w:hAnsi="Arial" w:cs="Arial"/>
          <w:noProof/>
          <w:sz w:val="20"/>
          <w:szCs w:val="20"/>
          <w:lang w:val="en-US"/>
        </w:rPr>
        <w:t>:</w:t>
      </w:r>
      <w:r w:rsidR="00FE38CD" w:rsidRPr="00214987">
        <w:rPr>
          <w:rFonts w:ascii="Arial" w:hAnsi="Arial" w:cs="Arial"/>
          <w:noProof/>
          <w:sz w:val="20"/>
          <w:szCs w:val="20"/>
          <w:lang w:val="en-US"/>
        </w:rPr>
        <w:t xml:space="preserve"> </w:t>
      </w:r>
      <w:r w:rsidR="00FE38CD">
        <w:rPr>
          <w:rFonts w:ascii="Arial" w:hAnsi="Arial" w:cs="Arial"/>
          <w:noProof/>
          <w:sz w:val="20"/>
          <w:szCs w:val="20"/>
          <w:lang w:val="en-US"/>
        </w:rPr>
        <w:t xml:space="preserve">1 (3) vs Mepolizumab responders: 0 (1), </w:t>
      </w:r>
      <w:r w:rsidR="00FE38CD" w:rsidRPr="001E5F2B">
        <w:rPr>
          <w:rFonts w:ascii="Arial" w:hAnsi="Arial" w:cs="Arial"/>
          <w:noProof/>
          <w:sz w:val="20"/>
          <w:szCs w:val="20"/>
          <w:lang w:val="en-US"/>
        </w:rPr>
        <w:t xml:space="preserve"> </w:t>
      </w:r>
      <w:r w:rsidR="00FE38CD">
        <w:rPr>
          <w:rFonts w:ascii="Arial" w:hAnsi="Arial" w:cs="Arial"/>
          <w:noProof/>
          <w:sz w:val="20"/>
          <w:szCs w:val="20"/>
          <w:lang w:val="en-US"/>
        </w:rPr>
        <w:t xml:space="preserve"> P=0.002] </w:t>
      </w:r>
      <w:r w:rsidRPr="00214987">
        <w:rPr>
          <w:rFonts w:ascii="Arial" w:hAnsi="Arial" w:cs="Arial"/>
          <w:noProof/>
          <w:sz w:val="20"/>
          <w:szCs w:val="20"/>
          <w:lang w:val="en-US"/>
        </w:rPr>
        <w:t xml:space="preserve"> and had younger asthma onset</w:t>
      </w:r>
      <w:r w:rsidR="00FE38CD">
        <w:rPr>
          <w:rFonts w:ascii="Arial" w:hAnsi="Arial" w:cs="Arial"/>
          <w:noProof/>
          <w:sz w:val="20"/>
          <w:szCs w:val="20"/>
          <w:lang w:val="en-US"/>
        </w:rPr>
        <w:t xml:space="preserve"> [Median(IQR) C</w:t>
      </w:r>
      <w:r w:rsidR="00FE38CD" w:rsidRPr="00214987">
        <w:rPr>
          <w:rFonts w:ascii="Arial" w:hAnsi="Arial" w:cs="Arial"/>
          <w:noProof/>
          <w:sz w:val="20"/>
          <w:szCs w:val="20"/>
          <w:lang w:val="en-US"/>
        </w:rPr>
        <w:t>ombined non-responders</w:t>
      </w:r>
      <w:r w:rsidR="00FE38CD">
        <w:rPr>
          <w:rFonts w:ascii="Arial" w:hAnsi="Arial" w:cs="Arial"/>
          <w:noProof/>
          <w:sz w:val="20"/>
          <w:szCs w:val="20"/>
          <w:lang w:val="en-US"/>
        </w:rPr>
        <w:t>:</w:t>
      </w:r>
      <w:r w:rsidR="00FE38CD" w:rsidRPr="00214987">
        <w:rPr>
          <w:rFonts w:ascii="Arial" w:hAnsi="Arial" w:cs="Arial"/>
          <w:noProof/>
          <w:sz w:val="20"/>
          <w:szCs w:val="20"/>
          <w:lang w:val="en-US"/>
        </w:rPr>
        <w:t xml:space="preserve"> </w:t>
      </w:r>
      <w:r w:rsidR="00AB2D6E" w:rsidRPr="00AB2D6E">
        <w:rPr>
          <w:rFonts w:ascii="Arial" w:hAnsi="Arial" w:cs="Arial"/>
          <w:noProof/>
          <w:sz w:val="20"/>
          <w:szCs w:val="20"/>
          <w:lang w:val="en-US"/>
        </w:rPr>
        <w:t>12 (31)</w:t>
      </w:r>
      <w:r w:rsidR="00AB2D6E">
        <w:rPr>
          <w:rFonts w:ascii="Arial" w:hAnsi="Arial" w:cs="Arial"/>
          <w:noProof/>
          <w:sz w:val="20"/>
          <w:szCs w:val="20"/>
          <w:lang w:val="en-US"/>
        </w:rPr>
        <w:t xml:space="preserve"> </w:t>
      </w:r>
      <w:r w:rsidR="00FE38CD">
        <w:rPr>
          <w:rFonts w:ascii="Arial" w:hAnsi="Arial" w:cs="Arial"/>
          <w:noProof/>
          <w:sz w:val="20"/>
          <w:szCs w:val="20"/>
          <w:lang w:val="en-US"/>
        </w:rPr>
        <w:t xml:space="preserve">vs Mepolizumab responders: </w:t>
      </w:r>
      <w:r w:rsidR="00367C59" w:rsidRPr="00367C59">
        <w:rPr>
          <w:rFonts w:ascii="Arial" w:hAnsi="Arial" w:cs="Arial"/>
          <w:noProof/>
          <w:sz w:val="20"/>
          <w:szCs w:val="20"/>
          <w:lang w:val="en-US"/>
        </w:rPr>
        <w:t>33.5 (40.5)</w:t>
      </w:r>
      <w:r w:rsidR="00367C59">
        <w:rPr>
          <w:rFonts w:ascii="Arial" w:hAnsi="Arial" w:cs="Arial"/>
          <w:noProof/>
          <w:sz w:val="20"/>
          <w:szCs w:val="20"/>
          <w:lang w:val="en-US"/>
        </w:rPr>
        <w:t xml:space="preserve">, </w:t>
      </w:r>
      <w:r w:rsidR="00FE38CD">
        <w:rPr>
          <w:rFonts w:ascii="Arial" w:hAnsi="Arial" w:cs="Arial"/>
          <w:noProof/>
          <w:sz w:val="20"/>
          <w:szCs w:val="20"/>
          <w:lang w:val="en-US"/>
        </w:rPr>
        <w:t>P=0.0</w:t>
      </w:r>
      <w:r w:rsidR="00367C59">
        <w:rPr>
          <w:rFonts w:ascii="Arial" w:hAnsi="Arial" w:cs="Arial"/>
          <w:noProof/>
          <w:sz w:val="20"/>
          <w:szCs w:val="20"/>
          <w:lang w:val="en-US"/>
        </w:rPr>
        <w:t>3</w:t>
      </w:r>
      <w:r w:rsidR="00FE38CD">
        <w:rPr>
          <w:rFonts w:ascii="Arial" w:hAnsi="Arial" w:cs="Arial"/>
          <w:noProof/>
          <w:sz w:val="20"/>
          <w:szCs w:val="20"/>
          <w:lang w:val="en-US"/>
        </w:rPr>
        <w:t>2]</w:t>
      </w:r>
      <w:r w:rsidRPr="00214987">
        <w:rPr>
          <w:rFonts w:ascii="Arial" w:hAnsi="Arial" w:cs="Arial"/>
          <w:noProof/>
          <w:sz w:val="20"/>
          <w:szCs w:val="20"/>
          <w:lang w:val="en-US"/>
        </w:rPr>
        <w:t xml:space="preserve">. </w:t>
      </w:r>
      <w:r w:rsidR="00D056E4" w:rsidRPr="00214987">
        <w:rPr>
          <w:rFonts w:ascii="Arial" w:hAnsi="Arial" w:cs="Arial"/>
          <w:noProof/>
          <w:sz w:val="20"/>
          <w:szCs w:val="20"/>
          <w:lang w:val="en-US"/>
        </w:rPr>
        <w:t xml:space="preserve">Compared to </w:t>
      </w:r>
      <w:r w:rsidR="008C6CE9" w:rsidRPr="00214987">
        <w:rPr>
          <w:rFonts w:ascii="Arial" w:hAnsi="Arial" w:cs="Arial"/>
          <w:noProof/>
          <w:sz w:val="20"/>
          <w:szCs w:val="20"/>
          <w:lang w:val="en-US"/>
        </w:rPr>
        <w:t>Omalizumab</w:t>
      </w:r>
      <w:r w:rsidR="00D056E4" w:rsidRPr="00214987">
        <w:rPr>
          <w:rFonts w:ascii="Arial" w:hAnsi="Arial" w:cs="Arial"/>
          <w:noProof/>
          <w:sz w:val="20"/>
          <w:szCs w:val="20"/>
          <w:lang w:val="en-US"/>
        </w:rPr>
        <w:t xml:space="preserve"> responders, </w:t>
      </w:r>
      <w:r w:rsidR="006979B1" w:rsidRPr="00214987">
        <w:rPr>
          <w:rFonts w:ascii="Arial" w:hAnsi="Arial" w:cs="Arial"/>
          <w:noProof/>
          <w:sz w:val="20"/>
          <w:szCs w:val="20"/>
          <w:lang w:val="en-US"/>
        </w:rPr>
        <w:t>there were no notable differences</w:t>
      </w:r>
      <w:r w:rsidR="00A024B4" w:rsidRPr="00214987">
        <w:rPr>
          <w:rFonts w:ascii="Arial" w:hAnsi="Arial" w:cs="Arial"/>
          <w:noProof/>
          <w:sz w:val="20"/>
          <w:szCs w:val="20"/>
          <w:lang w:val="en-US"/>
        </w:rPr>
        <w:t xml:space="preserve"> apart from those conferred by qualifying criteria (</w:t>
      </w:r>
      <w:r w:rsidR="000D131B" w:rsidRPr="00214987">
        <w:rPr>
          <w:rFonts w:ascii="Arial" w:hAnsi="Arial" w:cs="Arial"/>
          <w:noProof/>
          <w:sz w:val="20"/>
          <w:szCs w:val="20"/>
          <w:lang w:val="en-US"/>
        </w:rPr>
        <w:t xml:space="preserve">more </w:t>
      </w:r>
      <w:r w:rsidR="00F85842">
        <w:rPr>
          <w:rFonts w:ascii="Arial" w:hAnsi="Arial" w:cs="Arial"/>
          <w:noProof/>
          <w:sz w:val="20"/>
          <w:szCs w:val="20"/>
          <w:lang w:val="en-US"/>
        </w:rPr>
        <w:t>a</w:t>
      </w:r>
      <w:r w:rsidR="00A024B4" w:rsidRPr="00214987">
        <w:rPr>
          <w:rFonts w:ascii="Arial" w:hAnsi="Arial" w:cs="Arial"/>
          <w:noProof/>
          <w:sz w:val="20"/>
          <w:szCs w:val="20"/>
          <w:lang w:val="en-US"/>
        </w:rPr>
        <w:t xml:space="preserve">topy/ </w:t>
      </w:r>
      <w:r w:rsidR="000D131B" w:rsidRPr="00214987">
        <w:rPr>
          <w:rFonts w:ascii="Arial" w:hAnsi="Arial" w:cs="Arial"/>
          <w:noProof/>
          <w:sz w:val="20"/>
          <w:szCs w:val="20"/>
          <w:lang w:val="en-US"/>
        </w:rPr>
        <w:t xml:space="preserve">lower </w:t>
      </w:r>
      <w:r w:rsidR="00327B4D">
        <w:rPr>
          <w:rFonts w:ascii="Arial" w:hAnsi="Arial" w:cs="Arial"/>
          <w:noProof/>
          <w:sz w:val="20"/>
          <w:szCs w:val="20"/>
          <w:lang w:val="en-US"/>
        </w:rPr>
        <w:t>m</w:t>
      </w:r>
      <w:r w:rsidR="00A024B4" w:rsidRPr="00214987">
        <w:rPr>
          <w:rFonts w:ascii="Arial" w:hAnsi="Arial" w:cs="Arial"/>
          <w:noProof/>
          <w:sz w:val="20"/>
          <w:szCs w:val="20"/>
          <w:lang w:val="en-US"/>
        </w:rPr>
        <w:t>aximum PBE)</w:t>
      </w:r>
      <w:r w:rsidR="006979B1" w:rsidRPr="00214987">
        <w:rPr>
          <w:rFonts w:ascii="Arial" w:hAnsi="Arial" w:cs="Arial"/>
          <w:noProof/>
          <w:sz w:val="20"/>
          <w:szCs w:val="20"/>
          <w:lang w:val="en-US"/>
        </w:rPr>
        <w:t xml:space="preserve">. </w:t>
      </w:r>
    </w:p>
    <w:p w14:paraId="2562DCFE" w14:textId="4438634A" w:rsidR="00EB5A52" w:rsidRPr="00214987" w:rsidRDefault="005B46C5" w:rsidP="00AB4CB7">
      <w:pPr>
        <w:spacing w:line="480" w:lineRule="auto"/>
        <w:rPr>
          <w:rFonts w:ascii="Arial" w:hAnsi="Arial" w:cs="Arial"/>
          <w:noProof/>
          <w:lang w:val="en-US"/>
        </w:rPr>
      </w:pPr>
      <w:r w:rsidRPr="00214987">
        <w:rPr>
          <w:rFonts w:ascii="Arial" w:hAnsi="Arial" w:cs="Arial"/>
          <w:b/>
          <w:bCs/>
          <w:noProof/>
          <w:sz w:val="20"/>
          <w:szCs w:val="20"/>
          <w:u w:val="single"/>
          <w:lang w:val="en-US"/>
        </w:rPr>
        <w:t>Age-of-onset/sex</w:t>
      </w:r>
      <w:r w:rsidRPr="00214987">
        <w:rPr>
          <w:rFonts w:ascii="Arial" w:hAnsi="Arial" w:cs="Arial"/>
          <w:b/>
          <w:bCs/>
          <w:noProof/>
          <w:sz w:val="20"/>
          <w:szCs w:val="20"/>
          <w:u w:val="single"/>
          <w:shd w:val="clear" w:color="auto" w:fill="FFFFFF"/>
          <w:lang w:val="en-US"/>
        </w:rPr>
        <w:t xml:space="preserve"> s</w:t>
      </w:r>
      <w:r w:rsidR="00EB5A52" w:rsidRPr="00214987">
        <w:rPr>
          <w:rFonts w:ascii="Arial" w:hAnsi="Arial" w:cs="Arial"/>
          <w:b/>
          <w:bCs/>
          <w:noProof/>
          <w:sz w:val="20"/>
          <w:szCs w:val="20"/>
          <w:u w:val="single"/>
          <w:shd w:val="clear" w:color="auto" w:fill="FFFFFF"/>
          <w:lang w:val="en-US"/>
        </w:rPr>
        <w:t xml:space="preserve">tratification </w:t>
      </w:r>
      <w:r w:rsidR="00700BFB" w:rsidRPr="00214987">
        <w:rPr>
          <w:rFonts w:ascii="Arial" w:hAnsi="Arial" w:cs="Arial"/>
          <w:b/>
          <w:bCs/>
          <w:noProof/>
          <w:sz w:val="20"/>
          <w:szCs w:val="20"/>
          <w:u w:val="single"/>
          <w:shd w:val="clear" w:color="auto" w:fill="FFFFFF"/>
          <w:lang w:val="en-US"/>
        </w:rPr>
        <w:t>of biologic use</w:t>
      </w:r>
    </w:p>
    <w:p w14:paraId="7BC7117D" w14:textId="50F70477" w:rsidR="00334DA3" w:rsidRPr="00214987" w:rsidRDefault="000013AC" w:rsidP="00AB4CB7">
      <w:pPr>
        <w:spacing w:line="480" w:lineRule="auto"/>
        <w:rPr>
          <w:rFonts w:ascii="Arial" w:hAnsi="Arial" w:cs="Arial"/>
          <w:noProof/>
          <w:sz w:val="20"/>
          <w:szCs w:val="20"/>
          <w:lang w:val="en-US"/>
        </w:rPr>
      </w:pPr>
      <w:r w:rsidRPr="00214987">
        <w:rPr>
          <w:rFonts w:ascii="Arial" w:hAnsi="Arial" w:cs="Arial"/>
          <w:noProof/>
          <w:sz w:val="20"/>
          <w:szCs w:val="20"/>
          <w:lang w:val="en-US"/>
        </w:rPr>
        <w:t>Within our biologic (</w:t>
      </w:r>
      <w:r w:rsidR="008C6CE9" w:rsidRPr="00214987">
        <w:rPr>
          <w:rFonts w:ascii="Arial" w:hAnsi="Arial" w:cs="Arial"/>
          <w:noProof/>
          <w:sz w:val="20"/>
          <w:szCs w:val="20"/>
          <w:lang w:val="en-US"/>
        </w:rPr>
        <w:t xml:space="preserve">Omalizumab </w:t>
      </w:r>
      <w:r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Pr="00214987">
        <w:rPr>
          <w:rFonts w:ascii="Arial" w:hAnsi="Arial" w:cs="Arial"/>
          <w:noProof/>
          <w:sz w:val="20"/>
          <w:szCs w:val="20"/>
          <w:lang w:val="en-US"/>
        </w:rPr>
        <w:t>) cohort, the female/early-onset cluster was most prevalent, while the male</w:t>
      </w:r>
      <w:r w:rsidR="00D87029" w:rsidRPr="00214987">
        <w:rPr>
          <w:rFonts w:ascii="Arial" w:hAnsi="Arial" w:cs="Arial"/>
          <w:noProof/>
          <w:sz w:val="20"/>
          <w:szCs w:val="20"/>
          <w:lang w:val="en-US"/>
        </w:rPr>
        <w:t>/</w:t>
      </w:r>
      <w:r w:rsidRPr="00214987">
        <w:rPr>
          <w:rFonts w:ascii="Arial" w:hAnsi="Arial" w:cs="Arial"/>
          <w:noProof/>
          <w:sz w:val="20"/>
          <w:szCs w:val="20"/>
          <w:lang w:val="en-US"/>
        </w:rPr>
        <w:t>early</w:t>
      </w:r>
      <w:r w:rsidR="00D87029" w:rsidRPr="00214987">
        <w:rPr>
          <w:rFonts w:ascii="Arial" w:hAnsi="Arial" w:cs="Arial"/>
          <w:noProof/>
          <w:sz w:val="20"/>
          <w:szCs w:val="20"/>
          <w:lang w:val="en-US"/>
        </w:rPr>
        <w:t>-</w:t>
      </w:r>
      <w:r w:rsidRPr="00214987">
        <w:rPr>
          <w:rFonts w:ascii="Arial" w:hAnsi="Arial" w:cs="Arial"/>
          <w:noProof/>
          <w:sz w:val="20"/>
          <w:szCs w:val="20"/>
          <w:lang w:val="en-US"/>
        </w:rPr>
        <w:t xml:space="preserve">onset group was the least. </w:t>
      </w:r>
      <w:r w:rsidR="009B1956" w:rsidRPr="00214987">
        <w:rPr>
          <w:rFonts w:ascii="Arial" w:hAnsi="Arial" w:cs="Arial"/>
          <w:noProof/>
          <w:sz w:val="20"/>
          <w:szCs w:val="20"/>
          <w:lang w:val="en-US"/>
        </w:rPr>
        <w:t>Although</w:t>
      </w:r>
      <w:r w:rsidRPr="00214987">
        <w:rPr>
          <w:rFonts w:ascii="Arial" w:hAnsi="Arial" w:cs="Arial"/>
          <w:noProof/>
          <w:sz w:val="20"/>
          <w:szCs w:val="20"/>
          <w:lang w:val="en-US"/>
        </w:rPr>
        <w:t xml:space="preserve"> </w:t>
      </w:r>
      <w:r w:rsidR="00D87029" w:rsidRPr="00214987">
        <w:rPr>
          <w:rFonts w:ascii="Arial" w:hAnsi="Arial" w:cs="Arial"/>
          <w:noProof/>
          <w:sz w:val="20"/>
          <w:szCs w:val="20"/>
          <w:lang w:val="en-US"/>
        </w:rPr>
        <w:t>biologic use</w:t>
      </w:r>
      <w:r w:rsidRPr="00214987">
        <w:rPr>
          <w:rFonts w:ascii="Arial" w:hAnsi="Arial" w:cs="Arial"/>
          <w:noProof/>
          <w:sz w:val="20"/>
          <w:szCs w:val="20"/>
          <w:lang w:val="en-US"/>
        </w:rPr>
        <w:t xml:space="preserve"> across th</w:t>
      </w:r>
      <w:r w:rsidR="00D87029" w:rsidRPr="00214987">
        <w:rPr>
          <w:rFonts w:ascii="Arial" w:hAnsi="Arial" w:cs="Arial"/>
          <w:noProof/>
          <w:sz w:val="20"/>
          <w:szCs w:val="20"/>
          <w:lang w:val="en-US"/>
        </w:rPr>
        <w:t>e</w:t>
      </w:r>
      <w:r w:rsidRPr="00214987">
        <w:rPr>
          <w:rFonts w:ascii="Arial" w:hAnsi="Arial" w:cs="Arial"/>
          <w:noProof/>
          <w:sz w:val="20"/>
          <w:szCs w:val="20"/>
          <w:lang w:val="en-US"/>
        </w:rPr>
        <w:t xml:space="preserve">se phenotypes (Table </w:t>
      </w:r>
      <w:r w:rsidR="000762AC">
        <w:rPr>
          <w:rFonts w:ascii="Arial" w:hAnsi="Arial" w:cs="Arial"/>
          <w:noProof/>
          <w:sz w:val="20"/>
          <w:szCs w:val="20"/>
          <w:lang w:val="en-US"/>
        </w:rPr>
        <w:t>4</w:t>
      </w:r>
      <w:r w:rsidRPr="00214987">
        <w:rPr>
          <w:rFonts w:ascii="Arial" w:hAnsi="Arial" w:cs="Arial"/>
          <w:noProof/>
          <w:sz w:val="20"/>
          <w:szCs w:val="20"/>
          <w:lang w:val="en-US"/>
        </w:rPr>
        <w:t xml:space="preserve">) was significantly </w:t>
      </w:r>
      <w:r w:rsidR="007405F3" w:rsidRPr="00214987">
        <w:rPr>
          <w:rFonts w:ascii="Arial" w:hAnsi="Arial" w:cs="Arial"/>
          <w:noProof/>
          <w:sz w:val="20"/>
          <w:szCs w:val="20"/>
          <w:lang w:val="en-US"/>
        </w:rPr>
        <w:t>different, there</w:t>
      </w:r>
      <w:r w:rsidRPr="00214987">
        <w:rPr>
          <w:rFonts w:ascii="Arial" w:hAnsi="Arial" w:cs="Arial"/>
          <w:noProof/>
          <w:sz w:val="20"/>
          <w:szCs w:val="20"/>
          <w:lang w:val="en-US"/>
        </w:rPr>
        <w:t xml:space="preserve"> was no </w:t>
      </w:r>
      <w:r w:rsidR="006B26ED" w:rsidRPr="00214987">
        <w:rPr>
          <w:rFonts w:ascii="Arial" w:hAnsi="Arial" w:cs="Arial"/>
          <w:noProof/>
          <w:sz w:val="20"/>
          <w:szCs w:val="20"/>
          <w:lang w:val="en-US"/>
        </w:rPr>
        <w:t xml:space="preserve">statistically </w:t>
      </w:r>
      <w:r w:rsidRPr="00214987">
        <w:rPr>
          <w:rFonts w:ascii="Arial" w:hAnsi="Arial" w:cs="Arial"/>
          <w:noProof/>
          <w:sz w:val="20"/>
          <w:szCs w:val="20"/>
          <w:lang w:val="en-US"/>
        </w:rPr>
        <w:t xml:space="preserve">significant difference in response for </w:t>
      </w:r>
      <w:r w:rsidR="009B1956" w:rsidRPr="00214987">
        <w:rPr>
          <w:rFonts w:ascii="Arial" w:hAnsi="Arial" w:cs="Arial"/>
          <w:noProof/>
          <w:sz w:val="20"/>
          <w:szCs w:val="20"/>
          <w:lang w:val="en-US"/>
        </w:rPr>
        <w:t xml:space="preserve">either </w:t>
      </w:r>
      <w:r w:rsidRPr="00214987">
        <w:rPr>
          <w:rFonts w:ascii="Arial" w:hAnsi="Arial" w:cs="Arial"/>
          <w:noProof/>
          <w:sz w:val="20"/>
          <w:szCs w:val="20"/>
          <w:lang w:val="en-US"/>
        </w:rPr>
        <w:t>biologic</w:t>
      </w:r>
      <w:r w:rsidR="009A18EE" w:rsidRPr="00214987">
        <w:rPr>
          <w:rFonts w:ascii="Arial" w:hAnsi="Arial" w:cs="Arial"/>
          <w:noProof/>
          <w:sz w:val="20"/>
          <w:szCs w:val="20"/>
          <w:lang w:val="en-US"/>
        </w:rPr>
        <w:t xml:space="preserve"> across these phenotypes</w:t>
      </w:r>
      <w:r w:rsidRPr="00214987">
        <w:rPr>
          <w:rFonts w:ascii="Arial" w:hAnsi="Arial" w:cs="Arial"/>
          <w:noProof/>
          <w:sz w:val="20"/>
          <w:szCs w:val="20"/>
          <w:lang w:val="en-US"/>
        </w:rPr>
        <w:t>.</w:t>
      </w:r>
      <w:r w:rsidR="00EA7CD0" w:rsidRPr="00214987">
        <w:rPr>
          <w:rFonts w:ascii="Arial" w:hAnsi="Arial" w:cs="Arial"/>
          <w:noProof/>
          <w:sz w:val="20"/>
          <w:szCs w:val="20"/>
          <w:lang w:val="en-US"/>
        </w:rPr>
        <w:br/>
      </w:r>
      <w:r w:rsidR="00334DA3" w:rsidRPr="00214987">
        <w:rPr>
          <w:rFonts w:ascii="Arial" w:hAnsi="Arial" w:cs="Arial"/>
          <w:b/>
          <w:bCs/>
          <w:noProof/>
          <w:sz w:val="20"/>
          <w:szCs w:val="20"/>
          <w:u w:val="single"/>
          <w:lang w:val="en-US"/>
        </w:rPr>
        <w:t>Alternative assessments of biologic outcomes</w:t>
      </w:r>
    </w:p>
    <w:p w14:paraId="5A5A9F59" w14:textId="55A81F69" w:rsidR="00970F68" w:rsidRPr="00214987" w:rsidRDefault="00970F68"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The </w:t>
      </w:r>
      <w:r w:rsidR="00765B86">
        <w:rPr>
          <w:rFonts w:ascii="Arial" w:hAnsi="Arial" w:cs="Arial"/>
          <w:noProof/>
          <w:sz w:val="20"/>
          <w:szCs w:val="20"/>
          <w:lang w:val="en-US"/>
        </w:rPr>
        <w:t>‘</w:t>
      </w:r>
      <w:r w:rsidR="00765B86" w:rsidRPr="00214987">
        <w:rPr>
          <w:rFonts w:ascii="Arial" w:hAnsi="Arial" w:cs="Arial"/>
          <w:noProof/>
          <w:sz w:val="20"/>
          <w:szCs w:val="20"/>
          <w:lang w:val="en-US"/>
        </w:rPr>
        <w:t>Global Evaluation of Treatment Effectiveness</w:t>
      </w:r>
      <w:r w:rsidR="00765B86">
        <w:rPr>
          <w:rFonts w:ascii="Arial" w:hAnsi="Arial" w:cs="Arial"/>
          <w:noProof/>
          <w:sz w:val="20"/>
          <w:szCs w:val="20"/>
          <w:lang w:val="en-US"/>
        </w:rPr>
        <w:t>’ tool</w:t>
      </w:r>
      <w:r w:rsidRPr="00214987">
        <w:rPr>
          <w:rFonts w:ascii="Arial" w:hAnsi="Arial" w:cs="Arial"/>
          <w:noProof/>
          <w:sz w:val="20"/>
          <w:szCs w:val="20"/>
          <w:lang w:val="en-US"/>
        </w:rPr>
        <w:t xml:space="preserve"> used in </w:t>
      </w:r>
      <w:r w:rsidR="008C6CE9" w:rsidRPr="00214987">
        <w:rPr>
          <w:rFonts w:ascii="Arial" w:hAnsi="Arial" w:cs="Arial"/>
          <w:noProof/>
          <w:sz w:val="20"/>
          <w:szCs w:val="20"/>
          <w:lang w:val="en-US"/>
        </w:rPr>
        <w:t>Omalizumab</w:t>
      </w:r>
      <w:r w:rsidRPr="00214987">
        <w:rPr>
          <w:rFonts w:ascii="Arial" w:hAnsi="Arial" w:cs="Arial"/>
          <w:noProof/>
          <w:sz w:val="20"/>
          <w:szCs w:val="20"/>
          <w:lang w:val="en-US"/>
        </w:rPr>
        <w:t xml:space="preserve"> (Figure </w:t>
      </w:r>
      <w:r w:rsidR="000762AC">
        <w:rPr>
          <w:rFonts w:ascii="Arial" w:hAnsi="Arial" w:cs="Arial"/>
          <w:noProof/>
          <w:sz w:val="20"/>
          <w:szCs w:val="20"/>
          <w:lang w:val="en-US"/>
        </w:rPr>
        <w:t>4</w:t>
      </w:r>
      <w:r w:rsidRPr="00214987">
        <w:rPr>
          <w:rFonts w:ascii="Arial" w:hAnsi="Arial" w:cs="Arial"/>
          <w:noProof/>
          <w:sz w:val="20"/>
          <w:szCs w:val="20"/>
          <w:lang w:val="en-US"/>
        </w:rPr>
        <w:t xml:space="preserve">a) captured all modalities of response. </w:t>
      </w:r>
      <w:r w:rsidR="000A6095" w:rsidRPr="00214987">
        <w:rPr>
          <w:rFonts w:ascii="Arial" w:hAnsi="Arial" w:cs="Arial"/>
          <w:noProof/>
          <w:sz w:val="20"/>
          <w:szCs w:val="20"/>
          <w:lang w:val="en-US"/>
        </w:rPr>
        <w:t>It</w:t>
      </w:r>
      <w:r w:rsidRPr="00214987">
        <w:rPr>
          <w:rFonts w:ascii="Arial" w:hAnsi="Arial" w:cs="Arial"/>
          <w:noProof/>
          <w:sz w:val="20"/>
          <w:szCs w:val="20"/>
          <w:lang w:val="en-US"/>
        </w:rPr>
        <w:t xml:space="preserve"> captured all (100%, 32/32) patients who had an improvement of AHE status</w:t>
      </w:r>
      <w:r w:rsidR="00EA581C" w:rsidRPr="00214987">
        <w:rPr>
          <w:rFonts w:ascii="Arial" w:hAnsi="Arial" w:cs="Arial"/>
          <w:noProof/>
          <w:sz w:val="20"/>
          <w:szCs w:val="20"/>
          <w:lang w:val="en-US"/>
        </w:rPr>
        <w:t xml:space="preserve"> (≥1 AHE to 0 AHE)</w:t>
      </w:r>
      <w:r w:rsidR="00D82790" w:rsidRPr="00214987">
        <w:rPr>
          <w:rFonts w:ascii="Arial" w:hAnsi="Arial" w:cs="Arial"/>
          <w:noProof/>
          <w:sz w:val="20"/>
          <w:szCs w:val="20"/>
          <w:lang w:val="en-US"/>
        </w:rPr>
        <w:t xml:space="preserve">, all </w:t>
      </w:r>
      <w:r w:rsidR="00ED5F06" w:rsidRPr="00214987">
        <w:rPr>
          <w:rFonts w:ascii="Arial" w:hAnsi="Arial" w:cs="Arial"/>
          <w:noProof/>
          <w:sz w:val="20"/>
          <w:szCs w:val="20"/>
          <w:lang w:val="en-US"/>
        </w:rPr>
        <w:t>(</w:t>
      </w:r>
      <w:r w:rsidR="003404EE" w:rsidRPr="00214987">
        <w:rPr>
          <w:rFonts w:ascii="Arial" w:hAnsi="Arial" w:cs="Arial"/>
          <w:noProof/>
          <w:sz w:val="20"/>
          <w:szCs w:val="20"/>
          <w:lang w:val="en-US"/>
        </w:rPr>
        <w:t xml:space="preserve">100%, </w:t>
      </w:r>
      <w:r w:rsidR="00ED5F06" w:rsidRPr="00214987">
        <w:rPr>
          <w:rFonts w:ascii="Arial" w:hAnsi="Arial" w:cs="Arial"/>
          <w:noProof/>
          <w:sz w:val="20"/>
          <w:szCs w:val="20"/>
          <w:lang w:val="en-US"/>
        </w:rPr>
        <w:t xml:space="preserve">75/75) </w:t>
      </w:r>
      <w:r w:rsidR="00D82790" w:rsidRPr="00214987">
        <w:rPr>
          <w:rFonts w:ascii="Arial" w:hAnsi="Arial" w:cs="Arial"/>
          <w:noProof/>
          <w:sz w:val="20"/>
          <w:szCs w:val="20"/>
          <w:lang w:val="en-US"/>
        </w:rPr>
        <w:t>patients who had an OCS</w:t>
      </w:r>
      <w:r w:rsidR="00CE6403" w:rsidRPr="00214987">
        <w:rPr>
          <w:rFonts w:ascii="Arial" w:hAnsi="Arial" w:cs="Arial"/>
          <w:noProof/>
          <w:sz w:val="20"/>
          <w:szCs w:val="20"/>
          <w:lang w:val="en-US"/>
        </w:rPr>
        <w:t>/Exacerbation</w:t>
      </w:r>
      <w:r w:rsidR="00D82790" w:rsidRPr="00214987">
        <w:rPr>
          <w:rFonts w:ascii="Arial" w:hAnsi="Arial" w:cs="Arial"/>
          <w:noProof/>
          <w:sz w:val="20"/>
          <w:szCs w:val="20"/>
          <w:lang w:val="en-US"/>
        </w:rPr>
        <w:t xml:space="preserve"> </w:t>
      </w:r>
      <w:r w:rsidR="00A86195" w:rsidRPr="00214987">
        <w:rPr>
          <w:rFonts w:ascii="Arial" w:hAnsi="Arial" w:cs="Arial"/>
          <w:noProof/>
          <w:sz w:val="20"/>
          <w:szCs w:val="20"/>
          <w:lang w:val="en-US"/>
        </w:rPr>
        <w:t>response</w:t>
      </w:r>
      <w:r w:rsidR="005A587F" w:rsidRPr="00214987">
        <w:rPr>
          <w:rFonts w:ascii="Arial" w:hAnsi="Arial" w:cs="Arial"/>
          <w:noProof/>
          <w:sz w:val="20"/>
          <w:szCs w:val="20"/>
          <w:lang w:val="en-US"/>
        </w:rPr>
        <w:t xml:space="preserve"> (</w:t>
      </w:r>
      <w:r w:rsidR="00723AB3" w:rsidRPr="00214987">
        <w:rPr>
          <w:rFonts w:ascii="Arial" w:hAnsi="Arial" w:cs="Arial"/>
          <w:noProof/>
          <w:sz w:val="20"/>
          <w:szCs w:val="20"/>
          <w:lang w:val="en-US"/>
        </w:rPr>
        <w:t>≥50% reduction in mOCS dose or exacerbations)</w:t>
      </w:r>
      <w:r w:rsidR="00A86195" w:rsidRPr="00214987">
        <w:rPr>
          <w:rFonts w:ascii="Arial" w:hAnsi="Arial" w:cs="Arial"/>
          <w:noProof/>
          <w:sz w:val="20"/>
          <w:szCs w:val="20"/>
          <w:lang w:val="en-US"/>
        </w:rPr>
        <w:t xml:space="preserve"> and</w:t>
      </w:r>
      <w:r w:rsidRPr="00214987">
        <w:rPr>
          <w:rFonts w:ascii="Arial" w:hAnsi="Arial" w:cs="Arial"/>
          <w:noProof/>
          <w:sz w:val="20"/>
          <w:szCs w:val="20"/>
          <w:lang w:val="en-US"/>
        </w:rPr>
        <w:t xml:space="preserve"> 97.8%, (48/49) of patients who had an </w:t>
      </w:r>
      <w:r w:rsidR="00EA581C" w:rsidRPr="00214987">
        <w:rPr>
          <w:rFonts w:ascii="Arial" w:hAnsi="Arial" w:cs="Arial"/>
          <w:noProof/>
          <w:sz w:val="20"/>
          <w:szCs w:val="20"/>
          <w:lang w:val="en-US"/>
        </w:rPr>
        <w:t xml:space="preserve">ACQ response </w:t>
      </w:r>
      <w:r w:rsidR="00C770C0" w:rsidRPr="00214987">
        <w:rPr>
          <w:rFonts w:ascii="Arial" w:hAnsi="Arial" w:cs="Arial"/>
          <w:noProof/>
          <w:sz w:val="20"/>
          <w:szCs w:val="20"/>
          <w:lang w:val="en-US"/>
        </w:rPr>
        <w:t>(</w:t>
      </w:r>
      <w:r w:rsidR="000662F5" w:rsidRPr="00214987">
        <w:rPr>
          <w:rFonts w:ascii="Arial" w:hAnsi="Arial" w:cs="Arial"/>
          <w:noProof/>
          <w:sz w:val="20"/>
          <w:szCs w:val="20"/>
          <w:lang w:val="en-US"/>
        </w:rPr>
        <w:t>≥</w:t>
      </w:r>
      <w:r w:rsidR="00EA581C" w:rsidRPr="00214987">
        <w:rPr>
          <w:rFonts w:ascii="Arial" w:hAnsi="Arial" w:cs="Arial"/>
          <w:noProof/>
          <w:sz w:val="20"/>
          <w:szCs w:val="20"/>
          <w:lang w:val="en-US"/>
        </w:rPr>
        <w:t>the minimally important difference</w:t>
      </w:r>
      <w:r w:rsidR="007C1EF7" w:rsidRPr="00214987">
        <w:rPr>
          <w:rFonts w:ascii="Arial" w:hAnsi="Arial" w:cs="Arial"/>
          <w:noProof/>
          <w:sz w:val="20"/>
          <w:szCs w:val="20"/>
          <w:lang w:val="en-US"/>
        </w:rPr>
        <w:t xml:space="preserve"> </w:t>
      </w:r>
      <w:r w:rsidR="00EA581C" w:rsidRPr="00214987">
        <w:rPr>
          <w:rFonts w:ascii="Arial" w:hAnsi="Arial" w:cs="Arial"/>
          <w:noProof/>
          <w:sz w:val="20"/>
          <w:szCs w:val="20"/>
          <w:lang w:val="en-US"/>
        </w:rPr>
        <w:t xml:space="preserve">[MID] </w:t>
      </w:r>
      <w:r w:rsidR="00C770C0" w:rsidRPr="00214987">
        <w:rPr>
          <w:rFonts w:ascii="Arial" w:hAnsi="Arial" w:cs="Arial"/>
          <w:noProof/>
          <w:sz w:val="20"/>
          <w:szCs w:val="20"/>
          <w:lang w:val="en-US"/>
        </w:rPr>
        <w:t xml:space="preserve">of </w:t>
      </w:r>
      <w:r w:rsidR="006D0857" w:rsidRPr="00214987">
        <w:rPr>
          <w:rFonts w:ascii="Arial" w:hAnsi="Arial" w:cs="Arial"/>
          <w:noProof/>
          <w:sz w:val="20"/>
          <w:szCs w:val="20"/>
          <w:lang w:val="en-US"/>
        </w:rPr>
        <w:t>0</w:t>
      </w:r>
      <w:r w:rsidR="00EA581C" w:rsidRPr="00214987">
        <w:rPr>
          <w:rFonts w:ascii="Arial" w:hAnsi="Arial" w:cs="Arial"/>
          <w:noProof/>
          <w:sz w:val="20"/>
          <w:szCs w:val="20"/>
          <w:lang w:val="en-US"/>
        </w:rPr>
        <w:t>.5</w:t>
      </w:r>
      <w:r w:rsidR="00C770C0" w:rsidRPr="00214987">
        <w:rPr>
          <w:rFonts w:ascii="Arial" w:hAnsi="Arial" w:cs="Arial"/>
          <w:noProof/>
          <w:sz w:val="20"/>
          <w:szCs w:val="20"/>
          <w:lang w:val="en-US"/>
        </w:rPr>
        <w:t>)</w:t>
      </w:r>
      <w:r w:rsidR="00EA581C" w:rsidRPr="00214987">
        <w:rPr>
          <w:rFonts w:ascii="Arial" w:hAnsi="Arial" w:cs="Arial"/>
          <w:noProof/>
          <w:sz w:val="20"/>
          <w:szCs w:val="20"/>
          <w:lang w:val="en-US"/>
        </w:rPr>
        <w:t>.</w:t>
      </w:r>
      <w:r w:rsidR="00442D12" w:rsidRPr="00214987">
        <w:rPr>
          <w:rFonts w:ascii="Arial" w:hAnsi="Arial" w:cs="Arial"/>
          <w:noProof/>
          <w:sz w:val="20"/>
          <w:szCs w:val="20"/>
          <w:lang w:val="en-US"/>
        </w:rPr>
        <w:t xml:space="preserve"> </w:t>
      </w:r>
    </w:p>
    <w:p w14:paraId="6E8EBC09" w14:textId="0A1F71B5" w:rsidR="00B665B0" w:rsidRPr="00214987" w:rsidRDefault="00E926A0" w:rsidP="00AB4CB7">
      <w:pPr>
        <w:spacing w:line="480" w:lineRule="auto"/>
        <w:rPr>
          <w:rFonts w:ascii="Arial" w:hAnsi="Arial" w:cs="Arial"/>
          <w:b/>
          <w:bCs/>
          <w:noProof/>
          <w:sz w:val="32"/>
          <w:szCs w:val="32"/>
          <w:u w:val="single"/>
          <w:lang w:val="en-US"/>
        </w:rPr>
      </w:pPr>
      <w:r>
        <w:rPr>
          <w:rFonts w:ascii="Arial" w:hAnsi="Arial" w:cs="Arial"/>
          <w:noProof/>
          <w:sz w:val="20"/>
          <w:szCs w:val="20"/>
          <w:lang w:val="en-US"/>
        </w:rPr>
        <w:t>For</w:t>
      </w:r>
      <w:r w:rsidR="00095384"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095384" w:rsidRPr="00214987">
        <w:rPr>
          <w:rFonts w:ascii="Arial" w:hAnsi="Arial" w:cs="Arial"/>
          <w:noProof/>
          <w:sz w:val="20"/>
          <w:szCs w:val="20"/>
          <w:lang w:val="en-US"/>
        </w:rPr>
        <w:t xml:space="preserve">, </w:t>
      </w:r>
      <w:r w:rsidR="00613560" w:rsidRPr="00214987">
        <w:rPr>
          <w:rFonts w:ascii="Arial" w:hAnsi="Arial" w:cs="Arial"/>
          <w:noProof/>
          <w:sz w:val="20"/>
          <w:szCs w:val="20"/>
          <w:lang w:val="en-US"/>
        </w:rPr>
        <w:t>16.7%, (6/36) patients who had an ACQ response and 18.2%, (4/22) patients who had a</w:t>
      </w:r>
      <w:r w:rsidR="007C1EF7" w:rsidRPr="00214987">
        <w:rPr>
          <w:rFonts w:ascii="Arial" w:hAnsi="Arial" w:cs="Arial"/>
          <w:noProof/>
          <w:sz w:val="20"/>
          <w:szCs w:val="20"/>
          <w:lang w:val="en-US"/>
        </w:rPr>
        <w:t>n</w:t>
      </w:r>
      <w:r w:rsidR="00613560" w:rsidRPr="00214987">
        <w:rPr>
          <w:rFonts w:ascii="Arial" w:hAnsi="Arial" w:cs="Arial"/>
          <w:noProof/>
          <w:sz w:val="20"/>
          <w:szCs w:val="20"/>
          <w:lang w:val="en-US"/>
        </w:rPr>
        <w:t xml:space="preserve"> AQLQ response </w:t>
      </w:r>
      <w:r w:rsidR="000662F5" w:rsidRPr="00214987">
        <w:rPr>
          <w:rFonts w:ascii="Arial" w:hAnsi="Arial" w:cs="Arial"/>
          <w:noProof/>
          <w:sz w:val="20"/>
          <w:szCs w:val="20"/>
          <w:lang w:val="en-US"/>
        </w:rPr>
        <w:t>(≥</w:t>
      </w:r>
      <w:r w:rsidR="00613560" w:rsidRPr="00214987">
        <w:rPr>
          <w:rFonts w:ascii="Arial" w:hAnsi="Arial" w:cs="Arial"/>
          <w:noProof/>
          <w:sz w:val="20"/>
          <w:szCs w:val="20"/>
          <w:lang w:val="en-US"/>
        </w:rPr>
        <w:t xml:space="preserve">MID </w:t>
      </w:r>
      <w:r w:rsidR="000662F5" w:rsidRPr="00214987">
        <w:rPr>
          <w:rFonts w:ascii="Arial" w:hAnsi="Arial" w:cs="Arial"/>
          <w:noProof/>
          <w:sz w:val="20"/>
          <w:szCs w:val="20"/>
          <w:lang w:val="en-US"/>
        </w:rPr>
        <w:t xml:space="preserve">of </w:t>
      </w:r>
      <w:r w:rsidR="00613560" w:rsidRPr="00214987">
        <w:rPr>
          <w:rFonts w:ascii="Arial" w:hAnsi="Arial" w:cs="Arial"/>
          <w:noProof/>
          <w:sz w:val="20"/>
          <w:szCs w:val="20"/>
          <w:lang w:val="en-US"/>
        </w:rPr>
        <w:t>0.5) were not deemed responders based on NICE criteria</w:t>
      </w:r>
      <w:r w:rsidR="00FB3641" w:rsidRPr="00214987">
        <w:rPr>
          <w:rFonts w:ascii="Arial" w:hAnsi="Arial" w:cs="Arial"/>
          <w:noProof/>
          <w:sz w:val="20"/>
          <w:szCs w:val="20"/>
          <w:lang w:val="en-US"/>
        </w:rPr>
        <w:t xml:space="preserve"> (Figure </w:t>
      </w:r>
      <w:r w:rsidR="000762AC">
        <w:rPr>
          <w:rFonts w:ascii="Arial" w:hAnsi="Arial" w:cs="Arial"/>
          <w:noProof/>
          <w:sz w:val="20"/>
          <w:szCs w:val="20"/>
          <w:lang w:val="en-US"/>
        </w:rPr>
        <w:t>4</w:t>
      </w:r>
      <w:r w:rsidR="00FB3641" w:rsidRPr="00214987">
        <w:rPr>
          <w:rFonts w:ascii="Arial" w:hAnsi="Arial" w:cs="Arial"/>
          <w:noProof/>
          <w:sz w:val="20"/>
          <w:szCs w:val="20"/>
          <w:lang w:val="en-US"/>
        </w:rPr>
        <w:t>b)</w:t>
      </w:r>
      <w:r w:rsidR="00613560" w:rsidRPr="00214987">
        <w:rPr>
          <w:rFonts w:ascii="Arial" w:hAnsi="Arial" w:cs="Arial"/>
          <w:noProof/>
          <w:sz w:val="20"/>
          <w:szCs w:val="20"/>
          <w:lang w:val="en-US"/>
        </w:rPr>
        <w:t>. Similarly, 30%, (3/10) subjects who had an improvement of AHE status were not deemed responders using conventional criteria. Additionally,</w:t>
      </w:r>
      <w:r w:rsidR="00306C61" w:rsidRPr="00214987">
        <w:rPr>
          <w:rFonts w:ascii="Arial" w:hAnsi="Arial" w:cs="Arial"/>
          <w:noProof/>
          <w:sz w:val="20"/>
          <w:szCs w:val="20"/>
          <w:lang w:val="en-US"/>
        </w:rPr>
        <w:t xml:space="preserve"> NICE criteria did not capture</w:t>
      </w:r>
      <w:r w:rsidR="00613560" w:rsidRPr="00214987">
        <w:rPr>
          <w:rFonts w:ascii="Arial" w:hAnsi="Arial" w:cs="Arial"/>
          <w:noProof/>
          <w:sz w:val="20"/>
          <w:szCs w:val="20"/>
          <w:lang w:val="en-US"/>
        </w:rPr>
        <w:t xml:space="preserve"> three patients </w:t>
      </w:r>
      <w:r w:rsidR="005F1200" w:rsidRPr="00214987">
        <w:rPr>
          <w:rFonts w:ascii="Arial" w:hAnsi="Arial" w:cs="Arial"/>
          <w:noProof/>
          <w:sz w:val="20"/>
          <w:szCs w:val="20"/>
          <w:lang w:val="en-US"/>
        </w:rPr>
        <w:t xml:space="preserve">who </w:t>
      </w:r>
      <w:r w:rsidR="00613560" w:rsidRPr="00214987">
        <w:rPr>
          <w:rFonts w:ascii="Arial" w:hAnsi="Arial" w:cs="Arial"/>
          <w:noProof/>
          <w:sz w:val="20"/>
          <w:szCs w:val="20"/>
          <w:lang w:val="en-US"/>
        </w:rPr>
        <w:t>responded in two separate domains (ACQ</w:t>
      </w:r>
      <w:r w:rsidR="00D30FD4" w:rsidRPr="00214987">
        <w:rPr>
          <w:rFonts w:ascii="Arial" w:hAnsi="Arial" w:cs="Arial"/>
          <w:noProof/>
          <w:sz w:val="20"/>
          <w:szCs w:val="20"/>
          <w:lang w:val="en-US"/>
        </w:rPr>
        <w:t xml:space="preserve"> </w:t>
      </w:r>
      <w:r w:rsidR="002F335C" w:rsidRPr="00214987">
        <w:rPr>
          <w:rFonts w:ascii="Arial" w:hAnsi="Arial" w:cs="Arial"/>
          <w:noProof/>
          <w:sz w:val="20"/>
          <w:szCs w:val="20"/>
          <w:lang w:val="en-US"/>
        </w:rPr>
        <w:t>&amp;</w:t>
      </w:r>
      <w:r w:rsidR="00D30FD4" w:rsidRPr="00214987">
        <w:rPr>
          <w:rFonts w:ascii="Arial" w:hAnsi="Arial" w:cs="Arial"/>
          <w:noProof/>
          <w:sz w:val="20"/>
          <w:szCs w:val="20"/>
          <w:lang w:val="en-US"/>
        </w:rPr>
        <w:t xml:space="preserve"> </w:t>
      </w:r>
      <w:r w:rsidR="00613560" w:rsidRPr="00214987">
        <w:rPr>
          <w:rFonts w:ascii="Arial" w:hAnsi="Arial" w:cs="Arial"/>
          <w:noProof/>
          <w:sz w:val="20"/>
          <w:szCs w:val="20"/>
          <w:lang w:val="en-US"/>
        </w:rPr>
        <w:t xml:space="preserve">AQLQ:2, </w:t>
      </w:r>
      <w:r w:rsidR="00286A3B" w:rsidRPr="00214987">
        <w:rPr>
          <w:rFonts w:ascii="Arial" w:hAnsi="Arial" w:cs="Arial"/>
          <w:noProof/>
          <w:sz w:val="20"/>
          <w:szCs w:val="20"/>
          <w:lang w:val="en-US"/>
        </w:rPr>
        <w:t>AHE</w:t>
      </w:r>
      <w:r w:rsidR="00D30FD4" w:rsidRPr="00214987">
        <w:rPr>
          <w:rFonts w:ascii="Arial" w:hAnsi="Arial" w:cs="Arial"/>
          <w:noProof/>
          <w:sz w:val="20"/>
          <w:szCs w:val="20"/>
          <w:lang w:val="en-US"/>
        </w:rPr>
        <w:t xml:space="preserve"> </w:t>
      </w:r>
      <w:r w:rsidR="002F335C" w:rsidRPr="00214987">
        <w:rPr>
          <w:rFonts w:ascii="Arial" w:hAnsi="Arial" w:cs="Arial"/>
          <w:noProof/>
          <w:sz w:val="20"/>
          <w:szCs w:val="20"/>
          <w:lang w:val="en-US"/>
        </w:rPr>
        <w:t>&amp;</w:t>
      </w:r>
      <w:r w:rsidR="00D30FD4" w:rsidRPr="00214987">
        <w:rPr>
          <w:rFonts w:ascii="Arial" w:hAnsi="Arial" w:cs="Arial"/>
          <w:noProof/>
          <w:sz w:val="20"/>
          <w:szCs w:val="20"/>
          <w:lang w:val="en-US"/>
        </w:rPr>
        <w:t xml:space="preserve"> </w:t>
      </w:r>
      <w:r w:rsidR="00613560" w:rsidRPr="00214987">
        <w:rPr>
          <w:rFonts w:ascii="Arial" w:hAnsi="Arial" w:cs="Arial"/>
          <w:noProof/>
          <w:sz w:val="20"/>
          <w:szCs w:val="20"/>
          <w:lang w:val="en-US"/>
        </w:rPr>
        <w:t>ACQ:1</w:t>
      </w:r>
      <w:r w:rsidR="00306C61" w:rsidRPr="00214987">
        <w:rPr>
          <w:rFonts w:ascii="Arial" w:hAnsi="Arial" w:cs="Arial"/>
          <w:noProof/>
          <w:sz w:val="20"/>
          <w:szCs w:val="20"/>
          <w:lang w:val="en-US"/>
        </w:rPr>
        <w:t>)</w:t>
      </w:r>
      <w:r w:rsidR="00613560" w:rsidRPr="00214987">
        <w:rPr>
          <w:rFonts w:ascii="Arial" w:hAnsi="Arial" w:cs="Arial"/>
          <w:noProof/>
          <w:sz w:val="20"/>
          <w:szCs w:val="20"/>
          <w:lang w:val="en-US"/>
        </w:rPr>
        <w:t xml:space="preserve">. </w:t>
      </w:r>
      <w:r w:rsidR="00D716DB" w:rsidRPr="00214987">
        <w:rPr>
          <w:rFonts w:ascii="Arial" w:hAnsi="Arial" w:cs="Arial"/>
          <w:noProof/>
          <w:sz w:val="20"/>
          <w:szCs w:val="20"/>
          <w:lang w:val="en-US"/>
        </w:rPr>
        <w:t>Conversely</w:t>
      </w:r>
      <w:r w:rsidR="00613560" w:rsidRPr="00214987">
        <w:rPr>
          <w:rFonts w:ascii="Arial" w:hAnsi="Arial" w:cs="Arial"/>
          <w:noProof/>
          <w:sz w:val="20"/>
          <w:szCs w:val="20"/>
          <w:lang w:val="en-US"/>
        </w:rPr>
        <w:t xml:space="preserve">, some </w:t>
      </w:r>
      <w:r w:rsidR="008C6CE9">
        <w:rPr>
          <w:rFonts w:ascii="Arial" w:hAnsi="Arial" w:cs="Arial"/>
          <w:noProof/>
          <w:sz w:val="20"/>
          <w:szCs w:val="20"/>
          <w:lang w:val="en-US"/>
        </w:rPr>
        <w:t>Mepolizumab</w:t>
      </w:r>
      <w:r w:rsidR="00613560" w:rsidRPr="00214987">
        <w:rPr>
          <w:rFonts w:ascii="Arial" w:hAnsi="Arial" w:cs="Arial"/>
          <w:noProof/>
          <w:sz w:val="20"/>
          <w:szCs w:val="20"/>
          <w:lang w:val="en-US"/>
        </w:rPr>
        <w:t xml:space="preserve"> responders did not show ACQ (21.0%,8/38) nor AQLQ (30.8%,8/26) response</w:t>
      </w:r>
      <w:r w:rsidR="00F919EA" w:rsidRPr="00214987">
        <w:rPr>
          <w:rFonts w:ascii="Arial" w:hAnsi="Arial" w:cs="Arial"/>
          <w:noProof/>
          <w:sz w:val="20"/>
          <w:szCs w:val="20"/>
          <w:lang w:val="en-US"/>
        </w:rPr>
        <w:t>s</w:t>
      </w:r>
      <w:r w:rsidR="00613560" w:rsidRPr="00214987">
        <w:rPr>
          <w:rFonts w:ascii="Arial" w:hAnsi="Arial" w:cs="Arial"/>
          <w:noProof/>
          <w:sz w:val="20"/>
          <w:szCs w:val="20"/>
          <w:lang w:val="en-US"/>
        </w:rPr>
        <w:t xml:space="preserve">. </w:t>
      </w:r>
      <w:r w:rsidR="00B665B0" w:rsidRPr="00214987">
        <w:rPr>
          <w:rFonts w:ascii="Arial" w:hAnsi="Arial" w:cs="Arial"/>
          <w:b/>
          <w:bCs/>
          <w:noProof/>
          <w:sz w:val="32"/>
          <w:szCs w:val="32"/>
          <w:u w:val="single"/>
          <w:lang w:val="en-US"/>
        </w:rPr>
        <w:br w:type="page"/>
      </w:r>
    </w:p>
    <w:p w14:paraId="05D6602B" w14:textId="19A8072F" w:rsidR="00F50625" w:rsidRDefault="00DB5E9D" w:rsidP="00A4229A">
      <w:pPr>
        <w:pStyle w:val="Heading1"/>
        <w:rPr>
          <w:rFonts w:ascii="Arial" w:hAnsi="Arial" w:cs="Arial"/>
          <w:noProof/>
        </w:rPr>
      </w:pPr>
      <w:r w:rsidRPr="00A4229A">
        <w:rPr>
          <w:rFonts w:ascii="Arial" w:hAnsi="Arial" w:cs="Arial"/>
          <w:noProof/>
        </w:rPr>
        <w:lastRenderedPageBreak/>
        <w:t>D</w:t>
      </w:r>
      <w:r w:rsidR="00D3213D" w:rsidRPr="00A4229A">
        <w:rPr>
          <w:rFonts w:ascii="Arial" w:hAnsi="Arial" w:cs="Arial"/>
          <w:noProof/>
        </w:rPr>
        <w:t>iscussion</w:t>
      </w:r>
    </w:p>
    <w:p w14:paraId="5E284773" w14:textId="77777777" w:rsidR="00A4229A" w:rsidRPr="00A4229A" w:rsidRDefault="00A4229A" w:rsidP="00A4229A">
      <w:pPr>
        <w:rPr>
          <w:lang w:val="en-US"/>
        </w:rPr>
      </w:pPr>
    </w:p>
    <w:p w14:paraId="4998FC9B" w14:textId="08219EDB" w:rsidR="002B59B5" w:rsidRPr="00214987" w:rsidRDefault="00224F34" w:rsidP="00AB4CB7">
      <w:pPr>
        <w:spacing w:line="480" w:lineRule="auto"/>
        <w:rPr>
          <w:rFonts w:ascii="Arial" w:hAnsi="Arial" w:cs="Arial"/>
          <w:noProof/>
          <w:sz w:val="20"/>
          <w:szCs w:val="20"/>
          <w:lang w:val="en-US"/>
        </w:rPr>
      </w:pPr>
      <w:r w:rsidRPr="00214987">
        <w:rPr>
          <w:rFonts w:ascii="Arial" w:hAnsi="Arial" w:cs="Arial"/>
          <w:noProof/>
          <w:sz w:val="20"/>
          <w:szCs w:val="20"/>
          <w:lang w:val="en-US"/>
        </w:rPr>
        <w:t>T</w:t>
      </w:r>
      <w:r w:rsidR="00791E70" w:rsidRPr="00214987">
        <w:rPr>
          <w:rFonts w:ascii="Arial" w:hAnsi="Arial" w:cs="Arial"/>
          <w:noProof/>
          <w:sz w:val="20"/>
          <w:szCs w:val="20"/>
          <w:lang w:val="en-US"/>
        </w:rPr>
        <w:t xml:space="preserve">his study </w:t>
      </w:r>
      <w:r w:rsidR="006C1F02">
        <w:rPr>
          <w:rFonts w:ascii="Arial" w:hAnsi="Arial" w:cs="Arial"/>
          <w:noProof/>
          <w:sz w:val="20"/>
          <w:szCs w:val="20"/>
          <w:lang w:val="en-US"/>
        </w:rPr>
        <w:t>adds further insight to a growing body of real</w:t>
      </w:r>
      <w:r w:rsidR="00D7396D">
        <w:rPr>
          <w:rFonts w:ascii="Arial" w:hAnsi="Arial" w:cs="Arial"/>
          <w:noProof/>
          <w:sz w:val="20"/>
          <w:szCs w:val="20"/>
          <w:lang w:val="en-US"/>
        </w:rPr>
        <w:t xml:space="preserve">-world data </w:t>
      </w:r>
      <w:r w:rsidR="0055382E">
        <w:rPr>
          <w:rFonts w:ascii="Arial" w:hAnsi="Arial" w:cs="Arial"/>
          <w:noProof/>
          <w:sz w:val="20"/>
          <w:szCs w:val="20"/>
          <w:lang w:val="en-US"/>
        </w:rPr>
        <w:t xml:space="preserve">on the </w:t>
      </w:r>
      <w:r w:rsidR="00A80C96">
        <w:rPr>
          <w:rFonts w:ascii="Arial" w:hAnsi="Arial" w:cs="Arial"/>
          <w:noProof/>
          <w:sz w:val="20"/>
          <w:szCs w:val="20"/>
          <w:lang w:val="en-US"/>
        </w:rPr>
        <w:t xml:space="preserve">use of biologic drugs in more severe asthma. </w:t>
      </w:r>
      <w:r w:rsidR="00482133">
        <w:rPr>
          <w:rFonts w:ascii="Arial" w:hAnsi="Arial" w:cs="Arial"/>
          <w:noProof/>
          <w:sz w:val="20"/>
          <w:szCs w:val="20"/>
          <w:lang w:val="en-US"/>
        </w:rPr>
        <w:t xml:space="preserve">It </w:t>
      </w:r>
      <w:r w:rsidR="00D63109">
        <w:rPr>
          <w:rFonts w:ascii="Arial" w:hAnsi="Arial" w:cs="Arial"/>
          <w:noProof/>
          <w:sz w:val="20"/>
          <w:szCs w:val="20"/>
          <w:lang w:val="en-US"/>
        </w:rPr>
        <w:t>uniquely characterised</w:t>
      </w:r>
      <w:r w:rsidR="00126896" w:rsidRPr="00214987">
        <w:rPr>
          <w:rFonts w:ascii="Arial" w:hAnsi="Arial" w:cs="Arial"/>
          <w:noProof/>
          <w:sz w:val="20"/>
          <w:szCs w:val="20"/>
          <w:lang w:val="en-US"/>
        </w:rPr>
        <w:t xml:space="preserve"> </w:t>
      </w:r>
      <w:r w:rsidR="00C21C60" w:rsidRPr="00214987">
        <w:rPr>
          <w:rFonts w:ascii="Arial" w:hAnsi="Arial" w:cs="Arial"/>
          <w:noProof/>
          <w:sz w:val="20"/>
          <w:szCs w:val="20"/>
          <w:lang w:val="en-US"/>
        </w:rPr>
        <w:t xml:space="preserve">the </w:t>
      </w:r>
      <w:r w:rsidR="00E606F2" w:rsidRPr="00214987">
        <w:rPr>
          <w:rFonts w:ascii="Arial" w:hAnsi="Arial" w:cs="Arial"/>
          <w:noProof/>
          <w:sz w:val="20"/>
          <w:szCs w:val="20"/>
          <w:lang w:val="en-US"/>
        </w:rPr>
        <w:t xml:space="preserve">parallel </w:t>
      </w:r>
      <w:r w:rsidR="00C21C60" w:rsidRPr="00214987">
        <w:rPr>
          <w:rFonts w:ascii="Arial" w:hAnsi="Arial" w:cs="Arial"/>
          <w:noProof/>
          <w:sz w:val="20"/>
          <w:szCs w:val="20"/>
          <w:lang w:val="en-US"/>
        </w:rPr>
        <w:t>biologic naïve characteristics</w:t>
      </w:r>
      <w:r w:rsidR="00971141" w:rsidRPr="00214987">
        <w:rPr>
          <w:rFonts w:ascii="Arial" w:hAnsi="Arial" w:cs="Arial"/>
          <w:noProof/>
          <w:sz w:val="20"/>
          <w:szCs w:val="20"/>
          <w:lang w:val="en-US"/>
        </w:rPr>
        <w:t xml:space="preserve"> of</w:t>
      </w:r>
      <w:r w:rsidR="00E15727" w:rsidRPr="00214987">
        <w:rPr>
          <w:rFonts w:ascii="Arial" w:hAnsi="Arial" w:cs="Arial"/>
          <w:noProof/>
          <w:sz w:val="20"/>
          <w:szCs w:val="20"/>
          <w:lang w:val="en-US"/>
        </w:rPr>
        <w:t xml:space="preserve"> </w:t>
      </w:r>
      <w:r w:rsidR="008C6CE9" w:rsidRPr="00214987">
        <w:rPr>
          <w:rFonts w:ascii="Arial" w:hAnsi="Arial" w:cs="Arial"/>
          <w:noProof/>
          <w:sz w:val="20"/>
          <w:szCs w:val="20"/>
          <w:lang w:val="en-US"/>
        </w:rPr>
        <w:t>Omalizumab</w:t>
      </w:r>
      <w:r w:rsidR="00E0017E" w:rsidRPr="00214987">
        <w:rPr>
          <w:rFonts w:ascii="Arial" w:hAnsi="Arial" w:cs="Arial"/>
          <w:noProof/>
          <w:sz w:val="20"/>
          <w:szCs w:val="20"/>
          <w:lang w:val="en-US"/>
        </w:rPr>
        <w:t xml:space="preserve"> and </w:t>
      </w:r>
      <w:r w:rsidR="008C6CE9">
        <w:rPr>
          <w:rFonts w:ascii="Arial" w:hAnsi="Arial" w:cs="Arial"/>
          <w:noProof/>
          <w:sz w:val="20"/>
          <w:szCs w:val="20"/>
          <w:lang w:val="en-US"/>
        </w:rPr>
        <w:t>Mepolizumab</w:t>
      </w:r>
      <w:r w:rsidR="00E0017E" w:rsidRPr="00214987">
        <w:rPr>
          <w:rFonts w:ascii="Arial" w:hAnsi="Arial" w:cs="Arial"/>
          <w:noProof/>
          <w:sz w:val="20"/>
          <w:szCs w:val="20"/>
          <w:lang w:val="en-US"/>
        </w:rPr>
        <w:t xml:space="preserve"> </w:t>
      </w:r>
      <w:r w:rsidR="00F309D9" w:rsidRPr="00214987">
        <w:rPr>
          <w:rFonts w:ascii="Arial" w:hAnsi="Arial" w:cs="Arial"/>
          <w:noProof/>
          <w:sz w:val="20"/>
          <w:szCs w:val="20"/>
          <w:lang w:val="en-US"/>
        </w:rPr>
        <w:t xml:space="preserve">treated subjects against </w:t>
      </w:r>
      <w:r w:rsidR="002D2FD5" w:rsidRPr="00214987">
        <w:rPr>
          <w:rFonts w:ascii="Arial" w:hAnsi="Arial" w:cs="Arial"/>
          <w:noProof/>
          <w:sz w:val="20"/>
          <w:szCs w:val="20"/>
          <w:lang w:val="en-US"/>
        </w:rPr>
        <w:t xml:space="preserve">a common </w:t>
      </w:r>
      <w:r w:rsidR="00F309D9" w:rsidRPr="00214987">
        <w:rPr>
          <w:rFonts w:ascii="Arial" w:hAnsi="Arial" w:cs="Arial"/>
          <w:noProof/>
          <w:sz w:val="20"/>
          <w:szCs w:val="20"/>
          <w:lang w:val="en-US"/>
        </w:rPr>
        <w:t>comparator</w:t>
      </w:r>
      <w:r w:rsidR="00E910BE" w:rsidRPr="00214987">
        <w:rPr>
          <w:rFonts w:ascii="Arial" w:hAnsi="Arial" w:cs="Arial"/>
          <w:noProof/>
          <w:sz w:val="20"/>
          <w:szCs w:val="20"/>
          <w:lang w:val="en-US"/>
        </w:rPr>
        <w:t xml:space="preserve"> </w:t>
      </w:r>
      <w:r w:rsidR="00126896" w:rsidRPr="00214987">
        <w:rPr>
          <w:rFonts w:ascii="Arial" w:hAnsi="Arial" w:cs="Arial"/>
          <w:noProof/>
          <w:sz w:val="20"/>
          <w:szCs w:val="20"/>
          <w:lang w:val="en-US"/>
        </w:rPr>
        <w:t xml:space="preserve">that remained biologic </w:t>
      </w:r>
      <w:r w:rsidR="00EE0CFD" w:rsidRPr="00214987">
        <w:rPr>
          <w:rFonts w:ascii="Arial" w:hAnsi="Arial" w:cs="Arial"/>
          <w:noProof/>
          <w:sz w:val="20"/>
          <w:szCs w:val="20"/>
          <w:lang w:val="en-US"/>
        </w:rPr>
        <w:t>naïve</w:t>
      </w:r>
      <w:r w:rsidR="00E606F2" w:rsidRPr="00214987">
        <w:rPr>
          <w:rFonts w:ascii="Arial" w:hAnsi="Arial" w:cs="Arial"/>
          <w:noProof/>
          <w:sz w:val="20"/>
          <w:szCs w:val="20"/>
          <w:lang w:val="en-US"/>
        </w:rPr>
        <w:t xml:space="preserve"> (SNB)</w:t>
      </w:r>
      <w:r w:rsidR="00D11FE7" w:rsidRPr="00214987">
        <w:rPr>
          <w:rFonts w:ascii="Arial" w:hAnsi="Arial" w:cs="Arial"/>
          <w:noProof/>
          <w:sz w:val="20"/>
          <w:szCs w:val="20"/>
          <w:lang w:val="en-US"/>
        </w:rPr>
        <w:t xml:space="preserve"> within the same </w:t>
      </w:r>
      <w:r w:rsidR="00482133">
        <w:rPr>
          <w:rFonts w:ascii="Arial" w:hAnsi="Arial" w:cs="Arial"/>
          <w:noProof/>
          <w:sz w:val="20"/>
          <w:szCs w:val="20"/>
          <w:lang w:val="en-US"/>
        </w:rPr>
        <w:t xml:space="preserve">difficult asthma </w:t>
      </w:r>
      <w:r w:rsidR="00D11FE7" w:rsidRPr="00214987">
        <w:rPr>
          <w:rFonts w:ascii="Arial" w:hAnsi="Arial" w:cs="Arial"/>
          <w:noProof/>
          <w:sz w:val="20"/>
          <w:szCs w:val="20"/>
          <w:lang w:val="en-US"/>
        </w:rPr>
        <w:t>cohort</w:t>
      </w:r>
      <w:r w:rsidR="00E15727" w:rsidRPr="00214987">
        <w:rPr>
          <w:rFonts w:ascii="Arial" w:hAnsi="Arial" w:cs="Arial"/>
          <w:noProof/>
          <w:sz w:val="20"/>
          <w:szCs w:val="20"/>
          <w:lang w:val="en-US"/>
        </w:rPr>
        <w:t>.</w:t>
      </w:r>
      <w:r w:rsidR="00655A5B" w:rsidRPr="00214987">
        <w:rPr>
          <w:rFonts w:ascii="Arial" w:hAnsi="Arial" w:cs="Arial"/>
          <w:noProof/>
          <w:sz w:val="20"/>
          <w:szCs w:val="20"/>
          <w:lang w:val="en-US"/>
        </w:rPr>
        <w:t xml:space="preserve"> </w:t>
      </w:r>
      <w:r w:rsidR="002B01F3" w:rsidRPr="00214987">
        <w:rPr>
          <w:rFonts w:ascii="Arial" w:hAnsi="Arial" w:cs="Arial"/>
          <w:noProof/>
          <w:sz w:val="20"/>
          <w:szCs w:val="20"/>
          <w:lang w:val="en-US"/>
        </w:rPr>
        <w:t xml:space="preserve">A key finding was that </w:t>
      </w:r>
      <w:r w:rsidR="00774BEB" w:rsidRPr="00214987">
        <w:rPr>
          <w:rFonts w:ascii="Arial" w:hAnsi="Arial" w:cs="Arial"/>
          <w:noProof/>
          <w:sz w:val="20"/>
          <w:szCs w:val="20"/>
          <w:lang w:val="en-US"/>
        </w:rPr>
        <w:t xml:space="preserve">despite potentially overlapping clinical </w:t>
      </w:r>
      <w:r w:rsidR="002B59B5" w:rsidRPr="00214987">
        <w:rPr>
          <w:rFonts w:ascii="Arial" w:hAnsi="Arial" w:cs="Arial"/>
          <w:noProof/>
          <w:sz w:val="20"/>
          <w:szCs w:val="20"/>
          <w:lang w:val="en-US"/>
        </w:rPr>
        <w:t>indications</w:t>
      </w:r>
      <w:r w:rsidR="00657F33" w:rsidRPr="00214987">
        <w:rPr>
          <w:rFonts w:ascii="Arial" w:hAnsi="Arial" w:cs="Arial"/>
          <w:noProof/>
          <w:sz w:val="20"/>
          <w:szCs w:val="20"/>
          <w:lang w:val="en-US"/>
        </w:rPr>
        <w:t xml:space="preserve"> for </w:t>
      </w:r>
      <w:r w:rsidR="00A22019" w:rsidRPr="00214987">
        <w:rPr>
          <w:rFonts w:ascii="Arial" w:hAnsi="Arial" w:cs="Arial"/>
          <w:noProof/>
          <w:sz w:val="20"/>
          <w:szCs w:val="20"/>
          <w:lang w:val="en-US"/>
        </w:rPr>
        <w:t>these</w:t>
      </w:r>
      <w:r w:rsidR="00657F33" w:rsidRPr="00214987">
        <w:rPr>
          <w:rFonts w:ascii="Arial" w:hAnsi="Arial" w:cs="Arial"/>
          <w:noProof/>
          <w:sz w:val="20"/>
          <w:szCs w:val="20"/>
          <w:lang w:val="en-US"/>
        </w:rPr>
        <w:t xml:space="preserve"> </w:t>
      </w:r>
      <w:r w:rsidR="00B834AC" w:rsidRPr="00214987">
        <w:rPr>
          <w:rFonts w:ascii="Arial" w:hAnsi="Arial" w:cs="Arial"/>
          <w:noProof/>
          <w:sz w:val="20"/>
          <w:szCs w:val="20"/>
          <w:lang w:val="en-US"/>
        </w:rPr>
        <w:t>drugs</w:t>
      </w:r>
      <w:r w:rsidR="00774BEB" w:rsidRPr="00214987">
        <w:rPr>
          <w:rFonts w:ascii="Arial" w:hAnsi="Arial" w:cs="Arial"/>
          <w:noProof/>
          <w:sz w:val="20"/>
          <w:szCs w:val="20"/>
          <w:lang w:val="en-US"/>
        </w:rPr>
        <w:t xml:space="preserve">, </w:t>
      </w:r>
      <w:r w:rsidR="008C6CE9" w:rsidRPr="00214987">
        <w:rPr>
          <w:rFonts w:ascii="Arial" w:hAnsi="Arial" w:cs="Arial"/>
          <w:noProof/>
          <w:sz w:val="20"/>
          <w:szCs w:val="20"/>
          <w:lang w:val="en-US"/>
        </w:rPr>
        <w:t>Omalizumab</w:t>
      </w:r>
      <w:r w:rsidR="00BF6698" w:rsidRPr="00214987">
        <w:rPr>
          <w:rFonts w:ascii="Arial" w:hAnsi="Arial" w:cs="Arial"/>
          <w:noProof/>
          <w:sz w:val="20"/>
          <w:szCs w:val="20"/>
          <w:lang w:val="en-US"/>
        </w:rPr>
        <w:t xml:space="preserve"> and </w:t>
      </w:r>
      <w:r w:rsidR="008C6CE9">
        <w:rPr>
          <w:rFonts w:ascii="Arial" w:hAnsi="Arial" w:cs="Arial"/>
          <w:noProof/>
          <w:sz w:val="20"/>
          <w:szCs w:val="20"/>
          <w:lang w:val="en-US"/>
        </w:rPr>
        <w:t>Mepolizumab</w:t>
      </w:r>
      <w:r w:rsidR="00BF6698" w:rsidRPr="00214987">
        <w:rPr>
          <w:rFonts w:ascii="Arial" w:hAnsi="Arial" w:cs="Arial"/>
          <w:noProof/>
          <w:sz w:val="20"/>
          <w:szCs w:val="20"/>
          <w:lang w:val="en-US"/>
        </w:rPr>
        <w:t xml:space="preserve"> </w:t>
      </w:r>
      <w:r w:rsidR="00DC732D" w:rsidRPr="00214987">
        <w:rPr>
          <w:rFonts w:ascii="Arial" w:hAnsi="Arial" w:cs="Arial"/>
          <w:noProof/>
          <w:sz w:val="20"/>
          <w:szCs w:val="20"/>
          <w:lang w:val="en-US"/>
        </w:rPr>
        <w:t>treated patients</w:t>
      </w:r>
      <w:r w:rsidR="00DB46CD" w:rsidRPr="00214987">
        <w:rPr>
          <w:rFonts w:ascii="Arial" w:hAnsi="Arial" w:cs="Arial"/>
          <w:noProof/>
          <w:sz w:val="20"/>
          <w:szCs w:val="20"/>
          <w:lang w:val="en-US"/>
        </w:rPr>
        <w:t xml:space="preserve"> </w:t>
      </w:r>
      <w:r w:rsidR="002F1BCF" w:rsidRPr="00214987">
        <w:rPr>
          <w:rFonts w:ascii="Arial" w:hAnsi="Arial" w:cs="Arial"/>
          <w:noProof/>
          <w:sz w:val="20"/>
          <w:szCs w:val="20"/>
          <w:lang w:val="en-US"/>
        </w:rPr>
        <w:t>showed</w:t>
      </w:r>
      <w:r w:rsidR="00027647" w:rsidRPr="00214987">
        <w:rPr>
          <w:rFonts w:ascii="Arial" w:hAnsi="Arial" w:cs="Arial"/>
          <w:noProof/>
          <w:sz w:val="20"/>
          <w:szCs w:val="20"/>
          <w:lang w:val="en-US"/>
        </w:rPr>
        <w:t xml:space="preserve"> distinctive asthma phenotypes</w:t>
      </w:r>
      <w:r w:rsidR="002B59B5" w:rsidRPr="00214987">
        <w:rPr>
          <w:rFonts w:ascii="Arial" w:hAnsi="Arial" w:cs="Arial"/>
          <w:noProof/>
          <w:sz w:val="20"/>
          <w:szCs w:val="20"/>
          <w:lang w:val="en-US"/>
        </w:rPr>
        <w:t xml:space="preserve">. </w:t>
      </w:r>
      <w:r w:rsidR="00492B4B" w:rsidRPr="00214987">
        <w:rPr>
          <w:rFonts w:ascii="Arial" w:hAnsi="Arial" w:cs="Arial"/>
          <w:noProof/>
          <w:sz w:val="20"/>
          <w:szCs w:val="20"/>
          <w:lang w:val="en-US"/>
        </w:rPr>
        <w:t>Regardless</w:t>
      </w:r>
      <w:r w:rsidR="00086894" w:rsidRPr="00214987">
        <w:rPr>
          <w:rFonts w:ascii="Arial" w:hAnsi="Arial" w:cs="Arial"/>
          <w:noProof/>
          <w:sz w:val="20"/>
          <w:szCs w:val="20"/>
          <w:lang w:val="en-US"/>
        </w:rPr>
        <w:t xml:space="preserve">, </w:t>
      </w:r>
      <w:r w:rsidR="00C37E74" w:rsidRPr="00214987">
        <w:rPr>
          <w:rFonts w:ascii="Arial" w:hAnsi="Arial" w:cs="Arial"/>
          <w:noProof/>
          <w:sz w:val="20"/>
          <w:szCs w:val="20"/>
          <w:lang w:val="en-US"/>
        </w:rPr>
        <w:t>both</w:t>
      </w:r>
      <w:r w:rsidR="00BF6698" w:rsidRPr="00214987">
        <w:rPr>
          <w:rFonts w:ascii="Arial" w:hAnsi="Arial" w:cs="Arial"/>
          <w:noProof/>
          <w:sz w:val="20"/>
          <w:szCs w:val="20"/>
          <w:lang w:val="en-US"/>
        </w:rPr>
        <w:t xml:space="preserve"> biologic</w:t>
      </w:r>
      <w:r w:rsidR="00C37E74" w:rsidRPr="00214987">
        <w:rPr>
          <w:rFonts w:ascii="Arial" w:hAnsi="Arial" w:cs="Arial"/>
          <w:noProof/>
          <w:sz w:val="20"/>
          <w:szCs w:val="20"/>
          <w:lang w:val="en-US"/>
        </w:rPr>
        <w:t xml:space="preserve"> </w:t>
      </w:r>
      <w:r w:rsidR="00095384" w:rsidRPr="00214987">
        <w:rPr>
          <w:rFonts w:ascii="Arial" w:hAnsi="Arial" w:cs="Arial"/>
          <w:noProof/>
          <w:sz w:val="20"/>
          <w:szCs w:val="20"/>
          <w:lang w:val="en-US"/>
        </w:rPr>
        <w:t>response rates</w:t>
      </w:r>
      <w:r w:rsidR="005A4B80" w:rsidRPr="00214987">
        <w:rPr>
          <w:rFonts w:ascii="Arial" w:hAnsi="Arial" w:cs="Arial"/>
          <w:noProof/>
          <w:sz w:val="20"/>
          <w:szCs w:val="20"/>
          <w:lang w:val="en-US"/>
        </w:rPr>
        <w:t xml:space="preserve"> were comparable to RCTs and other reports</w:t>
      </w:r>
      <w:r w:rsidR="005A4B80"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 xml:space="preserve">ADDIN CSL_CITATION {"citationItems":[{"id":"ITEM-1","itemData":{"DOI":"10.1111/all.14235","ISSN":"13989995","PMID":"32064642","abstract":"Allergic asthma is a frequent asthma phenotype. Both IgE and type 2 cytokines are increased, with some degree of overlap with other phenotypes. Systematic reviews assessed the efficacy and safety of benralizumab, dupilumab and omalizumab (alphabetical order) vs standard of care for patients with uncontrolled severe allergic asthma. PubMed, Embase and Cochrane Library were searched to identify RCTs and health economic evaluations, published in English. Critical and important asthma-related outcomes were evaluated. The risk of bias and the certainty of the evidence were assessed using GRADE. All three biologicals reduced with high certainty the annualized asthma exacerbation rate: benralizumab incidence rate ratios (IRR) 0.63 (95% CI 0.50 − 0.81); dupilumab IRR 0.58 (95%CI 0.47 − 0.73); and omalizumab IRR 0.56 (95%CI 0.42 − 0.73). Benralizumab and dupilumab improved asthma control with high certainty and omalizumab with moderate certainty; however, none reached the minimal important difference (MID). Both benralizumab and omalizumab improved QoL with high certainty, but only omalizumab reached the MID. Omalizumab enabled ICS dose reduction with high certainty. Benralizumab and omalizumab showed an increase in drug-related adverse events (AEs) with low to moderate certainty. All three biologicals had moderate certainty for an ICER/QALY value above the willingness to pay threshold. There was high certainty that in children 6-12 years old omalizumab decreased the annualized exacerbation rate [IRR 0.57 (95%CI 0.45-0.72)], improved QoL [relative risk 1.43 (95%CI 1.12 −1.83)], reduced ICS [mean difference (MD) −0.45 (95% CI −0.58 to −0.32)] and rescue medication use [MD −0.41 (95%CI −0.66 to −0.15)].","author":[{"dropping-particle":"","family":"Agache","given":"Ioana","non-dropping-particle":"","parse-names":false,"suffix":""},{"dropping-particle":"","family":"Rocha","given":"Claudio","non-dropping-particle":"","parse-names":false,"suffix":""},{"dropping-particle":"","family":"Beltran","given":"Jessica","non-dropping-particle":"","parse-names":false,"suffix":""},{"dropping-particle":"","family":"Song","given":"Yang","non-dropping-particle":"","parse-names":false,"suffix":""},{"dropping-particle":"","family":"Posso","given":"Margarita","non-dropping-particle":"","parse-names":false,"suffix":""},{"dropping-particle":"","family":"Solà","given":"Ivan","non-dropping-particle":"","parse-names":false,"suffix":""},{"dropping-particle":"","family":"Alonso-Coello","given":"Pablo","non-dropping-particle":"","parse-names":false,"suffix":""},{"dropping-particle":"","family":"Akdis","given":"Cezmi","non-dropping-particle":"","parse-names":false,"suffix":""},{"dropping-particle":"","family":"Akdis","given":"Mubeccel","non-dropping-particle":"","parse-names":false,"suffix":""},{"dropping-particle":"","family":"Canonica","given":"Giorgio W.","non-dropping-particle":"","parse-names":false,"suffix":""},{"dropping-particle":"","family":"Casale","given":"Thomas","non-dropping-particle":"","parse-names":false,"suffix":""},{"dropping-particle":"","family":"Chivato","given":"Tomas","non-dropping-particle":"","parse-names":false,"suffix":""},{"dropping-particle":"","family":"Corren","given":"Jonathan","non-dropping-particle":"","parse-names":false,"suffix":""},{"dropping-particle":"","family":"Giacco","given":"Stefano","non-dropping-particle":"Del","parse-names":false,"suffix":""},{"dropping-particle":"","family":"Eiwegger","given":"Thomas","non-dropping-particle":"","parse-names":false,"suffix":""},{"dropping-particle":"","family":"Firinu","given":"Davide","non-dropping-particle":"","parse-names":false,"suffix":""},{"dropping-particle":"","family":"Gern","given":"James E.","non-dropping-particle":"","parse-names":false,"suffix":""},{"dropping-particle":"","family":"Hamelmann","given":"Eckard","non-dropping-particle":"","parse-names":false,"suffix":""},{"dropping-particle":"","family":"Hanania","given":"Nicola","non-dropping-particle":"","parse-names":false,"suffix":""},{"dropping-particle":"","family":"Mäkelä","given":"Mika","non-dropping-particle":"","parse-names":false,"suffix":""},{"dropping-particle":"","family":"Martín","given":"Irene Hernández","non-dropping-particle":"","parse-names":false,"suffix":""},{"dropping-particle":"","family":"Nair","given":"Parameswaran","non-dropping-particle":"","parse-names":false,"suffix":""},{"dropping-particle":"","family":"O'Mahony","given":"Liam","non-dropping-particle":"","parse-names":false,"suffix":""},{"dropping-particle":"","family":"Papadopoulos","given":"Nikolaos G.","non-dropping-particle":"","parse-names":false,"suffix":""},{"dropping-particle":"","family":"Papi","given":"Alberto","non-dropping-particle":"","parse-names":false,"suffix":""},{"dropping-particle":"","family":"Park","given":"Hae Sim","non-dropping-particle":"","parse-names":false,"suffix":""},{"dropping-particle":"","family":"Pérez de Llano","given":"Luis","non-dropping-particle":"","parse-names":false,"suffix":""},{"dropping-particle":"","family":"Quirce","given":"Santiago","non-dropping-particle":"","parse-names":false,"suffix":""},{"dropping-particle":"","family":"Sastre","given":"Joaquin","non-dropping-particle":"","parse-names":false,"suffix":""},{"dropping-particle":"","family":"Shamji","given":"Mohamed","non-dropping-particle":"","parse-names":false,"suffix":""},{"dropping-particle":"","family":"Schwarze","given":"Jurgen","non-dropping-particle":"","parse-names":false,"suffix":""},{"dropping-particle":"","family":"Canelo-Aybar","given":"Carlos","non-dropping-particle":"","parse-names":false,"suffix":""},{"dropping-particle":"","family":"Palomares","given":"Oscar","non-dropping-particle":"","parse-names":false,"suffix":""},{"dropping-particle":"","family":"Jutel","given":"Marek","non-dropping-particle":"","parse-names":false,"suffix":""}],"container-title":"Allergy: European Journal of Allergy and Clinical Immunology","id":"ITEM-1","issue":"5","issued":{"date-parts":[["2020"]]},"page":"1043-1057","title":"Efficacy and safety of treatment with biologicals (benralizumab, dupilumab and omalizumab) for severe allergic asthma: A systematic review for the EAACI Guidelines - recommendations on the use of biologicals in severe asthma","type":"article-journal","volume":"75"},"uris":["http://www.mendeley.com/documents/?uuid=7981ca81-bcaf-4360-b683-9a3695ac68b2"]},{"id":"ITEM-2","itemData":{"DOI":"10.1111/all.12815","ISSN":"01054538","abstract":"We reviewed 24 'real-life' effectiveness studies of omalizumab in the treatment of severe allergic asthma that included 4117 unique patients from 32 countries with significant heterogeneity in patients, clinicians and settings. The evidence underscores the short- and long-term benefit of anti-IgE therapy in terms of the following: improving lung function; achieving asthma control and reducing symptomatology, severe exacerbations and associated work/school days lost; reducing healthcare resource utilizations, in particular hospitalizations, hospital lengths of stay and accident specialist or emergency department visits; reducing or discontinuing other asthma medications; and improving quality of life - thus confirming, complementing and extending evidence from randomized trials. Thus, omalizumab therapy is associated with signal improvements across the full objective and subjective burden of illness chain of severe allergic asthma. Benefits of omalizumab may extend up to 2-4 years, and the majority of omalizumab-treated patients may benefit for many years. Omalizumab has positive short- and long-term safety profiles similar to what is known from randomized clinical trials. Initiated patients should be monitored for treatment response at 16 weeks. Those showing positive response at that time are highly likely to show sustained treatment response and benefit in terms of clinical, quality of life and health resource utilization outcomes.","author":[{"dropping-particle":"","family":"Abraham","given":"I.","non-dropping-particle":"","parse-names":false,"suffix":""},{"dropping-particle":"","family":"Alhossan","given":"A.","non-dropping-particle":"","parse-names":false,"suffix":""},{"dropping-particle":"","family":"Lee","given":"C. S.","non-dropping-particle":"","parse-names":false,"suffix":""},{"dropping-particle":"","family":"Kutbi","given":"H.","non-dropping-particle":"","parse-names":false,"suffix":""},{"dropping-particle":"","family":"MacDonald","given":"K.","non-dropping-particle":"","parse-names":false,"suffix":""}],"container-title":"Allergy","id":"ITEM-2","issue":"5","issued":{"date-parts":[["2016","5","1"]]},"page":"593-610","publisher":"Blackwell Publishing Ltd","title":"‘Real-life’ effectiveness studies of omalizumab in adult patients with severe allergic asthma: systematic review","type":"article-journal","volume":"71"},"uris":["http://www.mendeley.com/documents/?uuid=8ea93d1b-0562-387c-ba1b-721e7d599d6f"]},{"id":"ITEM-3","itemData":{"DOI":"10.1111/j.1752-699X.2011.00263.x","ISSN":"17526981","PMID":"21740532","abstract":"Background and Aims: Although the efficacy and safety of omalizumab (OMA) in uncontrolled severe allergic asthma has been demonstrated in several randomised controlled trials (RCTs), information on the treatment in a practice-related setting is limited. Thus, the purpose of this prospective multi-centre study (XCLUSIVE) was to investigate the efficacy, compliance and utilisation of OMA therapy in real-life clinical practice in Germany. Methods: One hundred ninety-five asthmatic patients initiated on anti-Immunoglobulin E (IgE) IgE treatment were followed-up for 6 months. Forced expiratory volume in 1s (FEV1), exacerbation rate, days of absence, asthma symptoms [Asthma Control Questionnaire (ACQ)], a Global Evaluation of Treatment Effectiveness (GETE) and medication use were assessed. Results: Measured outcome variables improved after a 16-week treatment period with OMA (FEV1+13.7% predicted P&lt;0.05, exacerbation rate -74.9% P&lt;0.0001, days of absence -92.1% P&lt;0.001, ACQ -43.7% P&lt;0.0001). Investigators evaluated the effectiveness of OMA by GETE in 78.8% as excellent or good (responder), and in 12.6%/8.6% as moderate/poor or worse (non-responder). Responders demonstrated better improvement of FEV1, exacerbation rate, days of absence, ACQ and reduction of oral corticosteroids compared with non-responders. Conclusion: Results of effectiveness strongly suggest that the efficacy demonstrated in RCTs can be transposed to a clinical practice-related setting. © 2011 Blackwell Publishing Ltd.","author":[{"dropping-particle":"","family":"Schumann","given":"Christian","non-dropping-particle":"","parse-names":false,"suffix":""},{"dropping-particle":"","family":"Kropf","given":"Cornelia","non-dropping-particle":"","parse-names":false,"suffix":""},{"dropping-particle":"","family":"Wibmer","given":"Thomas","non-dropping-particle":"","parse-names":false,"suffix":""},{"dropping-particle":"","family":"Rüdiger","given":"Stefan","non-dropping-particle":"","parse-names":false,"suffix":""},{"dropping-particle":"","family":"Stoiber","given":"Kathrin Magdalena","non-dropping-particle":"","parse-names":false,"suffix":""},{"dropping-particle":"","family":"Thielen","given":"Antje","non-dropping-particle":"","parse-names":false,"suffix":""},{"dropping-particle":"","family":"Rottbauer","given":"Wolfgang","non-dropping-particle":"","parse-names":false,"suffix":""},{"dropping-particle":"","family":"Kroegel","given":"Claus","non-dropping-particle":"","parse-names":false,"suffix":""}],"container-title":"Clinical Respiratory Journal","id":"ITEM-3","issue":"4","issued":{"date-parts":[["2012","10"]]},"page":"215-227","publisher":"Clin Respir J","title":"Omalizumab in patients with severe asthma: The XCLUSIVE study","type":"article-journal","volume":"6"},"uris":["http://www.mendeley.com/documents/?uuid=245e56ca-5aad-3746-a343-be44e76274da"]},{"id":"ITEM-4","itemData":{"DOI":"10.1185/03007995.2011.620950","ISSN":"03007995","PMID":"21933100","abstract":"Background: Long-term oral corticosteroid (OCS) therapy and related adverse events are associated with a significant burden on patients and healthcare resources. Methods: This subgroup analysis of a randomized, open-label, parallel-group study evaluated the OCS-sparing effect of omalizumab (OMA) added to optimized asthma therapy (OAT), compared with OAT alone. Patients (1275 years) with severe allergic asthma, uncontrolled despite GINA 2004 Step 4 therapy, received OMA or OAT for 32 weeks. The change from baseline in OCS use by Week 32 in patients requiring maintenance OCS at baseline was assessed in terms of percent OCS dose change and numbers of patients with reduced/stopped or maintained/increased OCS. Results: Eighty-two patients were receiving maintenance OCS at baseline (OMA/OAT n=59, OAT n=23). Change from baseline in mean maintenance OCS dose at Week 32 was significantly greater in the OMA/OAT group compared with the OAT group (-45% vs.+18.3%, p=0.002). In the OMA/OAT group, 37 patients (62.7%) reduced/stopped OCS use at Week 32, compared with seven patients (30.4%) receiving OAT (p=0.013). Improvements in other efficacy outcomes were seen at Week 32 in the OMA/OAT group, irrespective of OCS use. An investigator global evaluation of treatment effectiveness at Week 16 was an effective predictor of persistent treatment response at 32 weeks for the majority of OMA/OAT patients (93%), also irrespective of OCS use. Conclusion: In this open-label study of patients with severe allergic asthma, OMA/OAT therapy reduced maintenance OCS use, compared with OAT alone. Improvements in efficacy measures were observed in the OMA/OAT group, irrespective of OCS change. Clinicaltrials.gov identifier: NCT00264849. © 2011 Informa UK Ltd.","author":[{"dropping-particle":"","family":"Siergiejko","given":"Zenon","non-dropping-particle":"","parse-names":false,"suffix":""},{"dropping-particle":"","family":"Świebocka","given":"Ewa","non-dropping-particle":"","parse-names":false,"suffix":""},{"dropping-particle":"","family":"Smith","given":"Nicola","non-dropping-particle":"","parse-names":false,"suffix":""},{"dropping-particle":"","family":"Peckitt","given":"Clare","non-dropping-particle":"","parse-names":false,"suffix":""},{"dropping-particle":"","family":"Leo","given":"Jo","non-dropping-particle":"","parse-names":false,"suffix":""},{"dropping-particle":"","family":"Peachey","given":"Guy","non-dropping-particle":"","parse-names":false,"suffix":""},{"dropping-particle":"","family":"Maykut","given":"Robert","non-dropping-particle":"","parse-names":false,"suffix":""}],"container-title":"Current Medical Research and Opinion","id":"ITEM-4","issue":"11","issued":{"date-parts":[["2011","11"]]},"page":"2223-2228","publisher":"Taylor &amp; Francis","title":"Oral corticosteroid sparing with omalizumab in severe allergic (IgE-mediated) asthma patients","type":"article-journal","volume":"27"},"uris":["http://www.mendeley.com/documents/?uuid=c26c5b92-f34c-386f-bcd0-fe7d4f403ce0"]},{"id":"ITEM-5","itemData":{"DOI":"10.1016/j.rmed.2007.01.011","ISSN":"09546111","PMID":"17339107","abstract":"Background: Omalizumab is a monoclonal antibody indicated for treatment of severe persistent allergic asthma inadequately controlled despite optimal controller therapy. We investigated whether patient selection could be targeted further. Methods: Data from seven randomized controlled omalizumab trials were analyzed to investigate whether pre-treatment patient baseline clinical characteristics could be identified that were predictive of a superior response to omalizumab. We also studied whether patients who respond to omalizumab following a course of treatment could be reliably identified. Univariate/multivariate analyses of INNOVATE data were performed to identify predictive baseline measures and further investigated in efficacy analyses of pooled data from seven studies. The best method of identifying responders to omalizumab following treatment was determined by assessing the ability of various clinical response criteria to identify responders and discriminate patient exacerbation and other outcomes. Results: Baseline total immunoglobulin E (IgE) was the only predictor of efficacy in INNOVATE. However, pooled analysis showed treatment benefits irrespective of IgE levels. In omalizumab-treated patients, physician's overall assessment following a course of treatment identified 61% as responders and best discriminated treatment outcomes. Conclusion: Baseline characteristics do not reliably predict benefit with omalizumab. Physician's overall assessment after 16 weeks of treatment is the most meaningful measure of response to therapy. © 2007 Elsevier Ltd. All rights reserved.","author":[{"dropping-particle":"","family":"Bousquet","given":"J.","non-dropping-particle":"","parse-names":false,"suffix":""},{"dropping-particle":"","family":"Rabe","given":"K.","non-dropping-particle":"","parse-names":false,"suffix":""},{"dropping-particle":"","family":"Humbert","given":"M.","non-dropping-particle":"","parse-names":false,"suffix":""},{"dropping-particle":"","family":"Chung","given":"K. F.","non-dropping-particle":"","parse-names":false,"suffix":""},{"dropping-particle":"","family":"Berger","given":"W.","non-dropping-particle":"","parse-names":false,"suffix":""},{"dropping-particle":"","family":"Fox","given":"H.","non-dropping-particle":"","parse-names":false,"suffix":""},{"dropping-particle":"","family":"Ayre","given":"G.","non-dropping-particle":"","parse-names":false,"suffix":""},{"dropping-particle":"","family":"Chen","given":"H.","non-dropping-particle":"","parse-names":false,"suffix":""},{"dropping-particle":"","family":"Thomas","given":"K.","non-dropping-particle":"","parse-names":false,"suffix":""},{"dropping-particle":"","family":"Blogg","given":"M.","non-dropping-particle":"","parse-names":false,"suffix":""},{"dropping-particle":"","family":"Holgate","given":"S.","non-dropping-particle":"","parse-names":false,"suffix":""}],"container-title":"Respiratory Medicine","id":"ITEM-5","issue":"7","issued":{"date-parts":[["2007","7","1"]]},"page":"1483-1492","publisher":"W.B. Saunders","title":"Predicting and evaluating response to omalizumab in patients with severe allergic asthma","type":"article-journal","volume":"101"},"uris":["http://www.mendeley.com/documents/?uuid=4b46f2eb-ea06-36a6-a846-2cb2646c979c"]},{"id":"ITEM-6","itemData":{"DOI":"10.1016/j.pupt.2019.101836","ISSN":"15229629","PMID":"31473366","abstract":"Background: Severe asthma is a disease with a heavy socio-economic burden and a relevant impact on the life of patients. Mepolizumab (MEP) was recently introduced in practice. The previous data were favourable as efficacy and safety are concerned. Nowadays, we can report the clinical data after more than one year of use of MEP in the real-life setting. Objective: To evaluate the efficacy and safety of MEP in a real life framework, mainly concerning asthma exacerbations, steroid dependence, effects on respiratory function and adverse events. Methods: This retrospective analysis was performed on 138 patients, treated with MEP for at least 12 months, and referred to eleven severe asthma clinics in Italy. All patients met the criteria for severe uncontrolled asthma according to ATS/ERS guidelines and prescribing MEP conditions according to the Italian Drug Agency (AIFA). Results: We could observe 138 patients (78 female, age 58 ± 10 years). The average age of onset of asthma was 34 ± 16 years. The blood eosinophil count decreased from 822 ± 491/μL at baseline to 117 ± 96/μL (p &lt; .0001) after 12 months of therapy. Exacerbations decreased from 3.8/year to 0.7/year (−81%; p &lt; .0001). Steroid-dependent patients before MEP (80%) with a daily dose of 10.1 ± 9.4 mg prednisone decrease at 28% after 12 months with a mean of 2.0 ± 4.2 mg/day (p &lt; .0001). The occurrence of adverse events was overall low. Conclusions &amp; clinical relevance: In this real-life setting, MEP confirmed its efficacy and safety profile, already shown in clinical trials. This was apparent concerning exacerbation rate, systemic steroids intake and safety.","author":[{"dropping-particle":"","family":"Bagnasco","given":"Diego","non-dropping-particle":"","parse-names":false,"suffix":""},{"dropping-particle":"","family":"Caminati","given":"Marco","non-dropping-particle":"","parse-names":false,"suffix":""},{"dropping-particle":"","family":"Menzella","given":"Francesco","non-dropping-particle":"","parse-names":false,"suffix":""},{"dropping-particle":"","family":"Milanese","given":"Manlio","non-dropping-particle":"","parse-names":false,"suffix":""},{"dropping-particle":"","family":"Rolla","given":"Giovanni","non-dropping-particle":"","parse-names":false,"suffix":""},{"dropping-particle":"","family":"Lombardi","given":"Carlo","non-dropping-particle":"","parse-names":false,"suffix":""},{"dropping-particle":"","family":"Bucca","given":"Caterina","non-dropping-particle":"","parse-names":false,"suffix":""},{"dropping-particle":"","family":"Heffler","given":"Enrico","non-dropping-particle":"","parse-names":false,"suffix":""},{"dropping-particle":"","family":"Paoletti","given":"Giovanni","non-dropping-particle":"","parse-names":false,"suffix":""},{"dropping-particle":"","family":"Testino","given":"Elisa","non-dropping-particle":"","parse-names":false,"suffix":""},{"dropping-particle":"","family":"Manfredi","given":"Andrea","non-dropping-particle":"","parse-names":false,"suffix":""},{"dropping-particle":"","family":"Caruso","given":"Cristiano","non-dropping-particle":"","parse-names":false,"suffix":""},{"dropping-particle":"","family":"Guida","given":"Giuseppe","non-dropping-particle":"","parse-names":false,"suffix":""},{"dropping-particle":"","family":"Senna","given":"Gianenrico","non-dropping-particle":"","parse-names":false,"suffix":""},{"dropping-particle":"","family":"Bonavia","given":"Marco","non-dropping-particle":"","parse-names":false,"suffix":""},{"dropping-particle":"","family":"Riccio","given":"Anna Maria","non-dropping-particle":"","parse-names":false,"suffix":""},{"dropping-particle":"","family":"Canonica","given":"Giorgio Walter","non-dropping-particle":"","parse-names":false,"suffix":""},{"dropping-particle":"","family":"Passalacqua","given":"Giovanni","non-dropping-particle":"","parse-names":false,"suffix":""}],"container-title":"Pulmonary Pharmacology and Therapeutics","id":"ITEM-6","issue":"May","issued":{"date-parts":[["2019"]]},"title":"One year of mepolizumab. Efficacy and safety in real-life in Italy","type":"article-journal","volume":"58"},"uris":["http://www.mendeley.com/documents/?uuid=075236f4-e9f5-464c-a306-f9b6263d3da4"]},{"id":"ITEM-7","itemData":{"DOI":"10.1183/13993003.02420-2019","ISBN":"1261800149729","ISSN":"13993003","PMID":"32139455","abstract":"Severe asthma is a high-burden disease. Real-world data on mepolizumab in patients with severe eosinophilic asthma is needed to assess whether the data from randomised controlled trials are applicable in a broader population. The Australian Mepolizumab Registry (AMR) was established with an aim to assess the use, effectiveness and safety of mepolizumab for severe eosinophilic asthma in Australia. Patients (n=309) with severe eosinophilic asthma (median age 60 years, 58% female) commenced mepolizumab. They had poor symptom control (median Asthma Control Questionnaire (ACQ)-5 score of 3.4), frequent exacerbations (median three courses of oral corticosteroids (OCS) in the previous 12 months), and 47% required daily OCS. Median baseline peripheral blood eosinophil level was 590 cells·µL−1. Comorbidities were common: allergic rhinitis 63%, gastro-oesophageal reflux disease 52%, obesity 46%, nasal polyps 34%. Mepolizumab treatment reduced exacerbations requiring OCS compared with the previous year (annualised rate ratio 0.34 (95% CI 0.29-0.41); p&lt;0.001) and hospitalisations (rate ratio 0.46 (95% CI 0.33-0.63); p&lt;0.001). Treatment improved symptom control (median ACQ-5 reduced by 2.0 at 6 months), quality of life and lung function. Higher blood eosinophil levels (p=0.003) and later age of asthma onset (p=0.028) predicted a better ACQ-5 response to mepolizumab, whilst being male (p=0.031) or having body mass index </w:instrText>
      </w:r>
      <w:r w:rsidR="00AE59D2">
        <w:rPr>
          <w:rFonts w:ascii="Cambria Math" w:hAnsi="Cambria Math" w:cs="Cambria Math"/>
          <w:noProof/>
          <w:sz w:val="20"/>
          <w:szCs w:val="20"/>
          <w:lang w:val="en-US"/>
        </w:rPr>
        <w:instrText>≽</w:instrText>
      </w:r>
      <w:r w:rsidR="00AE59D2">
        <w:rPr>
          <w:rFonts w:ascii="Arial" w:hAnsi="Arial" w:cs="Arial"/>
          <w:noProof/>
          <w:sz w:val="20"/>
          <w:szCs w:val="20"/>
          <w:lang w:val="en-US"/>
        </w:rPr>
        <w:instrText>30 (p=0.043) predicted a lesser response. Super-responders (upper 25% of ACQ-5 responders, n=61, 24%) had a higher T2 disease burden and fewer comorbidities at baseline. Mepolizumab therapy effectively reduces the significant and long-standing disease burden faced by patients with severe eosinophilic asthma in a real-world setting.","author":[{"dropping-particle":"","family":"Harvey","given":"Erin S.","non-dropping-particle":"","parse-names":false,"suffix":""},{"dropping-particle":"","family":"Langton","given":"David","non-dropping-particle":"","parse-names":false,"suffix":""},{"dropping-particle":"","family":"Katelaris","given":"Constance","non-dropping-particle":"","parse-names":false,"suffix":""},{"dropping-particle":"","family":"Stevens","given":"Sean","non-dropping-particle":"","parse-names":false,"suffix":""},{"dropping-particle":"","family":"Farah","given":"Claude S.","non-dropping-particle":"","parse-names":false,"suffix":""},{"dropping-particle":"","family":"Gillman","given":"Andrew","non-dropping-particle":"","parse-names":false,"suffix":""},{"dropping-particle":"","family":"Harrington","given":"John","non-dropping-particle":"","parse-names":false,"suffix":""},{"dropping-particle":"","family":"Hew","given":"Mark","non-dropping-particle":"","parse-names":false,"suffix":""},{"dropping-particle":"","family":"Kritikos","given":"Vicky","non-dropping-particle":"","parse-names":false,"suffix":""},{"dropping-particle":"","family":"Radhakrishna","given":"Naghmeh","non-dropping-particle":"","parse-names":false,"suffix":""},{"dropping-particle":"","family":"Bardin","given":"Philip","non-dropping-particle":"","parse-names":false,"suffix":""},{"dropping-particle":"","family":"Peters","given":"Matthew","non-dropping-particle":"","parse-names":false,"suffix":""},{"dropping-particle":"","family":"Reynolds","given":"Paul N.","non-dropping-particle":"","parse-names":false,"suffix":""},{"dropping-particle":"","family":"Upham","given":"John W.","non-dropping-particle":"","parse-names":false,"suffix":""},{"dropping-particle":"","family":"Baraket","given":"Melissa","non-dropping-particle":"","parse-names":false,"suffix":""},{"dropping-particle":"","family":"Bowler","given":"Simon","non-dropping-particle":"","parse-names":false,"suffix":""},{"dropping-particle":"","family":"Bowden","given":"Jeffrey","non-dropping-particle":"","parse-names":false,"suffix":""},{"dropping-particle":"","family":"Chien","given":"Jimmy","non-dropping-particle":"","parse-names":false,"suffix":""},{"dropping-particle":"","family":"Chung","given":"Li Ping","non-dropping-particle":"","parse-names":false,"suffix":""},{"dropping-particle":"","family":"Grainge","given":"Christopher","non-dropping-particle":"","parse-names":false,"suffix":""},{"dropping-particle":"","family":"Jenkins","given":"Christine","non-dropping-particle":"","parse-names":false,"suffix":""},{"dropping-particle":"","family":"Katsoulotos","given":"Gregory P.","non-dropping-particle":"","parse-names":false,"suffix":""},{"dropping-particle":"","family":"Lee","given":"Joy","non-dropping-particle":"","parse-names":false,"suffix":""},{"dropping-particle":"","family":"McDonald","given":"Vanessa M.","non-dropping-particle":"","parse-names":false,"suffix":""},{"dropping-particle":"","family":"Reddel","given":"Helen K.","non-dropping-particle":"","parse-names":false,"suffix":""},{"dropping-particle":"","family":"Rimmer","given":"Janet","non-dropping-particle":"","parse-names":false,"suffix":""},{"dropping-particle":"","family":"Wark","given":"Peter A.B.","non-dropping-particle":"","parse-names":false,"suffix":""},{"dropping-particle":"","family":"Gibson","given":"Peter G.","non-dropping-particle":"","parse-names":false,"suffix":""}],"container-title":"European Respiratory Journal","id":"ITEM-7","issue":"5","issued":{"date-parts":[["2020"]]},"title":"Mepolizumab effectiveness and identification of super-responders in severe asthma","type":"book","volume":"55"},"uris":["http://www.mendeley.com/documents/?uuid=1e3fff36-f501-4276-87a2-516cb69ce7f7"]},{"id":"ITEM-8","itemData":{"DOI":"10.1016/j.chest.2020.03.042","ISSN":"19313543","PMID":"32275980","abstract":"Background: Mepolizumab was the first licensed anti-IL5 monoclonal antibody for severe eosinophilic asthma (SEA). To date there are few data to confirm its efficacy in the real-world setting or assessment of baseline characteristics associated with response. Research Question: How do patients with severe eosinophilic asthma respond to mepolizumab in the real world setting and which characteristics are associated with a super-response to this therapy? Study Design and Methods: We conducted a retrospective review of all patients who received at least 16 weeks of treatment with mepolizumab (100 mg subcutaneously) for SEA at our regional asthma center in the United Kingdom. Clinical data were collected at each 4-week visit. At 16, 24, and 52 weeks, patients were classified as “responders” or “nonresponders.” A response was defined as ≥50% reduction in exacerbations; for patients whose condition requires maintenance oral corticosteroids (mOCS), a response was defined as ≥50% reduction in prednisolone dose. Super responders were defined as exacerbation-free and off mOCS at one year. Results: Ninety-nine patients were included in the analysis. Asthma exacerbations decreased from a baseline of 4.04 ± 2.57 to 1.86 ± 2.17 per year at one year (54% reduction; P &lt;.001). Sixty-eight patients were receiving mOCS at the time of commencing mepolizumab. By one year, the daily median dose fell from 10 mg (interquartile range, 10 to 15) to 0 mg (interquartile range, 0 to 10; P &lt;.001). Fifty-seven percent of them were able to discontinue mOCS; 72.7% (95% CI, 63.0 to 80.7) of the patients were classified as responders, and 28.3% (95% CI, 20.2 to 38.0) of the patients were classified as super responders. Baseline characteristics associated with responder and super responder status included the presence of nasal polyposis (P =.012), lower baseline Asthma Control Questionnaire 6 (P =.006), a lower BMI (P =.014), and, in those patients receiving mOCS, a significantly lower prednisolone dose at baseline (P =.005). At 16 weeks, the one-year responder status was correctly identified in 80.8% patients; by 24 weeks, this status rose to 92.9%. Interpretation: In a real-world SEA cohort, treatment with mepolizumab reduced exacerbation frequency and mOCS requirements. Nasal polyposis, a lower BMI, and a lower maintenance prednisolone requirement at baseline were associated with better outcomes. Twelve-month response was identifiable in &gt;90% of patients by week 24.","author":[{"dropping-particle":"","family":"Kavanagh","given":"Joanne E.","non-dropping-particle":"","parse-names":false,"suffix":""},{"dropping-particle":"","family":"d'Ancona","given":"Grainne","non-dropping-particle":"","parse-names":false,"suffix":""},{"dropping-particle":"","family":"Elstad","given":"Maria","non-dropping-particle":"","parse-names":false,"suffix":""},{"dropping-particle":"","family":"Green","given":"Linda","non-dropping-particle":"","parse-names":false,"suffix":""},{"dropping-particle":"","family":"Fernandes","given":"Mariana","non-dropping-particle":"","parse-names":false,"suffix":""},{"dropping-particle":"","family":"Thomson","given":"Louise","non-dropping-particle":"","parse-names":false,"suffix":""},{"dropping-particle":"","family":"Roxas","given":"Cris","non-dropping-particle":"","parse-names":false,"suffix":""},{"dropping-particle":"","family":"Dhariwal","given":"Jaideep","non-dropping-particle":"","parse-names":false,"suffix":""},{"dropping-particle":"","family":"Nanzer","given":"Alexandra M.","non-dropping-particle":"","parse-names":false,"suffix":""},{"dropping-particle":"","family":"Kent","given":"Brian D.","non-dropping-particle":"","parse-names":false,"suffix":""},{"dropping-particle":"","family":"Jackson","given":"David J.","non-dropping-particle":"","parse-names":false,"suffix":""}],"container-title":"Chest","id":"ITEM-8","issue":"2","issued":{"date-parts":[["2020"]]},"page":"491-500","publisher":"Elsevier Inc","title":"Real-World Effectiveness and the Characteristics of a “Super-Responder” to Mepolizumab in Severe Eosinophilic Asthma","type":"article-journal","volume":"158"},"uris":["http://www.mendeley.com/documents/?uuid=6820becc-815d-46c4-ac1d-d827891b6186"]}],"mendeley":{"formattedCitation":"&lt;sup&gt;19–26&lt;/sup&gt;","plainTextFormattedCitation":"19–26","previouslyFormattedCitation":"&lt;sup&gt;19–26&lt;/sup&gt;"},"properties":{"noteIndex":0},"schema":"https://github.com/citation-style-language/schema/raw/master/csl-citation.json"}</w:instrText>
      </w:r>
      <w:r w:rsidR="005A4B80"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19–26</w:t>
      </w:r>
      <w:r w:rsidR="005A4B80" w:rsidRPr="00214987">
        <w:rPr>
          <w:rFonts w:ascii="Arial" w:hAnsi="Arial" w:cs="Arial"/>
          <w:noProof/>
          <w:sz w:val="20"/>
          <w:szCs w:val="20"/>
          <w:lang w:val="en-US"/>
        </w:rPr>
        <w:fldChar w:fldCharType="end"/>
      </w:r>
      <w:r w:rsidR="005A4B80" w:rsidRPr="00214987">
        <w:rPr>
          <w:rFonts w:ascii="Arial" w:hAnsi="Arial" w:cs="Arial"/>
          <w:noProof/>
          <w:sz w:val="20"/>
          <w:szCs w:val="20"/>
          <w:lang w:val="en-US"/>
        </w:rPr>
        <w:t xml:space="preserve">. In addition, for </w:t>
      </w:r>
      <w:r w:rsidR="008C6CE9" w:rsidRPr="00214987">
        <w:rPr>
          <w:rFonts w:ascii="Arial" w:hAnsi="Arial" w:cs="Arial"/>
          <w:noProof/>
          <w:sz w:val="20"/>
          <w:szCs w:val="20"/>
          <w:lang w:val="en-US"/>
        </w:rPr>
        <w:t>Omalizumab</w:t>
      </w:r>
      <w:r w:rsidR="005A4B80" w:rsidRPr="00214987">
        <w:rPr>
          <w:rFonts w:ascii="Arial" w:hAnsi="Arial" w:cs="Arial"/>
          <w:noProof/>
          <w:sz w:val="20"/>
          <w:szCs w:val="20"/>
          <w:lang w:val="en-US"/>
        </w:rPr>
        <w:t xml:space="preserve">, even though 43.3% (45/104) patients were potentially dual-eligible for </w:t>
      </w:r>
      <w:r w:rsidR="008C6CE9">
        <w:rPr>
          <w:rFonts w:ascii="Arial" w:hAnsi="Arial" w:cs="Arial"/>
          <w:noProof/>
          <w:sz w:val="20"/>
          <w:szCs w:val="20"/>
          <w:lang w:val="en-US"/>
        </w:rPr>
        <w:t>Mepolizumab</w:t>
      </w:r>
      <w:r w:rsidR="005A4B80" w:rsidRPr="00214987">
        <w:rPr>
          <w:rFonts w:ascii="Arial" w:hAnsi="Arial" w:cs="Arial"/>
          <w:noProof/>
          <w:sz w:val="20"/>
          <w:szCs w:val="20"/>
          <w:lang w:val="en-US"/>
        </w:rPr>
        <w:t xml:space="preserve">, the </w:t>
      </w:r>
      <w:r w:rsidR="008C6CE9" w:rsidRPr="00214987">
        <w:rPr>
          <w:rFonts w:ascii="Arial" w:hAnsi="Arial" w:cs="Arial"/>
          <w:noProof/>
          <w:sz w:val="20"/>
          <w:szCs w:val="20"/>
          <w:lang w:val="en-US"/>
        </w:rPr>
        <w:t>Omalizumab</w:t>
      </w:r>
      <w:r w:rsidR="00EE0C54" w:rsidRPr="00214987">
        <w:rPr>
          <w:rFonts w:ascii="Arial" w:hAnsi="Arial" w:cs="Arial"/>
          <w:noProof/>
          <w:sz w:val="20"/>
          <w:szCs w:val="20"/>
          <w:lang w:val="en-US"/>
        </w:rPr>
        <w:t xml:space="preserve"> </w:t>
      </w:r>
      <w:r w:rsidR="005A4B80" w:rsidRPr="00214987">
        <w:rPr>
          <w:rFonts w:ascii="Arial" w:hAnsi="Arial" w:cs="Arial"/>
          <w:noProof/>
          <w:sz w:val="20"/>
          <w:szCs w:val="20"/>
          <w:lang w:val="en-US"/>
        </w:rPr>
        <w:t xml:space="preserve">response rate was 88.5%, </w:t>
      </w:r>
      <w:r w:rsidR="002F1BCF" w:rsidRPr="00214987">
        <w:rPr>
          <w:rFonts w:ascii="Arial" w:hAnsi="Arial" w:cs="Arial"/>
          <w:noProof/>
          <w:sz w:val="20"/>
          <w:szCs w:val="20"/>
          <w:lang w:val="en-US"/>
        </w:rPr>
        <w:t>reiterating</w:t>
      </w:r>
      <w:r w:rsidR="005A4B80" w:rsidRPr="00214987">
        <w:rPr>
          <w:rFonts w:ascii="Arial" w:hAnsi="Arial" w:cs="Arial"/>
          <w:noProof/>
          <w:sz w:val="20"/>
          <w:szCs w:val="20"/>
          <w:lang w:val="en-US"/>
        </w:rPr>
        <w:t xml:space="preserve"> </w:t>
      </w:r>
      <w:r w:rsidR="00F06453" w:rsidRPr="00214987">
        <w:rPr>
          <w:rFonts w:ascii="Arial" w:hAnsi="Arial" w:cs="Arial"/>
          <w:noProof/>
          <w:sz w:val="20"/>
          <w:szCs w:val="20"/>
          <w:lang w:val="en-US"/>
        </w:rPr>
        <w:t>that</w:t>
      </w:r>
      <w:r w:rsidR="005A4B80" w:rsidRPr="00214987">
        <w:rPr>
          <w:rFonts w:ascii="Arial" w:hAnsi="Arial" w:cs="Arial"/>
          <w:noProof/>
          <w:sz w:val="20"/>
          <w:szCs w:val="20"/>
          <w:lang w:val="en-US"/>
        </w:rPr>
        <w:t xml:space="preserve"> </w:t>
      </w:r>
      <w:r w:rsidR="008C6CE9" w:rsidRPr="00214987">
        <w:rPr>
          <w:rFonts w:ascii="Arial" w:hAnsi="Arial" w:cs="Arial"/>
          <w:noProof/>
          <w:sz w:val="20"/>
          <w:szCs w:val="20"/>
          <w:lang w:val="en-US"/>
        </w:rPr>
        <w:t>Omalizumab</w:t>
      </w:r>
      <w:r w:rsidR="005A4B80" w:rsidRPr="00214987">
        <w:rPr>
          <w:rFonts w:ascii="Arial" w:hAnsi="Arial" w:cs="Arial"/>
          <w:noProof/>
          <w:sz w:val="20"/>
          <w:szCs w:val="20"/>
          <w:lang w:val="en-US"/>
        </w:rPr>
        <w:t xml:space="preserve"> </w:t>
      </w:r>
      <w:r w:rsidR="00F06453" w:rsidRPr="00214987">
        <w:rPr>
          <w:rFonts w:ascii="Arial" w:hAnsi="Arial" w:cs="Arial"/>
          <w:noProof/>
          <w:sz w:val="20"/>
          <w:szCs w:val="20"/>
          <w:lang w:val="en-US"/>
        </w:rPr>
        <w:t xml:space="preserve">was efficacious </w:t>
      </w:r>
      <w:r w:rsidR="00547F55" w:rsidRPr="00214987">
        <w:rPr>
          <w:rFonts w:ascii="Arial" w:hAnsi="Arial" w:cs="Arial"/>
          <w:noProof/>
          <w:sz w:val="20"/>
          <w:szCs w:val="20"/>
          <w:lang w:val="en-US"/>
        </w:rPr>
        <w:t>in the phenotype that received it</w:t>
      </w:r>
      <w:r w:rsidR="005A4B80" w:rsidRPr="00214987">
        <w:rPr>
          <w:rFonts w:ascii="Arial" w:hAnsi="Arial" w:cs="Arial"/>
          <w:noProof/>
          <w:sz w:val="20"/>
          <w:szCs w:val="20"/>
          <w:lang w:val="en-US"/>
        </w:rPr>
        <w:t>.</w:t>
      </w:r>
      <w:r w:rsidR="004A7154" w:rsidRPr="00214987">
        <w:rPr>
          <w:rFonts w:ascii="Arial" w:hAnsi="Arial" w:cs="Arial"/>
          <w:noProof/>
          <w:sz w:val="20"/>
          <w:szCs w:val="20"/>
          <w:lang w:val="en-US"/>
        </w:rPr>
        <w:t xml:space="preserve"> Indeed</w:t>
      </w:r>
      <w:r w:rsidR="000B46B7" w:rsidRPr="00214987">
        <w:rPr>
          <w:rFonts w:ascii="Arial" w:hAnsi="Arial" w:cs="Arial"/>
          <w:noProof/>
          <w:sz w:val="20"/>
          <w:szCs w:val="20"/>
          <w:lang w:val="en-US"/>
        </w:rPr>
        <w:t>,</w:t>
      </w:r>
      <w:r w:rsidR="004A7154" w:rsidRPr="00214987">
        <w:rPr>
          <w:rFonts w:ascii="Arial" w:hAnsi="Arial" w:cs="Arial"/>
          <w:noProof/>
          <w:sz w:val="20"/>
          <w:szCs w:val="20"/>
          <w:lang w:val="en-US"/>
        </w:rPr>
        <w:t xml:space="preserve"> both </w:t>
      </w:r>
      <w:r w:rsidR="008C6CE9" w:rsidRPr="00214987">
        <w:rPr>
          <w:rFonts w:ascii="Arial" w:hAnsi="Arial" w:cs="Arial"/>
          <w:noProof/>
          <w:sz w:val="20"/>
          <w:szCs w:val="20"/>
          <w:lang w:val="en-US"/>
        </w:rPr>
        <w:t>Omalizumab</w:t>
      </w:r>
      <w:r w:rsidR="004A7154" w:rsidRPr="00214987">
        <w:rPr>
          <w:rFonts w:ascii="Arial" w:hAnsi="Arial" w:cs="Arial"/>
          <w:noProof/>
          <w:sz w:val="20"/>
          <w:szCs w:val="20"/>
          <w:lang w:val="en-US"/>
        </w:rPr>
        <w:t xml:space="preserve"> and </w:t>
      </w:r>
      <w:r w:rsidR="008C6CE9">
        <w:rPr>
          <w:rFonts w:ascii="Arial" w:hAnsi="Arial" w:cs="Arial"/>
          <w:noProof/>
          <w:sz w:val="20"/>
          <w:szCs w:val="20"/>
          <w:lang w:val="en-US"/>
        </w:rPr>
        <w:t>Mepolizumab</w:t>
      </w:r>
      <w:r w:rsidR="004A7154" w:rsidRPr="00214987">
        <w:rPr>
          <w:rFonts w:ascii="Arial" w:hAnsi="Arial" w:cs="Arial"/>
          <w:noProof/>
          <w:sz w:val="20"/>
          <w:szCs w:val="20"/>
          <w:lang w:val="en-US"/>
        </w:rPr>
        <w:t xml:space="preserve"> conferred substantial multidimensional clinical benefit to the real-world populations which received them</w:t>
      </w:r>
      <w:r w:rsidR="00855411" w:rsidRPr="00214987">
        <w:rPr>
          <w:rFonts w:ascii="Arial" w:hAnsi="Arial" w:cs="Arial"/>
          <w:noProof/>
          <w:sz w:val="20"/>
          <w:szCs w:val="20"/>
          <w:lang w:val="en-US"/>
        </w:rPr>
        <w:t xml:space="preserve">. </w:t>
      </w:r>
      <w:r w:rsidR="004A7154" w:rsidRPr="00214987">
        <w:rPr>
          <w:rFonts w:ascii="Arial" w:hAnsi="Arial" w:cs="Arial"/>
          <w:noProof/>
          <w:sz w:val="20"/>
          <w:szCs w:val="20"/>
          <w:lang w:val="en-US"/>
        </w:rPr>
        <w:t xml:space="preserve">This </w:t>
      </w:r>
      <w:r w:rsidR="000B46B7" w:rsidRPr="00214987">
        <w:rPr>
          <w:rFonts w:ascii="Arial" w:hAnsi="Arial" w:cs="Arial"/>
          <w:noProof/>
          <w:sz w:val="20"/>
          <w:szCs w:val="20"/>
          <w:lang w:val="en-US"/>
        </w:rPr>
        <w:t>testifies to the</w:t>
      </w:r>
      <w:r w:rsidR="004A7154" w:rsidRPr="00214987">
        <w:rPr>
          <w:rFonts w:ascii="Arial" w:hAnsi="Arial" w:cs="Arial"/>
          <w:noProof/>
          <w:sz w:val="20"/>
          <w:szCs w:val="20"/>
          <w:lang w:val="en-US"/>
        </w:rPr>
        <w:t xml:space="preserve"> success of both biologics in </w:t>
      </w:r>
      <w:r w:rsidR="00845A48">
        <w:rPr>
          <w:rFonts w:ascii="Arial" w:hAnsi="Arial" w:cs="Arial"/>
          <w:noProof/>
          <w:sz w:val="20"/>
          <w:szCs w:val="20"/>
          <w:lang w:val="en-US"/>
        </w:rPr>
        <w:t>treating</w:t>
      </w:r>
      <w:r w:rsidR="00845A48" w:rsidRPr="00214987">
        <w:rPr>
          <w:rFonts w:ascii="Arial" w:hAnsi="Arial" w:cs="Arial"/>
          <w:noProof/>
          <w:sz w:val="20"/>
          <w:szCs w:val="20"/>
          <w:lang w:val="en-US"/>
        </w:rPr>
        <w:t xml:space="preserve"> </w:t>
      </w:r>
      <w:r w:rsidR="00CA71FA">
        <w:rPr>
          <w:rFonts w:ascii="Arial" w:hAnsi="Arial" w:cs="Arial"/>
          <w:noProof/>
          <w:sz w:val="20"/>
          <w:szCs w:val="20"/>
          <w:lang w:val="en-US"/>
        </w:rPr>
        <w:t>particular</w:t>
      </w:r>
      <w:r w:rsidR="005C4B75" w:rsidRPr="00214987">
        <w:rPr>
          <w:rFonts w:ascii="Arial" w:hAnsi="Arial" w:cs="Arial"/>
          <w:noProof/>
          <w:sz w:val="20"/>
          <w:szCs w:val="20"/>
          <w:lang w:val="en-US"/>
        </w:rPr>
        <w:t xml:space="preserve"> </w:t>
      </w:r>
      <w:r w:rsidR="00825255" w:rsidRPr="00214987">
        <w:rPr>
          <w:rFonts w:ascii="Arial" w:hAnsi="Arial" w:cs="Arial"/>
          <w:noProof/>
          <w:sz w:val="20"/>
          <w:szCs w:val="20"/>
          <w:lang w:val="en-US"/>
        </w:rPr>
        <w:t xml:space="preserve">difficult asthma </w:t>
      </w:r>
      <w:r w:rsidR="00CA71FA">
        <w:rPr>
          <w:rFonts w:ascii="Arial" w:hAnsi="Arial" w:cs="Arial"/>
          <w:noProof/>
          <w:sz w:val="20"/>
          <w:szCs w:val="20"/>
          <w:lang w:val="en-US"/>
        </w:rPr>
        <w:t>phenotypes</w:t>
      </w:r>
      <w:r w:rsidR="004A7154" w:rsidRPr="00214987">
        <w:rPr>
          <w:rFonts w:ascii="Arial" w:hAnsi="Arial" w:cs="Arial"/>
          <w:noProof/>
          <w:sz w:val="20"/>
          <w:szCs w:val="20"/>
          <w:lang w:val="en-US"/>
        </w:rPr>
        <w:t xml:space="preserve">. </w:t>
      </w:r>
      <w:r w:rsidR="00206079" w:rsidRPr="00214987">
        <w:rPr>
          <w:rFonts w:ascii="Arial" w:hAnsi="Arial" w:cs="Arial"/>
          <w:noProof/>
          <w:sz w:val="20"/>
          <w:szCs w:val="20"/>
          <w:lang w:val="en-US"/>
        </w:rPr>
        <w:t>Nevertheless,</w:t>
      </w:r>
      <w:r w:rsidR="004C0D18" w:rsidRPr="00214987">
        <w:rPr>
          <w:rFonts w:ascii="Arial" w:hAnsi="Arial" w:cs="Arial"/>
          <w:noProof/>
          <w:sz w:val="20"/>
          <w:szCs w:val="20"/>
          <w:lang w:val="en-US"/>
        </w:rPr>
        <w:t xml:space="preserve"> non-responders </w:t>
      </w:r>
      <w:r w:rsidR="006A1A42" w:rsidRPr="00214987">
        <w:rPr>
          <w:rFonts w:ascii="Arial" w:hAnsi="Arial" w:cs="Arial"/>
          <w:noProof/>
          <w:sz w:val="20"/>
          <w:szCs w:val="20"/>
          <w:lang w:val="en-US"/>
        </w:rPr>
        <w:t>emerged to both drugs</w:t>
      </w:r>
      <w:r w:rsidR="007F4D03" w:rsidRPr="00214987">
        <w:rPr>
          <w:rFonts w:ascii="Arial" w:hAnsi="Arial" w:cs="Arial"/>
          <w:noProof/>
          <w:sz w:val="20"/>
          <w:szCs w:val="20"/>
          <w:lang w:val="en-US"/>
        </w:rPr>
        <w:t>,</w:t>
      </w:r>
      <w:r w:rsidR="006A1A42" w:rsidRPr="00214987">
        <w:rPr>
          <w:rFonts w:ascii="Arial" w:hAnsi="Arial" w:cs="Arial"/>
          <w:noProof/>
          <w:sz w:val="20"/>
          <w:szCs w:val="20"/>
          <w:lang w:val="en-US"/>
        </w:rPr>
        <w:t xml:space="preserve"> typically </w:t>
      </w:r>
      <w:r w:rsidR="00743B9D" w:rsidRPr="00214987">
        <w:rPr>
          <w:rFonts w:ascii="Arial" w:hAnsi="Arial" w:cs="Arial"/>
          <w:noProof/>
          <w:sz w:val="20"/>
          <w:szCs w:val="20"/>
          <w:lang w:val="en-US"/>
        </w:rPr>
        <w:t>characterised</w:t>
      </w:r>
      <w:r w:rsidR="006A1A42" w:rsidRPr="00214987">
        <w:rPr>
          <w:rFonts w:ascii="Arial" w:hAnsi="Arial" w:cs="Arial"/>
          <w:noProof/>
          <w:sz w:val="20"/>
          <w:szCs w:val="20"/>
          <w:lang w:val="en-US"/>
        </w:rPr>
        <w:t xml:space="preserve"> by </w:t>
      </w:r>
      <w:r w:rsidR="00743B9D" w:rsidRPr="00214987">
        <w:rPr>
          <w:rFonts w:ascii="Arial" w:hAnsi="Arial" w:cs="Arial"/>
          <w:noProof/>
          <w:sz w:val="20"/>
          <w:szCs w:val="20"/>
          <w:lang w:val="en-US"/>
        </w:rPr>
        <w:t xml:space="preserve">worse </w:t>
      </w:r>
      <w:r w:rsidR="006A1A42" w:rsidRPr="00214987">
        <w:rPr>
          <w:rFonts w:ascii="Arial" w:hAnsi="Arial" w:cs="Arial"/>
          <w:noProof/>
          <w:sz w:val="20"/>
          <w:szCs w:val="20"/>
          <w:lang w:val="en-US"/>
        </w:rPr>
        <w:t>baseline disease and</w:t>
      </w:r>
      <w:r w:rsidR="00743B9D" w:rsidRPr="00214987">
        <w:rPr>
          <w:rFonts w:ascii="Arial" w:hAnsi="Arial" w:cs="Arial"/>
          <w:noProof/>
          <w:sz w:val="20"/>
          <w:szCs w:val="20"/>
          <w:lang w:val="en-US"/>
        </w:rPr>
        <w:t xml:space="preserve"> psychological comorbidity.</w:t>
      </w:r>
    </w:p>
    <w:p w14:paraId="68B41CD1" w14:textId="3B17948B" w:rsidR="00E40FAB" w:rsidRPr="00214987" w:rsidRDefault="004F4877" w:rsidP="00AB4CB7">
      <w:pPr>
        <w:spacing w:line="480" w:lineRule="auto"/>
        <w:rPr>
          <w:rFonts w:ascii="Arial" w:hAnsi="Arial" w:cs="Arial"/>
          <w:noProof/>
          <w:sz w:val="20"/>
          <w:szCs w:val="20"/>
          <w:lang w:val="en-US"/>
        </w:rPr>
      </w:pPr>
      <w:r w:rsidRPr="00214987">
        <w:rPr>
          <w:rFonts w:ascii="Arial" w:hAnsi="Arial" w:cs="Arial"/>
          <w:noProof/>
          <w:sz w:val="20"/>
          <w:szCs w:val="20"/>
          <w:lang w:val="en-US"/>
        </w:rPr>
        <w:t>Of</w:t>
      </w:r>
      <w:r w:rsidR="00DC3914" w:rsidRPr="00214987">
        <w:rPr>
          <w:rFonts w:ascii="Arial" w:hAnsi="Arial" w:cs="Arial"/>
          <w:noProof/>
          <w:sz w:val="20"/>
          <w:szCs w:val="20"/>
          <w:lang w:val="en-US"/>
        </w:rPr>
        <w:t xml:space="preserve"> those with </w:t>
      </w:r>
      <w:r w:rsidR="004F33A6">
        <w:rPr>
          <w:rFonts w:ascii="Arial" w:hAnsi="Arial" w:cs="Arial"/>
          <w:noProof/>
          <w:sz w:val="20"/>
          <w:szCs w:val="20"/>
          <w:lang w:val="en-US"/>
        </w:rPr>
        <w:t xml:space="preserve">the </w:t>
      </w:r>
      <w:r w:rsidR="00DC3914" w:rsidRPr="00214987">
        <w:rPr>
          <w:rFonts w:ascii="Arial" w:hAnsi="Arial" w:cs="Arial"/>
          <w:noProof/>
          <w:sz w:val="20"/>
          <w:szCs w:val="20"/>
          <w:lang w:val="en-US"/>
        </w:rPr>
        <w:t>high</w:t>
      </w:r>
      <w:r w:rsidR="00C95A92" w:rsidRPr="00214987">
        <w:rPr>
          <w:rFonts w:ascii="Arial" w:hAnsi="Arial" w:cs="Arial"/>
          <w:noProof/>
          <w:sz w:val="20"/>
          <w:szCs w:val="20"/>
          <w:lang w:val="en-US"/>
        </w:rPr>
        <w:t>est</w:t>
      </w:r>
      <w:r w:rsidR="00DC3914" w:rsidRPr="00214987">
        <w:rPr>
          <w:rFonts w:ascii="Arial" w:hAnsi="Arial" w:cs="Arial"/>
          <w:noProof/>
          <w:sz w:val="20"/>
          <w:szCs w:val="20"/>
          <w:lang w:val="en-US"/>
        </w:rPr>
        <w:t xml:space="preserve"> disease burden in</w:t>
      </w:r>
      <w:r w:rsidR="00655A5B" w:rsidRPr="00214987">
        <w:rPr>
          <w:rFonts w:ascii="Arial" w:hAnsi="Arial" w:cs="Arial"/>
          <w:noProof/>
          <w:sz w:val="20"/>
          <w:szCs w:val="20"/>
          <w:lang w:val="en-US"/>
        </w:rPr>
        <w:t xml:space="preserve"> our cohort</w:t>
      </w:r>
      <w:r w:rsidR="000B77BB" w:rsidRPr="00214987">
        <w:rPr>
          <w:rFonts w:ascii="Arial" w:hAnsi="Arial" w:cs="Arial"/>
          <w:noProof/>
          <w:sz w:val="20"/>
          <w:szCs w:val="20"/>
          <w:lang w:val="en-US"/>
        </w:rPr>
        <w:t xml:space="preserve"> (</w:t>
      </w:r>
      <w:r w:rsidR="008C6CE9" w:rsidRPr="00214987">
        <w:rPr>
          <w:rFonts w:ascii="Arial" w:hAnsi="Arial" w:cs="Arial"/>
          <w:noProof/>
          <w:sz w:val="20"/>
          <w:szCs w:val="20"/>
          <w:lang w:val="en-US"/>
        </w:rPr>
        <w:t>Omalizumab</w:t>
      </w:r>
      <w:r w:rsidR="002D2FD5"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2D2FD5" w:rsidRPr="00214987">
        <w:rPr>
          <w:rFonts w:ascii="Arial" w:hAnsi="Arial" w:cs="Arial"/>
          <w:noProof/>
          <w:sz w:val="20"/>
          <w:szCs w:val="20"/>
          <w:lang w:val="en-US"/>
        </w:rPr>
        <w:t>, SNB</w:t>
      </w:r>
      <w:r w:rsidR="000B77BB" w:rsidRPr="00214987">
        <w:rPr>
          <w:rFonts w:ascii="Arial" w:hAnsi="Arial" w:cs="Arial"/>
          <w:noProof/>
          <w:sz w:val="20"/>
          <w:szCs w:val="20"/>
          <w:lang w:val="en-US"/>
        </w:rPr>
        <w:t>)</w:t>
      </w:r>
      <w:r w:rsidR="00EE0CFD" w:rsidRPr="00214987">
        <w:rPr>
          <w:rFonts w:ascii="Arial" w:hAnsi="Arial" w:cs="Arial"/>
          <w:noProof/>
          <w:sz w:val="20"/>
          <w:szCs w:val="20"/>
          <w:lang w:val="en-US"/>
        </w:rPr>
        <w:t>,</w:t>
      </w:r>
      <w:r w:rsidR="00DC3914" w:rsidRPr="00214987">
        <w:rPr>
          <w:rFonts w:ascii="Arial" w:hAnsi="Arial" w:cs="Arial"/>
          <w:noProof/>
          <w:sz w:val="20"/>
          <w:szCs w:val="20"/>
          <w:lang w:val="en-US"/>
        </w:rPr>
        <w:t xml:space="preserve"> </w:t>
      </w:r>
      <w:r w:rsidRPr="00214987">
        <w:rPr>
          <w:rFonts w:ascii="Arial" w:hAnsi="Arial" w:cs="Arial"/>
          <w:noProof/>
          <w:sz w:val="20"/>
          <w:szCs w:val="20"/>
          <w:lang w:val="en-US"/>
        </w:rPr>
        <w:t xml:space="preserve">51.6% did not </w:t>
      </w:r>
      <w:r w:rsidR="005E5D1A" w:rsidRPr="00214987">
        <w:rPr>
          <w:rFonts w:ascii="Arial" w:hAnsi="Arial" w:cs="Arial"/>
          <w:noProof/>
          <w:sz w:val="20"/>
          <w:szCs w:val="20"/>
          <w:lang w:val="en-US"/>
        </w:rPr>
        <w:t>receive bi</w:t>
      </w:r>
      <w:r w:rsidRPr="00214987">
        <w:rPr>
          <w:rFonts w:ascii="Arial" w:hAnsi="Arial" w:cs="Arial"/>
          <w:noProof/>
          <w:sz w:val="20"/>
          <w:szCs w:val="20"/>
          <w:lang w:val="en-US"/>
        </w:rPr>
        <w:t>ologics.</w:t>
      </w:r>
      <w:r w:rsidR="00C94497" w:rsidRPr="00214987">
        <w:rPr>
          <w:rFonts w:ascii="Arial" w:hAnsi="Arial" w:cs="Arial"/>
          <w:noProof/>
          <w:sz w:val="20"/>
          <w:szCs w:val="20"/>
          <w:lang w:val="en-US"/>
        </w:rPr>
        <w:t xml:space="preserve"> </w:t>
      </w:r>
      <w:r w:rsidR="00655A5B" w:rsidRPr="00214987">
        <w:rPr>
          <w:rFonts w:ascii="Arial" w:hAnsi="Arial" w:cs="Arial"/>
          <w:noProof/>
          <w:sz w:val="20"/>
          <w:szCs w:val="20"/>
          <w:lang w:val="en-US"/>
        </w:rPr>
        <w:t xml:space="preserve"> </w:t>
      </w:r>
      <w:r w:rsidR="00E15727" w:rsidRPr="00214987">
        <w:rPr>
          <w:rFonts w:ascii="Arial" w:hAnsi="Arial" w:cs="Arial"/>
          <w:noProof/>
          <w:sz w:val="20"/>
          <w:szCs w:val="20"/>
          <w:lang w:val="en-US"/>
        </w:rPr>
        <w:t xml:space="preserve"> </w:t>
      </w:r>
      <w:r w:rsidR="001F7499" w:rsidRPr="00214987">
        <w:rPr>
          <w:rFonts w:ascii="Arial" w:hAnsi="Arial" w:cs="Arial"/>
          <w:noProof/>
          <w:sz w:val="20"/>
          <w:szCs w:val="20"/>
          <w:lang w:val="en-US"/>
        </w:rPr>
        <w:t xml:space="preserve">Both </w:t>
      </w:r>
      <w:r w:rsidR="002B0593" w:rsidRPr="00214987">
        <w:rPr>
          <w:rFonts w:ascii="Arial" w:hAnsi="Arial" w:cs="Arial"/>
          <w:noProof/>
          <w:sz w:val="20"/>
          <w:szCs w:val="20"/>
          <w:lang w:val="en-US"/>
        </w:rPr>
        <w:t>biologic receiving groups had hallmarks of greater disease severity</w:t>
      </w:r>
      <w:r w:rsidR="005E5D1A" w:rsidRPr="00214987">
        <w:rPr>
          <w:rFonts w:ascii="Arial" w:hAnsi="Arial" w:cs="Arial"/>
          <w:noProof/>
          <w:sz w:val="20"/>
          <w:szCs w:val="20"/>
          <w:lang w:val="en-US"/>
        </w:rPr>
        <w:t xml:space="preserve"> </w:t>
      </w:r>
      <w:r w:rsidR="002B0593" w:rsidRPr="00214987">
        <w:rPr>
          <w:rFonts w:ascii="Arial" w:hAnsi="Arial" w:cs="Arial"/>
          <w:noProof/>
          <w:sz w:val="20"/>
          <w:szCs w:val="20"/>
          <w:lang w:val="en-US"/>
        </w:rPr>
        <w:t>with significantly worse lung function</w:t>
      </w:r>
      <w:r w:rsidR="00F309D9" w:rsidRPr="00214987">
        <w:rPr>
          <w:rFonts w:ascii="Arial" w:hAnsi="Arial" w:cs="Arial"/>
          <w:noProof/>
          <w:sz w:val="20"/>
          <w:szCs w:val="20"/>
          <w:lang w:val="en-US"/>
        </w:rPr>
        <w:t xml:space="preserve"> (</w:t>
      </w:r>
      <w:r w:rsidR="00CA6263" w:rsidRPr="00214987">
        <w:rPr>
          <w:rFonts w:ascii="Arial" w:hAnsi="Arial" w:cs="Arial"/>
          <w:noProof/>
          <w:sz w:val="20"/>
          <w:szCs w:val="20"/>
          <w:lang w:val="en-US"/>
        </w:rPr>
        <w:t>Clinic</w:t>
      </w:r>
      <w:r w:rsidR="00F309D9" w:rsidRPr="00214987">
        <w:rPr>
          <w:rFonts w:ascii="Arial" w:hAnsi="Arial" w:cs="Arial"/>
          <w:noProof/>
          <w:sz w:val="20"/>
          <w:szCs w:val="20"/>
          <w:lang w:val="en-US"/>
        </w:rPr>
        <w:t xml:space="preserve"> </w:t>
      </w:r>
      <w:r w:rsidR="00A024B4" w:rsidRPr="00214987">
        <w:rPr>
          <w:rFonts w:ascii="Arial" w:eastAsia="Times New Roman" w:hAnsi="Arial" w:cs="Arial"/>
          <w:noProof/>
          <w:sz w:val="20"/>
          <w:szCs w:val="20"/>
          <w:lang w:val="en-US" w:eastAsia="en-MY"/>
        </w:rPr>
        <w:t>FEV</w:t>
      </w:r>
      <w:r w:rsidR="00A024B4" w:rsidRPr="00214987">
        <w:rPr>
          <w:rFonts w:ascii="Arial" w:eastAsia="Times New Roman" w:hAnsi="Arial" w:cs="Arial"/>
          <w:noProof/>
          <w:sz w:val="20"/>
          <w:szCs w:val="20"/>
          <w:vertAlign w:val="subscript"/>
          <w:lang w:val="en-US" w:eastAsia="en-MY"/>
        </w:rPr>
        <w:t>1</w:t>
      </w:r>
      <w:r w:rsidR="00F309D9" w:rsidRPr="00214987">
        <w:rPr>
          <w:rFonts w:ascii="Arial" w:hAnsi="Arial" w:cs="Arial"/>
          <w:noProof/>
          <w:sz w:val="20"/>
          <w:szCs w:val="20"/>
          <w:lang w:val="en-US"/>
        </w:rPr>
        <w:t>%)</w:t>
      </w:r>
      <w:r w:rsidR="002B0593" w:rsidRPr="00214987">
        <w:rPr>
          <w:rFonts w:ascii="Arial" w:hAnsi="Arial" w:cs="Arial"/>
          <w:noProof/>
          <w:sz w:val="20"/>
          <w:szCs w:val="20"/>
          <w:lang w:val="en-US"/>
        </w:rPr>
        <w:t xml:space="preserve">, </w:t>
      </w:r>
      <w:r w:rsidR="00F309D9" w:rsidRPr="00214987">
        <w:rPr>
          <w:rFonts w:ascii="Arial" w:hAnsi="Arial" w:cs="Arial"/>
          <w:noProof/>
          <w:sz w:val="20"/>
          <w:szCs w:val="20"/>
          <w:lang w:val="en-US"/>
        </w:rPr>
        <w:t>worse airway inflammation (FENO)</w:t>
      </w:r>
      <w:r w:rsidR="002B0593" w:rsidRPr="00214987">
        <w:rPr>
          <w:rFonts w:ascii="Arial" w:hAnsi="Arial" w:cs="Arial"/>
          <w:noProof/>
          <w:sz w:val="20"/>
          <w:szCs w:val="20"/>
          <w:lang w:val="en-US"/>
        </w:rPr>
        <w:t xml:space="preserve"> and </w:t>
      </w:r>
      <w:r w:rsidR="008E4CBB" w:rsidRPr="00214987">
        <w:rPr>
          <w:rFonts w:ascii="Arial" w:hAnsi="Arial" w:cs="Arial"/>
          <w:noProof/>
          <w:sz w:val="20"/>
          <w:szCs w:val="20"/>
          <w:lang w:val="en-US"/>
        </w:rPr>
        <w:t xml:space="preserve">greater </w:t>
      </w:r>
      <w:r w:rsidR="002B0593" w:rsidRPr="00214987">
        <w:rPr>
          <w:rFonts w:ascii="Arial" w:hAnsi="Arial" w:cs="Arial"/>
          <w:noProof/>
          <w:sz w:val="20"/>
          <w:szCs w:val="20"/>
          <w:lang w:val="en-US"/>
        </w:rPr>
        <w:t xml:space="preserve">mOCS dependence compared to SNB. </w:t>
      </w:r>
      <w:r w:rsidR="003359C2" w:rsidRPr="00214987">
        <w:rPr>
          <w:rFonts w:ascii="Arial" w:hAnsi="Arial" w:cs="Arial"/>
          <w:noProof/>
          <w:sz w:val="20"/>
          <w:szCs w:val="20"/>
          <w:lang w:val="en-US"/>
        </w:rPr>
        <w:t xml:space="preserve"> </w:t>
      </w:r>
      <w:r w:rsidR="00612803" w:rsidRPr="00214987">
        <w:rPr>
          <w:rFonts w:ascii="Arial" w:hAnsi="Arial" w:cs="Arial"/>
          <w:noProof/>
          <w:sz w:val="20"/>
          <w:szCs w:val="20"/>
          <w:lang w:val="en-US"/>
        </w:rPr>
        <w:t xml:space="preserve">The SNB </w:t>
      </w:r>
      <w:r w:rsidR="00A80457" w:rsidRPr="00214987">
        <w:rPr>
          <w:rFonts w:ascii="Arial" w:hAnsi="Arial" w:cs="Arial"/>
          <w:noProof/>
          <w:sz w:val="20"/>
          <w:szCs w:val="20"/>
          <w:lang w:val="en-US"/>
        </w:rPr>
        <w:t>group are noteworthy as their characterisation derives from the timepoint of WATCH enrolment</w:t>
      </w:r>
      <w:r w:rsidR="00633E7A" w:rsidRPr="00214987">
        <w:rPr>
          <w:rFonts w:ascii="Arial" w:hAnsi="Arial" w:cs="Arial"/>
          <w:noProof/>
          <w:sz w:val="20"/>
          <w:szCs w:val="20"/>
          <w:lang w:val="en-US"/>
        </w:rPr>
        <w:t xml:space="preserve">, when 42.3% of them were </w:t>
      </w:r>
      <w:r w:rsidR="0008555A" w:rsidRPr="00214987">
        <w:rPr>
          <w:rFonts w:ascii="Arial" w:hAnsi="Arial" w:cs="Arial"/>
          <w:noProof/>
          <w:sz w:val="20"/>
          <w:szCs w:val="20"/>
          <w:lang w:val="en-US"/>
        </w:rPr>
        <w:t>new</w:t>
      </w:r>
      <w:r w:rsidR="00F309D9" w:rsidRPr="00214987">
        <w:rPr>
          <w:rFonts w:ascii="Arial" w:hAnsi="Arial" w:cs="Arial"/>
          <w:noProof/>
          <w:sz w:val="20"/>
          <w:szCs w:val="20"/>
          <w:lang w:val="en-US"/>
        </w:rPr>
        <w:t xml:space="preserve"> clinic</w:t>
      </w:r>
      <w:r w:rsidR="0008555A" w:rsidRPr="00214987">
        <w:rPr>
          <w:rFonts w:ascii="Arial" w:hAnsi="Arial" w:cs="Arial"/>
          <w:noProof/>
          <w:sz w:val="20"/>
          <w:szCs w:val="20"/>
          <w:lang w:val="en-US"/>
        </w:rPr>
        <w:t xml:space="preserve"> </w:t>
      </w:r>
      <w:r w:rsidR="006176B3" w:rsidRPr="00214987">
        <w:rPr>
          <w:rFonts w:ascii="Arial" w:hAnsi="Arial" w:cs="Arial"/>
          <w:noProof/>
          <w:sz w:val="20"/>
          <w:szCs w:val="20"/>
          <w:lang w:val="en-US"/>
        </w:rPr>
        <w:t>referrals</w:t>
      </w:r>
      <w:r w:rsidR="0008555A" w:rsidRPr="00214987">
        <w:rPr>
          <w:rFonts w:ascii="Arial" w:hAnsi="Arial" w:cs="Arial"/>
          <w:noProof/>
          <w:sz w:val="20"/>
          <w:szCs w:val="20"/>
          <w:lang w:val="en-US"/>
        </w:rPr>
        <w:t>, and thus</w:t>
      </w:r>
      <w:r w:rsidR="00AC50E8" w:rsidRPr="00214987">
        <w:rPr>
          <w:rFonts w:ascii="Arial" w:hAnsi="Arial" w:cs="Arial"/>
          <w:noProof/>
          <w:sz w:val="20"/>
          <w:szCs w:val="20"/>
          <w:lang w:val="en-US"/>
        </w:rPr>
        <w:t xml:space="preserve"> at </w:t>
      </w:r>
      <w:r w:rsidR="00EF171E" w:rsidRPr="00214987">
        <w:rPr>
          <w:rFonts w:ascii="Arial" w:hAnsi="Arial" w:cs="Arial"/>
          <w:noProof/>
          <w:sz w:val="20"/>
          <w:szCs w:val="20"/>
          <w:lang w:val="en-US"/>
        </w:rPr>
        <w:t>an</w:t>
      </w:r>
      <w:r w:rsidR="00AC50E8" w:rsidRPr="00214987">
        <w:rPr>
          <w:rFonts w:ascii="Arial" w:hAnsi="Arial" w:cs="Arial"/>
          <w:noProof/>
          <w:sz w:val="20"/>
          <w:szCs w:val="20"/>
          <w:lang w:val="en-US"/>
        </w:rPr>
        <w:t xml:space="preserve"> early phase of </w:t>
      </w:r>
      <w:r w:rsidR="00F8466D" w:rsidRPr="00214987">
        <w:rPr>
          <w:rFonts w:ascii="Arial" w:hAnsi="Arial" w:cs="Arial"/>
          <w:noProof/>
          <w:sz w:val="20"/>
          <w:szCs w:val="20"/>
          <w:lang w:val="en-US"/>
        </w:rPr>
        <w:t xml:space="preserve">conventional </w:t>
      </w:r>
      <w:r w:rsidR="00AC50E8" w:rsidRPr="00214987">
        <w:rPr>
          <w:rFonts w:ascii="Arial" w:hAnsi="Arial" w:cs="Arial"/>
          <w:noProof/>
          <w:sz w:val="20"/>
          <w:szCs w:val="20"/>
          <w:lang w:val="en-US"/>
        </w:rPr>
        <w:t xml:space="preserve">treatment optimisation. </w:t>
      </w:r>
      <w:r w:rsidR="00D377C3" w:rsidRPr="00214987">
        <w:rPr>
          <w:rFonts w:ascii="Arial" w:hAnsi="Arial" w:cs="Arial"/>
          <w:noProof/>
          <w:sz w:val="20"/>
          <w:szCs w:val="20"/>
          <w:lang w:val="en-US"/>
        </w:rPr>
        <w:t xml:space="preserve">Their lack of subsequent biologic </w:t>
      </w:r>
      <w:r w:rsidR="00621705" w:rsidRPr="00214987">
        <w:rPr>
          <w:rFonts w:ascii="Arial" w:hAnsi="Arial" w:cs="Arial"/>
          <w:noProof/>
          <w:sz w:val="20"/>
          <w:szCs w:val="20"/>
          <w:lang w:val="en-US"/>
        </w:rPr>
        <w:t xml:space="preserve">need infers responsiveness to that conventional optimisation. </w:t>
      </w:r>
      <w:r w:rsidR="00F130AD" w:rsidRPr="00214987">
        <w:rPr>
          <w:rFonts w:ascii="Arial" w:hAnsi="Arial" w:cs="Arial"/>
          <w:noProof/>
          <w:sz w:val="20"/>
          <w:szCs w:val="20"/>
          <w:lang w:val="en-US"/>
        </w:rPr>
        <w:t xml:space="preserve">Conversely, </w:t>
      </w:r>
      <w:r w:rsidR="00A2223D" w:rsidRPr="00214987">
        <w:rPr>
          <w:rFonts w:ascii="Arial" w:hAnsi="Arial" w:cs="Arial"/>
          <w:noProof/>
          <w:sz w:val="20"/>
          <w:szCs w:val="20"/>
          <w:lang w:val="en-US"/>
        </w:rPr>
        <w:t xml:space="preserve">biologics </w:t>
      </w:r>
      <w:r w:rsidR="00441D3E" w:rsidRPr="00214987">
        <w:rPr>
          <w:rFonts w:ascii="Arial" w:hAnsi="Arial" w:cs="Arial"/>
          <w:noProof/>
          <w:sz w:val="20"/>
          <w:szCs w:val="20"/>
          <w:lang w:val="en-US"/>
        </w:rPr>
        <w:t xml:space="preserve">treated </w:t>
      </w:r>
      <w:r w:rsidR="00A2223D" w:rsidRPr="00214987">
        <w:rPr>
          <w:rFonts w:ascii="Arial" w:hAnsi="Arial" w:cs="Arial"/>
          <w:noProof/>
          <w:sz w:val="20"/>
          <w:szCs w:val="20"/>
          <w:lang w:val="en-US"/>
        </w:rPr>
        <w:t xml:space="preserve">subjects </w:t>
      </w:r>
      <w:r w:rsidR="00441D3E" w:rsidRPr="00214987">
        <w:rPr>
          <w:rFonts w:ascii="Arial" w:hAnsi="Arial" w:cs="Arial"/>
          <w:noProof/>
          <w:sz w:val="20"/>
          <w:szCs w:val="20"/>
          <w:lang w:val="en-US"/>
        </w:rPr>
        <w:t xml:space="preserve">had </w:t>
      </w:r>
      <w:r w:rsidR="00A2223D" w:rsidRPr="00214987">
        <w:rPr>
          <w:rFonts w:ascii="Arial" w:hAnsi="Arial" w:cs="Arial"/>
          <w:noProof/>
          <w:sz w:val="20"/>
          <w:szCs w:val="20"/>
          <w:lang w:val="en-US"/>
        </w:rPr>
        <w:t xml:space="preserve">already </w:t>
      </w:r>
      <w:r w:rsidR="00441D3E" w:rsidRPr="00214987">
        <w:rPr>
          <w:rFonts w:ascii="Arial" w:hAnsi="Arial" w:cs="Arial"/>
          <w:noProof/>
          <w:sz w:val="20"/>
          <w:szCs w:val="20"/>
          <w:lang w:val="en-US"/>
        </w:rPr>
        <w:t xml:space="preserve">undergone </w:t>
      </w:r>
      <w:r w:rsidR="00A2223D" w:rsidRPr="00214987">
        <w:rPr>
          <w:rFonts w:ascii="Arial" w:hAnsi="Arial" w:cs="Arial"/>
          <w:noProof/>
          <w:sz w:val="20"/>
          <w:szCs w:val="20"/>
          <w:lang w:val="en-US"/>
        </w:rPr>
        <w:t>substantial treatment optimisation</w:t>
      </w:r>
      <w:r w:rsidR="006E39FD" w:rsidRPr="00214987">
        <w:rPr>
          <w:rFonts w:ascii="Arial" w:hAnsi="Arial" w:cs="Arial"/>
          <w:noProof/>
          <w:sz w:val="20"/>
          <w:szCs w:val="20"/>
          <w:lang w:val="en-US"/>
        </w:rPr>
        <w:t>,</w:t>
      </w:r>
      <w:r w:rsidR="00A2223D" w:rsidRPr="00214987">
        <w:rPr>
          <w:rFonts w:ascii="Arial" w:hAnsi="Arial" w:cs="Arial"/>
          <w:noProof/>
          <w:sz w:val="20"/>
          <w:szCs w:val="20"/>
          <w:lang w:val="en-US"/>
        </w:rPr>
        <w:t xml:space="preserve"> </w:t>
      </w:r>
      <w:r w:rsidR="00026C50" w:rsidRPr="00214987">
        <w:rPr>
          <w:rFonts w:ascii="Arial" w:hAnsi="Arial" w:cs="Arial"/>
          <w:noProof/>
          <w:sz w:val="20"/>
          <w:szCs w:val="20"/>
          <w:lang w:val="en-US"/>
        </w:rPr>
        <w:t xml:space="preserve">without </w:t>
      </w:r>
      <w:r w:rsidR="0086312B" w:rsidRPr="00214987">
        <w:rPr>
          <w:rFonts w:ascii="Arial" w:hAnsi="Arial" w:cs="Arial"/>
          <w:noProof/>
          <w:sz w:val="20"/>
          <w:szCs w:val="20"/>
          <w:lang w:val="en-US"/>
        </w:rPr>
        <w:t>sufficient response</w:t>
      </w:r>
      <w:r w:rsidR="00AA3555" w:rsidRPr="00214987">
        <w:rPr>
          <w:rFonts w:ascii="Arial" w:hAnsi="Arial" w:cs="Arial"/>
          <w:noProof/>
          <w:sz w:val="20"/>
          <w:szCs w:val="20"/>
          <w:lang w:val="en-US"/>
        </w:rPr>
        <w:t xml:space="preserve">, </w:t>
      </w:r>
      <w:r w:rsidR="004F33A6">
        <w:rPr>
          <w:rFonts w:ascii="Arial" w:hAnsi="Arial" w:cs="Arial"/>
          <w:noProof/>
          <w:sz w:val="20"/>
          <w:szCs w:val="20"/>
          <w:lang w:val="en-US"/>
        </w:rPr>
        <w:t>before</w:t>
      </w:r>
      <w:r w:rsidR="00AA3555" w:rsidRPr="00214987">
        <w:rPr>
          <w:rFonts w:ascii="Arial" w:hAnsi="Arial" w:cs="Arial"/>
          <w:noProof/>
          <w:sz w:val="20"/>
          <w:szCs w:val="20"/>
          <w:lang w:val="en-US"/>
        </w:rPr>
        <w:t xml:space="preserve"> their characterisation in this study</w:t>
      </w:r>
      <w:r w:rsidR="00383BA9" w:rsidRPr="00214987">
        <w:rPr>
          <w:rFonts w:ascii="Arial" w:hAnsi="Arial" w:cs="Arial"/>
          <w:noProof/>
          <w:sz w:val="20"/>
          <w:szCs w:val="20"/>
          <w:lang w:val="en-US"/>
        </w:rPr>
        <w:t xml:space="preserve">. </w:t>
      </w:r>
    </w:p>
    <w:p w14:paraId="5949CD09" w14:textId="72642EE0" w:rsidR="00312237" w:rsidRPr="00214987" w:rsidRDefault="0065738F" w:rsidP="00AB4CB7">
      <w:pPr>
        <w:spacing w:line="480" w:lineRule="auto"/>
        <w:rPr>
          <w:rFonts w:ascii="Arial" w:hAnsi="Arial" w:cs="Arial"/>
          <w:noProof/>
          <w:sz w:val="20"/>
          <w:szCs w:val="20"/>
          <w:lang w:val="en-US"/>
        </w:rPr>
      </w:pPr>
      <w:r w:rsidRPr="00214987">
        <w:rPr>
          <w:rFonts w:ascii="Arial" w:hAnsi="Arial" w:cs="Arial"/>
          <w:noProof/>
          <w:sz w:val="20"/>
          <w:szCs w:val="20"/>
          <w:lang w:val="en-US"/>
        </w:rPr>
        <w:t>A</w:t>
      </w:r>
      <w:r w:rsidR="001F7499" w:rsidRPr="00214987">
        <w:rPr>
          <w:rFonts w:ascii="Arial" w:hAnsi="Arial" w:cs="Arial"/>
          <w:noProof/>
          <w:sz w:val="20"/>
          <w:szCs w:val="20"/>
          <w:lang w:val="en-US"/>
        </w:rPr>
        <w:t>lthough</w:t>
      </w:r>
      <w:r w:rsidR="00973002" w:rsidRPr="00214987">
        <w:rPr>
          <w:rFonts w:ascii="Arial" w:hAnsi="Arial" w:cs="Arial"/>
          <w:noProof/>
          <w:sz w:val="20"/>
          <w:szCs w:val="20"/>
          <w:lang w:val="en-US"/>
        </w:rPr>
        <w:t xml:space="preserve"> our</w:t>
      </w:r>
      <w:r w:rsidR="001F7499" w:rsidRPr="00214987">
        <w:rPr>
          <w:rFonts w:ascii="Arial" w:hAnsi="Arial" w:cs="Arial"/>
          <w:noProof/>
          <w:sz w:val="20"/>
          <w:szCs w:val="20"/>
          <w:lang w:val="en-US"/>
        </w:rPr>
        <w:t xml:space="preserve"> three high burden groups were </w:t>
      </w:r>
      <w:r w:rsidR="00654712" w:rsidRPr="00214987">
        <w:rPr>
          <w:rFonts w:ascii="Arial" w:hAnsi="Arial" w:cs="Arial"/>
          <w:noProof/>
          <w:sz w:val="20"/>
          <w:szCs w:val="20"/>
          <w:lang w:val="en-US"/>
        </w:rPr>
        <w:t>similar</w:t>
      </w:r>
      <w:r w:rsidR="001F7499" w:rsidRPr="00214987">
        <w:rPr>
          <w:rFonts w:ascii="Arial" w:hAnsi="Arial" w:cs="Arial"/>
          <w:noProof/>
          <w:sz w:val="20"/>
          <w:szCs w:val="20"/>
          <w:lang w:val="en-US"/>
        </w:rPr>
        <w:t xml:space="preserve"> with regards to ACQ</w:t>
      </w:r>
      <w:r w:rsidR="00A31B44" w:rsidRPr="00214987">
        <w:rPr>
          <w:rFonts w:ascii="Arial" w:hAnsi="Arial" w:cs="Arial"/>
          <w:noProof/>
          <w:sz w:val="20"/>
          <w:szCs w:val="20"/>
          <w:lang w:val="en-US"/>
        </w:rPr>
        <w:t>6</w:t>
      </w:r>
      <w:r w:rsidR="001F7499" w:rsidRPr="00214987">
        <w:rPr>
          <w:rFonts w:ascii="Arial" w:hAnsi="Arial" w:cs="Arial"/>
          <w:noProof/>
          <w:sz w:val="20"/>
          <w:szCs w:val="20"/>
          <w:lang w:val="en-US"/>
        </w:rPr>
        <w:t xml:space="preserve">, exacerbations and </w:t>
      </w:r>
      <w:r w:rsidR="00734AAE" w:rsidRPr="00214987">
        <w:rPr>
          <w:rFonts w:ascii="Arial" w:hAnsi="Arial" w:cs="Arial"/>
          <w:noProof/>
          <w:sz w:val="20"/>
          <w:szCs w:val="20"/>
          <w:lang w:val="en-US"/>
        </w:rPr>
        <w:t>AHE</w:t>
      </w:r>
      <w:r w:rsidR="001F7499" w:rsidRPr="00214987">
        <w:rPr>
          <w:rFonts w:ascii="Arial" w:hAnsi="Arial" w:cs="Arial"/>
          <w:noProof/>
          <w:sz w:val="20"/>
          <w:szCs w:val="20"/>
          <w:lang w:val="en-US"/>
        </w:rPr>
        <w:t>,</w:t>
      </w:r>
      <w:r w:rsidR="00373CBD" w:rsidRPr="00373CBD">
        <w:rPr>
          <w:rFonts w:ascii="Arial" w:hAnsi="Arial" w:cs="Arial"/>
          <w:noProof/>
          <w:sz w:val="20"/>
          <w:szCs w:val="20"/>
          <w:lang w:val="en-US"/>
        </w:rPr>
        <w:t xml:space="preserve"> </w:t>
      </w:r>
      <w:r w:rsidR="00373CBD">
        <w:rPr>
          <w:rFonts w:ascii="Arial" w:hAnsi="Arial" w:cs="Arial"/>
          <w:noProof/>
          <w:sz w:val="20"/>
          <w:szCs w:val="20"/>
          <w:lang w:val="en-US"/>
        </w:rPr>
        <w:t>both biologic treated groups showed clear evidence of Type 2 inflammation,</w:t>
      </w:r>
      <w:r w:rsidR="00BC70AF">
        <w:rPr>
          <w:rFonts w:ascii="Arial" w:hAnsi="Arial" w:cs="Arial"/>
          <w:noProof/>
          <w:sz w:val="20"/>
          <w:szCs w:val="20"/>
          <w:lang w:val="en-US"/>
        </w:rPr>
        <w:t xml:space="preserve"> as per Global Initiative </w:t>
      </w:r>
      <w:r w:rsidR="00F00D8D">
        <w:rPr>
          <w:rFonts w:ascii="Arial" w:hAnsi="Arial" w:cs="Arial"/>
          <w:noProof/>
          <w:sz w:val="20"/>
          <w:szCs w:val="20"/>
          <w:lang w:val="en-US"/>
        </w:rPr>
        <w:t>for</w:t>
      </w:r>
      <w:r w:rsidR="00BC70AF">
        <w:rPr>
          <w:rFonts w:ascii="Arial" w:hAnsi="Arial" w:cs="Arial"/>
          <w:noProof/>
          <w:sz w:val="20"/>
          <w:szCs w:val="20"/>
          <w:lang w:val="en-US"/>
        </w:rPr>
        <w:t xml:space="preserve"> Asthma </w:t>
      </w:r>
      <w:r w:rsidR="00122915">
        <w:rPr>
          <w:rFonts w:ascii="Arial" w:hAnsi="Arial" w:cs="Arial"/>
          <w:noProof/>
          <w:sz w:val="20"/>
          <w:szCs w:val="20"/>
          <w:lang w:val="en-US"/>
        </w:rPr>
        <w:t xml:space="preserve">(GINA) </w:t>
      </w:r>
      <w:r w:rsidR="00BC70AF">
        <w:rPr>
          <w:rFonts w:ascii="Arial" w:hAnsi="Arial" w:cs="Arial"/>
          <w:noProof/>
          <w:sz w:val="20"/>
          <w:szCs w:val="20"/>
          <w:lang w:val="en-US"/>
        </w:rPr>
        <w:t>guidelines</w:t>
      </w:r>
      <w:r w:rsidR="00E66714" w:rsidRPr="004D5ADF">
        <w:rPr>
          <w:rFonts w:ascii="Arial" w:hAnsi="Arial" w:cs="Arial"/>
          <w:noProof/>
          <w:sz w:val="20"/>
          <w:szCs w:val="20"/>
          <w:vertAlign w:val="superscript"/>
          <w:lang w:val="en-US"/>
        </w:rPr>
        <w:t>27</w:t>
      </w:r>
      <w:r w:rsidR="00BC70AF">
        <w:rPr>
          <w:rFonts w:ascii="Arial" w:hAnsi="Arial" w:cs="Arial"/>
          <w:noProof/>
          <w:sz w:val="20"/>
          <w:szCs w:val="20"/>
          <w:lang w:val="en-US"/>
        </w:rPr>
        <w:t>.</w:t>
      </w:r>
      <w:r w:rsidR="008611E4">
        <w:rPr>
          <w:rFonts w:ascii="Arial" w:hAnsi="Arial" w:cs="Arial"/>
          <w:noProof/>
          <w:sz w:val="20"/>
          <w:szCs w:val="20"/>
          <w:lang w:val="en-US"/>
        </w:rPr>
        <w:t xml:space="preserve"> </w:t>
      </w:r>
      <w:r w:rsidR="00502F9C">
        <w:rPr>
          <w:rFonts w:ascii="Arial" w:hAnsi="Arial" w:cs="Arial"/>
          <w:noProof/>
          <w:sz w:val="20"/>
          <w:szCs w:val="20"/>
          <w:lang w:val="en-US"/>
        </w:rPr>
        <w:t>Indeed,</w:t>
      </w:r>
      <w:r w:rsidR="008611E4">
        <w:rPr>
          <w:rFonts w:ascii="Arial" w:hAnsi="Arial" w:cs="Arial"/>
          <w:noProof/>
          <w:sz w:val="20"/>
          <w:szCs w:val="20"/>
          <w:lang w:val="en-US"/>
        </w:rPr>
        <w:t xml:space="preserve"> </w:t>
      </w:r>
      <w:r w:rsidR="00352CA1">
        <w:rPr>
          <w:rFonts w:ascii="Arial" w:hAnsi="Arial" w:cs="Arial"/>
          <w:noProof/>
          <w:sz w:val="20"/>
          <w:szCs w:val="20"/>
          <w:lang w:val="en-US"/>
        </w:rPr>
        <w:t xml:space="preserve">as mentioned earlier, </w:t>
      </w:r>
      <w:r w:rsidR="008611E4">
        <w:rPr>
          <w:rFonts w:ascii="Arial" w:hAnsi="Arial" w:cs="Arial"/>
          <w:noProof/>
          <w:sz w:val="20"/>
          <w:szCs w:val="20"/>
          <w:lang w:val="en-US"/>
        </w:rPr>
        <w:t>b</w:t>
      </w:r>
      <w:r w:rsidR="00BC70AF">
        <w:rPr>
          <w:rFonts w:ascii="Arial" w:hAnsi="Arial" w:cs="Arial"/>
          <w:noProof/>
          <w:sz w:val="20"/>
          <w:szCs w:val="20"/>
          <w:lang w:val="en-US"/>
        </w:rPr>
        <w:t xml:space="preserve">oth </w:t>
      </w:r>
      <w:r w:rsidR="008611E4">
        <w:rPr>
          <w:rFonts w:ascii="Arial" w:hAnsi="Arial" w:cs="Arial"/>
          <w:noProof/>
          <w:sz w:val="20"/>
          <w:szCs w:val="20"/>
          <w:lang w:val="en-US"/>
        </w:rPr>
        <w:t>groups had</w:t>
      </w:r>
      <w:r w:rsidR="00373CBD">
        <w:rPr>
          <w:rFonts w:ascii="Arial" w:hAnsi="Arial" w:cs="Arial"/>
          <w:noProof/>
          <w:sz w:val="20"/>
          <w:szCs w:val="20"/>
          <w:lang w:val="en-US"/>
        </w:rPr>
        <w:t xml:space="preserve"> significantly higher levels of FENO, greater than 20ppb</w:t>
      </w:r>
      <w:r w:rsidR="00502F9C">
        <w:rPr>
          <w:rFonts w:ascii="Arial" w:hAnsi="Arial" w:cs="Arial"/>
          <w:noProof/>
          <w:sz w:val="20"/>
          <w:szCs w:val="20"/>
          <w:lang w:val="en-US"/>
        </w:rPr>
        <w:t xml:space="preserve">, </w:t>
      </w:r>
      <w:r w:rsidR="00373CBD">
        <w:rPr>
          <w:rFonts w:ascii="Arial" w:hAnsi="Arial" w:cs="Arial"/>
          <w:noProof/>
          <w:sz w:val="20"/>
          <w:szCs w:val="20"/>
          <w:lang w:val="en-US"/>
        </w:rPr>
        <w:t>and blood eosinophils greater than ≥150</w:t>
      </w:r>
      <w:r w:rsidR="00373CBD" w:rsidRPr="006C61D3">
        <w:t xml:space="preserve"> </w:t>
      </w:r>
      <w:r w:rsidR="00373CBD" w:rsidRPr="006C61D3">
        <w:rPr>
          <w:rFonts w:ascii="Arial" w:hAnsi="Arial" w:cs="Arial"/>
          <w:noProof/>
          <w:sz w:val="20"/>
          <w:szCs w:val="20"/>
          <w:lang w:val="en-US"/>
        </w:rPr>
        <w:t>cells/µL</w:t>
      </w:r>
      <w:r w:rsidR="00F72BA2">
        <w:rPr>
          <w:rFonts w:ascii="Arial" w:hAnsi="Arial" w:cs="Arial"/>
          <w:noProof/>
          <w:sz w:val="20"/>
          <w:szCs w:val="20"/>
          <w:lang w:val="en-US"/>
        </w:rPr>
        <w:t xml:space="preserve">, despite greater </w:t>
      </w:r>
      <w:r w:rsidR="00E02E04">
        <w:rPr>
          <w:rFonts w:ascii="Arial" w:hAnsi="Arial" w:cs="Arial"/>
          <w:noProof/>
          <w:sz w:val="20"/>
          <w:szCs w:val="20"/>
          <w:lang w:val="en-US"/>
        </w:rPr>
        <w:t>proportions</w:t>
      </w:r>
      <w:r w:rsidR="00F72BA2">
        <w:rPr>
          <w:rFonts w:ascii="Arial" w:hAnsi="Arial" w:cs="Arial"/>
          <w:noProof/>
          <w:sz w:val="20"/>
          <w:szCs w:val="20"/>
          <w:lang w:val="en-US"/>
        </w:rPr>
        <w:t xml:space="preserve"> of </w:t>
      </w:r>
      <w:r w:rsidR="00E02E04">
        <w:rPr>
          <w:rFonts w:ascii="Arial" w:hAnsi="Arial" w:cs="Arial"/>
          <w:noProof/>
          <w:sz w:val="20"/>
          <w:szCs w:val="20"/>
          <w:lang w:val="en-US"/>
        </w:rPr>
        <w:t>oral corticosteroid dependancy</w:t>
      </w:r>
      <w:r w:rsidR="00373CBD">
        <w:rPr>
          <w:rFonts w:ascii="Arial" w:hAnsi="Arial" w:cs="Arial"/>
          <w:noProof/>
          <w:sz w:val="20"/>
          <w:szCs w:val="20"/>
          <w:lang w:val="en-US"/>
        </w:rPr>
        <w:t xml:space="preserve">. </w:t>
      </w:r>
      <w:r w:rsidR="00373CBD" w:rsidRPr="006C61D3">
        <w:rPr>
          <w:rFonts w:ascii="Arial" w:hAnsi="Arial" w:cs="Arial"/>
          <w:noProof/>
          <w:sz w:val="20"/>
          <w:szCs w:val="20"/>
          <w:lang w:val="en-US"/>
        </w:rPr>
        <w:t xml:space="preserve"> </w:t>
      </w:r>
      <w:r w:rsidR="002D3165">
        <w:rPr>
          <w:rFonts w:ascii="Arial" w:hAnsi="Arial" w:cs="Arial"/>
          <w:noProof/>
          <w:sz w:val="20"/>
          <w:szCs w:val="20"/>
          <w:lang w:val="en-US"/>
        </w:rPr>
        <w:t xml:space="preserve">Additionally, </w:t>
      </w:r>
      <w:r w:rsidR="00001B5C">
        <w:rPr>
          <w:rFonts w:ascii="Arial" w:hAnsi="Arial" w:cs="Arial"/>
          <w:noProof/>
          <w:sz w:val="20"/>
          <w:szCs w:val="20"/>
          <w:lang w:val="en-US"/>
        </w:rPr>
        <w:t xml:space="preserve">the biologic </w:t>
      </w:r>
      <w:r w:rsidR="00833F29">
        <w:rPr>
          <w:rFonts w:ascii="Arial" w:hAnsi="Arial" w:cs="Arial"/>
          <w:noProof/>
          <w:sz w:val="20"/>
          <w:szCs w:val="20"/>
          <w:lang w:val="en-US"/>
        </w:rPr>
        <w:t xml:space="preserve">treated </w:t>
      </w:r>
      <w:r w:rsidR="00001B5C">
        <w:rPr>
          <w:rFonts w:ascii="Arial" w:hAnsi="Arial" w:cs="Arial"/>
          <w:noProof/>
          <w:sz w:val="20"/>
          <w:szCs w:val="20"/>
          <w:lang w:val="en-US"/>
        </w:rPr>
        <w:t>groups were also</w:t>
      </w:r>
      <w:r w:rsidR="00A9403A" w:rsidRPr="00214987">
        <w:rPr>
          <w:rFonts w:ascii="Arial" w:hAnsi="Arial" w:cs="Arial"/>
          <w:noProof/>
          <w:sz w:val="20"/>
          <w:szCs w:val="20"/>
          <w:lang w:val="en-US"/>
        </w:rPr>
        <w:t>phenotypically</w:t>
      </w:r>
      <w:r w:rsidR="00523B43" w:rsidRPr="00214987">
        <w:rPr>
          <w:rFonts w:ascii="Arial" w:hAnsi="Arial" w:cs="Arial"/>
          <w:noProof/>
          <w:sz w:val="20"/>
          <w:szCs w:val="20"/>
          <w:lang w:val="en-US"/>
        </w:rPr>
        <w:t xml:space="preserve"> distinct. </w:t>
      </w:r>
      <w:r w:rsidR="002B40FF" w:rsidRPr="00214987">
        <w:rPr>
          <w:rFonts w:ascii="Arial" w:hAnsi="Arial" w:cs="Arial"/>
          <w:noProof/>
          <w:sz w:val="20"/>
          <w:szCs w:val="20"/>
          <w:lang w:val="en-US"/>
        </w:rPr>
        <w:t>Th</w:t>
      </w:r>
      <w:r w:rsidR="002B40FF">
        <w:rPr>
          <w:rFonts w:ascii="Arial" w:hAnsi="Arial" w:cs="Arial"/>
          <w:noProof/>
          <w:sz w:val="20"/>
          <w:szCs w:val="20"/>
          <w:lang w:val="en-US"/>
        </w:rPr>
        <w:t>ese findings</w:t>
      </w:r>
      <w:r w:rsidR="002B40FF" w:rsidRPr="00214987">
        <w:rPr>
          <w:rFonts w:ascii="Arial" w:hAnsi="Arial" w:cs="Arial"/>
          <w:noProof/>
          <w:sz w:val="20"/>
          <w:szCs w:val="20"/>
          <w:lang w:val="en-US"/>
        </w:rPr>
        <w:t xml:space="preserve"> </w:t>
      </w:r>
      <w:r w:rsidR="002B40FF">
        <w:rPr>
          <w:rFonts w:ascii="Arial" w:hAnsi="Arial" w:cs="Arial"/>
          <w:noProof/>
          <w:sz w:val="20"/>
          <w:szCs w:val="20"/>
          <w:lang w:val="en-US"/>
        </w:rPr>
        <w:t>su</w:t>
      </w:r>
      <w:r w:rsidR="00F1741B">
        <w:rPr>
          <w:rFonts w:ascii="Arial" w:hAnsi="Arial" w:cs="Arial"/>
          <w:noProof/>
          <w:sz w:val="20"/>
          <w:szCs w:val="20"/>
          <w:lang w:val="en-US"/>
        </w:rPr>
        <w:t>bs</w:t>
      </w:r>
      <w:r w:rsidR="002B40FF">
        <w:rPr>
          <w:rFonts w:ascii="Arial" w:hAnsi="Arial" w:cs="Arial"/>
          <w:noProof/>
          <w:sz w:val="20"/>
          <w:szCs w:val="20"/>
          <w:lang w:val="en-US"/>
        </w:rPr>
        <w:t xml:space="preserve">tantiate but also </w:t>
      </w:r>
      <w:r w:rsidR="002B40FF" w:rsidRPr="00214987">
        <w:rPr>
          <w:rFonts w:ascii="Arial" w:hAnsi="Arial" w:cs="Arial"/>
          <w:noProof/>
          <w:sz w:val="20"/>
          <w:szCs w:val="20"/>
          <w:lang w:val="en-US"/>
        </w:rPr>
        <w:t xml:space="preserve">add further insight to preliminary suggestions of typical patient features for these biologics outlined by the Global Initiative </w:t>
      </w:r>
      <w:r w:rsidR="00F00D8D">
        <w:rPr>
          <w:rFonts w:ascii="Arial" w:hAnsi="Arial" w:cs="Arial"/>
          <w:noProof/>
          <w:sz w:val="20"/>
          <w:szCs w:val="20"/>
          <w:lang w:val="en-US"/>
        </w:rPr>
        <w:t>for</w:t>
      </w:r>
      <w:r w:rsidR="002B40FF" w:rsidRPr="00214987">
        <w:rPr>
          <w:rFonts w:ascii="Arial" w:hAnsi="Arial" w:cs="Arial"/>
          <w:noProof/>
          <w:sz w:val="20"/>
          <w:szCs w:val="20"/>
          <w:lang w:val="en-US"/>
        </w:rPr>
        <w:t xml:space="preserve"> Asthma</w:t>
      </w:r>
      <w:r w:rsidR="00E01471">
        <w:rPr>
          <w:rFonts w:ascii="Arial" w:hAnsi="Arial" w:cs="Arial"/>
          <w:noProof/>
          <w:sz w:val="20"/>
          <w:szCs w:val="20"/>
          <w:lang w:val="en-US"/>
        </w:rPr>
        <w:t xml:space="preserve"> </w:t>
      </w:r>
      <w:r w:rsidR="002B40FF" w:rsidRPr="00214987">
        <w:rPr>
          <w:rFonts w:ascii="Arial" w:hAnsi="Arial" w:cs="Arial"/>
          <w:noProof/>
          <w:sz w:val="20"/>
          <w:szCs w:val="20"/>
          <w:lang w:val="en-US"/>
        </w:rPr>
        <w:fldChar w:fldCharType="begin" w:fldLock="1"/>
      </w:r>
      <w:r w:rsidR="002B40FF">
        <w:rPr>
          <w:rFonts w:ascii="Arial" w:hAnsi="Arial" w:cs="Arial"/>
          <w:noProof/>
          <w:sz w:val="20"/>
          <w:szCs w:val="20"/>
          <w:lang w:val="en-US"/>
        </w:rPr>
        <w:instrText>ADDIN CSL_CITATION {"citationItems":[{"id":"ITEM-1","itemData":{"abstract":" This pocket guide aims to provide a practical summary for health professionals about how to identify, assess and manage difficul-to-treat and severe asthma in adolescents and adults. ","author":[{"dropping-particle":"","family":"Darcey","given":"J","non-dropping-particle":"","parse-names":false,"suffix":""},{"dropping-particle":"","family":"Qualtrough","given":"A","non-dropping-particle":"","parse-names":false,"suffix":""}],"container-title":"Global Initiative for Asthma","id":"ITEM-1","issue":"10","issued":{"date-parts":[["2019"]]},"page":"493-509","title":"DIFFICULT-TO-TREAT &amp; SEVERE ASTHMA in adolescent and adult patients - diagnosis and management","type":"article-journal","volume":"214"},"uris":["http://www.mendeley.com/documents/?uuid=9f9646a7-ee7e-4734-a2e9-47397aef4ae1"]}],"mendeley":{"formattedCitation":"&lt;sup&gt;27&lt;/sup&gt;","plainTextFormattedCitation":"27","previouslyFormattedCitation":"&lt;sup&gt;27&lt;/sup&gt;"},"properties":{"noteIndex":0},"schema":"https://github.com/citation-style-language/schema/raw/master/csl-citation.json"}</w:instrText>
      </w:r>
      <w:r w:rsidR="002B40FF" w:rsidRPr="00214987">
        <w:rPr>
          <w:rFonts w:ascii="Arial" w:hAnsi="Arial" w:cs="Arial"/>
          <w:noProof/>
          <w:sz w:val="20"/>
          <w:szCs w:val="20"/>
          <w:lang w:val="en-US"/>
        </w:rPr>
        <w:fldChar w:fldCharType="separate"/>
      </w:r>
      <w:r w:rsidR="002B40FF" w:rsidRPr="00214987">
        <w:rPr>
          <w:rFonts w:ascii="Arial" w:hAnsi="Arial" w:cs="Arial"/>
          <w:noProof/>
          <w:sz w:val="20"/>
          <w:szCs w:val="20"/>
          <w:vertAlign w:val="superscript"/>
          <w:lang w:val="en-US"/>
        </w:rPr>
        <w:t>27</w:t>
      </w:r>
      <w:r w:rsidR="002B40FF" w:rsidRPr="00214987">
        <w:rPr>
          <w:rFonts w:ascii="Arial" w:hAnsi="Arial" w:cs="Arial"/>
          <w:noProof/>
          <w:sz w:val="20"/>
          <w:szCs w:val="20"/>
          <w:lang w:val="en-US"/>
        </w:rPr>
        <w:fldChar w:fldCharType="end"/>
      </w:r>
      <w:r w:rsidR="002B40FF" w:rsidRPr="00214987">
        <w:rPr>
          <w:rFonts w:ascii="Arial" w:hAnsi="Arial" w:cs="Arial"/>
          <w:noProof/>
          <w:sz w:val="20"/>
          <w:szCs w:val="20"/>
          <w:lang w:val="en-US"/>
        </w:rPr>
        <w:t xml:space="preserve">. </w:t>
      </w:r>
      <w:r w:rsidR="002B40FF">
        <w:rPr>
          <w:rFonts w:ascii="Arial" w:hAnsi="Arial" w:cs="Arial"/>
          <w:noProof/>
          <w:sz w:val="20"/>
          <w:szCs w:val="20"/>
          <w:lang w:val="en-US"/>
        </w:rPr>
        <w:t xml:space="preserve"> </w:t>
      </w:r>
      <w:r w:rsidR="003605DD">
        <w:rPr>
          <w:rFonts w:ascii="Arial" w:hAnsi="Arial" w:cs="Arial"/>
          <w:noProof/>
          <w:sz w:val="20"/>
          <w:szCs w:val="20"/>
          <w:lang w:val="en-US"/>
        </w:rPr>
        <w:t>Thus</w:t>
      </w:r>
      <w:r w:rsidR="002B40FF">
        <w:rPr>
          <w:rFonts w:ascii="Arial" w:hAnsi="Arial" w:cs="Arial"/>
          <w:noProof/>
          <w:sz w:val="20"/>
          <w:szCs w:val="20"/>
          <w:lang w:val="en-US"/>
        </w:rPr>
        <w:t xml:space="preserve">, </w:t>
      </w:r>
      <w:r w:rsidR="008C6CE9" w:rsidRPr="00214987">
        <w:rPr>
          <w:rFonts w:ascii="Arial" w:hAnsi="Arial" w:cs="Arial"/>
          <w:noProof/>
          <w:sz w:val="20"/>
          <w:szCs w:val="20"/>
          <w:lang w:val="en-US"/>
        </w:rPr>
        <w:t>Omalizumab</w:t>
      </w:r>
      <w:r w:rsidR="00273933" w:rsidRPr="00214987">
        <w:rPr>
          <w:rFonts w:ascii="Arial" w:hAnsi="Arial" w:cs="Arial"/>
          <w:noProof/>
          <w:sz w:val="20"/>
          <w:szCs w:val="20"/>
          <w:lang w:val="en-US"/>
        </w:rPr>
        <w:t xml:space="preserve"> patients </w:t>
      </w:r>
      <w:r w:rsidR="00D85B3C" w:rsidRPr="00214987">
        <w:rPr>
          <w:rFonts w:ascii="Arial" w:hAnsi="Arial" w:cs="Arial"/>
          <w:noProof/>
          <w:sz w:val="20"/>
          <w:szCs w:val="20"/>
          <w:lang w:val="en-US"/>
        </w:rPr>
        <w:t>ha</w:t>
      </w:r>
      <w:r w:rsidR="00467C2C" w:rsidRPr="00214987">
        <w:rPr>
          <w:rFonts w:ascii="Arial" w:hAnsi="Arial" w:cs="Arial"/>
          <w:noProof/>
          <w:sz w:val="20"/>
          <w:szCs w:val="20"/>
          <w:lang w:val="en-US"/>
        </w:rPr>
        <w:t>d</w:t>
      </w:r>
      <w:r w:rsidR="00D85B3C" w:rsidRPr="00214987">
        <w:rPr>
          <w:rFonts w:ascii="Arial" w:hAnsi="Arial" w:cs="Arial"/>
          <w:noProof/>
          <w:sz w:val="20"/>
          <w:szCs w:val="20"/>
          <w:lang w:val="en-US"/>
        </w:rPr>
        <w:t xml:space="preserve"> a younger, </w:t>
      </w:r>
      <w:r w:rsidR="0099127B" w:rsidRPr="00214987">
        <w:rPr>
          <w:rFonts w:ascii="Arial" w:hAnsi="Arial" w:cs="Arial"/>
          <w:noProof/>
          <w:sz w:val="20"/>
          <w:szCs w:val="20"/>
          <w:lang w:val="en-US"/>
        </w:rPr>
        <w:t>early</w:t>
      </w:r>
      <w:r w:rsidR="000D3535" w:rsidRPr="00214987">
        <w:rPr>
          <w:rFonts w:ascii="Arial" w:hAnsi="Arial" w:cs="Arial"/>
          <w:noProof/>
          <w:sz w:val="20"/>
          <w:szCs w:val="20"/>
          <w:lang w:val="en-US"/>
        </w:rPr>
        <w:t>-</w:t>
      </w:r>
      <w:r w:rsidR="0099127B" w:rsidRPr="00214987">
        <w:rPr>
          <w:rFonts w:ascii="Arial" w:hAnsi="Arial" w:cs="Arial"/>
          <w:noProof/>
          <w:sz w:val="20"/>
          <w:szCs w:val="20"/>
          <w:lang w:val="en-US"/>
        </w:rPr>
        <w:t>onset, atopic phenotype</w:t>
      </w:r>
      <w:r w:rsidR="00747839" w:rsidRPr="00214987">
        <w:rPr>
          <w:rFonts w:ascii="Arial" w:hAnsi="Arial" w:cs="Arial"/>
          <w:noProof/>
          <w:sz w:val="20"/>
          <w:szCs w:val="20"/>
          <w:lang w:val="en-US"/>
        </w:rPr>
        <w:t xml:space="preserve">, with high proportions of co-morbid </w:t>
      </w:r>
      <w:r w:rsidR="00A943CE">
        <w:rPr>
          <w:rFonts w:ascii="Arial" w:hAnsi="Arial" w:cs="Arial"/>
          <w:noProof/>
          <w:sz w:val="20"/>
          <w:szCs w:val="20"/>
          <w:lang w:val="en-US"/>
        </w:rPr>
        <w:t>a</w:t>
      </w:r>
      <w:r w:rsidR="00A943CE" w:rsidRPr="00214987">
        <w:rPr>
          <w:rFonts w:ascii="Arial" w:hAnsi="Arial" w:cs="Arial"/>
          <w:noProof/>
          <w:sz w:val="20"/>
          <w:szCs w:val="20"/>
          <w:lang w:val="en-US"/>
        </w:rPr>
        <w:t>llergic bronchopulmonary aspergillosis</w:t>
      </w:r>
      <w:r w:rsidR="00747839" w:rsidRPr="00214987">
        <w:rPr>
          <w:rFonts w:ascii="Arial" w:hAnsi="Arial" w:cs="Arial"/>
          <w:noProof/>
          <w:sz w:val="20"/>
          <w:szCs w:val="20"/>
          <w:lang w:val="en-US"/>
        </w:rPr>
        <w:t xml:space="preserve"> and rhinitis</w:t>
      </w:r>
      <w:r w:rsidR="00223CD3" w:rsidRPr="00214987">
        <w:rPr>
          <w:rFonts w:ascii="Arial" w:hAnsi="Arial" w:cs="Arial"/>
          <w:noProof/>
          <w:sz w:val="20"/>
          <w:szCs w:val="20"/>
          <w:lang w:val="en-US"/>
        </w:rPr>
        <w:t>. Conversel</w:t>
      </w:r>
      <w:r w:rsidR="003E673C" w:rsidRPr="00214987">
        <w:rPr>
          <w:rFonts w:ascii="Arial" w:hAnsi="Arial" w:cs="Arial"/>
          <w:noProof/>
          <w:sz w:val="20"/>
          <w:szCs w:val="20"/>
          <w:lang w:val="en-US"/>
        </w:rPr>
        <w:t>y,</w:t>
      </w:r>
      <w:r w:rsidR="00D54EFB"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7520D6" w:rsidRPr="00214987">
        <w:rPr>
          <w:rFonts w:ascii="Arial" w:hAnsi="Arial" w:cs="Arial"/>
          <w:noProof/>
          <w:sz w:val="20"/>
          <w:szCs w:val="20"/>
          <w:lang w:val="en-US"/>
        </w:rPr>
        <w:t xml:space="preserve"> patients</w:t>
      </w:r>
      <w:r w:rsidR="0071715C" w:rsidRPr="00214987">
        <w:rPr>
          <w:rFonts w:ascii="Arial" w:hAnsi="Arial" w:cs="Arial"/>
          <w:noProof/>
          <w:sz w:val="20"/>
          <w:szCs w:val="20"/>
          <w:lang w:val="en-US"/>
        </w:rPr>
        <w:t xml:space="preserve"> </w:t>
      </w:r>
      <w:r w:rsidR="000673AA" w:rsidRPr="00214987">
        <w:rPr>
          <w:rFonts w:ascii="Arial" w:hAnsi="Arial" w:cs="Arial"/>
          <w:noProof/>
          <w:sz w:val="20"/>
          <w:szCs w:val="20"/>
          <w:lang w:val="en-US"/>
        </w:rPr>
        <w:t>had</w:t>
      </w:r>
      <w:r w:rsidR="006E2DF0" w:rsidRPr="00214987">
        <w:rPr>
          <w:rFonts w:ascii="Arial" w:hAnsi="Arial" w:cs="Arial"/>
          <w:noProof/>
          <w:sz w:val="20"/>
          <w:szCs w:val="20"/>
          <w:lang w:val="en-US"/>
        </w:rPr>
        <w:t xml:space="preserve"> an</w:t>
      </w:r>
      <w:r w:rsidR="00ED4233" w:rsidRPr="00214987">
        <w:rPr>
          <w:rFonts w:ascii="Arial" w:hAnsi="Arial" w:cs="Arial"/>
          <w:noProof/>
          <w:sz w:val="20"/>
          <w:szCs w:val="20"/>
          <w:lang w:val="en-US"/>
        </w:rPr>
        <w:t xml:space="preserve"> </w:t>
      </w:r>
      <w:r w:rsidR="00D85B3C" w:rsidRPr="00214987">
        <w:rPr>
          <w:rFonts w:ascii="Arial" w:hAnsi="Arial" w:cs="Arial"/>
          <w:noProof/>
          <w:sz w:val="20"/>
          <w:szCs w:val="20"/>
          <w:lang w:val="en-US"/>
        </w:rPr>
        <w:t>older</w:t>
      </w:r>
      <w:r w:rsidR="004170C2" w:rsidRPr="00214987">
        <w:rPr>
          <w:rFonts w:ascii="Arial" w:hAnsi="Arial" w:cs="Arial"/>
          <w:noProof/>
          <w:sz w:val="20"/>
          <w:szCs w:val="20"/>
          <w:lang w:val="en-US"/>
        </w:rPr>
        <w:t xml:space="preserve">, </w:t>
      </w:r>
      <w:r w:rsidR="00ED4233" w:rsidRPr="00214987">
        <w:rPr>
          <w:rFonts w:ascii="Arial" w:hAnsi="Arial" w:cs="Arial"/>
          <w:noProof/>
          <w:sz w:val="20"/>
          <w:szCs w:val="20"/>
          <w:lang w:val="en-US"/>
        </w:rPr>
        <w:t>male,</w:t>
      </w:r>
      <w:r w:rsidR="003E673C" w:rsidRPr="00214987">
        <w:rPr>
          <w:rFonts w:ascii="Arial" w:hAnsi="Arial" w:cs="Arial"/>
          <w:noProof/>
          <w:sz w:val="20"/>
          <w:szCs w:val="20"/>
          <w:lang w:val="en-US"/>
        </w:rPr>
        <w:t xml:space="preserve"> late</w:t>
      </w:r>
      <w:r w:rsidR="000D3535" w:rsidRPr="00214987">
        <w:rPr>
          <w:rFonts w:ascii="Arial" w:hAnsi="Arial" w:cs="Arial"/>
          <w:noProof/>
          <w:sz w:val="20"/>
          <w:szCs w:val="20"/>
          <w:lang w:val="en-US"/>
        </w:rPr>
        <w:t>-</w:t>
      </w:r>
      <w:r w:rsidR="003E673C" w:rsidRPr="00214987">
        <w:rPr>
          <w:rFonts w:ascii="Arial" w:hAnsi="Arial" w:cs="Arial"/>
          <w:noProof/>
          <w:sz w:val="20"/>
          <w:szCs w:val="20"/>
          <w:lang w:val="en-US"/>
        </w:rPr>
        <w:t>onset</w:t>
      </w:r>
      <w:r w:rsidR="00AD59FE" w:rsidRPr="00214987">
        <w:rPr>
          <w:rFonts w:ascii="Arial" w:hAnsi="Arial" w:cs="Arial"/>
          <w:noProof/>
          <w:sz w:val="20"/>
          <w:szCs w:val="20"/>
          <w:lang w:val="en-US"/>
        </w:rPr>
        <w:t>,</w:t>
      </w:r>
      <w:r w:rsidR="003E673C" w:rsidRPr="00214987">
        <w:rPr>
          <w:rFonts w:ascii="Arial" w:hAnsi="Arial" w:cs="Arial"/>
          <w:noProof/>
          <w:sz w:val="20"/>
          <w:szCs w:val="20"/>
          <w:lang w:val="en-US"/>
        </w:rPr>
        <w:t xml:space="preserve"> eosinophilic </w:t>
      </w:r>
      <w:r w:rsidR="007520D6" w:rsidRPr="00214987">
        <w:rPr>
          <w:rFonts w:ascii="Arial" w:hAnsi="Arial" w:cs="Arial"/>
          <w:noProof/>
          <w:sz w:val="20"/>
          <w:szCs w:val="20"/>
          <w:lang w:val="en-US"/>
        </w:rPr>
        <w:t xml:space="preserve">but less atopic </w:t>
      </w:r>
      <w:r w:rsidR="003E673C" w:rsidRPr="00214987">
        <w:rPr>
          <w:rFonts w:ascii="Arial" w:hAnsi="Arial" w:cs="Arial"/>
          <w:noProof/>
          <w:sz w:val="20"/>
          <w:szCs w:val="20"/>
          <w:lang w:val="en-US"/>
        </w:rPr>
        <w:lastRenderedPageBreak/>
        <w:t>phenotype</w:t>
      </w:r>
      <w:r w:rsidR="001514AF" w:rsidRPr="00214987">
        <w:rPr>
          <w:rFonts w:ascii="Arial" w:hAnsi="Arial" w:cs="Arial"/>
          <w:noProof/>
          <w:sz w:val="20"/>
          <w:szCs w:val="20"/>
          <w:lang w:val="en-US"/>
        </w:rPr>
        <w:t>,</w:t>
      </w:r>
      <w:r w:rsidR="00981893" w:rsidRPr="00214987">
        <w:rPr>
          <w:rFonts w:ascii="Arial" w:hAnsi="Arial" w:cs="Arial"/>
          <w:noProof/>
          <w:sz w:val="20"/>
          <w:szCs w:val="20"/>
          <w:lang w:val="en-US"/>
        </w:rPr>
        <w:t xml:space="preserve"> associated with </w:t>
      </w:r>
      <w:r w:rsidR="00020C91">
        <w:rPr>
          <w:rFonts w:ascii="Arial" w:hAnsi="Arial" w:cs="Arial"/>
          <w:noProof/>
          <w:sz w:val="20"/>
          <w:szCs w:val="20"/>
          <w:lang w:val="en-US"/>
        </w:rPr>
        <w:t xml:space="preserve">a </w:t>
      </w:r>
      <w:r w:rsidR="005F5064" w:rsidRPr="00214987">
        <w:rPr>
          <w:rFonts w:ascii="Arial" w:hAnsi="Arial" w:cs="Arial"/>
          <w:noProof/>
          <w:sz w:val="20"/>
          <w:szCs w:val="20"/>
          <w:lang w:val="en-US"/>
        </w:rPr>
        <w:t xml:space="preserve">higher prevalence of </w:t>
      </w:r>
      <w:r w:rsidR="00AD20B4" w:rsidRPr="00214987">
        <w:rPr>
          <w:rFonts w:ascii="Arial" w:hAnsi="Arial" w:cs="Arial"/>
          <w:noProof/>
          <w:sz w:val="20"/>
          <w:szCs w:val="20"/>
          <w:lang w:val="en-US"/>
        </w:rPr>
        <w:t xml:space="preserve">nasal </w:t>
      </w:r>
      <w:r w:rsidR="0091688C" w:rsidRPr="00214987">
        <w:rPr>
          <w:rFonts w:ascii="Arial" w:hAnsi="Arial" w:cs="Arial"/>
          <w:noProof/>
          <w:sz w:val="20"/>
          <w:szCs w:val="20"/>
          <w:lang w:val="en-US"/>
        </w:rPr>
        <w:t xml:space="preserve">polyposis </w:t>
      </w:r>
      <w:r w:rsidR="001E3AEA" w:rsidRPr="00214987">
        <w:rPr>
          <w:rFonts w:ascii="Arial" w:hAnsi="Arial" w:cs="Arial"/>
          <w:noProof/>
          <w:sz w:val="20"/>
          <w:szCs w:val="20"/>
          <w:lang w:val="en-US"/>
        </w:rPr>
        <w:t>but less</w:t>
      </w:r>
      <w:r w:rsidR="0091688C" w:rsidRPr="00214987">
        <w:rPr>
          <w:rFonts w:ascii="Arial" w:hAnsi="Arial" w:cs="Arial"/>
          <w:noProof/>
          <w:sz w:val="20"/>
          <w:szCs w:val="20"/>
          <w:lang w:val="en-US"/>
        </w:rPr>
        <w:t xml:space="preserve"> dysfunctional breathing</w:t>
      </w:r>
      <w:r w:rsidR="00AD20B4" w:rsidRPr="00214987">
        <w:rPr>
          <w:rFonts w:ascii="Arial" w:hAnsi="Arial" w:cs="Arial"/>
          <w:noProof/>
          <w:sz w:val="20"/>
          <w:szCs w:val="20"/>
          <w:lang w:val="en-US"/>
        </w:rPr>
        <w:t>.</w:t>
      </w:r>
      <w:r w:rsidR="00A73FDF" w:rsidRPr="00214987">
        <w:rPr>
          <w:rFonts w:ascii="Arial" w:hAnsi="Arial" w:cs="Arial"/>
          <w:noProof/>
          <w:sz w:val="20"/>
          <w:szCs w:val="20"/>
          <w:lang w:val="en-US"/>
        </w:rPr>
        <w:t xml:space="preserve"> </w:t>
      </w:r>
      <w:r w:rsidR="004F0798" w:rsidRPr="00214987">
        <w:rPr>
          <w:rFonts w:ascii="Arial" w:hAnsi="Arial" w:cs="Arial"/>
          <w:noProof/>
          <w:sz w:val="20"/>
          <w:szCs w:val="20"/>
          <w:lang w:val="en-US"/>
        </w:rPr>
        <w:t>Additionally, s</w:t>
      </w:r>
      <w:r w:rsidR="000711CE" w:rsidRPr="00214987">
        <w:rPr>
          <w:rFonts w:ascii="Arial" w:hAnsi="Arial" w:cs="Arial"/>
          <w:noProof/>
          <w:sz w:val="20"/>
          <w:szCs w:val="20"/>
          <w:lang w:val="en-US"/>
        </w:rPr>
        <w:t xml:space="preserve">tratification </w:t>
      </w:r>
      <w:r w:rsidR="00040042" w:rsidRPr="00214987">
        <w:rPr>
          <w:rFonts w:ascii="Arial" w:hAnsi="Arial" w:cs="Arial"/>
          <w:noProof/>
          <w:sz w:val="20"/>
          <w:szCs w:val="20"/>
          <w:lang w:val="en-US"/>
        </w:rPr>
        <w:t xml:space="preserve">of </w:t>
      </w:r>
      <w:r w:rsidR="00A6226D" w:rsidRPr="00214987">
        <w:rPr>
          <w:rFonts w:ascii="Arial" w:hAnsi="Arial" w:cs="Arial"/>
          <w:noProof/>
          <w:sz w:val="20"/>
          <w:szCs w:val="20"/>
          <w:lang w:val="en-US"/>
        </w:rPr>
        <w:t>biologic</w:t>
      </w:r>
      <w:r w:rsidR="00040042" w:rsidRPr="00214987">
        <w:rPr>
          <w:rFonts w:ascii="Arial" w:hAnsi="Arial" w:cs="Arial"/>
          <w:noProof/>
          <w:sz w:val="20"/>
          <w:szCs w:val="20"/>
          <w:lang w:val="en-US"/>
        </w:rPr>
        <w:t xml:space="preserve"> </w:t>
      </w:r>
      <w:r w:rsidR="00A51C3E" w:rsidRPr="00214987">
        <w:rPr>
          <w:rFonts w:ascii="Arial" w:hAnsi="Arial" w:cs="Arial"/>
          <w:noProof/>
          <w:sz w:val="20"/>
          <w:szCs w:val="20"/>
          <w:lang w:val="en-US"/>
        </w:rPr>
        <w:t xml:space="preserve">use </w:t>
      </w:r>
      <w:r w:rsidR="000711CE" w:rsidRPr="00214987">
        <w:rPr>
          <w:rFonts w:ascii="Arial" w:hAnsi="Arial" w:cs="Arial"/>
          <w:noProof/>
          <w:sz w:val="20"/>
          <w:szCs w:val="20"/>
          <w:lang w:val="en-US"/>
        </w:rPr>
        <w:t xml:space="preserve">by </w:t>
      </w:r>
      <w:r w:rsidR="00D554F2" w:rsidRPr="00214987">
        <w:rPr>
          <w:rFonts w:ascii="Arial" w:hAnsi="Arial" w:cs="Arial"/>
          <w:noProof/>
          <w:sz w:val="20"/>
          <w:szCs w:val="20"/>
          <w:lang w:val="en-US"/>
        </w:rPr>
        <w:t>our recen</w:t>
      </w:r>
      <w:r w:rsidR="00544F2C" w:rsidRPr="00214987">
        <w:rPr>
          <w:rFonts w:ascii="Arial" w:hAnsi="Arial" w:cs="Arial"/>
          <w:noProof/>
          <w:sz w:val="20"/>
          <w:szCs w:val="20"/>
          <w:lang w:val="en-US"/>
        </w:rPr>
        <w:t>t</w:t>
      </w:r>
      <w:r w:rsidR="00D554F2" w:rsidRPr="00214987">
        <w:rPr>
          <w:rFonts w:ascii="Arial" w:hAnsi="Arial" w:cs="Arial"/>
          <w:noProof/>
          <w:sz w:val="20"/>
          <w:szCs w:val="20"/>
          <w:lang w:val="en-US"/>
        </w:rPr>
        <w:t xml:space="preserve">ly described </w:t>
      </w:r>
      <w:r w:rsidR="002B25BA" w:rsidRPr="00214987">
        <w:rPr>
          <w:rFonts w:ascii="Arial" w:hAnsi="Arial" w:cs="Arial"/>
          <w:noProof/>
          <w:sz w:val="20"/>
          <w:szCs w:val="20"/>
          <w:lang w:val="en-US"/>
        </w:rPr>
        <w:t xml:space="preserve">age-of-onset/sex </w:t>
      </w:r>
      <w:r w:rsidR="00B168FF" w:rsidRPr="00214987">
        <w:rPr>
          <w:rFonts w:ascii="Arial" w:hAnsi="Arial" w:cs="Arial"/>
          <w:noProof/>
          <w:sz w:val="20"/>
          <w:szCs w:val="20"/>
          <w:lang w:val="en-US"/>
        </w:rPr>
        <w:t>phenotype</w:t>
      </w:r>
      <w:r w:rsidR="00D554F2" w:rsidRPr="00214987">
        <w:rPr>
          <w:rFonts w:ascii="Arial" w:hAnsi="Arial" w:cs="Arial"/>
          <w:noProof/>
          <w:sz w:val="20"/>
          <w:szCs w:val="20"/>
          <w:lang w:val="en-US"/>
        </w:rPr>
        <w:t>s</w:t>
      </w:r>
      <w:r w:rsidR="002B25BA" w:rsidRPr="00214987">
        <w:rPr>
          <w:rFonts w:ascii="Arial" w:hAnsi="Arial" w:cs="Arial"/>
          <w:noProof/>
          <w:sz w:val="20"/>
          <w:szCs w:val="20"/>
          <w:lang w:val="en-US"/>
        </w:rPr>
        <w:fldChar w:fldCharType="begin" w:fldLock="1"/>
      </w:r>
      <w:r w:rsidR="00717B40">
        <w:rPr>
          <w:rFonts w:ascii="Arial" w:hAnsi="Arial" w:cs="Arial"/>
          <w:noProof/>
          <w:sz w:val="20"/>
          <w:szCs w:val="20"/>
          <w:lang w:val="en-US"/>
        </w:rPr>
        <w:instrText>ADDIN CSL_CITATION {"citationItems":[{"id":"ITEM-1","itemData":{"DOI":"10.1016/j.jaip.2020.05.053","ISSN":"22132198","PMID":"32544545","abstract":"Background: Asthma is a diverse condition that differs with age and sex. However, it remains unclear how sex, age of asthma onset, and/or their interaction influence clinical expression of more problematic adult “difficult” asthma. Objectives: To better understand the clinical features of difficult asthma within a real-world clinical setting using novel phenotypic classification, stratifying subjects by sex and age of asthma onset. Methods: Participants in a longitudinal difficult asthma clinical cohort study (Wessex AsThma CoHort of difficult asthma; WATCH), United Kingdom (n = 501), were stratified into 4 difficult asthma phenotypes based on sex and age of asthma onset (early &lt;18 years or adult ≥18 years) and characterized in relation to clinical and pathophysiological features. Results: The cohort had more female participants (65%) but had similar proportions of participants with early- or adult-onset disease. Early-onset female disease was commonest (35%), highly atopic, with good spirometry and strong associations with some physical comorbidities but highest psychophysiologic comorbidities. Adult-onset females also had considerable psychophysiologic comorbidities and highest obesity, and were least atopic. Amongst male subjects, proportionately more had adult-onset disease. Early-onset male disease was rarest (14%) but associated with worst lung function, high smoking, atopy, and fungal sensitization. Despite shortest disease duration, adult-onset males had highest use of maintenance oral corticosteroid, poor lung function, and highest fractional exhaled nitrogen oxide in spite of highest smoking prevalence. Conclusions: This study shows that sex, age of asthma onset, and their interactions influence different clinical manifestations of difficult asthma and identifies a greater risk for lung function loss and oral corticosteroid dependence associated with smoking in adult-onset male subjects.","author":[{"dropping-particle":"","family":"Azim","given":"Adnan","non-dropping-particle":"","parse-names":false,"suffix":""},{"dropping-particle":"","family":"Freeman","given":"Anna","non-dropping-particle":"","parse-names":false,"suffix":""},{"dropping-particle":"","family":"Lavenu","given":"Audrey","non-dropping-particle":"","parse-names":false,"suffix":""},{"dropping-particle":"","family":"Mistry","given":"Heena","non-dropping-particle":"","parse-names":false,"suffix":""},{"dropping-particle":"","family":"Haitchi","given":"Hans Michael","non-dropping-particle":"","parse-names":false,"suffix":""},{"dropping-particle":"","family":"Newell","given":"Colin","non-dropping-particle":"","parse-names":false,"suffix":""},{"dropping-particle":"","family":"Cheng","given":"Yueqing","non-dropping-particle":"","parse-names":false,"suffix":""},{"dropping-particle":"","family":"Thirlwall","given":"Yvette","non-dropping-particle":"","parse-names":false,"suffix":""},{"dropping-particle":"","family":"Harvey","given":"Matthew","non-dropping-particle":"","parse-names":false,"suffix":""},{"dropping-particle":"","family":"Barber","given":"Clair","non-dropping-particle":"","parse-names":false,"suffix":""},{"dropping-particle":"","family":"Pontoppidan","given":"Katarina","non-dropping-particle":"","parse-names":false,"suffix":""},{"dropping-particle":"","family":"Dennison","given":"Paddy","non-dropping-particle":"","parse-names":false,"suffix":""},{"dropping-particle":"","family":"Arshad","given":"S. Hasan","non-dropping-particle":"","parse-names":false,"suffix":""},{"dropping-particle":"","family":"Djukanovic","given":"Ratko","non-dropping-particle":"","parse-names":false,"suffix":""},{"dropping-particle":"","family":"Howarth","given":"Peter","non-dropping-particle":"","parse-names":false,"suffix":""},{"dropping-particle":"","family":"Kurukulaaratchy","given":"Ramesh J.","non-dropping-particle":"","parse-names":false,"suffix":""}],"container-title":"Journal of Allergy and Clinical Immunology: In Practice","id":"ITEM-1","issued":{"date-parts":[["2020","11","1"]]},"publisher":"American Academy of Allergy, Asthma and Immunology","title":"New Perspectives on Difficult Asthma; Sex and Age of Asthma-Onset Based Phenotypes","type":"article-journal"},"uris":["http://www.mendeley.com/documents/?uuid=69d488f5-8733-3b3a-aa5c-cca896b0e6d3"]}],"mendeley":{"formattedCitation":"&lt;sup&gt;18&lt;/sup&gt;","plainTextFormattedCitation":"18","previouslyFormattedCitation":"&lt;sup&gt;15&lt;/sup&gt;"},"properties":{"noteIndex":0},"schema":"https://github.com/citation-style-language/schema/raw/master/csl-citation.json"}</w:instrText>
      </w:r>
      <w:r w:rsidR="002B25BA" w:rsidRPr="00214987">
        <w:rPr>
          <w:rFonts w:ascii="Arial" w:hAnsi="Arial" w:cs="Arial"/>
          <w:noProof/>
          <w:sz w:val="20"/>
          <w:szCs w:val="20"/>
          <w:lang w:val="en-US"/>
        </w:rPr>
        <w:fldChar w:fldCharType="separate"/>
      </w:r>
      <w:r w:rsidR="00717B40" w:rsidRPr="00717B40">
        <w:rPr>
          <w:rFonts w:ascii="Arial" w:hAnsi="Arial" w:cs="Arial"/>
          <w:noProof/>
          <w:sz w:val="20"/>
          <w:szCs w:val="20"/>
          <w:vertAlign w:val="superscript"/>
          <w:lang w:val="en-US"/>
        </w:rPr>
        <w:t>18</w:t>
      </w:r>
      <w:r w:rsidR="002B25BA" w:rsidRPr="00214987">
        <w:rPr>
          <w:rFonts w:ascii="Arial" w:hAnsi="Arial" w:cs="Arial"/>
          <w:noProof/>
          <w:sz w:val="20"/>
          <w:szCs w:val="20"/>
          <w:lang w:val="en-US"/>
        </w:rPr>
        <w:fldChar w:fldCharType="end"/>
      </w:r>
      <w:r w:rsidR="00BB1A49" w:rsidRPr="00214987">
        <w:rPr>
          <w:rFonts w:ascii="Arial" w:hAnsi="Arial" w:cs="Arial"/>
          <w:noProof/>
          <w:sz w:val="20"/>
          <w:szCs w:val="20"/>
          <w:lang w:val="en-US"/>
        </w:rPr>
        <w:t xml:space="preserve"> </w:t>
      </w:r>
      <w:r w:rsidR="009B661A" w:rsidRPr="00214987">
        <w:rPr>
          <w:rFonts w:ascii="Arial" w:hAnsi="Arial" w:cs="Arial"/>
          <w:noProof/>
          <w:sz w:val="20"/>
          <w:szCs w:val="20"/>
          <w:lang w:val="en-US"/>
        </w:rPr>
        <w:t>further</w:t>
      </w:r>
      <w:r w:rsidR="0004009A" w:rsidRPr="00214987">
        <w:rPr>
          <w:rFonts w:ascii="Arial" w:hAnsi="Arial" w:cs="Arial"/>
          <w:noProof/>
          <w:sz w:val="20"/>
          <w:szCs w:val="20"/>
          <w:lang w:val="en-US"/>
        </w:rPr>
        <w:t xml:space="preserve"> corroborate</w:t>
      </w:r>
      <w:r w:rsidR="00020C91">
        <w:rPr>
          <w:rFonts w:ascii="Arial" w:hAnsi="Arial" w:cs="Arial"/>
          <w:noProof/>
          <w:sz w:val="20"/>
          <w:szCs w:val="20"/>
          <w:lang w:val="en-US"/>
        </w:rPr>
        <w:t>s</w:t>
      </w:r>
      <w:r w:rsidR="0004009A" w:rsidRPr="00214987">
        <w:rPr>
          <w:rFonts w:ascii="Arial" w:hAnsi="Arial" w:cs="Arial"/>
          <w:noProof/>
          <w:sz w:val="20"/>
          <w:szCs w:val="20"/>
          <w:lang w:val="en-US"/>
        </w:rPr>
        <w:t xml:space="preserve"> these findings</w:t>
      </w:r>
      <w:r w:rsidR="009B661A" w:rsidRPr="00214987">
        <w:rPr>
          <w:rFonts w:ascii="Arial" w:hAnsi="Arial" w:cs="Arial"/>
          <w:noProof/>
          <w:sz w:val="20"/>
          <w:szCs w:val="20"/>
          <w:lang w:val="en-US"/>
        </w:rPr>
        <w:t xml:space="preserve">, as we found </w:t>
      </w:r>
      <w:r w:rsidR="00C1596D" w:rsidRPr="00214987">
        <w:rPr>
          <w:rFonts w:ascii="Arial" w:hAnsi="Arial" w:cs="Arial"/>
          <w:noProof/>
          <w:sz w:val="20"/>
          <w:szCs w:val="20"/>
          <w:lang w:val="en-US"/>
        </w:rPr>
        <w:t>significant</w:t>
      </w:r>
      <w:r w:rsidR="001A26A1" w:rsidRPr="00214987">
        <w:rPr>
          <w:rFonts w:ascii="Arial" w:hAnsi="Arial" w:cs="Arial"/>
          <w:noProof/>
          <w:sz w:val="20"/>
          <w:szCs w:val="20"/>
          <w:lang w:val="en-US"/>
        </w:rPr>
        <w:t>ly</w:t>
      </w:r>
      <w:r w:rsidR="00C1596D" w:rsidRPr="00214987">
        <w:rPr>
          <w:rFonts w:ascii="Arial" w:hAnsi="Arial" w:cs="Arial"/>
          <w:noProof/>
          <w:sz w:val="20"/>
          <w:szCs w:val="20"/>
          <w:lang w:val="en-US"/>
        </w:rPr>
        <w:t xml:space="preserve"> different </w:t>
      </w:r>
      <w:r w:rsidR="00A6226D" w:rsidRPr="00214987">
        <w:rPr>
          <w:rFonts w:ascii="Arial" w:hAnsi="Arial" w:cs="Arial"/>
          <w:noProof/>
          <w:sz w:val="20"/>
          <w:szCs w:val="20"/>
          <w:lang w:val="en-US"/>
        </w:rPr>
        <w:t>biologic use</w:t>
      </w:r>
      <w:r w:rsidR="001A26A1" w:rsidRPr="00214987">
        <w:rPr>
          <w:rFonts w:ascii="Arial" w:hAnsi="Arial" w:cs="Arial"/>
          <w:noProof/>
          <w:sz w:val="20"/>
          <w:szCs w:val="20"/>
          <w:lang w:val="en-US"/>
        </w:rPr>
        <w:t xml:space="preserve"> ac</w:t>
      </w:r>
      <w:r w:rsidR="009B734F" w:rsidRPr="00214987">
        <w:rPr>
          <w:rFonts w:ascii="Arial" w:hAnsi="Arial" w:cs="Arial"/>
          <w:noProof/>
          <w:sz w:val="20"/>
          <w:szCs w:val="20"/>
          <w:lang w:val="en-US"/>
        </w:rPr>
        <w:t xml:space="preserve">ross </w:t>
      </w:r>
      <w:r w:rsidR="009B661A" w:rsidRPr="00214987">
        <w:rPr>
          <w:rFonts w:ascii="Arial" w:hAnsi="Arial" w:cs="Arial"/>
          <w:noProof/>
          <w:sz w:val="20"/>
          <w:szCs w:val="20"/>
          <w:lang w:val="en-US"/>
        </w:rPr>
        <w:t xml:space="preserve">the four </w:t>
      </w:r>
      <w:r w:rsidR="009B734F" w:rsidRPr="00214987">
        <w:rPr>
          <w:rFonts w:ascii="Arial" w:hAnsi="Arial" w:cs="Arial"/>
          <w:noProof/>
          <w:sz w:val="20"/>
          <w:szCs w:val="20"/>
          <w:lang w:val="en-US"/>
        </w:rPr>
        <w:t>phenotypes</w:t>
      </w:r>
      <w:r w:rsidR="008316D1" w:rsidRPr="00214987">
        <w:rPr>
          <w:rFonts w:ascii="Arial" w:hAnsi="Arial" w:cs="Arial"/>
          <w:noProof/>
          <w:sz w:val="20"/>
          <w:szCs w:val="20"/>
          <w:lang w:val="en-US"/>
        </w:rPr>
        <w:t>.</w:t>
      </w:r>
      <w:r w:rsidR="005D3AA2" w:rsidRPr="00214987">
        <w:rPr>
          <w:rFonts w:ascii="Arial" w:hAnsi="Arial" w:cs="Arial"/>
          <w:noProof/>
          <w:sz w:val="20"/>
          <w:szCs w:val="20"/>
          <w:lang w:val="en-US"/>
        </w:rPr>
        <w:t xml:space="preserve"> </w:t>
      </w:r>
      <w:r w:rsidR="00A6226D" w:rsidRPr="00214987">
        <w:rPr>
          <w:rFonts w:ascii="Arial" w:hAnsi="Arial" w:cs="Arial"/>
          <w:noProof/>
          <w:sz w:val="20"/>
          <w:szCs w:val="20"/>
          <w:lang w:val="en-US"/>
        </w:rPr>
        <w:t>Notably,</w:t>
      </w:r>
      <w:r w:rsidR="008316D1" w:rsidRPr="00214987">
        <w:rPr>
          <w:rFonts w:ascii="Arial" w:hAnsi="Arial" w:cs="Arial"/>
          <w:noProof/>
          <w:sz w:val="20"/>
          <w:szCs w:val="20"/>
          <w:lang w:val="en-US"/>
        </w:rPr>
        <w:t xml:space="preserve"> the female</w:t>
      </w:r>
      <w:r w:rsidR="006B388C" w:rsidRPr="00214987">
        <w:rPr>
          <w:rFonts w:ascii="Arial" w:hAnsi="Arial" w:cs="Arial"/>
          <w:noProof/>
          <w:sz w:val="20"/>
          <w:szCs w:val="20"/>
          <w:lang w:val="en-US"/>
        </w:rPr>
        <w:t>/early</w:t>
      </w:r>
      <w:r w:rsidR="008316D1" w:rsidRPr="00214987">
        <w:rPr>
          <w:rFonts w:ascii="Arial" w:hAnsi="Arial" w:cs="Arial"/>
          <w:noProof/>
          <w:sz w:val="20"/>
          <w:szCs w:val="20"/>
          <w:lang w:val="en-US"/>
        </w:rPr>
        <w:t xml:space="preserve">-onset phenotype showed </w:t>
      </w:r>
      <w:r w:rsidR="00020C91">
        <w:rPr>
          <w:rFonts w:ascii="Arial" w:hAnsi="Arial" w:cs="Arial"/>
          <w:noProof/>
          <w:sz w:val="20"/>
          <w:szCs w:val="20"/>
          <w:lang w:val="en-US"/>
        </w:rPr>
        <w:t xml:space="preserve">the </w:t>
      </w:r>
      <w:r w:rsidR="008316D1" w:rsidRPr="00214987">
        <w:rPr>
          <w:rFonts w:ascii="Arial" w:hAnsi="Arial" w:cs="Arial"/>
          <w:noProof/>
          <w:sz w:val="20"/>
          <w:szCs w:val="20"/>
          <w:lang w:val="en-US"/>
        </w:rPr>
        <w:t xml:space="preserve">highest prevalence of </w:t>
      </w:r>
      <w:r w:rsidR="008C6CE9" w:rsidRPr="00214987">
        <w:rPr>
          <w:rFonts w:ascii="Arial" w:hAnsi="Arial" w:cs="Arial"/>
          <w:noProof/>
          <w:sz w:val="20"/>
          <w:szCs w:val="20"/>
          <w:lang w:val="en-US"/>
        </w:rPr>
        <w:t>Omalizumab</w:t>
      </w:r>
      <w:r w:rsidR="008316D1" w:rsidRPr="00214987">
        <w:rPr>
          <w:rFonts w:ascii="Arial" w:hAnsi="Arial" w:cs="Arial"/>
          <w:noProof/>
          <w:sz w:val="20"/>
          <w:szCs w:val="20"/>
          <w:lang w:val="en-US"/>
        </w:rPr>
        <w:t xml:space="preserve"> and lowest prevalence of </w:t>
      </w:r>
      <w:r w:rsidR="008C6CE9">
        <w:rPr>
          <w:rFonts w:ascii="Arial" w:hAnsi="Arial" w:cs="Arial"/>
          <w:noProof/>
          <w:sz w:val="20"/>
          <w:szCs w:val="20"/>
          <w:lang w:val="en-US"/>
        </w:rPr>
        <w:t>Mepolizumab</w:t>
      </w:r>
      <w:r w:rsidR="008316D1" w:rsidRPr="00214987">
        <w:rPr>
          <w:rFonts w:ascii="Arial" w:hAnsi="Arial" w:cs="Arial"/>
          <w:noProof/>
          <w:sz w:val="20"/>
          <w:szCs w:val="20"/>
          <w:lang w:val="en-US"/>
        </w:rPr>
        <w:t xml:space="preserve"> use, while the male</w:t>
      </w:r>
      <w:r w:rsidR="00EA6977" w:rsidRPr="00214987">
        <w:rPr>
          <w:rFonts w:ascii="Arial" w:hAnsi="Arial" w:cs="Arial"/>
          <w:noProof/>
          <w:sz w:val="20"/>
          <w:szCs w:val="20"/>
          <w:lang w:val="en-US"/>
        </w:rPr>
        <w:t>/</w:t>
      </w:r>
      <w:r w:rsidR="008316D1" w:rsidRPr="00214987">
        <w:rPr>
          <w:rFonts w:ascii="Arial" w:hAnsi="Arial" w:cs="Arial"/>
          <w:noProof/>
          <w:sz w:val="20"/>
          <w:szCs w:val="20"/>
          <w:lang w:val="en-US"/>
        </w:rPr>
        <w:t xml:space="preserve">adult-onset phenotype showed </w:t>
      </w:r>
      <w:r w:rsidR="00020C91">
        <w:rPr>
          <w:rFonts w:ascii="Arial" w:hAnsi="Arial" w:cs="Arial"/>
          <w:noProof/>
          <w:sz w:val="20"/>
          <w:szCs w:val="20"/>
          <w:lang w:val="en-US"/>
        </w:rPr>
        <w:t xml:space="preserve">the </w:t>
      </w:r>
      <w:r w:rsidR="008316D1" w:rsidRPr="00214987">
        <w:rPr>
          <w:rFonts w:ascii="Arial" w:hAnsi="Arial" w:cs="Arial"/>
          <w:noProof/>
          <w:sz w:val="20"/>
          <w:szCs w:val="20"/>
          <w:lang w:val="en-US"/>
        </w:rPr>
        <w:t xml:space="preserve">highest prevalence of </w:t>
      </w:r>
      <w:r w:rsidR="008C6CE9">
        <w:rPr>
          <w:rFonts w:ascii="Arial" w:hAnsi="Arial" w:cs="Arial"/>
          <w:noProof/>
          <w:sz w:val="20"/>
          <w:szCs w:val="20"/>
          <w:lang w:val="en-US"/>
        </w:rPr>
        <w:t>Mepolizumab</w:t>
      </w:r>
      <w:r w:rsidR="007F3A5E" w:rsidRPr="00214987">
        <w:rPr>
          <w:rFonts w:ascii="Arial" w:hAnsi="Arial" w:cs="Arial"/>
          <w:noProof/>
          <w:sz w:val="20"/>
          <w:szCs w:val="20"/>
          <w:lang w:val="en-US"/>
        </w:rPr>
        <w:t xml:space="preserve"> use</w:t>
      </w:r>
      <w:r w:rsidR="008316D1" w:rsidRPr="00214987">
        <w:rPr>
          <w:rFonts w:ascii="Arial" w:hAnsi="Arial" w:cs="Arial"/>
          <w:noProof/>
          <w:sz w:val="20"/>
          <w:szCs w:val="20"/>
          <w:lang w:val="en-US"/>
        </w:rPr>
        <w:t xml:space="preserve">. </w:t>
      </w:r>
      <w:r w:rsidR="009622D9" w:rsidRPr="00214987">
        <w:rPr>
          <w:rFonts w:ascii="Arial" w:hAnsi="Arial" w:cs="Arial"/>
          <w:noProof/>
          <w:sz w:val="20"/>
          <w:szCs w:val="20"/>
          <w:lang w:val="en-US"/>
        </w:rPr>
        <w:t xml:space="preserve">This </w:t>
      </w:r>
      <w:r w:rsidR="002B25BA" w:rsidRPr="00214987">
        <w:rPr>
          <w:rFonts w:ascii="Arial" w:hAnsi="Arial" w:cs="Arial"/>
          <w:noProof/>
          <w:sz w:val="20"/>
          <w:szCs w:val="20"/>
          <w:lang w:val="en-US"/>
        </w:rPr>
        <w:t xml:space="preserve">may </w:t>
      </w:r>
      <w:r w:rsidR="00D422BD" w:rsidRPr="00214987">
        <w:rPr>
          <w:rFonts w:ascii="Arial" w:hAnsi="Arial" w:cs="Arial"/>
          <w:noProof/>
          <w:sz w:val="20"/>
          <w:szCs w:val="20"/>
          <w:lang w:val="en-US"/>
        </w:rPr>
        <w:t>part</w:t>
      </w:r>
      <w:r w:rsidR="00020C91">
        <w:rPr>
          <w:rFonts w:ascii="Arial" w:hAnsi="Arial" w:cs="Arial"/>
          <w:noProof/>
          <w:sz w:val="20"/>
          <w:szCs w:val="20"/>
          <w:lang w:val="en-US"/>
        </w:rPr>
        <w:t>ly</w:t>
      </w:r>
      <w:r w:rsidR="00D422BD" w:rsidRPr="00214987">
        <w:rPr>
          <w:rFonts w:ascii="Arial" w:hAnsi="Arial" w:cs="Arial"/>
          <w:noProof/>
          <w:sz w:val="20"/>
          <w:szCs w:val="20"/>
          <w:lang w:val="en-US"/>
        </w:rPr>
        <w:t xml:space="preserve"> </w:t>
      </w:r>
      <w:r w:rsidR="002B25BA" w:rsidRPr="00214987">
        <w:rPr>
          <w:rFonts w:ascii="Arial" w:hAnsi="Arial" w:cs="Arial"/>
          <w:noProof/>
          <w:sz w:val="20"/>
          <w:szCs w:val="20"/>
          <w:lang w:val="en-US"/>
        </w:rPr>
        <w:t xml:space="preserve">explain a disparity in biologic effect, whereby </w:t>
      </w:r>
      <w:r w:rsidR="008C6CE9" w:rsidRPr="00214987">
        <w:rPr>
          <w:rFonts w:ascii="Arial" w:hAnsi="Arial" w:cs="Arial"/>
          <w:noProof/>
          <w:sz w:val="20"/>
          <w:szCs w:val="20"/>
          <w:lang w:val="en-US"/>
        </w:rPr>
        <w:t>Omalizumab</w:t>
      </w:r>
      <w:r w:rsidR="002B25BA" w:rsidRPr="00214987">
        <w:rPr>
          <w:rFonts w:ascii="Arial" w:hAnsi="Arial" w:cs="Arial"/>
          <w:noProof/>
          <w:sz w:val="20"/>
          <w:szCs w:val="20"/>
          <w:lang w:val="en-US"/>
        </w:rPr>
        <w:t xml:space="preserve"> but not </w:t>
      </w:r>
      <w:r w:rsidR="008C6CE9">
        <w:rPr>
          <w:rFonts w:ascii="Arial" w:hAnsi="Arial" w:cs="Arial"/>
          <w:noProof/>
          <w:sz w:val="20"/>
          <w:szCs w:val="20"/>
          <w:lang w:val="en-US"/>
        </w:rPr>
        <w:t>Mepolizumab</w:t>
      </w:r>
      <w:r w:rsidR="002B25BA" w:rsidRPr="00214987">
        <w:rPr>
          <w:rFonts w:ascii="Arial" w:hAnsi="Arial" w:cs="Arial"/>
          <w:noProof/>
          <w:sz w:val="20"/>
          <w:szCs w:val="20"/>
          <w:lang w:val="en-US"/>
        </w:rPr>
        <w:t xml:space="preserve">, significantly improved </w:t>
      </w:r>
      <w:r w:rsidR="00306D40" w:rsidRPr="00214987">
        <w:rPr>
          <w:rFonts w:ascii="Arial" w:hAnsi="Arial" w:cs="Arial"/>
          <w:noProof/>
          <w:sz w:val="20"/>
          <w:szCs w:val="20"/>
          <w:lang w:val="en-US"/>
        </w:rPr>
        <w:t>Clinic</w:t>
      </w:r>
      <w:r w:rsidR="00A6226D" w:rsidRPr="00214987">
        <w:rPr>
          <w:rFonts w:ascii="Arial" w:hAnsi="Arial" w:cs="Arial"/>
          <w:noProof/>
          <w:sz w:val="20"/>
          <w:szCs w:val="20"/>
          <w:lang w:val="en-US"/>
        </w:rPr>
        <w:t xml:space="preserve"> </w:t>
      </w:r>
      <w:r w:rsidR="00A024B4" w:rsidRPr="00214987">
        <w:rPr>
          <w:rFonts w:ascii="Arial" w:eastAsia="Times New Roman" w:hAnsi="Arial" w:cs="Arial"/>
          <w:noProof/>
          <w:sz w:val="20"/>
          <w:szCs w:val="20"/>
          <w:lang w:val="en-US" w:eastAsia="en-MY"/>
        </w:rPr>
        <w:t>FEV</w:t>
      </w:r>
      <w:r w:rsidR="00A024B4" w:rsidRPr="00214987">
        <w:rPr>
          <w:rFonts w:ascii="Arial" w:eastAsia="Times New Roman" w:hAnsi="Arial" w:cs="Arial"/>
          <w:noProof/>
          <w:sz w:val="20"/>
          <w:szCs w:val="20"/>
          <w:vertAlign w:val="subscript"/>
          <w:lang w:val="en-US" w:eastAsia="en-MY"/>
        </w:rPr>
        <w:t>1</w:t>
      </w:r>
      <w:r w:rsidR="00A6226D" w:rsidRPr="00214987">
        <w:rPr>
          <w:rFonts w:ascii="Arial" w:hAnsi="Arial" w:cs="Arial"/>
          <w:noProof/>
          <w:sz w:val="20"/>
          <w:szCs w:val="20"/>
          <w:lang w:val="en-US"/>
        </w:rPr>
        <w:t>%</w:t>
      </w:r>
      <w:r w:rsidR="002B25BA" w:rsidRPr="00214987">
        <w:rPr>
          <w:rFonts w:ascii="Arial" w:hAnsi="Arial" w:cs="Arial"/>
          <w:noProof/>
          <w:sz w:val="20"/>
          <w:szCs w:val="20"/>
          <w:lang w:val="en-US"/>
        </w:rPr>
        <w:t>, mirroring findings of another real-world UK study</w:t>
      </w:r>
      <w:r w:rsidR="002B25BA"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{"citationItems":[{"id":"ITEM-1","itemData":{"DOI":"10.1016/j.chest.2020.03.042","ISSN":"19313543","PMID":"32275980","abstract":"Background: Mepolizumab was the first licensed anti-IL5 monoclonal antibody for severe eosinophilic asthma (SEA). To date there are few data to confirm its efficacy in the real-world setting or assessment of baseline characteristics associated with response. Research Question: How do patients with severe eosinophilic asthma respond to mepolizumab in the real world setting and which characteristics are associated with a super-response to this therapy? Study Design and Methods: We conducted a retrospective review of all patients who received at least 16 weeks of treatment with mepolizumab (100 mg subcutaneously) for SEA at our regional asthma center in the United Kingdom. Clinical data were collected at each 4-week visit. At 16, 24, and 52 weeks, patients were classified as “responders” or “nonresponders.” A response was defined as ≥50% reduction in exacerbations; for patients whose condition requires maintenance oral corticosteroids (mOCS), a response was defined as ≥50% reduction in prednisolone dose. Super responders were defined as exacerbation-free and off mOCS at one year. Results: Ninety-nine patients were included in the analysis. Asthma exacerbations decreased from a baseline of 4.04 ± 2.57 to 1.86 ± 2.17 per year at one year (54% reduction; P &lt;.001). Sixty-eight patients were receiving mOCS at the time of commencing mepolizumab. By one year, the daily median dose fell from 10 mg (interquartile range, 10 to 15) to 0 mg (interquartile range, 0 to 10; P &lt;.001). Fifty-seven percent of them were able to discontinue mOCS; 72.7% (95% CI, 63.0 to 80.7) of the patients were classified as responders, and 28.3% (95% CI, 20.2 to 38.0) of the patients were classified as super responders. Baseline characteristics associated with responder and super responder status included the presence of nasal polyposis (P =.012), lower baseline Asthma Control Questionnaire 6 (P =.006), a lower BMI (P =.014), and, in those patients receiving mOCS, a significantly lower prednisolone dose at baseline (P =.005). At 16 weeks, the one-year responder status was correctly identified in 80.8% patients; by 24 weeks, this status rose to 92.9%. Interpretation: In a real-world SEA cohort, treatment with mepolizumab reduced exacerbation frequency and mOCS requirements. Nasal polyposis, a lower BMI, and a lower maintenance prednisolone requirement at baseline were associated with better outcomes. Twelve-month response was identifiable in &gt;90% of patients by week 24.","author":[{"dropping-particle":"","family":"Kavanagh","given":"Joanne E.","non-dropping-particle":"","parse-names":false,"suffix":""},{"dropping-particle":"","family":"d'Ancona","given":"Grainne","non-dropping-particle":"","parse-names":false,"suffix":""},{"dropping-particle":"","family":"Elstad","given":"Maria","non-dropping-particle":"","parse-names":false,"suffix":""},{"dropping-particle":"","family":"Green","given":"Linda","non-dropping-particle":"","parse-names":false,"suffix":""},{"dropping-particle":"","family":"Fernandes","given":"Mariana","non-dropping-particle":"","parse-names":false,"suffix":""},{"dropping-particle":"","family":"Thomson","given":"Louise","non-dropping-particle":"","parse-names":false,"suffix":""},{"dropping-particle":"","family":"Roxas","given":"Cris","non-dropping-particle":"","parse-names":false,"suffix":""},{"dropping-particle":"","family":"Dhariwal","given":"Jaideep","non-dropping-particle":"","parse-names":false,"suffix":""},{"dropping-particle":"","family":"Nanzer","given":"Alexandra M.","non-dropping-particle":"","parse-names":false,"suffix":""},{"dropping-particle":"","family":"Kent","given":"Brian D.","non-dropping-particle":"","parse-names":false,"suffix":""},{"dropping-particle":"","family":"Jackson","given":"David J.","non-dropping-particle":"","parse-names":false,"suffix":""}],"container-title":"Chest","id":"ITEM-1","issue":"2","issued":{"date-parts":[["2020"]]},"page":"491-500","publisher":"Elsevier Inc","title":"Real-World Effectiveness and the Characteristics of a “Super-Responder” to Mepolizumab in Severe Eosinophilic Asthma","type":"article-journal","volume":"158"},"uris":["http://www.mendeley.com/documents/?uuid=6820becc-815d-46c4-ac1d-d827891b6186"]}],"mendeley":{"formattedCitation":"&lt;sup&gt;26&lt;/sup&gt;","plainTextFormattedCitation":"26","previouslyFormattedCitation":"&lt;sup&gt;26&lt;/sup&gt;"},"properties":{"noteIndex":0},"schema":"https://github.com/citation-style-language/schema/raw/master/csl-citation.json"}</w:instrText>
      </w:r>
      <w:r w:rsidR="002B25BA"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26</w:t>
      </w:r>
      <w:r w:rsidR="002B25BA" w:rsidRPr="00214987">
        <w:rPr>
          <w:rFonts w:ascii="Arial" w:hAnsi="Arial" w:cs="Arial"/>
          <w:noProof/>
          <w:sz w:val="20"/>
          <w:szCs w:val="20"/>
          <w:lang w:val="en-US"/>
        </w:rPr>
        <w:fldChar w:fldCharType="end"/>
      </w:r>
      <w:r w:rsidR="002B25BA" w:rsidRPr="00214987">
        <w:rPr>
          <w:rFonts w:ascii="Arial" w:hAnsi="Arial" w:cs="Arial"/>
          <w:noProof/>
          <w:sz w:val="20"/>
          <w:szCs w:val="20"/>
          <w:lang w:val="en-US"/>
        </w:rPr>
        <w:t xml:space="preserve">. This observed difference could be </w:t>
      </w:r>
      <w:r w:rsidR="00385511" w:rsidRPr="00214987">
        <w:rPr>
          <w:rFonts w:ascii="Arial" w:hAnsi="Arial" w:cs="Arial"/>
          <w:noProof/>
          <w:sz w:val="20"/>
          <w:szCs w:val="20"/>
          <w:lang w:val="en-US"/>
        </w:rPr>
        <w:t xml:space="preserve">partly </w:t>
      </w:r>
      <w:r w:rsidR="00B87542" w:rsidRPr="00214987">
        <w:rPr>
          <w:rFonts w:ascii="Arial" w:hAnsi="Arial" w:cs="Arial"/>
          <w:noProof/>
          <w:sz w:val="20"/>
          <w:szCs w:val="20"/>
          <w:lang w:val="en-US"/>
        </w:rPr>
        <w:t xml:space="preserve">explained by the </w:t>
      </w:r>
      <w:r w:rsidR="004E3C36" w:rsidRPr="00214987">
        <w:rPr>
          <w:rFonts w:ascii="Arial" w:hAnsi="Arial" w:cs="Arial"/>
          <w:noProof/>
          <w:sz w:val="20"/>
          <w:szCs w:val="20"/>
          <w:lang w:val="en-US"/>
        </w:rPr>
        <w:t xml:space="preserve">higher representation of </w:t>
      </w:r>
      <w:r w:rsidR="008C6CE9">
        <w:rPr>
          <w:rFonts w:ascii="Arial" w:hAnsi="Arial" w:cs="Arial"/>
          <w:noProof/>
          <w:sz w:val="20"/>
          <w:szCs w:val="20"/>
          <w:lang w:val="en-US"/>
        </w:rPr>
        <w:t>Mepolizumab</w:t>
      </w:r>
      <w:r w:rsidR="002B25BA" w:rsidRPr="00214987">
        <w:rPr>
          <w:rFonts w:ascii="Arial" w:hAnsi="Arial" w:cs="Arial"/>
          <w:noProof/>
          <w:sz w:val="20"/>
          <w:szCs w:val="20"/>
          <w:lang w:val="en-US"/>
        </w:rPr>
        <w:t xml:space="preserve"> patients </w:t>
      </w:r>
      <w:r w:rsidR="00AA7723" w:rsidRPr="00214987">
        <w:rPr>
          <w:rFonts w:ascii="Arial" w:hAnsi="Arial" w:cs="Arial"/>
          <w:noProof/>
          <w:sz w:val="20"/>
          <w:szCs w:val="20"/>
          <w:lang w:val="en-US"/>
        </w:rPr>
        <w:t xml:space="preserve">among </w:t>
      </w:r>
      <w:r w:rsidR="002B25BA" w:rsidRPr="00214987">
        <w:rPr>
          <w:rFonts w:ascii="Arial" w:hAnsi="Arial" w:cs="Arial"/>
          <w:noProof/>
          <w:sz w:val="20"/>
          <w:szCs w:val="20"/>
          <w:lang w:val="en-US"/>
        </w:rPr>
        <w:t xml:space="preserve">the </w:t>
      </w:r>
      <w:r w:rsidR="000102E7" w:rsidRPr="00214987">
        <w:rPr>
          <w:rFonts w:ascii="Arial" w:hAnsi="Arial" w:cs="Arial"/>
          <w:noProof/>
          <w:sz w:val="20"/>
          <w:szCs w:val="20"/>
          <w:lang w:val="en-US"/>
        </w:rPr>
        <w:t xml:space="preserve">male/adult-onset </w:t>
      </w:r>
      <w:r w:rsidR="002B25BA" w:rsidRPr="00214987">
        <w:rPr>
          <w:rFonts w:ascii="Arial" w:hAnsi="Arial" w:cs="Arial"/>
          <w:noProof/>
          <w:sz w:val="20"/>
          <w:szCs w:val="20"/>
          <w:lang w:val="en-US"/>
        </w:rPr>
        <w:t xml:space="preserve">phenotype which </w:t>
      </w:r>
      <w:r w:rsidR="00AA7723" w:rsidRPr="00214987">
        <w:rPr>
          <w:rFonts w:ascii="Arial" w:hAnsi="Arial" w:cs="Arial"/>
          <w:noProof/>
          <w:sz w:val="20"/>
          <w:szCs w:val="20"/>
          <w:lang w:val="en-US"/>
        </w:rPr>
        <w:t>ha</w:t>
      </w:r>
      <w:r w:rsidR="00F53A3E" w:rsidRPr="00214987">
        <w:rPr>
          <w:rFonts w:ascii="Arial" w:hAnsi="Arial" w:cs="Arial"/>
          <w:noProof/>
          <w:sz w:val="20"/>
          <w:szCs w:val="20"/>
          <w:lang w:val="en-US"/>
        </w:rPr>
        <w:t>d</w:t>
      </w:r>
      <w:r w:rsidR="002B25BA" w:rsidRPr="00214987">
        <w:rPr>
          <w:rFonts w:ascii="Arial" w:hAnsi="Arial" w:cs="Arial"/>
          <w:noProof/>
          <w:sz w:val="20"/>
          <w:szCs w:val="20"/>
          <w:lang w:val="en-US"/>
        </w:rPr>
        <w:t xml:space="preserve"> poorest baseline lung function</w:t>
      </w:r>
      <w:r w:rsidR="002B25BA" w:rsidRPr="00214987">
        <w:rPr>
          <w:rFonts w:ascii="Arial" w:hAnsi="Arial" w:cs="Arial"/>
          <w:noProof/>
          <w:sz w:val="20"/>
          <w:szCs w:val="20"/>
          <w:lang w:val="en-US"/>
        </w:rPr>
        <w:fldChar w:fldCharType="begin" w:fldLock="1"/>
      </w:r>
      <w:r w:rsidR="00717B40">
        <w:rPr>
          <w:rFonts w:ascii="Arial" w:hAnsi="Arial" w:cs="Arial"/>
          <w:noProof/>
          <w:sz w:val="20"/>
          <w:szCs w:val="20"/>
          <w:lang w:val="en-US"/>
        </w:rPr>
        <w:instrText>ADDIN CSL_CITATION {"citationItems":[{"id":"ITEM-1","itemData":{"DOI":"10.1016/j.jaip.2020.05.053","ISSN":"22132198","PMID":"32544545","abstract":"Background: Asthma is a diverse condition that differs with age and sex. However, it remains unclear how sex, age of asthma onset, and/or their interaction influence clinical expression of more problematic adult “difficult” asthma. Objectives: To better understand the clinical features of difficult asthma within a real-world clinical setting using novel phenotypic classification, stratifying subjects by sex and age of asthma onset. Methods: Participants in a longitudinal difficult asthma clinical cohort study (Wessex AsThma CoHort of difficult asthma; WATCH), United Kingdom (n = 501), were stratified into 4 difficult asthma phenotypes based on sex and age of asthma onset (early &lt;18 years or adult ≥18 years) and characterized in relation to clinical and pathophysiological features. Results: The cohort had more female participants (65%) but had similar proportions of participants with early- or adult-onset disease. Early-onset female disease was commonest (35%), highly atopic, with good spirometry and strong associations with some physical comorbidities but highest psychophysiologic comorbidities. Adult-onset females also had considerable psychophysiologic comorbidities and highest obesity, and were least atopic. Amongst male subjects, proportionately more had adult-onset disease. Early-onset male disease was rarest (14%) but associated with worst lung function, high smoking, atopy, and fungal sensitization. Despite shortest disease duration, adult-onset males had highest use of maintenance oral corticosteroid, poor lung function, and highest fractional exhaled nitrogen oxide in spite of highest smoking prevalence. Conclusions: This study shows that sex, age of asthma onset, and their interactions influence different clinical manifestations of difficult asthma and identifies a greater risk for lung function loss and oral corticosteroid dependence associated with smoking in adult-onset male subjects.","author":[{"dropping-particle":"","family":"Azim","given":"Adnan","non-dropping-particle":"","parse-names":false,"suffix":""},{"dropping-particle":"","family":"Freeman","given":"Anna","non-dropping-particle":"","parse-names":false,"suffix":""},{"dropping-particle":"","family":"Lavenu","given":"Audrey","non-dropping-particle":"","parse-names":false,"suffix":""},{"dropping-particle":"","family":"Mistry","given":"Heena","non-dropping-particle":"","parse-names":false,"suffix":""},{"dropping-particle":"","family":"Haitchi","given":"Hans Michael","non-dropping-particle":"","parse-names":false,"suffix":""},{"dropping-particle":"","family":"Newell","given":"Colin","non-dropping-particle":"","parse-names":false,"suffix":""},{"dropping-particle":"","family":"Cheng","given":"Yueqing","non-dropping-particle":"","parse-names":false,"suffix":""},{"dropping-particle":"","family":"Thirlwall","given":"Yvette","non-dropping-particle":"","parse-names":false,"suffix":""},{"dropping-particle":"","family":"Harvey","given":"Matthew","non-dropping-particle":"","parse-names":false,"suffix":""},{"dropping-particle":"","family":"Barber","given":"Clair","non-dropping-particle":"","parse-names":false,"suffix":""},{"dropping-particle":"","family":"Pontoppidan","given":"Katarina","non-dropping-particle":"","parse-names":false,"suffix":""},{"dropping-particle":"","family":"Dennison","given":"Paddy","non-dropping-particle":"","parse-names":false,"suffix":""},{"dropping-particle":"","family":"Arshad","given":"S. Hasan","non-dropping-particle":"","parse-names":false,"suffix":""},{"dropping-particle":"","family":"Djukanovic","given":"Ratko","non-dropping-particle":"","parse-names":false,"suffix":""},{"dropping-particle":"","family":"Howarth","given":"Peter","non-dropping-particle":"","parse-names":false,"suffix":""},{"dropping-particle":"","family":"Kurukulaaratchy","given":"Ramesh J.","non-dropping-particle":"","parse-names":false,"suffix":""}],"container-title":"Journal of Allergy and Clinical Immunology: In Practice","id":"ITEM-1","issued":{"date-parts":[["2020","11","1"]]},"publisher":"American Academy of Allergy, Asthma and Immunology","title":"New Perspectives on Difficult Asthma; Sex and Age of Asthma-Onset Based Phenotypes","type":"article-journal"},"uris":["http://www.mendeley.com/documents/?uuid=69d488f5-8733-3b3a-aa5c-cca896b0e6d3"]}],"mendeley":{"formattedCitation":"&lt;sup&gt;18&lt;/sup&gt;","plainTextFormattedCitation":"18","previouslyFormattedCitation":"&lt;sup&gt;15&lt;/sup&gt;"},"properties":{"noteIndex":0},"schema":"https://github.com/citation-style-language/schema/raw/master/csl-citation.json"}</w:instrText>
      </w:r>
      <w:r w:rsidR="002B25BA" w:rsidRPr="00214987">
        <w:rPr>
          <w:rFonts w:ascii="Arial" w:hAnsi="Arial" w:cs="Arial"/>
          <w:noProof/>
          <w:sz w:val="20"/>
          <w:szCs w:val="20"/>
          <w:lang w:val="en-US"/>
        </w:rPr>
        <w:fldChar w:fldCharType="separate"/>
      </w:r>
      <w:r w:rsidR="00717B40" w:rsidRPr="00717B40">
        <w:rPr>
          <w:rFonts w:ascii="Arial" w:hAnsi="Arial" w:cs="Arial"/>
          <w:noProof/>
          <w:sz w:val="20"/>
          <w:szCs w:val="20"/>
          <w:vertAlign w:val="superscript"/>
          <w:lang w:val="en-US"/>
        </w:rPr>
        <w:t>18</w:t>
      </w:r>
      <w:r w:rsidR="002B25BA" w:rsidRPr="00214987">
        <w:rPr>
          <w:rFonts w:ascii="Arial" w:hAnsi="Arial" w:cs="Arial"/>
          <w:noProof/>
          <w:sz w:val="20"/>
          <w:szCs w:val="20"/>
          <w:lang w:val="en-US"/>
        </w:rPr>
        <w:fldChar w:fldCharType="end"/>
      </w:r>
      <w:r w:rsidR="00F62C24" w:rsidRPr="00214987">
        <w:rPr>
          <w:rFonts w:ascii="Arial" w:hAnsi="Arial" w:cs="Arial"/>
          <w:noProof/>
          <w:sz w:val="20"/>
          <w:szCs w:val="20"/>
          <w:lang w:val="en-US"/>
        </w:rPr>
        <w:t xml:space="preserve"> in our cohort</w:t>
      </w:r>
      <w:r w:rsidR="002B25BA" w:rsidRPr="00214987">
        <w:rPr>
          <w:rFonts w:ascii="Arial" w:hAnsi="Arial" w:cs="Arial"/>
          <w:noProof/>
          <w:sz w:val="20"/>
          <w:szCs w:val="20"/>
          <w:lang w:val="en-US"/>
        </w:rPr>
        <w:t xml:space="preserve">. Other reports have also confirmed that </w:t>
      </w:r>
      <w:r w:rsidR="00F53A3E" w:rsidRPr="00214987">
        <w:rPr>
          <w:rFonts w:ascii="Arial" w:hAnsi="Arial" w:cs="Arial"/>
          <w:noProof/>
          <w:sz w:val="20"/>
          <w:szCs w:val="20"/>
          <w:lang w:val="en-US"/>
        </w:rPr>
        <w:t xml:space="preserve">such </w:t>
      </w:r>
      <w:r w:rsidR="002B25BA" w:rsidRPr="00214987">
        <w:rPr>
          <w:rFonts w:ascii="Arial" w:hAnsi="Arial" w:cs="Arial"/>
          <w:noProof/>
          <w:sz w:val="20"/>
          <w:szCs w:val="20"/>
          <w:lang w:val="en-US"/>
        </w:rPr>
        <w:t>patients have more severe, persistent airflow limitation</w:t>
      </w:r>
      <w:r w:rsidR="002B25BA"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{"citationItems":[{"id":"ITEM-1","itemData":{"DOI":"10.1183/09059180.00007112","abstract":"Asthma that starts in adulthood differs from childhood-onset asthma in that it is often non-atopic, more severe and associated with a faster decline in lung function. Understanding of the underlying mechanism of adult-onset asthma and identification of specific phenotypes may further our understanding of pathophysiology and treatment response, leading to better targeting of both existing and new approaches for personalised management. Pivotal studies in past years have led to sustained progress in many areas, ranging from risk factors for development, identification of different phenotypes, and introduction of new therapies. This review highlights and discusses literature on adult-onset asthma, with special focus on the differences from childhood-onset asthma, risk factors for development, phenotypes of adult-onset asthma and new approaches for personalised management.","author":[{"dropping-particle":"","family":"Nijs","given":"Selma B","non-dropping-particle":"De","parse-names":false,"suffix":""},{"dropping-particle":"","family":"Venekamp","given":"Lisette N","non-dropping-particle":"","parse-names":false,"suffix":""},{"dropping-particle":"","family":"Bel","given":"Elisabeth H","non-dropping-particle":"","parse-names":false,"suffix":""}],"id":"ITEM-1","issued":{"date-parts":[["0"]]},"title":"Adult-onset asthma: is it really different?","type":"article-journal"},"uris":["http://www.mendeley.com/documents/?uuid=cfc1bea4-fdc3-313e-a639-b5346e896504"]}],"mendeley":{"formattedCitation":"&lt;sup&gt;28&lt;/sup&gt;","plainTextFormattedCitation":"28","previouslyFormattedCitation":"&lt;sup&gt;28&lt;/sup&gt;"},"properties":{"noteIndex":0},"schema":"https://github.com/citation-style-language/schema/raw/master/csl-citation.json"}</w:instrText>
      </w:r>
      <w:r w:rsidR="002B25BA"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28</w:t>
      </w:r>
      <w:r w:rsidR="002B25BA" w:rsidRPr="00214987">
        <w:rPr>
          <w:rFonts w:ascii="Arial" w:hAnsi="Arial" w:cs="Arial"/>
          <w:noProof/>
          <w:sz w:val="20"/>
          <w:szCs w:val="20"/>
          <w:lang w:val="en-US"/>
        </w:rPr>
        <w:fldChar w:fldCharType="end"/>
      </w:r>
      <w:r w:rsidR="002B25BA" w:rsidRPr="00214987">
        <w:rPr>
          <w:rFonts w:ascii="Arial" w:hAnsi="Arial" w:cs="Arial"/>
          <w:noProof/>
          <w:sz w:val="20"/>
          <w:szCs w:val="20"/>
          <w:lang w:val="en-US"/>
        </w:rPr>
        <w:t>, potentially explaining their limited lung function improvement. Another d</w:t>
      </w:r>
      <w:r w:rsidR="006F7095" w:rsidRPr="00214987">
        <w:rPr>
          <w:rFonts w:ascii="Arial" w:hAnsi="Arial" w:cs="Arial"/>
          <w:noProof/>
          <w:sz w:val="20"/>
          <w:szCs w:val="20"/>
          <w:lang w:val="en-US"/>
        </w:rPr>
        <w:t>isparity</w:t>
      </w:r>
      <w:r w:rsidR="002B25BA" w:rsidRPr="00214987">
        <w:rPr>
          <w:rFonts w:ascii="Arial" w:hAnsi="Arial" w:cs="Arial"/>
          <w:noProof/>
          <w:sz w:val="20"/>
          <w:szCs w:val="20"/>
          <w:lang w:val="en-US"/>
        </w:rPr>
        <w:t xml:space="preserve"> was in steroid-sparing effect, whereby </w:t>
      </w:r>
      <w:r w:rsidR="008C6CE9">
        <w:rPr>
          <w:rFonts w:ascii="Arial" w:hAnsi="Arial" w:cs="Arial"/>
          <w:noProof/>
          <w:sz w:val="20"/>
          <w:szCs w:val="20"/>
          <w:lang w:val="en-US"/>
        </w:rPr>
        <w:t>Mepolizumab</w:t>
      </w:r>
      <w:r w:rsidR="003208CE" w:rsidRPr="00214987">
        <w:rPr>
          <w:rFonts w:ascii="Arial" w:hAnsi="Arial" w:cs="Arial"/>
          <w:noProof/>
          <w:sz w:val="20"/>
          <w:szCs w:val="20"/>
          <w:lang w:val="en-US"/>
        </w:rPr>
        <w:t xml:space="preserve"> but not </w:t>
      </w:r>
      <w:r w:rsidR="008C6CE9" w:rsidRPr="00214987">
        <w:rPr>
          <w:rFonts w:ascii="Arial" w:hAnsi="Arial" w:cs="Arial"/>
          <w:noProof/>
          <w:sz w:val="20"/>
          <w:szCs w:val="20"/>
          <w:lang w:val="en-US"/>
        </w:rPr>
        <w:t>Omalizumab</w:t>
      </w:r>
      <w:r w:rsidR="003208CE" w:rsidRPr="00214987">
        <w:rPr>
          <w:rFonts w:ascii="Arial" w:hAnsi="Arial" w:cs="Arial"/>
          <w:noProof/>
          <w:sz w:val="20"/>
          <w:szCs w:val="20"/>
          <w:lang w:val="en-US"/>
        </w:rPr>
        <w:t xml:space="preserve">, </w:t>
      </w:r>
      <w:r w:rsidR="002B25BA" w:rsidRPr="00214987">
        <w:rPr>
          <w:rFonts w:ascii="Arial" w:hAnsi="Arial" w:cs="Arial"/>
          <w:noProof/>
          <w:sz w:val="20"/>
          <w:szCs w:val="20"/>
          <w:lang w:val="en-US"/>
        </w:rPr>
        <w:t xml:space="preserve">significantly reduced mOCS </w:t>
      </w:r>
      <w:r w:rsidR="004206AD" w:rsidRPr="00214987">
        <w:rPr>
          <w:rFonts w:ascii="Arial" w:hAnsi="Arial" w:cs="Arial"/>
          <w:noProof/>
          <w:sz w:val="20"/>
          <w:szCs w:val="20"/>
          <w:lang w:val="en-US"/>
        </w:rPr>
        <w:t>dependency</w:t>
      </w:r>
      <w:r w:rsidR="002B25BA" w:rsidRPr="00214987">
        <w:rPr>
          <w:rFonts w:ascii="Arial" w:hAnsi="Arial" w:cs="Arial"/>
          <w:noProof/>
          <w:sz w:val="20"/>
          <w:szCs w:val="20"/>
          <w:lang w:val="en-US"/>
        </w:rPr>
        <w:t xml:space="preserve">. This </w:t>
      </w:r>
      <w:r w:rsidR="003208CE" w:rsidRPr="00214987">
        <w:rPr>
          <w:rFonts w:ascii="Arial" w:hAnsi="Arial" w:cs="Arial"/>
          <w:noProof/>
          <w:sz w:val="20"/>
          <w:szCs w:val="20"/>
          <w:lang w:val="en-US"/>
        </w:rPr>
        <w:t xml:space="preserve">may </w:t>
      </w:r>
      <w:r w:rsidR="002B25BA" w:rsidRPr="00214987">
        <w:rPr>
          <w:rFonts w:ascii="Arial" w:hAnsi="Arial" w:cs="Arial"/>
          <w:noProof/>
          <w:sz w:val="20"/>
          <w:szCs w:val="20"/>
          <w:lang w:val="en-US"/>
        </w:rPr>
        <w:t>reflect different trial durations</w:t>
      </w:r>
      <w:r w:rsidR="0086664F">
        <w:rPr>
          <w:rFonts w:ascii="Arial" w:hAnsi="Arial" w:cs="Arial"/>
          <w:noProof/>
          <w:sz w:val="20"/>
          <w:szCs w:val="20"/>
          <w:lang w:val="en-US"/>
        </w:rPr>
        <w:t xml:space="preserve"> mandated in UK clinical practice</w:t>
      </w:r>
      <w:r w:rsidR="002B25BA" w:rsidRPr="00214987">
        <w:rPr>
          <w:rFonts w:ascii="Arial" w:hAnsi="Arial" w:cs="Arial"/>
          <w:noProof/>
          <w:sz w:val="20"/>
          <w:szCs w:val="20"/>
          <w:lang w:val="en-US"/>
        </w:rPr>
        <w:t xml:space="preserve">. Indeed, other studies which evaluated </w:t>
      </w:r>
      <w:r w:rsidR="001872A3">
        <w:rPr>
          <w:rFonts w:ascii="Arial" w:hAnsi="Arial" w:cs="Arial"/>
          <w:noProof/>
          <w:sz w:val="20"/>
          <w:szCs w:val="20"/>
          <w:lang w:val="en-US"/>
        </w:rPr>
        <w:t>Omalizumab</w:t>
      </w:r>
      <w:r w:rsidR="001872A3" w:rsidRPr="00214987">
        <w:rPr>
          <w:rFonts w:ascii="Arial" w:hAnsi="Arial" w:cs="Arial"/>
          <w:noProof/>
          <w:sz w:val="20"/>
          <w:szCs w:val="20"/>
          <w:lang w:val="en-US"/>
        </w:rPr>
        <w:t xml:space="preserve"> </w:t>
      </w:r>
      <w:r w:rsidR="002B25BA" w:rsidRPr="00214987">
        <w:rPr>
          <w:rFonts w:ascii="Arial" w:hAnsi="Arial" w:cs="Arial"/>
          <w:noProof/>
          <w:sz w:val="20"/>
          <w:szCs w:val="20"/>
          <w:lang w:val="en-US"/>
        </w:rPr>
        <w:t>beyond 16-weeks, found that it reduced the proportion of patients on mOCS</w:t>
      </w:r>
      <w:r w:rsidR="002B25BA" w:rsidRPr="00214987">
        <w:rPr>
          <w:rFonts w:ascii="Arial" w:hAnsi="Arial" w:cs="Arial"/>
          <w:noProof/>
          <w:sz w:val="20"/>
          <w:szCs w:val="20"/>
          <w:lang w:val="en-US"/>
        </w:rPr>
        <w:fldChar w:fldCharType="begin" w:fldLock="1"/>
      </w:r>
      <w:r w:rsidR="00717B40">
        <w:rPr>
          <w:rFonts w:ascii="Arial" w:hAnsi="Arial" w:cs="Arial"/>
          <w:noProof/>
          <w:sz w:val="20"/>
          <w:szCs w:val="20"/>
          <w:lang w:val="en-US"/>
        </w:rPr>
        <w:instrText>ADDIN CSL_CITATION {"citationItems":[{"id":"ITEM-1","itemData":{"DOI":"10.3109/02770903.2013.790419","ISSN":"0277-0903","abstract":"Objective. The aim of this study was to evaluate the \"real world\" effects of the monoclonal antibody omalizumab (OMB) when used to treat severe persistent allergic asthma in UK clinical practice. Methods. A 10-center retrospective observational study was carried out to compare oral corticosteroid (OCS) use and exacerbation frequency in 12 months pre- versus post-OMB initiation in 136 patients aged ≥12 years with severe persistent allergic asthma. All patients received ≥1 dose of OMB. Patients who had received OMB in a clinical trial were excluded. Data were obtained from hospital and if necessary general practitioners' (GPs') records on OCS use, lung function, hospital resource use, and routinely used quality of life (QoL) measures at baseline (pre-OMB), 16 weeks, and up to 12 months post-OMB initiation. Results. Mean total quantity of OCS prescribed per year decreased by 34% between the 12 months pre- and post-OMB initiation. During the 12 months post-OMB initiation, 87 patients (64%) stopped/reduced OCS use by 20% or more and 66 (49%) stopped OCS completely. Mean percent predicted forced expiratory volume in one second (FEV1) increased from 66.0% at baseline to 75.2% at week 16 of OMB therapy. The number of asthma exacerbations decreased by 53% during the 12 months post-initiation. Accident and emergency visits reduced by 70% and hospitalizations by 61% in the 12 months post-OMB initiation. Conclusion. This retrospective analysis showed a reduction in exacerbations and improved QoL as per previous studies with OMB. However, the total reduction in annual steroid burden and improved lung function in this severely ill group of patients taking regular or frequent OCS is greater than that seen in previous trials. © 2013 Informa Healthcare USA, Inc.","author":[{"dropping-particle":"","family":"Barnes","given":"Neil","non-dropping-particle":"","parse-names":false,"suffix":""},{"dropping-particle":"","family":"Menzies-Gow","given":"Andrew","non-dropping-particle":"","parse-names":false,"suffix":""},{"dropping-particle":"","family":"Mansur","given":"Adel H.","non-dropping-particle":"","parse-names":false,"suffix":""},{"dropping-particle":"","family":"Spencer","given":"David","non-dropping-particle":"","parse-names":false,"suffix":""},{"dropping-particle":"","family":"Percival","given":"Fran","non-dropping-particle":"","parse-names":false,"suffix":""},{"dropping-particle":"","family":"Radwan","given":"Amr","non-dropping-particle":"","parse-names":false,"suffix":""},{"dropping-particle":"","family":"Niven","given":"Rob","non-dropping-particle":"","parse-names":false,"suffix":""}],"container-title":"Journal of Asthma","id":"ITEM-1","issue":"5","issued":{"date-parts":[["2013","6","14"]]},"page":"529-536","publisher":"Taylor &amp; Francis","title":"Effectiveness of Omalizumab in Severe Allergic Asthma: A Retrospective UK Real-World Study","type":"article-journal","volume":"50"},"uris":["http://www.mendeley.com/documents/?uuid=5a612945-18c6-342e-89f5-12757f298dfe"]},{"id":"ITEM-2","itemData":{"DOI":"10.1185/03007995.2011.620950","ISSN":"03007995","PMID":"21933100","abstract":"Background: Long-term oral corticosteroid (OCS) therapy and related adverse events are associated with a significant burden on patients and healthcare resources. Methods: This subgroup analysis of a randomized, open-label, parallel-group study evaluated the OCS-sparing effect of omalizumab (OMA) added to optimized asthma therapy (OAT), compared with OAT alone. Patients (1275 years) with severe allergic asthma, uncontrolled despite GINA 2004 Step 4 therapy, received OMA or OAT for 32 weeks. The change from baseline in OCS use by Week 32 in patients requiring maintenance OCS at baseline was assessed in terms of percent OCS dose change and numbers of patients with reduced/stopped or maintained/increased OCS. Results: Eighty-two patients were receiving maintenance OCS at baseline (OMA/OAT n=59, OAT n=23). Change from baseline in mean maintenance OCS dose at Week 32 was significantly greater in the OMA/OAT group compared with the OAT group (-45% vs.+18.3%, p=0.002). In the OMA/OAT group, 37 patients (62.7%) reduced/stopped OCS use at Week 32, compared with seven patients (30.4%) receiving OAT (p=0.013). Improvements in other efficacy outcomes were seen at Week 32 in the OMA/OAT group, irrespective of OCS use. An investigator global evaluation of treatment effectiveness at Week 16 was an effective predictor of persistent treatment response at 32 weeks for the majority of OMA/OAT patients (93%), also irrespective of OCS use. Conclusion: In this open-label study of patients with severe allergic asthma, OMA/OAT therapy reduced maintenance OCS use, compared with OAT alone. Improvements in efficacy measures were observed in the OMA/OAT group, irrespective of OCS change. Clinicaltrials.gov identifier: NCT00264849. © 2011 Informa UK Ltd.","author":[{"dropping-particle":"","family":"Siergiejko","given":"Zenon","non-dropping-particle":"","parse-names":false,"suffix":""},{"dropping-particle":"","family":"Świebocka","given":"Ewa","non-dropping-particle":"","parse-names":false,"suffix":""},{"dropping-particle":"","family":"Smith","given":"Nicola","non-dropping-particle":"","parse-names":false,"suffix":""},{"dropping-particle":"","family":"Peckitt","given":"Clare","non-dropping-particle":"","parse-names":false,"suffix":""},{"dropping-particle":"","family":"Leo","given":"Jo","non-dropping-particle":"","parse-names":false,"suffix":""},{"dropping-particle":"","family":"Peachey","given":"Guy","non-dropping-particle":"","parse-names":false,"suffix":""},{"dropping-particle":"","family":"Maykut","given":"Robert","non-dropping-particle":"","parse-names":false,"suffix":""}],"container-title":"Current Medical Research and Opinion","id":"ITEM-2","issue":"11","issued":{"date-parts":[["2011","11"]]},"page":"2223-2228","publisher":"Taylor &amp; Francis","title":"Oral corticosteroid sparing with omalizumab in severe allergic (IgE-mediated) asthma patients","type":"article-journal","volume":"27"},"uris":["http://www.mendeley.com/documents/?uuid=c26c5b92-f34c-386f-bcd0-fe7d4f403ce0"]},{"id":"ITEM-3","itemData":{"DOI":"10.1080/1744666X.2019.1574571","ISSN":"17448409","PMID":"30763137","abstract":"Introduction: Omalizumab is a recombinant monoclonal anti-IgE antibody approved in the US as add-on treatment in moderate-to-severe allergic asthma (in severe allergic asthma [SAA] in Europe). A 2016 review of 24 real-world effectiveness studies in SAA published between 2008–2015 concluded that omalizumab was associated with significant improvements in objective and subjective outcomes with benefits extending beyond 2 years. Several new real-world studies have been published since, bringing the total to 42 studies. Areas covered: This systematic review of 42 studies published since 2008 updates and extends the 2016 review on the real-word evidence on omalizumab in SAA. It offers greater granularity as to time windows within which outcomes are reported and includes studies extending well beyond 4 years post omalizumab initiation. Expert commentary: This review firmly establishes the short-term effectiveness of omalizumab in adolescent and adult patients with SAA at 1 year, and provides strong evidence of long-term effectiveness up to 4 years and emergent evidence of effectiveness beyond 4 years. In the aggregate, these 42 studies underscore the long-term effectiveness of omalizumab in terms of: reducing exacerbations and symptoms, achieving asthma control, improving lung function, enhancing quality of life, decreasing emergency department visits and hospitalizations, and promoting concomitant medication-sparing.","author":[{"dropping-particle":"","family":"MacDonald","given":"Karen M.","non-dropping-particle":"","parse-names":false,"suffix":""},{"dropping-particle":"","family":"Kavati","given":"Abhishek","non-dropping-particle":"","parse-names":false,"suffix":""},{"dropping-particle":"","family":"Ortiz","given":"Benjamin","non-dropping-particle":"","parse-names":false,"suffix":""},{"dropping-particle":"","family":"Alhossan","given":"Abdulaziz","non-dropping-particle":"","parse-names":false,"suffix":""},{"dropping-particle":"","family":"Lee","given":"Christopher S.","non-dropping-particle":"","parse-names":false,"suffix":""},{"dropping-particle":"","family":"Abraham","given":"Ivo","non-dropping-particle":"","parse-names":false,"suffix":""}],"container-title":"Expert Review of Clinical Immunology","id":"ITEM-3","issue":"5","issued":{"date-parts":[["2019","5","4"]]},"page":"553-569","publisher":"Taylor and Francis Ltd","title":"Short- and long-term real-world effectiveness of omalizumab in severe allergic asthma: systematic review of 42 studies published 2008-2018","type":"article","volume":"15"},"uris":["http://www.mendeley.com/documents/?uuid=653bea9b-8f00-3282-89be-f0b85f90bff4"]},{"id":"ITEM-4","itemData":{"DOI":"10.1111/j.1752-699X.2011.00263.x","ISSN":"17526981","PMID":"21740532","abstract":"Background and Aims: Although the efficacy and safety of omalizumab (OMA) in uncontrolled severe allergic asthma has been demonstrated in several randomised controlled trials (RCTs), information on the treatment in a practice-related setting is limited. Thus, the purpose of this prospective multi-centre study (XCLUSIVE) was to investigate the efficacy, compliance and utilisation of OMA therapy in real-life clinical practice in Germany. Methods: One hundred ninety-five asthmatic patients initiated on anti-Immunoglobulin E (IgE) IgE treatment were followed-up for 6 months. Forced expiratory volume in 1s (FEV1), exacerbation rate, days of absence, asthma symptoms [Asthma Control Questionnaire (ACQ)], a Global Evaluation of Treatment Effectiveness (GETE) and medication use were assessed. Results: Measured outcome variables improved after a 16-week treatment period with OMA (FEV1+13.7% predicted P&lt;0.05, exacerbation rate -74.9% P&lt;0.0001, days of absence -92.1% P&lt;0.001, ACQ -43.7% P&lt;0.0001). Investigators evaluated the effectiveness of OMA by GETE in 78.8% as excellent or good (responder), and in 12.6%/8.6% as moderate/poor or worse (non-responder). Responders demonstrated better improvement of FEV1, exacerbation rate, days of absence, ACQ and reduction of oral corticosteroids compared with non-responders. Conclusion: Results of effectiveness strongly suggest that the efficacy demonstrated in RCTs can be transposed to a clinical practice-related setting. © 2011 Blackwell Publishing Ltd.","author":[{"dropping-particle":"","family":"Schumann","given":"Christian","non-dropping-particle":"","parse-names":false,"suffix":""},{"dropping-particle":"","family":"Kropf","given":"Cornelia","non-dropping-particle":"","parse-names":false,"suffix":""},{"dropping-particle":"","family":"Wibmer","given":"Thomas","non-dropping-particle":"","parse-names":false,"suffix":""},{"dropping-particle":"","family":"Rüdiger","given":"Stefan","non-dropping-particle":"","parse-names":false,"suffix":""},{"dropping-particle":"","family":"Stoiber","given":"Kathrin Magdalena","non-dropping-particle":"","parse-names":false,"suffix":""},{"dropping-particle":"","family":"Thielen","given":"Antje","non-dropping-particle":"","parse-names":false,"suffix":""},{"dropping-particle":"","family":"Rottbauer","given":"Wolfgang","non-dropping-particle":"","parse-names":false,"suffix":""},{"dropping-particle":"","family":"Kroegel","given":"Claus","non-dropping-particle":"","parse-names":false,"suffix":""}],"container-title":"Clinical Respiratory Journal","id":"ITEM-4","issue":"4","issued":{"date-parts":[["2012","10"]]},"page":"215-227","publisher":"Clin Respir J","title":"Omalizumab in patients with severe asthma: The XCLUSIVE study","type":"article-journal","volume":"6"},"uris":["http://www.mendeley.com/documents/?uuid=245e56ca-5aad-3746-a343-be44e76274da"]},{"id":"ITEM-5","itemData":{"DOI":"10.1016/j.rmed.2013.04.017","ISSN":"09546111","abstract":"Omalizumab has demonstrated therapeutic benefits in controlled clinical trials. Evaluation of outcomes in real-world clinical practice is needed to provide a complete understanding of the benefits of omalizumab treatment. eXpeRience was a 2-year, international, single-arm, open-label, observational registry that evaluated real-world effectiveness, safety and use of omalizumab therapy in 943 patients with uncontrolled persistent allergic asthma. Effectiveness variables (physician's Global Evaluation of Treatment Effectiveness [GETE], and change from baseline in exacerbation rate, symptoms, rescue medication use, and oral corticosteroid [OCS] use) were evaluated at pre-specified time-points. Safety data were also recorded. By physician's GETE, 69.9% of patients were responders to omalizumab after 16 (±1) weeks. The proportion of patients with no clinically significant exacerbations increased from 6.8% during the 12-month pre-treatment period to 54.1% and 67.3% at Months 12 and 24, respectively. Symptoms and rescue medication use at Month 24 were reduced by &gt;50% from baseline. Maintenance OCS use was lower at Month 24 (14.2%) compared with Month 12 (16.1%) and baseline (28.6%). Overall, omalizumab had an acceptable safety profile. The results from eXpeRience indicate that omalizumab was associated with improvements in outcomes in patients with uncontrolled persistent allergic asthma; these improvements were consistent with the results of clinical trials. © 2012 Elsevier Ltd. All rights reserved.","author":[{"dropping-particle":"","family":"Braunstahl","given":"G. J.","non-dropping-particle":"","parse-names":false,"suffix":""},{"dropping-particle":"","family":"Chen","given":"C. W.","non-dropping-particle":"","parse-names":false,"suffix":""},{"dropping-particle":"","family":"Maykut","given":"R.","non-dropping-particle":"","parse-names":false,"suffix":""},{"dropping-particle":"","family":"Georgiou","given":"P.","non-dropping-particle":"","parse-names":false,"suffix":""},{"dropping-particle":"","family":"Peachey","given":"G.","non-dropping-particle":"","parse-names":false,"suffix":""},{"dropping-particle":"","family":"Bruce","given":"J.","non-dropping-particle":"","parse-names":false,"suffix":""}],"container-title":"Respiratory Medicine","id":"ITEM-5","issue":"8","issued":{"date-parts":[["2013","8","1"]]},"page":"1141-1151","publisher":"W.B. Saunders","title":"The eXpeRience registry: The 'real-world' effectiveness of omalizumab in allergic asthma","type":"article-journal","volume":"107"},"uris":["http://www.mendeley.com/documents/?uuid=ae7fecec-2e4b-3a67-9d9f-6dcbf1ff791d"]}],"mendeley":{"formattedCitation":"&lt;sup&gt;15,21,22,29,30&lt;/sup&gt;","plainTextFormattedCitation":"15,21,22,29,30","previouslyFormattedCitation":"&lt;sup&gt;16,21,22,29,30&lt;/sup&gt;"},"properties":{"noteIndex":0},"schema":"https://github.com/citation-style-language/schema/raw/master/csl-citation.json"}</w:instrText>
      </w:r>
      <w:r w:rsidR="002B25BA" w:rsidRPr="00214987">
        <w:rPr>
          <w:rFonts w:ascii="Arial" w:hAnsi="Arial" w:cs="Arial"/>
          <w:noProof/>
          <w:sz w:val="20"/>
          <w:szCs w:val="20"/>
          <w:lang w:val="en-US"/>
        </w:rPr>
        <w:fldChar w:fldCharType="separate"/>
      </w:r>
      <w:r w:rsidR="00717B40" w:rsidRPr="00717B40">
        <w:rPr>
          <w:rFonts w:ascii="Arial" w:hAnsi="Arial" w:cs="Arial"/>
          <w:noProof/>
          <w:sz w:val="20"/>
          <w:szCs w:val="20"/>
          <w:vertAlign w:val="superscript"/>
          <w:lang w:val="en-US"/>
        </w:rPr>
        <w:t>15,21,22,29,30</w:t>
      </w:r>
      <w:r w:rsidR="002B25BA" w:rsidRPr="00214987">
        <w:rPr>
          <w:rFonts w:ascii="Arial" w:hAnsi="Arial" w:cs="Arial"/>
          <w:noProof/>
          <w:sz w:val="20"/>
          <w:szCs w:val="20"/>
          <w:lang w:val="en-US"/>
        </w:rPr>
        <w:fldChar w:fldCharType="end"/>
      </w:r>
      <w:r w:rsidR="002B25BA" w:rsidRPr="00214987">
        <w:rPr>
          <w:rFonts w:ascii="Arial" w:hAnsi="Arial" w:cs="Arial"/>
          <w:noProof/>
          <w:sz w:val="20"/>
          <w:szCs w:val="20"/>
          <w:lang w:val="en-US"/>
        </w:rPr>
        <w:t xml:space="preserve">. </w:t>
      </w:r>
      <w:r w:rsidR="00891251" w:rsidRPr="00214987">
        <w:rPr>
          <w:rFonts w:ascii="Arial" w:hAnsi="Arial" w:cs="Arial"/>
          <w:noProof/>
          <w:sz w:val="20"/>
          <w:szCs w:val="20"/>
          <w:lang w:val="en-US"/>
        </w:rPr>
        <w:t>This</w:t>
      </w:r>
      <w:r w:rsidR="002B25BA" w:rsidRPr="00214987">
        <w:rPr>
          <w:rFonts w:ascii="Arial" w:hAnsi="Arial" w:cs="Arial"/>
          <w:noProof/>
          <w:sz w:val="20"/>
          <w:szCs w:val="20"/>
          <w:lang w:val="en-US"/>
        </w:rPr>
        <w:t xml:space="preserve"> may </w:t>
      </w:r>
      <w:r w:rsidR="00891251" w:rsidRPr="00214987">
        <w:rPr>
          <w:rFonts w:ascii="Arial" w:hAnsi="Arial" w:cs="Arial"/>
          <w:noProof/>
          <w:sz w:val="20"/>
          <w:szCs w:val="20"/>
          <w:lang w:val="en-US"/>
        </w:rPr>
        <w:t xml:space="preserve">also </w:t>
      </w:r>
      <w:r w:rsidR="002B25BA" w:rsidRPr="00214987">
        <w:rPr>
          <w:rFonts w:ascii="Arial" w:hAnsi="Arial" w:cs="Arial"/>
          <w:noProof/>
          <w:sz w:val="20"/>
          <w:szCs w:val="20"/>
          <w:lang w:val="en-US"/>
        </w:rPr>
        <w:t xml:space="preserve">reflect clinical practice during the single biologic </w:t>
      </w:r>
      <w:r w:rsidR="00CA6A2A">
        <w:rPr>
          <w:rFonts w:ascii="Arial" w:hAnsi="Arial" w:cs="Arial"/>
          <w:noProof/>
          <w:sz w:val="20"/>
          <w:szCs w:val="20"/>
          <w:lang w:val="en-US"/>
        </w:rPr>
        <w:t>era</w:t>
      </w:r>
      <w:r w:rsidR="002B25BA" w:rsidRPr="00214987">
        <w:rPr>
          <w:rFonts w:ascii="Arial" w:hAnsi="Arial" w:cs="Arial"/>
          <w:noProof/>
          <w:sz w:val="20"/>
          <w:szCs w:val="20"/>
          <w:lang w:val="en-US"/>
        </w:rPr>
        <w:t>, whereby a more conservative mOCS weaning</w:t>
      </w:r>
      <w:r w:rsidR="00A6226D" w:rsidRPr="00214987">
        <w:rPr>
          <w:rFonts w:ascii="Arial" w:hAnsi="Arial" w:cs="Arial"/>
          <w:noProof/>
          <w:sz w:val="20"/>
          <w:szCs w:val="20"/>
          <w:lang w:val="en-US"/>
        </w:rPr>
        <w:t xml:space="preserve"> </w:t>
      </w:r>
      <w:r w:rsidR="003208CE" w:rsidRPr="00214987">
        <w:rPr>
          <w:rFonts w:ascii="Arial" w:hAnsi="Arial" w:cs="Arial"/>
          <w:noProof/>
          <w:sz w:val="20"/>
          <w:szCs w:val="20"/>
          <w:lang w:val="en-US"/>
        </w:rPr>
        <w:t xml:space="preserve">approach </w:t>
      </w:r>
      <w:r w:rsidR="0001179B" w:rsidRPr="00214987">
        <w:rPr>
          <w:rFonts w:ascii="Arial" w:hAnsi="Arial" w:cs="Arial"/>
          <w:noProof/>
          <w:sz w:val="20"/>
          <w:szCs w:val="20"/>
          <w:lang w:val="en-US"/>
        </w:rPr>
        <w:t xml:space="preserve">may have been </w:t>
      </w:r>
      <w:r w:rsidR="00A6226D" w:rsidRPr="00214987">
        <w:rPr>
          <w:rFonts w:ascii="Arial" w:hAnsi="Arial" w:cs="Arial"/>
          <w:noProof/>
          <w:sz w:val="20"/>
          <w:szCs w:val="20"/>
          <w:lang w:val="en-US"/>
        </w:rPr>
        <w:t>adopted</w:t>
      </w:r>
      <w:r w:rsidR="002B25BA" w:rsidRPr="00214987">
        <w:rPr>
          <w:rFonts w:ascii="Arial" w:hAnsi="Arial" w:cs="Arial"/>
          <w:noProof/>
          <w:sz w:val="20"/>
          <w:szCs w:val="20"/>
          <w:lang w:val="en-US"/>
        </w:rPr>
        <w:t>, given the lack of alternatives.</w:t>
      </w:r>
      <w:r w:rsidR="00711EA6" w:rsidRPr="00214987">
        <w:rPr>
          <w:rFonts w:ascii="Arial" w:hAnsi="Arial" w:cs="Arial"/>
          <w:noProof/>
          <w:sz w:val="20"/>
          <w:szCs w:val="20"/>
          <w:lang w:val="en-US"/>
        </w:rPr>
        <w:t xml:space="preserve"> </w:t>
      </w:r>
    </w:p>
    <w:p w14:paraId="19D7ECAB" w14:textId="1D11AD2E" w:rsidR="002427CC" w:rsidRPr="00214987" w:rsidRDefault="000D3470"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Overall, there </w:t>
      </w:r>
      <w:r w:rsidR="00261BB1" w:rsidRPr="00214987">
        <w:rPr>
          <w:rFonts w:ascii="Arial" w:hAnsi="Arial" w:cs="Arial"/>
          <w:noProof/>
          <w:sz w:val="20"/>
          <w:szCs w:val="20"/>
          <w:lang w:val="en-US"/>
        </w:rPr>
        <w:t xml:space="preserve">is </w:t>
      </w:r>
      <w:r w:rsidR="00E3108E" w:rsidRPr="00214987">
        <w:rPr>
          <w:rFonts w:ascii="Arial" w:hAnsi="Arial" w:cs="Arial"/>
          <w:noProof/>
          <w:sz w:val="20"/>
          <w:szCs w:val="20"/>
          <w:lang w:val="en-US"/>
        </w:rPr>
        <w:t xml:space="preserve">limited </w:t>
      </w:r>
      <w:r w:rsidR="00636D8A" w:rsidRPr="00214987">
        <w:rPr>
          <w:rFonts w:ascii="Arial" w:hAnsi="Arial" w:cs="Arial"/>
          <w:noProof/>
          <w:sz w:val="20"/>
          <w:szCs w:val="20"/>
          <w:lang w:val="en-US"/>
        </w:rPr>
        <w:t>knowledge</w:t>
      </w:r>
      <w:r w:rsidR="00261BB1" w:rsidRPr="00214987">
        <w:rPr>
          <w:rFonts w:ascii="Arial" w:hAnsi="Arial" w:cs="Arial"/>
          <w:noProof/>
          <w:sz w:val="20"/>
          <w:szCs w:val="20"/>
          <w:lang w:val="en-US"/>
        </w:rPr>
        <w:t xml:space="preserve"> </w:t>
      </w:r>
      <w:r w:rsidR="00BA602D" w:rsidRPr="00214987">
        <w:rPr>
          <w:rFonts w:ascii="Arial" w:hAnsi="Arial" w:cs="Arial"/>
          <w:noProof/>
          <w:sz w:val="20"/>
          <w:szCs w:val="20"/>
          <w:lang w:val="en-US"/>
        </w:rPr>
        <w:t>on</w:t>
      </w:r>
      <w:r w:rsidR="00F537CE" w:rsidRPr="00214987">
        <w:rPr>
          <w:rFonts w:ascii="Arial" w:hAnsi="Arial" w:cs="Arial"/>
          <w:noProof/>
          <w:sz w:val="20"/>
          <w:szCs w:val="20"/>
          <w:lang w:val="en-US"/>
        </w:rPr>
        <w:t xml:space="preserve"> </w:t>
      </w:r>
      <w:r w:rsidR="00E3108E" w:rsidRPr="00214987">
        <w:rPr>
          <w:rFonts w:ascii="Arial" w:hAnsi="Arial" w:cs="Arial"/>
          <w:noProof/>
          <w:sz w:val="20"/>
          <w:szCs w:val="20"/>
          <w:lang w:val="en-US"/>
        </w:rPr>
        <w:t xml:space="preserve">clinical </w:t>
      </w:r>
      <w:r w:rsidR="00F537CE" w:rsidRPr="00214987">
        <w:rPr>
          <w:rFonts w:ascii="Arial" w:hAnsi="Arial" w:cs="Arial"/>
          <w:noProof/>
          <w:sz w:val="20"/>
          <w:szCs w:val="20"/>
          <w:lang w:val="en-US"/>
        </w:rPr>
        <w:t>predictors of</w:t>
      </w:r>
      <w:r w:rsidRPr="00214987">
        <w:rPr>
          <w:rFonts w:ascii="Arial" w:hAnsi="Arial" w:cs="Arial"/>
          <w:noProof/>
          <w:sz w:val="20"/>
          <w:szCs w:val="20"/>
          <w:lang w:val="en-US"/>
        </w:rPr>
        <w:t xml:space="preserve"> </w:t>
      </w:r>
      <w:r w:rsidR="001872A3">
        <w:rPr>
          <w:rFonts w:ascii="Arial" w:hAnsi="Arial" w:cs="Arial"/>
          <w:noProof/>
          <w:sz w:val="20"/>
          <w:szCs w:val="20"/>
          <w:lang w:val="en-US"/>
        </w:rPr>
        <w:t xml:space="preserve">Omalizumab </w:t>
      </w:r>
      <w:r w:rsidRPr="00214987">
        <w:rPr>
          <w:rFonts w:ascii="Arial" w:hAnsi="Arial" w:cs="Arial"/>
          <w:noProof/>
          <w:sz w:val="20"/>
          <w:szCs w:val="20"/>
          <w:lang w:val="en-US"/>
        </w:rPr>
        <w:t xml:space="preserve">and </w:t>
      </w:r>
      <w:r w:rsidR="008C6CE9">
        <w:rPr>
          <w:rFonts w:ascii="Arial" w:hAnsi="Arial" w:cs="Arial"/>
          <w:noProof/>
          <w:sz w:val="20"/>
          <w:szCs w:val="20"/>
          <w:lang w:val="en-US"/>
        </w:rPr>
        <w:t>Mepolizumab</w:t>
      </w:r>
      <w:r w:rsidRPr="00214987">
        <w:rPr>
          <w:rFonts w:ascii="Arial" w:hAnsi="Arial" w:cs="Arial"/>
          <w:noProof/>
          <w:sz w:val="20"/>
          <w:szCs w:val="20"/>
          <w:lang w:val="en-US"/>
        </w:rPr>
        <w:t xml:space="preserve"> response</w:t>
      </w:r>
      <w:r w:rsidR="00EE035B" w:rsidRPr="00214987">
        <w:rPr>
          <w:rFonts w:ascii="Arial" w:hAnsi="Arial" w:cs="Arial"/>
          <w:noProof/>
          <w:sz w:val="20"/>
          <w:szCs w:val="20"/>
          <w:lang w:val="en-US"/>
        </w:rPr>
        <w:t xml:space="preserve">. </w:t>
      </w:r>
      <w:r w:rsidR="003E0DBA" w:rsidRPr="00214987">
        <w:rPr>
          <w:rFonts w:ascii="Arial" w:hAnsi="Arial" w:cs="Arial"/>
          <w:noProof/>
          <w:sz w:val="20"/>
          <w:szCs w:val="20"/>
          <w:lang w:val="en-US"/>
        </w:rPr>
        <w:t>A</w:t>
      </w:r>
      <w:r w:rsidR="00F33CC5" w:rsidRPr="00214987">
        <w:rPr>
          <w:rFonts w:ascii="Arial" w:hAnsi="Arial" w:cs="Arial"/>
          <w:noProof/>
          <w:sz w:val="20"/>
          <w:szCs w:val="20"/>
          <w:lang w:val="en-US"/>
        </w:rPr>
        <w:t xml:space="preserve"> pooled analysis of </w:t>
      </w:r>
      <w:r w:rsidR="00B948A0" w:rsidRPr="00214987">
        <w:rPr>
          <w:rFonts w:ascii="Arial" w:hAnsi="Arial" w:cs="Arial"/>
          <w:noProof/>
          <w:sz w:val="20"/>
          <w:szCs w:val="20"/>
          <w:lang w:val="en-US"/>
        </w:rPr>
        <w:t xml:space="preserve">seven </w:t>
      </w:r>
      <w:r w:rsidR="004924C1" w:rsidRPr="00214987">
        <w:rPr>
          <w:rFonts w:ascii="Arial" w:hAnsi="Arial" w:cs="Arial"/>
          <w:noProof/>
          <w:sz w:val="20"/>
          <w:szCs w:val="20"/>
          <w:lang w:val="en-US"/>
        </w:rPr>
        <w:t xml:space="preserve">clinical trials found that </w:t>
      </w:r>
      <w:r w:rsidR="00FB0B90" w:rsidRPr="00214987">
        <w:rPr>
          <w:rFonts w:ascii="Arial" w:hAnsi="Arial" w:cs="Arial"/>
          <w:noProof/>
          <w:sz w:val="20"/>
          <w:szCs w:val="20"/>
          <w:lang w:val="en-US"/>
        </w:rPr>
        <w:t xml:space="preserve">baseline characteristics were unable to reliably predict </w:t>
      </w:r>
      <w:r w:rsidR="008C6CE9">
        <w:rPr>
          <w:rFonts w:ascii="Arial" w:hAnsi="Arial" w:cs="Arial"/>
          <w:noProof/>
          <w:sz w:val="20"/>
          <w:szCs w:val="20"/>
          <w:lang w:val="en-US"/>
        </w:rPr>
        <w:t>Omalizumab</w:t>
      </w:r>
      <w:r w:rsidR="00FB0B90" w:rsidRPr="00214987">
        <w:rPr>
          <w:rFonts w:ascii="Arial" w:hAnsi="Arial" w:cs="Arial"/>
          <w:noProof/>
          <w:sz w:val="20"/>
          <w:szCs w:val="20"/>
          <w:lang w:val="en-US"/>
        </w:rPr>
        <w:t xml:space="preserve"> benefit</w:t>
      </w:r>
      <w:r w:rsidR="007E1BCA"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{"citationItems":[{"id":"ITEM-1","itemData":{"DOI":"10.1016/j.rmed.2007.01.011","ISSN":"09546111","PMID":"17339107","abstract":"Background: Omalizumab is a monoclonal antibody indicated for treatment of severe persistent allergic asthma inadequately controlled despite optimal controller therapy. We investigated whether patient selection could be targeted further. Methods: Data from seven randomized controlled omalizumab trials were analyzed to investigate whether pre-treatment patient baseline clinical characteristics could be identified that were predictive of a superior response to omalizumab. We also studied whether patients who respond to omalizumab following a course of treatment could be reliably identified. Univariate/multivariate analyses of INNOVATE data were performed to identify predictive baseline measures and further investigated in efficacy analyses of pooled data from seven studies. The best method of identifying responders to omalizumab following treatment was determined by assessing the ability of various clinical response criteria to identify responders and discriminate patient exacerbation and other outcomes. Results: Baseline total immunoglobulin E (IgE) was the only predictor of efficacy in INNOVATE. However, pooled analysis showed treatment benefits irrespective of IgE levels. In omalizumab-treated patients, physician's overall assessment following a course of treatment identified 61% as responders and best discriminated treatment outcomes. Conclusion: Baseline characteristics do not reliably predict benefit with omalizumab. Physician's overall assessment after 16 weeks of treatment is the most meaningful measure of response to therapy. © 2007 Elsevier Ltd. All rights reserved.","author":[{"dropping-particle":"","family":"Bousquet","given":"J.","non-dropping-particle":"","parse-names":false,"suffix":""},{"dropping-particle":"","family":"Rabe","given":"K.","non-dropping-particle":"","parse-names":false,"suffix":""},{"dropping-particle":"","family":"Humbert","given":"M.","non-dropping-particle":"","parse-names":false,"suffix":""},{"dropping-particle":"","family":"Chung","given":"K. F.","non-dropping-particle":"","parse-names":false,"suffix":""},{"dropping-particle":"","family":"Berger","given":"W.","non-dropping-particle":"","parse-names":false,"suffix":""},{"dropping-particle":"","family":"Fox","given":"H.","non-dropping-particle":"","parse-names":false,"suffix":""},{"dropping-particle":"","family":"Ayre","given":"G.","non-dropping-particle":"","parse-names":false,"suffix":""},{"dropping-particle":"","family":"Chen","given":"H.","non-dropping-particle":"","parse-names":false,"suffix":""},{"dropping-particle":"","family":"Thomas","given":"K.","non-dropping-particle":"","parse-names":false,"suffix":""},{"dropping-particle":"","family":"Blogg","given":"M.","non-dropping-particle":"","parse-names":false,"suffix":""},{"dropping-particle":"","family":"Holgate","given":"S.","non-dropping-particle":"","parse-names":false,"suffix":""}],"container-title":"Respiratory Medicine","id":"ITEM-1","issue":"7","issued":{"date-parts":[["2007","7","1"]]},"page":"1483-1492","publisher":"W.B. Saunders","title":"Predicting and evaluating response to omalizumab in patients with severe allergic asthma","type":"article-journal","volume":"101"},"uris":["http://www.mendeley.com/documents/?uuid=4b46f2eb-ea06-36a6-a846-2cb2646c979c"]}],"mendeley":{"formattedCitation":"&lt;sup&gt;23&lt;/sup&gt;","plainTextFormattedCitation":"23","previouslyFormattedCitation":"&lt;sup&gt;23&lt;/sup&gt;"},"properties":{"noteIndex":0},"schema":"https://github.com/citation-style-language/schema/raw/master/csl-citation.json"}</w:instrText>
      </w:r>
      <w:r w:rsidR="007E1BCA"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23</w:t>
      </w:r>
      <w:r w:rsidR="007E1BCA" w:rsidRPr="00214987">
        <w:rPr>
          <w:rFonts w:ascii="Arial" w:hAnsi="Arial" w:cs="Arial"/>
          <w:noProof/>
          <w:sz w:val="20"/>
          <w:szCs w:val="20"/>
          <w:lang w:val="en-US"/>
        </w:rPr>
        <w:fldChar w:fldCharType="end"/>
      </w:r>
      <w:r w:rsidR="00FB0B90" w:rsidRPr="00214987">
        <w:rPr>
          <w:rFonts w:ascii="Arial" w:hAnsi="Arial" w:cs="Arial"/>
          <w:noProof/>
          <w:sz w:val="20"/>
          <w:szCs w:val="20"/>
          <w:lang w:val="en-US"/>
        </w:rPr>
        <w:t xml:space="preserve">. </w:t>
      </w:r>
      <w:r w:rsidR="003E0DBA" w:rsidRPr="00214987">
        <w:rPr>
          <w:rFonts w:ascii="Arial" w:hAnsi="Arial" w:cs="Arial"/>
          <w:noProof/>
          <w:sz w:val="20"/>
          <w:szCs w:val="20"/>
          <w:lang w:val="en-US"/>
        </w:rPr>
        <w:t xml:space="preserve">For </w:t>
      </w:r>
      <w:r w:rsidR="008C6CE9">
        <w:rPr>
          <w:rFonts w:ascii="Arial" w:hAnsi="Arial" w:cs="Arial"/>
          <w:noProof/>
          <w:sz w:val="20"/>
          <w:szCs w:val="20"/>
          <w:lang w:val="en-US"/>
        </w:rPr>
        <w:t>Mepolizumab</w:t>
      </w:r>
      <w:r w:rsidR="003E0DBA" w:rsidRPr="00214987">
        <w:rPr>
          <w:rFonts w:ascii="Arial" w:hAnsi="Arial" w:cs="Arial"/>
          <w:noProof/>
          <w:sz w:val="20"/>
          <w:szCs w:val="20"/>
          <w:lang w:val="en-US"/>
        </w:rPr>
        <w:t xml:space="preserve">, </w:t>
      </w:r>
      <w:r w:rsidR="00E01471">
        <w:rPr>
          <w:rFonts w:ascii="Arial" w:hAnsi="Arial" w:cs="Arial"/>
          <w:noProof/>
          <w:sz w:val="20"/>
          <w:szCs w:val="20"/>
          <w:lang w:val="en-US"/>
        </w:rPr>
        <w:t>GINA</w:t>
      </w:r>
      <w:r w:rsidR="00D95D8A">
        <w:rPr>
          <w:rFonts w:ascii="Arial" w:hAnsi="Arial" w:cs="Arial"/>
          <w:noProof/>
          <w:sz w:val="20"/>
          <w:szCs w:val="20"/>
          <w:lang w:val="en-US"/>
        </w:rPr>
        <w:t xml:space="preserve"> guidelines </w:t>
      </w:r>
      <w:r w:rsidR="00D95D8A" w:rsidRPr="004D5ADF">
        <w:rPr>
          <w:rFonts w:ascii="Arial" w:hAnsi="Arial" w:cs="Arial"/>
          <w:noProof/>
          <w:sz w:val="20"/>
          <w:szCs w:val="20"/>
          <w:vertAlign w:val="superscript"/>
          <w:lang w:val="en-US"/>
        </w:rPr>
        <w:t>27</w:t>
      </w:r>
      <w:r w:rsidR="00D95D8A">
        <w:rPr>
          <w:rFonts w:ascii="Arial" w:hAnsi="Arial" w:cs="Arial"/>
          <w:noProof/>
          <w:sz w:val="20"/>
          <w:szCs w:val="20"/>
          <w:lang w:val="en-US"/>
        </w:rPr>
        <w:t xml:space="preserve">and </w:t>
      </w:r>
      <w:r w:rsidR="003E0DBA" w:rsidRPr="00214987">
        <w:rPr>
          <w:rFonts w:ascii="Arial" w:hAnsi="Arial" w:cs="Arial"/>
          <w:noProof/>
          <w:sz w:val="20"/>
          <w:szCs w:val="20"/>
          <w:lang w:val="en-US"/>
        </w:rPr>
        <w:t xml:space="preserve">post-hoc analyses of RCT data suggested that baseline </w:t>
      </w:r>
      <w:r w:rsidR="00A6226D" w:rsidRPr="00214987">
        <w:rPr>
          <w:rFonts w:ascii="Arial" w:hAnsi="Arial" w:cs="Arial"/>
          <w:noProof/>
          <w:sz w:val="20"/>
          <w:szCs w:val="20"/>
          <w:lang w:val="en-US"/>
        </w:rPr>
        <w:t>PBE</w:t>
      </w:r>
      <w:r w:rsidR="003E0DBA" w:rsidRPr="00214987">
        <w:rPr>
          <w:rFonts w:ascii="Arial" w:hAnsi="Arial" w:cs="Arial"/>
          <w:noProof/>
          <w:sz w:val="20"/>
          <w:szCs w:val="20"/>
          <w:lang w:val="en-US"/>
        </w:rPr>
        <w:t xml:space="preserve"> could be a useful predictor of response</w:t>
      </w:r>
      <w:r w:rsidR="00953E6B"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{"citationItems":[{"id":"ITEM-1","itemData":{"DOI":"10.1016/j.rmed.2019.105806","ISSN":"15323064","PMID":"31751853","abstract":"Background: Previous analyses examining the relationship between blood eosinophil count and mepolizumab treatment effects in severe eosinophilic asthma have used a range of doses and administration routes. Methods: This post hoc meta-analysis included data from the MENSA (MEA115588/NCT01691521) and MUSCA (200862/NCT02281318) trials. Patients (≥12 years) with severe eosinophilic asthma who experienced ≥2 exacerbations in the prior year received either mepolizumab 100 mg subcutaneously (SC) or 75 mg intravenously, or placebo plus standard of care every 4 weeks. This meta-analysis reports data from patients receiving the licensed dose of mepolizumab (100 mg SC) or placebo only. The primary endpoint was the annual rate of clinically significant exacerbations; secondary endpoints included rate of exacerbations requiring hospitalization/emergency room (ER) visit, proportion of patients with no clinically significant exacerbations, and changes from baseline in forced expiratory volume in 1 s, Asthma Control Questionnaire-5 and St George's Respiratory Questionnaire scores. Analyses were stratified by baseline blood eosinophil count (&lt;150, ≥150, ≥300, ≥400, ≥500, ≥750, ≥1000, ≥150–&lt;300, or ≥300–&lt;500 cells/μL). Results: Mepolizumab reduced annual clinically significant exacerbation rates by 45%–85%, exacerbations requiring hospitalization/ER visit by 60%–70%, and increased the odds of no clinically significant exacerbations across all eosinophil threshold subgroups versus placebo, and improved all other secondary endpoints in subgroups ≥150 cells/μL. Greater treatment effects with increasing blood eosinophil count were observed. Conclusions: Mepolizumab demonstrated consistent clinical benefits in patients with baseline blood eosinophil counts ≥150 cells/μL, confirming the suitability of this cut-off for identifying patients responsive to the licensed mepolizumab dose.","author":[{"dropping-particle":"","family":"Albers","given":"Frank C.","non-dropping-particle":"","parse-names":false,"suffix":""},{"dropping-particle":"","family":"Licskai","given":"Christopher","non-dropping-particle":"","parse-names":false,"suffix":""},{"dropping-particle":"","family":"Chanez","given":"Pascal","non-dropping-particle":"","parse-names":false,"suffix":""},{"dropping-particle":"","family":"Bratton","given":"Daniel J.","non-dropping-particle":"","parse-names":false,"suffix":""},{"dropping-particle":"","family":"Bradford","given":"Eric S.","non-dropping-particle":"","parse-names":false,"suffix":""},{"dropping-particle":"","family":"Yancey","given":"Steven W.","non-dropping-particle":"","parse-names":false,"suffix":""},{"dropping-particle":"","family":"Kwon","given":"Namhee","non-dropping-particle":"","parse-names":false,"suffix":""},{"dropping-particle":"","family":"Quirce","given":"Santiago","non-dropping-particle":"","parse-names":false,"suffix":""}],"container-title":"Respiratory Medicine","id":"ITEM-1","issued":{"date-parts":[["2019","11","1"]]},"publisher":"W.B. Saunders Ltd","title":"Baseline blood eosinophil count as a predictor of treatment response to the licensed dose of mepolizumab in severe eosinophilic asthma","type":"article-journal","volume":"159"},"uris":["http://www.mendeley.com/documents/?uuid=97cb1f17-d4d5-3234-9242-acd7c54f21c0"]}],"mendeley":{"formattedCitation":"&lt;sup&gt;31&lt;/sup&gt;","plainTextFormattedCitation":"31","previouslyFormattedCitation":"&lt;sup&gt;31&lt;/sup&gt;"},"properties":{"noteIndex":0},"schema":"https://github.com/citation-style-language/schema/raw/master/csl-citation.json"}</w:instrText>
      </w:r>
      <w:r w:rsidR="00953E6B"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31</w:t>
      </w:r>
      <w:r w:rsidR="00953E6B" w:rsidRPr="00214987">
        <w:rPr>
          <w:rFonts w:ascii="Arial" w:hAnsi="Arial" w:cs="Arial"/>
          <w:noProof/>
          <w:sz w:val="20"/>
          <w:szCs w:val="20"/>
          <w:lang w:val="en-US"/>
        </w:rPr>
        <w:fldChar w:fldCharType="end"/>
      </w:r>
      <w:r w:rsidR="00B77A2E" w:rsidRPr="00214987">
        <w:rPr>
          <w:rFonts w:ascii="Arial" w:hAnsi="Arial" w:cs="Arial"/>
          <w:noProof/>
          <w:sz w:val="20"/>
          <w:szCs w:val="20"/>
          <w:lang w:val="en-US"/>
        </w:rPr>
        <w:t>,</w:t>
      </w:r>
      <w:r w:rsidR="0092531D" w:rsidRPr="00214987">
        <w:rPr>
          <w:rFonts w:ascii="Arial" w:hAnsi="Arial" w:cs="Arial"/>
          <w:noProof/>
          <w:sz w:val="20"/>
          <w:szCs w:val="20"/>
          <w:lang w:val="en-US"/>
        </w:rPr>
        <w:t xml:space="preserve"> </w:t>
      </w:r>
      <w:r w:rsidR="00772B7E" w:rsidRPr="00214987">
        <w:rPr>
          <w:rFonts w:ascii="Arial" w:hAnsi="Arial" w:cs="Arial"/>
          <w:noProof/>
          <w:sz w:val="20"/>
          <w:szCs w:val="20"/>
          <w:lang w:val="en-US"/>
        </w:rPr>
        <w:t xml:space="preserve">but </w:t>
      </w:r>
      <w:r w:rsidR="00F074A9" w:rsidRPr="00214987">
        <w:rPr>
          <w:rFonts w:ascii="Arial" w:hAnsi="Arial" w:cs="Arial"/>
          <w:noProof/>
          <w:sz w:val="20"/>
          <w:szCs w:val="20"/>
          <w:lang w:val="en-US"/>
        </w:rPr>
        <w:t>this was not consistently</w:t>
      </w:r>
      <w:r w:rsidR="0092531D" w:rsidRPr="00214987">
        <w:rPr>
          <w:rFonts w:ascii="Arial" w:hAnsi="Arial" w:cs="Arial"/>
          <w:noProof/>
          <w:sz w:val="20"/>
          <w:szCs w:val="20"/>
          <w:lang w:val="en-US"/>
        </w:rPr>
        <w:t xml:space="preserve"> observed in </w:t>
      </w:r>
      <w:r w:rsidR="00B77A2E" w:rsidRPr="00214987">
        <w:rPr>
          <w:rFonts w:ascii="Arial" w:hAnsi="Arial" w:cs="Arial"/>
          <w:noProof/>
          <w:sz w:val="20"/>
          <w:szCs w:val="20"/>
          <w:lang w:val="en-US"/>
        </w:rPr>
        <w:t>real-world studies</w:t>
      </w:r>
      <w:r w:rsidR="006B1C38"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{"citationItems":[{"id":"ITEM-1","itemData":{"DOI":"10.1016/j.pupt.2019.101836","ISSN":"15229629","PMID":"31473366","abstract":"Background: Severe asthma is a disease with a heavy socio-economic burden and a relevant impact on the life of patients. Mepolizumab (MEP) was recently introduced in practice. The previous data were favourable as efficacy and safety are concerned. Nowadays, we can report the clinical data after more than one year of use of MEP in the real-life setting. Objective: To evaluate the efficacy and safety of MEP in a real life framework, mainly concerning asthma exacerbations, steroid dependence, effects on respiratory function and adverse events. Methods: This retrospective analysis was performed on 138 patients, treated with MEP for at least 12 months, and referred to eleven severe asthma clinics in Italy. All patients met the criteria for severe uncontrolled asthma according to ATS/ERS guidelines and prescribing MEP conditions according to the Italian Drug Agency (AIFA). Results: We could observe 138 patients (78 female, age 58 ± 10 years). The average age of onset of asthma was 34 ± 16 years. The blood eosinophil count decreased from 822 ± 491/μL at baseline to 117 ± 96/μL (p &lt; .0001) after 12 months of therapy. Exacerbations decreased from 3.8/year to 0.7/year (−81%; p &lt; .0001). Steroid-dependent patients before MEP (80%) with a daily dose of 10.1 ± 9.4 mg prednisone decrease at 28% after 12 months with a mean of 2.0 ± 4.2 mg/day (p &lt; .0001). The occurrence of adverse events was overall low. Conclusions &amp; clinical relevance: In this real-life setting, MEP confirmed its efficacy and safety profile, already shown in clinical trials. This was apparent concerning exacerbation rate, systemic steroids intake and safety.","author":[{"dropping-particle":"","family":"Bagnasco","given":"Diego","non-dropping-particle":"","parse-names":false,"suffix":""},{"dropping-particle":"","family":"Caminati","given":"Marco","non-dropping-particle":"","parse-names":false,"suffix":""},{"dropping-particle":"","family":"Menzella","given":"Francesco","non-dropping-particle":"","parse-names":false,"suffix":""},{"dropping-particle":"","family":"Milanese","given":"Manlio","non-dropping-particle":"","parse-names":false,"suffix":""},{"dropping-particle":"","family":"Rolla","given":"Giovanni","non-dropping-particle":"","parse-names":false,"suffix":""},{"dropping-particle":"","family":"Lombardi","given":"Carlo","non-dropping-particle":"","parse-names":false,"suffix":""},{"dropping-particle":"","family":"Bucca","given":"Caterina","non-dropping-particle":"","parse-names":false,"suffix":""},{"dropping-particle":"","family":"Heffler","given":"Enrico","non-dropping-particle":"","parse-names":false,"suffix":""},{"dropping-particle":"","family":"Paoletti","given":"Giovanni","non-dropping-particle":"","parse-names":false,"suffix":""},{"dropping-particle":"","family":"Testino","given":"Elisa","non-dropping-particle":"","parse-names":false,"suffix":""},{"dropping-particle":"","family":"Manfredi","given":"Andrea","non-dropping-particle":"","parse-names":false,"suffix":""},{"dropping-particle":"","family":"Caruso","given":"Cristiano","non-dropping-particle":"","parse-names":false,"suffix":""},{"dropping-particle":"","family":"Guida","given":"Giuseppe","non-dropping-particle":"","parse-names":false,"suffix":""},{"dropping-particle":"","family":"Senna","given":"Gianenrico","non-dropping-particle":"","parse-names":false,"suffix":""},{"dropping-particle":"","family":"Bonavia","given":"Marco","non-dropping-particle":"","parse-names":false,"suffix":""},{"dropping-particle":"","family":"Riccio","given":"Anna Maria","non-dropping-particle":"","parse-names":false,"suffix":""},{"dropping-particle":"","family":"Canonica","given":"Giorgio Walter","non-dropping-particle":"","parse-names":false,"suffix":""},{"dropping-particle":"","family":"Passalacqua","given":"Giovanni","non-dropping-particle":"","parse-names":false,"suffix":""}],"container-title":"Pulmonary Pharmacology and Therapeutics","id":"ITEM-1","issue":"May","issued":{"date-parts":[["2019"]]},"title":"One year of mepolizumab. Efficacy and safety in real-life in Italy","type":"article-journal","volume":"58"},"uris":["http://www.mendeley.com/documents/?uuid=075236f4-e9f5-464c-a306-f9b6263d3da4"]},{"id":"ITEM-2","itemData":{"DOI":"10.1016/j.chest.2020.03.042","ISSN":"19313543","PMID":"32275980","abstract":"Background: Mepolizumab was the first licensed anti-IL5 monoclonal antibody for severe eosinophilic asthma (SEA). To date there are few data to confirm its efficacy in the real-world setting or assessment of baseline characteristics associated with response. Research Question: How do patients with severe eosinophilic asthma respond to mepolizumab in the real world setting and which characteristics are associated with a super-response to this therapy? Study Design and Methods: We conducted a retrospective review of all patients who received at least 16 weeks of treatment with mepolizumab (100 mg subcutaneously) for SEA at our regional asthma center in the United Kingdom. Clinical data were collected at each 4-week visit. At 16, 24, and 52 weeks, patients were classified as “responders” or “nonresponders.” A response was defined as ≥50% reduction in exacerbations; for patients whose condition requires maintenance oral corticosteroids (mOCS), a response was defined as ≥50% reduction in prednisolone dose. Super responders were defined as exacerbation-free and off mOCS at one year. Results: Ninety-nine patients were included in the analysis. Asthma exacerbations decreased from a baseline of 4.04 ± 2.57 to 1.86 ± 2.17 per year at one year (54% reduction; P &lt;.001). Sixty-eight patients were receiving mOCS at the time of commencing mepolizumab. By one year, the daily median dose fell from 10 mg (interquartile range, 10 to 15) to 0 mg (interquartile range, 0 to 10; P &lt;.001). Fifty-seven percent of them were able to discontinue mOCS; 72.7% (95% CI, 63.0 to 80.7) of the patients were classified as responders, and 28.3% (95% CI, 20.2 to 38.0) of the patients were classified as super responders. Baseline characteristics associated with responder and super responder status included the presence of nasal polyposis (P =.012), lower baseline Asthma Control Questionnaire 6 (P =.006), a lower BMI (P =.014), and, in those patients receiving mOCS, a significantly lower prednisolone dose at baseline (P =.005). At 16 weeks, the one-year responder status was correctly identified in 80.8% patients; by 24 weeks, this status rose to 92.9%. Interpretation: In a real-world SEA cohort, treatment with mepolizumab reduced exacerbation frequency and mOCS requirements. Nasal polyposis, a lower BMI, and a lower maintenance prednisolone requirement at baseline were associated with better outcomes. Twelve-month response was identifiable in &gt;90% of patients by week 24.","author":[{"dropping-particle":"","family":"Kavanagh","given":"Joanne E.","non-dropping-particle":"","parse-names":false,"suffix":""},{"dropping-particle":"","family":"d'Ancona","given":"Grainne","non-dropping-particle":"","parse-names":false,"suffix":""},{"dropping-particle":"","family":"Elstad","given":"Maria","non-dropping-particle":"","parse-names":false,"suffix":""},{"dropping-particle":"","family":"Green","given":"Linda","non-dropping-particle":"","parse-names":false,"suffix":""},{"dropping-particle":"","family":"Fernandes","given":"Mariana","non-dropping-particle":"","parse-names":false,"suffix":""},{"dropping-particle":"","family":"Thomson","given":"Louise","non-dropping-particle":"","parse-names":false,"suffix":""},{"dropping-particle":"","family":"Roxas","given":"Cris","non-dropping-particle":"","parse-names":false,"suffix":""},{"dropping-particle":"","family":"Dhariwal","given":"Jaideep","non-dropping-particle":"","parse-names":false,"suffix":""},{"dropping-particle":"","family":"Nanzer","given":"Alexandra M.","non-dropping-particle":"","parse-names":false,"suffix":""},{"dropping-particle":"","family":"Kent","given":"Brian D.","non-dropping-particle":"","parse-names":false,"suffix":""},{"dropping-particle":"","family":"Jackson","given":"David J.","non-dropping-particle":"","parse-names":false,"suffix":""}],"container-title":"Chest","id":"ITEM-2","issue":"2","issued":{"date-parts":[["2020"]]},"page":"491-500","publisher":"Elsevier Inc","title":"Real-World Effectiveness and the Characteristics of a “Super-Responder” to Mepolizumab in Severe Eosinophilic Asthma","type":"article-journal","volume":"158"},"uris":["http://www.mendeley.com/documents/?uuid=6820becc-815d-46c4-ac1d-d827891b6186"]}],"mendeley":{"formattedCitation":"&lt;sup&gt;24,26&lt;/sup&gt;","plainTextFormattedCitation":"24,26","previouslyFormattedCitation":"&lt;sup&gt;24,26&lt;/sup&gt;"},"properties":{"noteIndex":0},"schema":"https://github.com/citation-style-language/schema/raw/master/csl-citation.json"}</w:instrText>
      </w:r>
      <w:r w:rsidR="006B1C38"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24,26</w:t>
      </w:r>
      <w:r w:rsidR="006B1C38" w:rsidRPr="00214987">
        <w:rPr>
          <w:rFonts w:ascii="Arial" w:hAnsi="Arial" w:cs="Arial"/>
          <w:noProof/>
          <w:sz w:val="20"/>
          <w:szCs w:val="20"/>
          <w:lang w:val="en-US"/>
        </w:rPr>
        <w:fldChar w:fldCharType="end"/>
      </w:r>
      <w:r w:rsidR="00F074A9" w:rsidRPr="00214987">
        <w:rPr>
          <w:rFonts w:ascii="Arial" w:hAnsi="Arial" w:cs="Arial"/>
          <w:noProof/>
          <w:sz w:val="20"/>
          <w:szCs w:val="20"/>
          <w:lang w:val="en-US"/>
        </w:rPr>
        <w:t>, including ours</w:t>
      </w:r>
      <w:r w:rsidR="00B77A2E" w:rsidRPr="00214987">
        <w:rPr>
          <w:rFonts w:ascii="Arial" w:hAnsi="Arial" w:cs="Arial"/>
          <w:noProof/>
          <w:sz w:val="20"/>
          <w:szCs w:val="20"/>
          <w:lang w:val="en-US"/>
        </w:rPr>
        <w:t xml:space="preserve">. </w:t>
      </w:r>
      <w:r w:rsidR="00230359">
        <w:rPr>
          <w:rFonts w:ascii="Arial" w:hAnsi="Arial" w:cs="Arial"/>
          <w:noProof/>
          <w:sz w:val="20"/>
          <w:szCs w:val="20"/>
          <w:lang w:val="en-US"/>
        </w:rPr>
        <w:t>Additionally, t</w:t>
      </w:r>
      <w:r w:rsidR="00551DD4">
        <w:rPr>
          <w:rFonts w:ascii="Arial" w:hAnsi="Arial" w:cs="Arial"/>
          <w:noProof/>
          <w:sz w:val="20"/>
          <w:szCs w:val="20"/>
          <w:lang w:val="en-US"/>
        </w:rPr>
        <w:t xml:space="preserve">he </w:t>
      </w:r>
      <w:r w:rsidR="00E01471">
        <w:rPr>
          <w:rFonts w:ascii="Arial" w:hAnsi="Arial" w:cs="Arial"/>
          <w:noProof/>
          <w:sz w:val="20"/>
          <w:szCs w:val="20"/>
          <w:lang w:val="en-US"/>
        </w:rPr>
        <w:t>GINA</w:t>
      </w:r>
      <w:r w:rsidR="00230359">
        <w:rPr>
          <w:rFonts w:ascii="Arial" w:hAnsi="Arial" w:cs="Arial"/>
          <w:noProof/>
          <w:sz w:val="20"/>
          <w:szCs w:val="20"/>
          <w:lang w:val="en-US"/>
        </w:rPr>
        <w:t xml:space="preserve"> guidelines have also suggested </w:t>
      </w:r>
      <w:r w:rsidR="003A6F17">
        <w:rPr>
          <w:rFonts w:ascii="Arial" w:hAnsi="Arial" w:cs="Arial"/>
          <w:noProof/>
          <w:sz w:val="20"/>
          <w:szCs w:val="20"/>
          <w:lang w:val="en-US"/>
        </w:rPr>
        <w:t>childhood-onset</w:t>
      </w:r>
      <w:r w:rsidR="00FA1C3D">
        <w:rPr>
          <w:rFonts w:ascii="Arial" w:hAnsi="Arial" w:cs="Arial"/>
          <w:noProof/>
          <w:sz w:val="20"/>
          <w:szCs w:val="20"/>
          <w:lang w:val="en-US"/>
        </w:rPr>
        <w:t>, atopic</w:t>
      </w:r>
      <w:r w:rsidR="003A3ECC">
        <w:rPr>
          <w:rFonts w:ascii="Arial" w:hAnsi="Arial" w:cs="Arial"/>
          <w:noProof/>
          <w:sz w:val="20"/>
          <w:szCs w:val="20"/>
          <w:lang w:val="en-US"/>
        </w:rPr>
        <w:t xml:space="preserve"> asthma </w:t>
      </w:r>
      <w:r w:rsidR="0045111B">
        <w:rPr>
          <w:rFonts w:ascii="Arial" w:hAnsi="Arial" w:cs="Arial"/>
          <w:noProof/>
          <w:sz w:val="20"/>
          <w:szCs w:val="20"/>
          <w:lang w:val="en-US"/>
        </w:rPr>
        <w:t>as a predictor of good response to Omalizumab</w:t>
      </w:r>
      <w:r w:rsidR="00FA1C3D">
        <w:rPr>
          <w:rFonts w:ascii="Arial" w:hAnsi="Arial" w:cs="Arial"/>
          <w:noProof/>
          <w:sz w:val="20"/>
          <w:szCs w:val="20"/>
          <w:lang w:val="en-US"/>
        </w:rPr>
        <w:t xml:space="preserve">. </w:t>
      </w:r>
      <w:r w:rsidR="00132BCE">
        <w:rPr>
          <w:rFonts w:ascii="Arial" w:hAnsi="Arial" w:cs="Arial"/>
          <w:noProof/>
          <w:sz w:val="20"/>
          <w:szCs w:val="20"/>
          <w:lang w:val="en-US"/>
        </w:rPr>
        <w:t>Furthermore, the aforementioned guideline also suggested that features such as Nasal polyposis, adult-onset asthma</w:t>
      </w:r>
      <w:r w:rsidR="00B04819">
        <w:rPr>
          <w:rFonts w:ascii="Arial" w:hAnsi="Arial" w:cs="Arial"/>
          <w:noProof/>
          <w:sz w:val="20"/>
          <w:szCs w:val="20"/>
          <w:lang w:val="en-US"/>
        </w:rPr>
        <w:t xml:space="preserve">, higher number of severe exacerbations and maintainence OCS at baseline to be </w:t>
      </w:r>
      <w:r w:rsidR="008E28BA">
        <w:rPr>
          <w:rFonts w:ascii="Arial" w:hAnsi="Arial" w:cs="Arial"/>
          <w:noProof/>
          <w:sz w:val="20"/>
          <w:szCs w:val="20"/>
          <w:lang w:val="en-US"/>
        </w:rPr>
        <w:t xml:space="preserve">potential predictors of good response for Mepolizumab. While all those </w:t>
      </w:r>
      <w:r w:rsidR="00610C40">
        <w:rPr>
          <w:rFonts w:ascii="Arial" w:hAnsi="Arial" w:cs="Arial"/>
          <w:noProof/>
          <w:sz w:val="20"/>
          <w:szCs w:val="20"/>
          <w:lang w:val="en-US"/>
        </w:rPr>
        <w:t xml:space="preserve">phenotypic </w:t>
      </w:r>
      <w:r w:rsidR="008E28BA">
        <w:rPr>
          <w:rFonts w:ascii="Arial" w:hAnsi="Arial" w:cs="Arial"/>
          <w:noProof/>
          <w:sz w:val="20"/>
          <w:szCs w:val="20"/>
          <w:lang w:val="en-US"/>
        </w:rPr>
        <w:t xml:space="preserve">features were </w:t>
      </w:r>
      <w:r w:rsidR="003317B4">
        <w:rPr>
          <w:rFonts w:ascii="Arial" w:hAnsi="Arial" w:cs="Arial"/>
          <w:noProof/>
          <w:sz w:val="20"/>
          <w:szCs w:val="20"/>
          <w:lang w:val="en-US"/>
        </w:rPr>
        <w:t>indeed</w:t>
      </w:r>
      <w:r w:rsidR="00DD6FF3">
        <w:rPr>
          <w:rFonts w:ascii="Arial" w:hAnsi="Arial" w:cs="Arial"/>
          <w:noProof/>
          <w:sz w:val="20"/>
          <w:szCs w:val="20"/>
          <w:lang w:val="en-US"/>
        </w:rPr>
        <w:t xml:space="preserve"> observed in our Omalizumab and Mepolizumab treated patients, our data did not find them to be associated with</w:t>
      </w:r>
      <w:r w:rsidR="0028695B">
        <w:rPr>
          <w:rFonts w:ascii="Arial" w:hAnsi="Arial" w:cs="Arial"/>
          <w:noProof/>
          <w:sz w:val="20"/>
          <w:szCs w:val="20"/>
          <w:lang w:val="en-US"/>
        </w:rPr>
        <w:t xml:space="preserve"> actual</w:t>
      </w:r>
      <w:r w:rsidR="00DD6FF3">
        <w:rPr>
          <w:rFonts w:ascii="Arial" w:hAnsi="Arial" w:cs="Arial"/>
          <w:noProof/>
          <w:sz w:val="20"/>
          <w:szCs w:val="20"/>
          <w:lang w:val="en-US"/>
        </w:rPr>
        <w:t xml:space="preserve"> biologic response.</w:t>
      </w:r>
      <w:r w:rsidR="00132BCE">
        <w:rPr>
          <w:rFonts w:ascii="Arial" w:hAnsi="Arial" w:cs="Arial"/>
          <w:noProof/>
          <w:sz w:val="20"/>
          <w:szCs w:val="20"/>
          <w:lang w:val="en-US"/>
        </w:rPr>
        <w:t xml:space="preserve"> </w:t>
      </w:r>
      <w:r w:rsidR="007E1913" w:rsidRPr="00214987">
        <w:rPr>
          <w:rFonts w:ascii="Arial" w:hAnsi="Arial" w:cs="Arial"/>
          <w:noProof/>
          <w:sz w:val="20"/>
          <w:szCs w:val="20"/>
          <w:lang w:val="en-US"/>
        </w:rPr>
        <w:t>Instead, o</w:t>
      </w:r>
      <w:r w:rsidR="002A422D" w:rsidRPr="00214987">
        <w:rPr>
          <w:rFonts w:ascii="Arial" w:hAnsi="Arial" w:cs="Arial"/>
          <w:noProof/>
          <w:sz w:val="20"/>
          <w:szCs w:val="20"/>
          <w:lang w:val="en-US"/>
        </w:rPr>
        <w:t xml:space="preserve">ur data suggest that patients with the most severe and poorly controlled baseline disease were </w:t>
      </w:r>
      <w:r w:rsidR="00840D95" w:rsidRPr="00214987">
        <w:rPr>
          <w:rFonts w:ascii="Arial" w:hAnsi="Arial" w:cs="Arial"/>
          <w:noProof/>
          <w:sz w:val="20"/>
          <w:szCs w:val="20"/>
          <w:lang w:val="en-US"/>
        </w:rPr>
        <w:t>poorest</w:t>
      </w:r>
      <w:r w:rsidR="002A422D" w:rsidRPr="00214987">
        <w:rPr>
          <w:rFonts w:ascii="Arial" w:hAnsi="Arial" w:cs="Arial"/>
          <w:noProof/>
          <w:sz w:val="20"/>
          <w:szCs w:val="20"/>
          <w:lang w:val="en-US"/>
        </w:rPr>
        <w:t xml:space="preserve"> respond</w:t>
      </w:r>
      <w:r w:rsidR="00840D95" w:rsidRPr="00214987">
        <w:rPr>
          <w:rFonts w:ascii="Arial" w:hAnsi="Arial" w:cs="Arial"/>
          <w:noProof/>
          <w:sz w:val="20"/>
          <w:szCs w:val="20"/>
          <w:lang w:val="en-US"/>
        </w:rPr>
        <w:t>ers</w:t>
      </w:r>
      <w:r w:rsidR="007E1913" w:rsidRPr="00214987">
        <w:rPr>
          <w:rFonts w:ascii="Arial" w:hAnsi="Arial" w:cs="Arial"/>
          <w:noProof/>
          <w:sz w:val="20"/>
          <w:szCs w:val="20"/>
          <w:lang w:val="en-US"/>
        </w:rPr>
        <w:t xml:space="preserve">. </w:t>
      </w:r>
      <w:r w:rsidR="00031C91" w:rsidRPr="00214987">
        <w:rPr>
          <w:rFonts w:ascii="Arial" w:hAnsi="Arial" w:cs="Arial"/>
          <w:noProof/>
          <w:sz w:val="20"/>
          <w:szCs w:val="20"/>
          <w:lang w:val="en-US"/>
        </w:rPr>
        <w:t>Thus</w:t>
      </w:r>
      <w:r w:rsidR="00944E5F" w:rsidRPr="00214987">
        <w:rPr>
          <w:rFonts w:ascii="Arial" w:hAnsi="Arial" w:cs="Arial"/>
          <w:noProof/>
          <w:sz w:val="20"/>
          <w:szCs w:val="20"/>
          <w:lang w:val="en-US"/>
        </w:rPr>
        <w:t>,</w:t>
      </w:r>
      <w:r w:rsidR="00487AC7" w:rsidRPr="00214987">
        <w:rPr>
          <w:rFonts w:ascii="Arial" w:hAnsi="Arial" w:cs="Arial"/>
          <w:noProof/>
          <w:sz w:val="20"/>
          <w:szCs w:val="20"/>
          <w:lang w:val="en-US"/>
        </w:rPr>
        <w:t xml:space="preserve"> for</w:t>
      </w:r>
      <w:r w:rsidR="00E24F42"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261BB1" w:rsidRPr="00214987">
        <w:rPr>
          <w:rFonts w:ascii="Arial" w:hAnsi="Arial" w:cs="Arial"/>
          <w:noProof/>
          <w:sz w:val="20"/>
          <w:szCs w:val="20"/>
          <w:lang w:val="en-US"/>
        </w:rPr>
        <w:t>,</w:t>
      </w:r>
      <w:r w:rsidR="002A422D" w:rsidRPr="00214987">
        <w:rPr>
          <w:rFonts w:ascii="Arial" w:hAnsi="Arial" w:cs="Arial"/>
          <w:noProof/>
          <w:sz w:val="20"/>
          <w:szCs w:val="20"/>
          <w:lang w:val="en-US"/>
        </w:rPr>
        <w:t xml:space="preserve"> </w:t>
      </w:r>
      <w:r w:rsidR="00D85B3C" w:rsidRPr="00214987">
        <w:rPr>
          <w:rFonts w:ascii="Arial" w:hAnsi="Arial" w:cs="Arial"/>
          <w:noProof/>
          <w:sz w:val="20"/>
          <w:szCs w:val="20"/>
          <w:lang w:val="en-US"/>
        </w:rPr>
        <w:t>better baseline asthma control</w:t>
      </w:r>
      <w:r w:rsidR="00CC278F" w:rsidRPr="00214987">
        <w:rPr>
          <w:rFonts w:ascii="Arial" w:hAnsi="Arial" w:cs="Arial"/>
          <w:noProof/>
          <w:sz w:val="20"/>
          <w:szCs w:val="20"/>
          <w:lang w:val="en-US"/>
        </w:rPr>
        <w:t xml:space="preserve"> was</w:t>
      </w:r>
      <w:r w:rsidR="00D85B3C" w:rsidRPr="00214987">
        <w:rPr>
          <w:rFonts w:ascii="Arial" w:hAnsi="Arial" w:cs="Arial"/>
          <w:noProof/>
          <w:sz w:val="20"/>
          <w:szCs w:val="20"/>
          <w:lang w:val="en-US"/>
        </w:rPr>
        <w:t xml:space="preserve"> </w:t>
      </w:r>
      <w:r w:rsidR="002C297E" w:rsidRPr="00214987">
        <w:rPr>
          <w:rFonts w:ascii="Arial" w:hAnsi="Arial" w:cs="Arial"/>
          <w:noProof/>
          <w:sz w:val="20"/>
          <w:szCs w:val="20"/>
          <w:lang w:val="en-US"/>
        </w:rPr>
        <w:t>i</w:t>
      </w:r>
      <w:r w:rsidR="00D166E0" w:rsidRPr="00214987">
        <w:rPr>
          <w:rFonts w:ascii="Arial" w:hAnsi="Arial" w:cs="Arial"/>
          <w:noProof/>
          <w:sz w:val="20"/>
          <w:szCs w:val="20"/>
          <w:lang w:val="en-US"/>
        </w:rPr>
        <w:t xml:space="preserve">ndependently </w:t>
      </w:r>
      <w:r w:rsidR="00CC278F" w:rsidRPr="00214987">
        <w:rPr>
          <w:rFonts w:ascii="Arial" w:hAnsi="Arial" w:cs="Arial"/>
          <w:noProof/>
          <w:sz w:val="20"/>
          <w:szCs w:val="20"/>
          <w:lang w:val="en-US"/>
        </w:rPr>
        <w:t>associated with</w:t>
      </w:r>
      <w:r w:rsidR="007E1913" w:rsidRPr="00214987">
        <w:rPr>
          <w:rFonts w:ascii="Arial" w:hAnsi="Arial" w:cs="Arial"/>
          <w:noProof/>
          <w:sz w:val="20"/>
          <w:szCs w:val="20"/>
          <w:lang w:val="en-US"/>
        </w:rPr>
        <w:t xml:space="preserve"> </w:t>
      </w:r>
      <w:r w:rsidR="002C297E" w:rsidRPr="00214987">
        <w:rPr>
          <w:rFonts w:ascii="Arial" w:hAnsi="Arial" w:cs="Arial"/>
          <w:noProof/>
          <w:sz w:val="20"/>
          <w:szCs w:val="20"/>
          <w:lang w:val="en-US"/>
        </w:rPr>
        <w:t xml:space="preserve">response and </w:t>
      </w:r>
      <w:r w:rsidR="007E1913" w:rsidRPr="00214987">
        <w:rPr>
          <w:rFonts w:ascii="Arial" w:hAnsi="Arial" w:cs="Arial"/>
          <w:noProof/>
          <w:sz w:val="20"/>
          <w:szCs w:val="20"/>
          <w:lang w:val="en-US"/>
        </w:rPr>
        <w:t>super-response. This mirrored the findings of Kavanagh et al</w:t>
      </w:r>
      <w:r w:rsidR="007E1913"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{"citationItems":[{"id":"ITEM-1","itemData":{"DOI":"10.1016/j.chest.2020.03.042","ISSN":"19313543","PMID":"32275980","abstract":"Background: Mepolizumab was the first licensed anti-IL5 monoclonal antibody for severe eosinophilic asthma (SEA). To date there are few data to confirm its efficacy in the real-world setting or assessment of baseline characteristics associated with response. Research Question: How do patients with severe eosinophilic asthma respond to mepolizumab in the real world setting and which characteristics are associated with a super-response to this therapy? Study Design and Methods: We conducted a retrospective review of all patients who received at least 16 weeks of treatment with mepolizumab (100 mg subcutaneously) for SEA at our regional asthma center in the United Kingdom. Clinical data were collected at each 4-week visit. At 16, 24, and 52 weeks, patients were classified as “responders” or “nonresponders.” A response was defined as ≥50% reduction in exacerbations; for patients whose condition requires maintenance oral corticosteroids (mOCS), a response was defined as ≥50% reduction in prednisolone dose. Super responders were defined as exacerbation-free and off mOCS at one year. Results: Ninety-nine patients were included in the analysis. Asthma exacerbations decreased from a baseline of 4.04 ± 2.57 to 1.86 ± 2.17 per year at one year (54% reduction; P &lt;.001). Sixty-eight patients were receiving mOCS at the time of commencing mepolizumab. By one year, the daily median dose fell from 10 mg (interquartile range, 10 to 15) to 0 mg (interquartile range, 0 to 10; P &lt;.001). Fifty-seven percent of them were able to discontinue mOCS; 72.7% (95% CI, 63.0 to 80.7) of the patients were classified as responders, and 28.3% (95% CI, 20.2 to 38.0) of the patients were classified as super responders. Baseline characteristics associated with responder and super responder status included the presence of nasal polyposis (P =.012), lower baseline Asthma Control Questionnaire 6 (P =.006), a lower BMI (P =.014), and, in those patients receiving mOCS, a significantly lower prednisolone dose at baseline (P =.005). At 16 weeks, the one-year responder status was correctly identified in 80.8% patients; by 24 weeks, this status rose to 92.9%. Interpretation: In a real-world SEA cohort, treatment with mepolizumab reduced exacerbation frequency and mOCS requirements. Nasal polyposis, a lower BMI, and a lower maintenance prednisolone requirement at baseline were associated with better outcomes. Twelve-month response was identifiable in &gt;90% of patients by week 24.","author":[{"dropping-particle":"","family":"Kavanagh","given":"Joanne E.","non-dropping-particle":"","parse-names":false,"suffix":""},{"dropping-particle":"","family":"d'Ancona","given":"Grainne","non-dropping-particle":"","parse-names":false,"suffix":""},{"dropping-particle":"","family":"Elstad","given":"Maria","non-dropping-particle":"","parse-names":false,"suffix":""},{"dropping-particle":"","family":"Green","given":"Linda","non-dropping-particle":"","parse-names":false,"suffix":""},{"dropping-particle":"","family":"Fernandes","given":"Mariana","non-dropping-particle":"","parse-names":false,"suffix":""},{"dropping-particle":"","family":"Thomson","given":"Louise","non-dropping-particle":"","parse-names":false,"suffix":""},{"dropping-particle":"","family":"Roxas","given":"Cris","non-dropping-particle":"","parse-names":false,"suffix":""},{"dropping-particle":"","family":"Dhariwal","given":"Jaideep","non-dropping-particle":"","parse-names":false,"suffix":""},{"dropping-particle":"","family":"Nanzer","given":"Alexandra M.","non-dropping-particle":"","parse-names":false,"suffix":""},{"dropping-particle":"","family":"Kent","given":"Brian D.","non-dropping-particle":"","parse-names":false,"suffix":""},{"dropping-particle":"","family":"Jackson","given":"David J.","non-dropping-particle":"","parse-names":false,"suffix":""}],"container-title":"Chest","id":"ITEM-1","issue":"2","issued":{"date-parts":[["2020"]]},"page":"491-500","publisher":"Elsevier Inc","title":"Real-World Effectiveness and the Characteristics of a “Super-Responder” to Mepolizumab in Severe Eosinophilic Asthma","type":"article-journal","volume":"158"},"uris":["http://www.mendeley.com/documents/?uuid=6820becc-815d-46c4-ac1d-d827891b6186"]}],"mendeley":{"formattedCitation":"&lt;sup&gt;26&lt;/sup&gt;","plainTextFormattedCitation":"26","previouslyFormattedCitation":"&lt;sup&gt;26&lt;/sup&gt;"},"properties":{"noteIndex":0},"schema":"https://github.com/citation-style-language/schema/raw/master/csl-citation.json"}</w:instrText>
      </w:r>
      <w:r w:rsidR="007E1913"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26</w:t>
      </w:r>
      <w:r w:rsidR="007E1913" w:rsidRPr="00214987">
        <w:rPr>
          <w:rFonts w:ascii="Arial" w:hAnsi="Arial" w:cs="Arial"/>
          <w:noProof/>
          <w:sz w:val="20"/>
          <w:szCs w:val="20"/>
          <w:lang w:val="en-US"/>
        </w:rPr>
        <w:fldChar w:fldCharType="end"/>
      </w:r>
      <w:r w:rsidR="007E1913" w:rsidRPr="00214987">
        <w:rPr>
          <w:rFonts w:ascii="Arial" w:hAnsi="Arial" w:cs="Arial"/>
          <w:noProof/>
          <w:sz w:val="20"/>
          <w:szCs w:val="20"/>
          <w:lang w:val="en-US"/>
        </w:rPr>
        <w:t>, where</w:t>
      </w:r>
      <w:r w:rsidR="002D146C" w:rsidRPr="00214987">
        <w:rPr>
          <w:rFonts w:ascii="Arial" w:hAnsi="Arial" w:cs="Arial"/>
          <w:noProof/>
          <w:sz w:val="20"/>
          <w:szCs w:val="20"/>
          <w:lang w:val="en-US"/>
        </w:rPr>
        <w:t xml:space="preserve"> in their cohort,</w:t>
      </w:r>
      <w:r w:rsidR="00D83452" w:rsidRPr="00214987">
        <w:rPr>
          <w:rFonts w:ascii="Arial" w:hAnsi="Arial" w:cs="Arial"/>
          <w:noProof/>
          <w:sz w:val="20"/>
          <w:szCs w:val="20"/>
          <w:lang w:val="en-US"/>
        </w:rPr>
        <w:t xml:space="preserve"> </w:t>
      </w:r>
      <w:r w:rsidR="007E1913" w:rsidRPr="00214987">
        <w:rPr>
          <w:rFonts w:ascii="Arial" w:hAnsi="Arial" w:cs="Arial"/>
          <w:noProof/>
          <w:sz w:val="20"/>
          <w:szCs w:val="20"/>
          <w:lang w:val="en-US"/>
        </w:rPr>
        <w:t xml:space="preserve">poor disease control at baseline was independently associated with </w:t>
      </w:r>
      <w:r w:rsidR="008C6CE9">
        <w:rPr>
          <w:rFonts w:ascii="Arial" w:hAnsi="Arial" w:cs="Arial"/>
          <w:noProof/>
          <w:sz w:val="20"/>
          <w:szCs w:val="20"/>
          <w:lang w:val="en-US"/>
        </w:rPr>
        <w:t>Mepolizumab</w:t>
      </w:r>
      <w:r w:rsidR="007E1913" w:rsidRPr="00214987">
        <w:rPr>
          <w:rFonts w:ascii="Arial" w:hAnsi="Arial" w:cs="Arial"/>
          <w:noProof/>
          <w:sz w:val="20"/>
          <w:szCs w:val="20"/>
          <w:lang w:val="en-US"/>
        </w:rPr>
        <w:t xml:space="preserve"> non-response. </w:t>
      </w:r>
      <w:r w:rsidR="00DC5559" w:rsidRPr="00214987">
        <w:rPr>
          <w:rFonts w:ascii="Arial" w:hAnsi="Arial" w:cs="Arial"/>
          <w:noProof/>
          <w:sz w:val="20"/>
          <w:szCs w:val="20"/>
          <w:lang w:val="en-US"/>
        </w:rPr>
        <w:t xml:space="preserve"> </w:t>
      </w:r>
      <w:r w:rsidR="007E1913" w:rsidRPr="00214987">
        <w:rPr>
          <w:rFonts w:ascii="Arial" w:hAnsi="Arial" w:cs="Arial"/>
          <w:noProof/>
          <w:sz w:val="20"/>
          <w:szCs w:val="20"/>
          <w:lang w:val="en-US"/>
        </w:rPr>
        <w:t>Similarly, i</w:t>
      </w:r>
      <w:r w:rsidR="00FB5F32" w:rsidRPr="00214987">
        <w:rPr>
          <w:rFonts w:ascii="Arial" w:hAnsi="Arial" w:cs="Arial"/>
          <w:noProof/>
          <w:sz w:val="20"/>
          <w:szCs w:val="20"/>
          <w:lang w:val="en-US"/>
        </w:rPr>
        <w:t>n</w:t>
      </w:r>
      <w:r w:rsidR="00A138A4" w:rsidRPr="00214987">
        <w:rPr>
          <w:rFonts w:ascii="Arial" w:hAnsi="Arial" w:cs="Arial"/>
          <w:noProof/>
          <w:sz w:val="20"/>
          <w:szCs w:val="20"/>
          <w:lang w:val="en-US"/>
        </w:rPr>
        <w:t xml:space="preserve"> </w:t>
      </w:r>
      <w:r w:rsidR="008C6CE9">
        <w:rPr>
          <w:rFonts w:ascii="Arial" w:hAnsi="Arial" w:cs="Arial"/>
          <w:noProof/>
          <w:sz w:val="20"/>
          <w:szCs w:val="20"/>
          <w:lang w:val="en-US"/>
        </w:rPr>
        <w:t>Omalizumab</w:t>
      </w:r>
      <w:r w:rsidR="0085561D" w:rsidRPr="00214987">
        <w:rPr>
          <w:rFonts w:ascii="Arial" w:hAnsi="Arial" w:cs="Arial"/>
          <w:noProof/>
          <w:sz w:val="20"/>
          <w:szCs w:val="20"/>
          <w:lang w:val="en-US"/>
        </w:rPr>
        <w:t xml:space="preserve">, </w:t>
      </w:r>
      <w:r w:rsidR="00971141" w:rsidRPr="00214987">
        <w:rPr>
          <w:rFonts w:ascii="Arial" w:hAnsi="Arial" w:cs="Arial"/>
          <w:noProof/>
          <w:sz w:val="20"/>
          <w:szCs w:val="20"/>
          <w:lang w:val="en-US"/>
        </w:rPr>
        <w:t xml:space="preserve">more </w:t>
      </w:r>
      <w:r w:rsidR="005C383D" w:rsidRPr="00214987">
        <w:rPr>
          <w:rFonts w:ascii="Arial" w:hAnsi="Arial" w:cs="Arial"/>
          <w:noProof/>
          <w:sz w:val="20"/>
          <w:szCs w:val="20"/>
          <w:lang w:val="en-US"/>
        </w:rPr>
        <w:t>‘severe’</w:t>
      </w:r>
      <w:r w:rsidR="00420277" w:rsidRPr="00214987">
        <w:rPr>
          <w:rFonts w:ascii="Arial" w:hAnsi="Arial" w:cs="Arial"/>
          <w:noProof/>
          <w:sz w:val="20"/>
          <w:szCs w:val="20"/>
          <w:lang w:val="en-US"/>
        </w:rPr>
        <w:t xml:space="preserve"> exacerbations</w:t>
      </w:r>
      <w:r w:rsidR="003E0DBA" w:rsidRPr="00214987">
        <w:rPr>
          <w:rFonts w:ascii="Arial" w:hAnsi="Arial" w:cs="Arial"/>
          <w:noProof/>
          <w:sz w:val="20"/>
          <w:szCs w:val="20"/>
          <w:lang w:val="en-US"/>
        </w:rPr>
        <w:t xml:space="preserve">, </w:t>
      </w:r>
      <w:r w:rsidR="00734AAE" w:rsidRPr="00214987">
        <w:rPr>
          <w:rFonts w:ascii="Arial" w:hAnsi="Arial" w:cs="Arial"/>
          <w:noProof/>
          <w:sz w:val="20"/>
          <w:szCs w:val="20"/>
          <w:lang w:val="en-US"/>
        </w:rPr>
        <w:t>AHE</w:t>
      </w:r>
      <w:r w:rsidR="00D85B3C" w:rsidRPr="00214987">
        <w:rPr>
          <w:rFonts w:ascii="Arial" w:hAnsi="Arial" w:cs="Arial"/>
          <w:noProof/>
          <w:sz w:val="20"/>
          <w:szCs w:val="20"/>
          <w:lang w:val="en-US"/>
        </w:rPr>
        <w:t>, at baseline</w:t>
      </w:r>
      <w:r w:rsidR="00971141" w:rsidRPr="00214987">
        <w:rPr>
          <w:rFonts w:ascii="Arial" w:hAnsi="Arial" w:cs="Arial"/>
          <w:noProof/>
          <w:sz w:val="20"/>
          <w:szCs w:val="20"/>
          <w:lang w:val="en-US"/>
        </w:rPr>
        <w:t xml:space="preserve"> </w:t>
      </w:r>
      <w:r w:rsidR="00A138A4" w:rsidRPr="00214987">
        <w:rPr>
          <w:rFonts w:ascii="Arial" w:hAnsi="Arial" w:cs="Arial"/>
          <w:noProof/>
          <w:sz w:val="20"/>
          <w:szCs w:val="20"/>
          <w:lang w:val="en-US"/>
        </w:rPr>
        <w:t xml:space="preserve">were </w:t>
      </w:r>
      <w:r w:rsidR="00F53B3C" w:rsidRPr="00214987">
        <w:rPr>
          <w:rFonts w:ascii="Arial" w:hAnsi="Arial" w:cs="Arial"/>
          <w:noProof/>
          <w:sz w:val="20"/>
          <w:szCs w:val="20"/>
          <w:lang w:val="en-US"/>
        </w:rPr>
        <w:t>associated with non-response</w:t>
      </w:r>
      <w:r w:rsidR="00A6226D" w:rsidRPr="00214987">
        <w:rPr>
          <w:rFonts w:ascii="Arial" w:hAnsi="Arial" w:cs="Arial"/>
          <w:noProof/>
          <w:sz w:val="20"/>
          <w:szCs w:val="20"/>
          <w:lang w:val="en-US"/>
        </w:rPr>
        <w:t>,</w:t>
      </w:r>
      <w:r w:rsidR="00C72B77" w:rsidRPr="00214987">
        <w:rPr>
          <w:rFonts w:ascii="Arial" w:hAnsi="Arial" w:cs="Arial"/>
          <w:noProof/>
          <w:sz w:val="20"/>
          <w:szCs w:val="20"/>
          <w:lang w:val="en-US"/>
        </w:rPr>
        <w:t xml:space="preserve"> while </w:t>
      </w:r>
      <w:r w:rsidR="000A6E4F" w:rsidRPr="00214987">
        <w:rPr>
          <w:rFonts w:ascii="Arial" w:hAnsi="Arial" w:cs="Arial"/>
          <w:noProof/>
          <w:sz w:val="20"/>
          <w:szCs w:val="20"/>
          <w:lang w:val="en-US"/>
        </w:rPr>
        <w:lastRenderedPageBreak/>
        <w:t>being on mOCS</w:t>
      </w:r>
      <w:r w:rsidR="00C72B77" w:rsidRPr="00214987">
        <w:rPr>
          <w:rFonts w:ascii="Arial" w:hAnsi="Arial" w:cs="Arial"/>
          <w:noProof/>
          <w:sz w:val="20"/>
          <w:szCs w:val="20"/>
          <w:lang w:val="en-US"/>
        </w:rPr>
        <w:t xml:space="preserve">, </w:t>
      </w:r>
      <w:r w:rsidR="000A6E4F" w:rsidRPr="00214987">
        <w:rPr>
          <w:rFonts w:ascii="Arial" w:hAnsi="Arial" w:cs="Arial"/>
          <w:noProof/>
          <w:sz w:val="20"/>
          <w:szCs w:val="20"/>
          <w:lang w:val="en-US"/>
        </w:rPr>
        <w:t xml:space="preserve">was </w:t>
      </w:r>
      <w:r w:rsidR="00CC278F" w:rsidRPr="00214987">
        <w:rPr>
          <w:rFonts w:ascii="Arial" w:hAnsi="Arial" w:cs="Arial"/>
          <w:noProof/>
          <w:sz w:val="20"/>
          <w:szCs w:val="20"/>
          <w:lang w:val="en-US"/>
        </w:rPr>
        <w:t>associated</w:t>
      </w:r>
      <w:r w:rsidR="000A6E4F" w:rsidRPr="00214987">
        <w:rPr>
          <w:rFonts w:ascii="Arial" w:hAnsi="Arial" w:cs="Arial"/>
          <w:noProof/>
          <w:sz w:val="20"/>
          <w:szCs w:val="20"/>
          <w:lang w:val="en-US"/>
        </w:rPr>
        <w:t xml:space="preserve"> </w:t>
      </w:r>
      <w:r w:rsidR="00CC278F" w:rsidRPr="00214987">
        <w:rPr>
          <w:rFonts w:ascii="Arial" w:hAnsi="Arial" w:cs="Arial"/>
          <w:noProof/>
          <w:sz w:val="20"/>
          <w:szCs w:val="20"/>
          <w:lang w:val="en-US"/>
        </w:rPr>
        <w:t>with</w:t>
      </w:r>
      <w:r w:rsidR="000A6E4F" w:rsidRPr="00214987">
        <w:rPr>
          <w:rFonts w:ascii="Arial" w:hAnsi="Arial" w:cs="Arial"/>
          <w:noProof/>
          <w:sz w:val="20"/>
          <w:szCs w:val="20"/>
          <w:lang w:val="en-US"/>
        </w:rPr>
        <w:t xml:space="preserve"> </w:t>
      </w:r>
      <w:r w:rsidR="00C72B77" w:rsidRPr="00214987">
        <w:rPr>
          <w:rFonts w:ascii="Arial" w:hAnsi="Arial" w:cs="Arial"/>
          <w:noProof/>
          <w:sz w:val="20"/>
          <w:szCs w:val="20"/>
          <w:lang w:val="en-US"/>
        </w:rPr>
        <w:t>non-</w:t>
      </w:r>
      <w:r w:rsidR="000A6E4F" w:rsidRPr="00214987">
        <w:rPr>
          <w:rFonts w:ascii="Arial" w:hAnsi="Arial" w:cs="Arial"/>
          <w:noProof/>
          <w:sz w:val="20"/>
          <w:szCs w:val="20"/>
          <w:lang w:val="en-US"/>
        </w:rPr>
        <w:t xml:space="preserve">super-response. </w:t>
      </w:r>
      <w:r w:rsidR="00172D5F" w:rsidRPr="00214987">
        <w:rPr>
          <w:rFonts w:ascii="Arial" w:hAnsi="Arial" w:cs="Arial"/>
          <w:noProof/>
          <w:sz w:val="20"/>
          <w:szCs w:val="20"/>
          <w:lang w:val="en-US"/>
        </w:rPr>
        <w:t>However, w</w:t>
      </w:r>
      <w:r w:rsidR="009E20D6" w:rsidRPr="00214987">
        <w:rPr>
          <w:rFonts w:ascii="Arial" w:hAnsi="Arial" w:cs="Arial"/>
          <w:noProof/>
          <w:sz w:val="20"/>
          <w:szCs w:val="20"/>
          <w:lang w:val="en-US"/>
        </w:rPr>
        <w:t xml:space="preserve">hile </w:t>
      </w:r>
      <w:r w:rsidR="00734AAE" w:rsidRPr="00214987">
        <w:rPr>
          <w:rFonts w:ascii="Arial" w:hAnsi="Arial" w:cs="Arial"/>
          <w:noProof/>
          <w:sz w:val="20"/>
          <w:szCs w:val="20"/>
          <w:lang w:val="en-US"/>
        </w:rPr>
        <w:t>AHE</w:t>
      </w:r>
      <w:r w:rsidR="009E20D6" w:rsidRPr="00214987">
        <w:rPr>
          <w:rFonts w:ascii="Arial" w:hAnsi="Arial" w:cs="Arial"/>
          <w:noProof/>
          <w:sz w:val="20"/>
          <w:szCs w:val="20"/>
          <w:lang w:val="en-US"/>
        </w:rPr>
        <w:t xml:space="preserve"> may</w:t>
      </w:r>
      <w:r w:rsidR="00D166E0" w:rsidRPr="00214987">
        <w:rPr>
          <w:rFonts w:ascii="Arial" w:hAnsi="Arial" w:cs="Arial"/>
          <w:noProof/>
          <w:sz w:val="20"/>
          <w:szCs w:val="20"/>
          <w:lang w:val="en-US"/>
        </w:rPr>
        <w:t xml:space="preserve"> </w:t>
      </w:r>
      <w:r w:rsidR="009E20D6" w:rsidRPr="00214987">
        <w:rPr>
          <w:rFonts w:ascii="Arial" w:hAnsi="Arial" w:cs="Arial"/>
          <w:noProof/>
          <w:sz w:val="20"/>
          <w:szCs w:val="20"/>
          <w:lang w:val="en-US"/>
        </w:rPr>
        <w:t xml:space="preserve">represent </w:t>
      </w:r>
      <w:r w:rsidR="00E2706B" w:rsidRPr="00214987">
        <w:rPr>
          <w:rFonts w:ascii="Arial" w:hAnsi="Arial" w:cs="Arial"/>
          <w:noProof/>
          <w:sz w:val="20"/>
          <w:szCs w:val="20"/>
          <w:lang w:val="en-US"/>
        </w:rPr>
        <w:t xml:space="preserve">more </w:t>
      </w:r>
      <w:r w:rsidR="00EB1C29" w:rsidRPr="00214987">
        <w:rPr>
          <w:rFonts w:ascii="Arial" w:hAnsi="Arial" w:cs="Arial"/>
          <w:noProof/>
          <w:sz w:val="20"/>
          <w:szCs w:val="20"/>
          <w:lang w:val="en-US"/>
        </w:rPr>
        <w:t>‘</w:t>
      </w:r>
      <w:r w:rsidR="00E2706B" w:rsidRPr="00214987">
        <w:rPr>
          <w:rFonts w:ascii="Arial" w:hAnsi="Arial" w:cs="Arial"/>
          <w:noProof/>
          <w:sz w:val="20"/>
          <w:szCs w:val="20"/>
          <w:lang w:val="en-US"/>
        </w:rPr>
        <w:t>severe</w:t>
      </w:r>
      <w:r w:rsidR="00EB1C29" w:rsidRPr="00214987">
        <w:rPr>
          <w:rFonts w:ascii="Arial" w:hAnsi="Arial" w:cs="Arial"/>
          <w:noProof/>
          <w:sz w:val="20"/>
          <w:szCs w:val="20"/>
          <w:lang w:val="en-US"/>
        </w:rPr>
        <w:t>’</w:t>
      </w:r>
      <w:r w:rsidR="00E2706B" w:rsidRPr="00214987">
        <w:rPr>
          <w:rFonts w:ascii="Arial" w:hAnsi="Arial" w:cs="Arial"/>
          <w:noProof/>
          <w:sz w:val="20"/>
          <w:szCs w:val="20"/>
          <w:lang w:val="en-US"/>
        </w:rPr>
        <w:t xml:space="preserve"> </w:t>
      </w:r>
      <w:r w:rsidR="008530F3" w:rsidRPr="00214987">
        <w:rPr>
          <w:rFonts w:ascii="Arial" w:hAnsi="Arial" w:cs="Arial"/>
          <w:noProof/>
          <w:sz w:val="20"/>
          <w:szCs w:val="20"/>
          <w:lang w:val="en-US"/>
        </w:rPr>
        <w:t xml:space="preserve">asthma </w:t>
      </w:r>
      <w:r w:rsidR="00E2706B" w:rsidRPr="00214987">
        <w:rPr>
          <w:rFonts w:ascii="Arial" w:hAnsi="Arial" w:cs="Arial"/>
          <w:noProof/>
          <w:sz w:val="20"/>
          <w:szCs w:val="20"/>
          <w:lang w:val="en-US"/>
        </w:rPr>
        <w:t>exacerbation</w:t>
      </w:r>
      <w:r w:rsidR="00DB01DB" w:rsidRPr="00214987">
        <w:rPr>
          <w:rFonts w:ascii="Arial" w:hAnsi="Arial" w:cs="Arial"/>
          <w:noProof/>
          <w:sz w:val="20"/>
          <w:szCs w:val="20"/>
          <w:lang w:val="en-US"/>
        </w:rPr>
        <w:t>s</w:t>
      </w:r>
      <w:r w:rsidR="00172D5F" w:rsidRPr="00214987">
        <w:rPr>
          <w:rFonts w:ascii="Arial" w:hAnsi="Arial" w:cs="Arial"/>
          <w:noProof/>
          <w:sz w:val="20"/>
          <w:szCs w:val="20"/>
          <w:lang w:val="en-US"/>
        </w:rPr>
        <w:t xml:space="preserve">, </w:t>
      </w:r>
      <w:r w:rsidR="008530F3" w:rsidRPr="00214987">
        <w:rPr>
          <w:rFonts w:ascii="Arial" w:hAnsi="Arial" w:cs="Arial"/>
          <w:noProof/>
          <w:sz w:val="20"/>
          <w:szCs w:val="20"/>
          <w:lang w:val="en-US"/>
        </w:rPr>
        <w:t xml:space="preserve">they may </w:t>
      </w:r>
      <w:r w:rsidR="00862728" w:rsidRPr="00214987">
        <w:rPr>
          <w:rFonts w:ascii="Arial" w:hAnsi="Arial" w:cs="Arial"/>
          <w:noProof/>
          <w:sz w:val="20"/>
          <w:szCs w:val="20"/>
          <w:lang w:val="en-US"/>
        </w:rPr>
        <w:t xml:space="preserve">also </w:t>
      </w:r>
      <w:r w:rsidR="00851816" w:rsidRPr="00214987">
        <w:rPr>
          <w:rFonts w:ascii="Arial" w:hAnsi="Arial" w:cs="Arial"/>
          <w:noProof/>
          <w:sz w:val="20"/>
          <w:szCs w:val="20"/>
          <w:lang w:val="en-US"/>
        </w:rPr>
        <w:t>reflect impact of multiple influences</w:t>
      </w:r>
      <w:r w:rsidR="008530F3" w:rsidRPr="00214987">
        <w:rPr>
          <w:rFonts w:ascii="Arial" w:hAnsi="Arial" w:cs="Arial"/>
          <w:noProof/>
          <w:sz w:val="20"/>
          <w:szCs w:val="20"/>
          <w:lang w:val="en-US"/>
        </w:rPr>
        <w:t xml:space="preserve"> </w:t>
      </w:r>
      <w:r w:rsidR="00EF3B3E" w:rsidRPr="00214987">
        <w:rPr>
          <w:rFonts w:ascii="Arial" w:hAnsi="Arial" w:cs="Arial"/>
          <w:noProof/>
          <w:sz w:val="20"/>
          <w:szCs w:val="20"/>
          <w:lang w:val="en-US"/>
        </w:rPr>
        <w:t>beyond just airways disease</w:t>
      </w:r>
      <w:r w:rsidR="00EB1C29" w:rsidRPr="00214987">
        <w:rPr>
          <w:rFonts w:ascii="Arial" w:hAnsi="Arial" w:cs="Arial"/>
          <w:noProof/>
          <w:sz w:val="20"/>
          <w:szCs w:val="20"/>
          <w:lang w:val="en-US"/>
        </w:rPr>
        <w:t xml:space="preserve">. </w:t>
      </w:r>
      <w:r w:rsidR="00D13AD2" w:rsidRPr="00214987">
        <w:rPr>
          <w:rFonts w:ascii="Arial" w:hAnsi="Arial" w:cs="Arial"/>
          <w:noProof/>
          <w:sz w:val="20"/>
          <w:szCs w:val="20"/>
          <w:lang w:val="en-US"/>
        </w:rPr>
        <w:t xml:space="preserve">Indeed, </w:t>
      </w:r>
      <w:r w:rsidR="00EB1C29" w:rsidRPr="00214987">
        <w:rPr>
          <w:rFonts w:ascii="Arial" w:hAnsi="Arial" w:cs="Arial"/>
          <w:noProof/>
          <w:sz w:val="20"/>
          <w:szCs w:val="20"/>
          <w:lang w:val="en-US"/>
        </w:rPr>
        <w:t>Burke et al</w:t>
      </w:r>
      <w:r w:rsidR="00637537" w:rsidRPr="00214987">
        <w:rPr>
          <w:rFonts w:ascii="Arial" w:hAnsi="Arial" w:cs="Arial"/>
          <w:noProof/>
          <w:sz w:val="20"/>
          <w:szCs w:val="20"/>
          <w:lang w:val="en-US"/>
        </w:rPr>
        <w:t>.</w:t>
      </w:r>
      <w:r w:rsidR="00EB1C29" w:rsidRPr="00214987">
        <w:rPr>
          <w:rFonts w:ascii="Arial" w:hAnsi="Arial" w:cs="Arial"/>
          <w:noProof/>
          <w:sz w:val="20"/>
          <w:szCs w:val="20"/>
          <w:lang w:val="en-US"/>
        </w:rPr>
        <w:t xml:space="preserve"> </w:t>
      </w:r>
      <w:r w:rsidR="00F23038" w:rsidRPr="00214987">
        <w:rPr>
          <w:rFonts w:ascii="Arial" w:hAnsi="Arial" w:cs="Arial"/>
          <w:noProof/>
          <w:sz w:val="20"/>
          <w:szCs w:val="20"/>
          <w:lang w:val="en-US"/>
        </w:rPr>
        <w:t xml:space="preserve">identified </w:t>
      </w:r>
      <w:r w:rsidR="00B1340C" w:rsidRPr="00214987">
        <w:rPr>
          <w:rFonts w:ascii="Arial" w:hAnsi="Arial" w:cs="Arial"/>
          <w:noProof/>
          <w:sz w:val="20"/>
          <w:szCs w:val="20"/>
          <w:lang w:val="en-US"/>
        </w:rPr>
        <w:t>that those</w:t>
      </w:r>
      <w:r w:rsidR="00044476" w:rsidRPr="00214987">
        <w:rPr>
          <w:rFonts w:ascii="Arial" w:hAnsi="Arial" w:cs="Arial"/>
          <w:noProof/>
          <w:sz w:val="20"/>
          <w:szCs w:val="20"/>
          <w:lang w:val="en-US"/>
        </w:rPr>
        <w:t xml:space="preserve"> </w:t>
      </w:r>
      <w:r w:rsidR="003B38B4" w:rsidRPr="00214987">
        <w:rPr>
          <w:rFonts w:ascii="Arial" w:hAnsi="Arial" w:cs="Arial"/>
          <w:noProof/>
          <w:sz w:val="20"/>
          <w:szCs w:val="20"/>
          <w:lang w:val="en-US"/>
        </w:rPr>
        <w:t>with repeated</w:t>
      </w:r>
      <w:r w:rsidR="00F23038" w:rsidRPr="00214987">
        <w:rPr>
          <w:rFonts w:ascii="Arial" w:hAnsi="Arial" w:cs="Arial"/>
          <w:noProof/>
          <w:sz w:val="20"/>
          <w:szCs w:val="20"/>
          <w:lang w:val="en-US"/>
        </w:rPr>
        <w:t xml:space="preserve"> </w:t>
      </w:r>
      <w:r w:rsidR="00734AAE" w:rsidRPr="00214987">
        <w:rPr>
          <w:rFonts w:ascii="Arial" w:hAnsi="Arial" w:cs="Arial"/>
          <w:noProof/>
          <w:sz w:val="20"/>
          <w:szCs w:val="20"/>
          <w:lang w:val="en-US"/>
        </w:rPr>
        <w:t>AHE</w:t>
      </w:r>
      <w:r w:rsidR="003B38B4" w:rsidRPr="00214987">
        <w:rPr>
          <w:rFonts w:ascii="Arial" w:hAnsi="Arial" w:cs="Arial"/>
          <w:noProof/>
          <w:sz w:val="20"/>
          <w:szCs w:val="20"/>
          <w:lang w:val="en-US"/>
        </w:rPr>
        <w:t xml:space="preserve"> were a subgroup of</w:t>
      </w:r>
      <w:r w:rsidR="00E87AEC" w:rsidRPr="00214987">
        <w:rPr>
          <w:rFonts w:ascii="Arial" w:hAnsi="Arial" w:cs="Arial"/>
          <w:noProof/>
          <w:sz w:val="20"/>
          <w:szCs w:val="20"/>
          <w:lang w:val="en-US"/>
        </w:rPr>
        <w:t xml:space="preserve"> difficult asthma</w:t>
      </w:r>
      <w:r w:rsidR="003B38B4" w:rsidRPr="00214987">
        <w:rPr>
          <w:rFonts w:ascii="Arial" w:hAnsi="Arial" w:cs="Arial"/>
          <w:noProof/>
          <w:sz w:val="20"/>
          <w:szCs w:val="20"/>
          <w:lang w:val="en-US"/>
        </w:rPr>
        <w:t xml:space="preserve"> patients </w:t>
      </w:r>
      <w:r w:rsidR="001514AF" w:rsidRPr="00214987">
        <w:rPr>
          <w:rFonts w:ascii="Arial" w:hAnsi="Arial" w:cs="Arial"/>
          <w:noProof/>
          <w:sz w:val="20"/>
          <w:szCs w:val="20"/>
          <w:lang w:val="en-US"/>
        </w:rPr>
        <w:t xml:space="preserve">with multiple </w:t>
      </w:r>
      <w:r w:rsidR="00DB01DB" w:rsidRPr="00214987">
        <w:rPr>
          <w:rFonts w:ascii="Arial" w:hAnsi="Arial" w:cs="Arial"/>
          <w:noProof/>
          <w:sz w:val="20"/>
          <w:szCs w:val="20"/>
          <w:lang w:val="en-US"/>
        </w:rPr>
        <w:t xml:space="preserve">aggravating comorbidities including </w:t>
      </w:r>
      <w:r w:rsidR="00B224BB" w:rsidRPr="00214987">
        <w:rPr>
          <w:rFonts w:ascii="Arial" w:hAnsi="Arial" w:cs="Arial"/>
          <w:noProof/>
          <w:sz w:val="20"/>
          <w:szCs w:val="20"/>
          <w:lang w:val="en-US"/>
        </w:rPr>
        <w:t>obesity</w:t>
      </w:r>
      <w:r w:rsidR="008F5794" w:rsidRPr="00214987">
        <w:rPr>
          <w:rFonts w:ascii="Arial" w:hAnsi="Arial" w:cs="Arial"/>
          <w:noProof/>
          <w:sz w:val="20"/>
          <w:szCs w:val="20"/>
          <w:lang w:val="en-US"/>
        </w:rPr>
        <w:t xml:space="preserve">, </w:t>
      </w:r>
      <w:r w:rsidR="00182DD0">
        <w:rPr>
          <w:rFonts w:ascii="Arial" w:hAnsi="Arial" w:cs="Arial"/>
          <w:noProof/>
          <w:sz w:val="20"/>
          <w:szCs w:val="20"/>
          <w:lang w:val="en-US"/>
        </w:rPr>
        <w:t>g</w:t>
      </w:r>
      <w:r w:rsidR="003F39DF" w:rsidRPr="003F39DF">
        <w:rPr>
          <w:rFonts w:ascii="Arial" w:hAnsi="Arial" w:cs="Arial"/>
          <w:noProof/>
          <w:sz w:val="20"/>
          <w:szCs w:val="20"/>
          <w:lang w:val="en-US"/>
        </w:rPr>
        <w:t>astro-oesophageal reflux disease</w:t>
      </w:r>
      <w:r w:rsidR="00DB01DB" w:rsidRPr="00214987">
        <w:rPr>
          <w:rFonts w:ascii="Arial" w:hAnsi="Arial" w:cs="Arial"/>
          <w:noProof/>
          <w:sz w:val="20"/>
          <w:szCs w:val="20"/>
          <w:lang w:val="en-US"/>
        </w:rPr>
        <w:t>, dysfunctional breathing and psychological morbidity</w:t>
      </w:r>
      <w:r w:rsidR="00384A07"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{"citationItems":[{"id":"ITEM-1","itemData":{"DOI":"10.1183/23120541.00039-2016","ISSN":"23120541","abstract":"Up to 10% of asthmatics have “difficult asthma”; however, they account for 80% of asthmarelated expenditure and run the highest risk of acute severe exacerbations. An estimated 75% of admissions for asthma are avoidable. Guidelines advise that these patients be managed by an experienced specialist multidisciplinary team (MDT). We aimed to assess the impact of a case management strategy delivered via specialist MDTs on acute healthcare utilisation of patients with frequent asthma admissions. An MDT (consultant, specialist nurse, physiotherapist and psychologist) case management strategy was introduced in 2010 at University Hospital Southampton Foundation Trust (Southampton, UK) to support patients with frequent asthma admissions during admission and then in clinic. To assess efficacy, we systematically searched the hospital database for patients acutely admitted for asthma on two or more occasions in 2010, 2011 and 2012. Data were collected retrospectively covering patient demographics, admission details, asthma severity and comorbidity. From 2010 to 2012, 84 patients were admitted on two or more occasions per year (80% female, mean body mass index 31 kg·m−2 and 55% psychological comorbidity). After introducing an MDT approach repeat asthma admissions fell by 33% from 127 in 2010 to 84 in 2012 (p=0.0004). In addition, bed days fell by 52% from 895 in 2010 to 430 in 2010 (p=0.015). An MDT case management approach significantly reduces hospitalisation in difficult asthma patients with prior frequent admission.","author":[{"dropping-particle":"","family":"Burke","given":"Hannah","non-dropping-particle":"","parse-names":false,"suffix":""},{"dropping-particle":"","family":"Davis","given":"Jenny","non-dropping-particle":"","parse-names":false,"suffix":""},{"dropping-particle":"","family":"Evans","given":"Sian","non-dropping-particle":"","parse-names":false,"suffix":""},{"dropping-particle":"","family":"Flower","given":"Laura","non-dropping-particle":"","parse-names":false,"suffix":""},{"dropping-particle":"","family":"Tan","given":"Andrew","non-dropping-particle":"","parse-names":false,"suffix":""},{"dropping-particle":"","family":"Kurukulaaratchy","given":"Ramesh J.","non-dropping-particle":"","parse-names":false,"suffix":""}],"container-title":"ERJ Open Research","id":"ITEM-1","issue":"3","issued":{"date-parts":[["2016","7","7"]]},"publisher":"European Respiratory Society","title":"A multidisciplinary team case management approach reduces the burden of frequent asthma admissions","type":"article-journal","volume":"2"},"uris":["http://www.mendeley.com/documents/?uuid=b6130b96-62d2-3887-977a-c6302d407a11"]}],"mendeley":{"formattedCitation":"&lt;sup&gt;32&lt;/sup&gt;","plainTextFormattedCitation":"32","previouslyFormattedCitation":"&lt;sup&gt;32&lt;/sup&gt;"},"properties":{"noteIndex":0},"schema":"https://github.com/citation-style-language/schema/raw/master/csl-citation.json"}</w:instrText>
      </w:r>
      <w:r w:rsidR="00384A07"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32</w:t>
      </w:r>
      <w:r w:rsidR="00384A07" w:rsidRPr="00214987">
        <w:rPr>
          <w:rFonts w:ascii="Arial" w:hAnsi="Arial" w:cs="Arial"/>
          <w:noProof/>
          <w:sz w:val="20"/>
          <w:szCs w:val="20"/>
          <w:lang w:val="en-US"/>
        </w:rPr>
        <w:fldChar w:fldCharType="end"/>
      </w:r>
      <w:r w:rsidR="00DB01DB" w:rsidRPr="00214987">
        <w:rPr>
          <w:rFonts w:ascii="Arial" w:hAnsi="Arial" w:cs="Arial"/>
          <w:noProof/>
          <w:sz w:val="20"/>
          <w:szCs w:val="20"/>
          <w:lang w:val="en-US"/>
        </w:rPr>
        <w:t>.</w:t>
      </w:r>
      <w:r w:rsidR="00BE72EF" w:rsidRPr="00214987">
        <w:rPr>
          <w:rFonts w:ascii="Arial" w:hAnsi="Arial" w:cs="Arial"/>
          <w:noProof/>
          <w:sz w:val="20"/>
          <w:szCs w:val="20"/>
          <w:lang w:val="en-US"/>
        </w:rPr>
        <w:t xml:space="preserve"> </w:t>
      </w:r>
      <w:r w:rsidR="0047442E" w:rsidRPr="00214987">
        <w:rPr>
          <w:rFonts w:ascii="Arial" w:hAnsi="Arial" w:cs="Arial"/>
          <w:noProof/>
          <w:sz w:val="20"/>
          <w:szCs w:val="20"/>
          <w:lang w:val="en-US"/>
        </w:rPr>
        <w:t>S</w:t>
      </w:r>
      <w:r w:rsidR="00D22B2E" w:rsidRPr="00214987">
        <w:rPr>
          <w:rFonts w:ascii="Arial" w:hAnsi="Arial" w:cs="Arial"/>
          <w:noProof/>
          <w:sz w:val="20"/>
          <w:szCs w:val="20"/>
          <w:lang w:val="en-US"/>
        </w:rPr>
        <w:t xml:space="preserve">uch </w:t>
      </w:r>
      <w:r w:rsidR="006948D6" w:rsidRPr="00214987">
        <w:rPr>
          <w:rFonts w:ascii="Arial" w:hAnsi="Arial" w:cs="Arial"/>
          <w:noProof/>
          <w:sz w:val="20"/>
          <w:szCs w:val="20"/>
          <w:lang w:val="en-US"/>
        </w:rPr>
        <w:t xml:space="preserve">complex multifactorial health events may be less </w:t>
      </w:r>
      <w:r w:rsidR="00953A16" w:rsidRPr="00214987">
        <w:rPr>
          <w:rFonts w:ascii="Arial" w:hAnsi="Arial" w:cs="Arial"/>
          <w:noProof/>
          <w:sz w:val="20"/>
          <w:szCs w:val="20"/>
          <w:lang w:val="en-US"/>
        </w:rPr>
        <w:t xml:space="preserve">responsive to a </w:t>
      </w:r>
      <w:r w:rsidR="00B6654B" w:rsidRPr="00214987">
        <w:rPr>
          <w:rFonts w:ascii="Arial" w:hAnsi="Arial" w:cs="Arial"/>
          <w:noProof/>
          <w:sz w:val="20"/>
          <w:szCs w:val="20"/>
          <w:lang w:val="en-US"/>
        </w:rPr>
        <w:t>simple biologic approach. It is notable that</w:t>
      </w:r>
      <w:r w:rsidR="00BE72EF" w:rsidRPr="00214987">
        <w:rPr>
          <w:rFonts w:ascii="Arial" w:hAnsi="Arial" w:cs="Arial"/>
          <w:noProof/>
          <w:sz w:val="20"/>
          <w:szCs w:val="20"/>
          <w:lang w:val="en-US"/>
        </w:rPr>
        <w:t xml:space="preserve"> by adopting a </w:t>
      </w:r>
      <w:r w:rsidR="00D166E0" w:rsidRPr="00214987">
        <w:rPr>
          <w:rFonts w:ascii="Arial" w:hAnsi="Arial" w:cs="Arial"/>
          <w:noProof/>
          <w:sz w:val="20"/>
          <w:szCs w:val="20"/>
          <w:lang w:val="en-US"/>
        </w:rPr>
        <w:t>holistic</w:t>
      </w:r>
      <w:r w:rsidR="00BE72EF" w:rsidRPr="00214987">
        <w:rPr>
          <w:rFonts w:ascii="Arial" w:hAnsi="Arial" w:cs="Arial"/>
          <w:noProof/>
          <w:sz w:val="20"/>
          <w:szCs w:val="20"/>
          <w:lang w:val="en-US"/>
        </w:rPr>
        <w:t>, asthma MDT approach</w:t>
      </w:r>
      <w:r w:rsidR="00E87AEC" w:rsidRPr="00214987">
        <w:rPr>
          <w:rFonts w:ascii="Arial" w:hAnsi="Arial" w:cs="Arial"/>
          <w:noProof/>
          <w:sz w:val="20"/>
          <w:szCs w:val="20"/>
          <w:lang w:val="en-US"/>
        </w:rPr>
        <w:t>,</w:t>
      </w:r>
      <w:r w:rsidR="00BE72EF" w:rsidRPr="00214987">
        <w:rPr>
          <w:rFonts w:ascii="Arial" w:hAnsi="Arial" w:cs="Arial"/>
          <w:noProof/>
          <w:sz w:val="20"/>
          <w:szCs w:val="20"/>
          <w:lang w:val="en-US"/>
        </w:rPr>
        <w:t xml:space="preserve"> </w:t>
      </w:r>
      <w:r w:rsidR="00A6226D" w:rsidRPr="00214987">
        <w:rPr>
          <w:rFonts w:ascii="Arial" w:hAnsi="Arial" w:cs="Arial"/>
          <w:noProof/>
          <w:sz w:val="20"/>
          <w:szCs w:val="20"/>
          <w:lang w:val="en-US"/>
        </w:rPr>
        <w:t>they</w:t>
      </w:r>
      <w:r w:rsidR="00BE72EF" w:rsidRPr="00214987">
        <w:rPr>
          <w:rFonts w:ascii="Arial" w:hAnsi="Arial" w:cs="Arial"/>
          <w:noProof/>
          <w:sz w:val="20"/>
          <w:szCs w:val="20"/>
          <w:lang w:val="en-US"/>
        </w:rPr>
        <w:t xml:space="preserve"> </w:t>
      </w:r>
      <w:r w:rsidR="00A6226D" w:rsidRPr="00214987">
        <w:rPr>
          <w:rFonts w:ascii="Arial" w:hAnsi="Arial" w:cs="Arial"/>
          <w:noProof/>
          <w:sz w:val="20"/>
          <w:szCs w:val="20"/>
          <w:lang w:val="en-US"/>
        </w:rPr>
        <w:t>reduced</w:t>
      </w:r>
      <w:r w:rsidR="00BE72EF" w:rsidRPr="00214987">
        <w:rPr>
          <w:rFonts w:ascii="Arial" w:hAnsi="Arial" w:cs="Arial"/>
          <w:noProof/>
          <w:sz w:val="20"/>
          <w:szCs w:val="20"/>
          <w:lang w:val="en-US"/>
        </w:rPr>
        <w:t xml:space="preserve"> </w:t>
      </w:r>
      <w:r w:rsidR="00734AAE" w:rsidRPr="00214987">
        <w:rPr>
          <w:rFonts w:ascii="Arial" w:hAnsi="Arial" w:cs="Arial"/>
          <w:noProof/>
          <w:sz w:val="20"/>
          <w:szCs w:val="20"/>
          <w:lang w:val="en-US"/>
        </w:rPr>
        <w:t>AHE</w:t>
      </w:r>
      <w:r w:rsidR="00BE72EF" w:rsidRPr="00214987">
        <w:rPr>
          <w:rFonts w:ascii="Arial" w:hAnsi="Arial" w:cs="Arial"/>
          <w:noProof/>
          <w:sz w:val="20"/>
          <w:szCs w:val="20"/>
          <w:lang w:val="en-US"/>
        </w:rPr>
        <w:t xml:space="preserve"> significantly</w:t>
      </w:r>
      <w:r w:rsidR="00384A07"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{"citationItems":[{"id":"ITEM-1","itemData":{"DOI":"10.1183/23120541.00039-2016","ISSN":"23120541","abstract":"Up to 10% of asthmatics have “difficult asthma”; however, they account for 80% of asthmarelated expenditure and run the highest risk of acute severe exacerbations. An estimated 75% of admissions for asthma are avoidable. Guidelines advise that these patients be managed by an experienced specialist multidisciplinary team (MDT). We aimed to assess the impact of a case management strategy delivered via specialist MDTs on acute healthcare utilisation of patients with frequent asthma admissions. An MDT (consultant, specialist nurse, physiotherapist and psychologist) case management strategy was introduced in 2010 at University Hospital Southampton Foundation Trust (Southampton, UK) to support patients with frequent asthma admissions during admission and then in clinic. To assess efficacy, we systematically searched the hospital database for patients acutely admitted for asthma on two or more occasions in 2010, 2011 and 2012. Data were collected retrospectively covering patient demographics, admission details, asthma severity and comorbidity. From 2010 to 2012, 84 patients were admitted on two or more occasions per year (80% female, mean body mass index 31 kg·m−2 and 55% psychological comorbidity). After introducing an MDT approach repeat asthma admissions fell by 33% from 127 in 2010 to 84 in 2012 (p=0.0004). In addition, bed days fell by 52% from 895 in 2010 to 430 in 2010 (p=0.015). An MDT case management approach significantly reduces hospitalisation in difficult asthma patients with prior frequent admission.","author":[{"dropping-particle":"","family":"Burke","given":"Hannah","non-dropping-particle":"","parse-names":false,"suffix":""},{"dropping-particle":"","family":"Davis","given":"Jenny","non-dropping-particle":"","parse-names":false,"suffix":""},{"dropping-particle":"","family":"Evans","given":"Sian","non-dropping-particle":"","parse-names":false,"suffix":""},{"dropping-particle":"","family":"Flower","given":"Laura","non-dropping-particle":"","parse-names":false,"suffix":""},{"dropping-particle":"","family":"Tan","given":"Andrew","non-dropping-particle":"","parse-names":false,"suffix":""},{"dropping-particle":"","family":"Kurukulaaratchy","given":"Ramesh J.","non-dropping-particle":"","parse-names":false,"suffix":""}],"container-title":"ERJ Open Research","id":"ITEM-1","issue":"3","issued":{"date-parts":[["2016","7","7"]]},"publisher":"European Respiratory Society","title":"A multidisciplinary team case management approach reduces the burden of frequent asthma admissions","type":"article-journal","volume":"2"},"uris":["http://www.mendeley.com/documents/?uuid=b6130b96-62d2-3887-977a-c6302d407a11"]}],"mendeley":{"formattedCitation":"&lt;sup&gt;32&lt;/sup&gt;","plainTextFormattedCitation":"32","previouslyFormattedCitation":"&lt;sup&gt;32&lt;/sup&gt;"},"properties":{"noteIndex":0},"schema":"https://github.com/citation-style-language/schema/raw/master/csl-citation.json"}</w:instrText>
      </w:r>
      <w:r w:rsidR="00384A07"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32</w:t>
      </w:r>
      <w:r w:rsidR="00384A07" w:rsidRPr="00214987">
        <w:rPr>
          <w:rFonts w:ascii="Arial" w:hAnsi="Arial" w:cs="Arial"/>
          <w:noProof/>
          <w:sz w:val="20"/>
          <w:szCs w:val="20"/>
          <w:lang w:val="en-US"/>
        </w:rPr>
        <w:fldChar w:fldCharType="end"/>
      </w:r>
      <w:r w:rsidR="00BE72EF" w:rsidRPr="00214987">
        <w:rPr>
          <w:rFonts w:ascii="Arial" w:hAnsi="Arial" w:cs="Arial"/>
          <w:noProof/>
          <w:sz w:val="20"/>
          <w:szCs w:val="20"/>
          <w:lang w:val="en-US"/>
        </w:rPr>
        <w:t xml:space="preserve">. </w:t>
      </w:r>
      <w:r w:rsidR="00014CF8" w:rsidRPr="00214987">
        <w:rPr>
          <w:rFonts w:ascii="Arial" w:hAnsi="Arial" w:cs="Arial"/>
          <w:noProof/>
          <w:sz w:val="20"/>
          <w:szCs w:val="20"/>
          <w:lang w:val="en-US"/>
        </w:rPr>
        <w:t>C</w:t>
      </w:r>
      <w:r w:rsidR="00871CFE" w:rsidRPr="00214987">
        <w:rPr>
          <w:rFonts w:ascii="Arial" w:hAnsi="Arial" w:cs="Arial"/>
          <w:noProof/>
          <w:sz w:val="20"/>
          <w:szCs w:val="20"/>
          <w:lang w:val="en-US"/>
        </w:rPr>
        <w:t xml:space="preserve">ollectively these findings </w:t>
      </w:r>
      <w:r w:rsidR="00904353" w:rsidRPr="00214987">
        <w:rPr>
          <w:rFonts w:ascii="Arial" w:hAnsi="Arial" w:cs="Arial"/>
          <w:noProof/>
          <w:sz w:val="20"/>
          <w:szCs w:val="20"/>
          <w:lang w:val="en-US"/>
        </w:rPr>
        <w:t>emphasise the importance of</w:t>
      </w:r>
      <w:r w:rsidR="00D1449D" w:rsidRPr="00214987">
        <w:rPr>
          <w:rFonts w:ascii="Arial" w:hAnsi="Arial" w:cs="Arial"/>
          <w:noProof/>
          <w:sz w:val="20"/>
          <w:szCs w:val="20"/>
          <w:lang w:val="en-US"/>
        </w:rPr>
        <w:t xml:space="preserve"> comprehensive, up-front characterisation </w:t>
      </w:r>
      <w:r w:rsidR="000F4967" w:rsidRPr="00214987">
        <w:rPr>
          <w:rFonts w:ascii="Arial" w:hAnsi="Arial" w:cs="Arial"/>
          <w:noProof/>
          <w:sz w:val="20"/>
          <w:szCs w:val="20"/>
          <w:lang w:val="en-US"/>
        </w:rPr>
        <w:t xml:space="preserve">of </w:t>
      </w:r>
      <w:r w:rsidR="00011D46" w:rsidRPr="00214987">
        <w:rPr>
          <w:rFonts w:ascii="Arial" w:hAnsi="Arial" w:cs="Arial"/>
          <w:noProof/>
          <w:sz w:val="20"/>
          <w:szCs w:val="20"/>
          <w:lang w:val="en-US"/>
        </w:rPr>
        <w:t>difficult asthma patients</w:t>
      </w:r>
      <w:r w:rsidR="001514AF" w:rsidRPr="00214987">
        <w:rPr>
          <w:rFonts w:ascii="Arial" w:hAnsi="Arial" w:cs="Arial"/>
          <w:noProof/>
          <w:sz w:val="20"/>
          <w:szCs w:val="20"/>
          <w:lang w:val="en-US"/>
        </w:rPr>
        <w:t>,</w:t>
      </w:r>
      <w:r w:rsidR="00011D46" w:rsidRPr="00214987">
        <w:rPr>
          <w:rFonts w:ascii="Arial" w:hAnsi="Arial" w:cs="Arial"/>
          <w:noProof/>
          <w:sz w:val="20"/>
          <w:szCs w:val="20"/>
          <w:lang w:val="en-US"/>
        </w:rPr>
        <w:t xml:space="preserve"> focus</w:t>
      </w:r>
      <w:r w:rsidR="00CC6A8F" w:rsidRPr="00214987">
        <w:rPr>
          <w:rFonts w:ascii="Arial" w:hAnsi="Arial" w:cs="Arial"/>
          <w:noProof/>
          <w:sz w:val="20"/>
          <w:szCs w:val="20"/>
          <w:lang w:val="en-US"/>
        </w:rPr>
        <w:t>ed</w:t>
      </w:r>
      <w:r w:rsidR="00D1449D" w:rsidRPr="00214987">
        <w:rPr>
          <w:rFonts w:ascii="Arial" w:hAnsi="Arial" w:cs="Arial"/>
          <w:noProof/>
          <w:sz w:val="20"/>
          <w:szCs w:val="20"/>
          <w:lang w:val="en-US"/>
        </w:rPr>
        <w:t xml:space="preserve"> on </w:t>
      </w:r>
      <w:r w:rsidR="008E57DF" w:rsidRPr="00214987">
        <w:rPr>
          <w:rFonts w:ascii="Arial" w:hAnsi="Arial" w:cs="Arial"/>
          <w:noProof/>
          <w:sz w:val="20"/>
          <w:szCs w:val="20"/>
          <w:lang w:val="en-US"/>
        </w:rPr>
        <w:t xml:space="preserve">addressing all </w:t>
      </w:r>
      <w:r w:rsidR="00D1449D" w:rsidRPr="00214987">
        <w:rPr>
          <w:rFonts w:ascii="Arial" w:hAnsi="Arial" w:cs="Arial"/>
          <w:noProof/>
          <w:sz w:val="20"/>
          <w:szCs w:val="20"/>
          <w:lang w:val="en-US"/>
        </w:rPr>
        <w:t>treatable traits</w:t>
      </w:r>
      <w:r w:rsidR="00906A8F" w:rsidRPr="00214987">
        <w:rPr>
          <w:rFonts w:ascii="Arial" w:hAnsi="Arial" w:cs="Arial"/>
          <w:noProof/>
          <w:sz w:val="20"/>
          <w:szCs w:val="20"/>
          <w:lang w:val="en-US"/>
        </w:rPr>
        <w:t xml:space="preserve"> to maximise biologic outcome</w:t>
      </w:r>
      <w:r w:rsidR="00D1449D" w:rsidRPr="00214987">
        <w:rPr>
          <w:rFonts w:ascii="Arial" w:hAnsi="Arial" w:cs="Arial"/>
          <w:noProof/>
          <w:sz w:val="20"/>
          <w:szCs w:val="20"/>
          <w:lang w:val="en-US"/>
        </w:rPr>
        <w:t>.</w:t>
      </w:r>
    </w:p>
    <w:p w14:paraId="75499421" w14:textId="019682A8" w:rsidR="003E0DBA" w:rsidRPr="00214987" w:rsidRDefault="001A0EC6"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Reinforcing this, </w:t>
      </w:r>
      <w:r w:rsidR="003E0DBA" w:rsidRPr="00214987">
        <w:rPr>
          <w:rFonts w:ascii="Arial" w:hAnsi="Arial" w:cs="Arial"/>
          <w:noProof/>
          <w:sz w:val="20"/>
          <w:szCs w:val="20"/>
          <w:lang w:val="en-US"/>
        </w:rPr>
        <w:t xml:space="preserve">our data uniquely showed that psychological co-morbidities </w:t>
      </w:r>
      <w:r w:rsidR="003E376D" w:rsidRPr="00214987">
        <w:rPr>
          <w:rFonts w:ascii="Arial" w:hAnsi="Arial" w:cs="Arial"/>
          <w:noProof/>
          <w:sz w:val="20"/>
          <w:szCs w:val="20"/>
          <w:lang w:val="en-US"/>
        </w:rPr>
        <w:t xml:space="preserve">may </w:t>
      </w:r>
      <w:r w:rsidR="00381BB9" w:rsidRPr="00214987">
        <w:rPr>
          <w:rFonts w:ascii="Arial" w:hAnsi="Arial" w:cs="Arial"/>
          <w:noProof/>
          <w:sz w:val="20"/>
          <w:szCs w:val="20"/>
          <w:lang w:val="en-US"/>
        </w:rPr>
        <w:t>be associated with</w:t>
      </w:r>
      <w:r w:rsidR="003E0DBA" w:rsidRPr="00214987">
        <w:rPr>
          <w:rFonts w:ascii="Arial" w:hAnsi="Arial" w:cs="Arial"/>
          <w:noProof/>
          <w:sz w:val="20"/>
          <w:szCs w:val="20"/>
          <w:lang w:val="en-US"/>
        </w:rPr>
        <w:t xml:space="preserve"> biologic non-response</w:t>
      </w:r>
      <w:r w:rsidR="00626A2C" w:rsidRPr="00214987">
        <w:rPr>
          <w:rFonts w:ascii="Arial" w:hAnsi="Arial" w:cs="Arial"/>
          <w:noProof/>
          <w:sz w:val="20"/>
          <w:szCs w:val="20"/>
          <w:lang w:val="en-US"/>
        </w:rPr>
        <w:t>,</w:t>
      </w:r>
      <w:r w:rsidR="005F5532" w:rsidRPr="00214987">
        <w:rPr>
          <w:rFonts w:ascii="Arial" w:hAnsi="Arial" w:cs="Arial"/>
          <w:noProof/>
          <w:sz w:val="20"/>
          <w:szCs w:val="20"/>
          <w:lang w:val="en-US"/>
        </w:rPr>
        <w:t xml:space="preserve"> </w:t>
      </w:r>
      <w:r w:rsidR="00366F7E" w:rsidRPr="00214987">
        <w:rPr>
          <w:rFonts w:ascii="Arial" w:hAnsi="Arial" w:cs="Arial"/>
          <w:noProof/>
          <w:sz w:val="20"/>
          <w:szCs w:val="20"/>
          <w:lang w:val="en-US"/>
        </w:rPr>
        <w:t xml:space="preserve">an </w:t>
      </w:r>
      <w:r w:rsidR="00D80108" w:rsidRPr="00214987">
        <w:rPr>
          <w:rFonts w:ascii="Arial" w:hAnsi="Arial" w:cs="Arial"/>
          <w:noProof/>
          <w:sz w:val="20"/>
          <w:szCs w:val="20"/>
          <w:lang w:val="en-US"/>
        </w:rPr>
        <w:t xml:space="preserve">unexplored </w:t>
      </w:r>
      <w:r w:rsidR="00366F7E" w:rsidRPr="00214987">
        <w:rPr>
          <w:rFonts w:ascii="Arial" w:hAnsi="Arial" w:cs="Arial"/>
          <w:noProof/>
          <w:sz w:val="20"/>
          <w:szCs w:val="20"/>
          <w:lang w:val="en-US"/>
        </w:rPr>
        <w:t xml:space="preserve">aspect </w:t>
      </w:r>
      <w:r w:rsidR="00D80108" w:rsidRPr="00214987">
        <w:rPr>
          <w:rFonts w:ascii="Arial" w:hAnsi="Arial" w:cs="Arial"/>
          <w:noProof/>
          <w:sz w:val="20"/>
          <w:szCs w:val="20"/>
          <w:lang w:val="en-US"/>
        </w:rPr>
        <w:t>by</w:t>
      </w:r>
      <w:r w:rsidR="00626A2C" w:rsidRPr="00214987">
        <w:rPr>
          <w:rFonts w:ascii="Arial" w:hAnsi="Arial" w:cs="Arial"/>
          <w:noProof/>
          <w:sz w:val="20"/>
          <w:szCs w:val="20"/>
          <w:lang w:val="en-US"/>
        </w:rPr>
        <w:t xml:space="preserve"> other real-world </w:t>
      </w:r>
      <w:r w:rsidR="005F5532" w:rsidRPr="00214987">
        <w:rPr>
          <w:rFonts w:ascii="Arial" w:hAnsi="Arial" w:cs="Arial"/>
          <w:noProof/>
          <w:sz w:val="20"/>
          <w:szCs w:val="20"/>
          <w:lang w:val="en-US"/>
        </w:rPr>
        <w:t>biologic studies</w:t>
      </w:r>
      <w:r w:rsidR="003E0DBA" w:rsidRPr="00214987">
        <w:rPr>
          <w:rFonts w:ascii="Arial" w:hAnsi="Arial" w:cs="Arial"/>
          <w:noProof/>
          <w:sz w:val="20"/>
          <w:szCs w:val="20"/>
          <w:lang w:val="en-US"/>
        </w:rPr>
        <w:t xml:space="preserve">. </w:t>
      </w:r>
      <w:r w:rsidR="00E32BB2" w:rsidRPr="00214987">
        <w:rPr>
          <w:rFonts w:ascii="Arial" w:hAnsi="Arial" w:cs="Arial"/>
          <w:noProof/>
          <w:sz w:val="20"/>
          <w:szCs w:val="20"/>
          <w:lang w:val="en-US"/>
        </w:rPr>
        <w:t xml:space="preserve">Anxiety </w:t>
      </w:r>
      <w:r w:rsidR="00381BB9" w:rsidRPr="00214987">
        <w:rPr>
          <w:rFonts w:ascii="Arial" w:hAnsi="Arial" w:cs="Arial"/>
          <w:noProof/>
          <w:sz w:val="20"/>
          <w:szCs w:val="20"/>
          <w:lang w:val="en-US"/>
        </w:rPr>
        <w:t xml:space="preserve">was </w:t>
      </w:r>
      <w:r w:rsidR="003E0DBA" w:rsidRPr="00214987">
        <w:rPr>
          <w:rFonts w:ascii="Arial" w:hAnsi="Arial" w:cs="Arial"/>
          <w:noProof/>
          <w:sz w:val="20"/>
          <w:szCs w:val="20"/>
          <w:lang w:val="en-US"/>
        </w:rPr>
        <w:t xml:space="preserve">independently </w:t>
      </w:r>
      <w:r w:rsidR="00381BB9" w:rsidRPr="00214987">
        <w:rPr>
          <w:rFonts w:ascii="Arial" w:hAnsi="Arial" w:cs="Arial"/>
          <w:noProof/>
          <w:sz w:val="20"/>
          <w:szCs w:val="20"/>
          <w:lang w:val="en-US"/>
        </w:rPr>
        <w:t>associated with</w:t>
      </w:r>
      <w:r w:rsidR="003E0DBA" w:rsidRPr="00214987">
        <w:rPr>
          <w:rFonts w:ascii="Arial" w:hAnsi="Arial" w:cs="Arial"/>
          <w:noProof/>
          <w:sz w:val="20"/>
          <w:szCs w:val="20"/>
          <w:lang w:val="en-US"/>
        </w:rPr>
        <w:t xml:space="preserve"> </w:t>
      </w:r>
      <w:r w:rsidR="008C6CE9">
        <w:rPr>
          <w:rFonts w:ascii="Arial" w:hAnsi="Arial" w:cs="Arial"/>
          <w:noProof/>
          <w:sz w:val="20"/>
          <w:szCs w:val="20"/>
          <w:lang w:val="en-US"/>
        </w:rPr>
        <w:t>Omalizumab</w:t>
      </w:r>
      <w:r w:rsidR="00E32BB2" w:rsidRPr="00214987">
        <w:rPr>
          <w:rFonts w:ascii="Arial" w:hAnsi="Arial" w:cs="Arial"/>
          <w:noProof/>
          <w:sz w:val="20"/>
          <w:szCs w:val="20"/>
          <w:lang w:val="en-US"/>
        </w:rPr>
        <w:t xml:space="preserve"> </w:t>
      </w:r>
      <w:r w:rsidR="003E0DBA" w:rsidRPr="00214987">
        <w:rPr>
          <w:rFonts w:ascii="Arial" w:hAnsi="Arial" w:cs="Arial"/>
          <w:noProof/>
          <w:sz w:val="20"/>
          <w:szCs w:val="20"/>
          <w:lang w:val="en-US"/>
        </w:rPr>
        <w:t xml:space="preserve">non-response while depression </w:t>
      </w:r>
      <w:r w:rsidR="00381BB9" w:rsidRPr="00214987">
        <w:rPr>
          <w:rFonts w:ascii="Arial" w:hAnsi="Arial" w:cs="Arial"/>
          <w:noProof/>
          <w:sz w:val="20"/>
          <w:szCs w:val="20"/>
          <w:lang w:val="en-US"/>
        </w:rPr>
        <w:t xml:space="preserve">was </w:t>
      </w:r>
      <w:r w:rsidR="00E32BB2" w:rsidRPr="00214987">
        <w:rPr>
          <w:rFonts w:ascii="Arial" w:hAnsi="Arial" w:cs="Arial"/>
          <w:noProof/>
          <w:sz w:val="20"/>
          <w:szCs w:val="20"/>
          <w:lang w:val="en-US"/>
        </w:rPr>
        <w:t xml:space="preserve">independently </w:t>
      </w:r>
      <w:r w:rsidR="00381BB9" w:rsidRPr="00214987">
        <w:rPr>
          <w:rFonts w:ascii="Arial" w:hAnsi="Arial" w:cs="Arial"/>
          <w:noProof/>
          <w:sz w:val="20"/>
          <w:szCs w:val="20"/>
          <w:lang w:val="en-US"/>
        </w:rPr>
        <w:t xml:space="preserve">associated with </w:t>
      </w:r>
      <w:r w:rsidR="008C6CE9">
        <w:rPr>
          <w:rFonts w:ascii="Arial" w:hAnsi="Arial" w:cs="Arial"/>
          <w:noProof/>
          <w:sz w:val="20"/>
          <w:szCs w:val="20"/>
          <w:lang w:val="en-US"/>
        </w:rPr>
        <w:t>Omalizumab</w:t>
      </w:r>
      <w:r w:rsidR="00E32BB2" w:rsidRPr="00214987">
        <w:rPr>
          <w:rFonts w:ascii="Arial" w:hAnsi="Arial" w:cs="Arial"/>
          <w:noProof/>
          <w:sz w:val="20"/>
          <w:szCs w:val="20"/>
          <w:lang w:val="en-US"/>
        </w:rPr>
        <w:t xml:space="preserve"> </w:t>
      </w:r>
      <w:r w:rsidR="003E0DBA" w:rsidRPr="00214987">
        <w:rPr>
          <w:rFonts w:ascii="Arial" w:hAnsi="Arial" w:cs="Arial"/>
          <w:noProof/>
          <w:sz w:val="20"/>
          <w:szCs w:val="20"/>
          <w:lang w:val="en-US"/>
        </w:rPr>
        <w:t>non-super-response</w:t>
      </w:r>
      <w:r w:rsidR="00E32BB2" w:rsidRPr="00214987">
        <w:rPr>
          <w:rFonts w:ascii="Arial" w:hAnsi="Arial" w:cs="Arial"/>
          <w:noProof/>
          <w:sz w:val="20"/>
          <w:szCs w:val="20"/>
          <w:lang w:val="en-US"/>
        </w:rPr>
        <w:t xml:space="preserve"> and was associated with </w:t>
      </w:r>
      <w:r w:rsidR="008C6CE9">
        <w:rPr>
          <w:rFonts w:ascii="Arial" w:hAnsi="Arial" w:cs="Arial"/>
          <w:noProof/>
          <w:sz w:val="20"/>
          <w:szCs w:val="20"/>
          <w:lang w:val="en-US"/>
        </w:rPr>
        <w:t>Mepolizumab</w:t>
      </w:r>
      <w:r w:rsidR="00D33009" w:rsidRPr="00214987">
        <w:rPr>
          <w:rFonts w:ascii="Arial" w:hAnsi="Arial" w:cs="Arial"/>
          <w:noProof/>
          <w:sz w:val="20"/>
          <w:szCs w:val="20"/>
          <w:lang w:val="en-US"/>
        </w:rPr>
        <w:t xml:space="preserve"> non-response</w:t>
      </w:r>
      <w:r w:rsidR="003E0DBA" w:rsidRPr="00214987">
        <w:rPr>
          <w:rFonts w:ascii="Arial" w:hAnsi="Arial" w:cs="Arial"/>
          <w:noProof/>
          <w:sz w:val="20"/>
          <w:szCs w:val="20"/>
          <w:lang w:val="en-US"/>
        </w:rPr>
        <w:t>. Psychopathologies have been associated with biologic non-response</w:t>
      </w:r>
      <w:r w:rsidR="003844FA" w:rsidRPr="00214987">
        <w:rPr>
          <w:rFonts w:ascii="Arial" w:hAnsi="Arial" w:cs="Arial"/>
          <w:noProof/>
          <w:sz w:val="20"/>
          <w:szCs w:val="20"/>
          <w:lang w:val="en-US"/>
        </w:rPr>
        <w:t xml:space="preserve"> in other disease</w:t>
      </w:r>
      <w:r w:rsidR="00CD4082" w:rsidRPr="00214987">
        <w:rPr>
          <w:rFonts w:ascii="Arial" w:hAnsi="Arial" w:cs="Arial"/>
          <w:noProof/>
          <w:sz w:val="20"/>
          <w:szCs w:val="20"/>
          <w:lang w:val="en-US"/>
        </w:rPr>
        <w:t>s</w:t>
      </w:r>
      <w:r w:rsidR="003E0DBA" w:rsidRPr="00214987">
        <w:rPr>
          <w:rFonts w:ascii="Arial" w:hAnsi="Arial" w:cs="Arial"/>
          <w:noProof/>
          <w:sz w:val="20"/>
          <w:szCs w:val="20"/>
          <w:lang w:val="en-US"/>
        </w:rPr>
        <w:t xml:space="preserve">. </w:t>
      </w:r>
      <w:r w:rsidR="00D126A4" w:rsidRPr="00214987">
        <w:rPr>
          <w:rFonts w:ascii="Arial" w:hAnsi="Arial" w:cs="Arial"/>
          <w:noProof/>
          <w:sz w:val="20"/>
          <w:szCs w:val="20"/>
          <w:lang w:val="en-US"/>
        </w:rPr>
        <w:t>Analysis</w:t>
      </w:r>
      <w:r w:rsidR="003E0DBA" w:rsidRPr="00214987">
        <w:rPr>
          <w:rFonts w:ascii="Arial" w:hAnsi="Arial" w:cs="Arial"/>
          <w:noProof/>
          <w:sz w:val="20"/>
          <w:szCs w:val="20"/>
          <w:lang w:val="en-US"/>
        </w:rPr>
        <w:t xml:space="preserve"> of </w:t>
      </w:r>
      <w:r w:rsidR="00AE5BBA" w:rsidRPr="00214987">
        <w:rPr>
          <w:rFonts w:ascii="Arial" w:hAnsi="Arial" w:cs="Arial"/>
          <w:noProof/>
          <w:sz w:val="20"/>
          <w:szCs w:val="20"/>
          <w:lang w:val="en-US"/>
        </w:rPr>
        <w:t xml:space="preserve">the </w:t>
      </w:r>
      <w:r w:rsidR="003E0DBA" w:rsidRPr="00214987">
        <w:rPr>
          <w:rFonts w:ascii="Arial" w:hAnsi="Arial" w:cs="Arial"/>
          <w:noProof/>
          <w:sz w:val="20"/>
          <w:szCs w:val="20"/>
          <w:lang w:val="en-US"/>
        </w:rPr>
        <w:t>British Society for Rheumatology Biologics registry showed that depression reduced the odds of biologic response</w:t>
      </w:r>
      <w:r w:rsidR="00E1339B"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{"citationItems":[{"id":"ITEM-1","itemData":{"DOI":"10.1093/rheumatology/kex528","abstract":"Objective. To investigate the relationship between depressive symptoms and treatment response and disease activity in RA over a 1-year follow-up. Methods. Data from the British Society for Rheumatology Biologics Register were used, representing 18 421 RA patients receiving biologic treatment. Depressive symptoms were identified through one of three assessments: reporting a history of depression, the Medical Outcomes Survey 36-item Short Form or the EuroQol five-dimension scale. Logistic regression analyses examined the relationship between baseline depressive symptoms and odds of good treatment response by 1 year. Multilevel models addressed the association between baseline depressive symptoms and disease activity outcomes over 1-year follow-up, adjusting for age, gender, disease duration, comorbidities and baseline disease activity and physical disability. Results. Depression symptoms at biologic treatment initiation were associated with 2040% reduced odds of achieving a good treatment response at 1 year. Depressive symptoms at baseline also associated with reduced improvement in disease activity over the course of follow-up. Patients with a history of depression or reporting symptoms of depression according to the EuroQol five-dimension scale showed reduced improvement in tender and swollen joints, patient global assessment and ESR over 1-year follow-up. Patients with depression symptoms according to the 36-item Short Form showed reduced improvement in tender and swollen joints, but not ESR or patient global assessment. Conclusion. Experiencing symptoms of depression at the start of biologics treatment may reduce the odds of achieving a good treatment response, and reduce improvement in disease activity over time. Depression should be managed as part of routine clinical care to optimize treatment outcomes. Rheumatology key messages. Depression at baseline contributes to $ 30% reduced odds of good biologics treatment response in RA.. Depression is associated with reduced change in DAS28 over time in response to biologics in RA.","author":[{"dropping-particle":"","family":"Matcham","given":"Faith","non-dropping-particle":"","parse-names":false,"suffix":""},{"dropping-particle":"","family":"Davies","given":"Rebecca","non-dropping-particle":"","parse-names":false,"suffix":""},{"dropping-particle":"","family":"Hotopf","given":"Matthew","non-dropping-particle":"","parse-names":false,"suffix":""},{"dropping-particle":"","family":"Hyrich","given":"Kimme L","non-dropping-particle":"","parse-names":false,"suffix":""},{"dropping-particle":"","family":"Norton","given":"Sam","non-dropping-particle":"","parse-names":false,"suffix":""},{"dropping-particle":"","family":"Steer","given":"Sophia","non-dropping-particle":"","parse-names":false,"suffix":""},{"dropping-particle":"","family":"Galloway","given":"James","non-dropping-particle":"","parse-names":false,"suffix":""}],"container-title":"Rheumatology","id":"ITEM-1","issued":{"date-parts":[["2018"]]},"page":"835-843","title":"The relationship between depression and biologic treatment response in rheumatoid arthritis: An analysis of the British Society for Rheumatology Biologics Register","type":"article-journal","volume":"57"},"uris":["http://www.mendeley.com/documents/?uuid=946b3d5a-3e22-3460-895c-94bfc8e6d2b3"]}],"mendeley":{"formattedCitation":"&lt;sup&gt;33&lt;/sup&gt;","plainTextFormattedCitation":"33","previouslyFormattedCitation":"&lt;sup&gt;33&lt;/sup&gt;"},"properties":{"noteIndex":0},"schema":"https://github.com/citation-style-language/schema/raw/master/csl-citation.json"}</w:instrText>
      </w:r>
      <w:r w:rsidR="00E1339B"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33</w:t>
      </w:r>
      <w:r w:rsidR="00E1339B" w:rsidRPr="00214987">
        <w:rPr>
          <w:rFonts w:ascii="Arial" w:hAnsi="Arial" w:cs="Arial"/>
          <w:noProof/>
          <w:sz w:val="20"/>
          <w:szCs w:val="20"/>
          <w:lang w:val="en-US"/>
        </w:rPr>
        <w:fldChar w:fldCharType="end"/>
      </w:r>
      <w:r w:rsidR="00F53AE6" w:rsidRPr="00214987">
        <w:rPr>
          <w:rFonts w:ascii="Arial" w:hAnsi="Arial" w:cs="Arial"/>
          <w:noProof/>
          <w:sz w:val="20"/>
          <w:szCs w:val="20"/>
          <w:lang w:val="en-US"/>
        </w:rPr>
        <w:t xml:space="preserve">.  </w:t>
      </w:r>
      <w:r w:rsidR="003E0DBA" w:rsidRPr="00214987">
        <w:rPr>
          <w:rFonts w:ascii="Arial" w:hAnsi="Arial" w:cs="Arial"/>
          <w:noProof/>
          <w:sz w:val="20"/>
          <w:szCs w:val="20"/>
          <w:lang w:val="en-US"/>
        </w:rPr>
        <w:t xml:space="preserve">The impact of psychopathology on biologic </w:t>
      </w:r>
      <w:r w:rsidR="00A6226D" w:rsidRPr="00214987">
        <w:rPr>
          <w:rFonts w:ascii="Arial" w:hAnsi="Arial" w:cs="Arial"/>
          <w:noProof/>
          <w:sz w:val="20"/>
          <w:szCs w:val="20"/>
          <w:lang w:val="en-US"/>
        </w:rPr>
        <w:t>outcome</w:t>
      </w:r>
      <w:r w:rsidR="003E0DBA" w:rsidRPr="00214987">
        <w:rPr>
          <w:rFonts w:ascii="Arial" w:hAnsi="Arial" w:cs="Arial"/>
          <w:noProof/>
          <w:sz w:val="20"/>
          <w:szCs w:val="20"/>
          <w:lang w:val="en-US"/>
        </w:rPr>
        <w:t xml:space="preserve"> could be secondary to the well</w:t>
      </w:r>
      <w:r w:rsidR="00983005">
        <w:rPr>
          <w:rFonts w:ascii="Arial" w:hAnsi="Arial" w:cs="Arial"/>
          <w:noProof/>
          <w:sz w:val="20"/>
          <w:szCs w:val="20"/>
          <w:lang w:val="en-US"/>
        </w:rPr>
        <w:t>-</w:t>
      </w:r>
      <w:r w:rsidR="003E0DBA" w:rsidRPr="00214987">
        <w:rPr>
          <w:rFonts w:ascii="Arial" w:hAnsi="Arial" w:cs="Arial"/>
          <w:noProof/>
          <w:sz w:val="20"/>
          <w:szCs w:val="20"/>
          <w:lang w:val="en-US"/>
        </w:rPr>
        <w:t>documented interplay between psychological disease and SA</w:t>
      </w:r>
      <w:r w:rsidR="00E1339B"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{"citationItems":[{"id":"ITEM-1","itemData":{"DOI":"10.1016/j.jaip.2019.07.023","ISSN":"22132198","PMID":"31950903","abstract":"Although the functional association between asthma, anxiety , and depression has been known for decades, the increasing prevalence of these comorbid conditions has furthered the interest of the health care community. Comorbidity between medical and mental conditions is the rule rather than the exception. 1 The prevalence of chronic diseases doubled between 1985 and 2005. Consequentially, the prevalence of multiple morbidities also increased significantly, with the prevalence of individuals with 2, 3, and 4 or more diseases rising by 20%, 60%, and 300%, respectively. 2 Increasing age, female sex, and low socioeconomic status are associated with higher multimorbidity. 2 By 2010, 31.5% of all Americans had multiple chronic conditions. In addition, the presence of a mental health disorder, particularly depression, appears to increase as the number of medical morbidities increases.","author":[{"dropping-particle":"","family":"Vargas","given":"Perla A.","non-dropping-particle":"","parse-names":false,"suffix":""}],"container-title":"Journal of Allergy and Clinical Immunology: In Practice","id":"ITEM-1","issue":"1","issued":{"date-parts":[["2020","1","1"]]},"page":"208-209","publisher":"American Academy of Allergy, Asthma and Immunology","title":"Spreading the Word: Comorbidity of Asthma and Depression Is Not Just the Product of a Vulnerable Personality","type":"article","volume":"8"},"uris":["http://www.mendeley.com/documents/?uuid=67136f76-5b0b-33c4-960a-8c04b43fa200"]}],"mendeley":{"formattedCitation":"&lt;sup&gt;34&lt;/sup&gt;","plainTextFormattedCitation":"34","previouslyFormattedCitation":"&lt;sup&gt;34&lt;/sup&gt;"},"properties":{"noteIndex":0},"schema":"https://github.com/citation-style-language/schema/raw/master/csl-citation.json"}</w:instrText>
      </w:r>
      <w:r w:rsidR="00E1339B"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34</w:t>
      </w:r>
      <w:r w:rsidR="00E1339B" w:rsidRPr="00214987">
        <w:rPr>
          <w:rFonts w:ascii="Arial" w:hAnsi="Arial" w:cs="Arial"/>
          <w:noProof/>
          <w:sz w:val="20"/>
          <w:szCs w:val="20"/>
          <w:lang w:val="en-US"/>
        </w:rPr>
        <w:fldChar w:fldCharType="end"/>
      </w:r>
      <w:r w:rsidR="00E1339B" w:rsidRPr="00214987">
        <w:rPr>
          <w:rFonts w:ascii="Arial" w:hAnsi="Arial" w:cs="Arial"/>
          <w:noProof/>
          <w:sz w:val="20"/>
          <w:szCs w:val="20"/>
          <w:lang w:val="en-US"/>
        </w:rPr>
        <w:t xml:space="preserve">. </w:t>
      </w:r>
      <w:r w:rsidR="003E0DBA" w:rsidRPr="00214987">
        <w:rPr>
          <w:rFonts w:ascii="Arial" w:hAnsi="Arial" w:cs="Arial"/>
          <w:noProof/>
          <w:sz w:val="20"/>
          <w:szCs w:val="20"/>
          <w:lang w:val="en-US"/>
        </w:rPr>
        <w:t xml:space="preserve">Psychopathologies have been associated with worse asthma control, more exacerbations and more </w:t>
      </w:r>
      <w:r w:rsidR="00734AAE" w:rsidRPr="00214987">
        <w:rPr>
          <w:rFonts w:ascii="Arial" w:hAnsi="Arial" w:cs="Arial"/>
          <w:noProof/>
          <w:sz w:val="20"/>
          <w:szCs w:val="20"/>
          <w:lang w:val="en-US"/>
        </w:rPr>
        <w:t>AHE</w:t>
      </w:r>
      <w:r w:rsidR="006D1396"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{"citationItems":[{"id":"ITEM-1","itemData":{"DOI":"10.1016/j.jaip.2019.07.009","ISSN":"22132198","PMID":"31326620","abstract":"Background: Psychological variables (anxiety, depression, and coping strategies) and asthma control (assessed from the patient's perspective or from the physician's perspective) affect health-related quality of life (HRQoL) in asthmatic patients. However, no study has simultaneously evaluated these variables to understand the independent contribution of each one of these factors to HRQoL. Objective: To determine the impact of anxiety, depression, coping strategies, and asthma control on HRQoL, and to compare the impact of asthma control on HRQoL when it is established by the physician versus when it is considered by the patient. Methods: A total of 373 asthmatics completed the Hospital Anxiety and Depression Scale, Coping Orientations to Problems Experienced Inventory, 36-Item Short-Form Health Survey, and St. George Respiratory Questionnaire. Asthma control was measured by the patient with Asthma Control Test and by the physician with the classification asthma control of Global Initiative for Asthma. Demographic and clinical characteristics were also collected. Results: Anxiety, depression, and poor patient-rated asthma control status were associated with worse HRQoL in all dimensions (except Mental Health for asthma control). Physician-rated asthma control was related to worse HRQoL in physical generic and specific dimensions. Among coping strategies, only avoidant coping impacted HRQoL in a few dimensions. Conclusions: Anxiety, depression, and asthma control (especially patient-rated asthma control) were important independent predictors of asthma HRQoL, and all of them should therefore be considered in interventions to improve HRQoL in asthmatic patients.","author":[{"dropping-particle":"","family":"González-Freire","given":"Beatriz","non-dropping-particle":"","parse-names":false,"suffix":""},{"dropping-particle":"","family":"Vázquez","given":"Isabel","non-dropping-particle":"","parse-names":false,"suffix":""},{"dropping-particle":"","family":"Pértega-Díaz","given":"Sonia","non-dropping-particle":"","parse-names":false,"suffix":""}],"container-title":"Journal of Allergy and Clinical Immunology: In Practice","id":"ITEM-1","issue":"1","issued":{"date-parts":[["2020","1","1"]]},"page":"197-207","publisher":"American Academy of Allergy, Asthma and Immunology","title":"The Relationship of Psychological Factors and Asthma Control to Health-Related Quality of Life","type":"article-journal","volume":"8"},"uris":["http://www.mendeley.com/documents/?uuid=77ae4bf1-58d7-3022-8a1a-63940e7eb4a4"]},{"id":"ITEM-2","itemData":{"DOI":"10.3109/02770903.2011.631238","ISSN":"02770903","PMID":"22091741","abstract":"Background. Subjects with asthma are more susceptible to psychological symptoms, but it is uncertain whether psychological symptoms are linked to future risk of asthma outcomes. Objective. To investigate the relationship between current psychological symptoms and future risk of asthma outcomes. Methods. We conducted a prospective cohort study with a 12-month follow-up period of 297 patients with asthma. Psychological symptoms, lung function, asthma control test, and Asthma Quality of Life Questionnaire at baseline were assessed. Asthma outcomes including exacerbations, unplanned visits, emergency visits, hospital admissions, intensive care unit admissions, and length of hospital stays were monitored monthly. The time to the first asthma outcomes was analyzed. Furthermore, the association between psychological symptoms and future risk of asthma outcomes was calculated as adjusted relative risk (RR) using logistic regression models. Results. The asthma patients were assigned to one of three groups: neither anxiety nor depression symptoms (NAD, n = 102), either anxiety or depression symptoms (A/D, n = 68), or anxiety and depression symptoms (AD, n = 120). Logistic regression models indicated that asthma patients in the AD group, but not the A/D group, had an increased adjusted RR for unplanned visits and emergency visits (RR = 2.33, 95% confidence interval (CI) = [1.50, 3.61]; and RR = 3.13, 95% CI = [1.90, 5.17], respectively). The time to the first asthma outcomes including exacerbations, unplanned visits, and emergency visits was shorter in patients with psychological symptoms than those without (all p &lt; .001). Conclusion. Current psychological symptoms, especially anxiety combined with depression, independently predict the future risk of asthma outcomes. © 2011 Informa Healthcare USA, Inc.","author":[{"dropping-particle":"","family":"Wang","given":"Gang","non-dropping-particle":"","parse-names":false,"suffix":""},{"dropping-particle":"","family":"Zhou","given":"Ting","non-dropping-particle":"","parse-names":false,"suffix":""},{"dropping-particle":"","family":"Wang","given":"Lan","non-dropping-particle":"","parse-names":false,"suffix":""},{"dropping-particle":"","family":"Wang","given":"Lei","non-dropping-particle":"","parse-names":false,"suffix":""},{"dropping-particle":"","family":"Fu","given":"Juan Juan","non-dropping-particle":"","parse-names":false,"suffix":""},{"dropping-particle":"","family":"Zhang","given":"Hong Ping","non-dropping-particle":"","parse-names":false,"suffix":""},{"dropping-particle":"","family":"Ji","given":"Yu Lin","non-dropping-particle":"","parse-names":false,"suffix":""}],"container-title":"Journal of Asthma","id":"ITEM-2","issue":"10","issued":{"date-parts":[["2011","12"]]},"page":"1041-1050","publisher":"J Asthma","title":"Relationship between current psychological symptoms and future risk of asthma outcomes: A 12-month prospective cohort study","type":"article-journal","volume":"48"},"uris":["http://www.mendeley.com/documents/?uuid=96f3e32e-7787-36a1-908d-fbf7a384713d"]},{"id":"ITEM-3","itemData":{"DOI":"10.1097/PSY.0b013e3182864ee3","ISSN":"15347796","PMID":"23440228","abstract":"BACKGROUND: Although depression has been linked with asthma, its relationship with asthma exacerbations, including emergency department (ED) visits and oral steroid (OS) use, has not been well documented. The aim is to investigate whether depression increases exacerbations among patients with asthma. METHOD: The study included 568 participants with asthma who were between 18 and 56 years old, were taking an inhaled corticosteroid, and participated in baseline and follow-up surveys. Surveys and medical records from a large, health system were collected as part of the Adherence Feedback for Improving Respiratory Medication Use trial. Number of ED visits and OS prescription fills for asthma were calculated for 12-month periods before and after the follow-up survey. Depression was measured using a standardized two-item instrument. Negative binomial regression and modified proportional hazards models were used. RESULTS: Among patients with asthma, those who had depression (n = 187; 32.9%) were at increased risk for an asthma-related ED visit (adjusted relative risk = 1.96, 95% confidence interval [CI] = 1.02-3.75), but not an OS fill (adjusted relative risk = 0.98; 95% CI = 0.72-1.32). Participants with depression and asthma who received psychiatric treatment via antidepressant medication (n = 126; 22.2%) or psychotherapy (n = 39; 6.9%) were more likely to have an ED visit (medication hazard ratio = 2.09, 95% CI = 1.35-3.25; psychotherapy hazard ratio = 2.07, 95% CI = 1.38-3.22). CONCLUSIONS: This study suggests a temporal relationship between depression and asthma-related ED visits. Research and practice must consider the importance of these comorbid conditions. Copyright © 2013 by the American Psychosomatic Society.","author":[{"dropping-particle":"","family":"Ahmedani","given":"Brian K.","non-dropping-particle":"","parse-names":false,"suffix":""},{"dropping-particle":"","family":"Peterson","given":"Edward L.","non-dropping-particle":"","parse-names":false,"suffix":""},{"dropping-particle":"","family":"Wells","given":"Karen E.","non-dropping-particle":"","parse-names":false,"suffix":""},{"dropping-particle":"","family":"Williams","given":"L. Keoki","non-dropping-particle":"","parse-names":false,"suffix":""}],"container-title":"Psychosomatic Medicine","id":"ITEM-3","issue":"3","issued":{"date-parts":[["2013"]]},"page":"305-310","publisher":"Lippincott Williams and Wilkins","title":"Examining the relationship between depression and asthma exacerbations in a prospective follow-up study","type":"article-journal","volume":"75"},"uris":["http://www.mendeley.com/documents/?uuid=9368788a-c59f-3d52-927c-174e9af99064"]}],"mendeley":{"formattedCitation":"&lt;sup&gt;35–37&lt;/sup&gt;","plainTextFormattedCitation":"35–37","previouslyFormattedCitation":"&lt;sup&gt;35–37&lt;/sup&gt;"},"properties":{"noteIndex":0},"schema":"https://github.com/citation-style-language/schema/raw/master/csl-citation.json"}</w:instrText>
      </w:r>
      <w:r w:rsidR="006D1396"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35–37</w:t>
      </w:r>
      <w:r w:rsidR="006D1396" w:rsidRPr="00214987">
        <w:rPr>
          <w:rFonts w:ascii="Arial" w:hAnsi="Arial" w:cs="Arial"/>
          <w:noProof/>
          <w:sz w:val="20"/>
          <w:szCs w:val="20"/>
          <w:lang w:val="en-US"/>
        </w:rPr>
        <w:fldChar w:fldCharType="end"/>
      </w:r>
      <w:r w:rsidR="001917CA" w:rsidRPr="00214987">
        <w:rPr>
          <w:rFonts w:ascii="Arial" w:hAnsi="Arial" w:cs="Arial"/>
          <w:noProof/>
          <w:sz w:val="20"/>
          <w:szCs w:val="20"/>
          <w:lang w:val="en-US"/>
        </w:rPr>
        <w:t>.</w:t>
      </w:r>
      <w:r w:rsidR="008F3A08" w:rsidRPr="00214987">
        <w:rPr>
          <w:rFonts w:ascii="Arial" w:hAnsi="Arial" w:cs="Arial"/>
          <w:noProof/>
          <w:sz w:val="20"/>
          <w:szCs w:val="20"/>
          <w:lang w:val="en-US"/>
        </w:rPr>
        <w:t xml:space="preserve"> </w:t>
      </w:r>
      <w:r w:rsidR="00D77C7A" w:rsidRPr="00214987">
        <w:rPr>
          <w:rFonts w:ascii="Arial" w:hAnsi="Arial" w:cs="Arial"/>
          <w:noProof/>
          <w:sz w:val="20"/>
          <w:szCs w:val="20"/>
          <w:lang w:val="en-US"/>
        </w:rPr>
        <w:t>Furthermore, s</w:t>
      </w:r>
      <w:r w:rsidR="008F3A08" w:rsidRPr="00214987">
        <w:rPr>
          <w:rFonts w:ascii="Arial" w:hAnsi="Arial" w:cs="Arial"/>
          <w:noProof/>
          <w:sz w:val="20"/>
          <w:szCs w:val="20"/>
          <w:lang w:val="en-US"/>
        </w:rPr>
        <w:t xml:space="preserve">tudies have shown that proinflammatory cytokines </w:t>
      </w:r>
      <w:r w:rsidR="00175522" w:rsidRPr="00214987">
        <w:rPr>
          <w:rFonts w:ascii="Arial" w:hAnsi="Arial" w:cs="Arial"/>
          <w:noProof/>
          <w:sz w:val="20"/>
          <w:szCs w:val="20"/>
          <w:lang w:val="en-US"/>
        </w:rPr>
        <w:t xml:space="preserve">associated with asthma </w:t>
      </w:r>
      <w:r w:rsidR="008F3A08" w:rsidRPr="00214987">
        <w:rPr>
          <w:rFonts w:ascii="Arial" w:hAnsi="Arial" w:cs="Arial"/>
          <w:noProof/>
          <w:sz w:val="20"/>
          <w:szCs w:val="20"/>
          <w:lang w:val="en-US"/>
        </w:rPr>
        <w:t>are raised in depression</w:t>
      </w:r>
      <w:r w:rsidR="00FC2975" w:rsidRPr="00214987">
        <w:rPr>
          <w:rFonts w:ascii="Arial" w:hAnsi="Arial" w:cs="Arial"/>
          <w:noProof/>
          <w:sz w:val="20"/>
          <w:szCs w:val="20"/>
          <w:lang w:val="en-US"/>
        </w:rPr>
        <w:t xml:space="preserve"> and anxiety</w:t>
      </w:r>
      <w:r w:rsidR="00FC2975"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{"citationItems":[{"id":"ITEM-1","itemData":{"DOI":"10.1016/j.jad.2014.04.027","ISSN":"15732517","PMID":"25012406","abstract":"Background Depression is often present in patients with asthma and vice versa. In this review, we aimed to summarize reports on the comorbidity of depression and asthma, and to seek evidence that the biological mechanisms of allergy may have an important role linking asthma and depression. Method To explore the relationship and pathway underpinning this comorbidity, we reviewed medical articles and undertook a meta-analysis of epidemiological studies on (i) incidence of asthma in patients with depression; (ii) morbidity of depression in patients with asthma; (iii) concentration of cytokines in depressed subjects. Results High level of comorbidity of asthma and depression was consistently demonstrated in 10 studies of patients with asthma and four studies of patients with depression. In search of biological connection of the two illnesses, thirty-eight studies were included for Meta-analyses examining differences in allergy related cytokines between patients with depression and non-depressive subjects. In people with depression, concentration of monocytes related cytokines such as IL-1 (1.56 ng/mL, 95% CI: 0.00-3.12, p=0.05) was significantly higher than that in non-depressive control subjects. At the same time, some other inflammatory factors including IL-4 (5.77 pg/mL, 95% CI: 2.34-9.21, p=0.00010), IL-6 (1.44 ng/mL, 95% CI: 1.05-1.82, p&lt;0.00001) and TNF-α(3.01 ng/mL, 95% CI: 1.76-4.26, p&lt;0.00001) were extremely significantly higher in depressed people compared with the controls. There was no significant differences of the T cell related cytokine levels, IFN-γ (-0.16 ng/mL, 95% CI: -0.85-7.73, p=0.97), accompanied with IL-10 (0.67 ng/mL, 95% CI: -0.84-2.18, p=0.38) between depressive and non-depressive groups. Conclusions The varying levels of certain cytokines play an important role in arousing and remitting asthma and depression. That suggests inflammatory response could be a common pathway adjusting both depression and asthma. © 2014 Elsevier B.V.","author":[{"dropping-particle":"","family":"Jiang","given":"Mingdi","non-dropping-particle":"","parse-names":false,"suffix":""},{"dropping-particle":"","family":"Qin","given":"Ping","non-dropping-particle":"","parse-names":false,"suffix":""},{"dropping-particle":"","family":"Yang","given":"Xu","non-dropping-particle":"","parse-names":false,"suffix":""}],"container-title":"Journal of Affective Disorders","id":"ITEM-1","issued":{"date-parts":[["2014","9","1"]]},"page":"22-29","publisher":"Elsevier","title":"Comorbidity between depression and asthma via immune-inflammatory pathways: A meta-analysis","type":"article","volume":"166"},"uris":["http://www.mendeley.com/documents/?uuid=aaab3cc0-5bcb-39a7-a3e0-e10da2bb241f"]},{"id":"ITEM-2","itemData":{"DOI":"10.1016/j.biopsych.2009.09.033","ISSN":"00063223","PMID":"20015486","abstract":"Background: Major depression occurs in 4.4% to 20% of the general population. Studies suggest that major depression is accompanied by immune dysregulation and activation of the inflammatory response system (IRS). Our objective was to quantitatively summarize the data on concentrations of specific cytokines in patients diagnosed with a major depressive episode and controls. Methods: We performed a meta-analysis of studies measuring cytokine concentration in patients with major depression, with a database search of the English literature (to August 2009) and a manual search of references. Results: Twenty-four studies involving unstimulated measurements of cytokines in patients meeting DSM criteria for major depression were included in the meta-analysis; 13 for tumor necrosis factor (TNF)-α, 9 for interleukin (IL)-1β, 16 for IL-6, 5 for IL-4, 5 for IL-2, 4 for IL-8, 6 for IL-10, and 4 for interferon (IFN)-γ. There were significantly higher concentrations of TNF-α (p &lt; .00001), weighted mean difference (WMD) (95% confidence interval) 3.97 pg/mL (2.24 to 5.71), in depressed subjects compared with control subjects (438 depressed/350 nondepressed). Also, IL-6 concentrations were significantly higher (p &lt; .00001) in depressed subjects compared with control subjects (492 depressed/400 nondepressed) with an overall WMD of 1.78 pg/mL (1.23 to 2.33). There were no significant differences among depressed and nondepressed subjects for the other cytokines studied. Conclusions: This meta-analysis reports significantly higher concentrations of the proinflammatory cytokines TNF-α and IL-6 in depressed subjects compared with control subjects. While both positive and negative results have been reported in individual studies, this meta-analytic result strengthens evidence that depression is accompanied by activation of the IRS. © 2010 Society of Biological Psychiatry.","author":[{"dropping-particle":"","family":"Dowlati","given":"Yekta","non-dropping-particle":"","parse-names":false,"suffix":""},{"dropping-particle":"","family":"Herrmann","given":"Nathan","non-dropping-particle":"","parse-names":false,"suffix":""},{"dropping-particle":"","family":"Swardfager","given":"Walter","non-dropping-particle":"","parse-names":false,"suffix":""},{"dropping-particle":"","family":"Liu","given":"Helena","non-dropping-particle":"","parse-names":false,"suffix":""},{"dropping-particle":"","family":"Sham","given":"Lauren","non-dropping-particle":"","parse-names":false,"suffix":""},{"dropping-particle":"","family":"Reim","given":"Elyse K.","non-dropping-particle":"","parse-names":false,"suffix":""},{"dropping-particle":"","family":"Lanctôt","given":"Krista L.","non-dropping-particle":"","parse-names":false,"suffix":""}],"container-title":"Biological Psychiatry","id":"ITEM-2","issue":"5","issued":{"date-parts":[["2010","3","1"]]},"page":"446-457","publisher":"Elsevier","title":"A Meta-Analysis of Cytokines in Major Depression","type":"article-journal","volume":"67"},"uris":["http://www.mendeley.com/documents/?uuid=764d3f0d-74dc-3dcd-9329-04762f1457e4"]}],"mendeley":{"formattedCitation":"&lt;sup&gt;38,39&lt;/sup&gt;","plainTextFormattedCitation":"38,39","previouslyFormattedCitation":"&lt;sup&gt;38,39&lt;/sup&gt;"},"properties":{"noteIndex":0},"schema":"https://github.com/citation-style-language/schema/raw/master/csl-citation.json"}</w:instrText>
      </w:r>
      <w:r w:rsidR="00FC2975"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38,39</w:t>
      </w:r>
      <w:r w:rsidR="00FC2975" w:rsidRPr="00214987">
        <w:rPr>
          <w:rFonts w:ascii="Arial" w:hAnsi="Arial" w:cs="Arial"/>
          <w:noProof/>
          <w:sz w:val="20"/>
          <w:szCs w:val="20"/>
          <w:lang w:val="en-US"/>
        </w:rPr>
        <w:fldChar w:fldCharType="end"/>
      </w:r>
      <w:r w:rsidR="003E0DBA" w:rsidRPr="00214987">
        <w:rPr>
          <w:rFonts w:ascii="Arial" w:hAnsi="Arial" w:cs="Arial"/>
          <w:noProof/>
          <w:sz w:val="20"/>
          <w:szCs w:val="20"/>
          <w:lang w:val="en-US"/>
        </w:rPr>
        <w:t>, which may dampen biologic effect</w:t>
      </w:r>
      <w:r w:rsidR="008F3A08" w:rsidRPr="00214987">
        <w:rPr>
          <w:rFonts w:ascii="Arial" w:hAnsi="Arial" w:cs="Arial"/>
          <w:noProof/>
          <w:sz w:val="20"/>
          <w:szCs w:val="20"/>
          <w:lang w:val="en-US"/>
        </w:rPr>
        <w:t xml:space="preserve">.  </w:t>
      </w:r>
      <w:r w:rsidR="003E0DBA" w:rsidRPr="00214987">
        <w:rPr>
          <w:rFonts w:ascii="Arial" w:hAnsi="Arial" w:cs="Arial"/>
          <w:noProof/>
          <w:sz w:val="20"/>
          <w:szCs w:val="20"/>
          <w:lang w:val="en-US"/>
        </w:rPr>
        <w:t>Brown et al showed in a</w:t>
      </w:r>
      <w:r w:rsidR="00983005">
        <w:rPr>
          <w:rFonts w:ascii="Arial" w:hAnsi="Arial" w:cs="Arial"/>
          <w:noProof/>
          <w:sz w:val="20"/>
          <w:szCs w:val="20"/>
          <w:lang w:val="en-US"/>
        </w:rPr>
        <w:t>n</w:t>
      </w:r>
      <w:r w:rsidR="003E0DBA" w:rsidRPr="00214987">
        <w:rPr>
          <w:rFonts w:ascii="Arial" w:hAnsi="Arial" w:cs="Arial"/>
          <w:noProof/>
          <w:sz w:val="20"/>
          <w:szCs w:val="20"/>
          <w:lang w:val="en-US"/>
        </w:rPr>
        <w:t xml:space="preserve"> RCT that 12-week continuous escitalopram therapy for </w:t>
      </w:r>
      <w:r w:rsidR="0006253E">
        <w:rPr>
          <w:rFonts w:ascii="Arial" w:hAnsi="Arial" w:cs="Arial"/>
          <w:noProof/>
          <w:sz w:val="20"/>
          <w:szCs w:val="20"/>
          <w:lang w:val="en-US"/>
        </w:rPr>
        <w:t>severe asthma</w:t>
      </w:r>
      <w:r w:rsidR="003E0DBA" w:rsidRPr="00214987">
        <w:rPr>
          <w:rFonts w:ascii="Arial" w:hAnsi="Arial" w:cs="Arial"/>
          <w:noProof/>
          <w:sz w:val="20"/>
          <w:szCs w:val="20"/>
          <w:lang w:val="en-US"/>
        </w:rPr>
        <w:t xml:space="preserve"> patients with co-morbid major depression</w:t>
      </w:r>
      <w:r w:rsidR="000901A8" w:rsidRPr="00214987">
        <w:rPr>
          <w:rFonts w:ascii="Arial" w:hAnsi="Arial" w:cs="Arial"/>
          <w:noProof/>
          <w:sz w:val="20"/>
          <w:szCs w:val="20"/>
          <w:lang w:val="en-US"/>
        </w:rPr>
        <w:t xml:space="preserve"> significantly</w:t>
      </w:r>
      <w:r w:rsidR="003E0DBA" w:rsidRPr="00214987">
        <w:rPr>
          <w:rFonts w:ascii="Arial" w:hAnsi="Arial" w:cs="Arial"/>
          <w:noProof/>
          <w:sz w:val="20"/>
          <w:szCs w:val="20"/>
          <w:lang w:val="en-US"/>
        </w:rPr>
        <w:t xml:space="preserve"> reduced OCS use and </w:t>
      </w:r>
      <w:r w:rsidR="001D737C">
        <w:rPr>
          <w:rFonts w:ascii="Arial" w:hAnsi="Arial" w:cs="Arial"/>
          <w:noProof/>
          <w:sz w:val="20"/>
          <w:szCs w:val="20"/>
          <w:lang w:val="en-US"/>
        </w:rPr>
        <w:t xml:space="preserve">improved </w:t>
      </w:r>
      <w:r w:rsidR="008E7961" w:rsidRPr="00214987">
        <w:rPr>
          <w:rFonts w:ascii="Arial" w:hAnsi="Arial" w:cs="Arial"/>
          <w:noProof/>
          <w:sz w:val="20"/>
          <w:szCs w:val="20"/>
          <w:lang w:val="en-US"/>
        </w:rPr>
        <w:t>asthma control</w:t>
      </w:r>
      <w:r w:rsidR="003E0DBA" w:rsidRPr="00214987">
        <w:rPr>
          <w:rFonts w:ascii="Arial" w:hAnsi="Arial" w:cs="Arial"/>
          <w:noProof/>
          <w:sz w:val="20"/>
          <w:szCs w:val="20"/>
          <w:vertAlign w:val="superscript"/>
          <w:lang w:val="en-US"/>
        </w:rPr>
        <w:fldChar w:fldCharType="begin" w:fldLock="1"/>
      </w:r>
      <w:r w:rsidR="00AE59D2">
        <w:rPr>
          <w:rFonts w:ascii="Arial" w:hAnsi="Arial" w:cs="Arial"/>
          <w:noProof/>
          <w:sz w:val="20"/>
          <w:szCs w:val="20"/>
          <w:vertAlign w:val="superscript"/>
          <w:lang w:val="en-US"/>
        </w:rPr>
        <w:instrText>ADDIN CSL_CITATION {"citationItems":[{"id":"ITEM-1","itemData":{"DOI":"10.1016/j.jaip.2018.01.010","ISSN":"22132198","PMID":"29409976","abstract":"Background: Depression is common in asthma and is associated with poor outcomes. However, antidepressant therapy in depressed patients with asthma has been the topic of little research. Objective: This study examined the impact of antidepressant treatment with escitalopram versus placebo on the Hamilton Rating Scale for Depression (HRSD), Inventory of Depressive Symptomatology-Self Report (IDS-SR), Asthma Control Questionnaire (ACQ), and oral corticosteroid use in patients with asthma and major depressive disorder (MDD). Methods: Single-site 12-week, randomized, double-blind, placebo-controlled, parallel-group trial of escitalopram (10 mg/d) was conducted in 139 outpatients with asthma and MDD. Randomization was stratified by oral corticosteroid use (≥3 bursts in past 12 months, yes or no) and baseline depressive symptom severity (HRSD score ≥ 20) (higher severity, n = 42) versus less than 3 bursts, HRSD score less than 20, or both (lower severity, n = 97). The primary data analysis was conducted using hierarchical linear modeling Version 7.01 on the higher and lower severity samples and post hoc was conducted on the combined sample. Results: Among the higher severity completers (n = 21), a significant reduction in the ACQ score (P =.04) and oral corticosteroid use (P =.04) was observed with escitalopram. In the combined sample, no significant differences were observed, but a trend toward greater reduction in the IDS-SR score was observed with escitalopram (P =.07). Side effects were comparable across groups. Conclusions: The findings suggest that patients with more severe asthma and depression symptomatology may have a positive response, in terms of both asthma and depressive symptom reduction, to antidepressant treatment.","author":[{"dropping-particle":"","family":"Brown","given":"E. Sherwood","non-dropping-particle":"","parse-names":false,"suffix":""},{"dropping-particle":"","family":"Sayed","given":"Nasreen","non-dropping-particle":"","parse-names":false,"suffix":""},{"dropping-particle":"","family":"Enkevort","given":"Erin","non-dropping-particle":"Van","parse-names":false,"suffix":""},{"dropping-particle":"","family":"Kulikova","given":"Alexandra","non-dropping-particle":"","parse-names":false,"suffix":""},{"dropping-particle":"","family":"Nakamura","given":"Alyson","non-dropping-particle":"","parse-names":false,"suffix":""},{"dropping-particle":"","family":"Khan","given":"David A.","non-dropping-particle":"","parse-names":false,"suffix":""},{"dropping-particle":"","family":"Ivleva","given":"Elena I.","non-dropping-particle":"","parse-names":false,"suffix":""},{"dropping-particle":"","family":"Sunderajan","given":"Prabha","non-dropping-particle":"","parse-names":false,"suffix":""},{"dropping-particle":"","family":"Bender","given":"Bruce G.","non-dropping-particle":"","parse-names":false,"suffix":""},{"dropping-particle":"","family":"Holmes","given":"Traci","non-dropping-particle":"","parse-names":false,"suffix":""}],"container-title":"Journal of Allergy and Clinical Immunology: In Practice","id":"ITEM-1","issue":"5","issued":{"date-parts":[["2018","9","1"]]},"page":"1604-1612","publisher":"American Academy of Allergy, Asthma and Immunology","title":"A Randomized, Double-Blind, Placebo-Controlled Trial of Escitalopram in Patients with Asthma and Major Depressive Disorder","type":"article-journal","volume":"6"},"uris":["http://www.mendeley.com/documents/?uuid=a72ffb11-e344-38b7-a205-02214eca8f0d"]}],"mendeley":{"formattedCitation":"&lt;sup&gt;40&lt;/sup&gt;","plainTextFormattedCitation":"40","previouslyFormattedCitation":"&lt;sup&gt;40&lt;/sup&gt;"},"properties":{"noteIndex":0},"schema":"https://github.com/citation-style-language/schema/raw/master/csl-citation.json"}</w:instrText>
      </w:r>
      <w:r w:rsidR="003E0DBA" w:rsidRPr="00214987">
        <w:rPr>
          <w:rFonts w:ascii="Arial" w:hAnsi="Arial" w:cs="Arial"/>
          <w:noProof/>
          <w:sz w:val="20"/>
          <w:szCs w:val="20"/>
          <w:vertAlign w:val="superscript"/>
          <w:lang w:val="en-US"/>
        </w:rPr>
        <w:fldChar w:fldCharType="separate"/>
      </w:r>
      <w:r w:rsidR="005D2838" w:rsidRPr="00214987">
        <w:rPr>
          <w:rFonts w:ascii="Arial" w:hAnsi="Arial" w:cs="Arial"/>
          <w:noProof/>
          <w:sz w:val="20"/>
          <w:szCs w:val="20"/>
          <w:vertAlign w:val="superscript"/>
          <w:lang w:val="en-US"/>
        </w:rPr>
        <w:t>40</w:t>
      </w:r>
      <w:r w:rsidR="003E0DBA" w:rsidRPr="00214987">
        <w:rPr>
          <w:rFonts w:ascii="Arial" w:hAnsi="Arial" w:cs="Arial"/>
          <w:noProof/>
          <w:sz w:val="20"/>
          <w:szCs w:val="20"/>
          <w:vertAlign w:val="superscript"/>
          <w:lang w:val="en-US"/>
        </w:rPr>
        <w:fldChar w:fldCharType="end"/>
      </w:r>
      <w:r w:rsidR="003E0DBA" w:rsidRPr="00214987">
        <w:rPr>
          <w:rFonts w:ascii="Arial" w:hAnsi="Arial" w:cs="Arial"/>
          <w:noProof/>
          <w:sz w:val="20"/>
          <w:szCs w:val="20"/>
          <w:lang w:val="en-US"/>
        </w:rPr>
        <w:t xml:space="preserve">. </w:t>
      </w:r>
      <w:r w:rsidR="008148D3" w:rsidRPr="00214987">
        <w:rPr>
          <w:rFonts w:ascii="Arial" w:hAnsi="Arial" w:cs="Arial"/>
          <w:noProof/>
          <w:sz w:val="20"/>
          <w:szCs w:val="20"/>
          <w:lang w:val="en-US"/>
        </w:rPr>
        <w:t>As such, o</w:t>
      </w:r>
      <w:r w:rsidR="008C51C0" w:rsidRPr="00214987">
        <w:rPr>
          <w:rFonts w:ascii="Arial" w:hAnsi="Arial" w:cs="Arial"/>
          <w:noProof/>
          <w:sz w:val="20"/>
          <w:szCs w:val="20"/>
          <w:lang w:val="en-US"/>
        </w:rPr>
        <w:t xml:space="preserve">ur findings encourage </w:t>
      </w:r>
      <w:r w:rsidR="00075670" w:rsidRPr="00214987">
        <w:rPr>
          <w:rFonts w:ascii="Arial" w:hAnsi="Arial" w:cs="Arial"/>
          <w:noProof/>
          <w:sz w:val="20"/>
          <w:szCs w:val="20"/>
          <w:lang w:val="en-US"/>
        </w:rPr>
        <w:t>proactive</w:t>
      </w:r>
      <w:r w:rsidR="008C51C0" w:rsidRPr="00214987">
        <w:rPr>
          <w:rFonts w:ascii="Arial" w:hAnsi="Arial" w:cs="Arial"/>
          <w:noProof/>
          <w:sz w:val="20"/>
          <w:szCs w:val="20"/>
          <w:lang w:val="en-US"/>
        </w:rPr>
        <w:t xml:space="preserve"> management of psychological comorbidity alongside </w:t>
      </w:r>
      <w:r w:rsidR="001514AF" w:rsidRPr="00214987">
        <w:rPr>
          <w:rFonts w:ascii="Arial" w:hAnsi="Arial" w:cs="Arial"/>
          <w:noProof/>
          <w:sz w:val="20"/>
          <w:szCs w:val="20"/>
          <w:lang w:val="en-US"/>
        </w:rPr>
        <w:t>consideration</w:t>
      </w:r>
      <w:r w:rsidR="008C51C0" w:rsidRPr="00214987">
        <w:rPr>
          <w:rFonts w:ascii="Arial" w:hAnsi="Arial" w:cs="Arial"/>
          <w:noProof/>
          <w:sz w:val="20"/>
          <w:szCs w:val="20"/>
          <w:lang w:val="en-US"/>
        </w:rPr>
        <w:t xml:space="preserve"> of </w:t>
      </w:r>
      <w:r w:rsidR="008F6E0F" w:rsidRPr="00214987">
        <w:rPr>
          <w:rFonts w:ascii="Arial" w:hAnsi="Arial" w:cs="Arial"/>
          <w:noProof/>
          <w:sz w:val="20"/>
          <w:szCs w:val="20"/>
          <w:lang w:val="en-US"/>
        </w:rPr>
        <w:t xml:space="preserve">asthma </w:t>
      </w:r>
      <w:r w:rsidR="008C51C0" w:rsidRPr="00214987">
        <w:rPr>
          <w:rFonts w:ascii="Arial" w:hAnsi="Arial" w:cs="Arial"/>
          <w:noProof/>
          <w:sz w:val="20"/>
          <w:szCs w:val="20"/>
          <w:lang w:val="en-US"/>
        </w:rPr>
        <w:t>biologi</w:t>
      </w:r>
      <w:r w:rsidR="008F6E0F" w:rsidRPr="00214987">
        <w:rPr>
          <w:rFonts w:ascii="Arial" w:hAnsi="Arial" w:cs="Arial"/>
          <w:noProof/>
          <w:sz w:val="20"/>
          <w:szCs w:val="20"/>
          <w:lang w:val="en-US"/>
        </w:rPr>
        <w:t>c</w:t>
      </w:r>
      <w:r w:rsidR="008C51C0" w:rsidRPr="00214987">
        <w:rPr>
          <w:rFonts w:ascii="Arial" w:hAnsi="Arial" w:cs="Arial"/>
          <w:noProof/>
          <w:sz w:val="20"/>
          <w:szCs w:val="20"/>
          <w:lang w:val="en-US"/>
        </w:rPr>
        <w:t>s.</w:t>
      </w:r>
    </w:p>
    <w:p w14:paraId="60AC2DC0" w14:textId="0A3CF020" w:rsidR="003E0DBA" w:rsidRPr="00214987" w:rsidRDefault="00363466" w:rsidP="00AB4CB7">
      <w:pPr>
        <w:spacing w:line="480" w:lineRule="auto"/>
        <w:rPr>
          <w:rFonts w:ascii="Arial" w:hAnsi="Arial" w:cs="Arial"/>
          <w:noProof/>
          <w:sz w:val="20"/>
          <w:szCs w:val="20"/>
          <w:lang w:val="en-US"/>
        </w:rPr>
      </w:pPr>
      <w:r w:rsidRPr="00214987">
        <w:rPr>
          <w:rFonts w:ascii="Arial" w:hAnsi="Arial" w:cs="Arial"/>
          <w:noProof/>
          <w:sz w:val="20"/>
          <w:szCs w:val="20"/>
          <w:lang w:val="en-US"/>
        </w:rPr>
        <w:t>A</w:t>
      </w:r>
      <w:r w:rsidR="003E0DBA" w:rsidRPr="00214987">
        <w:rPr>
          <w:rFonts w:ascii="Arial" w:hAnsi="Arial" w:cs="Arial"/>
          <w:noProof/>
          <w:sz w:val="20"/>
          <w:szCs w:val="20"/>
          <w:lang w:val="en-US"/>
        </w:rPr>
        <w:t xml:space="preserve">nalysis of our pooled biologic data </w:t>
      </w:r>
      <w:r w:rsidRPr="00214987">
        <w:rPr>
          <w:rFonts w:ascii="Arial" w:hAnsi="Arial" w:cs="Arial"/>
          <w:noProof/>
          <w:sz w:val="20"/>
          <w:szCs w:val="20"/>
          <w:lang w:val="en-US"/>
        </w:rPr>
        <w:t>allowed us to</w:t>
      </w:r>
      <w:r w:rsidR="003E0DBA" w:rsidRPr="00214987">
        <w:rPr>
          <w:rFonts w:ascii="Arial" w:hAnsi="Arial" w:cs="Arial"/>
          <w:noProof/>
          <w:sz w:val="20"/>
          <w:szCs w:val="20"/>
          <w:lang w:val="en-US"/>
        </w:rPr>
        <w:t xml:space="preserve"> describe an overall biologic </w:t>
      </w:r>
      <w:r w:rsidR="004D0CC2" w:rsidRPr="00214987">
        <w:rPr>
          <w:rFonts w:ascii="Arial" w:hAnsi="Arial" w:cs="Arial"/>
          <w:noProof/>
          <w:sz w:val="20"/>
          <w:szCs w:val="20"/>
          <w:lang w:val="en-US"/>
        </w:rPr>
        <w:t>unresponsive</w:t>
      </w:r>
      <w:r w:rsidR="003E0DBA" w:rsidRPr="00214987">
        <w:rPr>
          <w:rFonts w:ascii="Arial" w:hAnsi="Arial" w:cs="Arial"/>
          <w:noProof/>
          <w:sz w:val="20"/>
          <w:szCs w:val="20"/>
          <w:lang w:val="en-US"/>
        </w:rPr>
        <w:t xml:space="preserve"> group</w:t>
      </w:r>
      <w:r w:rsidR="005816BF" w:rsidRPr="00214987">
        <w:rPr>
          <w:rFonts w:ascii="Arial" w:hAnsi="Arial" w:cs="Arial"/>
          <w:noProof/>
          <w:sz w:val="20"/>
          <w:szCs w:val="20"/>
          <w:lang w:val="en-US"/>
        </w:rPr>
        <w:t xml:space="preserve">. </w:t>
      </w:r>
      <w:r w:rsidR="006F6BC8" w:rsidRPr="00214987">
        <w:rPr>
          <w:rFonts w:ascii="Arial" w:hAnsi="Arial" w:cs="Arial"/>
          <w:noProof/>
          <w:sz w:val="20"/>
          <w:szCs w:val="20"/>
          <w:lang w:val="en-US"/>
        </w:rPr>
        <w:t>They</w:t>
      </w:r>
      <w:r w:rsidR="003E0DBA" w:rsidRPr="00214987">
        <w:rPr>
          <w:rFonts w:ascii="Arial" w:hAnsi="Arial" w:cs="Arial"/>
          <w:noProof/>
          <w:sz w:val="20"/>
          <w:szCs w:val="20"/>
          <w:lang w:val="en-US"/>
        </w:rPr>
        <w:t xml:space="preserve"> had early</w:t>
      </w:r>
      <w:r w:rsidR="00A6226D" w:rsidRPr="00214987">
        <w:rPr>
          <w:rFonts w:ascii="Arial" w:hAnsi="Arial" w:cs="Arial"/>
          <w:noProof/>
          <w:sz w:val="20"/>
          <w:szCs w:val="20"/>
          <w:lang w:val="en-US"/>
        </w:rPr>
        <w:t>-</w:t>
      </w:r>
      <w:r w:rsidR="003E0DBA" w:rsidRPr="00214987">
        <w:rPr>
          <w:rFonts w:ascii="Arial" w:hAnsi="Arial" w:cs="Arial"/>
          <w:noProof/>
          <w:sz w:val="20"/>
          <w:szCs w:val="20"/>
          <w:lang w:val="en-US"/>
        </w:rPr>
        <w:t xml:space="preserve">onset asthma, were predominantly female yet had comparable exacerbations, mOCS dependence, FENO, lung function and </w:t>
      </w:r>
      <w:r w:rsidR="004D0CC2" w:rsidRPr="00214987">
        <w:rPr>
          <w:rFonts w:ascii="Arial" w:hAnsi="Arial" w:cs="Arial"/>
          <w:noProof/>
          <w:sz w:val="20"/>
          <w:szCs w:val="20"/>
          <w:lang w:val="en-US"/>
        </w:rPr>
        <w:t xml:space="preserve">asthma </w:t>
      </w:r>
      <w:r w:rsidR="003E0DBA" w:rsidRPr="00214987">
        <w:rPr>
          <w:rFonts w:ascii="Arial" w:hAnsi="Arial" w:cs="Arial"/>
          <w:noProof/>
          <w:sz w:val="20"/>
          <w:szCs w:val="20"/>
          <w:lang w:val="en-US"/>
        </w:rPr>
        <w:t>ICU admissions to responders. However, they were characteri</w:t>
      </w:r>
      <w:r w:rsidR="005778EF">
        <w:rPr>
          <w:rFonts w:ascii="Arial" w:hAnsi="Arial" w:cs="Arial"/>
          <w:noProof/>
          <w:sz w:val="20"/>
          <w:szCs w:val="20"/>
          <w:lang w:val="en-US"/>
        </w:rPr>
        <w:t>z</w:t>
      </w:r>
      <w:r w:rsidR="003E0DBA" w:rsidRPr="00214987">
        <w:rPr>
          <w:rFonts w:ascii="Arial" w:hAnsi="Arial" w:cs="Arial"/>
          <w:noProof/>
          <w:sz w:val="20"/>
          <w:szCs w:val="20"/>
          <w:lang w:val="en-US"/>
        </w:rPr>
        <w:t xml:space="preserve">ed by </w:t>
      </w:r>
      <w:r w:rsidR="000901A8" w:rsidRPr="00214987">
        <w:rPr>
          <w:rFonts w:ascii="Arial" w:hAnsi="Arial" w:cs="Arial"/>
          <w:noProof/>
          <w:sz w:val="20"/>
          <w:szCs w:val="20"/>
          <w:lang w:val="en-US"/>
        </w:rPr>
        <w:t xml:space="preserve">more </w:t>
      </w:r>
      <w:r w:rsidR="00734AAE" w:rsidRPr="00214987">
        <w:rPr>
          <w:rFonts w:ascii="Arial" w:hAnsi="Arial" w:cs="Arial"/>
          <w:noProof/>
          <w:sz w:val="20"/>
          <w:szCs w:val="20"/>
          <w:lang w:val="en-US"/>
        </w:rPr>
        <w:t>AHE</w:t>
      </w:r>
      <w:r w:rsidR="000901A8" w:rsidRPr="00214987">
        <w:rPr>
          <w:rFonts w:ascii="Arial" w:hAnsi="Arial" w:cs="Arial"/>
          <w:noProof/>
          <w:sz w:val="20"/>
          <w:szCs w:val="20"/>
          <w:lang w:val="en-US"/>
        </w:rPr>
        <w:t xml:space="preserve">, a larger proportion of </w:t>
      </w:r>
      <w:r w:rsidR="003E0DBA" w:rsidRPr="00214987">
        <w:rPr>
          <w:rFonts w:ascii="Arial" w:hAnsi="Arial" w:cs="Arial"/>
          <w:noProof/>
          <w:sz w:val="20"/>
          <w:szCs w:val="20"/>
          <w:lang w:val="en-US"/>
        </w:rPr>
        <w:t xml:space="preserve">multiple </w:t>
      </w:r>
      <w:r w:rsidR="00734AAE" w:rsidRPr="00214987">
        <w:rPr>
          <w:rFonts w:ascii="Arial" w:hAnsi="Arial" w:cs="Arial"/>
          <w:noProof/>
          <w:sz w:val="20"/>
          <w:szCs w:val="20"/>
          <w:lang w:val="en-US"/>
        </w:rPr>
        <w:t>AHE</w:t>
      </w:r>
      <w:r w:rsidR="003E0DBA" w:rsidRPr="00214987">
        <w:rPr>
          <w:rFonts w:ascii="Arial" w:hAnsi="Arial" w:cs="Arial"/>
          <w:noProof/>
          <w:sz w:val="20"/>
          <w:szCs w:val="20"/>
          <w:lang w:val="en-US"/>
        </w:rPr>
        <w:t xml:space="preserve">, significantly worse baseline asthma control, alongside greater proportions of anxiety and depression. We postulate their biologic </w:t>
      </w:r>
      <w:r w:rsidR="00812539" w:rsidRPr="00214987">
        <w:rPr>
          <w:rFonts w:ascii="Arial" w:hAnsi="Arial" w:cs="Arial"/>
          <w:noProof/>
          <w:sz w:val="20"/>
          <w:szCs w:val="20"/>
          <w:lang w:val="en-US"/>
        </w:rPr>
        <w:t xml:space="preserve">unresponsiveness </w:t>
      </w:r>
      <w:r w:rsidR="003E0DBA" w:rsidRPr="00214987">
        <w:rPr>
          <w:rFonts w:ascii="Arial" w:hAnsi="Arial" w:cs="Arial"/>
          <w:noProof/>
          <w:sz w:val="20"/>
          <w:szCs w:val="20"/>
          <w:lang w:val="en-US"/>
        </w:rPr>
        <w:t xml:space="preserve">may have been augmented by their high burden of </w:t>
      </w:r>
      <w:r w:rsidRPr="00214987">
        <w:rPr>
          <w:rFonts w:ascii="Arial" w:hAnsi="Arial" w:cs="Arial"/>
          <w:noProof/>
          <w:sz w:val="20"/>
          <w:szCs w:val="20"/>
          <w:lang w:val="en-US"/>
        </w:rPr>
        <w:t>psychopathologies</w:t>
      </w:r>
      <w:r w:rsidR="003E0DBA" w:rsidRPr="00214987">
        <w:rPr>
          <w:rFonts w:ascii="Arial" w:hAnsi="Arial" w:cs="Arial"/>
          <w:noProof/>
          <w:sz w:val="20"/>
          <w:szCs w:val="20"/>
          <w:lang w:val="en-US"/>
        </w:rPr>
        <w:t xml:space="preserve"> as although their objective </w:t>
      </w:r>
      <w:r w:rsidRPr="00214987">
        <w:rPr>
          <w:rFonts w:ascii="Arial" w:hAnsi="Arial" w:cs="Arial"/>
          <w:noProof/>
          <w:sz w:val="20"/>
          <w:szCs w:val="20"/>
          <w:lang w:val="en-US"/>
        </w:rPr>
        <w:t>disease markers</w:t>
      </w:r>
      <w:r w:rsidR="003E0DBA" w:rsidRPr="00214987">
        <w:rPr>
          <w:rFonts w:ascii="Arial" w:hAnsi="Arial" w:cs="Arial"/>
          <w:noProof/>
          <w:sz w:val="20"/>
          <w:szCs w:val="20"/>
          <w:lang w:val="en-US"/>
        </w:rPr>
        <w:t xml:space="preserve"> and clinical co-morbidities were equivalent, their subjective markers of disease were not. </w:t>
      </w:r>
      <w:r w:rsidR="00AA6C39" w:rsidRPr="00214987">
        <w:rPr>
          <w:rFonts w:ascii="Arial" w:hAnsi="Arial" w:cs="Arial"/>
          <w:noProof/>
          <w:sz w:val="20"/>
          <w:szCs w:val="20"/>
          <w:lang w:val="en-US"/>
        </w:rPr>
        <w:t>O</w:t>
      </w:r>
      <w:r w:rsidR="003E0DBA" w:rsidRPr="00214987">
        <w:rPr>
          <w:rFonts w:ascii="Arial" w:hAnsi="Arial" w:cs="Arial"/>
          <w:noProof/>
          <w:sz w:val="20"/>
          <w:szCs w:val="20"/>
          <w:lang w:val="en-US"/>
        </w:rPr>
        <w:t>ur recent work has shown that this group of early</w:t>
      </w:r>
      <w:r w:rsidR="00A6226D" w:rsidRPr="00214987">
        <w:rPr>
          <w:rFonts w:ascii="Arial" w:hAnsi="Arial" w:cs="Arial"/>
          <w:noProof/>
          <w:sz w:val="20"/>
          <w:szCs w:val="20"/>
          <w:lang w:val="en-US"/>
        </w:rPr>
        <w:t>-</w:t>
      </w:r>
      <w:r w:rsidR="003E0DBA" w:rsidRPr="00214987">
        <w:rPr>
          <w:rFonts w:ascii="Arial" w:hAnsi="Arial" w:cs="Arial"/>
          <w:noProof/>
          <w:sz w:val="20"/>
          <w:szCs w:val="20"/>
          <w:lang w:val="en-US"/>
        </w:rPr>
        <w:t>onset, female patients have the highest prevalence of psychological co-</w:t>
      </w:r>
      <w:r w:rsidR="003E0DBA" w:rsidRPr="00214987">
        <w:rPr>
          <w:rFonts w:ascii="Arial" w:hAnsi="Arial" w:cs="Arial"/>
          <w:noProof/>
          <w:sz w:val="20"/>
          <w:szCs w:val="20"/>
          <w:lang w:val="en-US"/>
        </w:rPr>
        <w:lastRenderedPageBreak/>
        <w:t>morbidities,  yet also have the highest frequency of biologic use</w:t>
      </w:r>
      <w:r w:rsidR="0053614E" w:rsidRPr="00214987">
        <w:rPr>
          <w:rFonts w:ascii="Arial" w:hAnsi="Arial" w:cs="Arial"/>
          <w:noProof/>
          <w:sz w:val="20"/>
          <w:szCs w:val="20"/>
          <w:lang w:val="en-US"/>
        </w:rPr>
        <w:fldChar w:fldCharType="begin" w:fldLock="1"/>
      </w:r>
      <w:r w:rsidR="00717B40">
        <w:rPr>
          <w:rFonts w:ascii="Arial" w:hAnsi="Arial" w:cs="Arial"/>
          <w:noProof/>
          <w:sz w:val="20"/>
          <w:szCs w:val="20"/>
          <w:lang w:val="en-US"/>
        </w:rPr>
        <w:instrText>ADDIN CSL_CITATION {"citationItems":[{"id":"ITEM-1","itemData":{"DOI":"10.1016/j.jaip.2020.05.053","ISSN":"22132198","PMID":"32544545","abstract":"Background: Asthma is a diverse condition that differs with age and sex. However, it remains unclear how sex, age of asthma onset, and/or their interaction influence clinical expression of more problematic adult “difficult” asthma. Objectives: To better understand the clinical features of difficult asthma within a real-world clinical setting using novel phenotypic classification, stratifying subjects by sex and age of asthma onset. Methods: Participants in a longitudinal difficult asthma clinical cohort study (Wessex AsThma CoHort of difficult asthma; WATCH), United Kingdom (n = 501), were stratified into 4 difficult asthma phenotypes based on sex and age of asthma onset (early &lt;18 years or adult ≥18 years) and characterized in relation to clinical and pathophysiological features. Results: The cohort had more female participants (65%) but had similar proportions of participants with early- or adult-onset disease. Early-onset female disease was commonest (35%), highly atopic, with good spirometry and strong associations with some physical comorbidities but highest psychophysiologic comorbidities. Adult-onset females also had considerable psychophysiologic comorbidities and highest obesity, and were least atopic. Amongst male subjects, proportionately more had adult-onset disease. Early-onset male disease was rarest (14%) but associated with worst lung function, high smoking, atopy, and fungal sensitization. Despite shortest disease duration, adult-onset males had highest use of maintenance oral corticosteroid, poor lung function, and highest fractional exhaled nitrogen oxide in spite of highest smoking prevalence. Conclusions: This study shows that sex, age of asthma onset, and their interactions influence different clinical manifestations of difficult asthma and identifies a greater risk for lung function loss and oral corticosteroid dependence associated with smoking in adult-onset male subjects.","author":[{"dropping-particle":"","family":"Azim","given":"Adnan","non-dropping-particle":"","parse-names":false,"suffix":""},{"dropping-particle":"","family":"Freeman","given":"Anna","non-dropping-particle":"","parse-names":false,"suffix":""},{"dropping-particle":"","family":"Lavenu","given":"Audrey","non-dropping-particle":"","parse-names":false,"suffix":""},{"dropping-particle":"","family":"Mistry","given":"Heena","non-dropping-particle":"","parse-names":false,"suffix":""},{"dropping-particle":"","family":"Haitchi","given":"Hans Michael","non-dropping-particle":"","parse-names":false,"suffix":""},{"dropping-particle":"","family":"Newell","given":"Colin","non-dropping-particle":"","parse-names":false,"suffix":""},{"dropping-particle":"","family":"Cheng","given":"Yueqing","non-dropping-particle":"","parse-names":false,"suffix":""},{"dropping-particle":"","family":"Thirlwall","given":"Yvette","non-dropping-particle":"","parse-names":false,"suffix":""},{"dropping-particle":"","family":"Harvey","given":"Matthew","non-dropping-particle":"","parse-names":false,"suffix":""},{"dropping-particle":"","family":"Barber","given":"Clair","non-dropping-particle":"","parse-names":false,"suffix":""},{"dropping-particle":"","family":"Pontoppidan","given":"Katarina","non-dropping-particle":"","parse-names":false,"suffix":""},{"dropping-particle":"","family":"Dennison","given":"Paddy","non-dropping-particle":"","parse-names":false,"suffix":""},{"dropping-particle":"","family":"Arshad","given":"S. Hasan","non-dropping-particle":"","parse-names":false,"suffix":""},{"dropping-particle":"","family":"Djukanovic","given":"Ratko","non-dropping-particle":"","parse-names":false,"suffix":""},{"dropping-particle":"","family":"Howarth","given":"Peter","non-dropping-particle":"","parse-names":false,"suffix":""},{"dropping-particle":"","family":"Kurukulaaratchy","given":"Ramesh J.","non-dropping-particle":"","parse-names":false,"suffix":""}],"container-title":"Journal of Allergy and Clinical Immunology: In Practice","id":"ITEM-1","issued":{"date-parts":[["2020","11","1"]]},"publisher":"American Academy of Allergy, Asthma and Immunology","title":"New Perspectives on Difficult Asthma; Sex and Age of Asthma-Onset Based Phenotypes","type":"article-journal"},"uris":["http://www.mendeley.com/documents/?uuid=69d488f5-8733-3b3a-aa5c-cca896b0e6d3"]}],"mendeley":{"formattedCitation":"&lt;sup&gt;18&lt;/sup&gt;","plainTextFormattedCitation":"18","previouslyFormattedCitation":"&lt;sup&gt;15&lt;/sup&gt;"},"properties":{"noteIndex":0},"schema":"https://github.com/citation-style-language/schema/raw/master/csl-citation.json"}</w:instrText>
      </w:r>
      <w:r w:rsidR="0053614E" w:rsidRPr="00214987">
        <w:rPr>
          <w:rFonts w:ascii="Arial" w:hAnsi="Arial" w:cs="Arial"/>
          <w:noProof/>
          <w:sz w:val="20"/>
          <w:szCs w:val="20"/>
          <w:lang w:val="en-US"/>
        </w:rPr>
        <w:fldChar w:fldCharType="separate"/>
      </w:r>
      <w:r w:rsidR="00717B40" w:rsidRPr="00717B40">
        <w:rPr>
          <w:rFonts w:ascii="Arial" w:hAnsi="Arial" w:cs="Arial"/>
          <w:noProof/>
          <w:sz w:val="20"/>
          <w:szCs w:val="20"/>
          <w:vertAlign w:val="superscript"/>
          <w:lang w:val="en-US"/>
        </w:rPr>
        <w:t>18</w:t>
      </w:r>
      <w:r w:rsidR="0053614E" w:rsidRPr="00214987">
        <w:rPr>
          <w:rFonts w:ascii="Arial" w:hAnsi="Arial" w:cs="Arial"/>
          <w:noProof/>
          <w:sz w:val="20"/>
          <w:szCs w:val="20"/>
          <w:lang w:val="en-US"/>
        </w:rPr>
        <w:fldChar w:fldCharType="end"/>
      </w:r>
      <w:r w:rsidR="00D12FB8" w:rsidRPr="00214987">
        <w:rPr>
          <w:rFonts w:ascii="Arial" w:hAnsi="Arial" w:cs="Arial"/>
          <w:noProof/>
          <w:sz w:val="20"/>
          <w:szCs w:val="20"/>
          <w:lang w:val="en-US"/>
        </w:rPr>
        <w:t xml:space="preserve">. </w:t>
      </w:r>
      <w:r w:rsidR="00610CDD" w:rsidRPr="00214987">
        <w:rPr>
          <w:rFonts w:ascii="Arial" w:hAnsi="Arial" w:cs="Arial"/>
          <w:noProof/>
          <w:sz w:val="20"/>
          <w:szCs w:val="20"/>
          <w:lang w:val="en-US"/>
        </w:rPr>
        <w:t xml:space="preserve"> </w:t>
      </w:r>
      <w:r w:rsidR="003E0DBA" w:rsidRPr="00214987">
        <w:rPr>
          <w:rFonts w:ascii="Arial" w:hAnsi="Arial" w:cs="Arial"/>
          <w:noProof/>
          <w:sz w:val="20"/>
          <w:szCs w:val="20"/>
          <w:lang w:val="en-US"/>
        </w:rPr>
        <w:t xml:space="preserve">This </w:t>
      </w:r>
      <w:r w:rsidR="00AA6C39" w:rsidRPr="00214987">
        <w:rPr>
          <w:rFonts w:ascii="Arial" w:hAnsi="Arial" w:cs="Arial"/>
          <w:noProof/>
          <w:sz w:val="20"/>
          <w:szCs w:val="20"/>
          <w:lang w:val="en-US"/>
        </w:rPr>
        <w:t>reiterates</w:t>
      </w:r>
      <w:r w:rsidR="003E0DBA" w:rsidRPr="00214987">
        <w:rPr>
          <w:rFonts w:ascii="Arial" w:hAnsi="Arial" w:cs="Arial"/>
          <w:noProof/>
          <w:sz w:val="20"/>
          <w:szCs w:val="20"/>
          <w:lang w:val="en-US"/>
        </w:rPr>
        <w:t xml:space="preserve"> the importance of </w:t>
      </w:r>
      <w:r w:rsidR="00115851" w:rsidRPr="00214987">
        <w:rPr>
          <w:rFonts w:ascii="Arial" w:hAnsi="Arial" w:cs="Arial"/>
          <w:noProof/>
          <w:sz w:val="20"/>
          <w:szCs w:val="20"/>
          <w:lang w:val="en-US"/>
        </w:rPr>
        <w:t>holistically addressing treatable traits</w:t>
      </w:r>
      <w:r w:rsidR="003E0DBA" w:rsidRPr="00214987">
        <w:rPr>
          <w:rFonts w:ascii="Arial" w:hAnsi="Arial" w:cs="Arial"/>
          <w:noProof/>
          <w:sz w:val="20"/>
          <w:szCs w:val="20"/>
          <w:lang w:val="en-US"/>
        </w:rPr>
        <w:t xml:space="preserve">, through addressing psychopathologies before biologic therapy. </w:t>
      </w:r>
    </w:p>
    <w:p w14:paraId="59265023" w14:textId="4DAAA8DD" w:rsidR="008031D4" w:rsidRPr="00214987" w:rsidRDefault="00D46EEE" w:rsidP="00AB4CB7">
      <w:pPr>
        <w:spacing w:line="480" w:lineRule="auto"/>
        <w:rPr>
          <w:rFonts w:ascii="Arial" w:hAnsi="Arial" w:cs="Arial"/>
          <w:noProof/>
          <w:sz w:val="20"/>
          <w:szCs w:val="20"/>
          <w:lang w:val="en-US"/>
        </w:rPr>
      </w:pPr>
      <w:r w:rsidRPr="00214987">
        <w:rPr>
          <w:rFonts w:ascii="Arial" w:hAnsi="Arial" w:cs="Arial"/>
          <w:noProof/>
          <w:sz w:val="20"/>
          <w:szCs w:val="20"/>
          <w:lang w:val="en-US"/>
        </w:rPr>
        <w:t>Head</w:t>
      </w:r>
      <w:r w:rsidR="00B75003" w:rsidRPr="00214987">
        <w:rPr>
          <w:rFonts w:ascii="Arial" w:hAnsi="Arial" w:cs="Arial"/>
          <w:noProof/>
          <w:sz w:val="20"/>
          <w:szCs w:val="20"/>
          <w:lang w:val="en-US"/>
        </w:rPr>
        <w:t>-</w:t>
      </w:r>
      <w:r w:rsidRPr="00214987">
        <w:rPr>
          <w:rFonts w:ascii="Arial" w:hAnsi="Arial" w:cs="Arial"/>
          <w:noProof/>
          <w:sz w:val="20"/>
          <w:szCs w:val="20"/>
          <w:lang w:val="en-US"/>
        </w:rPr>
        <w:t>to</w:t>
      </w:r>
      <w:r w:rsidR="00B75003" w:rsidRPr="00214987">
        <w:rPr>
          <w:rFonts w:ascii="Arial" w:hAnsi="Arial" w:cs="Arial"/>
          <w:noProof/>
          <w:sz w:val="20"/>
          <w:szCs w:val="20"/>
          <w:lang w:val="en-US"/>
        </w:rPr>
        <w:t>-</w:t>
      </w:r>
      <w:r w:rsidRPr="00214987">
        <w:rPr>
          <w:rFonts w:ascii="Arial" w:hAnsi="Arial" w:cs="Arial"/>
          <w:noProof/>
          <w:sz w:val="20"/>
          <w:szCs w:val="20"/>
          <w:lang w:val="en-US"/>
        </w:rPr>
        <w:t xml:space="preserve">head comparisons between </w:t>
      </w:r>
      <w:r w:rsidR="008C6CE9">
        <w:rPr>
          <w:rFonts w:ascii="Arial" w:hAnsi="Arial" w:cs="Arial"/>
          <w:noProof/>
          <w:sz w:val="20"/>
          <w:szCs w:val="20"/>
          <w:lang w:val="en-US"/>
        </w:rPr>
        <w:t>Omalizumab</w:t>
      </w:r>
      <w:r w:rsidR="00DF71C6" w:rsidRPr="00214987">
        <w:rPr>
          <w:rFonts w:ascii="Arial" w:hAnsi="Arial" w:cs="Arial"/>
          <w:noProof/>
          <w:sz w:val="20"/>
          <w:szCs w:val="20"/>
          <w:lang w:val="en-US"/>
        </w:rPr>
        <w:t xml:space="preserve"> and </w:t>
      </w:r>
      <w:r w:rsidR="008C6CE9">
        <w:rPr>
          <w:rFonts w:ascii="Arial" w:hAnsi="Arial" w:cs="Arial"/>
          <w:noProof/>
          <w:sz w:val="20"/>
          <w:szCs w:val="20"/>
          <w:lang w:val="en-US"/>
        </w:rPr>
        <w:t>Mepolizumab</w:t>
      </w:r>
      <w:r w:rsidRPr="00214987">
        <w:rPr>
          <w:rFonts w:ascii="Arial" w:hAnsi="Arial" w:cs="Arial"/>
          <w:noProof/>
          <w:sz w:val="20"/>
          <w:szCs w:val="20"/>
          <w:lang w:val="en-US"/>
        </w:rPr>
        <w:t xml:space="preserve"> </w:t>
      </w:r>
      <w:r w:rsidR="005F1E11" w:rsidRPr="00214987">
        <w:rPr>
          <w:rFonts w:ascii="Arial" w:hAnsi="Arial" w:cs="Arial"/>
          <w:noProof/>
          <w:sz w:val="20"/>
          <w:szCs w:val="20"/>
          <w:lang w:val="en-US"/>
        </w:rPr>
        <w:t xml:space="preserve">response rates </w:t>
      </w:r>
      <w:r w:rsidR="00796536" w:rsidRPr="00214987">
        <w:rPr>
          <w:rFonts w:ascii="Arial" w:hAnsi="Arial" w:cs="Arial"/>
          <w:noProof/>
          <w:sz w:val="20"/>
          <w:szCs w:val="20"/>
          <w:lang w:val="en-US"/>
        </w:rPr>
        <w:t>we</w:t>
      </w:r>
      <w:r w:rsidRPr="00214987">
        <w:rPr>
          <w:rFonts w:ascii="Arial" w:hAnsi="Arial" w:cs="Arial"/>
          <w:noProof/>
          <w:sz w:val="20"/>
          <w:szCs w:val="20"/>
          <w:lang w:val="en-US"/>
        </w:rPr>
        <w:t>re not appropriate</w:t>
      </w:r>
      <w:r w:rsidR="00B75003" w:rsidRPr="00214987">
        <w:rPr>
          <w:rFonts w:ascii="Arial" w:hAnsi="Arial" w:cs="Arial"/>
          <w:noProof/>
          <w:sz w:val="20"/>
          <w:szCs w:val="20"/>
          <w:lang w:val="en-US"/>
        </w:rPr>
        <w:t xml:space="preserve"> in our data</w:t>
      </w:r>
      <w:r w:rsidRPr="00214987">
        <w:rPr>
          <w:rFonts w:ascii="Arial" w:hAnsi="Arial" w:cs="Arial"/>
          <w:noProof/>
          <w:sz w:val="20"/>
          <w:szCs w:val="20"/>
          <w:lang w:val="en-US"/>
        </w:rPr>
        <w:t xml:space="preserve">, given </w:t>
      </w:r>
      <w:r w:rsidR="005F1E11" w:rsidRPr="00214987">
        <w:rPr>
          <w:rFonts w:ascii="Arial" w:hAnsi="Arial" w:cs="Arial"/>
          <w:noProof/>
          <w:sz w:val="20"/>
          <w:szCs w:val="20"/>
          <w:lang w:val="en-US"/>
        </w:rPr>
        <w:t>the</w:t>
      </w:r>
      <w:r w:rsidR="00D37E57" w:rsidRPr="00214987">
        <w:rPr>
          <w:rFonts w:ascii="Arial" w:hAnsi="Arial" w:cs="Arial"/>
          <w:noProof/>
          <w:sz w:val="20"/>
          <w:szCs w:val="20"/>
          <w:lang w:val="en-US"/>
        </w:rPr>
        <w:t>ir</w:t>
      </w:r>
      <w:r w:rsidR="00B75003" w:rsidRPr="00214987">
        <w:rPr>
          <w:rFonts w:ascii="Arial" w:hAnsi="Arial" w:cs="Arial"/>
          <w:noProof/>
          <w:sz w:val="20"/>
          <w:szCs w:val="20"/>
          <w:lang w:val="en-US"/>
        </w:rPr>
        <w:t xml:space="preserve"> different</w:t>
      </w:r>
      <w:r w:rsidR="002F192D" w:rsidRPr="00214987">
        <w:rPr>
          <w:rFonts w:ascii="Arial" w:hAnsi="Arial" w:cs="Arial"/>
          <w:noProof/>
          <w:sz w:val="20"/>
          <w:szCs w:val="20"/>
          <w:lang w:val="en-US"/>
        </w:rPr>
        <w:t xml:space="preserve"> phenotyp</w:t>
      </w:r>
      <w:r w:rsidR="00D85453" w:rsidRPr="00214987">
        <w:rPr>
          <w:rFonts w:ascii="Arial" w:hAnsi="Arial" w:cs="Arial"/>
          <w:noProof/>
          <w:sz w:val="20"/>
          <w:szCs w:val="20"/>
          <w:lang w:val="en-US"/>
        </w:rPr>
        <w:t>ic traits</w:t>
      </w:r>
      <w:r w:rsidR="0055387C" w:rsidRPr="00214987">
        <w:rPr>
          <w:rFonts w:ascii="Arial" w:hAnsi="Arial" w:cs="Arial"/>
          <w:noProof/>
          <w:sz w:val="20"/>
          <w:szCs w:val="20"/>
          <w:lang w:val="en-US"/>
        </w:rPr>
        <w:t>,</w:t>
      </w:r>
      <w:r w:rsidR="00ED3152" w:rsidRPr="00214987">
        <w:rPr>
          <w:rFonts w:ascii="Arial" w:hAnsi="Arial" w:cs="Arial"/>
          <w:noProof/>
          <w:sz w:val="20"/>
          <w:szCs w:val="20"/>
          <w:lang w:val="en-US"/>
        </w:rPr>
        <w:t xml:space="preserve"> </w:t>
      </w:r>
      <w:r w:rsidR="0055387C" w:rsidRPr="00214987">
        <w:rPr>
          <w:rFonts w:ascii="Arial" w:hAnsi="Arial" w:cs="Arial"/>
          <w:noProof/>
          <w:sz w:val="20"/>
          <w:szCs w:val="20"/>
          <w:lang w:val="en-US"/>
        </w:rPr>
        <w:t xml:space="preserve">and </w:t>
      </w:r>
      <w:r w:rsidR="00D37E57" w:rsidRPr="00214987">
        <w:rPr>
          <w:rFonts w:ascii="Arial" w:hAnsi="Arial" w:cs="Arial"/>
          <w:noProof/>
          <w:sz w:val="20"/>
          <w:szCs w:val="20"/>
          <w:lang w:val="en-US"/>
        </w:rPr>
        <w:t xml:space="preserve">the </w:t>
      </w:r>
      <w:r w:rsidR="0055387C" w:rsidRPr="00214987">
        <w:rPr>
          <w:rFonts w:ascii="Arial" w:hAnsi="Arial" w:cs="Arial"/>
          <w:noProof/>
          <w:sz w:val="20"/>
          <w:szCs w:val="20"/>
          <w:lang w:val="en-US"/>
        </w:rPr>
        <w:t xml:space="preserve">different </w:t>
      </w:r>
      <w:r w:rsidR="00796536" w:rsidRPr="00214987">
        <w:rPr>
          <w:rFonts w:ascii="Arial" w:hAnsi="Arial" w:cs="Arial"/>
          <w:noProof/>
          <w:sz w:val="20"/>
          <w:szCs w:val="20"/>
          <w:lang w:val="en-US"/>
        </w:rPr>
        <w:t>response tools employed</w:t>
      </w:r>
      <w:r w:rsidR="00B75003" w:rsidRPr="00214987">
        <w:rPr>
          <w:rFonts w:ascii="Arial" w:hAnsi="Arial" w:cs="Arial"/>
          <w:noProof/>
          <w:sz w:val="20"/>
          <w:szCs w:val="20"/>
          <w:lang w:val="en-US"/>
        </w:rPr>
        <w:t xml:space="preserve">. </w:t>
      </w:r>
      <w:r w:rsidR="000F1B4C" w:rsidRPr="00214987">
        <w:rPr>
          <w:rFonts w:ascii="Arial" w:hAnsi="Arial" w:cs="Arial"/>
          <w:noProof/>
          <w:sz w:val="20"/>
          <w:szCs w:val="20"/>
          <w:lang w:val="en-US"/>
        </w:rPr>
        <w:t>However, notably,</w:t>
      </w:r>
      <w:r w:rsidR="00756511" w:rsidRPr="00214987">
        <w:rPr>
          <w:rFonts w:ascii="Arial" w:hAnsi="Arial" w:cs="Arial"/>
          <w:noProof/>
          <w:sz w:val="20"/>
          <w:szCs w:val="20"/>
          <w:lang w:val="en-US"/>
        </w:rPr>
        <w:t>10/</w:t>
      </w:r>
      <w:r w:rsidR="008B62C1" w:rsidRPr="00214987">
        <w:rPr>
          <w:rFonts w:ascii="Arial" w:hAnsi="Arial" w:cs="Arial"/>
          <w:noProof/>
          <w:sz w:val="20"/>
          <w:szCs w:val="20"/>
          <w:lang w:val="en-US"/>
        </w:rPr>
        <w:t>15</w:t>
      </w:r>
      <w:r w:rsidR="00756511"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326E29" w:rsidRPr="00214987">
        <w:rPr>
          <w:rFonts w:ascii="Arial" w:hAnsi="Arial" w:cs="Arial"/>
          <w:noProof/>
          <w:sz w:val="20"/>
          <w:szCs w:val="20"/>
          <w:lang w:val="en-US"/>
        </w:rPr>
        <w:t xml:space="preserve"> </w:t>
      </w:r>
      <w:r w:rsidR="006C5793" w:rsidRPr="00214987">
        <w:rPr>
          <w:rFonts w:ascii="Arial" w:hAnsi="Arial" w:cs="Arial"/>
          <w:noProof/>
          <w:sz w:val="20"/>
          <w:szCs w:val="20"/>
          <w:lang w:val="en-US"/>
        </w:rPr>
        <w:t>‘</w:t>
      </w:r>
      <w:r w:rsidR="00756511" w:rsidRPr="00214987">
        <w:rPr>
          <w:rFonts w:ascii="Arial" w:hAnsi="Arial" w:cs="Arial"/>
          <w:noProof/>
          <w:sz w:val="20"/>
          <w:szCs w:val="20"/>
          <w:lang w:val="en-US"/>
        </w:rPr>
        <w:t>non-responders</w:t>
      </w:r>
      <w:r w:rsidR="006C5793" w:rsidRPr="00214987">
        <w:rPr>
          <w:rFonts w:ascii="Arial" w:hAnsi="Arial" w:cs="Arial"/>
          <w:noProof/>
          <w:sz w:val="20"/>
          <w:szCs w:val="20"/>
          <w:lang w:val="en-US"/>
        </w:rPr>
        <w:t>’</w:t>
      </w:r>
      <w:r w:rsidR="003E0DBA" w:rsidRPr="00214987">
        <w:rPr>
          <w:rFonts w:ascii="Arial" w:hAnsi="Arial" w:cs="Arial"/>
          <w:noProof/>
          <w:sz w:val="20"/>
          <w:szCs w:val="20"/>
          <w:lang w:val="en-US"/>
        </w:rPr>
        <w:t xml:space="preserve"> displayed response</w:t>
      </w:r>
      <w:r w:rsidR="0057796B" w:rsidRPr="00214987">
        <w:rPr>
          <w:rFonts w:ascii="Arial" w:hAnsi="Arial" w:cs="Arial"/>
          <w:noProof/>
          <w:sz w:val="20"/>
          <w:szCs w:val="20"/>
          <w:lang w:val="en-US"/>
        </w:rPr>
        <w:t>s</w:t>
      </w:r>
      <w:r w:rsidR="003E0DBA" w:rsidRPr="00214987">
        <w:rPr>
          <w:rFonts w:ascii="Arial" w:hAnsi="Arial" w:cs="Arial"/>
          <w:noProof/>
          <w:sz w:val="20"/>
          <w:szCs w:val="20"/>
          <w:lang w:val="en-US"/>
        </w:rPr>
        <w:t xml:space="preserve"> in domains outside NICE criteria. </w:t>
      </w:r>
      <w:r w:rsidR="00710CE8" w:rsidRPr="00214987">
        <w:rPr>
          <w:rFonts w:ascii="Arial" w:hAnsi="Arial" w:cs="Arial"/>
          <w:noProof/>
          <w:sz w:val="20"/>
          <w:szCs w:val="20"/>
          <w:lang w:val="en-US"/>
        </w:rPr>
        <w:t>Particularly noteworthy</w:t>
      </w:r>
      <w:r w:rsidR="003E0DBA" w:rsidRPr="00214987">
        <w:rPr>
          <w:rFonts w:ascii="Arial" w:hAnsi="Arial" w:cs="Arial"/>
          <w:noProof/>
          <w:sz w:val="20"/>
          <w:szCs w:val="20"/>
          <w:lang w:val="en-US"/>
        </w:rPr>
        <w:t xml:space="preserve"> </w:t>
      </w:r>
      <w:r w:rsidR="00FF3ADD" w:rsidRPr="00214987">
        <w:rPr>
          <w:rFonts w:ascii="Arial" w:hAnsi="Arial" w:cs="Arial"/>
          <w:noProof/>
          <w:sz w:val="20"/>
          <w:szCs w:val="20"/>
          <w:lang w:val="en-US"/>
        </w:rPr>
        <w:t xml:space="preserve">were </w:t>
      </w:r>
      <w:r w:rsidR="003E0DBA" w:rsidRPr="00214987">
        <w:rPr>
          <w:rFonts w:ascii="Arial" w:hAnsi="Arial" w:cs="Arial"/>
          <w:noProof/>
          <w:sz w:val="20"/>
          <w:szCs w:val="20"/>
          <w:lang w:val="en-US"/>
        </w:rPr>
        <w:t xml:space="preserve">those who sustained an improvement in AHE status, including one who </w:t>
      </w:r>
      <w:r w:rsidR="000901A8" w:rsidRPr="00214987">
        <w:rPr>
          <w:rFonts w:ascii="Arial" w:hAnsi="Arial" w:cs="Arial"/>
          <w:noProof/>
          <w:sz w:val="20"/>
          <w:szCs w:val="20"/>
          <w:lang w:val="en-US"/>
        </w:rPr>
        <w:t>had</w:t>
      </w:r>
      <w:r w:rsidR="003E0DBA" w:rsidRPr="00214987">
        <w:rPr>
          <w:rFonts w:ascii="Arial" w:hAnsi="Arial" w:cs="Arial"/>
          <w:noProof/>
          <w:sz w:val="20"/>
          <w:szCs w:val="20"/>
          <w:lang w:val="en-US"/>
        </w:rPr>
        <w:t xml:space="preserve"> both ACQ and AHE status</w:t>
      </w:r>
      <w:r w:rsidR="000901A8" w:rsidRPr="00214987">
        <w:rPr>
          <w:rFonts w:ascii="Arial" w:hAnsi="Arial" w:cs="Arial"/>
          <w:noProof/>
          <w:sz w:val="20"/>
          <w:szCs w:val="20"/>
          <w:lang w:val="en-US"/>
        </w:rPr>
        <w:t xml:space="preserve"> response</w:t>
      </w:r>
      <w:r w:rsidR="003E0DBA" w:rsidRPr="00214987">
        <w:rPr>
          <w:rFonts w:ascii="Arial" w:hAnsi="Arial" w:cs="Arial"/>
          <w:noProof/>
          <w:sz w:val="20"/>
          <w:szCs w:val="20"/>
          <w:lang w:val="en-US"/>
        </w:rPr>
        <w:t>. However, despite improvements in disease control and healthcare utilisation, important markers of economic and patient</w:t>
      </w:r>
      <w:r w:rsidR="003956B6" w:rsidRPr="00214987">
        <w:rPr>
          <w:rFonts w:ascii="Arial" w:hAnsi="Arial" w:cs="Arial"/>
          <w:noProof/>
          <w:sz w:val="20"/>
          <w:szCs w:val="20"/>
          <w:lang w:val="en-US"/>
        </w:rPr>
        <w:t>-centred</w:t>
      </w:r>
      <w:r w:rsidR="003E0DBA" w:rsidRPr="00214987">
        <w:rPr>
          <w:rFonts w:ascii="Arial" w:hAnsi="Arial" w:cs="Arial"/>
          <w:noProof/>
          <w:sz w:val="20"/>
          <w:szCs w:val="20"/>
          <w:lang w:val="en-US"/>
        </w:rPr>
        <w:t xml:space="preserve"> efficacy, these </w:t>
      </w:r>
      <w:r w:rsidR="008C6CE9">
        <w:rPr>
          <w:rFonts w:ascii="Arial" w:hAnsi="Arial" w:cs="Arial"/>
          <w:noProof/>
          <w:sz w:val="20"/>
          <w:szCs w:val="20"/>
          <w:lang w:val="en-US"/>
        </w:rPr>
        <w:t>Mepolizumab</w:t>
      </w:r>
      <w:r w:rsidR="00ED272F" w:rsidRPr="00214987">
        <w:rPr>
          <w:rFonts w:ascii="Arial" w:hAnsi="Arial" w:cs="Arial"/>
          <w:noProof/>
          <w:sz w:val="20"/>
          <w:szCs w:val="20"/>
          <w:lang w:val="en-US"/>
        </w:rPr>
        <w:t xml:space="preserve"> </w:t>
      </w:r>
      <w:r w:rsidR="003E0DBA" w:rsidRPr="00214987">
        <w:rPr>
          <w:rFonts w:ascii="Arial" w:hAnsi="Arial" w:cs="Arial"/>
          <w:noProof/>
          <w:sz w:val="20"/>
          <w:szCs w:val="20"/>
          <w:lang w:val="en-US"/>
        </w:rPr>
        <w:t>patients were not classified as responders according to NICE criteria</w:t>
      </w:r>
      <w:r w:rsidR="00114EF2"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{"citationItems":[{"id":"ITEM-1","itemData":{"id":"ITEM-1","issued":{"date-parts":[["0"]]},"publisher":"NICE","title":"Overview | Mepolizumab for treating severe refractory eosinophilic asthma | Guidance | NICE","type":"article-journal"},"uris":["http://www.mendeley.com/documents/?uuid=09f2774c-9c77-3d28-ae7e-f624bf5474cf"]}],"mendeley":{"formattedCitation":"&lt;sup&gt;14&lt;/sup&gt;","plainTextFormattedCitation":"14","previouslyFormattedCitation":"&lt;sup&gt;14&lt;/sup&gt;"},"properties":{"noteIndex":0},"schema":"https://github.com/citation-style-language/schema/raw/master/csl-citation.json"}</w:instrText>
      </w:r>
      <w:r w:rsidR="00114EF2"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14</w:t>
      </w:r>
      <w:r w:rsidR="00114EF2" w:rsidRPr="00214987">
        <w:rPr>
          <w:rFonts w:ascii="Arial" w:hAnsi="Arial" w:cs="Arial"/>
          <w:noProof/>
          <w:sz w:val="20"/>
          <w:szCs w:val="20"/>
          <w:lang w:val="en-US"/>
        </w:rPr>
        <w:fldChar w:fldCharType="end"/>
      </w:r>
      <w:r w:rsidR="000901A8" w:rsidRPr="00214987">
        <w:rPr>
          <w:rFonts w:ascii="Arial" w:hAnsi="Arial" w:cs="Arial"/>
          <w:noProof/>
          <w:sz w:val="20"/>
          <w:szCs w:val="20"/>
          <w:lang w:val="en-US"/>
        </w:rPr>
        <w:t>.</w:t>
      </w:r>
      <w:r w:rsidR="007A532C" w:rsidRPr="00214987">
        <w:rPr>
          <w:rFonts w:ascii="Arial" w:hAnsi="Arial" w:cs="Arial"/>
          <w:noProof/>
          <w:sz w:val="20"/>
          <w:szCs w:val="20"/>
          <w:lang w:val="en-US"/>
        </w:rPr>
        <w:t xml:space="preserve"> </w:t>
      </w:r>
      <w:r w:rsidR="003E0DBA" w:rsidRPr="00214987">
        <w:rPr>
          <w:rFonts w:ascii="Arial" w:hAnsi="Arial" w:cs="Arial"/>
          <w:noProof/>
          <w:sz w:val="20"/>
          <w:szCs w:val="20"/>
          <w:lang w:val="en-US"/>
        </w:rPr>
        <w:t xml:space="preserve">A post-hoc analysis of </w:t>
      </w:r>
      <w:r w:rsidR="00126731" w:rsidRPr="00214987">
        <w:rPr>
          <w:rFonts w:ascii="Arial" w:hAnsi="Arial" w:cs="Arial"/>
          <w:noProof/>
          <w:sz w:val="20"/>
          <w:szCs w:val="20"/>
          <w:lang w:val="en-US"/>
        </w:rPr>
        <w:t>two</w:t>
      </w:r>
      <w:r w:rsidR="003E0DBA" w:rsidRPr="00214987">
        <w:rPr>
          <w:rFonts w:ascii="Arial" w:hAnsi="Arial" w:cs="Arial"/>
          <w:noProof/>
          <w:sz w:val="20"/>
          <w:szCs w:val="20"/>
          <w:lang w:val="en-US"/>
        </w:rPr>
        <w:t xml:space="preserve"> </w:t>
      </w:r>
      <w:r w:rsidR="008C6CE9">
        <w:rPr>
          <w:rFonts w:ascii="Arial" w:hAnsi="Arial" w:cs="Arial"/>
          <w:noProof/>
          <w:sz w:val="20"/>
          <w:szCs w:val="20"/>
          <w:lang w:val="en-US"/>
        </w:rPr>
        <w:t>Mepolizumab</w:t>
      </w:r>
      <w:r w:rsidR="003E0DBA" w:rsidRPr="00214987">
        <w:rPr>
          <w:rFonts w:ascii="Arial" w:hAnsi="Arial" w:cs="Arial"/>
          <w:noProof/>
          <w:sz w:val="20"/>
          <w:szCs w:val="20"/>
          <w:lang w:val="en-US"/>
        </w:rPr>
        <w:t xml:space="preserve"> RCTs found that ACQ was </w:t>
      </w:r>
      <w:r w:rsidR="00973154" w:rsidRPr="00214987">
        <w:rPr>
          <w:rFonts w:ascii="Arial" w:hAnsi="Arial" w:cs="Arial"/>
          <w:noProof/>
          <w:sz w:val="20"/>
          <w:szCs w:val="20"/>
          <w:lang w:val="en-US"/>
        </w:rPr>
        <w:t>un</w:t>
      </w:r>
      <w:r w:rsidR="003E0DBA" w:rsidRPr="00214987">
        <w:rPr>
          <w:rFonts w:ascii="Arial" w:hAnsi="Arial" w:cs="Arial"/>
          <w:noProof/>
          <w:sz w:val="20"/>
          <w:szCs w:val="20"/>
          <w:lang w:val="en-US"/>
        </w:rPr>
        <w:t xml:space="preserve">reliable in predicting </w:t>
      </w:r>
      <w:r w:rsidR="008C6CE9">
        <w:rPr>
          <w:rFonts w:ascii="Arial" w:hAnsi="Arial" w:cs="Arial"/>
          <w:noProof/>
          <w:sz w:val="20"/>
          <w:szCs w:val="20"/>
          <w:lang w:val="en-US"/>
        </w:rPr>
        <w:t>Mepolizumab</w:t>
      </w:r>
      <w:r w:rsidR="003E0DBA" w:rsidRPr="00214987">
        <w:rPr>
          <w:rFonts w:ascii="Arial" w:hAnsi="Arial" w:cs="Arial"/>
          <w:noProof/>
          <w:sz w:val="20"/>
          <w:szCs w:val="20"/>
          <w:lang w:val="en-US"/>
        </w:rPr>
        <w:t xml:space="preserve"> response</w:t>
      </w:r>
      <w:r w:rsidR="009117EB"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{"citationItems":[{"id":"ITEM-1","itemData":{"DOI":"10.1016/j.jaip.2017.11.026","ISSN":"22132198","PMID":"29258789","abstract":"Background: Mepolizumab significantly reduces exacerbations in patients with severe eosinophilic asthma. The early identification of patients likely to receive long-term benefit from treatment could ensure effective resource allocation. Objective: To assess potential continuation rules for mepolizumab in addition to initiation criteria defined as 2 or more exacerbations in the previous year and blood eosinophil counts of 150 cells/μL or more at initiation or 300 cells/μL or more in the previous year. Methods: This post hoc analysis included data from 2 randomized, double-blind, placebo-controlled studies (NCT01000506 and NCT01691521) of mepolizumab in patients with severe eosinophilic asthma (N = 1,192). Rules based on blood eosinophils, physician-rated response to treatment, FEV1, Asthma Control Questionnaire (ACQ-5) score, and exacerbation reduction were assessed at week 16. To assess these rules, 2 key metrics accounting for the effects observed in the placebo arm were developed. Results: Patients not meeting continuation rules based on physician-rated response, FEV1, and the ACQ-5 score still derived long-term benefit from mepolizumab. Nearly all patients failing to reduce blood eosinophils had counts of 150 cells/μL or less at baseline. For exacerbations, assessment after 16 weeks was potentially premature for predicting future exacerbations. Conclusion: There was no evidence of a reliable physician-rated response, ACQ-5 score, or lung function–based continuation rule. The added value of changes in blood eosinophils at week 16 over baseline was marginal. Initiation criteria for mepolizumab treatment provide the best method for assessing patient benefit from mepolizumab treatment, and treatment continuation should be reviewed on the basis of a predefined reduction in long-term exacerbation frequency and/or oral corticosteroid dose.","author":[{"dropping-particle":"","family":"Gunsoy","given":"Necdet B.","non-dropping-particle":"","parse-names":false,"suffix":""},{"dropping-particle":"","family":"Cockle","given":"Sarah M.","non-dropping-particle":"","parse-names":false,"suffix":""},{"dropping-particle":"","family":"Yancey","given":"Steven W.","non-dropping-particle":"","parse-names":false,"suffix":""},{"dropping-particle":"","family":"Keene","given":"Oliver N.","non-dropping-particle":"","parse-names":false,"suffix":""},{"dropping-particle":"","family":"Bradford","given":"Eric S.","non-dropping-particle":"","parse-names":false,"suffix":""},{"dropping-particle":"","family":"Albers","given":"Frank C.","non-dropping-particle":"","parse-names":false,"suffix":""},{"dropping-particle":"","family":"Pavord","given":"Ian D.","non-dropping-particle":"","parse-names":false,"suffix":""}],"container-title":"Journal of Allergy and Clinical Immunology: In Practice","id":"ITEM-1","issue":"3","issued":{"date-parts":[["2018","5","1"]]},"page":"874-882.e4","publisher":"American Academy of Allergy, Asthma and Immunology","title":"Evaluation of Potential Continuation Rules for Mepolizumab Treatment of Severe Eosinophilic Asthma","type":"article-journal","volume":"6"},"uris":["http://www.mendeley.com/documents/?uuid=4d37510d-46c7-363f-8e0b-5e3dde35358e"]}],"mendeley":{"formattedCitation":"&lt;sup&gt;41&lt;/sup&gt;","plainTextFormattedCitation":"41","previouslyFormattedCitation":"&lt;sup&gt;41&lt;/sup&gt;"},"properties":{"noteIndex":0},"schema":"https://github.com/citation-style-language/schema/raw/master/csl-citation.json"}</w:instrText>
      </w:r>
      <w:r w:rsidR="009117EB"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41</w:t>
      </w:r>
      <w:r w:rsidR="009117EB" w:rsidRPr="00214987">
        <w:rPr>
          <w:rFonts w:ascii="Arial" w:hAnsi="Arial" w:cs="Arial"/>
          <w:noProof/>
          <w:sz w:val="20"/>
          <w:szCs w:val="20"/>
          <w:lang w:val="en-US"/>
        </w:rPr>
        <w:fldChar w:fldCharType="end"/>
      </w:r>
      <w:r w:rsidR="00114EF2" w:rsidRPr="00214987">
        <w:rPr>
          <w:rFonts w:ascii="Arial" w:hAnsi="Arial" w:cs="Arial"/>
          <w:noProof/>
          <w:sz w:val="20"/>
          <w:szCs w:val="20"/>
          <w:lang w:val="en-US"/>
        </w:rPr>
        <w:t xml:space="preserve">. </w:t>
      </w:r>
      <w:r w:rsidR="00FB51DA" w:rsidRPr="00214987">
        <w:rPr>
          <w:rFonts w:ascii="Arial" w:hAnsi="Arial" w:cs="Arial"/>
          <w:noProof/>
          <w:sz w:val="20"/>
          <w:szCs w:val="20"/>
          <w:lang w:val="en-US"/>
        </w:rPr>
        <w:t>Though important</w:t>
      </w:r>
      <w:r w:rsidR="00114EF2" w:rsidRPr="00214987">
        <w:rPr>
          <w:rFonts w:ascii="Arial" w:hAnsi="Arial" w:cs="Arial"/>
          <w:noProof/>
          <w:sz w:val="20"/>
          <w:szCs w:val="20"/>
          <w:lang w:val="en-US"/>
        </w:rPr>
        <w:t xml:space="preserve">, their findings were based on RCT data which </w:t>
      </w:r>
      <w:r w:rsidR="00F726A8" w:rsidRPr="00214987">
        <w:rPr>
          <w:rFonts w:ascii="Arial" w:hAnsi="Arial" w:cs="Arial"/>
          <w:noProof/>
          <w:sz w:val="20"/>
          <w:szCs w:val="20"/>
          <w:lang w:val="en-US"/>
        </w:rPr>
        <w:t xml:space="preserve">may </w:t>
      </w:r>
      <w:r w:rsidR="00FB51DA" w:rsidRPr="00214987">
        <w:rPr>
          <w:rFonts w:ascii="Arial" w:hAnsi="Arial" w:cs="Arial"/>
          <w:noProof/>
          <w:sz w:val="20"/>
          <w:szCs w:val="20"/>
          <w:lang w:val="en-US"/>
        </w:rPr>
        <w:t>have limited transferability to real-world patients</w:t>
      </w:r>
      <w:r w:rsidR="00114EF2"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ADDIN CSL_CITATION {"citationItems":[{"id":"ITEM-1","itemData":{"DOI":"10.1136/thx.2006.066837","ISSN":"00406376","PMID":"17105779","abstract":"Background: Asthma is a heterogeneous disease with a wide range of clinical phenotypes, not all of which may be encompassed in the subjects included in randomised controlled trials (RCTs). This makes it difficult for clinicians to know to what extent the evidence derived from RCTs applies to a given patient. Aim: To calculate the proportion of individuals with asthma who would have been eligible for the major asthma RCTs from the data of a random community survey of respiratory health. Methods: A postal survey was sent to 3500 randomly selected individuals aged 25-75 years. Respondents were invited to complete a detailed respiratory questionnaire and pulmonary function testing. Participants with current asthma were assessed against the eligibility criteria of the 17 major asthma RCTs cited in the Global Initiative for Asthma (GINA) guidelines. Findings: A total of 749 participants completed the full survey, of whom 179 had current asthma. A median 4% of participants with current asthma (range 0-36%) met the eligibility criteria for the included RCTs. A median 6% (range 0-43%) of participants with current asthma on treatment met the eligibility criteria. Interpretation: This study shows that the major asthma RCTs on which the GINA guidelines are based may have limited external validity as they have been performed on highly selected patient populations. Most of the participants with current asthma on treatment in the community would not have been eligible for these RCTs.","author":[{"dropping-particle":"","family":"Travers","given":"Justin","non-dropping-particle":"","parse-names":false,"suffix":""},{"dropping-particle":"","family":"Marsh","given":"Suzanne","non-dropping-particle":"","parse-names":false,"suffix":""},{"dropping-particle":"","family":"Williams","given":"Mathew","non-dropping-particle":"","parse-names":false,"suffix":""},{"dropping-particle":"","family":"Weatherall","given":"Mark","non-dropping-particle":"","parse-names":false,"suffix":""},{"dropping-particle":"","family":"Caldwell","given":"Brent","non-dropping-particle":"","parse-names":false,"suffix":""},{"dropping-particle":"","family":"Shirtcliffe","given":"Philippa","non-dropping-particle":"","parse-names":false,"suffix":""},{"dropping-particle":"","family":"Aldington","given":"Sarah","non-dropping-particle":"","parse-names":false,"suffix":""},{"dropping-particle":"","family":"Beasley","given":"Richard","non-dropping-particle":"","parse-names":false,"suffix":""}],"container-title":"Thorax","id":"ITEM-1","issue":"3","issued":{"date-parts":[["2007","3"]]},"page":"219-233","publisher":"Thorax","title":"External validity of randomised controlled trials in asthma: To whom do the results of the trials apply?","type":"article-journal","volume":"62"},"uris":["http://www.mendeley.com/documents/?uuid=200f0d6d-3e95-3aa4-8c5d-5a5f60e83583"]},{"id":"ITEM-2","itemData":{"DOI":"10.1183/13993003.01444-2018","ISSN":"13993003","PMID":"30361247","abstract":"Previous publications have highlighted the disparity between research trial populations and those in clinical practice, but it has not been established how this relates to randomised controlled trials (RCTs) of phenotype-targeted biological therapies in severe asthma. Detailed characterisation data for 342 severe asthma patients within the Wessex Severe Asthma Cohort (WSAC) was compared against comprehensive trial eligibility criteria for published phase IIB and phase III RCTs evaluating biological therapies in severe asthma since 2000. 37 RCTs evaluating 20 biological therapies were identified. Only a median of 9.8% (range 3.5-17.5%) of severe asthma patients were found to be eligible for enrolment in the phase III trials. Stipulations for airflow obstruction, bronchodilator reversibility and smoking history excluded significant numbers of patients. A median of 78.9% (range 73.2-86.6%) of patients with severe eosinophilic asthma would have been excluded from participation in the phase III licensing trials of interleukin (IL)-5/IL-5R targeted therapies. Despite including only well characterised and optimally treated severe asthmatics under specialist care within the WSAC study, the vast majority were excluded from trial participation by criteria designed to re-confirm diagnostic labels rather than by biomarker criteria that predict the characteristic addressed by the treatment.","author":[{"dropping-particle":"","family":"Brown","given":"Thomas","non-dropping-particle":"","parse-names":false,"suffix":""},{"dropping-particle":"","family":"Jones","given":"Thomas","non-dropping-particle":"","parse-names":false,"suffix":""},{"dropping-particle":"","family":"Gove","given":"Kerry","non-dropping-particle":"","parse-names":false,"suffix":""},{"dropping-particle":"","family":"Barber","given":"Clair","non-dropping-particle":"","parse-names":false,"suffix":""},{"dropping-particle":"","family":"Elliott","given":"Scott","non-dropping-particle":"","parse-names":false,"suffix":""},{"dropping-particle":"","family":"Chauhan","given":"Anoop","non-dropping-particle":"","parse-names":false,"suffix":""},{"dropping-particle":"","family":"Howarth","given":"Peter","non-dropping-particle":"","parse-names":false,"suffix":""},{"dropping-particle":"","family":"Aitkin","given":"L.","non-dropping-particle":"","parse-names":false,"suffix":""},{"dropping-particle":"","family":"Babu","given":"S.","non-dropping-particle":"","parse-names":false,"suffix":""},{"dropping-particle":"","family":"Dennison","given":"P.","non-dropping-particle":"","parse-names":false,"suffix":""},{"dropping-particle":"","family":"Djukanovic","given":"R.","non-dropping-particle":"","parse-names":false,"suffix":""},{"dropping-particle":"","family":"Grainge","given":"C.","non-dropping-particle":"","parse-names":false,"suffix":""},{"dropping-particle":"","family":"Hewitt","given":"L.","non-dropping-particle":"","parse-names":false,"suffix":""},{"dropping-particle":"","family":"Jayasekera","given":"N.","non-dropping-particle":"","parse-names":false,"suffix":""},{"dropping-particle":"","family":"Kurukulaaratchy","given":"R.","non-dropping-particle":"","parse-names":false,"suffix":""},{"dropping-particle":"","family":"Kerley","given":"S.","non-dropping-particle":"","parse-names":false,"suffix":""},{"dropping-particle":"","family":"Lau","given":"L.","non-dropping-particle":"","parse-names":false,"suffix":""},{"dropping-particle":"","family":"Laws","given":"D.","non-dropping-particle":"","parse-names":false,"suffix":""},{"dropping-particle":"","family":"Owen","given":"J.","non-dropping-particle":"","parse-names":false,"suffix":""},{"dropping-particle":"","family":"Ray","given":"E.","non-dropping-particle":"","parse-names":false,"suffix":""},{"dropping-particle":"","family":"Reynish","given":"D.","non-dropping-particle":"","parse-names":false,"suffix":""},{"dropping-particle":"","family":"Rupani","given":"H.","non-dropping-particle":"","parse-names":false,"suffix":""},{"dropping-particle":"","family":"Scullion-Win","given":"O.","non-dropping-particle":"","parse-names":false,"suffix":""}],"container-title":"European Respiratory Journal","id":"ITEM-2","issue":"6","issued":{"date-parts":[["2018"]]},"title":"Randomised controlled trials in severe asthma: Selection by phenotype or stereotype","type":"article-journal","volume":"52"},"uris":["http://www.mendeley.com/documents/?uuid=14744e39-7fed-400f-9b8e-bdc49da9372d"]},{"id":"ITEM-3","itemData":{"DOI":"10.1016/j.jaip.2020.04.029","ISBN":"2020;8:29993008","abstract":"What is already known on this topic? Many patients with severe asthma not meeting criteria of clinical trials investigating mepolizumab are treated with this biological in clinical practice. It is unknown whether these patients respond differently to therapy when compared with trial patients. What does the article add to our knowledge? Our results indicate that patients deemed ineligible for trial participation could reduce their maintenance oral corticosteroid dosage under mepolizumab therapy to a similar extent as trial patients included in the SIRIUS trial using identical therapeutic endpoints. How does this study impact current management guidelines? Our findings suggest that novel biological therapies may benefit a broader severe asthma population than initially described in randomized clinical trials. BACKGROUND: Patients with severe asthma not meeting the strict trial eligibility criteria for mepolizumab are now routinely treated with this biological in clinical practice, but it remains unclear whether these ineligible patients respond differently to mepolizumab treatment. OBJECTIVE: This study investigated the extent and reasons for trial ineligibility of real-life, mepolizumab-treated patients with severe asthma and compared the characteristics of these patients with trial populations. Subsequently, therapeutic response in ineligible patients was assessed on the basis of oral corticosteroid (OCS) reduction. METHODS: Trial eligibility, population differences, and therapeutic response were assessed using the baseline","author":[{"dropping-particle":"","family":"Richards","given":"Levi B","non-dropping-particle":"","parse-names":false,"suffix":""},{"dropping-particle":"","family":"JMH van Bragt","given":"Job","non-dropping-particle":"","parse-names":false,"suffix":""},{"dropping-particle":"","family":"Aarab","given":"Reim","non-dropping-particle":"","parse-names":false,"suffix":""},{"dropping-particle":"","family":"Longo","given":"Cristina","non-dropping-particle":"","parse-names":false,"suffix":""},{"dropping-particle":"","family":"Neerincx","given":"Anne H","non-dropping-particle":"","parse-names":false,"suffix":""},{"dropping-particle":"","family":"Sont","given":"Jaap K","non-dropping-particle":"","parse-names":false,"suffix":""},{"dropping-particle":"","family":"Weersink","given":"Els JM","non-dropping-particle":"","parse-names":false,"suffix":""},{"dropping-particle":"","family":"Braunstahl","given":"Gert-Jan","non-dropping-particle":"","parse-names":false,"suffix":""},{"dropping-particle":"","family":"Brinke","given":"Anneke","non-dropping-particle":"Ten","parse-names":false,"suffix":""},{"dropping-particle":"","family":"Bel","given":"Elisabeth HD","non-dropping-particle":"","parse-names":false,"suffix":""},{"dropping-particle":"","family":"Maitland-van der Zee","given":"Anke-Hilse","non-dropping-particle":"","parse-names":false,"suffix":""},{"dropping-particle":"","family":"Amsterdam","given":"PharmD","non-dropping-particle":"","parse-names":false,"suffix":""}],"container-title":"The Journal of Allergy and Clinical Immunology in Practice","id":"ITEM-3","issued":{"date-parts":[["2020"]]},"page":"2999-3008.e1","title":"Treatment Eligibility of Real-Life Mepolizumab-Treated Severe Asthma Patients","type":"article-journal","volume":"8"},"uris":["http://www.mendeley.com/documents/?uuid=04e0daad-cfb1-3dee-adde-0ecbc3ce9cbe"]}],"mendeley":{"formattedCitation":"&lt;sup&gt;7–9&lt;/sup&gt;","plainTextFormattedCitation":"7–9","previouslyFormattedCitation":"&lt;sup&gt;7–9&lt;/sup&gt;"},"properties":{"noteIndex":0},"schema":"https://github.com/citation-style-language/schema/raw/master/csl-citation.json"}</w:instrText>
      </w:r>
      <w:r w:rsidR="00114EF2"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7–9</w:t>
      </w:r>
      <w:r w:rsidR="00114EF2" w:rsidRPr="00214987">
        <w:rPr>
          <w:rFonts w:ascii="Arial" w:hAnsi="Arial" w:cs="Arial"/>
          <w:noProof/>
          <w:sz w:val="20"/>
          <w:szCs w:val="20"/>
          <w:lang w:val="en-US"/>
        </w:rPr>
        <w:fldChar w:fldCharType="end"/>
      </w:r>
      <w:r w:rsidR="00114EF2" w:rsidRPr="00214987">
        <w:rPr>
          <w:rFonts w:ascii="Arial" w:hAnsi="Arial" w:cs="Arial"/>
          <w:noProof/>
          <w:sz w:val="20"/>
          <w:szCs w:val="20"/>
          <w:lang w:val="en-US"/>
        </w:rPr>
        <w:t xml:space="preserve">. </w:t>
      </w:r>
      <w:r w:rsidR="003E0DBA" w:rsidRPr="00214987">
        <w:rPr>
          <w:rFonts w:ascii="Arial" w:hAnsi="Arial" w:cs="Arial"/>
          <w:noProof/>
          <w:sz w:val="20"/>
          <w:szCs w:val="20"/>
          <w:lang w:val="en-US"/>
        </w:rPr>
        <w:t xml:space="preserve">Additionally, ACQ is used to gauge </w:t>
      </w:r>
      <w:r w:rsidR="008C6CE9">
        <w:rPr>
          <w:rFonts w:ascii="Arial" w:hAnsi="Arial" w:cs="Arial"/>
          <w:noProof/>
          <w:sz w:val="20"/>
          <w:szCs w:val="20"/>
          <w:lang w:val="en-US"/>
        </w:rPr>
        <w:t>Mepolizumab</w:t>
      </w:r>
      <w:r w:rsidR="003E0DBA" w:rsidRPr="00214987">
        <w:rPr>
          <w:rFonts w:ascii="Arial" w:hAnsi="Arial" w:cs="Arial"/>
          <w:noProof/>
          <w:sz w:val="20"/>
          <w:szCs w:val="20"/>
          <w:lang w:val="en-US"/>
        </w:rPr>
        <w:t xml:space="preserve"> response in the A</w:t>
      </w:r>
      <w:r w:rsidR="001514AF" w:rsidRPr="00214987">
        <w:rPr>
          <w:rFonts w:ascii="Arial" w:hAnsi="Arial" w:cs="Arial"/>
          <w:noProof/>
          <w:sz w:val="20"/>
          <w:szCs w:val="20"/>
          <w:lang w:val="en-US"/>
        </w:rPr>
        <w:t>ustralian Mepolizumab Registry</w:t>
      </w:r>
      <w:r w:rsidR="003E0DBA" w:rsidRPr="00214987">
        <w:rPr>
          <w:rFonts w:ascii="Arial" w:hAnsi="Arial" w:cs="Arial"/>
          <w:noProof/>
          <w:sz w:val="20"/>
          <w:szCs w:val="20"/>
          <w:lang w:val="en-US"/>
        </w:rPr>
        <w:t>, and shown to correlate with im</w:t>
      </w:r>
      <w:r w:rsidR="00336099" w:rsidRPr="00214987">
        <w:rPr>
          <w:rFonts w:ascii="Arial" w:hAnsi="Arial" w:cs="Arial"/>
          <w:noProof/>
          <w:sz w:val="20"/>
          <w:szCs w:val="20"/>
          <w:lang w:val="en-US"/>
        </w:rPr>
        <w:t>provements in</w:t>
      </w:r>
      <w:r w:rsidR="003E0DBA" w:rsidRPr="00214987">
        <w:rPr>
          <w:rFonts w:ascii="Arial" w:hAnsi="Arial" w:cs="Arial"/>
          <w:noProof/>
          <w:sz w:val="20"/>
          <w:szCs w:val="20"/>
          <w:lang w:val="en-US"/>
        </w:rPr>
        <w:t xml:space="preserve"> objective measures</w:t>
      </w:r>
      <w:r w:rsidR="00973ABD" w:rsidRPr="00214987">
        <w:rPr>
          <w:rFonts w:ascii="Arial" w:hAnsi="Arial" w:cs="Arial"/>
          <w:noProof/>
          <w:sz w:val="20"/>
          <w:szCs w:val="20"/>
          <w:lang w:val="en-US"/>
        </w:rPr>
        <w:fldChar w:fldCharType="begin" w:fldLock="1"/>
      </w:r>
      <w:r w:rsidR="00AE59D2">
        <w:rPr>
          <w:rFonts w:ascii="Arial" w:hAnsi="Arial" w:cs="Arial"/>
          <w:noProof/>
          <w:sz w:val="20"/>
          <w:szCs w:val="20"/>
          <w:lang w:val="en-US"/>
        </w:rPr>
        <w:instrText xml:space="preserve">ADDIN CSL_CITATION {"citationItems":[{"id":"ITEM-1","itemData":{"DOI":"10.1183/13993003.02420-2019","ISBN":"1261800149729","ISSN":"13993003","PMID":"32139455","abstract":"Severe asthma is a high-burden disease. Real-world data on mepolizumab in patients with severe eosinophilic asthma is needed to assess whether the data from randomised controlled trials are applicable in a broader population. The Australian Mepolizumab Registry (AMR) was established with an aim to assess the use, effectiveness and safety of mepolizumab for severe eosinophilic asthma in Australia. Patients (n=309) with severe eosinophilic asthma (median age 60 years, 58% female) commenced mepolizumab. They had poor symptom control (median Asthma Control Questionnaire (ACQ)-5 score of 3.4), frequent exacerbations (median three courses of oral corticosteroids (OCS) in the previous 12 months), and 47% required daily OCS. Median baseline peripheral blood eosinophil level was 590 cells·µL−1. Comorbidities were common: allergic rhinitis 63%, gastro-oesophageal reflux disease 52%, obesity 46%, nasal polyps 34%. Mepolizumab treatment reduced exacerbations requiring OCS compared with the previous year (annualised rate ratio 0.34 (95% CI 0.29-0.41); p&lt;0.001) and hospitalisations (rate ratio 0.46 (95% CI 0.33-0.63); p&lt;0.001). Treatment improved symptom control (median ACQ-5 reduced by 2.0 at 6 months), quality of life and lung function. Higher blood eosinophil levels (p=0.003) and later age of asthma onset (p=0.028) predicted a better ACQ-5 response to mepolizumab, whilst being male (p=0.031) or having body mass index </w:instrText>
      </w:r>
      <w:r w:rsidR="00AE59D2">
        <w:rPr>
          <w:rFonts w:ascii="Cambria Math" w:hAnsi="Cambria Math" w:cs="Cambria Math"/>
          <w:noProof/>
          <w:sz w:val="20"/>
          <w:szCs w:val="20"/>
          <w:lang w:val="en-US"/>
        </w:rPr>
        <w:instrText>≽</w:instrText>
      </w:r>
      <w:r w:rsidR="00AE59D2">
        <w:rPr>
          <w:rFonts w:ascii="Arial" w:hAnsi="Arial" w:cs="Arial"/>
          <w:noProof/>
          <w:sz w:val="20"/>
          <w:szCs w:val="20"/>
          <w:lang w:val="en-US"/>
        </w:rPr>
        <w:instrText>30 (p=0.043) predicted a lesser response. Super-responders (upper 25% of ACQ-5 responders, n=61, 24%) had a higher T2 disease burden and fewer comorbidities at baseline. Mepolizumab therapy effectively reduces the significant and long-standing disease burden faced by patients with severe eosinophilic asthma in a real-world setting.","author":[{"dropping-particle":"","family":"Harvey","given":"Erin S.","non-dropping-particle":"","parse-names":false,"suffix":""},{"dropping-particle":"","family":"Langton","given":"David","non-dropping-particle":"","parse-names":false,"suffix":""},{"dropping-particle":"","family":"Katelaris","given":"Constance","non-dropping-particle":"","parse-names":false,"suffix":""},{"dropping-particle":"","family":"Stevens","given":"Sean","non-dropping-particle":"","parse-names":false,"suffix":""},{"dropping-particle":"","family":"Farah","given":"Claude S.","non-dropping-particle":"","parse-names":false,"suffix":""},{"dropping-particle":"","family":"Gillman","given":"Andrew","non-dropping-particle":"","parse-names":false,"suffix":""},{"dropping-particle":"","family":"Harrington","given":"John","non-dropping-particle":"","parse-names":false,"suffix":""},{"dropping-particle":"","family":"Hew","given":"Mark","non-dropping-particle":"","parse-names":false,"suffix":""},{"dropping-particle":"","family":"Kritikos","given":"Vicky","non-dropping-particle":"","parse-names":false,"suffix":""},{"dropping-particle":"","family":"Radhakrishna","given":"Naghmeh","non-dropping-particle":"","parse-names":false,"suffix":""},{"dropping-particle":"","family":"Bardin","given":"Philip","non-dropping-particle":"","parse-names":false,"suffix":""},{"dropping-particle":"","family":"Peters","given":"Matthew","non-dropping-particle":"","parse-names":false,"suffix":""},{"dropping-particle":"","family":"Reynolds","given":"Paul N.","non-dropping-particle":"","parse-names":false,"suffix":""},{"dropping-particle":"","family":"Upham","given":"John W.","non-dropping-particle":"","parse-names":false,"suffix":""},{"dropping-particle":"","family":"Baraket","given":"Melissa","non-dropping-particle":"","parse-names":false,"suffix":""},{"dropping-particle":"","family":"Bowler","given":"Simon","non-dropping-particle":"","parse-names":false,"suffix":""},{"dropping-particle":"","family":"Bowden","given":"Jeffrey","non-dropping-particle":"","parse-names":false,"suffix":""},{"dropping-particle":"","family":"Chien","given":"Jimmy","non-dropping-particle":"","parse-names":false,"suffix":""},{"dropping-particle":"","family":"Chung","given":"Li Ping","non-dropping-particle":"","parse-names":false,"suffix":""},{"dropping-particle":"","family":"Grainge","given":"Christopher","non-dropping-particle":"","parse-names":false,"suffix":""},{"dropping-particle":"","family":"Jenkins","given":"Christine","non-dropping-particle":"","parse-names":false,"suffix":""},{"dropping-particle":"","family":"Katsoulotos","given":"Gregory P.","non-dropping-particle":"","parse-names":false,"suffix":""},{"dropping-particle":"","family":"Lee","given":"Joy","non-dropping-particle":"","parse-names":false,"suffix":""},{"dropping-particle":"","family":"McDonald","given":"Vanessa M.","non-dropping-particle":"","parse-names":false,"suffix":""},{"dropping-particle":"","family":"Reddel","given":"Helen K.","non-dropping-particle":"","parse-names":false,"suffix":""},{"dropping-particle":"","family":"Rimmer","given":"Janet","non-dropping-particle":"","parse-names":false,"suffix":""},{"dropping-particle":"","family":"Wark","given":"Peter A.B.","non-dropping-particle":"","parse-names":false,"suffix":""},{"dropping-particle":"","family":"Gibson","given":"Peter G.","non-dropping-particle":"","parse-names":false,"suffix":""}],"container-title":"European Respiratory Journal","id":"ITEM-1","issue":"5","issued":{"date-parts":[["2020"]]},"title":"Mepolizumab effectiveness and identification of super-responders in severe asthma","type":"book","volume":"55"},"uris":["http://www.mendeley.com/documents/?uuid=1e3fff36-f501-4276-87a2-516cb69ce7f7"]}],"mendeley":{"formattedCitation":"&lt;sup&gt;25&lt;/sup&gt;","plainTextFormattedCitation":"25","previouslyFormattedCitation":"&lt;sup&gt;25&lt;/sup&gt;"},"properties":{"noteIndex":0},"schema":"https://github.com/citation-style-language/schema/raw/master/csl-citation.json"}</w:instrText>
      </w:r>
      <w:r w:rsidR="00973ABD" w:rsidRPr="00214987">
        <w:rPr>
          <w:rFonts w:ascii="Arial" w:hAnsi="Arial" w:cs="Arial"/>
          <w:noProof/>
          <w:sz w:val="20"/>
          <w:szCs w:val="20"/>
          <w:lang w:val="en-US"/>
        </w:rPr>
        <w:fldChar w:fldCharType="separate"/>
      </w:r>
      <w:r w:rsidR="005D2838" w:rsidRPr="00214987">
        <w:rPr>
          <w:rFonts w:ascii="Arial" w:hAnsi="Arial" w:cs="Arial"/>
          <w:noProof/>
          <w:sz w:val="20"/>
          <w:szCs w:val="20"/>
          <w:vertAlign w:val="superscript"/>
          <w:lang w:val="en-US"/>
        </w:rPr>
        <w:t>25</w:t>
      </w:r>
      <w:r w:rsidR="00973ABD" w:rsidRPr="00214987">
        <w:rPr>
          <w:rFonts w:ascii="Arial" w:hAnsi="Arial" w:cs="Arial"/>
          <w:noProof/>
          <w:sz w:val="20"/>
          <w:szCs w:val="20"/>
          <w:lang w:val="en-US"/>
        </w:rPr>
        <w:fldChar w:fldCharType="end"/>
      </w:r>
      <w:r w:rsidR="00973ABD" w:rsidRPr="00214987">
        <w:rPr>
          <w:rFonts w:ascii="Arial" w:hAnsi="Arial" w:cs="Arial"/>
          <w:noProof/>
          <w:sz w:val="20"/>
          <w:szCs w:val="20"/>
          <w:lang w:val="en-US"/>
        </w:rPr>
        <w:t xml:space="preserve">. </w:t>
      </w:r>
      <w:r w:rsidR="00114EF2" w:rsidRPr="00214987">
        <w:rPr>
          <w:rFonts w:ascii="Arial" w:hAnsi="Arial" w:cs="Arial"/>
          <w:noProof/>
          <w:sz w:val="20"/>
          <w:szCs w:val="20"/>
          <w:lang w:val="en-US"/>
        </w:rPr>
        <w:t>Conversely</w:t>
      </w:r>
      <w:r w:rsidR="00F544C2" w:rsidRPr="00214987">
        <w:rPr>
          <w:rFonts w:ascii="Arial" w:hAnsi="Arial" w:cs="Arial"/>
          <w:noProof/>
          <w:sz w:val="20"/>
          <w:szCs w:val="20"/>
          <w:lang w:val="en-US"/>
        </w:rPr>
        <w:t>,</w:t>
      </w:r>
      <w:r w:rsidR="0015477B" w:rsidRPr="00214987">
        <w:rPr>
          <w:rFonts w:ascii="Arial" w:hAnsi="Arial" w:cs="Arial"/>
          <w:noProof/>
          <w:sz w:val="20"/>
          <w:szCs w:val="20"/>
          <w:lang w:val="en-US"/>
        </w:rPr>
        <w:t xml:space="preserve"> </w:t>
      </w:r>
      <w:r w:rsidR="00F544C2" w:rsidRPr="00214987">
        <w:rPr>
          <w:rFonts w:ascii="Arial" w:hAnsi="Arial" w:cs="Arial"/>
          <w:noProof/>
          <w:sz w:val="20"/>
          <w:szCs w:val="20"/>
          <w:lang w:val="en-US"/>
        </w:rPr>
        <w:t xml:space="preserve">few </w:t>
      </w:r>
      <w:r w:rsidR="008C6CE9">
        <w:rPr>
          <w:rFonts w:ascii="Arial" w:hAnsi="Arial" w:cs="Arial"/>
          <w:noProof/>
          <w:sz w:val="20"/>
          <w:szCs w:val="20"/>
          <w:lang w:val="en-US"/>
        </w:rPr>
        <w:t>Mepolizumab</w:t>
      </w:r>
      <w:r w:rsidR="006414D4" w:rsidRPr="00214987">
        <w:rPr>
          <w:rFonts w:ascii="Arial" w:hAnsi="Arial" w:cs="Arial"/>
          <w:noProof/>
          <w:sz w:val="20"/>
          <w:szCs w:val="20"/>
          <w:lang w:val="en-US"/>
        </w:rPr>
        <w:t xml:space="preserve"> </w:t>
      </w:r>
      <w:r w:rsidR="00336099" w:rsidRPr="00214987">
        <w:rPr>
          <w:rFonts w:ascii="Arial" w:hAnsi="Arial" w:cs="Arial"/>
          <w:noProof/>
          <w:sz w:val="20"/>
          <w:szCs w:val="20"/>
          <w:lang w:val="en-US"/>
        </w:rPr>
        <w:t>responders</w:t>
      </w:r>
      <w:r w:rsidR="00524F17" w:rsidRPr="00214987">
        <w:rPr>
          <w:rFonts w:ascii="Arial" w:hAnsi="Arial" w:cs="Arial"/>
          <w:noProof/>
          <w:sz w:val="20"/>
          <w:szCs w:val="20"/>
          <w:lang w:val="en-US"/>
        </w:rPr>
        <w:t xml:space="preserve"> did not sustain an ACQ </w:t>
      </w:r>
      <w:r w:rsidR="008031D4" w:rsidRPr="00214987">
        <w:rPr>
          <w:rFonts w:ascii="Arial" w:hAnsi="Arial" w:cs="Arial"/>
          <w:noProof/>
          <w:sz w:val="20"/>
          <w:szCs w:val="20"/>
          <w:lang w:val="en-US"/>
        </w:rPr>
        <w:t xml:space="preserve">or AQLQ </w:t>
      </w:r>
      <w:r w:rsidR="00524F17" w:rsidRPr="00214987">
        <w:rPr>
          <w:rFonts w:ascii="Arial" w:hAnsi="Arial" w:cs="Arial"/>
          <w:noProof/>
          <w:sz w:val="20"/>
          <w:szCs w:val="20"/>
          <w:lang w:val="en-US"/>
        </w:rPr>
        <w:t xml:space="preserve">response. </w:t>
      </w:r>
      <w:r w:rsidR="00336099" w:rsidRPr="00214987">
        <w:rPr>
          <w:rFonts w:ascii="Arial" w:hAnsi="Arial" w:cs="Arial"/>
          <w:noProof/>
          <w:sz w:val="20"/>
          <w:szCs w:val="20"/>
          <w:lang w:val="en-US"/>
        </w:rPr>
        <w:t xml:space="preserve">This could be because </w:t>
      </w:r>
      <w:r w:rsidR="00983005">
        <w:rPr>
          <w:rFonts w:ascii="Arial" w:hAnsi="Arial" w:cs="Arial"/>
          <w:noProof/>
          <w:sz w:val="20"/>
          <w:szCs w:val="20"/>
          <w:lang w:val="en-US"/>
        </w:rPr>
        <w:t xml:space="preserve">an </w:t>
      </w:r>
      <w:r w:rsidR="00336099" w:rsidRPr="00214987">
        <w:rPr>
          <w:rFonts w:ascii="Arial" w:hAnsi="Arial" w:cs="Arial"/>
          <w:noProof/>
          <w:sz w:val="20"/>
          <w:szCs w:val="20"/>
          <w:lang w:val="en-US"/>
        </w:rPr>
        <w:t xml:space="preserve">improvement in NICE defined domains may not equate to the patient’s perception of better asthma control or quality-of-life. </w:t>
      </w:r>
      <w:r w:rsidR="00CE781E" w:rsidRPr="00214987">
        <w:rPr>
          <w:rFonts w:ascii="Arial" w:hAnsi="Arial" w:cs="Arial"/>
          <w:noProof/>
          <w:sz w:val="20"/>
          <w:szCs w:val="20"/>
          <w:lang w:val="en-US"/>
        </w:rPr>
        <w:t>Thus</w:t>
      </w:r>
      <w:r w:rsidR="00336099" w:rsidRPr="00214987">
        <w:rPr>
          <w:rFonts w:ascii="Arial" w:hAnsi="Arial" w:cs="Arial"/>
          <w:noProof/>
          <w:sz w:val="20"/>
          <w:szCs w:val="20"/>
          <w:lang w:val="en-US"/>
        </w:rPr>
        <w:t xml:space="preserve">, </w:t>
      </w:r>
      <w:r w:rsidR="00CE781E" w:rsidRPr="00214987">
        <w:rPr>
          <w:rFonts w:ascii="Arial" w:hAnsi="Arial" w:cs="Arial"/>
          <w:noProof/>
          <w:sz w:val="20"/>
          <w:szCs w:val="20"/>
          <w:lang w:val="en-US"/>
        </w:rPr>
        <w:t xml:space="preserve">in those who are borderline responders, </w:t>
      </w:r>
      <w:r w:rsidR="00336099" w:rsidRPr="00214987">
        <w:rPr>
          <w:rFonts w:ascii="Arial" w:hAnsi="Arial" w:cs="Arial"/>
          <w:noProof/>
          <w:sz w:val="20"/>
          <w:szCs w:val="20"/>
          <w:lang w:val="en-US"/>
        </w:rPr>
        <w:t xml:space="preserve">consideration </w:t>
      </w:r>
      <w:r w:rsidR="009375BF" w:rsidRPr="00214987">
        <w:rPr>
          <w:rFonts w:ascii="Arial" w:hAnsi="Arial" w:cs="Arial"/>
          <w:noProof/>
          <w:sz w:val="20"/>
          <w:szCs w:val="20"/>
          <w:lang w:val="en-US"/>
        </w:rPr>
        <w:t>might</w:t>
      </w:r>
      <w:r w:rsidR="00336099" w:rsidRPr="00214987">
        <w:rPr>
          <w:rFonts w:ascii="Arial" w:hAnsi="Arial" w:cs="Arial"/>
          <w:noProof/>
          <w:sz w:val="20"/>
          <w:szCs w:val="20"/>
          <w:lang w:val="en-US"/>
        </w:rPr>
        <w:t xml:space="preserve"> </w:t>
      </w:r>
      <w:r w:rsidR="009375BF" w:rsidRPr="00214987">
        <w:rPr>
          <w:rFonts w:ascii="Arial" w:hAnsi="Arial" w:cs="Arial"/>
          <w:noProof/>
          <w:sz w:val="20"/>
          <w:szCs w:val="20"/>
          <w:lang w:val="en-US"/>
        </w:rPr>
        <w:t xml:space="preserve">be </w:t>
      </w:r>
      <w:r w:rsidR="00336099" w:rsidRPr="00214987">
        <w:rPr>
          <w:rFonts w:ascii="Arial" w:hAnsi="Arial" w:cs="Arial"/>
          <w:noProof/>
          <w:sz w:val="20"/>
          <w:szCs w:val="20"/>
          <w:lang w:val="en-US"/>
        </w:rPr>
        <w:t xml:space="preserve">made to </w:t>
      </w:r>
      <w:r w:rsidR="00726D8C" w:rsidRPr="00214987">
        <w:rPr>
          <w:rFonts w:ascii="Arial" w:hAnsi="Arial" w:cs="Arial"/>
          <w:noProof/>
          <w:sz w:val="20"/>
          <w:szCs w:val="20"/>
          <w:lang w:val="en-US"/>
        </w:rPr>
        <w:t xml:space="preserve">measure </w:t>
      </w:r>
      <w:r w:rsidR="008C6CE9">
        <w:rPr>
          <w:rFonts w:ascii="Arial" w:hAnsi="Arial" w:cs="Arial"/>
          <w:noProof/>
          <w:sz w:val="20"/>
          <w:szCs w:val="20"/>
          <w:lang w:val="en-US"/>
        </w:rPr>
        <w:t>Mepolizumab</w:t>
      </w:r>
      <w:r w:rsidR="00726D8C" w:rsidRPr="00214987">
        <w:rPr>
          <w:rFonts w:ascii="Arial" w:hAnsi="Arial" w:cs="Arial"/>
          <w:noProof/>
          <w:sz w:val="20"/>
          <w:szCs w:val="20"/>
          <w:lang w:val="en-US"/>
        </w:rPr>
        <w:t xml:space="preserve"> response more holistically</w:t>
      </w:r>
      <w:r w:rsidR="00336099" w:rsidRPr="00214987">
        <w:rPr>
          <w:rFonts w:ascii="Arial" w:hAnsi="Arial" w:cs="Arial"/>
          <w:noProof/>
          <w:sz w:val="20"/>
          <w:szCs w:val="20"/>
          <w:lang w:val="en-US"/>
        </w:rPr>
        <w:t xml:space="preserve">, </w:t>
      </w:r>
      <w:r w:rsidR="00F7436F" w:rsidRPr="00214987">
        <w:rPr>
          <w:rFonts w:ascii="Arial" w:hAnsi="Arial" w:cs="Arial"/>
          <w:noProof/>
          <w:sz w:val="20"/>
          <w:szCs w:val="20"/>
          <w:lang w:val="en-US"/>
        </w:rPr>
        <w:t xml:space="preserve">perhaps by </w:t>
      </w:r>
      <w:r w:rsidR="00E35B0F" w:rsidRPr="00214987">
        <w:rPr>
          <w:rFonts w:ascii="Arial" w:hAnsi="Arial" w:cs="Arial"/>
          <w:noProof/>
          <w:sz w:val="20"/>
          <w:szCs w:val="20"/>
          <w:lang w:val="en-US"/>
        </w:rPr>
        <w:t xml:space="preserve">taking into account a </w:t>
      </w:r>
      <w:r w:rsidR="00F7436F" w:rsidRPr="00214987">
        <w:rPr>
          <w:rFonts w:ascii="Arial" w:hAnsi="Arial" w:cs="Arial"/>
          <w:noProof/>
          <w:sz w:val="20"/>
          <w:szCs w:val="20"/>
          <w:lang w:val="en-US"/>
        </w:rPr>
        <w:t>wider range of measures.</w:t>
      </w:r>
      <w:r w:rsidR="00336099" w:rsidRPr="00214987">
        <w:rPr>
          <w:rFonts w:ascii="Arial" w:hAnsi="Arial" w:cs="Arial"/>
          <w:noProof/>
          <w:sz w:val="20"/>
          <w:szCs w:val="20"/>
          <w:lang w:val="en-US"/>
        </w:rPr>
        <w:t xml:space="preserve"> </w:t>
      </w:r>
      <w:r w:rsidR="00F7436F" w:rsidRPr="00214987">
        <w:rPr>
          <w:rFonts w:ascii="Arial" w:hAnsi="Arial" w:cs="Arial"/>
          <w:noProof/>
          <w:sz w:val="20"/>
          <w:szCs w:val="20"/>
          <w:lang w:val="en-US"/>
        </w:rPr>
        <w:t xml:space="preserve">However, </w:t>
      </w:r>
      <w:r w:rsidR="00336099" w:rsidRPr="00214987">
        <w:rPr>
          <w:rFonts w:ascii="Arial" w:hAnsi="Arial" w:cs="Arial"/>
          <w:noProof/>
          <w:sz w:val="20"/>
          <w:szCs w:val="20"/>
          <w:lang w:val="en-US"/>
        </w:rPr>
        <w:t xml:space="preserve">the economic implications of </w:t>
      </w:r>
      <w:r w:rsidR="00F7436F" w:rsidRPr="00214987">
        <w:rPr>
          <w:rFonts w:ascii="Arial" w:hAnsi="Arial" w:cs="Arial"/>
          <w:noProof/>
          <w:sz w:val="20"/>
          <w:szCs w:val="20"/>
          <w:lang w:val="en-US"/>
        </w:rPr>
        <w:t xml:space="preserve">any such move need careful </w:t>
      </w:r>
      <w:r w:rsidR="00002873" w:rsidRPr="00214987">
        <w:rPr>
          <w:rFonts w:ascii="Arial" w:hAnsi="Arial" w:cs="Arial"/>
          <w:noProof/>
          <w:sz w:val="20"/>
          <w:szCs w:val="20"/>
          <w:lang w:val="en-US"/>
        </w:rPr>
        <w:t>deliberation</w:t>
      </w:r>
      <w:r w:rsidR="00F7436F" w:rsidRPr="00214987">
        <w:rPr>
          <w:rFonts w:ascii="Arial" w:hAnsi="Arial" w:cs="Arial"/>
          <w:noProof/>
          <w:sz w:val="20"/>
          <w:szCs w:val="20"/>
          <w:lang w:val="en-US"/>
        </w:rPr>
        <w:t xml:space="preserve">. </w:t>
      </w:r>
    </w:p>
    <w:p w14:paraId="52673524" w14:textId="086737D9" w:rsidR="006D1396" w:rsidRPr="00214987" w:rsidRDefault="00961DDD"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Our study had limitations. Inherent to real-world observational </w:t>
      </w:r>
      <w:r w:rsidR="0053074A" w:rsidRPr="00214987">
        <w:rPr>
          <w:rFonts w:ascii="Arial" w:hAnsi="Arial" w:cs="Arial"/>
          <w:noProof/>
          <w:sz w:val="20"/>
          <w:szCs w:val="20"/>
          <w:lang w:val="en-US"/>
        </w:rPr>
        <w:t>studies</w:t>
      </w:r>
      <w:r w:rsidRPr="00214987">
        <w:rPr>
          <w:rFonts w:ascii="Arial" w:hAnsi="Arial" w:cs="Arial"/>
          <w:noProof/>
          <w:sz w:val="20"/>
          <w:szCs w:val="20"/>
          <w:lang w:val="en-US"/>
        </w:rPr>
        <w:t xml:space="preserve">, we had some missing data.  However, real-world data capture is representative of clinical populations receiving these treatments. Our report is also limited by the small numbers in the </w:t>
      </w:r>
      <w:r w:rsidR="008C6CE9">
        <w:rPr>
          <w:rFonts w:ascii="Arial" w:hAnsi="Arial" w:cs="Arial"/>
          <w:noProof/>
          <w:sz w:val="20"/>
          <w:szCs w:val="20"/>
          <w:lang w:val="en-US"/>
        </w:rPr>
        <w:t>Mepolizumab</w:t>
      </w:r>
      <w:r w:rsidRPr="00214987">
        <w:rPr>
          <w:rFonts w:ascii="Arial" w:hAnsi="Arial" w:cs="Arial"/>
          <w:noProof/>
          <w:sz w:val="20"/>
          <w:szCs w:val="20"/>
          <w:lang w:val="en-US"/>
        </w:rPr>
        <w:t xml:space="preserve"> group</w:t>
      </w:r>
      <w:r w:rsidR="00AB78C5" w:rsidRPr="00214987">
        <w:rPr>
          <w:rFonts w:ascii="Arial" w:hAnsi="Arial" w:cs="Arial"/>
          <w:noProof/>
          <w:sz w:val="20"/>
          <w:szCs w:val="20"/>
          <w:lang w:val="en-US"/>
        </w:rPr>
        <w:t>, which preven</w:t>
      </w:r>
      <w:r w:rsidR="00C07631" w:rsidRPr="00214987">
        <w:rPr>
          <w:rFonts w:ascii="Arial" w:hAnsi="Arial" w:cs="Arial"/>
          <w:noProof/>
          <w:sz w:val="20"/>
          <w:szCs w:val="20"/>
          <w:lang w:val="en-US"/>
        </w:rPr>
        <w:t>ted</w:t>
      </w:r>
      <w:r w:rsidR="00AB78C5" w:rsidRPr="00214987">
        <w:rPr>
          <w:rFonts w:ascii="Arial" w:hAnsi="Arial" w:cs="Arial"/>
          <w:noProof/>
          <w:sz w:val="20"/>
          <w:szCs w:val="20"/>
          <w:lang w:val="en-US"/>
        </w:rPr>
        <w:t xml:space="preserve"> us from</w:t>
      </w:r>
      <w:r w:rsidR="00DD1E87" w:rsidRPr="00214987">
        <w:rPr>
          <w:rFonts w:ascii="Arial" w:hAnsi="Arial" w:cs="Arial"/>
          <w:noProof/>
          <w:sz w:val="20"/>
          <w:szCs w:val="20"/>
          <w:lang w:val="en-US"/>
        </w:rPr>
        <w:t xml:space="preserve"> </w:t>
      </w:r>
      <w:r w:rsidR="000278F8" w:rsidRPr="00214987">
        <w:rPr>
          <w:rFonts w:ascii="Arial" w:hAnsi="Arial" w:cs="Arial"/>
          <w:noProof/>
          <w:sz w:val="20"/>
          <w:szCs w:val="20"/>
          <w:lang w:val="en-US"/>
        </w:rPr>
        <w:t>uncover</w:t>
      </w:r>
      <w:r w:rsidR="00AB78C5" w:rsidRPr="00214987">
        <w:rPr>
          <w:rFonts w:ascii="Arial" w:hAnsi="Arial" w:cs="Arial"/>
          <w:noProof/>
          <w:sz w:val="20"/>
          <w:szCs w:val="20"/>
          <w:lang w:val="en-US"/>
        </w:rPr>
        <w:t>ing</w:t>
      </w:r>
      <w:r w:rsidR="00DD1E87" w:rsidRPr="00214987">
        <w:rPr>
          <w:rFonts w:ascii="Arial" w:hAnsi="Arial" w:cs="Arial"/>
          <w:noProof/>
          <w:sz w:val="20"/>
          <w:szCs w:val="20"/>
          <w:lang w:val="en-US"/>
        </w:rPr>
        <w:t xml:space="preserve"> whether the different age-of-onset/sex phenotypes ha</w:t>
      </w:r>
      <w:r w:rsidR="00811254" w:rsidRPr="00214987">
        <w:rPr>
          <w:rFonts w:ascii="Arial" w:hAnsi="Arial" w:cs="Arial"/>
          <w:noProof/>
          <w:sz w:val="20"/>
          <w:szCs w:val="20"/>
          <w:lang w:val="en-US"/>
        </w:rPr>
        <w:t>d</w:t>
      </w:r>
      <w:r w:rsidR="00DD1E87" w:rsidRPr="00214987">
        <w:rPr>
          <w:rFonts w:ascii="Arial" w:hAnsi="Arial" w:cs="Arial"/>
          <w:noProof/>
          <w:sz w:val="20"/>
          <w:szCs w:val="20"/>
          <w:lang w:val="en-US"/>
        </w:rPr>
        <w:t xml:space="preserve"> differing </w:t>
      </w:r>
      <w:r w:rsidR="00811254" w:rsidRPr="00214987">
        <w:rPr>
          <w:rFonts w:ascii="Arial" w:hAnsi="Arial" w:cs="Arial"/>
          <w:noProof/>
          <w:sz w:val="20"/>
          <w:szCs w:val="20"/>
          <w:lang w:val="en-US"/>
        </w:rPr>
        <w:t>response</w:t>
      </w:r>
      <w:r w:rsidR="00FE5848" w:rsidRPr="00214987">
        <w:rPr>
          <w:rFonts w:ascii="Arial" w:hAnsi="Arial" w:cs="Arial"/>
          <w:noProof/>
          <w:sz w:val="20"/>
          <w:szCs w:val="20"/>
          <w:lang w:val="en-US"/>
        </w:rPr>
        <w:t xml:space="preserve"> predictors</w:t>
      </w:r>
      <w:r w:rsidR="000278F8" w:rsidRPr="00214987">
        <w:rPr>
          <w:rFonts w:ascii="Arial" w:hAnsi="Arial" w:cs="Arial"/>
          <w:noProof/>
          <w:sz w:val="20"/>
          <w:szCs w:val="20"/>
          <w:lang w:val="en-US"/>
        </w:rPr>
        <w:t xml:space="preserve">. Therefore, </w:t>
      </w:r>
      <w:r w:rsidR="00C51BEF" w:rsidRPr="00214987">
        <w:rPr>
          <w:rFonts w:ascii="Arial" w:hAnsi="Arial" w:cs="Arial"/>
          <w:noProof/>
          <w:sz w:val="20"/>
          <w:szCs w:val="20"/>
          <w:lang w:val="en-US"/>
        </w:rPr>
        <w:t>future</w:t>
      </w:r>
      <w:r w:rsidR="000278F8" w:rsidRPr="00214987">
        <w:rPr>
          <w:rFonts w:ascii="Arial" w:hAnsi="Arial" w:cs="Arial"/>
          <w:noProof/>
          <w:sz w:val="20"/>
          <w:szCs w:val="20"/>
          <w:lang w:val="en-US"/>
        </w:rPr>
        <w:t xml:space="preserve"> studies are needed to clarify these findings</w:t>
      </w:r>
      <w:r w:rsidR="00C07631" w:rsidRPr="00214987">
        <w:rPr>
          <w:rFonts w:ascii="Arial" w:hAnsi="Arial" w:cs="Arial"/>
          <w:noProof/>
          <w:sz w:val="20"/>
          <w:szCs w:val="20"/>
          <w:lang w:val="en-US"/>
        </w:rPr>
        <w:t xml:space="preserve"> and </w:t>
      </w:r>
      <w:r w:rsidR="00B049BE" w:rsidRPr="00214987">
        <w:rPr>
          <w:rFonts w:ascii="Arial" w:hAnsi="Arial" w:cs="Arial"/>
          <w:noProof/>
          <w:sz w:val="20"/>
          <w:szCs w:val="20"/>
          <w:lang w:val="en-US"/>
        </w:rPr>
        <w:t xml:space="preserve">further </w:t>
      </w:r>
      <w:r w:rsidR="00C07631" w:rsidRPr="00214987">
        <w:rPr>
          <w:rFonts w:ascii="Arial" w:hAnsi="Arial" w:cs="Arial"/>
          <w:noProof/>
          <w:sz w:val="20"/>
          <w:szCs w:val="20"/>
          <w:lang w:val="en-US"/>
        </w:rPr>
        <w:t>explore age-of-onset/sex</w:t>
      </w:r>
      <w:r w:rsidR="00983005">
        <w:rPr>
          <w:rFonts w:ascii="Arial" w:hAnsi="Arial" w:cs="Arial"/>
          <w:noProof/>
          <w:sz w:val="20"/>
          <w:szCs w:val="20"/>
          <w:lang w:val="en-US"/>
        </w:rPr>
        <w:t>-</w:t>
      </w:r>
      <w:r w:rsidR="00C07631" w:rsidRPr="00214987">
        <w:rPr>
          <w:rFonts w:ascii="Arial" w:hAnsi="Arial" w:cs="Arial"/>
          <w:noProof/>
          <w:sz w:val="20"/>
          <w:szCs w:val="20"/>
          <w:lang w:val="en-US"/>
        </w:rPr>
        <w:t>related signals</w:t>
      </w:r>
      <w:r w:rsidR="000278F8" w:rsidRPr="00214987">
        <w:rPr>
          <w:rFonts w:ascii="Arial" w:hAnsi="Arial" w:cs="Arial"/>
          <w:noProof/>
          <w:sz w:val="20"/>
          <w:szCs w:val="20"/>
          <w:lang w:val="en-US"/>
        </w:rPr>
        <w:t xml:space="preserve">. </w:t>
      </w:r>
      <w:r w:rsidR="00973ABD" w:rsidRPr="00214987">
        <w:rPr>
          <w:rFonts w:ascii="Arial" w:hAnsi="Arial" w:cs="Arial"/>
          <w:noProof/>
          <w:sz w:val="20"/>
          <w:szCs w:val="20"/>
          <w:lang w:val="en-US"/>
        </w:rPr>
        <w:t xml:space="preserve">Our study had several strengths. We report </w:t>
      </w:r>
      <w:r w:rsidR="000901A8" w:rsidRPr="00214987">
        <w:rPr>
          <w:rFonts w:ascii="Arial" w:hAnsi="Arial" w:cs="Arial"/>
          <w:noProof/>
          <w:sz w:val="20"/>
          <w:szCs w:val="20"/>
          <w:lang w:val="en-US"/>
        </w:rPr>
        <w:t xml:space="preserve">detailed </w:t>
      </w:r>
      <w:r w:rsidR="00973ABD" w:rsidRPr="00214987">
        <w:rPr>
          <w:rFonts w:ascii="Arial" w:hAnsi="Arial" w:cs="Arial"/>
          <w:noProof/>
          <w:sz w:val="20"/>
          <w:szCs w:val="20"/>
          <w:lang w:val="en-US"/>
        </w:rPr>
        <w:t xml:space="preserve">real-world clinical outcomes on both </w:t>
      </w:r>
      <w:r w:rsidR="008C6CE9">
        <w:rPr>
          <w:rFonts w:ascii="Arial" w:hAnsi="Arial" w:cs="Arial"/>
          <w:noProof/>
          <w:sz w:val="20"/>
          <w:szCs w:val="20"/>
          <w:lang w:val="en-US"/>
        </w:rPr>
        <w:t>Omalizumab</w:t>
      </w:r>
      <w:r w:rsidR="00DF71C6" w:rsidRPr="00214987">
        <w:rPr>
          <w:rFonts w:ascii="Arial" w:hAnsi="Arial" w:cs="Arial"/>
          <w:noProof/>
          <w:sz w:val="20"/>
          <w:szCs w:val="20"/>
          <w:lang w:val="en-US"/>
        </w:rPr>
        <w:t xml:space="preserve"> and </w:t>
      </w:r>
      <w:r w:rsidR="008C6CE9">
        <w:rPr>
          <w:rFonts w:ascii="Arial" w:hAnsi="Arial" w:cs="Arial"/>
          <w:noProof/>
          <w:sz w:val="20"/>
          <w:szCs w:val="20"/>
          <w:lang w:val="en-US"/>
        </w:rPr>
        <w:t>Mepolizumab</w:t>
      </w:r>
      <w:r w:rsidR="00973ABD" w:rsidRPr="00214987">
        <w:rPr>
          <w:rFonts w:ascii="Arial" w:hAnsi="Arial" w:cs="Arial"/>
          <w:noProof/>
          <w:sz w:val="20"/>
          <w:szCs w:val="20"/>
          <w:lang w:val="en-US"/>
        </w:rPr>
        <w:t xml:space="preserve"> in parallel, </w:t>
      </w:r>
      <w:r w:rsidR="000901A8" w:rsidRPr="00214987">
        <w:rPr>
          <w:rFonts w:ascii="Arial" w:hAnsi="Arial" w:cs="Arial"/>
          <w:noProof/>
          <w:sz w:val="20"/>
          <w:szCs w:val="20"/>
          <w:lang w:val="en-US"/>
        </w:rPr>
        <w:t xml:space="preserve">against </w:t>
      </w:r>
      <w:r w:rsidR="00363F58" w:rsidRPr="00214987">
        <w:rPr>
          <w:rFonts w:ascii="Arial" w:hAnsi="Arial" w:cs="Arial"/>
          <w:noProof/>
          <w:sz w:val="20"/>
          <w:szCs w:val="20"/>
          <w:lang w:val="en-US"/>
        </w:rPr>
        <w:t>a non-biologic comparator</w:t>
      </w:r>
      <w:r w:rsidR="00F85EA7" w:rsidRPr="00214987">
        <w:rPr>
          <w:rFonts w:ascii="Arial" w:hAnsi="Arial" w:cs="Arial"/>
          <w:noProof/>
          <w:sz w:val="20"/>
          <w:szCs w:val="20"/>
          <w:lang w:val="en-US"/>
        </w:rPr>
        <w:t xml:space="preserve"> in a </w:t>
      </w:r>
      <w:r w:rsidR="008E6617" w:rsidRPr="00214987">
        <w:rPr>
          <w:rFonts w:ascii="Arial" w:hAnsi="Arial" w:cs="Arial"/>
          <w:noProof/>
          <w:sz w:val="20"/>
          <w:szCs w:val="20"/>
          <w:lang w:val="en-US"/>
        </w:rPr>
        <w:t>difficult asthma</w:t>
      </w:r>
      <w:r w:rsidR="001514AF" w:rsidRPr="00214987">
        <w:rPr>
          <w:rFonts w:ascii="Arial" w:hAnsi="Arial" w:cs="Arial"/>
          <w:noProof/>
          <w:sz w:val="20"/>
          <w:szCs w:val="20"/>
          <w:lang w:val="en-US"/>
        </w:rPr>
        <w:t xml:space="preserve"> cohort</w:t>
      </w:r>
      <w:r w:rsidR="00605EBF">
        <w:rPr>
          <w:rFonts w:ascii="Arial" w:hAnsi="Arial" w:cs="Arial"/>
          <w:noProof/>
          <w:sz w:val="20"/>
          <w:szCs w:val="20"/>
          <w:lang w:val="en-US"/>
        </w:rPr>
        <w:t xml:space="preserve">, adding </w:t>
      </w:r>
      <w:r w:rsidR="00A975B8">
        <w:rPr>
          <w:rFonts w:ascii="Arial" w:hAnsi="Arial" w:cs="Arial"/>
          <w:noProof/>
          <w:sz w:val="20"/>
          <w:szCs w:val="20"/>
          <w:lang w:val="en-US"/>
        </w:rPr>
        <w:t xml:space="preserve">to the growing </w:t>
      </w:r>
      <w:r w:rsidR="00605EBF">
        <w:rPr>
          <w:rFonts w:ascii="Arial" w:hAnsi="Arial" w:cs="Arial"/>
          <w:noProof/>
          <w:sz w:val="20"/>
          <w:szCs w:val="20"/>
          <w:lang w:val="en-US"/>
        </w:rPr>
        <w:t xml:space="preserve">real world </w:t>
      </w:r>
      <w:r w:rsidR="00A975B8">
        <w:rPr>
          <w:rFonts w:ascii="Arial" w:hAnsi="Arial" w:cs="Arial"/>
          <w:noProof/>
          <w:sz w:val="20"/>
          <w:szCs w:val="20"/>
          <w:lang w:val="en-US"/>
        </w:rPr>
        <w:t>data</w:t>
      </w:r>
      <w:r w:rsidR="000C4477">
        <w:rPr>
          <w:rFonts w:ascii="Arial" w:hAnsi="Arial" w:cs="Arial"/>
          <w:noProof/>
          <w:sz w:val="20"/>
          <w:szCs w:val="20"/>
          <w:lang w:val="en-US"/>
        </w:rPr>
        <w:t>set</w:t>
      </w:r>
      <w:r w:rsidR="00A975B8">
        <w:rPr>
          <w:rFonts w:ascii="Arial" w:hAnsi="Arial" w:cs="Arial"/>
          <w:noProof/>
          <w:sz w:val="20"/>
          <w:szCs w:val="20"/>
          <w:lang w:val="en-US"/>
        </w:rPr>
        <w:t xml:space="preserve"> on these drugs</w:t>
      </w:r>
      <w:r w:rsidR="00973ABD" w:rsidRPr="00214987">
        <w:rPr>
          <w:rFonts w:ascii="Arial" w:hAnsi="Arial" w:cs="Arial"/>
          <w:noProof/>
          <w:sz w:val="20"/>
          <w:szCs w:val="20"/>
          <w:lang w:val="en-US"/>
        </w:rPr>
        <w:t xml:space="preserve">. Additionally, our cohort represents </w:t>
      </w:r>
      <w:r w:rsidR="008E6617" w:rsidRPr="00214987">
        <w:rPr>
          <w:rFonts w:ascii="Arial" w:hAnsi="Arial" w:cs="Arial"/>
          <w:noProof/>
          <w:sz w:val="20"/>
          <w:szCs w:val="20"/>
          <w:lang w:val="en-US"/>
        </w:rPr>
        <w:t xml:space="preserve">an </w:t>
      </w:r>
      <w:r w:rsidR="00973ABD" w:rsidRPr="00214987">
        <w:rPr>
          <w:rFonts w:ascii="Arial" w:hAnsi="Arial" w:cs="Arial"/>
          <w:noProof/>
          <w:sz w:val="20"/>
          <w:szCs w:val="20"/>
          <w:lang w:val="en-US"/>
        </w:rPr>
        <w:t>extensive</w:t>
      </w:r>
      <w:r w:rsidR="000E4D15" w:rsidRPr="00214987">
        <w:rPr>
          <w:rFonts w:ascii="Arial" w:hAnsi="Arial" w:cs="Arial"/>
          <w:noProof/>
          <w:sz w:val="20"/>
          <w:szCs w:val="20"/>
          <w:lang w:val="en-US"/>
        </w:rPr>
        <w:t>ly</w:t>
      </w:r>
      <w:r w:rsidR="00973ABD" w:rsidRPr="00214987">
        <w:rPr>
          <w:rFonts w:ascii="Arial" w:hAnsi="Arial" w:cs="Arial"/>
          <w:noProof/>
          <w:sz w:val="20"/>
          <w:szCs w:val="20"/>
          <w:lang w:val="en-US"/>
        </w:rPr>
        <w:t xml:space="preserve"> characteri</w:t>
      </w:r>
      <w:r w:rsidR="00267D68">
        <w:rPr>
          <w:rFonts w:ascii="Arial" w:hAnsi="Arial" w:cs="Arial"/>
          <w:noProof/>
          <w:sz w:val="20"/>
          <w:szCs w:val="20"/>
          <w:lang w:val="en-US"/>
        </w:rPr>
        <w:t>z</w:t>
      </w:r>
      <w:r w:rsidR="00973ABD" w:rsidRPr="00214987">
        <w:rPr>
          <w:rFonts w:ascii="Arial" w:hAnsi="Arial" w:cs="Arial"/>
          <w:noProof/>
          <w:sz w:val="20"/>
          <w:szCs w:val="20"/>
          <w:lang w:val="en-US"/>
        </w:rPr>
        <w:t>ed difficult asthma population</w:t>
      </w:r>
      <w:r w:rsidR="00F726A8" w:rsidRPr="00214987">
        <w:rPr>
          <w:rFonts w:ascii="Arial" w:hAnsi="Arial" w:cs="Arial"/>
          <w:noProof/>
          <w:sz w:val="20"/>
          <w:szCs w:val="20"/>
          <w:lang w:val="en-US"/>
        </w:rPr>
        <w:t xml:space="preserve"> </w:t>
      </w:r>
      <w:r w:rsidR="00452386" w:rsidRPr="00214987">
        <w:rPr>
          <w:rFonts w:ascii="Arial" w:hAnsi="Arial" w:cs="Arial"/>
          <w:noProof/>
          <w:sz w:val="20"/>
          <w:szCs w:val="20"/>
          <w:lang w:val="en-US"/>
        </w:rPr>
        <w:t>from a wide geographical catchment</w:t>
      </w:r>
      <w:r w:rsidR="00B07ACD" w:rsidRPr="00214987">
        <w:rPr>
          <w:rFonts w:ascii="Arial" w:hAnsi="Arial" w:cs="Arial"/>
          <w:noProof/>
          <w:sz w:val="20"/>
          <w:szCs w:val="20"/>
          <w:lang w:val="en-US"/>
        </w:rPr>
        <w:t>,</w:t>
      </w:r>
      <w:r w:rsidR="00452386" w:rsidRPr="00214987">
        <w:rPr>
          <w:rFonts w:ascii="Arial" w:hAnsi="Arial" w:cs="Arial"/>
          <w:noProof/>
          <w:sz w:val="20"/>
          <w:szCs w:val="20"/>
          <w:lang w:val="en-US"/>
        </w:rPr>
        <w:t xml:space="preserve"> </w:t>
      </w:r>
      <w:r w:rsidR="00B07ACD" w:rsidRPr="00214987">
        <w:rPr>
          <w:rFonts w:ascii="Arial" w:hAnsi="Arial" w:cs="Arial"/>
          <w:noProof/>
          <w:sz w:val="20"/>
          <w:szCs w:val="20"/>
          <w:lang w:val="en-US"/>
        </w:rPr>
        <w:t>enhancing generalisability of findings</w:t>
      </w:r>
      <w:r w:rsidR="00973ABD" w:rsidRPr="00214987">
        <w:rPr>
          <w:rFonts w:ascii="Arial" w:hAnsi="Arial" w:cs="Arial"/>
          <w:noProof/>
          <w:sz w:val="20"/>
          <w:szCs w:val="20"/>
          <w:lang w:val="en-US"/>
        </w:rPr>
        <w:t xml:space="preserve">. </w:t>
      </w:r>
      <w:r w:rsidR="00E250AC" w:rsidRPr="00214987">
        <w:rPr>
          <w:rFonts w:ascii="Arial" w:hAnsi="Arial" w:cs="Arial"/>
          <w:noProof/>
          <w:sz w:val="20"/>
          <w:szCs w:val="20"/>
          <w:lang w:val="en-US"/>
        </w:rPr>
        <w:t>This allowed</w:t>
      </w:r>
      <w:r w:rsidR="00973ABD" w:rsidRPr="00214987">
        <w:rPr>
          <w:rFonts w:ascii="Arial" w:hAnsi="Arial" w:cs="Arial"/>
          <w:noProof/>
          <w:sz w:val="20"/>
          <w:szCs w:val="20"/>
          <w:lang w:val="en-US"/>
        </w:rPr>
        <w:t xml:space="preserve"> </w:t>
      </w:r>
      <w:r w:rsidR="009214E0" w:rsidRPr="00214987">
        <w:rPr>
          <w:rFonts w:ascii="Arial" w:hAnsi="Arial" w:cs="Arial"/>
          <w:noProof/>
          <w:sz w:val="20"/>
          <w:szCs w:val="20"/>
          <w:lang w:val="en-US"/>
        </w:rPr>
        <w:t>mapp</w:t>
      </w:r>
      <w:r w:rsidR="00E250AC" w:rsidRPr="00214987">
        <w:rPr>
          <w:rFonts w:ascii="Arial" w:hAnsi="Arial" w:cs="Arial"/>
          <w:noProof/>
          <w:sz w:val="20"/>
          <w:szCs w:val="20"/>
          <w:lang w:val="en-US"/>
        </w:rPr>
        <w:t>ing of</w:t>
      </w:r>
      <w:r w:rsidR="009214E0" w:rsidRPr="00214987">
        <w:rPr>
          <w:rFonts w:ascii="Arial" w:hAnsi="Arial" w:cs="Arial"/>
          <w:noProof/>
          <w:sz w:val="20"/>
          <w:szCs w:val="20"/>
          <w:lang w:val="en-US"/>
        </w:rPr>
        <w:t xml:space="preserve"> previously described clinical clusters onto our data</w:t>
      </w:r>
      <w:r w:rsidR="00E250AC" w:rsidRPr="00214987">
        <w:rPr>
          <w:rFonts w:ascii="Arial" w:hAnsi="Arial" w:cs="Arial"/>
          <w:noProof/>
          <w:sz w:val="20"/>
          <w:szCs w:val="20"/>
          <w:lang w:val="en-US"/>
        </w:rPr>
        <w:t>, consolidating our observations</w:t>
      </w:r>
      <w:r w:rsidR="009214E0" w:rsidRPr="00214987">
        <w:rPr>
          <w:rFonts w:ascii="Arial" w:hAnsi="Arial" w:cs="Arial"/>
          <w:noProof/>
          <w:sz w:val="20"/>
          <w:szCs w:val="20"/>
          <w:lang w:val="en-US"/>
        </w:rPr>
        <w:t>. We also</w:t>
      </w:r>
      <w:r w:rsidR="00973ABD" w:rsidRPr="00214987">
        <w:rPr>
          <w:rFonts w:ascii="Arial" w:hAnsi="Arial" w:cs="Arial"/>
          <w:noProof/>
          <w:sz w:val="20"/>
          <w:szCs w:val="20"/>
          <w:lang w:val="en-US"/>
        </w:rPr>
        <w:t xml:space="preserve"> undertook </w:t>
      </w:r>
      <w:r w:rsidR="00983005">
        <w:rPr>
          <w:rFonts w:ascii="Arial" w:hAnsi="Arial" w:cs="Arial"/>
          <w:noProof/>
          <w:sz w:val="20"/>
          <w:szCs w:val="20"/>
          <w:lang w:val="en-US"/>
        </w:rPr>
        <w:t xml:space="preserve">a </w:t>
      </w:r>
      <w:r w:rsidR="00973ABD" w:rsidRPr="00214987">
        <w:rPr>
          <w:rFonts w:ascii="Arial" w:hAnsi="Arial" w:cs="Arial"/>
          <w:noProof/>
          <w:sz w:val="20"/>
          <w:szCs w:val="20"/>
          <w:lang w:val="en-US"/>
        </w:rPr>
        <w:t xml:space="preserve">pooled analysis of the non-responder group </w:t>
      </w:r>
      <w:r w:rsidR="00E308E5" w:rsidRPr="00214987">
        <w:rPr>
          <w:rFonts w:ascii="Arial" w:hAnsi="Arial" w:cs="Arial"/>
          <w:noProof/>
          <w:sz w:val="20"/>
          <w:szCs w:val="20"/>
          <w:lang w:val="en-US"/>
        </w:rPr>
        <w:t>and</w:t>
      </w:r>
      <w:r w:rsidR="00973ABD" w:rsidRPr="00214987">
        <w:rPr>
          <w:rFonts w:ascii="Arial" w:hAnsi="Arial" w:cs="Arial"/>
          <w:noProof/>
          <w:sz w:val="20"/>
          <w:szCs w:val="20"/>
          <w:lang w:val="en-US"/>
        </w:rPr>
        <w:t xml:space="preserve"> explored other definitions of response in </w:t>
      </w:r>
      <w:r w:rsidR="008C6CE9">
        <w:rPr>
          <w:rFonts w:ascii="Arial" w:hAnsi="Arial" w:cs="Arial"/>
          <w:noProof/>
          <w:sz w:val="20"/>
          <w:szCs w:val="20"/>
          <w:lang w:val="en-US"/>
        </w:rPr>
        <w:t>Mepolizumab</w:t>
      </w:r>
      <w:r w:rsidR="00973ABD" w:rsidRPr="00214987">
        <w:rPr>
          <w:rFonts w:ascii="Arial" w:hAnsi="Arial" w:cs="Arial"/>
          <w:noProof/>
          <w:sz w:val="20"/>
          <w:szCs w:val="20"/>
          <w:lang w:val="en-US"/>
        </w:rPr>
        <w:t xml:space="preserve">, </w:t>
      </w:r>
      <w:r w:rsidR="00E308E5" w:rsidRPr="00214987">
        <w:rPr>
          <w:rFonts w:ascii="Arial" w:hAnsi="Arial" w:cs="Arial"/>
          <w:noProof/>
          <w:sz w:val="20"/>
          <w:szCs w:val="20"/>
          <w:lang w:val="en-US"/>
        </w:rPr>
        <w:t>compared</w:t>
      </w:r>
      <w:r w:rsidR="00973ABD" w:rsidRPr="00214987">
        <w:rPr>
          <w:rFonts w:ascii="Arial" w:hAnsi="Arial" w:cs="Arial"/>
          <w:noProof/>
          <w:sz w:val="20"/>
          <w:szCs w:val="20"/>
          <w:lang w:val="en-US"/>
        </w:rPr>
        <w:t xml:space="preserve"> to </w:t>
      </w:r>
      <w:r w:rsidR="008C6CE9">
        <w:rPr>
          <w:rFonts w:ascii="Arial" w:hAnsi="Arial" w:cs="Arial"/>
          <w:noProof/>
          <w:sz w:val="20"/>
          <w:szCs w:val="20"/>
          <w:lang w:val="en-US"/>
        </w:rPr>
        <w:t>Omalizumab</w:t>
      </w:r>
      <w:r w:rsidR="00973ABD" w:rsidRPr="00214987">
        <w:rPr>
          <w:rFonts w:ascii="Arial" w:hAnsi="Arial" w:cs="Arial"/>
          <w:noProof/>
          <w:sz w:val="20"/>
          <w:szCs w:val="20"/>
          <w:lang w:val="en-US"/>
        </w:rPr>
        <w:t xml:space="preserve">.  </w:t>
      </w:r>
    </w:p>
    <w:p w14:paraId="5140AF46" w14:textId="5DAEC46A" w:rsidR="006D1396" w:rsidRDefault="00F3105A" w:rsidP="00DD092A">
      <w:pPr>
        <w:pStyle w:val="Heading1"/>
        <w:rPr>
          <w:rFonts w:ascii="Arial" w:hAnsi="Arial" w:cs="Arial"/>
          <w:noProof/>
        </w:rPr>
      </w:pPr>
      <w:r w:rsidRPr="00DD092A">
        <w:rPr>
          <w:rFonts w:ascii="Arial" w:hAnsi="Arial" w:cs="Arial"/>
          <w:noProof/>
        </w:rPr>
        <w:lastRenderedPageBreak/>
        <w:t>Conclusion</w:t>
      </w:r>
      <w:r w:rsidR="00812786" w:rsidRPr="00DD092A">
        <w:rPr>
          <w:rFonts w:ascii="Arial" w:hAnsi="Arial" w:cs="Arial"/>
          <w:noProof/>
        </w:rPr>
        <w:t>:</w:t>
      </w:r>
    </w:p>
    <w:p w14:paraId="14B1FC43" w14:textId="77777777" w:rsidR="00DD092A" w:rsidRPr="00DD092A" w:rsidRDefault="00DD092A" w:rsidP="00DD092A">
      <w:pPr>
        <w:rPr>
          <w:lang w:val="en-US"/>
        </w:rPr>
      </w:pPr>
    </w:p>
    <w:p w14:paraId="7B1EC2DB" w14:textId="2A73E394" w:rsidR="001F502E" w:rsidRDefault="00474226" w:rsidP="00AB4CB7">
      <w:pPr>
        <w:spacing w:line="480" w:lineRule="auto"/>
        <w:rPr>
          <w:rFonts w:ascii="Arial" w:hAnsi="Arial" w:cs="Arial"/>
          <w:noProof/>
          <w:sz w:val="20"/>
          <w:szCs w:val="20"/>
          <w:lang w:val="en-US"/>
        </w:rPr>
      </w:pPr>
      <w:r w:rsidRPr="00214987">
        <w:rPr>
          <w:rFonts w:ascii="Arial" w:hAnsi="Arial" w:cs="Arial"/>
          <w:noProof/>
          <w:sz w:val="20"/>
          <w:szCs w:val="20"/>
          <w:lang w:val="en-US"/>
        </w:rPr>
        <w:t xml:space="preserve">In summary, </w:t>
      </w:r>
      <w:r w:rsidR="00381ADE" w:rsidRPr="00214987">
        <w:rPr>
          <w:rFonts w:ascii="Arial" w:hAnsi="Arial" w:cs="Arial"/>
          <w:noProof/>
          <w:sz w:val="20"/>
          <w:szCs w:val="20"/>
          <w:lang w:val="en-US"/>
        </w:rPr>
        <w:t xml:space="preserve">in this real-world difficult asthma cohort, </w:t>
      </w:r>
      <w:r w:rsidR="008C6CE9">
        <w:rPr>
          <w:rFonts w:ascii="Arial" w:hAnsi="Arial" w:cs="Arial"/>
          <w:noProof/>
          <w:sz w:val="20"/>
          <w:szCs w:val="20"/>
          <w:lang w:val="en-US"/>
        </w:rPr>
        <w:t>Omalizumab</w:t>
      </w:r>
      <w:r w:rsidR="00381ADE" w:rsidRPr="00214987">
        <w:rPr>
          <w:rFonts w:ascii="Arial" w:hAnsi="Arial" w:cs="Arial"/>
          <w:noProof/>
          <w:sz w:val="20"/>
          <w:szCs w:val="20"/>
          <w:lang w:val="en-US"/>
        </w:rPr>
        <w:t xml:space="preserve"> and </w:t>
      </w:r>
      <w:r w:rsidR="008C6CE9">
        <w:rPr>
          <w:rFonts w:ascii="Arial" w:hAnsi="Arial" w:cs="Arial"/>
          <w:noProof/>
          <w:sz w:val="20"/>
          <w:szCs w:val="20"/>
          <w:lang w:val="en-US"/>
        </w:rPr>
        <w:t>Mepolizumab</w:t>
      </w:r>
      <w:r w:rsidR="00381ADE" w:rsidRPr="00214987">
        <w:rPr>
          <w:rFonts w:ascii="Arial" w:hAnsi="Arial" w:cs="Arial"/>
          <w:noProof/>
          <w:sz w:val="20"/>
          <w:szCs w:val="20"/>
          <w:lang w:val="en-US"/>
        </w:rPr>
        <w:t xml:space="preserve"> were used for distinct SA phenotypes</w:t>
      </w:r>
      <w:r w:rsidR="00011D21" w:rsidRPr="00214987">
        <w:rPr>
          <w:rFonts w:ascii="Arial" w:hAnsi="Arial" w:cs="Arial"/>
          <w:noProof/>
          <w:sz w:val="20"/>
          <w:szCs w:val="20"/>
          <w:lang w:val="en-US"/>
        </w:rPr>
        <w:t xml:space="preserve"> </w:t>
      </w:r>
      <w:r w:rsidR="004F5A8E" w:rsidRPr="00214987">
        <w:rPr>
          <w:rFonts w:ascii="Arial" w:hAnsi="Arial" w:cs="Arial"/>
          <w:noProof/>
          <w:sz w:val="20"/>
          <w:szCs w:val="20"/>
          <w:lang w:val="en-US"/>
        </w:rPr>
        <w:t xml:space="preserve">in </w:t>
      </w:r>
      <w:r w:rsidR="00454769" w:rsidRPr="00214987">
        <w:rPr>
          <w:rFonts w:ascii="Arial" w:hAnsi="Arial" w:cs="Arial"/>
          <w:noProof/>
          <w:sz w:val="20"/>
          <w:szCs w:val="20"/>
          <w:lang w:val="en-US"/>
        </w:rPr>
        <w:t xml:space="preserve">which they </w:t>
      </w:r>
      <w:r w:rsidR="004F5A8E" w:rsidRPr="00214987">
        <w:rPr>
          <w:rFonts w:ascii="Arial" w:hAnsi="Arial" w:cs="Arial"/>
          <w:noProof/>
          <w:sz w:val="20"/>
          <w:szCs w:val="20"/>
          <w:lang w:val="en-US"/>
        </w:rPr>
        <w:t>were</w:t>
      </w:r>
      <w:r w:rsidR="00AB314D" w:rsidRPr="00214987">
        <w:rPr>
          <w:rFonts w:ascii="Arial" w:hAnsi="Arial" w:cs="Arial"/>
          <w:noProof/>
          <w:sz w:val="20"/>
          <w:szCs w:val="20"/>
          <w:lang w:val="en-US"/>
        </w:rPr>
        <w:t xml:space="preserve"> both</w:t>
      </w:r>
      <w:r w:rsidR="00454769" w:rsidRPr="00214987">
        <w:rPr>
          <w:rFonts w:ascii="Arial" w:hAnsi="Arial" w:cs="Arial"/>
          <w:noProof/>
          <w:sz w:val="20"/>
          <w:szCs w:val="20"/>
          <w:lang w:val="en-US"/>
        </w:rPr>
        <w:t xml:space="preserve"> </w:t>
      </w:r>
      <w:r w:rsidR="00011D21" w:rsidRPr="00214987">
        <w:rPr>
          <w:rFonts w:ascii="Arial" w:hAnsi="Arial" w:cs="Arial"/>
          <w:noProof/>
          <w:sz w:val="20"/>
          <w:szCs w:val="20"/>
          <w:lang w:val="en-US"/>
        </w:rPr>
        <w:t>multidimensionally</w:t>
      </w:r>
      <w:r w:rsidR="00D632AC" w:rsidRPr="00214987">
        <w:rPr>
          <w:rFonts w:ascii="Arial" w:hAnsi="Arial" w:cs="Arial"/>
          <w:noProof/>
          <w:sz w:val="20"/>
          <w:szCs w:val="20"/>
          <w:lang w:val="en-US"/>
        </w:rPr>
        <w:t xml:space="preserve"> effective</w:t>
      </w:r>
      <w:r w:rsidR="00381ADE" w:rsidRPr="00214987">
        <w:rPr>
          <w:rFonts w:ascii="Arial" w:hAnsi="Arial" w:cs="Arial"/>
          <w:noProof/>
          <w:sz w:val="20"/>
          <w:szCs w:val="20"/>
          <w:lang w:val="en-US"/>
        </w:rPr>
        <w:t>. Among these phenotypes</w:t>
      </w:r>
      <w:r w:rsidR="009D33B6" w:rsidRPr="00214987">
        <w:rPr>
          <w:rFonts w:ascii="Arial" w:hAnsi="Arial" w:cs="Arial"/>
          <w:noProof/>
          <w:sz w:val="20"/>
          <w:szCs w:val="20"/>
          <w:lang w:val="en-US"/>
        </w:rPr>
        <w:t>,</w:t>
      </w:r>
      <w:r w:rsidR="00381ADE" w:rsidRPr="00214987">
        <w:rPr>
          <w:rFonts w:ascii="Arial" w:hAnsi="Arial" w:cs="Arial"/>
          <w:noProof/>
          <w:sz w:val="20"/>
          <w:szCs w:val="20"/>
          <w:lang w:val="en-US"/>
        </w:rPr>
        <w:t xml:space="preserve"> we </w:t>
      </w:r>
      <w:r w:rsidR="00857489" w:rsidRPr="00214987">
        <w:rPr>
          <w:rFonts w:ascii="Arial" w:hAnsi="Arial" w:cs="Arial"/>
          <w:noProof/>
          <w:sz w:val="20"/>
          <w:szCs w:val="20"/>
          <w:lang w:val="en-US"/>
        </w:rPr>
        <w:t xml:space="preserve">identified </w:t>
      </w:r>
      <w:r w:rsidR="009B3524" w:rsidRPr="00214987">
        <w:rPr>
          <w:rFonts w:ascii="Arial" w:hAnsi="Arial" w:cs="Arial"/>
          <w:noProof/>
          <w:sz w:val="20"/>
          <w:szCs w:val="20"/>
          <w:lang w:val="en-US"/>
        </w:rPr>
        <w:t xml:space="preserve">some </w:t>
      </w:r>
      <w:r w:rsidR="00A90DBB" w:rsidRPr="00214987">
        <w:rPr>
          <w:rFonts w:ascii="Arial" w:hAnsi="Arial" w:cs="Arial"/>
          <w:noProof/>
          <w:sz w:val="20"/>
          <w:szCs w:val="20"/>
          <w:lang w:val="en-US"/>
        </w:rPr>
        <w:t xml:space="preserve">features </w:t>
      </w:r>
      <w:r w:rsidR="00592277" w:rsidRPr="00214987">
        <w:rPr>
          <w:rFonts w:ascii="Arial" w:hAnsi="Arial" w:cs="Arial"/>
          <w:noProof/>
          <w:sz w:val="20"/>
          <w:szCs w:val="20"/>
          <w:lang w:val="en-US"/>
        </w:rPr>
        <w:t xml:space="preserve">independently </w:t>
      </w:r>
      <w:r w:rsidR="00A90DBB" w:rsidRPr="00214987">
        <w:rPr>
          <w:rFonts w:ascii="Arial" w:hAnsi="Arial" w:cs="Arial"/>
          <w:noProof/>
          <w:sz w:val="20"/>
          <w:szCs w:val="20"/>
          <w:lang w:val="en-US"/>
        </w:rPr>
        <w:t xml:space="preserve">associated with </w:t>
      </w:r>
      <w:r w:rsidR="009B3524" w:rsidRPr="00214987">
        <w:rPr>
          <w:rFonts w:ascii="Arial" w:hAnsi="Arial" w:cs="Arial"/>
          <w:noProof/>
          <w:sz w:val="20"/>
          <w:szCs w:val="20"/>
          <w:lang w:val="en-US"/>
        </w:rPr>
        <w:t>response</w:t>
      </w:r>
      <w:r w:rsidR="008C6DDB" w:rsidRPr="00214987">
        <w:rPr>
          <w:rFonts w:ascii="Arial" w:hAnsi="Arial" w:cs="Arial"/>
          <w:noProof/>
          <w:sz w:val="20"/>
          <w:szCs w:val="20"/>
          <w:lang w:val="en-US"/>
        </w:rPr>
        <w:t>,</w:t>
      </w:r>
      <w:r w:rsidR="009B3524" w:rsidRPr="00214987">
        <w:rPr>
          <w:rFonts w:ascii="Arial" w:hAnsi="Arial" w:cs="Arial"/>
          <w:noProof/>
          <w:sz w:val="20"/>
          <w:szCs w:val="20"/>
          <w:lang w:val="en-US"/>
        </w:rPr>
        <w:t xml:space="preserve"> which may </w:t>
      </w:r>
      <w:r w:rsidR="00216E9C" w:rsidRPr="00214987">
        <w:rPr>
          <w:rFonts w:ascii="Arial" w:hAnsi="Arial" w:cs="Arial"/>
          <w:noProof/>
          <w:sz w:val="20"/>
          <w:szCs w:val="20"/>
          <w:lang w:val="en-US"/>
        </w:rPr>
        <w:t>assist</w:t>
      </w:r>
      <w:r w:rsidR="009B3524" w:rsidRPr="00214987">
        <w:rPr>
          <w:rFonts w:ascii="Arial" w:hAnsi="Arial" w:cs="Arial"/>
          <w:noProof/>
          <w:sz w:val="20"/>
          <w:szCs w:val="20"/>
          <w:lang w:val="en-US"/>
        </w:rPr>
        <w:t xml:space="preserve"> clinicians.</w:t>
      </w:r>
      <w:r w:rsidR="00CE0852" w:rsidRPr="00214987">
        <w:rPr>
          <w:rFonts w:ascii="Arial" w:hAnsi="Arial" w:cs="Arial"/>
          <w:noProof/>
          <w:sz w:val="20"/>
          <w:szCs w:val="20"/>
          <w:lang w:val="en-US"/>
        </w:rPr>
        <w:t xml:space="preserve"> </w:t>
      </w:r>
      <w:r w:rsidR="00442BEE" w:rsidRPr="00214987">
        <w:rPr>
          <w:rFonts w:ascii="Arial" w:hAnsi="Arial" w:cs="Arial"/>
          <w:noProof/>
          <w:sz w:val="20"/>
          <w:szCs w:val="20"/>
          <w:lang w:val="en-US"/>
        </w:rPr>
        <w:t>In turn, t</w:t>
      </w:r>
      <w:r w:rsidR="00CE0852" w:rsidRPr="00214987">
        <w:rPr>
          <w:rFonts w:ascii="Arial" w:hAnsi="Arial" w:cs="Arial"/>
          <w:noProof/>
          <w:sz w:val="20"/>
          <w:szCs w:val="20"/>
          <w:lang w:val="en-US"/>
        </w:rPr>
        <w:t>hose findings reiterate</w:t>
      </w:r>
      <w:r w:rsidR="008A1E5A" w:rsidRPr="00214987">
        <w:rPr>
          <w:rFonts w:ascii="Arial" w:hAnsi="Arial" w:cs="Arial"/>
          <w:noProof/>
          <w:sz w:val="20"/>
          <w:szCs w:val="20"/>
          <w:lang w:val="en-US"/>
        </w:rPr>
        <w:t>d</w:t>
      </w:r>
      <w:r w:rsidR="00CE0852" w:rsidRPr="00214987">
        <w:rPr>
          <w:rFonts w:ascii="Arial" w:hAnsi="Arial" w:cs="Arial"/>
          <w:noProof/>
          <w:sz w:val="20"/>
          <w:szCs w:val="20"/>
          <w:lang w:val="en-US"/>
        </w:rPr>
        <w:t xml:space="preserve"> the importance of detailed characterisation and addressing treatable traits alongside consideration of biologics use in more severe asthma.</w:t>
      </w:r>
      <w:r w:rsidR="00665D7E" w:rsidRPr="00214987">
        <w:rPr>
          <w:rFonts w:ascii="Arial" w:hAnsi="Arial" w:cs="Arial"/>
          <w:noProof/>
          <w:sz w:val="20"/>
          <w:szCs w:val="20"/>
          <w:lang w:val="en-US"/>
        </w:rPr>
        <w:t xml:space="preserve"> </w:t>
      </w:r>
      <w:r w:rsidR="00546EC8" w:rsidRPr="00214987">
        <w:rPr>
          <w:rFonts w:ascii="Arial" w:hAnsi="Arial" w:cs="Arial"/>
          <w:noProof/>
          <w:sz w:val="20"/>
          <w:szCs w:val="20"/>
          <w:lang w:val="en-US"/>
        </w:rPr>
        <w:t>To further enhance the personali</w:t>
      </w:r>
      <w:r w:rsidR="00267D68">
        <w:rPr>
          <w:rFonts w:ascii="Arial" w:hAnsi="Arial" w:cs="Arial"/>
          <w:noProof/>
          <w:sz w:val="20"/>
          <w:szCs w:val="20"/>
          <w:lang w:val="en-US"/>
        </w:rPr>
        <w:t>z</w:t>
      </w:r>
      <w:r w:rsidR="00546EC8" w:rsidRPr="00214987">
        <w:rPr>
          <w:rFonts w:ascii="Arial" w:hAnsi="Arial" w:cs="Arial"/>
          <w:noProof/>
          <w:sz w:val="20"/>
          <w:szCs w:val="20"/>
          <w:lang w:val="en-US"/>
        </w:rPr>
        <w:t xml:space="preserve">ed and optimal use of biologic </w:t>
      </w:r>
      <w:r w:rsidR="00A6239D" w:rsidRPr="00214987">
        <w:rPr>
          <w:rFonts w:ascii="Arial" w:hAnsi="Arial" w:cs="Arial"/>
          <w:noProof/>
          <w:sz w:val="20"/>
          <w:szCs w:val="20"/>
          <w:lang w:val="en-US"/>
        </w:rPr>
        <w:t>therapies</w:t>
      </w:r>
      <w:r w:rsidR="003B730E" w:rsidRPr="00214987">
        <w:rPr>
          <w:rFonts w:ascii="Arial" w:hAnsi="Arial" w:cs="Arial"/>
          <w:noProof/>
          <w:sz w:val="20"/>
          <w:szCs w:val="20"/>
          <w:lang w:val="en-US"/>
        </w:rPr>
        <w:t>,</w:t>
      </w:r>
      <w:r w:rsidR="00A6239D" w:rsidRPr="00214987">
        <w:rPr>
          <w:rFonts w:ascii="Arial" w:hAnsi="Arial" w:cs="Arial"/>
          <w:noProof/>
          <w:sz w:val="20"/>
          <w:szCs w:val="20"/>
          <w:lang w:val="en-US"/>
        </w:rPr>
        <w:t xml:space="preserve"> </w:t>
      </w:r>
      <w:r w:rsidR="005F1934" w:rsidRPr="00214987">
        <w:rPr>
          <w:rFonts w:ascii="Arial" w:hAnsi="Arial" w:cs="Arial"/>
          <w:noProof/>
          <w:sz w:val="20"/>
          <w:szCs w:val="20"/>
          <w:lang w:val="en-US"/>
        </w:rPr>
        <w:t xml:space="preserve">future </w:t>
      </w:r>
      <w:r w:rsidR="00F837A9" w:rsidRPr="00214987">
        <w:rPr>
          <w:rFonts w:ascii="Arial" w:hAnsi="Arial" w:cs="Arial"/>
          <w:noProof/>
          <w:sz w:val="20"/>
          <w:szCs w:val="20"/>
          <w:lang w:val="en-US"/>
        </w:rPr>
        <w:t>research</w:t>
      </w:r>
      <w:r w:rsidR="00250508" w:rsidRPr="00214987">
        <w:rPr>
          <w:rFonts w:ascii="Arial" w:hAnsi="Arial" w:cs="Arial"/>
          <w:noProof/>
          <w:sz w:val="20"/>
          <w:szCs w:val="20"/>
          <w:lang w:val="en-US"/>
        </w:rPr>
        <w:t xml:space="preserve"> </w:t>
      </w:r>
      <w:r w:rsidR="008A6E04" w:rsidRPr="00214987">
        <w:rPr>
          <w:rFonts w:ascii="Arial" w:hAnsi="Arial" w:cs="Arial"/>
          <w:noProof/>
          <w:sz w:val="20"/>
          <w:szCs w:val="20"/>
          <w:lang w:val="en-US"/>
        </w:rPr>
        <w:t>should develop a</w:t>
      </w:r>
      <w:r w:rsidR="001114AB" w:rsidRPr="00214987">
        <w:rPr>
          <w:rFonts w:ascii="Arial" w:hAnsi="Arial" w:cs="Arial"/>
          <w:noProof/>
          <w:sz w:val="20"/>
          <w:szCs w:val="20"/>
          <w:lang w:val="en-US"/>
        </w:rPr>
        <w:t xml:space="preserve"> </w:t>
      </w:r>
      <w:r w:rsidR="00F67664" w:rsidRPr="00214987">
        <w:rPr>
          <w:rFonts w:ascii="Arial" w:hAnsi="Arial" w:cs="Arial"/>
          <w:noProof/>
          <w:sz w:val="20"/>
          <w:szCs w:val="20"/>
          <w:lang w:val="en-US"/>
        </w:rPr>
        <w:t>deeper</w:t>
      </w:r>
      <w:r w:rsidR="001114AB" w:rsidRPr="00214987">
        <w:rPr>
          <w:rFonts w:ascii="Arial" w:hAnsi="Arial" w:cs="Arial"/>
          <w:noProof/>
          <w:sz w:val="20"/>
          <w:szCs w:val="20"/>
          <w:lang w:val="en-US"/>
        </w:rPr>
        <w:t xml:space="preserve"> endotypic </w:t>
      </w:r>
      <w:r w:rsidR="003B730E" w:rsidRPr="00214987">
        <w:rPr>
          <w:rFonts w:ascii="Arial" w:hAnsi="Arial" w:cs="Arial"/>
          <w:noProof/>
          <w:sz w:val="20"/>
          <w:szCs w:val="20"/>
          <w:lang w:val="en-US"/>
        </w:rPr>
        <w:t>understanding of asthma biologic need and responsiveness.</w:t>
      </w:r>
      <w:r w:rsidR="007C5AC6" w:rsidRPr="00214987">
        <w:rPr>
          <w:rFonts w:ascii="Arial" w:hAnsi="Arial" w:cs="Arial"/>
          <w:noProof/>
          <w:sz w:val="20"/>
          <w:szCs w:val="20"/>
          <w:lang w:val="en-US"/>
        </w:rPr>
        <w:t xml:space="preserve"> </w:t>
      </w:r>
      <w:r w:rsidR="00802270" w:rsidRPr="00214987">
        <w:rPr>
          <w:rFonts w:ascii="Arial" w:hAnsi="Arial" w:cs="Arial"/>
          <w:noProof/>
          <w:sz w:val="20"/>
          <w:szCs w:val="20"/>
          <w:lang w:val="en-US"/>
        </w:rPr>
        <w:t xml:space="preserve"> </w:t>
      </w:r>
    </w:p>
    <w:p w14:paraId="6D20B6CF" w14:textId="33ADD33A" w:rsidR="00687573" w:rsidRPr="00DD092A" w:rsidRDefault="00DD092A" w:rsidP="00DD092A">
      <w:pPr>
        <w:pStyle w:val="Heading1"/>
        <w:rPr>
          <w:rFonts w:ascii="Arial" w:hAnsi="Arial" w:cs="Arial"/>
          <w:noProof/>
        </w:rPr>
      </w:pPr>
      <w:r w:rsidRPr="00DD092A">
        <w:rPr>
          <w:rFonts w:ascii="Arial" w:hAnsi="Arial" w:cs="Arial"/>
        </w:rPr>
        <w:t>Acknowledgements</w:t>
      </w:r>
    </w:p>
    <w:p w14:paraId="6695E541" w14:textId="0358F5DD" w:rsidR="00286A75" w:rsidRPr="003F789B" w:rsidRDefault="00D81055" w:rsidP="00AB4CB7">
      <w:pPr>
        <w:spacing w:line="480" w:lineRule="auto"/>
        <w:rPr>
          <w:rFonts w:ascii="Arial" w:hAnsi="Arial" w:cs="Arial"/>
          <w:sz w:val="20"/>
          <w:szCs w:val="20"/>
        </w:rPr>
      </w:pPr>
      <w:r>
        <w:rPr>
          <w:rFonts w:ascii="Arial" w:hAnsi="Arial" w:cs="Arial"/>
          <w:sz w:val="20"/>
        </w:rPr>
        <w:br/>
      </w:r>
      <w:r w:rsidR="00286A75" w:rsidRPr="003F789B">
        <w:rPr>
          <w:rFonts w:ascii="Arial" w:hAnsi="Arial" w:cs="Arial"/>
          <w:sz w:val="20"/>
        </w:rPr>
        <w:t xml:space="preserve">The authors thank the </w:t>
      </w:r>
      <w:r w:rsidR="00176710">
        <w:rPr>
          <w:rFonts w:ascii="Arial" w:hAnsi="Arial" w:cs="Arial"/>
          <w:sz w:val="20"/>
        </w:rPr>
        <w:t xml:space="preserve">WATCH </w:t>
      </w:r>
      <w:r w:rsidR="00286A75">
        <w:rPr>
          <w:rFonts w:ascii="Arial" w:hAnsi="Arial" w:cs="Arial"/>
          <w:sz w:val="20"/>
        </w:rPr>
        <w:t>participants</w:t>
      </w:r>
      <w:r w:rsidR="00286A75" w:rsidRPr="003F789B">
        <w:rPr>
          <w:rFonts w:ascii="Arial" w:hAnsi="Arial" w:cs="Arial"/>
          <w:sz w:val="20"/>
        </w:rPr>
        <w:t xml:space="preserve"> and the WATCH study team who conducted </w:t>
      </w:r>
      <w:r w:rsidR="00C34231">
        <w:rPr>
          <w:rFonts w:ascii="Arial" w:hAnsi="Arial" w:cs="Arial"/>
          <w:sz w:val="20"/>
        </w:rPr>
        <w:t>this study</w:t>
      </w:r>
      <w:r w:rsidR="00286A75" w:rsidRPr="003F789B">
        <w:rPr>
          <w:rFonts w:ascii="Arial" w:hAnsi="Arial" w:cs="Arial"/>
          <w:sz w:val="20"/>
        </w:rPr>
        <w:t>. They also acknowledge the support of the National Institute for Health Research (NIHR) Southampton Biomedical Research Centre and NIHR Clinical Research Facility, which are funded by NIHR and are a partnership between the University of Southampton and University Hospital Southampton NHS Foundation Trust.</w:t>
      </w:r>
    </w:p>
    <w:p w14:paraId="7BA26144" w14:textId="106398D4" w:rsidR="00DB0FBA" w:rsidRDefault="00DB0FBA">
      <w:pPr>
        <w:rPr>
          <w:rFonts w:ascii="Arial" w:hAnsi="Arial" w:cs="Arial"/>
          <w:noProof/>
          <w:sz w:val="20"/>
          <w:lang w:val="en-US"/>
        </w:rPr>
      </w:pPr>
      <w:r>
        <w:rPr>
          <w:rFonts w:ascii="Arial" w:hAnsi="Arial" w:cs="Arial"/>
          <w:noProof/>
          <w:sz w:val="20"/>
          <w:lang w:val="en-US"/>
        </w:rPr>
        <w:br w:type="page"/>
      </w:r>
    </w:p>
    <w:p w14:paraId="5E40B1D2" w14:textId="17026002" w:rsidR="00F6315E" w:rsidRPr="00DD092A" w:rsidRDefault="002B3207" w:rsidP="00DD092A">
      <w:pPr>
        <w:pStyle w:val="Heading1"/>
        <w:rPr>
          <w:rFonts w:ascii="Arial" w:hAnsi="Arial" w:cs="Arial"/>
          <w:noProof/>
        </w:rPr>
      </w:pPr>
      <w:r w:rsidRPr="00DD092A">
        <w:rPr>
          <w:rFonts w:ascii="Arial" w:hAnsi="Arial" w:cs="Arial"/>
          <w:noProof/>
        </w:rPr>
        <w:lastRenderedPageBreak/>
        <w:t>References</w:t>
      </w:r>
      <w:r w:rsidR="00F6315E" w:rsidRPr="00DD092A">
        <w:rPr>
          <w:rFonts w:ascii="Arial" w:hAnsi="Arial" w:cs="Arial"/>
          <w:noProof/>
        </w:rPr>
        <w:t xml:space="preserve"> </w:t>
      </w:r>
    </w:p>
    <w:p w14:paraId="68224470" w14:textId="49EF27ED" w:rsidR="00717B40" w:rsidRPr="00717B40" w:rsidRDefault="002B3207" w:rsidP="00717B40">
      <w:pPr>
        <w:widowControl w:val="0"/>
        <w:autoSpaceDE w:val="0"/>
        <w:autoSpaceDN w:val="0"/>
        <w:adjustRightInd w:val="0"/>
        <w:spacing w:line="240" w:lineRule="auto"/>
        <w:ind w:left="640" w:hanging="640"/>
        <w:rPr>
          <w:rFonts w:ascii="Arial" w:hAnsi="Arial" w:cs="Arial"/>
          <w:noProof/>
          <w:szCs w:val="24"/>
        </w:rPr>
      </w:pPr>
      <w:r w:rsidRPr="00214987">
        <w:rPr>
          <w:rFonts w:ascii="Arial" w:hAnsi="Arial" w:cs="Arial"/>
          <w:b/>
          <w:bCs/>
          <w:noProof/>
          <w:u w:val="single"/>
          <w:lang w:val="en-US"/>
        </w:rPr>
        <w:fldChar w:fldCharType="begin" w:fldLock="1"/>
      </w:r>
      <w:r w:rsidRPr="00214987">
        <w:rPr>
          <w:rFonts w:ascii="Arial" w:hAnsi="Arial" w:cs="Arial"/>
          <w:b/>
          <w:bCs/>
          <w:noProof/>
          <w:u w:val="single"/>
          <w:lang w:val="en-US"/>
        </w:rPr>
        <w:instrText xml:space="preserve">ADDIN Mendeley Bibliography CSL_BIBLIOGRAPHY </w:instrText>
      </w:r>
      <w:r w:rsidRPr="00214987">
        <w:rPr>
          <w:rFonts w:ascii="Arial" w:hAnsi="Arial" w:cs="Arial"/>
          <w:b/>
          <w:bCs/>
          <w:noProof/>
          <w:u w:val="single"/>
          <w:lang w:val="en-US"/>
        </w:rPr>
        <w:fldChar w:fldCharType="separate"/>
      </w:r>
      <w:r w:rsidR="00717B40" w:rsidRPr="00717B40">
        <w:rPr>
          <w:rFonts w:ascii="Arial" w:hAnsi="Arial" w:cs="Arial"/>
          <w:noProof/>
          <w:szCs w:val="24"/>
        </w:rPr>
        <w:t xml:space="preserve">1. </w:t>
      </w:r>
      <w:r w:rsidR="00717B40" w:rsidRPr="00717B40">
        <w:rPr>
          <w:rFonts w:ascii="Arial" w:hAnsi="Arial" w:cs="Arial"/>
          <w:noProof/>
          <w:szCs w:val="24"/>
        </w:rPr>
        <w:tab/>
        <w:t xml:space="preserve">Fajt ML, Wenzel SE. Asthma phenotypes and the use of biologic medications in asthma and allergic disease: The next steps toward personalized care. J. Allergy Clin. Immunol. 2015;135(2):299–310. </w:t>
      </w:r>
    </w:p>
    <w:p w14:paraId="05A85B8D" w14:textId="7AD625AB"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 </w:t>
      </w:r>
      <w:r w:rsidRPr="00717B40">
        <w:rPr>
          <w:rFonts w:ascii="Arial" w:hAnsi="Arial" w:cs="Arial"/>
          <w:noProof/>
          <w:szCs w:val="24"/>
        </w:rPr>
        <w:tab/>
      </w:r>
      <w:r w:rsidR="00BB08E1" w:rsidRPr="00BB08E1">
        <w:rPr>
          <w:rFonts w:ascii="Arial" w:hAnsi="Arial" w:cs="Arial"/>
          <w:noProof/>
          <w:szCs w:val="24"/>
        </w:rPr>
        <w:t>BTS/SIGN. British guideline for the management of asthma, SIGN 158, July 2019. Available from: https://www.brit-thoracic.org.uk/quality-improvement/guidelines/asthma/. Accessed January 21, 2021.</w:t>
      </w:r>
    </w:p>
    <w:p w14:paraId="26CCE20D"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 </w:t>
      </w:r>
      <w:r w:rsidRPr="00717B40">
        <w:rPr>
          <w:rFonts w:ascii="Arial" w:hAnsi="Arial" w:cs="Arial"/>
          <w:noProof/>
          <w:szCs w:val="24"/>
        </w:rPr>
        <w:tab/>
        <w:t xml:space="preserve">Holgate ST, Chuchalin AG, Hébert J, et al. Efficacy and safety of a recombinant anti-immunoglobulin E antibody (omalizumab) in severe allergic asthma. </w:t>
      </w:r>
      <w:r w:rsidRPr="00717B40">
        <w:rPr>
          <w:rFonts w:ascii="Arial" w:hAnsi="Arial" w:cs="Arial"/>
          <w:i/>
          <w:iCs/>
          <w:noProof/>
          <w:szCs w:val="24"/>
        </w:rPr>
        <w:t>Clin Exp Allergy</w:t>
      </w:r>
      <w:r w:rsidRPr="00717B40">
        <w:rPr>
          <w:rFonts w:ascii="Arial" w:hAnsi="Arial" w:cs="Arial"/>
          <w:noProof/>
          <w:szCs w:val="24"/>
        </w:rPr>
        <w:t xml:space="preserve"> 2004;34(4):632–638. </w:t>
      </w:r>
    </w:p>
    <w:p w14:paraId="1D08DE8C"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4. </w:t>
      </w:r>
      <w:r w:rsidRPr="00717B40">
        <w:rPr>
          <w:rFonts w:ascii="Arial" w:hAnsi="Arial" w:cs="Arial"/>
          <w:noProof/>
          <w:szCs w:val="24"/>
        </w:rPr>
        <w:tab/>
        <w:t xml:space="preserve">Bel EH, Wenzel SE, Thompson PJ, et al. Oral Glucocorticoid-Sparing Effect of Mepolizumab in Eosinophilic Asthma. </w:t>
      </w:r>
      <w:r w:rsidRPr="00717B40">
        <w:rPr>
          <w:rFonts w:ascii="Arial" w:hAnsi="Arial" w:cs="Arial"/>
          <w:i/>
          <w:iCs/>
          <w:noProof/>
          <w:szCs w:val="24"/>
        </w:rPr>
        <w:t>N Engl J Med</w:t>
      </w:r>
      <w:r w:rsidRPr="00717B40">
        <w:rPr>
          <w:rFonts w:ascii="Arial" w:hAnsi="Arial" w:cs="Arial"/>
          <w:noProof/>
          <w:szCs w:val="24"/>
        </w:rPr>
        <w:t xml:space="preserve"> 2014;371(13):1189–1197. </w:t>
      </w:r>
    </w:p>
    <w:p w14:paraId="784E61D2"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5. </w:t>
      </w:r>
      <w:r w:rsidRPr="00717B40">
        <w:rPr>
          <w:rFonts w:ascii="Arial" w:hAnsi="Arial" w:cs="Arial"/>
          <w:noProof/>
          <w:szCs w:val="24"/>
        </w:rPr>
        <w:tab/>
        <w:t xml:space="preserve">Ortega HG, Liu MC, Pavord ID, et al. Mepolizumab Treatment in Patients with Severe Eosinophilic Asthma. </w:t>
      </w:r>
      <w:r w:rsidRPr="00717B40">
        <w:rPr>
          <w:rFonts w:ascii="Arial" w:hAnsi="Arial" w:cs="Arial"/>
          <w:i/>
          <w:iCs/>
          <w:noProof/>
          <w:szCs w:val="24"/>
        </w:rPr>
        <w:t>N Engl J Med</w:t>
      </w:r>
      <w:r w:rsidRPr="00717B40">
        <w:rPr>
          <w:rFonts w:ascii="Arial" w:hAnsi="Arial" w:cs="Arial"/>
          <w:noProof/>
          <w:szCs w:val="24"/>
        </w:rPr>
        <w:t xml:space="preserve"> 2014;371(13):1198–1207. </w:t>
      </w:r>
    </w:p>
    <w:p w14:paraId="720BA1A2"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6. </w:t>
      </w:r>
      <w:r w:rsidRPr="00717B40">
        <w:rPr>
          <w:rFonts w:ascii="Arial" w:hAnsi="Arial" w:cs="Arial"/>
          <w:noProof/>
          <w:szCs w:val="24"/>
        </w:rPr>
        <w:tab/>
        <w:t xml:space="preserve">Pavord ID, Korn S, Howarth P, et al. Mepolizumab for severe eosinophilic asthma (DREAM): A multicentre, double-blind, placebo-controlled trial. </w:t>
      </w:r>
      <w:r w:rsidRPr="00717B40">
        <w:rPr>
          <w:rFonts w:ascii="Arial" w:hAnsi="Arial" w:cs="Arial"/>
          <w:i/>
          <w:iCs/>
          <w:noProof/>
          <w:szCs w:val="24"/>
        </w:rPr>
        <w:t>Lancet</w:t>
      </w:r>
      <w:r w:rsidRPr="00717B40">
        <w:rPr>
          <w:rFonts w:ascii="Arial" w:hAnsi="Arial" w:cs="Arial"/>
          <w:noProof/>
          <w:szCs w:val="24"/>
        </w:rPr>
        <w:t xml:space="preserve"> 2012;380(9842):651–659. </w:t>
      </w:r>
    </w:p>
    <w:p w14:paraId="4344B6DE"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7. </w:t>
      </w:r>
      <w:r w:rsidRPr="00717B40">
        <w:rPr>
          <w:rFonts w:ascii="Arial" w:hAnsi="Arial" w:cs="Arial"/>
          <w:noProof/>
          <w:szCs w:val="24"/>
        </w:rPr>
        <w:tab/>
        <w:t xml:space="preserve">Travers J, Marsh S, Williams M, et al. External validity of randomised controlled trials in asthma: To whom do the results of the trials apply? </w:t>
      </w:r>
      <w:r w:rsidRPr="00717B40">
        <w:rPr>
          <w:rFonts w:ascii="Arial" w:hAnsi="Arial" w:cs="Arial"/>
          <w:i/>
          <w:iCs/>
          <w:noProof/>
          <w:szCs w:val="24"/>
        </w:rPr>
        <w:t>Thorax</w:t>
      </w:r>
      <w:r w:rsidRPr="00717B40">
        <w:rPr>
          <w:rFonts w:ascii="Arial" w:hAnsi="Arial" w:cs="Arial"/>
          <w:noProof/>
          <w:szCs w:val="24"/>
        </w:rPr>
        <w:t xml:space="preserve"> 2007;62(3):219–233. </w:t>
      </w:r>
    </w:p>
    <w:p w14:paraId="3E283598"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8. </w:t>
      </w:r>
      <w:r w:rsidRPr="00717B40">
        <w:rPr>
          <w:rFonts w:ascii="Arial" w:hAnsi="Arial" w:cs="Arial"/>
          <w:noProof/>
          <w:szCs w:val="24"/>
        </w:rPr>
        <w:tab/>
        <w:t xml:space="preserve">Richards LB, JMH van Bragt J, Aarab R, et al. Treatment Eligibility of Real-Life Mepolizumab-Treated Severe Asthma Patients. </w:t>
      </w:r>
      <w:r w:rsidRPr="00717B40">
        <w:rPr>
          <w:rFonts w:ascii="Arial" w:hAnsi="Arial" w:cs="Arial"/>
          <w:i/>
          <w:iCs/>
          <w:noProof/>
          <w:szCs w:val="24"/>
        </w:rPr>
        <w:t>J Allergy Clin Immunol Pract</w:t>
      </w:r>
      <w:r w:rsidRPr="00717B40">
        <w:rPr>
          <w:rFonts w:ascii="Arial" w:hAnsi="Arial" w:cs="Arial"/>
          <w:noProof/>
          <w:szCs w:val="24"/>
        </w:rPr>
        <w:t xml:space="preserve"> 2020;8:2999-3008.e1. </w:t>
      </w:r>
    </w:p>
    <w:p w14:paraId="279CE4FB"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9. </w:t>
      </w:r>
      <w:r w:rsidRPr="00717B40">
        <w:rPr>
          <w:rFonts w:ascii="Arial" w:hAnsi="Arial" w:cs="Arial"/>
          <w:noProof/>
          <w:szCs w:val="24"/>
        </w:rPr>
        <w:tab/>
        <w:t xml:space="preserve">Brown T, Jones T, Gove K, et al. Randomised controlled trials in severe asthma: Selection by phenotype or stereotype. </w:t>
      </w:r>
      <w:r w:rsidRPr="00717B40">
        <w:rPr>
          <w:rFonts w:ascii="Arial" w:hAnsi="Arial" w:cs="Arial"/>
          <w:i/>
          <w:iCs/>
          <w:noProof/>
          <w:szCs w:val="24"/>
        </w:rPr>
        <w:t>Eur Respir J</w:t>
      </w:r>
      <w:r w:rsidRPr="00717B40">
        <w:rPr>
          <w:rFonts w:ascii="Arial" w:hAnsi="Arial" w:cs="Arial"/>
          <w:noProof/>
          <w:szCs w:val="24"/>
        </w:rPr>
        <w:t xml:space="preserve"> 2018;52(6). </w:t>
      </w:r>
    </w:p>
    <w:p w14:paraId="49094614"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10. </w:t>
      </w:r>
      <w:r w:rsidRPr="00717B40">
        <w:rPr>
          <w:rFonts w:ascii="Arial" w:hAnsi="Arial" w:cs="Arial"/>
          <w:noProof/>
          <w:szCs w:val="24"/>
        </w:rPr>
        <w:tab/>
        <w:t xml:space="preserve">Papadopoulos NG, Barnes P, Canonica GW, et al. The evolving algorithm of biological selection in severe asthma. </w:t>
      </w:r>
      <w:r w:rsidRPr="00717B40">
        <w:rPr>
          <w:rFonts w:ascii="Arial" w:hAnsi="Arial" w:cs="Arial"/>
          <w:i/>
          <w:iCs/>
          <w:noProof/>
          <w:szCs w:val="24"/>
        </w:rPr>
        <w:t>Allergy Eur J Allergy Clin Immunol</w:t>
      </w:r>
      <w:r w:rsidRPr="00717B40">
        <w:rPr>
          <w:rFonts w:ascii="Arial" w:hAnsi="Arial" w:cs="Arial"/>
          <w:noProof/>
          <w:szCs w:val="24"/>
        </w:rPr>
        <w:t xml:space="preserve"> 2020;75(7):1555–1563. </w:t>
      </w:r>
    </w:p>
    <w:p w14:paraId="03D23F64"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11. </w:t>
      </w:r>
      <w:r w:rsidRPr="00717B40">
        <w:rPr>
          <w:rFonts w:ascii="Arial" w:hAnsi="Arial" w:cs="Arial"/>
          <w:noProof/>
          <w:szCs w:val="24"/>
        </w:rPr>
        <w:tab/>
        <w:t xml:space="preserve">Azim A, Mistry H, Freeman A, et al. Protocol for the Wessex AsThma CoHort of difficult asthma (WATCH): A pragmatic real-life longitudinal study of difficult asthma in the clinic. </w:t>
      </w:r>
      <w:r w:rsidRPr="00717B40">
        <w:rPr>
          <w:rFonts w:ascii="Arial" w:hAnsi="Arial" w:cs="Arial"/>
          <w:i/>
          <w:iCs/>
          <w:noProof/>
          <w:szCs w:val="24"/>
        </w:rPr>
        <w:t>BMC Pulm Med</w:t>
      </w:r>
      <w:r w:rsidRPr="00717B40">
        <w:rPr>
          <w:rFonts w:ascii="Arial" w:hAnsi="Arial" w:cs="Arial"/>
          <w:noProof/>
          <w:szCs w:val="24"/>
        </w:rPr>
        <w:t xml:space="preserve"> 2019;19(1). </w:t>
      </w:r>
    </w:p>
    <w:p w14:paraId="56D9660A" w14:textId="195AC157" w:rsidR="00E147BF" w:rsidRPr="00E147BF" w:rsidRDefault="00717B40" w:rsidP="00E147BF">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12. </w:t>
      </w:r>
      <w:r w:rsidRPr="00717B40">
        <w:rPr>
          <w:rFonts w:ascii="Arial" w:hAnsi="Arial" w:cs="Arial"/>
          <w:noProof/>
          <w:szCs w:val="24"/>
        </w:rPr>
        <w:tab/>
      </w:r>
      <w:r w:rsidR="00E147BF" w:rsidRPr="00E147BF">
        <w:rPr>
          <w:rFonts w:ascii="Arial" w:hAnsi="Arial" w:cs="Arial"/>
          <w:noProof/>
          <w:szCs w:val="24"/>
        </w:rPr>
        <w:t xml:space="preserve">BTS/SIGN. British guideline for the management of asthma, SIGN 153, September 2016. Available from: https://www.brit-thoracic.org.uk/quality-improvement/guidelines/asthma/. Accessed </w:t>
      </w:r>
      <w:r w:rsidR="00650775">
        <w:rPr>
          <w:rFonts w:ascii="Arial" w:hAnsi="Arial" w:cs="Arial"/>
          <w:noProof/>
          <w:szCs w:val="24"/>
        </w:rPr>
        <w:t>January</w:t>
      </w:r>
      <w:r w:rsidR="00650775" w:rsidRPr="00E147BF">
        <w:rPr>
          <w:rFonts w:ascii="Arial" w:hAnsi="Arial" w:cs="Arial"/>
          <w:noProof/>
          <w:szCs w:val="24"/>
        </w:rPr>
        <w:t xml:space="preserve"> </w:t>
      </w:r>
      <w:r w:rsidR="00650775">
        <w:rPr>
          <w:rFonts w:ascii="Arial" w:hAnsi="Arial" w:cs="Arial"/>
          <w:noProof/>
          <w:szCs w:val="24"/>
        </w:rPr>
        <w:t>21</w:t>
      </w:r>
      <w:r w:rsidR="00650775" w:rsidRPr="00E147BF">
        <w:rPr>
          <w:rFonts w:ascii="Arial" w:hAnsi="Arial" w:cs="Arial"/>
          <w:noProof/>
          <w:szCs w:val="24"/>
        </w:rPr>
        <w:t>,</w:t>
      </w:r>
      <w:r w:rsidR="00650775">
        <w:rPr>
          <w:rFonts w:ascii="Arial" w:hAnsi="Arial" w:cs="Arial"/>
          <w:noProof/>
          <w:szCs w:val="24"/>
        </w:rPr>
        <w:t xml:space="preserve"> </w:t>
      </w:r>
      <w:r w:rsidR="00650775" w:rsidRPr="00E147BF">
        <w:rPr>
          <w:rFonts w:ascii="Arial" w:hAnsi="Arial" w:cs="Arial"/>
          <w:noProof/>
          <w:szCs w:val="24"/>
        </w:rPr>
        <w:t>202</w:t>
      </w:r>
      <w:r w:rsidR="00650775">
        <w:rPr>
          <w:rFonts w:ascii="Arial" w:hAnsi="Arial" w:cs="Arial"/>
          <w:noProof/>
          <w:szCs w:val="24"/>
        </w:rPr>
        <w:t>1</w:t>
      </w:r>
      <w:r w:rsidR="00E147BF" w:rsidRPr="00E147BF">
        <w:rPr>
          <w:rFonts w:ascii="Arial" w:hAnsi="Arial" w:cs="Arial"/>
          <w:noProof/>
          <w:szCs w:val="24"/>
        </w:rPr>
        <w:t xml:space="preserve">. </w:t>
      </w:r>
    </w:p>
    <w:p w14:paraId="6D2C80A5" w14:textId="5A26ED30" w:rsidR="00E147BF" w:rsidRPr="00E147BF" w:rsidRDefault="00E147BF" w:rsidP="00E147BF">
      <w:pPr>
        <w:widowControl w:val="0"/>
        <w:autoSpaceDE w:val="0"/>
        <w:autoSpaceDN w:val="0"/>
        <w:adjustRightInd w:val="0"/>
        <w:spacing w:line="240" w:lineRule="auto"/>
        <w:ind w:left="640" w:hanging="640"/>
        <w:rPr>
          <w:rFonts w:ascii="Arial" w:hAnsi="Arial" w:cs="Arial"/>
          <w:noProof/>
          <w:szCs w:val="24"/>
        </w:rPr>
      </w:pPr>
      <w:r w:rsidRPr="00E147BF">
        <w:rPr>
          <w:rFonts w:ascii="Arial" w:hAnsi="Arial" w:cs="Arial"/>
          <w:noProof/>
          <w:szCs w:val="24"/>
        </w:rPr>
        <w:t xml:space="preserve">13. </w:t>
      </w:r>
      <w:r w:rsidRPr="00E147BF">
        <w:rPr>
          <w:rFonts w:ascii="Arial" w:hAnsi="Arial" w:cs="Arial"/>
          <w:noProof/>
          <w:szCs w:val="24"/>
        </w:rPr>
        <w:tab/>
        <w:t xml:space="preserve">Excellence NIoC. Omalizumab for treating severe persistent allergic asthma. Technology appraisal guidance. NICE; 2013. https://www.nice.org.uk/guidance/ta278. </w:t>
      </w:r>
      <w:r w:rsidR="00650775" w:rsidRPr="00E147BF">
        <w:rPr>
          <w:rFonts w:ascii="Arial" w:hAnsi="Arial" w:cs="Arial"/>
          <w:noProof/>
          <w:szCs w:val="24"/>
        </w:rPr>
        <w:t xml:space="preserve">Accessed </w:t>
      </w:r>
      <w:r w:rsidR="00650775">
        <w:rPr>
          <w:rFonts w:ascii="Arial" w:hAnsi="Arial" w:cs="Arial"/>
          <w:noProof/>
          <w:szCs w:val="24"/>
        </w:rPr>
        <w:t>January</w:t>
      </w:r>
      <w:r w:rsidR="00650775" w:rsidRPr="00E147BF">
        <w:rPr>
          <w:rFonts w:ascii="Arial" w:hAnsi="Arial" w:cs="Arial"/>
          <w:noProof/>
          <w:szCs w:val="24"/>
        </w:rPr>
        <w:t xml:space="preserve"> </w:t>
      </w:r>
      <w:r w:rsidR="00650775">
        <w:rPr>
          <w:rFonts w:ascii="Arial" w:hAnsi="Arial" w:cs="Arial"/>
          <w:noProof/>
          <w:szCs w:val="24"/>
        </w:rPr>
        <w:t>21</w:t>
      </w:r>
      <w:r w:rsidR="00650775" w:rsidRPr="00E147BF">
        <w:rPr>
          <w:rFonts w:ascii="Arial" w:hAnsi="Arial" w:cs="Arial"/>
          <w:noProof/>
          <w:szCs w:val="24"/>
        </w:rPr>
        <w:t>,</w:t>
      </w:r>
      <w:r w:rsidR="00650775">
        <w:rPr>
          <w:rFonts w:ascii="Arial" w:hAnsi="Arial" w:cs="Arial"/>
          <w:noProof/>
          <w:szCs w:val="24"/>
        </w:rPr>
        <w:t xml:space="preserve"> </w:t>
      </w:r>
      <w:r w:rsidR="00650775" w:rsidRPr="00E147BF">
        <w:rPr>
          <w:rFonts w:ascii="Arial" w:hAnsi="Arial" w:cs="Arial"/>
          <w:noProof/>
          <w:szCs w:val="24"/>
        </w:rPr>
        <w:t>202</w:t>
      </w:r>
      <w:r w:rsidR="00650775">
        <w:rPr>
          <w:rFonts w:ascii="Arial" w:hAnsi="Arial" w:cs="Arial"/>
          <w:noProof/>
          <w:szCs w:val="24"/>
        </w:rPr>
        <w:t>1</w:t>
      </w:r>
      <w:r w:rsidRPr="00E147BF">
        <w:rPr>
          <w:rFonts w:ascii="Arial" w:hAnsi="Arial" w:cs="Arial"/>
          <w:noProof/>
          <w:szCs w:val="24"/>
        </w:rPr>
        <w:t xml:space="preserve">. </w:t>
      </w:r>
    </w:p>
    <w:p w14:paraId="3A2973EF" w14:textId="4EAF5FD1" w:rsidR="00650775" w:rsidRDefault="00E147BF" w:rsidP="00E147BF">
      <w:pPr>
        <w:widowControl w:val="0"/>
        <w:autoSpaceDE w:val="0"/>
        <w:autoSpaceDN w:val="0"/>
        <w:adjustRightInd w:val="0"/>
        <w:spacing w:line="240" w:lineRule="auto"/>
        <w:ind w:left="640" w:hanging="640"/>
        <w:rPr>
          <w:rFonts w:ascii="Arial" w:hAnsi="Arial" w:cs="Arial"/>
          <w:noProof/>
          <w:szCs w:val="24"/>
        </w:rPr>
      </w:pPr>
      <w:r w:rsidRPr="00E147BF">
        <w:rPr>
          <w:rFonts w:ascii="Arial" w:hAnsi="Arial" w:cs="Arial"/>
          <w:noProof/>
          <w:szCs w:val="24"/>
        </w:rPr>
        <w:t xml:space="preserve">14. </w:t>
      </w:r>
      <w:r w:rsidRPr="00E147BF">
        <w:rPr>
          <w:rFonts w:ascii="Arial" w:hAnsi="Arial" w:cs="Arial"/>
          <w:noProof/>
          <w:szCs w:val="24"/>
        </w:rPr>
        <w:tab/>
        <w:t xml:space="preserve">Excellence NIoC. Mepolizumab for treating severe refractory eosinophilic asthma.Technology appraisal guidance. NICE; 2017. https://www.nice.org.uk/guidance/ta431. Accessed </w:t>
      </w:r>
      <w:r w:rsidR="00650775">
        <w:rPr>
          <w:rFonts w:ascii="Arial" w:hAnsi="Arial" w:cs="Arial"/>
          <w:noProof/>
          <w:szCs w:val="24"/>
        </w:rPr>
        <w:t>January</w:t>
      </w:r>
      <w:r w:rsidRPr="00E147BF">
        <w:rPr>
          <w:rFonts w:ascii="Arial" w:hAnsi="Arial" w:cs="Arial"/>
          <w:noProof/>
          <w:szCs w:val="24"/>
        </w:rPr>
        <w:t xml:space="preserve"> </w:t>
      </w:r>
      <w:r w:rsidR="00650775">
        <w:rPr>
          <w:rFonts w:ascii="Arial" w:hAnsi="Arial" w:cs="Arial"/>
          <w:noProof/>
          <w:szCs w:val="24"/>
        </w:rPr>
        <w:t>21</w:t>
      </w:r>
      <w:r w:rsidRPr="00E147BF">
        <w:rPr>
          <w:rFonts w:ascii="Arial" w:hAnsi="Arial" w:cs="Arial"/>
          <w:noProof/>
          <w:szCs w:val="24"/>
        </w:rPr>
        <w:t>,202</w:t>
      </w:r>
      <w:r w:rsidR="00650775">
        <w:rPr>
          <w:rFonts w:ascii="Arial" w:hAnsi="Arial" w:cs="Arial"/>
          <w:noProof/>
          <w:szCs w:val="24"/>
        </w:rPr>
        <w:t>1</w:t>
      </w:r>
      <w:r w:rsidRPr="00E147BF">
        <w:rPr>
          <w:rFonts w:ascii="Arial" w:hAnsi="Arial" w:cs="Arial"/>
          <w:noProof/>
          <w:szCs w:val="24"/>
        </w:rPr>
        <w:t xml:space="preserve">. </w:t>
      </w:r>
    </w:p>
    <w:p w14:paraId="27C591BC" w14:textId="34158F5B" w:rsidR="00717B40" w:rsidRPr="00717B40" w:rsidRDefault="00717B40" w:rsidP="00E147BF">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15. </w:t>
      </w:r>
      <w:r w:rsidRPr="00717B40">
        <w:rPr>
          <w:rFonts w:ascii="Arial" w:hAnsi="Arial" w:cs="Arial"/>
          <w:noProof/>
          <w:szCs w:val="24"/>
        </w:rPr>
        <w:tab/>
        <w:t xml:space="preserve">Braunstahl GJ, Chen CW, Maykut R, Georgiou P, Peachey G, Bruce J. The eXpeRience registry: The ‘real-world’ effectiveness of omalizumab in allergic asthma. </w:t>
      </w:r>
      <w:r w:rsidRPr="00717B40">
        <w:rPr>
          <w:rFonts w:ascii="Arial" w:hAnsi="Arial" w:cs="Arial"/>
          <w:i/>
          <w:iCs/>
          <w:noProof/>
          <w:szCs w:val="24"/>
        </w:rPr>
        <w:t>Respir Med</w:t>
      </w:r>
      <w:r w:rsidRPr="00717B40">
        <w:rPr>
          <w:rFonts w:ascii="Arial" w:hAnsi="Arial" w:cs="Arial"/>
          <w:noProof/>
          <w:szCs w:val="24"/>
        </w:rPr>
        <w:t xml:space="preserve"> 2013;107(8):1141–1151. </w:t>
      </w:r>
    </w:p>
    <w:p w14:paraId="6174B1A3"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16. </w:t>
      </w:r>
      <w:r w:rsidRPr="00717B40">
        <w:rPr>
          <w:rFonts w:ascii="Arial" w:hAnsi="Arial" w:cs="Arial"/>
          <w:noProof/>
          <w:szCs w:val="24"/>
        </w:rPr>
        <w:tab/>
        <w:t xml:space="preserve">Brusselle G, Michils A, Louis R, et al. ‘Real-life’ effectiveness of omalizumab in patients with severe persistent allergic asthma: The PERSIST study. </w:t>
      </w:r>
      <w:r w:rsidRPr="00717B40">
        <w:rPr>
          <w:rFonts w:ascii="Arial" w:hAnsi="Arial" w:cs="Arial"/>
          <w:i/>
          <w:iCs/>
          <w:noProof/>
          <w:szCs w:val="24"/>
        </w:rPr>
        <w:t>Respir Med</w:t>
      </w:r>
      <w:r w:rsidRPr="00717B40">
        <w:rPr>
          <w:rFonts w:ascii="Arial" w:hAnsi="Arial" w:cs="Arial"/>
          <w:noProof/>
          <w:szCs w:val="24"/>
        </w:rPr>
        <w:t xml:space="preserve"> 2009;103(11):1633–1642. </w:t>
      </w:r>
    </w:p>
    <w:p w14:paraId="54CF99F9"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17. </w:t>
      </w:r>
      <w:r w:rsidRPr="00717B40">
        <w:rPr>
          <w:rFonts w:ascii="Arial" w:hAnsi="Arial" w:cs="Arial"/>
          <w:noProof/>
          <w:szCs w:val="24"/>
        </w:rPr>
        <w:tab/>
        <w:t xml:space="preserve">Bousquet J, Rao S, Manga V. Global evaluation of treatment effectiveness (GETE) is an accurate predictor of response to omalizumab in patients with severe allergic asthma: A pooled analysis. </w:t>
      </w:r>
      <w:r w:rsidRPr="00717B40">
        <w:rPr>
          <w:rFonts w:ascii="Arial" w:hAnsi="Arial" w:cs="Arial"/>
          <w:i/>
          <w:iCs/>
          <w:noProof/>
          <w:szCs w:val="24"/>
        </w:rPr>
        <w:t>Eur Respir J</w:t>
      </w:r>
      <w:r w:rsidRPr="00717B40">
        <w:rPr>
          <w:rFonts w:ascii="Arial" w:hAnsi="Arial" w:cs="Arial"/>
          <w:noProof/>
          <w:szCs w:val="24"/>
        </w:rPr>
        <w:t xml:space="preserve"> 2014;44(Suppl 58). </w:t>
      </w:r>
    </w:p>
    <w:p w14:paraId="3B52C48B"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lastRenderedPageBreak/>
        <w:t xml:space="preserve">18. </w:t>
      </w:r>
      <w:r w:rsidRPr="00717B40">
        <w:rPr>
          <w:rFonts w:ascii="Arial" w:hAnsi="Arial" w:cs="Arial"/>
          <w:noProof/>
          <w:szCs w:val="24"/>
        </w:rPr>
        <w:tab/>
        <w:t xml:space="preserve">Azim A, Freeman A, Lavenu A, et al. New Perspectives on Difficult Asthma; Sex and Age of Asthma-Onset Based Phenotypes. </w:t>
      </w:r>
      <w:r w:rsidRPr="00717B40">
        <w:rPr>
          <w:rFonts w:ascii="Arial" w:hAnsi="Arial" w:cs="Arial"/>
          <w:i/>
          <w:iCs/>
          <w:noProof/>
          <w:szCs w:val="24"/>
        </w:rPr>
        <w:t>J Allergy Clin Immunol Pract</w:t>
      </w:r>
      <w:r w:rsidRPr="00717B40">
        <w:rPr>
          <w:rFonts w:ascii="Arial" w:hAnsi="Arial" w:cs="Arial"/>
          <w:noProof/>
          <w:szCs w:val="24"/>
        </w:rPr>
        <w:t xml:space="preserve"> 2020;</w:t>
      </w:r>
    </w:p>
    <w:p w14:paraId="714ACF3A"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19. </w:t>
      </w:r>
      <w:r w:rsidRPr="00717B40">
        <w:rPr>
          <w:rFonts w:ascii="Arial" w:hAnsi="Arial" w:cs="Arial"/>
          <w:noProof/>
          <w:szCs w:val="24"/>
        </w:rPr>
        <w:tab/>
        <w:t xml:space="preserve">Agache I, Rocha C, Beltran J, et al. Efficacy and safety of treatment with biologicals (benralizumab, dupilumab and omalizumab) for severe allergic asthma: A systematic review for the EAACI Guidelines - recommendations on the use of biologicals in severe asthma. </w:t>
      </w:r>
      <w:r w:rsidRPr="00717B40">
        <w:rPr>
          <w:rFonts w:ascii="Arial" w:hAnsi="Arial" w:cs="Arial"/>
          <w:i/>
          <w:iCs/>
          <w:noProof/>
          <w:szCs w:val="24"/>
        </w:rPr>
        <w:t>Allergy Eur J Allergy Clin Immunol</w:t>
      </w:r>
      <w:r w:rsidRPr="00717B40">
        <w:rPr>
          <w:rFonts w:ascii="Arial" w:hAnsi="Arial" w:cs="Arial"/>
          <w:noProof/>
          <w:szCs w:val="24"/>
        </w:rPr>
        <w:t xml:space="preserve"> 2020;75(5):1043–1057. </w:t>
      </w:r>
    </w:p>
    <w:p w14:paraId="5DFCCFE4"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20. </w:t>
      </w:r>
      <w:r w:rsidRPr="00717B40">
        <w:rPr>
          <w:rFonts w:ascii="Arial" w:hAnsi="Arial" w:cs="Arial"/>
          <w:noProof/>
          <w:szCs w:val="24"/>
        </w:rPr>
        <w:tab/>
        <w:t xml:space="preserve">Abraham I, Alhossan A, Lee CS, Kutbi H, MacDonald K. ‘Real-life’ effectiveness studies of omalizumab in adult patients with severe allergic asthma: systematic review. </w:t>
      </w:r>
      <w:r w:rsidRPr="00717B40">
        <w:rPr>
          <w:rFonts w:ascii="Arial" w:hAnsi="Arial" w:cs="Arial"/>
          <w:i/>
          <w:iCs/>
          <w:noProof/>
          <w:szCs w:val="24"/>
        </w:rPr>
        <w:t>Allergy</w:t>
      </w:r>
      <w:r w:rsidRPr="00717B40">
        <w:rPr>
          <w:rFonts w:ascii="Arial" w:hAnsi="Arial" w:cs="Arial"/>
          <w:noProof/>
          <w:szCs w:val="24"/>
        </w:rPr>
        <w:t xml:space="preserve"> 2016;71(5):593–610. </w:t>
      </w:r>
    </w:p>
    <w:p w14:paraId="46C0465A"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21. </w:t>
      </w:r>
      <w:r w:rsidRPr="00717B40">
        <w:rPr>
          <w:rFonts w:ascii="Arial" w:hAnsi="Arial" w:cs="Arial"/>
          <w:noProof/>
          <w:szCs w:val="24"/>
        </w:rPr>
        <w:tab/>
        <w:t xml:space="preserve">Schumann C, Kropf C, Wibmer T, et al. Omalizumab in patients with severe asthma: The XCLUSIVE study. </w:t>
      </w:r>
      <w:r w:rsidRPr="00717B40">
        <w:rPr>
          <w:rFonts w:ascii="Arial" w:hAnsi="Arial" w:cs="Arial"/>
          <w:i/>
          <w:iCs/>
          <w:noProof/>
          <w:szCs w:val="24"/>
        </w:rPr>
        <w:t>Clin Respir J</w:t>
      </w:r>
      <w:r w:rsidRPr="00717B40">
        <w:rPr>
          <w:rFonts w:ascii="Arial" w:hAnsi="Arial" w:cs="Arial"/>
          <w:noProof/>
          <w:szCs w:val="24"/>
        </w:rPr>
        <w:t xml:space="preserve"> 2012;6(4):215–227. </w:t>
      </w:r>
    </w:p>
    <w:p w14:paraId="5957D372"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22. </w:t>
      </w:r>
      <w:r w:rsidRPr="00717B40">
        <w:rPr>
          <w:rFonts w:ascii="Arial" w:hAnsi="Arial" w:cs="Arial"/>
          <w:noProof/>
          <w:szCs w:val="24"/>
        </w:rPr>
        <w:tab/>
        <w:t xml:space="preserve">Siergiejko Z, Świebocka E, Smith N, et al. Oral corticosteroid sparing with omalizumab in severe allergic (IgE-mediated) asthma patients. </w:t>
      </w:r>
      <w:r w:rsidRPr="00717B40">
        <w:rPr>
          <w:rFonts w:ascii="Arial" w:hAnsi="Arial" w:cs="Arial"/>
          <w:i/>
          <w:iCs/>
          <w:noProof/>
          <w:szCs w:val="24"/>
        </w:rPr>
        <w:t>Curr Med Res Opin</w:t>
      </w:r>
      <w:r w:rsidRPr="00717B40">
        <w:rPr>
          <w:rFonts w:ascii="Arial" w:hAnsi="Arial" w:cs="Arial"/>
          <w:noProof/>
          <w:szCs w:val="24"/>
        </w:rPr>
        <w:t xml:space="preserve"> 2011;27(11):2223–2228. </w:t>
      </w:r>
    </w:p>
    <w:p w14:paraId="195793B5"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23. </w:t>
      </w:r>
      <w:r w:rsidRPr="00717B40">
        <w:rPr>
          <w:rFonts w:ascii="Arial" w:hAnsi="Arial" w:cs="Arial"/>
          <w:noProof/>
          <w:szCs w:val="24"/>
        </w:rPr>
        <w:tab/>
        <w:t xml:space="preserve">Bousquet J, Rabe K, Humbert M, et al. Predicting and evaluating response to omalizumab in patients with severe allergic asthma. </w:t>
      </w:r>
      <w:r w:rsidRPr="00717B40">
        <w:rPr>
          <w:rFonts w:ascii="Arial" w:hAnsi="Arial" w:cs="Arial"/>
          <w:i/>
          <w:iCs/>
          <w:noProof/>
          <w:szCs w:val="24"/>
        </w:rPr>
        <w:t>Respir Med</w:t>
      </w:r>
      <w:r w:rsidRPr="00717B40">
        <w:rPr>
          <w:rFonts w:ascii="Arial" w:hAnsi="Arial" w:cs="Arial"/>
          <w:noProof/>
          <w:szCs w:val="24"/>
        </w:rPr>
        <w:t xml:space="preserve"> 2007;101(7):1483–1492. </w:t>
      </w:r>
    </w:p>
    <w:p w14:paraId="4FCA51AE"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24. </w:t>
      </w:r>
      <w:r w:rsidRPr="00717B40">
        <w:rPr>
          <w:rFonts w:ascii="Arial" w:hAnsi="Arial" w:cs="Arial"/>
          <w:noProof/>
          <w:szCs w:val="24"/>
        </w:rPr>
        <w:tab/>
        <w:t xml:space="preserve">Bagnasco D, Caminati M, Menzella F, et al. One year of mepolizumab. Efficacy and safety in real-life in Italy. </w:t>
      </w:r>
      <w:r w:rsidRPr="00717B40">
        <w:rPr>
          <w:rFonts w:ascii="Arial" w:hAnsi="Arial" w:cs="Arial"/>
          <w:i/>
          <w:iCs/>
          <w:noProof/>
          <w:szCs w:val="24"/>
        </w:rPr>
        <w:t>Pulm Pharmacol Ther</w:t>
      </w:r>
      <w:r w:rsidRPr="00717B40">
        <w:rPr>
          <w:rFonts w:ascii="Arial" w:hAnsi="Arial" w:cs="Arial"/>
          <w:noProof/>
          <w:szCs w:val="24"/>
        </w:rPr>
        <w:t xml:space="preserve"> 2019;58(May). </w:t>
      </w:r>
    </w:p>
    <w:p w14:paraId="1FAC72A1"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25. </w:t>
      </w:r>
      <w:r w:rsidRPr="00717B40">
        <w:rPr>
          <w:rFonts w:ascii="Arial" w:hAnsi="Arial" w:cs="Arial"/>
          <w:noProof/>
          <w:szCs w:val="24"/>
        </w:rPr>
        <w:tab/>
        <w:t xml:space="preserve">Harvey ES, Langton D, Katelaris C, et al. Mepolizumab effectiveness and identification of super-responders in severe asthma. 2020. </w:t>
      </w:r>
    </w:p>
    <w:p w14:paraId="35B64BFA"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26. </w:t>
      </w:r>
      <w:r w:rsidRPr="00717B40">
        <w:rPr>
          <w:rFonts w:ascii="Arial" w:hAnsi="Arial" w:cs="Arial"/>
          <w:noProof/>
          <w:szCs w:val="24"/>
        </w:rPr>
        <w:tab/>
        <w:t xml:space="preserve">Kavanagh JE, d’Ancona G, Elstad M, et al. Real-World Effectiveness and the Characteristics of a “Super-Responder” to Mepolizumab in Severe Eosinophilic Asthma. </w:t>
      </w:r>
      <w:r w:rsidRPr="00717B40">
        <w:rPr>
          <w:rFonts w:ascii="Arial" w:hAnsi="Arial" w:cs="Arial"/>
          <w:i/>
          <w:iCs/>
          <w:noProof/>
          <w:szCs w:val="24"/>
        </w:rPr>
        <w:t>Chest</w:t>
      </w:r>
      <w:r w:rsidRPr="00717B40">
        <w:rPr>
          <w:rFonts w:ascii="Arial" w:hAnsi="Arial" w:cs="Arial"/>
          <w:noProof/>
          <w:szCs w:val="24"/>
        </w:rPr>
        <w:t xml:space="preserve"> 2020;158(2):491–500. </w:t>
      </w:r>
    </w:p>
    <w:p w14:paraId="2D8D8638"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27. </w:t>
      </w:r>
      <w:r w:rsidRPr="00717B40">
        <w:rPr>
          <w:rFonts w:ascii="Arial" w:hAnsi="Arial" w:cs="Arial"/>
          <w:noProof/>
          <w:szCs w:val="24"/>
        </w:rPr>
        <w:tab/>
        <w:t xml:space="preserve">Darcey J, Qualtrough A. DIFFICULT-TO-TREAT &amp; SEVERE ASTHMA in adolescent and adult patients - diagnosis and management. </w:t>
      </w:r>
      <w:r w:rsidRPr="00717B40">
        <w:rPr>
          <w:rFonts w:ascii="Arial" w:hAnsi="Arial" w:cs="Arial"/>
          <w:i/>
          <w:iCs/>
          <w:noProof/>
          <w:szCs w:val="24"/>
        </w:rPr>
        <w:t>Glob Initiat Asthma</w:t>
      </w:r>
      <w:r w:rsidRPr="00717B40">
        <w:rPr>
          <w:rFonts w:ascii="Arial" w:hAnsi="Arial" w:cs="Arial"/>
          <w:noProof/>
          <w:szCs w:val="24"/>
        </w:rPr>
        <w:t xml:space="preserve"> 2019;214(10):493–509. </w:t>
      </w:r>
    </w:p>
    <w:p w14:paraId="2962E85D"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28. </w:t>
      </w:r>
      <w:r w:rsidRPr="00717B40">
        <w:rPr>
          <w:rFonts w:ascii="Arial" w:hAnsi="Arial" w:cs="Arial"/>
          <w:noProof/>
          <w:szCs w:val="24"/>
        </w:rPr>
        <w:tab/>
        <w:t xml:space="preserve">Nijs SB De, Venekamp LN, Bel EH. Adult-onset asthma: is it really different? </w:t>
      </w:r>
    </w:p>
    <w:p w14:paraId="5278FF57"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29. </w:t>
      </w:r>
      <w:r w:rsidRPr="00717B40">
        <w:rPr>
          <w:rFonts w:ascii="Arial" w:hAnsi="Arial" w:cs="Arial"/>
          <w:noProof/>
          <w:szCs w:val="24"/>
        </w:rPr>
        <w:tab/>
        <w:t xml:space="preserve">Barnes N, Menzies-Gow A, Mansur AH, et al. Effectiveness of Omalizumab in Severe Allergic Asthma: A Retrospective UK Real-World Study. </w:t>
      </w:r>
      <w:r w:rsidRPr="00717B40">
        <w:rPr>
          <w:rFonts w:ascii="Arial" w:hAnsi="Arial" w:cs="Arial"/>
          <w:i/>
          <w:iCs/>
          <w:noProof/>
          <w:szCs w:val="24"/>
        </w:rPr>
        <w:t>J Asthma</w:t>
      </w:r>
      <w:r w:rsidRPr="00717B40">
        <w:rPr>
          <w:rFonts w:ascii="Arial" w:hAnsi="Arial" w:cs="Arial"/>
          <w:noProof/>
          <w:szCs w:val="24"/>
        </w:rPr>
        <w:t xml:space="preserve"> 2013;50(5):529–536. </w:t>
      </w:r>
    </w:p>
    <w:p w14:paraId="06E8985B"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30. </w:t>
      </w:r>
      <w:r w:rsidRPr="00717B40">
        <w:rPr>
          <w:rFonts w:ascii="Arial" w:hAnsi="Arial" w:cs="Arial"/>
          <w:noProof/>
          <w:szCs w:val="24"/>
        </w:rPr>
        <w:tab/>
        <w:t xml:space="preserve">MacDonald KM, Kavati A, Ortiz B, Alhossan A, Lee CS, Abraham I. Short- and long-term real-world effectiveness of omalizumab in severe allergic asthma: systematic review of 42 studies published 2008-2018. Expert Rev. Clin. Immunol. 2019;15(5):553–569. </w:t>
      </w:r>
    </w:p>
    <w:p w14:paraId="2429962E"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31. </w:t>
      </w:r>
      <w:r w:rsidRPr="00717B40">
        <w:rPr>
          <w:rFonts w:ascii="Arial" w:hAnsi="Arial" w:cs="Arial"/>
          <w:noProof/>
          <w:szCs w:val="24"/>
        </w:rPr>
        <w:tab/>
        <w:t xml:space="preserve">Albers FC, Licskai C, Chanez P, et al. Baseline blood eosinophil count as a predictor of treatment response to the licensed dose of mepolizumab in severe eosinophilic asthma. </w:t>
      </w:r>
      <w:r w:rsidRPr="00717B40">
        <w:rPr>
          <w:rFonts w:ascii="Arial" w:hAnsi="Arial" w:cs="Arial"/>
          <w:i/>
          <w:iCs/>
          <w:noProof/>
          <w:szCs w:val="24"/>
        </w:rPr>
        <w:t>Respir Med</w:t>
      </w:r>
      <w:r w:rsidRPr="00717B40">
        <w:rPr>
          <w:rFonts w:ascii="Arial" w:hAnsi="Arial" w:cs="Arial"/>
          <w:noProof/>
          <w:szCs w:val="24"/>
        </w:rPr>
        <w:t xml:space="preserve"> 2019;159. </w:t>
      </w:r>
    </w:p>
    <w:p w14:paraId="6A73223F"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32. </w:t>
      </w:r>
      <w:r w:rsidRPr="00717B40">
        <w:rPr>
          <w:rFonts w:ascii="Arial" w:hAnsi="Arial" w:cs="Arial"/>
          <w:noProof/>
          <w:szCs w:val="24"/>
        </w:rPr>
        <w:tab/>
        <w:t xml:space="preserve">Burke H, Davis J, Evans S, Flower L, Tan A, Kurukulaaratchy RJ. A multidisciplinary team case management approach reduces the burden of frequent asthma admissions. </w:t>
      </w:r>
      <w:r w:rsidRPr="00717B40">
        <w:rPr>
          <w:rFonts w:ascii="Arial" w:hAnsi="Arial" w:cs="Arial"/>
          <w:i/>
          <w:iCs/>
          <w:noProof/>
          <w:szCs w:val="24"/>
        </w:rPr>
        <w:t>ERJ Open Res</w:t>
      </w:r>
      <w:r w:rsidRPr="00717B40">
        <w:rPr>
          <w:rFonts w:ascii="Arial" w:hAnsi="Arial" w:cs="Arial"/>
          <w:noProof/>
          <w:szCs w:val="24"/>
        </w:rPr>
        <w:t xml:space="preserve"> 2016;2(3). </w:t>
      </w:r>
    </w:p>
    <w:p w14:paraId="5DF5CC49"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33. </w:t>
      </w:r>
      <w:r w:rsidRPr="00717B40">
        <w:rPr>
          <w:rFonts w:ascii="Arial" w:hAnsi="Arial" w:cs="Arial"/>
          <w:noProof/>
          <w:szCs w:val="24"/>
        </w:rPr>
        <w:tab/>
        <w:t xml:space="preserve">Matcham F, Davies R, Hotopf M, et al. The relationship between depression and biologic treatment response in rheumatoid arthritis: An analysis of the British Society for Rheumatology Biologics Register. </w:t>
      </w:r>
      <w:r w:rsidRPr="00717B40">
        <w:rPr>
          <w:rFonts w:ascii="Arial" w:hAnsi="Arial" w:cs="Arial"/>
          <w:i/>
          <w:iCs/>
          <w:noProof/>
          <w:szCs w:val="24"/>
        </w:rPr>
        <w:t>Rheumatology</w:t>
      </w:r>
      <w:r w:rsidRPr="00717B40">
        <w:rPr>
          <w:rFonts w:ascii="Arial" w:hAnsi="Arial" w:cs="Arial"/>
          <w:noProof/>
          <w:szCs w:val="24"/>
        </w:rPr>
        <w:t xml:space="preserve"> 2018;57:835–843. </w:t>
      </w:r>
    </w:p>
    <w:p w14:paraId="39AB00F5"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34. </w:t>
      </w:r>
      <w:r w:rsidRPr="00717B40">
        <w:rPr>
          <w:rFonts w:ascii="Arial" w:hAnsi="Arial" w:cs="Arial"/>
          <w:noProof/>
          <w:szCs w:val="24"/>
        </w:rPr>
        <w:tab/>
        <w:t xml:space="preserve">Vargas PA. Spreading the Word: Comorbidity of Asthma and Depression Is Not Just the Product of a Vulnerable Personality. J. Allergy Clin. Immunol. Pract. 2020;8(1):208–209. </w:t>
      </w:r>
    </w:p>
    <w:p w14:paraId="70509B2E"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35. </w:t>
      </w:r>
      <w:r w:rsidRPr="00717B40">
        <w:rPr>
          <w:rFonts w:ascii="Arial" w:hAnsi="Arial" w:cs="Arial"/>
          <w:noProof/>
          <w:szCs w:val="24"/>
        </w:rPr>
        <w:tab/>
        <w:t xml:space="preserve">González-Freire B, Vázquez I, Pértega-Díaz S. The Relationship of Psychological Factors and Asthma Control to Health-Related Quality of Life. </w:t>
      </w:r>
      <w:r w:rsidRPr="00717B40">
        <w:rPr>
          <w:rFonts w:ascii="Arial" w:hAnsi="Arial" w:cs="Arial"/>
          <w:i/>
          <w:iCs/>
          <w:noProof/>
          <w:szCs w:val="24"/>
        </w:rPr>
        <w:t>J Allergy Clin Immunol Pract</w:t>
      </w:r>
      <w:r w:rsidRPr="00717B40">
        <w:rPr>
          <w:rFonts w:ascii="Arial" w:hAnsi="Arial" w:cs="Arial"/>
          <w:noProof/>
          <w:szCs w:val="24"/>
        </w:rPr>
        <w:t xml:space="preserve"> 2020;8(1):197–207. </w:t>
      </w:r>
    </w:p>
    <w:p w14:paraId="5F5E2E4B"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lastRenderedPageBreak/>
        <w:t xml:space="preserve">36. </w:t>
      </w:r>
      <w:r w:rsidRPr="00717B40">
        <w:rPr>
          <w:rFonts w:ascii="Arial" w:hAnsi="Arial" w:cs="Arial"/>
          <w:noProof/>
          <w:szCs w:val="24"/>
        </w:rPr>
        <w:tab/>
        <w:t xml:space="preserve">Wang G, Zhou T, Wang L, et al. Relationship between current psychological symptoms and future risk of asthma outcomes: A 12-month prospective cohort study. </w:t>
      </w:r>
      <w:r w:rsidRPr="00717B40">
        <w:rPr>
          <w:rFonts w:ascii="Arial" w:hAnsi="Arial" w:cs="Arial"/>
          <w:i/>
          <w:iCs/>
          <w:noProof/>
          <w:szCs w:val="24"/>
        </w:rPr>
        <w:t>J Asthma</w:t>
      </w:r>
      <w:r w:rsidRPr="00717B40">
        <w:rPr>
          <w:rFonts w:ascii="Arial" w:hAnsi="Arial" w:cs="Arial"/>
          <w:noProof/>
          <w:szCs w:val="24"/>
        </w:rPr>
        <w:t xml:space="preserve"> 2011;48(10):1041–1050. </w:t>
      </w:r>
    </w:p>
    <w:p w14:paraId="3B22D361"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37. </w:t>
      </w:r>
      <w:r w:rsidRPr="00717B40">
        <w:rPr>
          <w:rFonts w:ascii="Arial" w:hAnsi="Arial" w:cs="Arial"/>
          <w:noProof/>
          <w:szCs w:val="24"/>
        </w:rPr>
        <w:tab/>
        <w:t xml:space="preserve">Ahmedani BK, Peterson EL, Wells KE, Williams LK. Examining the relationship between depression and asthma exacerbations in a prospective follow-up study. </w:t>
      </w:r>
      <w:r w:rsidRPr="00717B40">
        <w:rPr>
          <w:rFonts w:ascii="Arial" w:hAnsi="Arial" w:cs="Arial"/>
          <w:i/>
          <w:iCs/>
          <w:noProof/>
          <w:szCs w:val="24"/>
        </w:rPr>
        <w:t>Psychosom Med</w:t>
      </w:r>
      <w:r w:rsidRPr="00717B40">
        <w:rPr>
          <w:rFonts w:ascii="Arial" w:hAnsi="Arial" w:cs="Arial"/>
          <w:noProof/>
          <w:szCs w:val="24"/>
        </w:rPr>
        <w:t xml:space="preserve"> 2013;75(3):305–310. </w:t>
      </w:r>
    </w:p>
    <w:p w14:paraId="42140BCD"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38. </w:t>
      </w:r>
      <w:r w:rsidRPr="00717B40">
        <w:rPr>
          <w:rFonts w:ascii="Arial" w:hAnsi="Arial" w:cs="Arial"/>
          <w:noProof/>
          <w:szCs w:val="24"/>
        </w:rPr>
        <w:tab/>
        <w:t xml:space="preserve">Jiang M, Qin P, Yang X. Comorbidity between depression and asthma via immune-inflammatory pathways: A meta-analysis. J. Affect. Disord. 2014;166:22–29. </w:t>
      </w:r>
    </w:p>
    <w:p w14:paraId="16158FF7"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39. </w:t>
      </w:r>
      <w:r w:rsidRPr="00717B40">
        <w:rPr>
          <w:rFonts w:ascii="Arial" w:hAnsi="Arial" w:cs="Arial"/>
          <w:noProof/>
          <w:szCs w:val="24"/>
        </w:rPr>
        <w:tab/>
        <w:t xml:space="preserve">Dowlati Y, Herrmann N, Swardfager W, et al. A Meta-Analysis of Cytokines in Major Depression. </w:t>
      </w:r>
      <w:r w:rsidRPr="00717B40">
        <w:rPr>
          <w:rFonts w:ascii="Arial" w:hAnsi="Arial" w:cs="Arial"/>
          <w:i/>
          <w:iCs/>
          <w:noProof/>
          <w:szCs w:val="24"/>
        </w:rPr>
        <w:t>Biol Psychiatry</w:t>
      </w:r>
      <w:r w:rsidRPr="00717B40">
        <w:rPr>
          <w:rFonts w:ascii="Arial" w:hAnsi="Arial" w:cs="Arial"/>
          <w:noProof/>
          <w:szCs w:val="24"/>
        </w:rPr>
        <w:t xml:space="preserve"> 2010;67(5):446–457. </w:t>
      </w:r>
    </w:p>
    <w:p w14:paraId="5440BE10"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szCs w:val="24"/>
        </w:rPr>
      </w:pPr>
      <w:r w:rsidRPr="00717B40">
        <w:rPr>
          <w:rFonts w:ascii="Arial" w:hAnsi="Arial" w:cs="Arial"/>
          <w:noProof/>
          <w:szCs w:val="24"/>
        </w:rPr>
        <w:t xml:space="preserve">40. </w:t>
      </w:r>
      <w:r w:rsidRPr="00717B40">
        <w:rPr>
          <w:rFonts w:ascii="Arial" w:hAnsi="Arial" w:cs="Arial"/>
          <w:noProof/>
          <w:szCs w:val="24"/>
        </w:rPr>
        <w:tab/>
        <w:t xml:space="preserve">Brown ES, Sayed N, Enkevort E Van, et al. A Randomized, Double-Blind, Placebo-Controlled Trial of Escitalopram in Patients with Asthma and Major Depressive Disorder. </w:t>
      </w:r>
      <w:r w:rsidRPr="00717B40">
        <w:rPr>
          <w:rFonts w:ascii="Arial" w:hAnsi="Arial" w:cs="Arial"/>
          <w:i/>
          <w:iCs/>
          <w:noProof/>
          <w:szCs w:val="24"/>
        </w:rPr>
        <w:t>J Allergy Clin Immunol Pract</w:t>
      </w:r>
      <w:r w:rsidRPr="00717B40">
        <w:rPr>
          <w:rFonts w:ascii="Arial" w:hAnsi="Arial" w:cs="Arial"/>
          <w:noProof/>
          <w:szCs w:val="24"/>
        </w:rPr>
        <w:t xml:space="preserve"> 2018;6(5):1604–1612. </w:t>
      </w:r>
    </w:p>
    <w:p w14:paraId="52C842A7" w14:textId="77777777" w:rsidR="00717B40" w:rsidRPr="00717B40" w:rsidRDefault="00717B40" w:rsidP="00717B40">
      <w:pPr>
        <w:widowControl w:val="0"/>
        <w:autoSpaceDE w:val="0"/>
        <w:autoSpaceDN w:val="0"/>
        <w:adjustRightInd w:val="0"/>
        <w:spacing w:line="240" w:lineRule="auto"/>
        <w:ind w:left="640" w:hanging="640"/>
        <w:rPr>
          <w:rFonts w:ascii="Arial" w:hAnsi="Arial" w:cs="Arial"/>
          <w:noProof/>
        </w:rPr>
      </w:pPr>
      <w:r w:rsidRPr="00717B40">
        <w:rPr>
          <w:rFonts w:ascii="Arial" w:hAnsi="Arial" w:cs="Arial"/>
          <w:noProof/>
          <w:szCs w:val="24"/>
        </w:rPr>
        <w:t xml:space="preserve">41. </w:t>
      </w:r>
      <w:r w:rsidRPr="00717B40">
        <w:rPr>
          <w:rFonts w:ascii="Arial" w:hAnsi="Arial" w:cs="Arial"/>
          <w:noProof/>
          <w:szCs w:val="24"/>
        </w:rPr>
        <w:tab/>
        <w:t xml:space="preserve">Gunsoy NB, Cockle SM, Yancey SW, et al. Evaluation of Potential Continuation Rules for Mepolizumab Treatment of Severe Eosinophilic Asthma. </w:t>
      </w:r>
      <w:r w:rsidRPr="00717B40">
        <w:rPr>
          <w:rFonts w:ascii="Arial" w:hAnsi="Arial" w:cs="Arial"/>
          <w:i/>
          <w:iCs/>
          <w:noProof/>
          <w:szCs w:val="24"/>
        </w:rPr>
        <w:t>J Allergy Clin Immunol Pract</w:t>
      </w:r>
      <w:r w:rsidRPr="00717B40">
        <w:rPr>
          <w:rFonts w:ascii="Arial" w:hAnsi="Arial" w:cs="Arial"/>
          <w:noProof/>
          <w:szCs w:val="24"/>
        </w:rPr>
        <w:t xml:space="preserve"> 2018;6(3):874-882.e4. </w:t>
      </w:r>
    </w:p>
    <w:p w14:paraId="53C2B42A" w14:textId="695080B3" w:rsidR="00BF026A" w:rsidRPr="00214987" w:rsidRDefault="002B3207" w:rsidP="000108E7">
      <w:pPr>
        <w:spacing w:line="240" w:lineRule="auto"/>
        <w:rPr>
          <w:rFonts w:ascii="Arial" w:hAnsi="Arial" w:cs="Arial"/>
          <w:b/>
          <w:bCs/>
          <w:noProof/>
          <w:u w:val="single"/>
          <w:lang w:val="en-US"/>
        </w:rPr>
      </w:pPr>
      <w:r w:rsidRPr="00214987">
        <w:rPr>
          <w:rFonts w:ascii="Arial" w:hAnsi="Arial" w:cs="Arial"/>
          <w:b/>
          <w:bCs/>
          <w:noProof/>
          <w:u w:val="single"/>
          <w:lang w:val="en-US"/>
        </w:rPr>
        <w:fldChar w:fldCharType="end"/>
      </w:r>
    </w:p>
    <w:p w14:paraId="2A10BEA7" w14:textId="04C4B1E4" w:rsidR="000B0AC0" w:rsidRDefault="000B0AC0">
      <w:pPr>
        <w:rPr>
          <w:rFonts w:ascii="Arial" w:hAnsi="Arial" w:cs="Arial"/>
          <w:b/>
          <w:noProof/>
          <w:lang w:val="en-US"/>
        </w:rPr>
      </w:pPr>
      <w:r>
        <w:rPr>
          <w:rFonts w:ascii="Arial" w:hAnsi="Arial" w:cs="Arial"/>
          <w:b/>
          <w:noProof/>
          <w:lang w:val="en-US"/>
        </w:rPr>
        <w:br w:type="page"/>
      </w:r>
    </w:p>
    <w:p w14:paraId="09C98789" w14:textId="77777777" w:rsidR="00260269" w:rsidRPr="00260269" w:rsidRDefault="00260269" w:rsidP="00260269">
      <w:pPr>
        <w:pStyle w:val="Heading1"/>
        <w:rPr>
          <w:rFonts w:ascii="Arial" w:hAnsi="Arial" w:cs="Arial"/>
          <w:noProof/>
        </w:rPr>
      </w:pPr>
      <w:r w:rsidRPr="00260269">
        <w:rPr>
          <w:rFonts w:ascii="Arial" w:hAnsi="Arial" w:cs="Arial"/>
          <w:noProof/>
        </w:rPr>
        <w:lastRenderedPageBreak/>
        <w:t>Tables</w:t>
      </w:r>
    </w:p>
    <w:p w14:paraId="5066436B" w14:textId="2DC377C5" w:rsidR="00BF026A" w:rsidRPr="007D75FE" w:rsidRDefault="00606522">
      <w:pPr>
        <w:rPr>
          <w:rFonts w:ascii="Arial" w:hAnsi="Arial" w:cs="Arial"/>
          <w:b/>
          <w:bCs/>
          <w:noProof/>
          <w:lang w:val="en-US"/>
        </w:rPr>
      </w:pPr>
      <w:r w:rsidRPr="007D75FE">
        <w:rPr>
          <w:rFonts w:ascii="Arial" w:hAnsi="Arial" w:cs="Arial"/>
          <w:b/>
          <w:bCs/>
          <w:noProof/>
          <w:sz w:val="18"/>
          <w:szCs w:val="18"/>
          <w:lang w:val="en-US"/>
        </w:rPr>
        <w:t>T</w:t>
      </w:r>
      <w:r w:rsidR="004B57AF" w:rsidRPr="007D75FE">
        <w:rPr>
          <w:rFonts w:ascii="Arial" w:hAnsi="Arial" w:cs="Arial"/>
          <w:b/>
          <w:bCs/>
          <w:noProof/>
          <w:sz w:val="18"/>
          <w:szCs w:val="18"/>
          <w:lang w:val="en-US"/>
        </w:rPr>
        <w:t xml:space="preserve">able 1. Baseline characteristics of the Omalizumab </w:t>
      </w:r>
      <w:r w:rsidR="007D75FE">
        <w:rPr>
          <w:rFonts w:ascii="Arial" w:hAnsi="Arial" w:cs="Arial"/>
          <w:b/>
          <w:bCs/>
          <w:noProof/>
          <w:sz w:val="18"/>
          <w:szCs w:val="18"/>
          <w:lang w:val="en-US"/>
        </w:rPr>
        <w:t>group</w:t>
      </w:r>
      <w:r w:rsidR="004B57AF" w:rsidRPr="007D75FE">
        <w:rPr>
          <w:rFonts w:ascii="Arial" w:hAnsi="Arial" w:cs="Arial"/>
          <w:b/>
          <w:bCs/>
          <w:noProof/>
          <w:sz w:val="18"/>
          <w:szCs w:val="18"/>
          <w:lang w:val="en-US"/>
        </w:rPr>
        <w:t xml:space="preserve"> vs severe asthma, non-biologic </w:t>
      </w:r>
      <w:r w:rsidR="007D75FE">
        <w:rPr>
          <w:rFonts w:ascii="Arial" w:hAnsi="Arial" w:cs="Arial"/>
          <w:b/>
          <w:bCs/>
          <w:noProof/>
          <w:sz w:val="18"/>
          <w:szCs w:val="18"/>
          <w:lang w:val="en-US"/>
        </w:rPr>
        <w:t>group</w:t>
      </w:r>
      <w:r w:rsidR="004B57AF" w:rsidRPr="007D75FE">
        <w:rPr>
          <w:rFonts w:ascii="Arial" w:hAnsi="Arial" w:cs="Arial"/>
          <w:b/>
          <w:bCs/>
          <w:noProof/>
          <w:lang w:val="en-US"/>
        </w:rPr>
        <w:t xml:space="preserve"> </w:t>
      </w:r>
    </w:p>
    <w:tbl>
      <w:tblPr>
        <w:tblW w:w="5743"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845"/>
        <w:gridCol w:w="710"/>
        <w:gridCol w:w="1842"/>
        <w:gridCol w:w="708"/>
        <w:gridCol w:w="1559"/>
      </w:tblGrid>
      <w:tr w:rsidR="004B57AF" w:rsidRPr="00214987" w14:paraId="6F946E51" w14:textId="77777777" w:rsidTr="006A752F">
        <w:trPr>
          <w:trHeight w:val="424"/>
        </w:trPr>
        <w:tc>
          <w:tcPr>
            <w:tcW w:w="1987" w:type="pct"/>
            <w:shd w:val="clear" w:color="D9E1F2" w:fill="D9E1F2"/>
            <w:noWrap/>
            <w:vAlign w:val="center"/>
            <w:hideMark/>
          </w:tcPr>
          <w:p w14:paraId="27A0138F" w14:textId="77777777" w:rsidR="004B57AF" w:rsidRPr="00214987" w:rsidRDefault="004B57AF" w:rsidP="00E9202C">
            <w:pPr>
              <w:spacing w:after="0" w:line="240" w:lineRule="auto"/>
              <w:jc w:val="center"/>
              <w:rPr>
                <w:rFonts w:ascii="Arial" w:eastAsia="Times New Roman" w:hAnsi="Arial" w:cs="Arial"/>
                <w:noProof/>
                <w:sz w:val="16"/>
                <w:szCs w:val="16"/>
                <w:lang w:val="en-US" w:eastAsia="en-MY"/>
              </w:rPr>
            </w:pPr>
          </w:p>
        </w:tc>
        <w:tc>
          <w:tcPr>
            <w:tcW w:w="1155" w:type="pct"/>
            <w:gridSpan w:val="2"/>
            <w:shd w:val="clear" w:color="D9E1F2" w:fill="D9E1F2"/>
            <w:noWrap/>
            <w:vAlign w:val="center"/>
            <w:hideMark/>
          </w:tcPr>
          <w:p w14:paraId="431B19F5" w14:textId="77777777" w:rsidR="004B57AF" w:rsidRPr="00923F90" w:rsidRDefault="004B57AF" w:rsidP="00E9202C">
            <w:pPr>
              <w:spacing w:after="0" w:line="240" w:lineRule="auto"/>
              <w:jc w:val="center"/>
              <w:rPr>
                <w:rFonts w:ascii="Arial" w:eastAsia="Times New Roman" w:hAnsi="Arial" w:cs="Arial"/>
                <w:noProof/>
                <w:sz w:val="18"/>
                <w:szCs w:val="18"/>
                <w:lang w:val="en-US" w:eastAsia="en-MY"/>
              </w:rPr>
            </w:pPr>
            <w:r w:rsidRPr="00923F90">
              <w:rPr>
                <w:rFonts w:ascii="Arial" w:eastAsia="Times New Roman" w:hAnsi="Arial" w:cs="Arial"/>
                <w:noProof/>
                <w:sz w:val="18"/>
                <w:szCs w:val="18"/>
                <w:lang w:val="en-US" w:eastAsia="en-MY"/>
              </w:rPr>
              <w:t>Omalizumab group,</w:t>
            </w:r>
          </w:p>
          <w:p w14:paraId="01BFB103" w14:textId="5445C23F" w:rsidR="004B57AF" w:rsidRPr="00923F90" w:rsidRDefault="004B57AF" w:rsidP="00E9202C">
            <w:pPr>
              <w:spacing w:after="0" w:line="240" w:lineRule="auto"/>
              <w:jc w:val="center"/>
              <w:rPr>
                <w:rFonts w:ascii="Arial" w:eastAsia="Times New Roman" w:hAnsi="Arial" w:cs="Arial"/>
                <w:noProof/>
                <w:sz w:val="18"/>
                <w:szCs w:val="18"/>
                <w:lang w:val="en-US" w:eastAsia="en-MY"/>
              </w:rPr>
            </w:pPr>
            <w:r w:rsidRPr="00923F90">
              <w:rPr>
                <w:rFonts w:ascii="Arial" w:eastAsia="Times New Roman" w:hAnsi="Arial" w:cs="Arial"/>
                <w:noProof/>
                <w:sz w:val="18"/>
                <w:szCs w:val="18"/>
                <w:lang w:val="en-US" w:eastAsia="en-MY"/>
              </w:rPr>
              <w:t xml:space="preserve">N= 105 </w:t>
            </w:r>
          </w:p>
        </w:tc>
        <w:tc>
          <w:tcPr>
            <w:tcW w:w="1153" w:type="pct"/>
            <w:gridSpan w:val="2"/>
            <w:shd w:val="clear" w:color="D9E1F2" w:fill="D9E1F2"/>
            <w:noWrap/>
            <w:vAlign w:val="center"/>
            <w:hideMark/>
          </w:tcPr>
          <w:p w14:paraId="55E1DD2D" w14:textId="4E43E2AA" w:rsidR="004B57AF" w:rsidRPr="00923F90" w:rsidRDefault="004B57AF" w:rsidP="00E9202C">
            <w:pPr>
              <w:spacing w:after="0" w:line="240" w:lineRule="auto"/>
              <w:jc w:val="center"/>
              <w:rPr>
                <w:rFonts w:ascii="Arial" w:eastAsia="Times New Roman" w:hAnsi="Arial" w:cs="Arial"/>
                <w:noProof/>
                <w:sz w:val="18"/>
                <w:szCs w:val="18"/>
                <w:lang w:val="en-US" w:eastAsia="en-MY"/>
              </w:rPr>
            </w:pPr>
            <w:r w:rsidRPr="00923F90">
              <w:rPr>
                <w:rFonts w:ascii="Arial" w:eastAsia="Times New Roman" w:hAnsi="Arial" w:cs="Arial"/>
                <w:noProof/>
                <w:sz w:val="18"/>
                <w:szCs w:val="18"/>
                <w:lang w:val="en-US" w:eastAsia="en-MY"/>
              </w:rPr>
              <w:t xml:space="preserve">Severe asthma, non-biologic group, N=178 </w:t>
            </w:r>
          </w:p>
        </w:tc>
        <w:tc>
          <w:tcPr>
            <w:tcW w:w="705" w:type="pct"/>
            <w:shd w:val="clear" w:color="D9E1F2" w:fill="D9E1F2"/>
            <w:vAlign w:val="center"/>
          </w:tcPr>
          <w:p w14:paraId="54EEFE08" w14:textId="1445926D" w:rsidR="004B57AF" w:rsidRPr="00923F90" w:rsidRDefault="004B57AF" w:rsidP="00E9202C">
            <w:pPr>
              <w:spacing w:after="0" w:line="240" w:lineRule="auto"/>
              <w:jc w:val="center"/>
              <w:rPr>
                <w:rFonts w:ascii="Arial" w:eastAsia="Times New Roman" w:hAnsi="Arial" w:cs="Arial"/>
                <w:noProof/>
                <w:sz w:val="18"/>
                <w:szCs w:val="18"/>
                <w:lang w:val="en-US" w:eastAsia="en-MY"/>
              </w:rPr>
            </w:pPr>
            <w:r w:rsidRPr="00923F90">
              <w:rPr>
                <w:rFonts w:ascii="Arial" w:eastAsia="Times New Roman" w:hAnsi="Arial" w:cs="Arial"/>
                <w:noProof/>
                <w:sz w:val="18"/>
                <w:szCs w:val="18"/>
                <w:lang w:val="en-US" w:eastAsia="en-MY"/>
              </w:rPr>
              <w:t>P-value</w:t>
            </w:r>
          </w:p>
        </w:tc>
      </w:tr>
      <w:tr w:rsidR="004B57AF" w:rsidRPr="00214987" w14:paraId="196C168C" w14:textId="77777777" w:rsidTr="006A752F">
        <w:trPr>
          <w:trHeight w:val="262"/>
        </w:trPr>
        <w:tc>
          <w:tcPr>
            <w:tcW w:w="1987" w:type="pct"/>
            <w:shd w:val="clear" w:color="auto" w:fill="auto"/>
            <w:noWrap/>
            <w:vAlign w:val="center"/>
            <w:hideMark/>
          </w:tcPr>
          <w:p w14:paraId="2C590B78" w14:textId="77777777" w:rsidR="004B57AF" w:rsidRPr="004B57AF" w:rsidRDefault="004B57AF" w:rsidP="00E9202C">
            <w:pPr>
              <w:spacing w:after="0" w:line="240" w:lineRule="auto"/>
              <w:jc w:val="center"/>
              <w:rPr>
                <w:rFonts w:ascii="Arial" w:eastAsia="Times New Roman" w:hAnsi="Arial" w:cs="Arial"/>
                <w:noProof/>
                <w:sz w:val="18"/>
                <w:szCs w:val="18"/>
                <w:lang w:val="en-US" w:eastAsia="en-MY"/>
              </w:rPr>
            </w:pPr>
          </w:p>
        </w:tc>
        <w:tc>
          <w:tcPr>
            <w:tcW w:w="834" w:type="pct"/>
            <w:shd w:val="clear" w:color="auto" w:fill="auto"/>
            <w:noWrap/>
            <w:vAlign w:val="center"/>
            <w:hideMark/>
          </w:tcPr>
          <w:p w14:paraId="6F19BFC0"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Mean (SD) / Median (IQR)</w:t>
            </w:r>
          </w:p>
        </w:tc>
        <w:tc>
          <w:tcPr>
            <w:tcW w:w="321" w:type="pct"/>
            <w:shd w:val="clear" w:color="auto" w:fill="auto"/>
            <w:noWrap/>
            <w:vAlign w:val="center"/>
            <w:hideMark/>
          </w:tcPr>
          <w:p w14:paraId="49DE1BB1"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Missing</w:t>
            </w:r>
          </w:p>
        </w:tc>
        <w:tc>
          <w:tcPr>
            <w:tcW w:w="833" w:type="pct"/>
            <w:shd w:val="clear" w:color="auto" w:fill="auto"/>
            <w:noWrap/>
            <w:vAlign w:val="center"/>
            <w:hideMark/>
          </w:tcPr>
          <w:p w14:paraId="1D680843"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Mean (SD) / Median (IQR)</w:t>
            </w:r>
          </w:p>
        </w:tc>
        <w:tc>
          <w:tcPr>
            <w:tcW w:w="320" w:type="pct"/>
            <w:shd w:val="clear" w:color="auto" w:fill="auto"/>
            <w:noWrap/>
            <w:vAlign w:val="center"/>
            <w:hideMark/>
          </w:tcPr>
          <w:p w14:paraId="3B11A212"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Missing</w:t>
            </w:r>
          </w:p>
        </w:tc>
        <w:tc>
          <w:tcPr>
            <w:tcW w:w="705" w:type="pct"/>
            <w:shd w:val="clear" w:color="auto" w:fill="auto"/>
            <w:noWrap/>
            <w:vAlign w:val="center"/>
          </w:tcPr>
          <w:p w14:paraId="2E835B11" w14:textId="1C160835" w:rsidR="004B57AF" w:rsidRPr="00214987" w:rsidRDefault="004B57AF" w:rsidP="00E9202C">
            <w:pPr>
              <w:spacing w:after="0" w:line="240" w:lineRule="auto"/>
              <w:jc w:val="center"/>
              <w:rPr>
                <w:rFonts w:ascii="Arial" w:eastAsia="Times New Roman" w:hAnsi="Arial" w:cs="Arial"/>
                <w:b/>
                <w:bCs/>
                <w:noProof/>
                <w:sz w:val="16"/>
                <w:szCs w:val="16"/>
                <w:lang w:val="en-US" w:eastAsia="en-MY"/>
              </w:rPr>
            </w:pPr>
          </w:p>
        </w:tc>
      </w:tr>
      <w:tr w:rsidR="004B57AF" w:rsidRPr="00214987" w14:paraId="20BDBE1B" w14:textId="77777777" w:rsidTr="006A752F">
        <w:trPr>
          <w:trHeight w:val="280"/>
        </w:trPr>
        <w:tc>
          <w:tcPr>
            <w:tcW w:w="1987" w:type="pct"/>
            <w:shd w:val="clear" w:color="auto" w:fill="auto"/>
            <w:noWrap/>
            <w:vAlign w:val="center"/>
          </w:tcPr>
          <w:p w14:paraId="62A9B4E0"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 xml:space="preserve">Annual rate of exacerbations in the past year, median (IQR) </w:t>
            </w:r>
            <w:r w:rsidRPr="004B57AF">
              <w:rPr>
                <w:rFonts w:ascii="Arial" w:eastAsia="Times New Roman" w:hAnsi="Arial" w:cs="Arial"/>
                <w:noProof/>
                <w:sz w:val="20"/>
                <w:szCs w:val="20"/>
                <w:vertAlign w:val="superscript"/>
                <w:lang w:val="en-US" w:eastAsia="en-MY"/>
              </w:rPr>
              <w:t>a,b</w:t>
            </w:r>
          </w:p>
        </w:tc>
        <w:tc>
          <w:tcPr>
            <w:tcW w:w="834" w:type="pct"/>
            <w:shd w:val="clear" w:color="auto" w:fill="auto"/>
            <w:noWrap/>
            <w:vAlign w:val="center"/>
          </w:tcPr>
          <w:p w14:paraId="238CF08A"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5 (3) </w:t>
            </w:r>
          </w:p>
        </w:tc>
        <w:tc>
          <w:tcPr>
            <w:tcW w:w="321" w:type="pct"/>
            <w:shd w:val="clear" w:color="auto" w:fill="auto"/>
            <w:noWrap/>
            <w:vAlign w:val="center"/>
          </w:tcPr>
          <w:p w14:paraId="70F4B127"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833" w:type="pct"/>
            <w:shd w:val="clear" w:color="auto" w:fill="auto"/>
            <w:noWrap/>
            <w:vAlign w:val="center"/>
          </w:tcPr>
          <w:p w14:paraId="5CCCB8F5"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5 (3) </w:t>
            </w:r>
          </w:p>
        </w:tc>
        <w:tc>
          <w:tcPr>
            <w:tcW w:w="320" w:type="pct"/>
            <w:shd w:val="clear" w:color="auto" w:fill="auto"/>
            <w:noWrap/>
            <w:vAlign w:val="center"/>
          </w:tcPr>
          <w:p w14:paraId="34E06B2B"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32</w:t>
            </w:r>
          </w:p>
        </w:tc>
        <w:tc>
          <w:tcPr>
            <w:tcW w:w="705" w:type="pct"/>
            <w:shd w:val="clear" w:color="auto" w:fill="auto"/>
            <w:noWrap/>
            <w:vAlign w:val="center"/>
          </w:tcPr>
          <w:p w14:paraId="207C1422"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0.391</w:t>
            </w:r>
          </w:p>
        </w:tc>
      </w:tr>
      <w:tr w:rsidR="004B57AF" w:rsidRPr="00214987" w14:paraId="12F4C4DC" w14:textId="77777777" w:rsidTr="006A752F">
        <w:trPr>
          <w:trHeight w:val="280"/>
        </w:trPr>
        <w:tc>
          <w:tcPr>
            <w:tcW w:w="1987" w:type="pct"/>
            <w:shd w:val="clear" w:color="auto" w:fill="auto"/>
            <w:noWrap/>
            <w:vAlign w:val="center"/>
          </w:tcPr>
          <w:p w14:paraId="2A32E37B"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Annual rate of AHE in the past year, median (IQR)</w:t>
            </w:r>
            <w:r w:rsidRPr="004B57AF">
              <w:rPr>
                <w:rFonts w:ascii="Arial" w:eastAsia="Times New Roman" w:hAnsi="Arial" w:cs="Arial"/>
                <w:noProof/>
                <w:sz w:val="20"/>
                <w:szCs w:val="20"/>
                <w:vertAlign w:val="superscript"/>
                <w:lang w:val="en-US" w:eastAsia="en-MY"/>
              </w:rPr>
              <w:t xml:space="preserve"> a,b</w:t>
            </w:r>
          </w:p>
        </w:tc>
        <w:tc>
          <w:tcPr>
            <w:tcW w:w="834" w:type="pct"/>
            <w:shd w:val="clear" w:color="auto" w:fill="auto"/>
            <w:noWrap/>
            <w:vAlign w:val="center"/>
          </w:tcPr>
          <w:p w14:paraId="7D4DBF12"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1 (2) </w:t>
            </w:r>
          </w:p>
        </w:tc>
        <w:tc>
          <w:tcPr>
            <w:tcW w:w="321" w:type="pct"/>
            <w:shd w:val="clear" w:color="auto" w:fill="auto"/>
            <w:noWrap/>
            <w:vAlign w:val="center"/>
          </w:tcPr>
          <w:p w14:paraId="2AA80A21"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9</w:t>
            </w:r>
          </w:p>
        </w:tc>
        <w:tc>
          <w:tcPr>
            <w:tcW w:w="833" w:type="pct"/>
            <w:shd w:val="clear" w:color="auto" w:fill="auto"/>
            <w:noWrap/>
            <w:vAlign w:val="center"/>
          </w:tcPr>
          <w:p w14:paraId="50D788E2"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0 (1) </w:t>
            </w:r>
          </w:p>
        </w:tc>
        <w:tc>
          <w:tcPr>
            <w:tcW w:w="320" w:type="pct"/>
            <w:shd w:val="clear" w:color="auto" w:fill="auto"/>
            <w:noWrap/>
            <w:vAlign w:val="center"/>
          </w:tcPr>
          <w:p w14:paraId="77AB1A9E"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705" w:type="pct"/>
            <w:shd w:val="clear" w:color="auto" w:fill="auto"/>
            <w:noWrap/>
            <w:vAlign w:val="center"/>
          </w:tcPr>
          <w:p w14:paraId="7A291B6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0.238</w:t>
            </w:r>
          </w:p>
        </w:tc>
      </w:tr>
      <w:tr w:rsidR="004B57AF" w:rsidRPr="00214987" w14:paraId="11A51710" w14:textId="77777777" w:rsidTr="006A752F">
        <w:trPr>
          <w:trHeight w:val="280"/>
        </w:trPr>
        <w:tc>
          <w:tcPr>
            <w:tcW w:w="1987" w:type="pct"/>
            <w:shd w:val="clear" w:color="auto" w:fill="auto"/>
            <w:noWrap/>
            <w:vAlign w:val="center"/>
            <w:hideMark/>
          </w:tcPr>
          <w:p w14:paraId="5330E803"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Maximum PBE count in the past year, median (IQR) - cells/µL </w:t>
            </w:r>
            <w:r w:rsidRPr="004B57AF">
              <w:rPr>
                <w:rFonts w:ascii="Arial" w:eastAsia="Times New Roman" w:hAnsi="Arial" w:cs="Arial"/>
                <w:noProof/>
                <w:sz w:val="20"/>
                <w:szCs w:val="20"/>
                <w:vertAlign w:val="superscript"/>
                <w:lang w:val="en-US" w:eastAsia="en-MY"/>
              </w:rPr>
              <w:t>a,b</w:t>
            </w:r>
          </w:p>
        </w:tc>
        <w:tc>
          <w:tcPr>
            <w:tcW w:w="834" w:type="pct"/>
            <w:shd w:val="clear" w:color="auto" w:fill="auto"/>
            <w:noWrap/>
            <w:vAlign w:val="center"/>
            <w:hideMark/>
          </w:tcPr>
          <w:p w14:paraId="1641AEDB"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250 (400)</w:t>
            </w:r>
          </w:p>
        </w:tc>
        <w:tc>
          <w:tcPr>
            <w:tcW w:w="321" w:type="pct"/>
            <w:shd w:val="clear" w:color="auto" w:fill="auto"/>
            <w:noWrap/>
            <w:vAlign w:val="center"/>
            <w:hideMark/>
          </w:tcPr>
          <w:p w14:paraId="70DDD362"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9</w:t>
            </w:r>
          </w:p>
        </w:tc>
        <w:tc>
          <w:tcPr>
            <w:tcW w:w="833" w:type="pct"/>
            <w:shd w:val="clear" w:color="auto" w:fill="auto"/>
            <w:noWrap/>
            <w:vAlign w:val="center"/>
          </w:tcPr>
          <w:p w14:paraId="08F09C8D" w14:textId="77777777" w:rsidR="004B57AF" w:rsidRPr="004B57AF" w:rsidRDefault="004B57AF" w:rsidP="00E9202C">
            <w:pPr>
              <w:spacing w:after="0" w:line="240" w:lineRule="auto"/>
              <w:jc w:val="center"/>
              <w:rPr>
                <w:rFonts w:ascii="Arial" w:eastAsia="Times New Roman" w:hAnsi="Arial" w:cs="Arial"/>
                <w:noProof/>
                <w:sz w:val="20"/>
                <w:szCs w:val="20"/>
                <w:vertAlign w:val="superscript"/>
                <w:lang w:val="en-US" w:eastAsia="en-MY"/>
              </w:rPr>
            </w:pPr>
            <w:r w:rsidRPr="004B57AF">
              <w:rPr>
                <w:rFonts w:ascii="Arial" w:eastAsia="Times New Roman" w:hAnsi="Arial" w:cs="Arial"/>
                <w:noProof/>
                <w:sz w:val="20"/>
                <w:szCs w:val="20"/>
                <w:lang w:val="en-US" w:eastAsia="en-MY"/>
              </w:rPr>
              <w:t xml:space="preserve">200 (300) </w:t>
            </w:r>
          </w:p>
        </w:tc>
        <w:tc>
          <w:tcPr>
            <w:tcW w:w="320" w:type="pct"/>
            <w:shd w:val="clear" w:color="auto" w:fill="auto"/>
            <w:noWrap/>
            <w:vAlign w:val="center"/>
          </w:tcPr>
          <w:p w14:paraId="11B274DD"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49</w:t>
            </w:r>
          </w:p>
        </w:tc>
        <w:tc>
          <w:tcPr>
            <w:tcW w:w="705" w:type="pct"/>
            <w:shd w:val="clear" w:color="auto" w:fill="auto"/>
            <w:noWrap/>
            <w:vAlign w:val="center"/>
          </w:tcPr>
          <w:p w14:paraId="0639F923"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0.052</w:t>
            </w:r>
          </w:p>
        </w:tc>
      </w:tr>
      <w:tr w:rsidR="004B57AF" w:rsidRPr="00214987" w14:paraId="128C8F0B" w14:textId="77777777" w:rsidTr="006A752F">
        <w:trPr>
          <w:trHeight w:val="301"/>
        </w:trPr>
        <w:tc>
          <w:tcPr>
            <w:tcW w:w="1987" w:type="pct"/>
            <w:shd w:val="clear" w:color="auto" w:fill="auto"/>
            <w:noWrap/>
            <w:vAlign w:val="center"/>
          </w:tcPr>
          <w:p w14:paraId="057279B0"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Baseline ACQ6, median (IQR) </w:t>
            </w:r>
            <w:r w:rsidRPr="004B57AF">
              <w:rPr>
                <w:rFonts w:ascii="Arial" w:eastAsia="Times New Roman" w:hAnsi="Arial" w:cs="Arial"/>
                <w:noProof/>
                <w:sz w:val="20"/>
                <w:szCs w:val="20"/>
                <w:vertAlign w:val="superscript"/>
                <w:lang w:val="en-US" w:eastAsia="en-MY"/>
              </w:rPr>
              <w:t>b,c</w:t>
            </w:r>
          </w:p>
        </w:tc>
        <w:tc>
          <w:tcPr>
            <w:tcW w:w="834" w:type="pct"/>
            <w:shd w:val="clear" w:color="auto" w:fill="auto"/>
            <w:noWrap/>
            <w:vAlign w:val="center"/>
          </w:tcPr>
          <w:p w14:paraId="13B3033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3 (1.79) </w:t>
            </w:r>
          </w:p>
        </w:tc>
        <w:tc>
          <w:tcPr>
            <w:tcW w:w="321" w:type="pct"/>
            <w:shd w:val="clear" w:color="auto" w:fill="auto"/>
            <w:noWrap/>
            <w:vAlign w:val="center"/>
          </w:tcPr>
          <w:p w14:paraId="5590451A"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25</w:t>
            </w:r>
          </w:p>
        </w:tc>
        <w:tc>
          <w:tcPr>
            <w:tcW w:w="833" w:type="pct"/>
            <w:shd w:val="clear" w:color="auto" w:fill="auto"/>
            <w:noWrap/>
            <w:vAlign w:val="center"/>
          </w:tcPr>
          <w:p w14:paraId="26C6C6C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3 (1.8) </w:t>
            </w:r>
          </w:p>
        </w:tc>
        <w:tc>
          <w:tcPr>
            <w:tcW w:w="320" w:type="pct"/>
            <w:shd w:val="clear" w:color="auto" w:fill="auto"/>
            <w:noWrap/>
            <w:vAlign w:val="center"/>
          </w:tcPr>
          <w:p w14:paraId="32C48E98"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11</w:t>
            </w:r>
          </w:p>
        </w:tc>
        <w:tc>
          <w:tcPr>
            <w:tcW w:w="705" w:type="pct"/>
            <w:shd w:val="clear" w:color="auto" w:fill="auto"/>
            <w:noWrap/>
            <w:vAlign w:val="center"/>
          </w:tcPr>
          <w:p w14:paraId="399F2FF1"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0.594</w:t>
            </w:r>
          </w:p>
        </w:tc>
      </w:tr>
      <w:tr w:rsidR="004B57AF" w:rsidRPr="00214987" w14:paraId="3459335D" w14:textId="77777777" w:rsidTr="006A752F">
        <w:trPr>
          <w:trHeight w:val="303"/>
        </w:trPr>
        <w:tc>
          <w:tcPr>
            <w:tcW w:w="1987" w:type="pct"/>
            <w:shd w:val="clear" w:color="auto" w:fill="auto"/>
            <w:noWrap/>
            <w:vAlign w:val="center"/>
          </w:tcPr>
          <w:p w14:paraId="355843A2"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Baseline FENO, median (IQR) – ppb </w:t>
            </w:r>
            <w:r w:rsidRPr="004B57AF">
              <w:rPr>
                <w:rFonts w:ascii="Arial" w:eastAsia="Times New Roman" w:hAnsi="Arial" w:cs="Arial"/>
                <w:noProof/>
                <w:sz w:val="20"/>
                <w:szCs w:val="20"/>
                <w:vertAlign w:val="superscript"/>
                <w:lang w:val="en-US" w:eastAsia="en-MY"/>
              </w:rPr>
              <w:t>b,c</w:t>
            </w:r>
          </w:p>
        </w:tc>
        <w:tc>
          <w:tcPr>
            <w:tcW w:w="834" w:type="pct"/>
            <w:shd w:val="clear" w:color="auto" w:fill="auto"/>
            <w:noWrap/>
            <w:vAlign w:val="center"/>
          </w:tcPr>
          <w:p w14:paraId="16275EE4"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30 (38) </w:t>
            </w:r>
          </w:p>
        </w:tc>
        <w:tc>
          <w:tcPr>
            <w:tcW w:w="321" w:type="pct"/>
            <w:shd w:val="clear" w:color="auto" w:fill="auto"/>
            <w:noWrap/>
            <w:vAlign w:val="center"/>
          </w:tcPr>
          <w:p w14:paraId="7F701DC7"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27</w:t>
            </w:r>
          </w:p>
        </w:tc>
        <w:tc>
          <w:tcPr>
            <w:tcW w:w="833" w:type="pct"/>
            <w:shd w:val="clear" w:color="auto" w:fill="auto"/>
            <w:noWrap/>
            <w:vAlign w:val="center"/>
          </w:tcPr>
          <w:p w14:paraId="6C6485CE"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16.85 (24.65) </w:t>
            </w:r>
          </w:p>
        </w:tc>
        <w:tc>
          <w:tcPr>
            <w:tcW w:w="320" w:type="pct"/>
            <w:shd w:val="clear" w:color="auto" w:fill="auto"/>
            <w:noWrap/>
            <w:vAlign w:val="center"/>
          </w:tcPr>
          <w:p w14:paraId="676E119E"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50</w:t>
            </w:r>
          </w:p>
        </w:tc>
        <w:tc>
          <w:tcPr>
            <w:tcW w:w="705" w:type="pct"/>
            <w:shd w:val="clear" w:color="auto" w:fill="auto"/>
            <w:noWrap/>
            <w:vAlign w:val="center"/>
          </w:tcPr>
          <w:p w14:paraId="04A6B5E4"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0.007</w:t>
            </w:r>
          </w:p>
        </w:tc>
      </w:tr>
      <w:tr w:rsidR="004B57AF" w:rsidRPr="00214987" w14:paraId="7225C18E" w14:textId="77777777" w:rsidTr="006A752F">
        <w:trPr>
          <w:trHeight w:val="321"/>
        </w:trPr>
        <w:tc>
          <w:tcPr>
            <w:tcW w:w="1987" w:type="pct"/>
            <w:shd w:val="clear" w:color="auto" w:fill="auto"/>
            <w:noWrap/>
            <w:vAlign w:val="center"/>
          </w:tcPr>
          <w:p w14:paraId="5D144D40"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Baseline Clinic FEV</w:t>
            </w:r>
            <w:r w:rsidRPr="004B57AF">
              <w:rPr>
                <w:rFonts w:ascii="Arial" w:eastAsia="Times New Roman" w:hAnsi="Arial" w:cs="Arial"/>
                <w:b/>
                <w:bCs/>
                <w:noProof/>
                <w:sz w:val="20"/>
                <w:szCs w:val="20"/>
                <w:vertAlign w:val="subscript"/>
                <w:lang w:val="en-US" w:eastAsia="en-MY"/>
              </w:rPr>
              <w:t>1</w:t>
            </w:r>
            <w:r w:rsidRPr="004B57AF">
              <w:rPr>
                <w:rFonts w:ascii="Arial" w:eastAsia="Times New Roman" w:hAnsi="Arial" w:cs="Arial"/>
                <w:b/>
                <w:bCs/>
                <w:noProof/>
                <w:sz w:val="20"/>
                <w:szCs w:val="20"/>
                <w:lang w:val="en-US" w:eastAsia="en-MY"/>
              </w:rPr>
              <w:t xml:space="preserve"> %, mean (SD) </w:t>
            </w:r>
            <w:r w:rsidRPr="004B57AF">
              <w:rPr>
                <w:rFonts w:ascii="Arial" w:eastAsia="Times New Roman" w:hAnsi="Arial" w:cs="Arial"/>
                <w:noProof/>
                <w:sz w:val="20"/>
                <w:szCs w:val="20"/>
                <w:vertAlign w:val="superscript"/>
                <w:lang w:val="en-US" w:eastAsia="en-MY"/>
              </w:rPr>
              <w:t>b,c</w:t>
            </w:r>
          </w:p>
        </w:tc>
        <w:tc>
          <w:tcPr>
            <w:tcW w:w="834" w:type="pct"/>
            <w:shd w:val="clear" w:color="auto" w:fill="auto"/>
            <w:noWrap/>
            <w:vAlign w:val="center"/>
          </w:tcPr>
          <w:p w14:paraId="6EE4819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66.59 (20.77) </w:t>
            </w:r>
          </w:p>
        </w:tc>
        <w:tc>
          <w:tcPr>
            <w:tcW w:w="321" w:type="pct"/>
            <w:shd w:val="clear" w:color="auto" w:fill="auto"/>
            <w:noWrap/>
            <w:vAlign w:val="center"/>
          </w:tcPr>
          <w:p w14:paraId="4F4D5D6B"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6</w:t>
            </w:r>
          </w:p>
        </w:tc>
        <w:tc>
          <w:tcPr>
            <w:tcW w:w="833" w:type="pct"/>
            <w:shd w:val="clear" w:color="auto" w:fill="auto"/>
            <w:noWrap/>
            <w:vAlign w:val="center"/>
          </w:tcPr>
          <w:p w14:paraId="2726565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76.78 (23.37) </w:t>
            </w:r>
          </w:p>
        </w:tc>
        <w:tc>
          <w:tcPr>
            <w:tcW w:w="320" w:type="pct"/>
            <w:shd w:val="clear" w:color="auto" w:fill="auto"/>
            <w:noWrap/>
            <w:vAlign w:val="center"/>
          </w:tcPr>
          <w:p w14:paraId="04CB20ED"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57</w:t>
            </w:r>
          </w:p>
        </w:tc>
        <w:tc>
          <w:tcPr>
            <w:tcW w:w="705" w:type="pct"/>
            <w:shd w:val="clear" w:color="auto" w:fill="auto"/>
            <w:noWrap/>
            <w:vAlign w:val="center"/>
          </w:tcPr>
          <w:p w14:paraId="7FBAC4F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0.001</w:t>
            </w:r>
          </w:p>
        </w:tc>
      </w:tr>
      <w:tr w:rsidR="004B57AF" w:rsidRPr="00214987" w14:paraId="51FE3D92" w14:textId="77777777" w:rsidTr="006A752F">
        <w:trPr>
          <w:trHeight w:val="301"/>
        </w:trPr>
        <w:tc>
          <w:tcPr>
            <w:tcW w:w="1987" w:type="pct"/>
            <w:shd w:val="clear" w:color="auto" w:fill="auto"/>
            <w:noWrap/>
            <w:vAlign w:val="center"/>
          </w:tcPr>
          <w:p w14:paraId="241BA681"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BMI, median (IQR) – kgm</w:t>
            </w:r>
            <w:r w:rsidRPr="004B57AF">
              <w:rPr>
                <w:rFonts w:ascii="Arial" w:eastAsia="Times New Roman" w:hAnsi="Arial" w:cs="Arial"/>
                <w:b/>
                <w:bCs/>
                <w:noProof/>
                <w:sz w:val="20"/>
                <w:szCs w:val="20"/>
                <w:vertAlign w:val="superscript"/>
                <w:lang w:val="en-US" w:eastAsia="en-MY"/>
              </w:rPr>
              <w:t>-2</w:t>
            </w:r>
            <w:r w:rsidRPr="004B57AF">
              <w:rPr>
                <w:rFonts w:ascii="Arial" w:eastAsia="Times New Roman" w:hAnsi="Arial" w:cs="Arial"/>
                <w:b/>
                <w:bCs/>
                <w:noProof/>
                <w:sz w:val="20"/>
                <w:szCs w:val="20"/>
                <w:lang w:val="en-US" w:eastAsia="en-MY"/>
              </w:rPr>
              <w:t xml:space="preserve"> </w:t>
            </w:r>
          </w:p>
        </w:tc>
        <w:tc>
          <w:tcPr>
            <w:tcW w:w="834" w:type="pct"/>
            <w:shd w:val="clear" w:color="auto" w:fill="auto"/>
            <w:noWrap/>
            <w:vAlign w:val="center"/>
          </w:tcPr>
          <w:p w14:paraId="53CF70D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30.60 (9.75)</w:t>
            </w:r>
          </w:p>
        </w:tc>
        <w:tc>
          <w:tcPr>
            <w:tcW w:w="321" w:type="pct"/>
            <w:shd w:val="clear" w:color="auto" w:fill="auto"/>
            <w:noWrap/>
            <w:vAlign w:val="center"/>
          </w:tcPr>
          <w:p w14:paraId="5829AB7F"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833" w:type="pct"/>
            <w:shd w:val="clear" w:color="auto" w:fill="auto"/>
            <w:noWrap/>
            <w:vAlign w:val="center"/>
          </w:tcPr>
          <w:p w14:paraId="41209D5A"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30.8 (10.8)</w:t>
            </w:r>
          </w:p>
        </w:tc>
        <w:tc>
          <w:tcPr>
            <w:tcW w:w="320" w:type="pct"/>
            <w:shd w:val="clear" w:color="auto" w:fill="auto"/>
            <w:noWrap/>
            <w:vAlign w:val="center"/>
          </w:tcPr>
          <w:p w14:paraId="1B414C6E"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705" w:type="pct"/>
            <w:shd w:val="clear" w:color="auto" w:fill="auto"/>
            <w:noWrap/>
            <w:vAlign w:val="center"/>
          </w:tcPr>
          <w:p w14:paraId="331DDD6C"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0.502</w:t>
            </w:r>
          </w:p>
        </w:tc>
      </w:tr>
      <w:tr w:rsidR="004B57AF" w:rsidRPr="00214987" w14:paraId="74A9F785" w14:textId="77777777" w:rsidTr="006A752F">
        <w:trPr>
          <w:trHeight w:val="309"/>
        </w:trPr>
        <w:tc>
          <w:tcPr>
            <w:tcW w:w="1987" w:type="pct"/>
            <w:shd w:val="clear" w:color="auto" w:fill="auto"/>
            <w:noWrap/>
            <w:vAlign w:val="center"/>
          </w:tcPr>
          <w:p w14:paraId="218CE574"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Age of asthma diagnosis, median (IQR) - y</w:t>
            </w:r>
          </w:p>
        </w:tc>
        <w:tc>
          <w:tcPr>
            <w:tcW w:w="834" w:type="pct"/>
            <w:shd w:val="clear" w:color="auto" w:fill="auto"/>
            <w:noWrap/>
            <w:vAlign w:val="center"/>
          </w:tcPr>
          <w:p w14:paraId="354B5DB2"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10 (25)</w:t>
            </w:r>
          </w:p>
        </w:tc>
        <w:tc>
          <w:tcPr>
            <w:tcW w:w="321" w:type="pct"/>
            <w:shd w:val="clear" w:color="auto" w:fill="auto"/>
            <w:noWrap/>
            <w:vAlign w:val="center"/>
          </w:tcPr>
          <w:p w14:paraId="2756453D"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w:t>
            </w:r>
          </w:p>
        </w:tc>
        <w:tc>
          <w:tcPr>
            <w:tcW w:w="833" w:type="pct"/>
            <w:shd w:val="clear" w:color="auto" w:fill="auto"/>
            <w:noWrap/>
            <w:vAlign w:val="center"/>
          </w:tcPr>
          <w:p w14:paraId="5875A55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20 (35)</w:t>
            </w:r>
          </w:p>
        </w:tc>
        <w:tc>
          <w:tcPr>
            <w:tcW w:w="320" w:type="pct"/>
            <w:shd w:val="clear" w:color="auto" w:fill="auto"/>
            <w:noWrap/>
            <w:vAlign w:val="center"/>
          </w:tcPr>
          <w:p w14:paraId="3454DC76"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9</w:t>
            </w:r>
          </w:p>
        </w:tc>
        <w:tc>
          <w:tcPr>
            <w:tcW w:w="705" w:type="pct"/>
            <w:shd w:val="clear" w:color="auto" w:fill="auto"/>
            <w:noWrap/>
            <w:vAlign w:val="center"/>
          </w:tcPr>
          <w:p w14:paraId="369A7D40"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0.007</w:t>
            </w:r>
          </w:p>
        </w:tc>
      </w:tr>
      <w:tr w:rsidR="004B57AF" w:rsidRPr="00214987" w14:paraId="097517D4" w14:textId="77777777" w:rsidTr="006A752F">
        <w:trPr>
          <w:trHeight w:val="367"/>
        </w:trPr>
        <w:tc>
          <w:tcPr>
            <w:tcW w:w="1987" w:type="pct"/>
            <w:shd w:val="clear" w:color="auto" w:fill="auto"/>
            <w:noWrap/>
            <w:vAlign w:val="center"/>
            <w:hideMark/>
          </w:tcPr>
          <w:p w14:paraId="3789A240"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Age, median (IQR) - y</w:t>
            </w:r>
          </w:p>
        </w:tc>
        <w:tc>
          <w:tcPr>
            <w:tcW w:w="834" w:type="pct"/>
            <w:shd w:val="clear" w:color="auto" w:fill="auto"/>
            <w:noWrap/>
            <w:vAlign w:val="center"/>
            <w:hideMark/>
          </w:tcPr>
          <w:p w14:paraId="362251A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52 (18.5)</w:t>
            </w:r>
          </w:p>
        </w:tc>
        <w:tc>
          <w:tcPr>
            <w:tcW w:w="321" w:type="pct"/>
            <w:shd w:val="clear" w:color="auto" w:fill="auto"/>
            <w:noWrap/>
            <w:vAlign w:val="center"/>
            <w:hideMark/>
          </w:tcPr>
          <w:p w14:paraId="5DA477A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833" w:type="pct"/>
            <w:shd w:val="clear" w:color="auto" w:fill="auto"/>
            <w:noWrap/>
            <w:vAlign w:val="center"/>
          </w:tcPr>
          <w:p w14:paraId="7C33E5F2"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54.5 (25)</w:t>
            </w:r>
          </w:p>
        </w:tc>
        <w:tc>
          <w:tcPr>
            <w:tcW w:w="320" w:type="pct"/>
            <w:shd w:val="clear" w:color="auto" w:fill="auto"/>
            <w:noWrap/>
            <w:vAlign w:val="center"/>
          </w:tcPr>
          <w:p w14:paraId="6E095D10"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05" w:type="pct"/>
            <w:shd w:val="clear" w:color="auto" w:fill="auto"/>
            <w:noWrap/>
            <w:vAlign w:val="center"/>
          </w:tcPr>
          <w:p w14:paraId="78441B3B"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0.643</w:t>
            </w:r>
          </w:p>
        </w:tc>
      </w:tr>
      <w:tr w:rsidR="004B57AF" w:rsidRPr="00214987" w14:paraId="4B352930" w14:textId="77777777" w:rsidTr="006A752F">
        <w:trPr>
          <w:trHeight w:val="359"/>
        </w:trPr>
        <w:tc>
          <w:tcPr>
            <w:tcW w:w="1987" w:type="pct"/>
            <w:shd w:val="clear" w:color="auto" w:fill="auto"/>
            <w:noWrap/>
            <w:vAlign w:val="center"/>
          </w:tcPr>
          <w:p w14:paraId="6C1FDAE8"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p>
        </w:tc>
        <w:tc>
          <w:tcPr>
            <w:tcW w:w="834" w:type="pct"/>
            <w:shd w:val="clear" w:color="auto" w:fill="auto"/>
            <w:noWrap/>
            <w:vAlign w:val="center"/>
          </w:tcPr>
          <w:p w14:paraId="1D1DEDA5"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Percentage (N)</w:t>
            </w:r>
          </w:p>
        </w:tc>
        <w:tc>
          <w:tcPr>
            <w:tcW w:w="321" w:type="pct"/>
            <w:shd w:val="clear" w:color="auto" w:fill="auto"/>
            <w:noWrap/>
            <w:vAlign w:val="center"/>
          </w:tcPr>
          <w:p w14:paraId="2032940E"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Missing</w:t>
            </w:r>
          </w:p>
        </w:tc>
        <w:tc>
          <w:tcPr>
            <w:tcW w:w="833" w:type="pct"/>
            <w:shd w:val="clear" w:color="auto" w:fill="auto"/>
            <w:noWrap/>
            <w:vAlign w:val="center"/>
          </w:tcPr>
          <w:p w14:paraId="169F789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Percentage (N)</w:t>
            </w:r>
          </w:p>
        </w:tc>
        <w:tc>
          <w:tcPr>
            <w:tcW w:w="320" w:type="pct"/>
            <w:shd w:val="clear" w:color="auto" w:fill="auto"/>
            <w:noWrap/>
            <w:vAlign w:val="center"/>
          </w:tcPr>
          <w:p w14:paraId="7EE2363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Missing</w:t>
            </w:r>
          </w:p>
        </w:tc>
        <w:tc>
          <w:tcPr>
            <w:tcW w:w="705" w:type="pct"/>
            <w:shd w:val="clear" w:color="auto" w:fill="auto"/>
            <w:noWrap/>
            <w:vAlign w:val="center"/>
          </w:tcPr>
          <w:p w14:paraId="47468B09"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P-value</w:t>
            </w:r>
          </w:p>
        </w:tc>
      </w:tr>
      <w:tr w:rsidR="004B57AF" w:rsidRPr="00214987" w14:paraId="2B92EDD9" w14:textId="77777777" w:rsidTr="006A752F">
        <w:trPr>
          <w:trHeight w:val="387"/>
        </w:trPr>
        <w:tc>
          <w:tcPr>
            <w:tcW w:w="1987" w:type="pct"/>
            <w:shd w:val="clear" w:color="auto" w:fill="auto"/>
            <w:noWrap/>
            <w:vAlign w:val="center"/>
          </w:tcPr>
          <w:p w14:paraId="5179F512"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Multiple AHE (&gt;1), Yes </w:t>
            </w:r>
            <w:r w:rsidRPr="004B57AF">
              <w:rPr>
                <w:rFonts w:ascii="Arial" w:eastAsia="Times New Roman" w:hAnsi="Arial" w:cs="Arial"/>
                <w:noProof/>
                <w:sz w:val="20"/>
                <w:szCs w:val="20"/>
                <w:vertAlign w:val="superscript"/>
                <w:lang w:val="en-US" w:eastAsia="en-MY"/>
              </w:rPr>
              <w:t>a,b</w:t>
            </w:r>
          </w:p>
        </w:tc>
        <w:tc>
          <w:tcPr>
            <w:tcW w:w="834" w:type="pct"/>
            <w:shd w:val="clear" w:color="auto" w:fill="auto"/>
            <w:noWrap/>
            <w:vAlign w:val="center"/>
          </w:tcPr>
          <w:p w14:paraId="4EBB9D30"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31.3% (30) </w:t>
            </w:r>
          </w:p>
        </w:tc>
        <w:tc>
          <w:tcPr>
            <w:tcW w:w="321" w:type="pct"/>
            <w:shd w:val="clear" w:color="auto" w:fill="auto"/>
            <w:noWrap/>
            <w:vAlign w:val="center"/>
          </w:tcPr>
          <w:p w14:paraId="0E8A18A0"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9</w:t>
            </w:r>
          </w:p>
        </w:tc>
        <w:tc>
          <w:tcPr>
            <w:tcW w:w="833" w:type="pct"/>
            <w:shd w:val="clear" w:color="auto" w:fill="auto"/>
            <w:noWrap/>
            <w:vAlign w:val="center"/>
          </w:tcPr>
          <w:p w14:paraId="488644B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24.3% (43) </w:t>
            </w:r>
          </w:p>
        </w:tc>
        <w:tc>
          <w:tcPr>
            <w:tcW w:w="320" w:type="pct"/>
            <w:shd w:val="clear" w:color="auto" w:fill="auto"/>
            <w:noWrap/>
            <w:vAlign w:val="center"/>
          </w:tcPr>
          <w:p w14:paraId="62083910"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5</w:t>
            </w:r>
          </w:p>
        </w:tc>
        <w:tc>
          <w:tcPr>
            <w:tcW w:w="705" w:type="pct"/>
            <w:shd w:val="clear" w:color="auto" w:fill="auto"/>
            <w:noWrap/>
            <w:vAlign w:val="center"/>
          </w:tcPr>
          <w:p w14:paraId="7082074E"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0.215</w:t>
            </w:r>
          </w:p>
        </w:tc>
      </w:tr>
      <w:tr w:rsidR="004B57AF" w:rsidRPr="00214987" w14:paraId="5E04EFD7" w14:textId="77777777" w:rsidTr="006A752F">
        <w:trPr>
          <w:trHeight w:val="280"/>
        </w:trPr>
        <w:tc>
          <w:tcPr>
            <w:tcW w:w="1987" w:type="pct"/>
            <w:shd w:val="clear" w:color="auto" w:fill="auto"/>
            <w:noWrap/>
            <w:vAlign w:val="center"/>
          </w:tcPr>
          <w:p w14:paraId="3EBB5D39"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On Maintenance OCS at baseline, Yes </w:t>
            </w:r>
            <w:r w:rsidRPr="004B57AF">
              <w:rPr>
                <w:rFonts w:ascii="Arial" w:eastAsia="Times New Roman" w:hAnsi="Arial" w:cs="Arial"/>
                <w:noProof/>
                <w:sz w:val="20"/>
                <w:szCs w:val="20"/>
                <w:vertAlign w:val="superscript"/>
                <w:lang w:val="en-US" w:eastAsia="en-MY"/>
              </w:rPr>
              <w:t>b,c</w:t>
            </w:r>
          </w:p>
        </w:tc>
        <w:tc>
          <w:tcPr>
            <w:tcW w:w="834" w:type="pct"/>
            <w:shd w:val="clear" w:color="auto" w:fill="auto"/>
            <w:noWrap/>
            <w:vAlign w:val="center"/>
          </w:tcPr>
          <w:p w14:paraId="34F420C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47.6% (50) </w:t>
            </w:r>
          </w:p>
        </w:tc>
        <w:tc>
          <w:tcPr>
            <w:tcW w:w="321" w:type="pct"/>
            <w:shd w:val="clear" w:color="auto" w:fill="auto"/>
            <w:noWrap/>
            <w:vAlign w:val="center"/>
          </w:tcPr>
          <w:p w14:paraId="149B7B8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833" w:type="pct"/>
            <w:shd w:val="clear" w:color="auto" w:fill="auto"/>
            <w:noWrap/>
            <w:vAlign w:val="center"/>
          </w:tcPr>
          <w:p w14:paraId="4AB1CD44"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 xml:space="preserve">30.6% (53) </w:t>
            </w:r>
          </w:p>
        </w:tc>
        <w:tc>
          <w:tcPr>
            <w:tcW w:w="320" w:type="pct"/>
            <w:shd w:val="clear" w:color="auto" w:fill="auto"/>
            <w:noWrap/>
            <w:vAlign w:val="center"/>
          </w:tcPr>
          <w:p w14:paraId="221C818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705" w:type="pct"/>
            <w:shd w:val="clear" w:color="auto" w:fill="auto"/>
            <w:noWrap/>
            <w:vAlign w:val="center"/>
          </w:tcPr>
          <w:p w14:paraId="3AA1A0A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0.004</w:t>
            </w:r>
          </w:p>
        </w:tc>
      </w:tr>
      <w:tr w:rsidR="004B57AF" w:rsidRPr="00214987" w14:paraId="3BA5C304" w14:textId="77777777" w:rsidTr="006A752F">
        <w:trPr>
          <w:trHeight w:val="280"/>
        </w:trPr>
        <w:tc>
          <w:tcPr>
            <w:tcW w:w="1987" w:type="pct"/>
            <w:shd w:val="clear" w:color="auto" w:fill="auto"/>
            <w:noWrap/>
            <w:vAlign w:val="center"/>
            <w:hideMark/>
          </w:tcPr>
          <w:p w14:paraId="7E71E936"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Adult-onset asthma, Yes</w:t>
            </w:r>
          </w:p>
        </w:tc>
        <w:tc>
          <w:tcPr>
            <w:tcW w:w="834" w:type="pct"/>
            <w:shd w:val="clear" w:color="auto" w:fill="auto"/>
            <w:noWrap/>
            <w:vAlign w:val="center"/>
            <w:hideMark/>
          </w:tcPr>
          <w:p w14:paraId="730CC236"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37.6% (38)</w:t>
            </w:r>
          </w:p>
        </w:tc>
        <w:tc>
          <w:tcPr>
            <w:tcW w:w="321" w:type="pct"/>
            <w:shd w:val="clear" w:color="auto" w:fill="auto"/>
            <w:noWrap/>
            <w:vAlign w:val="center"/>
            <w:hideMark/>
          </w:tcPr>
          <w:p w14:paraId="4B838CB9"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w:t>
            </w:r>
          </w:p>
        </w:tc>
        <w:tc>
          <w:tcPr>
            <w:tcW w:w="833" w:type="pct"/>
            <w:shd w:val="clear" w:color="auto" w:fill="auto"/>
            <w:noWrap/>
            <w:vAlign w:val="center"/>
          </w:tcPr>
          <w:p w14:paraId="2FC240CE"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52.7% (89)</w:t>
            </w:r>
          </w:p>
        </w:tc>
        <w:tc>
          <w:tcPr>
            <w:tcW w:w="320" w:type="pct"/>
            <w:shd w:val="clear" w:color="auto" w:fill="auto"/>
            <w:noWrap/>
            <w:vAlign w:val="center"/>
          </w:tcPr>
          <w:p w14:paraId="4A3CF441"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9</w:t>
            </w:r>
          </w:p>
        </w:tc>
        <w:tc>
          <w:tcPr>
            <w:tcW w:w="705" w:type="pct"/>
            <w:shd w:val="clear" w:color="auto" w:fill="auto"/>
            <w:noWrap/>
            <w:vAlign w:val="center"/>
          </w:tcPr>
          <w:p w14:paraId="1F733E2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0.017</w:t>
            </w:r>
          </w:p>
        </w:tc>
      </w:tr>
      <w:tr w:rsidR="004B57AF" w:rsidRPr="00214987" w14:paraId="0FCBC9F3" w14:textId="77777777" w:rsidTr="006A752F">
        <w:trPr>
          <w:trHeight w:val="280"/>
        </w:trPr>
        <w:tc>
          <w:tcPr>
            <w:tcW w:w="1987" w:type="pct"/>
            <w:shd w:val="clear" w:color="auto" w:fill="auto"/>
            <w:noWrap/>
            <w:vAlign w:val="center"/>
          </w:tcPr>
          <w:p w14:paraId="61374C2A"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Sex, Male </w:t>
            </w:r>
          </w:p>
        </w:tc>
        <w:tc>
          <w:tcPr>
            <w:tcW w:w="834" w:type="pct"/>
            <w:shd w:val="clear" w:color="auto" w:fill="auto"/>
            <w:noWrap/>
            <w:vAlign w:val="center"/>
          </w:tcPr>
          <w:p w14:paraId="2171CDB0"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33.3% (35)</w:t>
            </w:r>
          </w:p>
        </w:tc>
        <w:tc>
          <w:tcPr>
            <w:tcW w:w="321" w:type="pct"/>
            <w:shd w:val="clear" w:color="auto" w:fill="auto"/>
            <w:noWrap/>
            <w:vAlign w:val="center"/>
          </w:tcPr>
          <w:p w14:paraId="25EC9807"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833" w:type="pct"/>
            <w:shd w:val="clear" w:color="auto" w:fill="auto"/>
            <w:noWrap/>
            <w:vAlign w:val="center"/>
          </w:tcPr>
          <w:p w14:paraId="1411591A"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29.8% (53)</w:t>
            </w:r>
          </w:p>
        </w:tc>
        <w:tc>
          <w:tcPr>
            <w:tcW w:w="320" w:type="pct"/>
            <w:shd w:val="clear" w:color="auto" w:fill="auto"/>
            <w:noWrap/>
            <w:vAlign w:val="center"/>
          </w:tcPr>
          <w:p w14:paraId="789408E4"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05" w:type="pct"/>
            <w:shd w:val="clear" w:color="auto" w:fill="auto"/>
            <w:noWrap/>
            <w:vAlign w:val="center"/>
          </w:tcPr>
          <w:p w14:paraId="622619D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0.532</w:t>
            </w:r>
          </w:p>
        </w:tc>
      </w:tr>
      <w:tr w:rsidR="004B57AF" w:rsidRPr="00214987" w14:paraId="201E2D0F" w14:textId="77777777" w:rsidTr="006A752F">
        <w:trPr>
          <w:trHeight w:val="280"/>
        </w:trPr>
        <w:tc>
          <w:tcPr>
            <w:tcW w:w="1987" w:type="pct"/>
            <w:shd w:val="clear" w:color="auto" w:fill="auto"/>
            <w:noWrap/>
            <w:vAlign w:val="center"/>
          </w:tcPr>
          <w:p w14:paraId="180F30FE"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Ethnicity, White</w:t>
            </w:r>
          </w:p>
        </w:tc>
        <w:tc>
          <w:tcPr>
            <w:tcW w:w="834" w:type="pct"/>
            <w:shd w:val="clear" w:color="auto" w:fill="auto"/>
            <w:noWrap/>
            <w:vAlign w:val="center"/>
          </w:tcPr>
          <w:p w14:paraId="19D73F3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87.6% (92)</w:t>
            </w:r>
          </w:p>
        </w:tc>
        <w:tc>
          <w:tcPr>
            <w:tcW w:w="321" w:type="pct"/>
            <w:shd w:val="clear" w:color="auto" w:fill="auto"/>
            <w:noWrap/>
            <w:vAlign w:val="center"/>
          </w:tcPr>
          <w:p w14:paraId="71A0EAA2"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833" w:type="pct"/>
            <w:shd w:val="clear" w:color="auto" w:fill="auto"/>
            <w:noWrap/>
            <w:vAlign w:val="center"/>
          </w:tcPr>
          <w:p w14:paraId="1CFE45A6"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94.9% (169)</w:t>
            </w:r>
          </w:p>
        </w:tc>
        <w:tc>
          <w:tcPr>
            <w:tcW w:w="320" w:type="pct"/>
            <w:shd w:val="clear" w:color="auto" w:fill="auto"/>
            <w:noWrap/>
            <w:vAlign w:val="center"/>
          </w:tcPr>
          <w:p w14:paraId="61C2AE38"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05" w:type="pct"/>
            <w:shd w:val="clear" w:color="auto" w:fill="auto"/>
            <w:noWrap/>
            <w:vAlign w:val="center"/>
          </w:tcPr>
          <w:p w14:paraId="04A28E0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0.026</w:t>
            </w:r>
          </w:p>
        </w:tc>
      </w:tr>
      <w:tr w:rsidR="004B57AF" w:rsidRPr="00214987" w14:paraId="3F96E097" w14:textId="77777777" w:rsidTr="006A752F">
        <w:trPr>
          <w:trHeight w:val="280"/>
        </w:trPr>
        <w:tc>
          <w:tcPr>
            <w:tcW w:w="1987" w:type="pct"/>
            <w:shd w:val="clear" w:color="auto" w:fill="auto"/>
            <w:noWrap/>
            <w:vAlign w:val="center"/>
          </w:tcPr>
          <w:p w14:paraId="40B34E9F"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Rhinitis, Ever </w:t>
            </w:r>
          </w:p>
        </w:tc>
        <w:tc>
          <w:tcPr>
            <w:tcW w:w="834" w:type="pct"/>
            <w:shd w:val="clear" w:color="auto" w:fill="auto"/>
            <w:noWrap/>
            <w:vAlign w:val="center"/>
          </w:tcPr>
          <w:p w14:paraId="39DC101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73.6% (64)</w:t>
            </w:r>
          </w:p>
        </w:tc>
        <w:tc>
          <w:tcPr>
            <w:tcW w:w="321" w:type="pct"/>
            <w:shd w:val="clear" w:color="auto" w:fill="auto"/>
            <w:noWrap/>
            <w:vAlign w:val="center"/>
          </w:tcPr>
          <w:p w14:paraId="4A63070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18</w:t>
            </w:r>
          </w:p>
        </w:tc>
        <w:tc>
          <w:tcPr>
            <w:tcW w:w="833" w:type="pct"/>
            <w:shd w:val="clear" w:color="auto" w:fill="auto"/>
            <w:noWrap/>
            <w:vAlign w:val="center"/>
          </w:tcPr>
          <w:p w14:paraId="6592B40B"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60.1% (95)</w:t>
            </w:r>
          </w:p>
        </w:tc>
        <w:tc>
          <w:tcPr>
            <w:tcW w:w="320" w:type="pct"/>
            <w:shd w:val="clear" w:color="auto" w:fill="auto"/>
            <w:noWrap/>
            <w:vAlign w:val="center"/>
          </w:tcPr>
          <w:p w14:paraId="481207F3"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10</w:t>
            </w:r>
          </w:p>
        </w:tc>
        <w:tc>
          <w:tcPr>
            <w:tcW w:w="705" w:type="pct"/>
            <w:shd w:val="clear" w:color="auto" w:fill="auto"/>
            <w:noWrap/>
            <w:vAlign w:val="center"/>
          </w:tcPr>
          <w:p w14:paraId="76C7DC13"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0.035</w:t>
            </w:r>
          </w:p>
        </w:tc>
      </w:tr>
      <w:tr w:rsidR="004B57AF" w:rsidRPr="00214987" w14:paraId="670F14FF" w14:textId="77777777" w:rsidTr="006A752F">
        <w:trPr>
          <w:trHeight w:val="280"/>
        </w:trPr>
        <w:tc>
          <w:tcPr>
            <w:tcW w:w="1987" w:type="pct"/>
            <w:shd w:val="clear" w:color="auto" w:fill="auto"/>
            <w:noWrap/>
            <w:vAlign w:val="center"/>
          </w:tcPr>
          <w:p w14:paraId="1A32CA37"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GORD, Ever </w:t>
            </w:r>
          </w:p>
        </w:tc>
        <w:tc>
          <w:tcPr>
            <w:tcW w:w="834" w:type="pct"/>
            <w:shd w:val="clear" w:color="auto" w:fill="auto"/>
            <w:noWrap/>
            <w:vAlign w:val="center"/>
          </w:tcPr>
          <w:p w14:paraId="29844CCA"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64.4% (67)</w:t>
            </w:r>
          </w:p>
        </w:tc>
        <w:tc>
          <w:tcPr>
            <w:tcW w:w="321" w:type="pct"/>
            <w:shd w:val="clear" w:color="auto" w:fill="auto"/>
            <w:noWrap/>
            <w:vAlign w:val="center"/>
          </w:tcPr>
          <w:p w14:paraId="5382ACAF"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833" w:type="pct"/>
            <w:shd w:val="clear" w:color="auto" w:fill="auto"/>
            <w:noWrap/>
            <w:vAlign w:val="center"/>
          </w:tcPr>
          <w:p w14:paraId="1625A461"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65.3% (111)</w:t>
            </w:r>
          </w:p>
        </w:tc>
        <w:tc>
          <w:tcPr>
            <w:tcW w:w="320" w:type="pct"/>
            <w:shd w:val="clear" w:color="auto" w:fill="auto"/>
            <w:noWrap/>
            <w:vAlign w:val="center"/>
          </w:tcPr>
          <w:p w14:paraId="3D1FE1A6"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8</w:t>
            </w:r>
          </w:p>
        </w:tc>
        <w:tc>
          <w:tcPr>
            <w:tcW w:w="705" w:type="pct"/>
            <w:shd w:val="clear" w:color="auto" w:fill="auto"/>
            <w:noWrap/>
            <w:vAlign w:val="center"/>
          </w:tcPr>
          <w:p w14:paraId="0B2070EE"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0.883</w:t>
            </w:r>
          </w:p>
        </w:tc>
      </w:tr>
      <w:tr w:rsidR="004B57AF" w:rsidRPr="00214987" w14:paraId="5DE19D2E" w14:textId="77777777" w:rsidTr="006A752F">
        <w:trPr>
          <w:trHeight w:val="280"/>
        </w:trPr>
        <w:tc>
          <w:tcPr>
            <w:tcW w:w="1987" w:type="pct"/>
            <w:shd w:val="clear" w:color="auto" w:fill="auto"/>
            <w:noWrap/>
            <w:vAlign w:val="center"/>
          </w:tcPr>
          <w:p w14:paraId="48A576A5"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Smoking, Ever </w:t>
            </w:r>
          </w:p>
        </w:tc>
        <w:tc>
          <w:tcPr>
            <w:tcW w:w="834" w:type="pct"/>
            <w:shd w:val="clear" w:color="auto" w:fill="auto"/>
            <w:noWrap/>
            <w:vAlign w:val="center"/>
          </w:tcPr>
          <w:p w14:paraId="0EC56306"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43.8% (46)</w:t>
            </w:r>
          </w:p>
        </w:tc>
        <w:tc>
          <w:tcPr>
            <w:tcW w:w="321" w:type="pct"/>
            <w:shd w:val="clear" w:color="auto" w:fill="auto"/>
            <w:noWrap/>
            <w:vAlign w:val="center"/>
          </w:tcPr>
          <w:p w14:paraId="457490CE"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833" w:type="pct"/>
            <w:shd w:val="clear" w:color="auto" w:fill="auto"/>
            <w:noWrap/>
            <w:vAlign w:val="center"/>
          </w:tcPr>
          <w:p w14:paraId="6387EF4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47.5% (84)</w:t>
            </w:r>
          </w:p>
        </w:tc>
        <w:tc>
          <w:tcPr>
            <w:tcW w:w="320" w:type="pct"/>
            <w:shd w:val="clear" w:color="auto" w:fill="auto"/>
            <w:noWrap/>
            <w:vAlign w:val="center"/>
          </w:tcPr>
          <w:p w14:paraId="70F3AEBD"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705" w:type="pct"/>
            <w:shd w:val="clear" w:color="auto" w:fill="auto"/>
            <w:noWrap/>
            <w:vAlign w:val="center"/>
          </w:tcPr>
          <w:p w14:paraId="4F83861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0.552</w:t>
            </w:r>
          </w:p>
        </w:tc>
      </w:tr>
      <w:tr w:rsidR="004B57AF" w:rsidRPr="00214987" w14:paraId="2F810200" w14:textId="77777777" w:rsidTr="006A752F">
        <w:trPr>
          <w:trHeight w:val="370"/>
        </w:trPr>
        <w:tc>
          <w:tcPr>
            <w:tcW w:w="1987" w:type="pct"/>
            <w:shd w:val="clear" w:color="auto" w:fill="auto"/>
            <w:noWrap/>
            <w:vAlign w:val="center"/>
            <w:hideMark/>
          </w:tcPr>
          <w:p w14:paraId="3357CC32"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Atopy (SPT / sIgE positive) </w:t>
            </w:r>
          </w:p>
        </w:tc>
        <w:tc>
          <w:tcPr>
            <w:tcW w:w="834" w:type="pct"/>
            <w:shd w:val="clear" w:color="auto" w:fill="auto"/>
            <w:noWrap/>
            <w:vAlign w:val="center"/>
            <w:hideMark/>
          </w:tcPr>
          <w:p w14:paraId="4A4175E0"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100% (105)</w:t>
            </w:r>
          </w:p>
        </w:tc>
        <w:tc>
          <w:tcPr>
            <w:tcW w:w="321" w:type="pct"/>
            <w:shd w:val="clear" w:color="auto" w:fill="auto"/>
            <w:noWrap/>
            <w:vAlign w:val="center"/>
            <w:hideMark/>
          </w:tcPr>
          <w:p w14:paraId="4C53F8CD"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833" w:type="pct"/>
            <w:shd w:val="clear" w:color="auto" w:fill="auto"/>
            <w:noWrap/>
            <w:vAlign w:val="center"/>
          </w:tcPr>
          <w:p w14:paraId="53C572B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52.8% (94)</w:t>
            </w:r>
          </w:p>
        </w:tc>
        <w:tc>
          <w:tcPr>
            <w:tcW w:w="320" w:type="pct"/>
            <w:shd w:val="clear" w:color="auto" w:fill="auto"/>
            <w:noWrap/>
            <w:vAlign w:val="center"/>
          </w:tcPr>
          <w:p w14:paraId="58CF9E97"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05" w:type="pct"/>
            <w:shd w:val="clear" w:color="auto" w:fill="auto"/>
            <w:noWrap/>
            <w:vAlign w:val="center"/>
          </w:tcPr>
          <w:p w14:paraId="3003F035"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&lt;0.001</w:t>
            </w:r>
          </w:p>
        </w:tc>
      </w:tr>
      <w:tr w:rsidR="004B57AF" w:rsidRPr="00214987" w14:paraId="3048979E" w14:textId="77777777" w:rsidTr="006A752F">
        <w:trPr>
          <w:trHeight w:val="280"/>
        </w:trPr>
        <w:tc>
          <w:tcPr>
            <w:tcW w:w="1987" w:type="pct"/>
            <w:shd w:val="clear" w:color="auto" w:fill="auto"/>
            <w:noWrap/>
            <w:vAlign w:val="center"/>
          </w:tcPr>
          <w:p w14:paraId="0336890E"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Obesity (BMI≥30kgm</w:t>
            </w:r>
            <w:r w:rsidRPr="004B57AF">
              <w:rPr>
                <w:rFonts w:ascii="Arial" w:eastAsia="Times New Roman" w:hAnsi="Arial" w:cs="Arial"/>
                <w:b/>
                <w:bCs/>
                <w:noProof/>
                <w:sz w:val="20"/>
                <w:szCs w:val="20"/>
                <w:vertAlign w:val="superscript"/>
                <w:lang w:val="en-US" w:eastAsia="en-MY"/>
              </w:rPr>
              <w:t>-2</w:t>
            </w:r>
            <w:r w:rsidRPr="004B57AF">
              <w:rPr>
                <w:rFonts w:ascii="Arial" w:eastAsia="Times New Roman" w:hAnsi="Arial" w:cs="Arial"/>
                <w:b/>
                <w:bCs/>
                <w:noProof/>
                <w:sz w:val="20"/>
                <w:szCs w:val="20"/>
                <w:lang w:val="en-US" w:eastAsia="en-MY"/>
              </w:rPr>
              <w:t xml:space="preserve">), Ever </w:t>
            </w:r>
          </w:p>
        </w:tc>
        <w:tc>
          <w:tcPr>
            <w:tcW w:w="834" w:type="pct"/>
            <w:shd w:val="clear" w:color="auto" w:fill="auto"/>
            <w:noWrap/>
            <w:vAlign w:val="center"/>
          </w:tcPr>
          <w:p w14:paraId="5E348366"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52.4% (55)</w:t>
            </w:r>
          </w:p>
        </w:tc>
        <w:tc>
          <w:tcPr>
            <w:tcW w:w="321" w:type="pct"/>
            <w:shd w:val="clear" w:color="auto" w:fill="auto"/>
            <w:noWrap/>
            <w:vAlign w:val="center"/>
          </w:tcPr>
          <w:p w14:paraId="1FA1CB6E"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833" w:type="pct"/>
            <w:shd w:val="clear" w:color="auto" w:fill="auto"/>
            <w:noWrap/>
            <w:vAlign w:val="center"/>
          </w:tcPr>
          <w:p w14:paraId="038210F5"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52.6% (92)</w:t>
            </w:r>
          </w:p>
        </w:tc>
        <w:tc>
          <w:tcPr>
            <w:tcW w:w="320" w:type="pct"/>
            <w:shd w:val="clear" w:color="auto" w:fill="auto"/>
            <w:noWrap/>
            <w:vAlign w:val="center"/>
          </w:tcPr>
          <w:p w14:paraId="2FD14040"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705" w:type="pct"/>
            <w:shd w:val="clear" w:color="auto" w:fill="auto"/>
            <w:noWrap/>
            <w:vAlign w:val="center"/>
          </w:tcPr>
          <w:p w14:paraId="099AA86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0.975</w:t>
            </w:r>
          </w:p>
        </w:tc>
      </w:tr>
      <w:tr w:rsidR="004B57AF" w:rsidRPr="00214987" w14:paraId="5D53135E" w14:textId="77777777" w:rsidTr="006A752F">
        <w:trPr>
          <w:trHeight w:val="280"/>
        </w:trPr>
        <w:tc>
          <w:tcPr>
            <w:tcW w:w="1987" w:type="pct"/>
            <w:shd w:val="clear" w:color="auto" w:fill="auto"/>
            <w:noWrap/>
            <w:vAlign w:val="center"/>
          </w:tcPr>
          <w:p w14:paraId="6BED5187"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Admitted to ICU for asthma, Ever </w:t>
            </w:r>
          </w:p>
        </w:tc>
        <w:tc>
          <w:tcPr>
            <w:tcW w:w="834" w:type="pct"/>
            <w:shd w:val="clear" w:color="auto" w:fill="auto"/>
            <w:noWrap/>
            <w:vAlign w:val="center"/>
          </w:tcPr>
          <w:p w14:paraId="0A5D8CA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27.9% (29)</w:t>
            </w:r>
          </w:p>
        </w:tc>
        <w:tc>
          <w:tcPr>
            <w:tcW w:w="321" w:type="pct"/>
            <w:shd w:val="clear" w:color="auto" w:fill="auto"/>
            <w:noWrap/>
            <w:vAlign w:val="center"/>
          </w:tcPr>
          <w:p w14:paraId="41EA7A3A"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833" w:type="pct"/>
            <w:shd w:val="clear" w:color="auto" w:fill="auto"/>
            <w:noWrap/>
            <w:vAlign w:val="center"/>
          </w:tcPr>
          <w:p w14:paraId="50F2BB8B"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32.6% (58)</w:t>
            </w:r>
          </w:p>
        </w:tc>
        <w:tc>
          <w:tcPr>
            <w:tcW w:w="320" w:type="pct"/>
            <w:shd w:val="clear" w:color="auto" w:fill="auto"/>
            <w:noWrap/>
            <w:vAlign w:val="center"/>
          </w:tcPr>
          <w:p w14:paraId="0B11A522"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05" w:type="pct"/>
            <w:shd w:val="clear" w:color="auto" w:fill="auto"/>
            <w:noWrap/>
            <w:vAlign w:val="center"/>
          </w:tcPr>
          <w:p w14:paraId="3EF8B07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0.410</w:t>
            </w:r>
          </w:p>
        </w:tc>
      </w:tr>
      <w:tr w:rsidR="004B57AF" w:rsidRPr="00214987" w14:paraId="1F45AB22" w14:textId="77777777" w:rsidTr="006A752F">
        <w:trPr>
          <w:trHeight w:val="295"/>
        </w:trPr>
        <w:tc>
          <w:tcPr>
            <w:tcW w:w="1987" w:type="pct"/>
            <w:shd w:val="clear" w:color="auto" w:fill="auto"/>
            <w:noWrap/>
            <w:vAlign w:val="center"/>
          </w:tcPr>
          <w:p w14:paraId="571ADA49"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Intubated for Asthma, Ever </w:t>
            </w:r>
          </w:p>
        </w:tc>
        <w:tc>
          <w:tcPr>
            <w:tcW w:w="834" w:type="pct"/>
            <w:shd w:val="clear" w:color="auto" w:fill="auto"/>
            <w:noWrap/>
            <w:vAlign w:val="center"/>
          </w:tcPr>
          <w:p w14:paraId="3C34F3E4"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14.4% (15)</w:t>
            </w:r>
          </w:p>
        </w:tc>
        <w:tc>
          <w:tcPr>
            <w:tcW w:w="321" w:type="pct"/>
            <w:shd w:val="clear" w:color="auto" w:fill="auto"/>
            <w:noWrap/>
            <w:vAlign w:val="center"/>
          </w:tcPr>
          <w:p w14:paraId="567D55B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833" w:type="pct"/>
            <w:shd w:val="clear" w:color="auto" w:fill="auto"/>
            <w:noWrap/>
            <w:vAlign w:val="center"/>
          </w:tcPr>
          <w:p w14:paraId="05A0491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17.4% (31)</w:t>
            </w:r>
          </w:p>
        </w:tc>
        <w:tc>
          <w:tcPr>
            <w:tcW w:w="320" w:type="pct"/>
            <w:shd w:val="clear" w:color="auto" w:fill="auto"/>
            <w:noWrap/>
            <w:vAlign w:val="center"/>
          </w:tcPr>
          <w:p w14:paraId="71219DBF"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05" w:type="pct"/>
            <w:shd w:val="clear" w:color="auto" w:fill="auto"/>
            <w:noWrap/>
            <w:vAlign w:val="center"/>
          </w:tcPr>
          <w:p w14:paraId="31AD9BC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0.512</w:t>
            </w:r>
          </w:p>
        </w:tc>
      </w:tr>
      <w:tr w:rsidR="004B57AF" w:rsidRPr="00214987" w14:paraId="0691A5CD" w14:textId="77777777" w:rsidTr="006A752F">
        <w:trPr>
          <w:trHeight w:val="241"/>
        </w:trPr>
        <w:tc>
          <w:tcPr>
            <w:tcW w:w="1987" w:type="pct"/>
            <w:shd w:val="clear" w:color="auto" w:fill="auto"/>
            <w:noWrap/>
            <w:vAlign w:val="center"/>
          </w:tcPr>
          <w:p w14:paraId="4EC2EC07"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Dysfunctional breathing, Ever</w:t>
            </w:r>
          </w:p>
        </w:tc>
        <w:tc>
          <w:tcPr>
            <w:tcW w:w="834" w:type="pct"/>
            <w:shd w:val="clear" w:color="auto" w:fill="auto"/>
            <w:noWrap/>
            <w:vAlign w:val="center"/>
          </w:tcPr>
          <w:p w14:paraId="26E5969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51.5% (51)</w:t>
            </w:r>
          </w:p>
        </w:tc>
        <w:tc>
          <w:tcPr>
            <w:tcW w:w="321" w:type="pct"/>
            <w:shd w:val="clear" w:color="auto" w:fill="auto"/>
            <w:noWrap/>
            <w:vAlign w:val="center"/>
          </w:tcPr>
          <w:p w14:paraId="50D00F94"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6</w:t>
            </w:r>
          </w:p>
        </w:tc>
        <w:tc>
          <w:tcPr>
            <w:tcW w:w="833" w:type="pct"/>
            <w:shd w:val="clear" w:color="auto" w:fill="auto"/>
            <w:noWrap/>
            <w:vAlign w:val="center"/>
          </w:tcPr>
          <w:p w14:paraId="62BF39C6"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55.1% (92)</w:t>
            </w:r>
          </w:p>
        </w:tc>
        <w:tc>
          <w:tcPr>
            <w:tcW w:w="320" w:type="pct"/>
            <w:shd w:val="clear" w:color="auto" w:fill="auto"/>
            <w:noWrap/>
            <w:vAlign w:val="center"/>
          </w:tcPr>
          <w:p w14:paraId="5D18396B"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11</w:t>
            </w:r>
          </w:p>
        </w:tc>
        <w:tc>
          <w:tcPr>
            <w:tcW w:w="705" w:type="pct"/>
            <w:shd w:val="clear" w:color="auto" w:fill="auto"/>
            <w:noWrap/>
            <w:vAlign w:val="center"/>
          </w:tcPr>
          <w:p w14:paraId="055FAB92"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0.572</w:t>
            </w:r>
          </w:p>
        </w:tc>
      </w:tr>
      <w:tr w:rsidR="004B57AF" w:rsidRPr="00214987" w14:paraId="3A181DA2" w14:textId="77777777" w:rsidTr="006A752F">
        <w:trPr>
          <w:trHeight w:val="218"/>
        </w:trPr>
        <w:tc>
          <w:tcPr>
            <w:tcW w:w="1987" w:type="pct"/>
            <w:shd w:val="clear" w:color="auto" w:fill="auto"/>
            <w:noWrap/>
            <w:vAlign w:val="center"/>
          </w:tcPr>
          <w:p w14:paraId="1C9267E4"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ILO, Ever </w:t>
            </w:r>
          </w:p>
        </w:tc>
        <w:tc>
          <w:tcPr>
            <w:tcW w:w="834" w:type="pct"/>
            <w:shd w:val="clear" w:color="auto" w:fill="auto"/>
            <w:noWrap/>
            <w:vAlign w:val="center"/>
          </w:tcPr>
          <w:p w14:paraId="37A85512"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19.4% (18)</w:t>
            </w:r>
          </w:p>
        </w:tc>
        <w:tc>
          <w:tcPr>
            <w:tcW w:w="321" w:type="pct"/>
            <w:shd w:val="clear" w:color="auto" w:fill="auto"/>
            <w:noWrap/>
            <w:vAlign w:val="center"/>
          </w:tcPr>
          <w:p w14:paraId="4FD452B4"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12</w:t>
            </w:r>
          </w:p>
        </w:tc>
        <w:tc>
          <w:tcPr>
            <w:tcW w:w="833" w:type="pct"/>
            <w:shd w:val="clear" w:color="auto" w:fill="auto"/>
            <w:noWrap/>
            <w:vAlign w:val="center"/>
          </w:tcPr>
          <w:p w14:paraId="779A9E4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13.2% 921)</w:t>
            </w:r>
          </w:p>
        </w:tc>
        <w:tc>
          <w:tcPr>
            <w:tcW w:w="320" w:type="pct"/>
            <w:shd w:val="clear" w:color="auto" w:fill="auto"/>
            <w:noWrap/>
            <w:vAlign w:val="center"/>
          </w:tcPr>
          <w:p w14:paraId="01B82288"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19</w:t>
            </w:r>
          </w:p>
        </w:tc>
        <w:tc>
          <w:tcPr>
            <w:tcW w:w="705" w:type="pct"/>
            <w:shd w:val="clear" w:color="auto" w:fill="auto"/>
            <w:noWrap/>
            <w:vAlign w:val="center"/>
          </w:tcPr>
          <w:p w14:paraId="10116931"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0.193</w:t>
            </w:r>
          </w:p>
        </w:tc>
      </w:tr>
      <w:tr w:rsidR="004B57AF" w:rsidRPr="00214987" w14:paraId="13CB43B8" w14:textId="77777777" w:rsidTr="006A752F">
        <w:trPr>
          <w:trHeight w:val="280"/>
        </w:trPr>
        <w:tc>
          <w:tcPr>
            <w:tcW w:w="1987" w:type="pct"/>
            <w:shd w:val="clear" w:color="auto" w:fill="auto"/>
            <w:noWrap/>
            <w:vAlign w:val="center"/>
          </w:tcPr>
          <w:p w14:paraId="4A359EE7"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Depression, Ever </w:t>
            </w:r>
          </w:p>
        </w:tc>
        <w:tc>
          <w:tcPr>
            <w:tcW w:w="834" w:type="pct"/>
            <w:shd w:val="clear" w:color="auto" w:fill="auto"/>
            <w:noWrap/>
            <w:vAlign w:val="center"/>
          </w:tcPr>
          <w:p w14:paraId="061DCF9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31.9% (29)</w:t>
            </w:r>
          </w:p>
        </w:tc>
        <w:tc>
          <w:tcPr>
            <w:tcW w:w="321" w:type="pct"/>
            <w:shd w:val="clear" w:color="auto" w:fill="auto"/>
            <w:noWrap/>
            <w:vAlign w:val="center"/>
          </w:tcPr>
          <w:p w14:paraId="40B1E597"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14</w:t>
            </w:r>
          </w:p>
        </w:tc>
        <w:tc>
          <w:tcPr>
            <w:tcW w:w="833" w:type="pct"/>
            <w:shd w:val="clear" w:color="auto" w:fill="auto"/>
            <w:noWrap/>
            <w:vAlign w:val="center"/>
          </w:tcPr>
          <w:p w14:paraId="07706758"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42.8% (68)</w:t>
            </w:r>
          </w:p>
        </w:tc>
        <w:tc>
          <w:tcPr>
            <w:tcW w:w="320" w:type="pct"/>
            <w:shd w:val="clear" w:color="auto" w:fill="auto"/>
            <w:noWrap/>
            <w:vAlign w:val="center"/>
          </w:tcPr>
          <w:p w14:paraId="7E395449"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19</w:t>
            </w:r>
          </w:p>
        </w:tc>
        <w:tc>
          <w:tcPr>
            <w:tcW w:w="705" w:type="pct"/>
            <w:shd w:val="clear" w:color="auto" w:fill="auto"/>
            <w:noWrap/>
            <w:vAlign w:val="center"/>
          </w:tcPr>
          <w:p w14:paraId="786372F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0.089</w:t>
            </w:r>
          </w:p>
        </w:tc>
      </w:tr>
      <w:tr w:rsidR="004B57AF" w:rsidRPr="00214987" w14:paraId="6E3715E6" w14:textId="77777777" w:rsidTr="006A752F">
        <w:trPr>
          <w:trHeight w:val="280"/>
        </w:trPr>
        <w:tc>
          <w:tcPr>
            <w:tcW w:w="1987" w:type="pct"/>
            <w:shd w:val="clear" w:color="auto" w:fill="auto"/>
            <w:noWrap/>
            <w:vAlign w:val="center"/>
          </w:tcPr>
          <w:p w14:paraId="77F1B66B"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Anxiety, Ever </w:t>
            </w:r>
          </w:p>
        </w:tc>
        <w:tc>
          <w:tcPr>
            <w:tcW w:w="834" w:type="pct"/>
            <w:shd w:val="clear" w:color="auto" w:fill="auto"/>
            <w:noWrap/>
            <w:vAlign w:val="center"/>
          </w:tcPr>
          <w:p w14:paraId="0EF01924"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30.8% (28)</w:t>
            </w:r>
          </w:p>
        </w:tc>
        <w:tc>
          <w:tcPr>
            <w:tcW w:w="321" w:type="pct"/>
            <w:shd w:val="clear" w:color="auto" w:fill="auto"/>
            <w:noWrap/>
            <w:vAlign w:val="center"/>
          </w:tcPr>
          <w:p w14:paraId="2C012DB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14</w:t>
            </w:r>
          </w:p>
        </w:tc>
        <w:tc>
          <w:tcPr>
            <w:tcW w:w="833" w:type="pct"/>
            <w:shd w:val="clear" w:color="auto" w:fill="auto"/>
            <w:noWrap/>
            <w:vAlign w:val="center"/>
          </w:tcPr>
          <w:p w14:paraId="586CAFC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38.0% (60)</w:t>
            </w:r>
          </w:p>
        </w:tc>
        <w:tc>
          <w:tcPr>
            <w:tcW w:w="320" w:type="pct"/>
            <w:shd w:val="clear" w:color="auto" w:fill="auto"/>
            <w:noWrap/>
            <w:vAlign w:val="center"/>
          </w:tcPr>
          <w:p w14:paraId="5CA0505D"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19</w:t>
            </w:r>
          </w:p>
        </w:tc>
        <w:tc>
          <w:tcPr>
            <w:tcW w:w="705" w:type="pct"/>
            <w:shd w:val="clear" w:color="auto" w:fill="auto"/>
            <w:noWrap/>
            <w:vAlign w:val="center"/>
          </w:tcPr>
          <w:p w14:paraId="0D37EF48"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0.252</w:t>
            </w:r>
          </w:p>
        </w:tc>
      </w:tr>
      <w:tr w:rsidR="004B57AF" w:rsidRPr="00214987" w14:paraId="64EA043F" w14:textId="77777777" w:rsidTr="006A752F">
        <w:trPr>
          <w:trHeight w:val="280"/>
        </w:trPr>
        <w:tc>
          <w:tcPr>
            <w:tcW w:w="1987" w:type="pct"/>
            <w:shd w:val="clear" w:color="auto" w:fill="auto"/>
            <w:noWrap/>
            <w:vAlign w:val="center"/>
          </w:tcPr>
          <w:p w14:paraId="52500653"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Bronchiectasis, Ever </w:t>
            </w:r>
          </w:p>
        </w:tc>
        <w:tc>
          <w:tcPr>
            <w:tcW w:w="834" w:type="pct"/>
            <w:shd w:val="clear" w:color="auto" w:fill="auto"/>
            <w:noWrap/>
            <w:vAlign w:val="center"/>
          </w:tcPr>
          <w:p w14:paraId="630F7C0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15.5% (16)</w:t>
            </w:r>
          </w:p>
        </w:tc>
        <w:tc>
          <w:tcPr>
            <w:tcW w:w="321" w:type="pct"/>
            <w:shd w:val="clear" w:color="auto" w:fill="auto"/>
            <w:noWrap/>
            <w:vAlign w:val="center"/>
          </w:tcPr>
          <w:p w14:paraId="641655F6"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833" w:type="pct"/>
            <w:shd w:val="clear" w:color="auto" w:fill="auto"/>
            <w:noWrap/>
            <w:vAlign w:val="center"/>
          </w:tcPr>
          <w:p w14:paraId="6DE9E4F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14.2% (25)</w:t>
            </w:r>
          </w:p>
        </w:tc>
        <w:tc>
          <w:tcPr>
            <w:tcW w:w="320" w:type="pct"/>
            <w:shd w:val="clear" w:color="auto" w:fill="auto"/>
            <w:noWrap/>
            <w:vAlign w:val="center"/>
          </w:tcPr>
          <w:p w14:paraId="4102B01A"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705" w:type="pct"/>
            <w:shd w:val="clear" w:color="auto" w:fill="auto"/>
            <w:noWrap/>
            <w:vAlign w:val="center"/>
          </w:tcPr>
          <w:p w14:paraId="1F2AA865"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0.762</w:t>
            </w:r>
          </w:p>
        </w:tc>
      </w:tr>
      <w:tr w:rsidR="004B57AF" w:rsidRPr="00214987" w14:paraId="7D7BD575" w14:textId="77777777" w:rsidTr="006A752F">
        <w:trPr>
          <w:trHeight w:val="280"/>
        </w:trPr>
        <w:tc>
          <w:tcPr>
            <w:tcW w:w="1987" w:type="pct"/>
            <w:shd w:val="clear" w:color="auto" w:fill="auto"/>
            <w:noWrap/>
            <w:vAlign w:val="center"/>
          </w:tcPr>
          <w:p w14:paraId="00B1DD60"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Salicylate sensitivity, Ever </w:t>
            </w:r>
          </w:p>
        </w:tc>
        <w:tc>
          <w:tcPr>
            <w:tcW w:w="834" w:type="pct"/>
            <w:shd w:val="clear" w:color="auto" w:fill="auto"/>
            <w:noWrap/>
            <w:vAlign w:val="center"/>
          </w:tcPr>
          <w:p w14:paraId="4286625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33.0% (34)</w:t>
            </w:r>
          </w:p>
        </w:tc>
        <w:tc>
          <w:tcPr>
            <w:tcW w:w="321" w:type="pct"/>
            <w:shd w:val="clear" w:color="auto" w:fill="auto"/>
            <w:noWrap/>
            <w:vAlign w:val="center"/>
          </w:tcPr>
          <w:p w14:paraId="3877CC32"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833" w:type="pct"/>
            <w:shd w:val="clear" w:color="auto" w:fill="auto"/>
            <w:noWrap/>
            <w:vAlign w:val="center"/>
          </w:tcPr>
          <w:p w14:paraId="79DC4D34"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27.8% (49)</w:t>
            </w:r>
          </w:p>
        </w:tc>
        <w:tc>
          <w:tcPr>
            <w:tcW w:w="320" w:type="pct"/>
            <w:shd w:val="clear" w:color="auto" w:fill="auto"/>
            <w:noWrap/>
            <w:vAlign w:val="center"/>
          </w:tcPr>
          <w:p w14:paraId="138AB69C"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705" w:type="pct"/>
            <w:shd w:val="clear" w:color="auto" w:fill="auto"/>
            <w:noWrap/>
            <w:vAlign w:val="center"/>
          </w:tcPr>
          <w:p w14:paraId="4B8C35BE"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0.416</w:t>
            </w:r>
          </w:p>
        </w:tc>
      </w:tr>
      <w:tr w:rsidR="004B57AF" w:rsidRPr="00214987" w14:paraId="24ADCE77" w14:textId="77777777" w:rsidTr="006A752F">
        <w:trPr>
          <w:trHeight w:val="280"/>
        </w:trPr>
        <w:tc>
          <w:tcPr>
            <w:tcW w:w="1987" w:type="pct"/>
            <w:shd w:val="clear" w:color="auto" w:fill="auto"/>
            <w:noWrap/>
            <w:vAlign w:val="center"/>
          </w:tcPr>
          <w:p w14:paraId="12B8F014"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ABPA, Ever </w:t>
            </w:r>
          </w:p>
        </w:tc>
        <w:tc>
          <w:tcPr>
            <w:tcW w:w="834" w:type="pct"/>
            <w:shd w:val="clear" w:color="auto" w:fill="auto"/>
            <w:noWrap/>
            <w:vAlign w:val="center"/>
          </w:tcPr>
          <w:p w14:paraId="5BDEEB6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12.6% (13)</w:t>
            </w:r>
          </w:p>
        </w:tc>
        <w:tc>
          <w:tcPr>
            <w:tcW w:w="321" w:type="pct"/>
            <w:shd w:val="clear" w:color="auto" w:fill="auto"/>
            <w:noWrap/>
            <w:vAlign w:val="center"/>
          </w:tcPr>
          <w:p w14:paraId="11FAD5B2"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833" w:type="pct"/>
            <w:shd w:val="clear" w:color="auto" w:fill="auto"/>
            <w:noWrap/>
            <w:vAlign w:val="center"/>
          </w:tcPr>
          <w:p w14:paraId="5627749E"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5.2% (9)</w:t>
            </w:r>
          </w:p>
        </w:tc>
        <w:tc>
          <w:tcPr>
            <w:tcW w:w="320" w:type="pct"/>
            <w:shd w:val="clear" w:color="auto" w:fill="auto"/>
            <w:noWrap/>
            <w:vAlign w:val="center"/>
          </w:tcPr>
          <w:p w14:paraId="42B1B80D"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w:t>
            </w:r>
          </w:p>
        </w:tc>
        <w:tc>
          <w:tcPr>
            <w:tcW w:w="705" w:type="pct"/>
            <w:shd w:val="clear" w:color="auto" w:fill="auto"/>
            <w:noWrap/>
            <w:vAlign w:val="center"/>
          </w:tcPr>
          <w:p w14:paraId="36EE9EB8"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0.027</w:t>
            </w:r>
          </w:p>
        </w:tc>
      </w:tr>
      <w:tr w:rsidR="004B57AF" w:rsidRPr="00214987" w14:paraId="087BDA43" w14:textId="77777777" w:rsidTr="006A752F">
        <w:trPr>
          <w:trHeight w:val="280"/>
        </w:trPr>
        <w:tc>
          <w:tcPr>
            <w:tcW w:w="1987" w:type="pct"/>
            <w:shd w:val="clear" w:color="auto" w:fill="auto"/>
            <w:noWrap/>
            <w:vAlign w:val="center"/>
          </w:tcPr>
          <w:p w14:paraId="3AD682AC"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Sulphite sensitivity, Ever </w:t>
            </w:r>
          </w:p>
        </w:tc>
        <w:tc>
          <w:tcPr>
            <w:tcW w:w="834" w:type="pct"/>
            <w:shd w:val="clear" w:color="auto" w:fill="auto"/>
            <w:noWrap/>
            <w:vAlign w:val="center"/>
          </w:tcPr>
          <w:p w14:paraId="525FD95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8.7% (9)</w:t>
            </w:r>
          </w:p>
        </w:tc>
        <w:tc>
          <w:tcPr>
            <w:tcW w:w="321" w:type="pct"/>
            <w:shd w:val="clear" w:color="auto" w:fill="auto"/>
            <w:noWrap/>
            <w:vAlign w:val="center"/>
          </w:tcPr>
          <w:p w14:paraId="42221581"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833" w:type="pct"/>
            <w:shd w:val="clear" w:color="auto" w:fill="auto"/>
            <w:noWrap/>
            <w:vAlign w:val="center"/>
          </w:tcPr>
          <w:p w14:paraId="572201A9"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7.4% (13)</w:t>
            </w:r>
          </w:p>
        </w:tc>
        <w:tc>
          <w:tcPr>
            <w:tcW w:w="320" w:type="pct"/>
            <w:shd w:val="clear" w:color="auto" w:fill="auto"/>
            <w:noWrap/>
            <w:vAlign w:val="center"/>
          </w:tcPr>
          <w:p w14:paraId="4EA6A210"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705" w:type="pct"/>
            <w:shd w:val="clear" w:color="auto" w:fill="auto"/>
            <w:noWrap/>
            <w:vAlign w:val="center"/>
          </w:tcPr>
          <w:p w14:paraId="69A416BA"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0.696</w:t>
            </w:r>
          </w:p>
        </w:tc>
      </w:tr>
      <w:tr w:rsidR="004B57AF" w:rsidRPr="00214987" w14:paraId="39E747ED" w14:textId="77777777" w:rsidTr="006A752F">
        <w:trPr>
          <w:trHeight w:val="280"/>
        </w:trPr>
        <w:tc>
          <w:tcPr>
            <w:tcW w:w="1987" w:type="pct"/>
            <w:shd w:val="clear" w:color="auto" w:fill="auto"/>
            <w:noWrap/>
            <w:vAlign w:val="center"/>
          </w:tcPr>
          <w:p w14:paraId="1270FBF5"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COPD, Ever </w:t>
            </w:r>
          </w:p>
        </w:tc>
        <w:tc>
          <w:tcPr>
            <w:tcW w:w="834" w:type="pct"/>
            <w:shd w:val="clear" w:color="auto" w:fill="auto"/>
            <w:noWrap/>
            <w:vAlign w:val="center"/>
          </w:tcPr>
          <w:p w14:paraId="137EA1A6"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5.8% (6)</w:t>
            </w:r>
          </w:p>
        </w:tc>
        <w:tc>
          <w:tcPr>
            <w:tcW w:w="321" w:type="pct"/>
            <w:shd w:val="clear" w:color="auto" w:fill="auto"/>
            <w:noWrap/>
            <w:vAlign w:val="center"/>
          </w:tcPr>
          <w:p w14:paraId="7C0C2741"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833" w:type="pct"/>
            <w:shd w:val="clear" w:color="auto" w:fill="auto"/>
            <w:noWrap/>
            <w:vAlign w:val="center"/>
          </w:tcPr>
          <w:p w14:paraId="41D18C27"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10.8% (19)</w:t>
            </w:r>
          </w:p>
        </w:tc>
        <w:tc>
          <w:tcPr>
            <w:tcW w:w="320" w:type="pct"/>
            <w:shd w:val="clear" w:color="auto" w:fill="auto"/>
            <w:noWrap/>
            <w:vAlign w:val="center"/>
          </w:tcPr>
          <w:p w14:paraId="1EFA905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705" w:type="pct"/>
            <w:shd w:val="clear" w:color="auto" w:fill="auto"/>
            <w:noWrap/>
            <w:vAlign w:val="center"/>
          </w:tcPr>
          <w:p w14:paraId="0D7FD065"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0.161</w:t>
            </w:r>
          </w:p>
        </w:tc>
      </w:tr>
      <w:tr w:rsidR="004B57AF" w:rsidRPr="00214987" w14:paraId="10456E2E" w14:textId="77777777" w:rsidTr="006A752F">
        <w:trPr>
          <w:trHeight w:val="280"/>
        </w:trPr>
        <w:tc>
          <w:tcPr>
            <w:tcW w:w="1987" w:type="pct"/>
            <w:shd w:val="clear" w:color="auto" w:fill="auto"/>
            <w:noWrap/>
            <w:vAlign w:val="center"/>
            <w:hideMark/>
          </w:tcPr>
          <w:p w14:paraId="78BF20D7"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Nasal polyps, Ever </w:t>
            </w:r>
          </w:p>
        </w:tc>
        <w:tc>
          <w:tcPr>
            <w:tcW w:w="834" w:type="pct"/>
            <w:shd w:val="clear" w:color="auto" w:fill="auto"/>
            <w:noWrap/>
            <w:vAlign w:val="center"/>
            <w:hideMark/>
          </w:tcPr>
          <w:p w14:paraId="575BDED3"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21.4% (21)</w:t>
            </w:r>
          </w:p>
        </w:tc>
        <w:tc>
          <w:tcPr>
            <w:tcW w:w="321" w:type="pct"/>
            <w:shd w:val="clear" w:color="auto" w:fill="auto"/>
            <w:noWrap/>
            <w:vAlign w:val="center"/>
            <w:hideMark/>
          </w:tcPr>
          <w:p w14:paraId="7A803544"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7</w:t>
            </w:r>
          </w:p>
        </w:tc>
        <w:tc>
          <w:tcPr>
            <w:tcW w:w="833" w:type="pct"/>
            <w:shd w:val="clear" w:color="auto" w:fill="auto"/>
            <w:noWrap/>
            <w:vAlign w:val="center"/>
          </w:tcPr>
          <w:p w14:paraId="46FF4171"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19% (31)</w:t>
            </w:r>
          </w:p>
        </w:tc>
        <w:tc>
          <w:tcPr>
            <w:tcW w:w="320" w:type="pct"/>
            <w:shd w:val="clear" w:color="auto" w:fill="auto"/>
            <w:noWrap/>
            <w:vAlign w:val="center"/>
          </w:tcPr>
          <w:p w14:paraId="497E7985"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15</w:t>
            </w:r>
          </w:p>
        </w:tc>
        <w:tc>
          <w:tcPr>
            <w:tcW w:w="705" w:type="pct"/>
            <w:shd w:val="clear" w:color="auto" w:fill="auto"/>
            <w:noWrap/>
            <w:vAlign w:val="center"/>
          </w:tcPr>
          <w:p w14:paraId="1408CB9F"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0.635</w:t>
            </w:r>
          </w:p>
        </w:tc>
      </w:tr>
      <w:tr w:rsidR="004B57AF" w:rsidRPr="00214987" w14:paraId="03F107F2" w14:textId="77777777" w:rsidTr="006A752F">
        <w:trPr>
          <w:trHeight w:val="280"/>
        </w:trPr>
        <w:tc>
          <w:tcPr>
            <w:tcW w:w="1987" w:type="pct"/>
            <w:shd w:val="clear" w:color="auto" w:fill="auto"/>
            <w:noWrap/>
            <w:vAlign w:val="center"/>
            <w:hideMark/>
          </w:tcPr>
          <w:p w14:paraId="52A0A484"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Nasal (polyps / sinus) surgery, Ever </w:t>
            </w:r>
          </w:p>
        </w:tc>
        <w:tc>
          <w:tcPr>
            <w:tcW w:w="834" w:type="pct"/>
            <w:shd w:val="clear" w:color="auto" w:fill="auto"/>
            <w:noWrap/>
            <w:vAlign w:val="center"/>
            <w:hideMark/>
          </w:tcPr>
          <w:p w14:paraId="77D43291"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31.6% (30)</w:t>
            </w:r>
          </w:p>
        </w:tc>
        <w:tc>
          <w:tcPr>
            <w:tcW w:w="321" w:type="pct"/>
            <w:shd w:val="clear" w:color="auto" w:fill="auto"/>
            <w:noWrap/>
            <w:vAlign w:val="center"/>
            <w:hideMark/>
          </w:tcPr>
          <w:p w14:paraId="22A4E3FB"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10</w:t>
            </w:r>
          </w:p>
        </w:tc>
        <w:tc>
          <w:tcPr>
            <w:tcW w:w="833" w:type="pct"/>
            <w:shd w:val="clear" w:color="auto" w:fill="auto"/>
            <w:noWrap/>
            <w:vAlign w:val="center"/>
          </w:tcPr>
          <w:p w14:paraId="4E5B2374"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19.3% (31)</w:t>
            </w:r>
          </w:p>
        </w:tc>
        <w:tc>
          <w:tcPr>
            <w:tcW w:w="320" w:type="pct"/>
            <w:shd w:val="clear" w:color="auto" w:fill="auto"/>
            <w:noWrap/>
            <w:vAlign w:val="center"/>
          </w:tcPr>
          <w:p w14:paraId="196BE92B"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17</w:t>
            </w:r>
          </w:p>
        </w:tc>
        <w:tc>
          <w:tcPr>
            <w:tcW w:w="705" w:type="pct"/>
            <w:shd w:val="clear" w:color="auto" w:fill="auto"/>
            <w:noWrap/>
            <w:vAlign w:val="center"/>
          </w:tcPr>
          <w:p w14:paraId="5BDCC9CC"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0.025</w:t>
            </w:r>
          </w:p>
        </w:tc>
      </w:tr>
      <w:tr w:rsidR="004B57AF" w:rsidRPr="00214987" w14:paraId="5718D495" w14:textId="77777777" w:rsidTr="006A752F">
        <w:trPr>
          <w:trHeight w:val="280"/>
        </w:trPr>
        <w:tc>
          <w:tcPr>
            <w:tcW w:w="1987" w:type="pct"/>
            <w:shd w:val="clear" w:color="auto" w:fill="auto"/>
            <w:noWrap/>
            <w:vAlign w:val="center"/>
          </w:tcPr>
          <w:p w14:paraId="50CA7547"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Urticaria or Angioedema, Ever </w:t>
            </w:r>
          </w:p>
        </w:tc>
        <w:tc>
          <w:tcPr>
            <w:tcW w:w="834" w:type="pct"/>
            <w:shd w:val="clear" w:color="auto" w:fill="auto"/>
            <w:noWrap/>
            <w:vAlign w:val="center"/>
          </w:tcPr>
          <w:p w14:paraId="0201FEA3"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12.6% (13)</w:t>
            </w:r>
          </w:p>
        </w:tc>
        <w:tc>
          <w:tcPr>
            <w:tcW w:w="321" w:type="pct"/>
            <w:shd w:val="clear" w:color="auto" w:fill="auto"/>
            <w:noWrap/>
            <w:vAlign w:val="center"/>
          </w:tcPr>
          <w:p w14:paraId="21925E87"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833" w:type="pct"/>
            <w:shd w:val="clear" w:color="auto" w:fill="auto"/>
            <w:noWrap/>
            <w:vAlign w:val="center"/>
          </w:tcPr>
          <w:p w14:paraId="6A1AD740"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6.8% (12)</w:t>
            </w:r>
          </w:p>
        </w:tc>
        <w:tc>
          <w:tcPr>
            <w:tcW w:w="320" w:type="pct"/>
            <w:shd w:val="clear" w:color="auto" w:fill="auto"/>
            <w:noWrap/>
            <w:vAlign w:val="center"/>
          </w:tcPr>
          <w:p w14:paraId="22C0A56B"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705" w:type="pct"/>
            <w:shd w:val="clear" w:color="auto" w:fill="auto"/>
            <w:noWrap/>
            <w:vAlign w:val="center"/>
          </w:tcPr>
          <w:p w14:paraId="5396B450"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0.101</w:t>
            </w:r>
          </w:p>
        </w:tc>
      </w:tr>
      <w:tr w:rsidR="004B57AF" w:rsidRPr="00214987" w14:paraId="1A746D85" w14:textId="77777777" w:rsidTr="006A752F">
        <w:trPr>
          <w:trHeight w:val="280"/>
        </w:trPr>
        <w:tc>
          <w:tcPr>
            <w:tcW w:w="1987" w:type="pct"/>
            <w:shd w:val="clear" w:color="auto" w:fill="auto"/>
            <w:noWrap/>
            <w:vAlign w:val="center"/>
          </w:tcPr>
          <w:p w14:paraId="6EA04931"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OSA, Ever </w:t>
            </w:r>
          </w:p>
        </w:tc>
        <w:tc>
          <w:tcPr>
            <w:tcW w:w="834" w:type="pct"/>
            <w:shd w:val="clear" w:color="auto" w:fill="auto"/>
            <w:noWrap/>
            <w:vAlign w:val="center"/>
          </w:tcPr>
          <w:p w14:paraId="1624E0A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4.9% (5)</w:t>
            </w:r>
          </w:p>
        </w:tc>
        <w:tc>
          <w:tcPr>
            <w:tcW w:w="321" w:type="pct"/>
            <w:shd w:val="clear" w:color="auto" w:fill="auto"/>
            <w:noWrap/>
            <w:vAlign w:val="center"/>
          </w:tcPr>
          <w:p w14:paraId="1FCC1AB3"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833" w:type="pct"/>
            <w:shd w:val="clear" w:color="auto" w:fill="auto"/>
            <w:noWrap/>
            <w:vAlign w:val="center"/>
          </w:tcPr>
          <w:p w14:paraId="06C15CAC"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11.5% (20)</w:t>
            </w:r>
          </w:p>
        </w:tc>
        <w:tc>
          <w:tcPr>
            <w:tcW w:w="320" w:type="pct"/>
            <w:shd w:val="clear" w:color="auto" w:fill="auto"/>
            <w:noWrap/>
            <w:vAlign w:val="center"/>
          </w:tcPr>
          <w:p w14:paraId="430CF938"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w:t>
            </w:r>
          </w:p>
        </w:tc>
        <w:tc>
          <w:tcPr>
            <w:tcW w:w="705" w:type="pct"/>
            <w:shd w:val="clear" w:color="auto" w:fill="auto"/>
            <w:noWrap/>
            <w:vAlign w:val="center"/>
          </w:tcPr>
          <w:p w14:paraId="63C19EC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0.062</w:t>
            </w:r>
          </w:p>
        </w:tc>
      </w:tr>
      <w:tr w:rsidR="004B57AF" w:rsidRPr="00214987" w14:paraId="1D6604B5" w14:textId="77777777" w:rsidTr="006A752F">
        <w:trPr>
          <w:trHeight w:val="280"/>
        </w:trPr>
        <w:tc>
          <w:tcPr>
            <w:tcW w:w="1987" w:type="pct"/>
            <w:shd w:val="clear" w:color="auto" w:fill="auto"/>
            <w:noWrap/>
            <w:vAlign w:val="center"/>
            <w:hideMark/>
          </w:tcPr>
          <w:p w14:paraId="7F9A3C5D" w14:textId="77777777" w:rsidR="004B57AF" w:rsidRPr="004B57AF" w:rsidRDefault="004B57AF" w:rsidP="00E9202C">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Eczema, Ever </w:t>
            </w:r>
          </w:p>
        </w:tc>
        <w:tc>
          <w:tcPr>
            <w:tcW w:w="834" w:type="pct"/>
            <w:shd w:val="clear" w:color="auto" w:fill="auto"/>
            <w:noWrap/>
            <w:vAlign w:val="center"/>
            <w:hideMark/>
          </w:tcPr>
          <w:p w14:paraId="5B0AACB3"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31.7% (33)</w:t>
            </w:r>
          </w:p>
        </w:tc>
        <w:tc>
          <w:tcPr>
            <w:tcW w:w="321" w:type="pct"/>
            <w:shd w:val="clear" w:color="auto" w:fill="auto"/>
            <w:noWrap/>
            <w:vAlign w:val="center"/>
            <w:hideMark/>
          </w:tcPr>
          <w:p w14:paraId="4390450A"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833" w:type="pct"/>
            <w:shd w:val="clear" w:color="auto" w:fill="auto"/>
            <w:noWrap/>
            <w:vAlign w:val="center"/>
          </w:tcPr>
          <w:p w14:paraId="36FB442D"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hAnsi="Arial" w:cs="Arial"/>
                <w:noProof/>
                <w:sz w:val="20"/>
                <w:szCs w:val="20"/>
                <w:lang w:val="en-US"/>
              </w:rPr>
              <w:t>21.6% (38)</w:t>
            </w:r>
          </w:p>
        </w:tc>
        <w:tc>
          <w:tcPr>
            <w:tcW w:w="320" w:type="pct"/>
            <w:shd w:val="clear" w:color="auto" w:fill="auto"/>
            <w:noWrap/>
            <w:vAlign w:val="center"/>
          </w:tcPr>
          <w:p w14:paraId="607350AE" w14:textId="77777777" w:rsidR="004B57AF" w:rsidRPr="004B57AF" w:rsidRDefault="004B57AF" w:rsidP="00E9202C">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705" w:type="pct"/>
            <w:shd w:val="clear" w:color="auto" w:fill="auto"/>
            <w:noWrap/>
            <w:vAlign w:val="center"/>
          </w:tcPr>
          <w:p w14:paraId="42EB175A" w14:textId="77777777" w:rsidR="004B57AF" w:rsidRPr="004B57AF" w:rsidRDefault="004B57AF" w:rsidP="00E9202C">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0.060</w:t>
            </w:r>
          </w:p>
        </w:tc>
      </w:tr>
    </w:tbl>
    <w:p w14:paraId="44A46BD4" w14:textId="057A5748" w:rsidR="004B57AF" w:rsidRPr="00260269" w:rsidRDefault="004B57AF" w:rsidP="004B57AF">
      <w:pPr>
        <w:spacing w:line="240" w:lineRule="auto"/>
        <w:rPr>
          <w:rFonts w:ascii="Arial" w:hAnsi="Arial" w:cs="Arial"/>
          <w:noProof/>
          <w:sz w:val="12"/>
          <w:szCs w:val="12"/>
          <w:shd w:val="clear" w:color="auto" w:fill="FFFFFF"/>
          <w:lang w:val="en-US"/>
        </w:rPr>
      </w:pPr>
      <w:r w:rsidRPr="00260269">
        <w:rPr>
          <w:rFonts w:ascii="Arial" w:hAnsi="Arial" w:cs="Arial"/>
          <w:noProof/>
          <w:sz w:val="12"/>
          <w:szCs w:val="12"/>
          <w:lang w:val="en-US"/>
        </w:rPr>
        <w:t>Categorical data presented as proportions and numbers. Continuous data presented Median + Interquartile range (IQR) or Mean + standard deviation (SD).</w:t>
      </w:r>
      <w:r w:rsidRPr="00260269">
        <w:rPr>
          <w:rFonts w:ascii="Arial" w:eastAsia="Times New Roman" w:hAnsi="Arial" w:cs="Arial"/>
          <w:noProof/>
          <w:sz w:val="12"/>
          <w:szCs w:val="12"/>
          <w:lang w:val="en-US" w:eastAsia="en-MY"/>
        </w:rPr>
        <w:t xml:space="preserve"> </w:t>
      </w:r>
      <w:r w:rsidRPr="00260269">
        <w:rPr>
          <w:rFonts w:ascii="Arial" w:eastAsia="Times New Roman" w:hAnsi="Arial" w:cs="Arial"/>
          <w:noProof/>
          <w:sz w:val="12"/>
          <w:szCs w:val="12"/>
          <w:vertAlign w:val="superscript"/>
          <w:lang w:val="en-US" w:eastAsia="en-MY"/>
        </w:rPr>
        <w:t>a</w:t>
      </w:r>
      <w:r w:rsidRPr="00260269">
        <w:rPr>
          <w:rFonts w:ascii="Arial" w:eastAsia="Times New Roman" w:hAnsi="Arial" w:cs="Arial"/>
          <w:noProof/>
          <w:sz w:val="12"/>
          <w:szCs w:val="12"/>
          <w:lang w:val="en-US" w:eastAsia="en-MY"/>
        </w:rPr>
        <w:t xml:space="preserve">: For biologic groups, In the preceding 12 months </w:t>
      </w:r>
      <w:r w:rsidR="00260269">
        <w:rPr>
          <w:rFonts w:ascii="Arial" w:eastAsia="Times New Roman" w:hAnsi="Arial" w:cs="Arial"/>
          <w:noProof/>
          <w:sz w:val="12"/>
          <w:szCs w:val="12"/>
          <w:lang w:val="en-US" w:eastAsia="en-MY"/>
        </w:rPr>
        <w:t>before</w:t>
      </w:r>
      <w:r w:rsidRPr="00260269">
        <w:rPr>
          <w:rFonts w:ascii="Arial" w:eastAsia="Times New Roman" w:hAnsi="Arial" w:cs="Arial"/>
          <w:noProof/>
          <w:sz w:val="12"/>
          <w:szCs w:val="12"/>
          <w:lang w:val="en-US" w:eastAsia="en-MY"/>
        </w:rPr>
        <w:t xml:space="preserve"> biologic approval. </w:t>
      </w:r>
      <w:r w:rsidRPr="00260269">
        <w:rPr>
          <w:rFonts w:ascii="Arial" w:eastAsia="Times New Roman" w:hAnsi="Arial" w:cs="Arial"/>
          <w:noProof/>
          <w:sz w:val="12"/>
          <w:szCs w:val="12"/>
          <w:vertAlign w:val="superscript"/>
          <w:lang w:val="en-US" w:eastAsia="en-MY"/>
        </w:rPr>
        <w:t>b</w:t>
      </w:r>
      <w:r w:rsidRPr="00260269">
        <w:rPr>
          <w:rFonts w:ascii="Arial" w:eastAsia="Times New Roman" w:hAnsi="Arial" w:cs="Arial"/>
          <w:noProof/>
          <w:sz w:val="12"/>
          <w:szCs w:val="12"/>
          <w:lang w:val="en-US" w:eastAsia="en-MY"/>
        </w:rPr>
        <w:t>: For the non-biologic group,</w:t>
      </w:r>
      <w:r w:rsidR="00260269">
        <w:rPr>
          <w:rFonts w:ascii="Arial" w:eastAsia="Times New Roman" w:hAnsi="Arial" w:cs="Arial"/>
          <w:noProof/>
          <w:sz w:val="12"/>
          <w:szCs w:val="12"/>
          <w:lang w:val="en-US" w:eastAsia="en-MY"/>
        </w:rPr>
        <w:t xml:space="preserve"> </w:t>
      </w:r>
      <w:r w:rsidRPr="00260269">
        <w:rPr>
          <w:rFonts w:ascii="Arial" w:eastAsia="Times New Roman" w:hAnsi="Arial" w:cs="Arial"/>
          <w:noProof/>
          <w:sz w:val="12"/>
          <w:szCs w:val="12"/>
          <w:lang w:val="en-US" w:eastAsia="en-MY"/>
        </w:rPr>
        <w:t xml:space="preserve">at </w:t>
      </w:r>
      <w:r w:rsidRPr="00260269">
        <w:rPr>
          <w:rFonts w:ascii="Arial" w:hAnsi="Arial" w:cs="Arial"/>
          <w:noProof/>
          <w:sz w:val="12"/>
          <w:szCs w:val="12"/>
          <w:lang w:val="en-US"/>
        </w:rPr>
        <w:t xml:space="preserve">WATCH enrolment. </w:t>
      </w:r>
      <w:r w:rsidRPr="00260269">
        <w:rPr>
          <w:rFonts w:ascii="Arial" w:eastAsia="Times New Roman" w:hAnsi="Arial" w:cs="Arial"/>
          <w:noProof/>
          <w:sz w:val="12"/>
          <w:szCs w:val="12"/>
          <w:vertAlign w:val="superscript"/>
          <w:lang w:val="en-US" w:eastAsia="en-MY"/>
        </w:rPr>
        <w:t>c</w:t>
      </w:r>
      <w:r w:rsidRPr="00260269">
        <w:rPr>
          <w:rFonts w:ascii="Arial" w:eastAsia="Times New Roman" w:hAnsi="Arial" w:cs="Arial"/>
          <w:noProof/>
          <w:sz w:val="12"/>
          <w:szCs w:val="12"/>
          <w:lang w:val="en-US" w:eastAsia="en-MY"/>
        </w:rPr>
        <w:t>:</w:t>
      </w:r>
      <w:r w:rsidRPr="00260269">
        <w:rPr>
          <w:rFonts w:ascii="Arial" w:hAnsi="Arial" w:cs="Arial"/>
          <w:noProof/>
          <w:sz w:val="12"/>
          <w:szCs w:val="12"/>
          <w:lang w:val="en-US"/>
        </w:rPr>
        <w:t xml:space="preserve"> for biologic groups, </w:t>
      </w:r>
      <w:r w:rsidRPr="00260269">
        <w:rPr>
          <w:rFonts w:ascii="Arial" w:eastAsia="Times New Roman" w:hAnsi="Arial" w:cs="Arial"/>
          <w:noProof/>
          <w:sz w:val="12"/>
          <w:szCs w:val="12"/>
          <w:lang w:val="en-US" w:eastAsia="en-MY"/>
        </w:rPr>
        <w:t xml:space="preserve">at baseline biologic visit. </w:t>
      </w:r>
      <w:r w:rsidRPr="00260269">
        <w:rPr>
          <w:rFonts w:ascii="Arial" w:hAnsi="Arial" w:cs="Arial"/>
          <w:noProof/>
          <w:sz w:val="12"/>
          <w:szCs w:val="12"/>
          <w:lang w:val="en-US"/>
        </w:rPr>
        <w:t>Exacerbations: incidence of exacerbations requiring OCS / increase in maintenance OCS in the past 12 months before biologic approval. AHE: acute healthcare encounters, which include Emergency department/ hospital admissions. PBE: peripheral blood eosinophils. µL: microlitre. ACQ6: Asthma Control Questionnaire 6. FENO: fractional exhaled nitric oxide.  ppb: parts per billion. IgE: immunoglobulin E. kU/L: kilounits per litre.  OCS: oral corticosteroids. mg: milligrams. FEV</w:t>
      </w:r>
      <w:r w:rsidRPr="00260269">
        <w:rPr>
          <w:rFonts w:ascii="Arial" w:hAnsi="Arial" w:cs="Arial"/>
          <w:noProof/>
          <w:sz w:val="12"/>
          <w:szCs w:val="12"/>
          <w:vertAlign w:val="subscript"/>
          <w:lang w:val="en-US"/>
        </w:rPr>
        <w:t>1</w:t>
      </w:r>
      <w:r w:rsidRPr="00260269">
        <w:rPr>
          <w:rFonts w:ascii="Arial" w:hAnsi="Arial" w:cs="Arial"/>
          <w:noProof/>
          <w:sz w:val="12"/>
          <w:szCs w:val="12"/>
          <w:lang w:val="en-US"/>
        </w:rPr>
        <w:t xml:space="preserve">: forced expiratory volume in one second. Adult-onset: Age of asthma onset ≥18 years. GORD: Gastro-oesophageal reflux disease. SPT: skin prick test. sIgE: specific IgE. ICU: intensive care unit. ILO: intermittent laryngeal obstruction. ABPA: allergic bronchopulmonary aspergillosis. COPD: chronic obstructive pulmonary disease. OSA: obstructive sleep apnoea. </w:t>
      </w:r>
      <w:r w:rsidRPr="00260269">
        <w:rPr>
          <w:rFonts w:ascii="Arial" w:eastAsia="Times New Roman" w:hAnsi="Arial" w:cs="Arial"/>
          <w:noProof/>
          <w:sz w:val="12"/>
          <w:szCs w:val="12"/>
          <w:lang w:val="en-US" w:eastAsia="en-MY"/>
        </w:rPr>
        <w:t xml:space="preserve">The </w:t>
      </w:r>
      <w:r w:rsidRPr="00260269">
        <w:rPr>
          <w:rFonts w:ascii="Arial" w:hAnsi="Arial" w:cs="Arial"/>
          <w:noProof/>
          <w:sz w:val="12"/>
          <w:szCs w:val="12"/>
          <w:lang w:val="en-US"/>
        </w:rPr>
        <w:t xml:space="preserve">severe asthma, non-biologic (SNB) group is </w:t>
      </w:r>
      <w:r w:rsidRPr="00260269">
        <w:rPr>
          <w:rFonts w:ascii="Arial" w:eastAsia="Times New Roman" w:hAnsi="Arial" w:cs="Arial"/>
          <w:noProof/>
          <w:sz w:val="12"/>
          <w:szCs w:val="12"/>
          <w:lang w:val="en-US" w:eastAsia="en-MY"/>
        </w:rPr>
        <w:t>a</w:t>
      </w:r>
      <w:r w:rsidRPr="00260269">
        <w:rPr>
          <w:rFonts w:ascii="Arial" w:hAnsi="Arial" w:cs="Arial"/>
          <w:noProof/>
          <w:sz w:val="12"/>
          <w:szCs w:val="12"/>
          <w:lang w:val="en-US"/>
        </w:rPr>
        <w:t xml:space="preserve"> common comparator group extracted from WATCH. They were participants who either had ≥4 exacerbations or ≥1 AHE or were on maintenance OCS in the past year but did not commence biologic therapy during the study period. Unpaired t-tests, Mann-Whitney U test, Chi-square tests or Fisher’s exact tests were used, where appropriate, to calculate P-values. </w:t>
      </w:r>
    </w:p>
    <w:p w14:paraId="300177E1" w14:textId="3ED689C6" w:rsidR="004A43F4" w:rsidRPr="007D75FE" w:rsidRDefault="00BF21EF" w:rsidP="004A43F4">
      <w:pPr>
        <w:rPr>
          <w:rFonts w:ascii="Arial" w:hAnsi="Arial" w:cs="Arial"/>
          <w:b/>
          <w:bCs/>
          <w:noProof/>
          <w:sz w:val="18"/>
          <w:szCs w:val="18"/>
          <w:vertAlign w:val="superscript"/>
          <w:lang w:val="en-US"/>
        </w:rPr>
      </w:pPr>
      <w:r>
        <w:rPr>
          <w:rFonts w:ascii="Arial" w:hAnsi="Arial" w:cs="Arial"/>
          <w:b/>
          <w:bCs/>
          <w:noProof/>
          <w:sz w:val="18"/>
          <w:szCs w:val="18"/>
          <w:u w:val="single"/>
          <w:lang w:val="en-US"/>
        </w:rPr>
        <w:br w:type="page"/>
      </w:r>
      <w:r w:rsidR="00CB5C42" w:rsidRPr="007D75FE">
        <w:rPr>
          <w:rFonts w:ascii="Arial" w:hAnsi="Arial" w:cs="Arial"/>
          <w:b/>
          <w:bCs/>
          <w:noProof/>
          <w:sz w:val="18"/>
          <w:szCs w:val="18"/>
          <w:lang w:val="en-US"/>
        </w:rPr>
        <w:lastRenderedPageBreak/>
        <w:t>T</w:t>
      </w:r>
      <w:r w:rsidR="004A43F4" w:rsidRPr="007D75FE">
        <w:rPr>
          <w:rFonts w:ascii="Arial" w:hAnsi="Arial" w:cs="Arial"/>
          <w:b/>
          <w:bCs/>
          <w:noProof/>
          <w:sz w:val="18"/>
          <w:szCs w:val="18"/>
          <w:lang w:val="en-US"/>
        </w:rPr>
        <w:t xml:space="preserve">able </w:t>
      </w:r>
      <w:r w:rsidR="004B57AF" w:rsidRPr="007D75FE">
        <w:rPr>
          <w:rFonts w:ascii="Arial" w:hAnsi="Arial" w:cs="Arial"/>
          <w:b/>
          <w:bCs/>
          <w:noProof/>
          <w:sz w:val="18"/>
          <w:szCs w:val="18"/>
          <w:lang w:val="en-US"/>
        </w:rPr>
        <w:t>2</w:t>
      </w:r>
      <w:r w:rsidR="004A43F4" w:rsidRPr="007D75FE">
        <w:rPr>
          <w:rFonts w:ascii="Arial" w:hAnsi="Arial" w:cs="Arial"/>
          <w:b/>
          <w:bCs/>
          <w:noProof/>
          <w:sz w:val="18"/>
          <w:szCs w:val="18"/>
          <w:lang w:val="en-US"/>
        </w:rPr>
        <w:t xml:space="preserve">. Baseline characteristics of the </w:t>
      </w:r>
      <w:r w:rsidR="004B57AF" w:rsidRPr="007D75FE">
        <w:rPr>
          <w:rFonts w:ascii="Arial" w:hAnsi="Arial" w:cs="Arial"/>
          <w:b/>
          <w:bCs/>
          <w:noProof/>
          <w:sz w:val="18"/>
          <w:szCs w:val="18"/>
          <w:lang w:val="en-US"/>
        </w:rPr>
        <w:t>Mepolizumab</w:t>
      </w:r>
      <w:r w:rsidR="004A43F4" w:rsidRPr="007D75FE">
        <w:rPr>
          <w:rFonts w:ascii="Arial" w:hAnsi="Arial" w:cs="Arial"/>
          <w:b/>
          <w:bCs/>
          <w:noProof/>
          <w:sz w:val="18"/>
          <w:szCs w:val="18"/>
          <w:lang w:val="en-US"/>
        </w:rPr>
        <w:t xml:space="preserve"> </w:t>
      </w:r>
      <w:r w:rsidR="007D75FE">
        <w:rPr>
          <w:rFonts w:ascii="Arial" w:hAnsi="Arial" w:cs="Arial"/>
          <w:b/>
          <w:bCs/>
          <w:noProof/>
          <w:sz w:val="18"/>
          <w:szCs w:val="18"/>
          <w:lang w:val="en-US"/>
        </w:rPr>
        <w:t xml:space="preserve">group </w:t>
      </w:r>
      <w:r w:rsidR="004A43F4" w:rsidRPr="007D75FE">
        <w:rPr>
          <w:rFonts w:ascii="Arial" w:hAnsi="Arial" w:cs="Arial"/>
          <w:b/>
          <w:bCs/>
          <w:noProof/>
          <w:sz w:val="18"/>
          <w:szCs w:val="18"/>
          <w:lang w:val="en-US"/>
        </w:rPr>
        <w:t xml:space="preserve">vs severe asthma, non-biologic </w:t>
      </w:r>
      <w:r w:rsidR="007D75FE">
        <w:rPr>
          <w:rFonts w:ascii="Arial" w:hAnsi="Arial" w:cs="Arial"/>
          <w:b/>
          <w:bCs/>
          <w:noProof/>
          <w:sz w:val="18"/>
          <w:szCs w:val="18"/>
          <w:lang w:val="en-US"/>
        </w:rPr>
        <w:t>group</w:t>
      </w:r>
    </w:p>
    <w:tbl>
      <w:tblPr>
        <w:tblW w:w="53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1418"/>
        <w:gridCol w:w="855"/>
        <w:gridCol w:w="1558"/>
        <w:gridCol w:w="710"/>
        <w:gridCol w:w="1132"/>
      </w:tblGrid>
      <w:tr w:rsidR="006A752F" w:rsidRPr="00214987" w14:paraId="35B77A30" w14:textId="77777777" w:rsidTr="006A752F">
        <w:trPr>
          <w:trHeight w:val="424"/>
        </w:trPr>
        <w:tc>
          <w:tcPr>
            <w:tcW w:w="2259" w:type="pct"/>
            <w:shd w:val="clear" w:color="D9E1F2" w:fill="D9E1F2"/>
            <w:noWrap/>
            <w:vAlign w:val="center"/>
            <w:hideMark/>
          </w:tcPr>
          <w:p w14:paraId="4360C097" w14:textId="77777777" w:rsidR="004B57AF" w:rsidRPr="00214987" w:rsidRDefault="004B57AF" w:rsidP="000B3481">
            <w:pPr>
              <w:spacing w:after="0" w:line="240" w:lineRule="auto"/>
              <w:jc w:val="center"/>
              <w:rPr>
                <w:rFonts w:ascii="Arial" w:eastAsia="Times New Roman" w:hAnsi="Arial" w:cs="Arial"/>
                <w:noProof/>
                <w:sz w:val="16"/>
                <w:szCs w:val="16"/>
                <w:lang w:val="en-US" w:eastAsia="en-MY"/>
              </w:rPr>
            </w:pPr>
            <w:bookmarkStart w:id="3" w:name="_Hlk52631005"/>
          </w:p>
        </w:tc>
        <w:tc>
          <w:tcPr>
            <w:tcW w:w="1097" w:type="pct"/>
            <w:gridSpan w:val="2"/>
            <w:shd w:val="clear" w:color="D9E1F2" w:fill="D9E1F2"/>
          </w:tcPr>
          <w:p w14:paraId="452EBA20" w14:textId="575B35B1" w:rsidR="004B57AF" w:rsidRPr="00923F90" w:rsidRDefault="004B57AF" w:rsidP="000B3481">
            <w:pPr>
              <w:spacing w:after="0" w:line="240" w:lineRule="auto"/>
              <w:jc w:val="center"/>
              <w:rPr>
                <w:rFonts w:ascii="Arial" w:eastAsia="Times New Roman" w:hAnsi="Arial" w:cs="Arial"/>
                <w:noProof/>
                <w:sz w:val="18"/>
                <w:szCs w:val="18"/>
                <w:lang w:val="en-US" w:eastAsia="en-MY"/>
              </w:rPr>
            </w:pPr>
            <w:r w:rsidRPr="00923F90">
              <w:rPr>
                <w:rFonts w:ascii="Arial" w:eastAsia="Times New Roman" w:hAnsi="Arial" w:cs="Arial"/>
                <w:noProof/>
                <w:sz w:val="18"/>
                <w:szCs w:val="18"/>
                <w:lang w:val="en-US" w:eastAsia="en-MY"/>
              </w:rPr>
              <w:t xml:space="preserve">Mepolizumab group, </w:t>
            </w:r>
            <w:r w:rsidRPr="00923F90">
              <w:rPr>
                <w:rFonts w:ascii="Arial" w:eastAsia="Times New Roman" w:hAnsi="Arial" w:cs="Arial"/>
                <w:noProof/>
                <w:sz w:val="18"/>
                <w:szCs w:val="18"/>
                <w:lang w:val="en-US" w:eastAsia="en-MY"/>
              </w:rPr>
              <w:br/>
              <w:t xml:space="preserve">N= 62 </w:t>
            </w:r>
          </w:p>
        </w:tc>
        <w:tc>
          <w:tcPr>
            <w:tcW w:w="1096" w:type="pct"/>
            <w:gridSpan w:val="2"/>
            <w:shd w:val="clear" w:color="D9E1F2" w:fill="D9E1F2"/>
            <w:noWrap/>
            <w:vAlign w:val="center"/>
            <w:hideMark/>
          </w:tcPr>
          <w:p w14:paraId="2CA7245C" w14:textId="249DCDBB" w:rsidR="004B57AF" w:rsidRPr="00923F90" w:rsidRDefault="004B57AF" w:rsidP="000B3481">
            <w:pPr>
              <w:spacing w:after="0" w:line="240" w:lineRule="auto"/>
              <w:jc w:val="center"/>
              <w:rPr>
                <w:rFonts w:ascii="Arial" w:eastAsia="Times New Roman" w:hAnsi="Arial" w:cs="Arial"/>
                <w:noProof/>
                <w:sz w:val="18"/>
                <w:szCs w:val="18"/>
                <w:lang w:val="en-US" w:eastAsia="en-MY"/>
              </w:rPr>
            </w:pPr>
            <w:r w:rsidRPr="00923F90">
              <w:rPr>
                <w:rFonts w:ascii="Arial" w:eastAsia="Times New Roman" w:hAnsi="Arial" w:cs="Arial"/>
                <w:noProof/>
                <w:sz w:val="18"/>
                <w:szCs w:val="18"/>
                <w:lang w:val="en-US" w:eastAsia="en-MY"/>
              </w:rPr>
              <w:t xml:space="preserve">Severe asthma, non-biologic group, N=178 </w:t>
            </w:r>
          </w:p>
        </w:tc>
        <w:tc>
          <w:tcPr>
            <w:tcW w:w="548" w:type="pct"/>
            <w:shd w:val="clear" w:color="D9E1F2" w:fill="D9E1F2"/>
            <w:vAlign w:val="center"/>
          </w:tcPr>
          <w:p w14:paraId="232AA2E2" w14:textId="47704D2B" w:rsidR="004B57AF" w:rsidRPr="00923F90" w:rsidRDefault="004B57AF" w:rsidP="000B3481">
            <w:pPr>
              <w:spacing w:after="0" w:line="240" w:lineRule="auto"/>
              <w:jc w:val="center"/>
              <w:rPr>
                <w:rFonts w:ascii="Arial" w:eastAsia="Times New Roman" w:hAnsi="Arial" w:cs="Arial"/>
                <w:noProof/>
                <w:sz w:val="18"/>
                <w:szCs w:val="18"/>
                <w:lang w:val="en-US" w:eastAsia="en-MY"/>
              </w:rPr>
            </w:pPr>
            <w:r w:rsidRPr="00923F90">
              <w:rPr>
                <w:rFonts w:ascii="Arial" w:eastAsia="Times New Roman" w:hAnsi="Arial" w:cs="Arial"/>
                <w:noProof/>
                <w:sz w:val="18"/>
                <w:szCs w:val="18"/>
                <w:lang w:val="en-US" w:eastAsia="en-MY"/>
              </w:rPr>
              <w:t>P-value</w:t>
            </w:r>
          </w:p>
        </w:tc>
      </w:tr>
      <w:tr w:rsidR="006A752F" w:rsidRPr="00214987" w14:paraId="0E998A1C" w14:textId="77777777" w:rsidTr="006A752F">
        <w:trPr>
          <w:trHeight w:val="262"/>
        </w:trPr>
        <w:tc>
          <w:tcPr>
            <w:tcW w:w="2259" w:type="pct"/>
            <w:shd w:val="clear" w:color="auto" w:fill="auto"/>
            <w:noWrap/>
            <w:vAlign w:val="center"/>
            <w:hideMark/>
          </w:tcPr>
          <w:p w14:paraId="5AD76538"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p>
        </w:tc>
        <w:tc>
          <w:tcPr>
            <w:tcW w:w="685" w:type="pct"/>
            <w:vAlign w:val="center"/>
          </w:tcPr>
          <w:p w14:paraId="705FBB7A" w14:textId="77777777"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Mean (SD) / Median (IQR)</w:t>
            </w:r>
          </w:p>
        </w:tc>
        <w:tc>
          <w:tcPr>
            <w:tcW w:w="413" w:type="pct"/>
            <w:vAlign w:val="center"/>
          </w:tcPr>
          <w:p w14:paraId="23A833C7"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Missing</w:t>
            </w:r>
          </w:p>
        </w:tc>
        <w:tc>
          <w:tcPr>
            <w:tcW w:w="753" w:type="pct"/>
            <w:shd w:val="clear" w:color="auto" w:fill="auto"/>
            <w:noWrap/>
            <w:vAlign w:val="center"/>
            <w:hideMark/>
          </w:tcPr>
          <w:p w14:paraId="06D727E6"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Mean (SD) / Median (IQR)</w:t>
            </w:r>
          </w:p>
        </w:tc>
        <w:tc>
          <w:tcPr>
            <w:tcW w:w="343" w:type="pct"/>
            <w:shd w:val="clear" w:color="auto" w:fill="auto"/>
            <w:noWrap/>
            <w:vAlign w:val="center"/>
            <w:hideMark/>
          </w:tcPr>
          <w:p w14:paraId="0722446D"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Missing</w:t>
            </w:r>
          </w:p>
        </w:tc>
        <w:tc>
          <w:tcPr>
            <w:tcW w:w="548" w:type="pct"/>
            <w:shd w:val="clear" w:color="auto" w:fill="auto"/>
            <w:noWrap/>
            <w:vAlign w:val="center"/>
          </w:tcPr>
          <w:p w14:paraId="66A2CCD9" w14:textId="54EA4BCF"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p>
        </w:tc>
      </w:tr>
      <w:tr w:rsidR="006A752F" w:rsidRPr="00214987" w14:paraId="5E797EA6" w14:textId="77777777" w:rsidTr="006A752F">
        <w:trPr>
          <w:trHeight w:val="280"/>
        </w:trPr>
        <w:tc>
          <w:tcPr>
            <w:tcW w:w="2259" w:type="pct"/>
            <w:shd w:val="clear" w:color="auto" w:fill="auto"/>
            <w:noWrap/>
            <w:vAlign w:val="center"/>
          </w:tcPr>
          <w:p w14:paraId="33540F84" w14:textId="413E8268"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 xml:space="preserve">Annual rate of exacerbations in the past year, median (IQR) </w:t>
            </w:r>
            <w:r w:rsidRPr="004B57AF">
              <w:rPr>
                <w:rFonts w:ascii="Arial" w:eastAsia="Times New Roman" w:hAnsi="Arial" w:cs="Arial"/>
                <w:noProof/>
                <w:sz w:val="20"/>
                <w:szCs w:val="20"/>
                <w:vertAlign w:val="superscript"/>
                <w:lang w:val="en-US" w:eastAsia="en-MY"/>
              </w:rPr>
              <w:t>a,b</w:t>
            </w:r>
          </w:p>
        </w:tc>
        <w:tc>
          <w:tcPr>
            <w:tcW w:w="685" w:type="pct"/>
            <w:vAlign w:val="center"/>
          </w:tcPr>
          <w:p w14:paraId="6CE9F721" w14:textId="6AFC0C25"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4 (5)</w:t>
            </w:r>
            <w:r w:rsidRPr="004B57AF">
              <w:rPr>
                <w:rFonts w:ascii="Arial" w:eastAsia="Times New Roman" w:hAnsi="Arial" w:cs="Arial"/>
                <w:b/>
                <w:bCs/>
                <w:noProof/>
                <w:sz w:val="20"/>
                <w:szCs w:val="20"/>
                <w:lang w:val="en-US" w:eastAsia="en-MY"/>
              </w:rPr>
              <w:t xml:space="preserve"> </w:t>
            </w:r>
          </w:p>
        </w:tc>
        <w:tc>
          <w:tcPr>
            <w:tcW w:w="413" w:type="pct"/>
            <w:vAlign w:val="center"/>
          </w:tcPr>
          <w:p w14:paraId="66BAACF7"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753" w:type="pct"/>
            <w:shd w:val="clear" w:color="auto" w:fill="auto"/>
            <w:noWrap/>
            <w:vAlign w:val="center"/>
          </w:tcPr>
          <w:p w14:paraId="228A62DD" w14:textId="54DE7DE3"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 xml:space="preserve">5 (3) </w:t>
            </w:r>
          </w:p>
        </w:tc>
        <w:tc>
          <w:tcPr>
            <w:tcW w:w="343" w:type="pct"/>
            <w:shd w:val="clear" w:color="auto" w:fill="auto"/>
            <w:noWrap/>
            <w:vAlign w:val="center"/>
          </w:tcPr>
          <w:p w14:paraId="31FF77AD"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32</w:t>
            </w:r>
          </w:p>
        </w:tc>
        <w:tc>
          <w:tcPr>
            <w:tcW w:w="548" w:type="pct"/>
            <w:shd w:val="clear" w:color="auto" w:fill="auto"/>
            <w:noWrap/>
            <w:vAlign w:val="center"/>
          </w:tcPr>
          <w:p w14:paraId="5D27E498"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0.744</w:t>
            </w:r>
          </w:p>
        </w:tc>
      </w:tr>
      <w:tr w:rsidR="006A752F" w:rsidRPr="00214987" w14:paraId="74CDCC0D" w14:textId="77777777" w:rsidTr="006A752F">
        <w:trPr>
          <w:trHeight w:val="280"/>
        </w:trPr>
        <w:tc>
          <w:tcPr>
            <w:tcW w:w="2259" w:type="pct"/>
            <w:shd w:val="clear" w:color="auto" w:fill="auto"/>
            <w:noWrap/>
            <w:vAlign w:val="center"/>
          </w:tcPr>
          <w:p w14:paraId="75FC8190" w14:textId="6F12D9E8"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b/>
                <w:bCs/>
                <w:noProof/>
                <w:sz w:val="20"/>
                <w:szCs w:val="20"/>
                <w:lang w:val="en-US" w:eastAsia="en-MY"/>
              </w:rPr>
              <w:t>Annual rate of AHE in the past year, median (IQR)</w:t>
            </w:r>
            <w:r w:rsidRPr="004B57AF">
              <w:rPr>
                <w:rFonts w:ascii="Arial" w:eastAsia="Times New Roman" w:hAnsi="Arial" w:cs="Arial"/>
                <w:noProof/>
                <w:sz w:val="20"/>
                <w:szCs w:val="20"/>
                <w:vertAlign w:val="superscript"/>
                <w:lang w:val="en-US" w:eastAsia="en-MY"/>
              </w:rPr>
              <w:t xml:space="preserve"> a,b</w:t>
            </w:r>
          </w:p>
        </w:tc>
        <w:tc>
          <w:tcPr>
            <w:tcW w:w="685" w:type="pct"/>
            <w:vAlign w:val="center"/>
          </w:tcPr>
          <w:p w14:paraId="01647820" w14:textId="626AD296"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0 (1)</w:t>
            </w:r>
            <w:r w:rsidRPr="004B57AF">
              <w:rPr>
                <w:rFonts w:ascii="Arial" w:eastAsia="Times New Roman" w:hAnsi="Arial" w:cs="Arial"/>
                <w:b/>
                <w:bCs/>
                <w:noProof/>
                <w:sz w:val="20"/>
                <w:szCs w:val="20"/>
                <w:lang w:val="en-US" w:eastAsia="en-MY"/>
              </w:rPr>
              <w:t xml:space="preserve"> </w:t>
            </w:r>
          </w:p>
        </w:tc>
        <w:tc>
          <w:tcPr>
            <w:tcW w:w="413" w:type="pct"/>
            <w:vAlign w:val="center"/>
          </w:tcPr>
          <w:p w14:paraId="066115AE"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753" w:type="pct"/>
            <w:shd w:val="clear" w:color="auto" w:fill="auto"/>
            <w:noWrap/>
            <w:vAlign w:val="center"/>
          </w:tcPr>
          <w:p w14:paraId="55897493" w14:textId="7A7AD230"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 xml:space="preserve">0 (1) </w:t>
            </w:r>
          </w:p>
        </w:tc>
        <w:tc>
          <w:tcPr>
            <w:tcW w:w="343" w:type="pct"/>
            <w:shd w:val="clear" w:color="auto" w:fill="auto"/>
            <w:noWrap/>
            <w:vAlign w:val="center"/>
          </w:tcPr>
          <w:p w14:paraId="154A11DD"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548" w:type="pct"/>
            <w:shd w:val="clear" w:color="auto" w:fill="auto"/>
            <w:noWrap/>
            <w:vAlign w:val="center"/>
          </w:tcPr>
          <w:p w14:paraId="6088A278"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0.184</w:t>
            </w:r>
          </w:p>
        </w:tc>
      </w:tr>
      <w:tr w:rsidR="006A752F" w:rsidRPr="00214987" w14:paraId="1BF5E3A8" w14:textId="77777777" w:rsidTr="006A752F">
        <w:trPr>
          <w:trHeight w:val="280"/>
        </w:trPr>
        <w:tc>
          <w:tcPr>
            <w:tcW w:w="2259" w:type="pct"/>
            <w:shd w:val="clear" w:color="auto" w:fill="auto"/>
            <w:noWrap/>
            <w:vAlign w:val="center"/>
            <w:hideMark/>
          </w:tcPr>
          <w:p w14:paraId="161A1599" w14:textId="1733AFE4"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Maximum PBE count in the past year, median (IQR) - cells/µL </w:t>
            </w:r>
            <w:r w:rsidRPr="004B57AF">
              <w:rPr>
                <w:rFonts w:ascii="Arial" w:eastAsia="Times New Roman" w:hAnsi="Arial" w:cs="Arial"/>
                <w:noProof/>
                <w:sz w:val="20"/>
                <w:szCs w:val="20"/>
                <w:vertAlign w:val="superscript"/>
                <w:lang w:val="en-US" w:eastAsia="en-MY"/>
              </w:rPr>
              <w:t>a,b</w:t>
            </w:r>
          </w:p>
        </w:tc>
        <w:tc>
          <w:tcPr>
            <w:tcW w:w="685" w:type="pct"/>
            <w:vAlign w:val="center"/>
          </w:tcPr>
          <w:p w14:paraId="2F379047" w14:textId="371DBB1B"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500(400) </w:t>
            </w:r>
          </w:p>
        </w:tc>
        <w:tc>
          <w:tcPr>
            <w:tcW w:w="413" w:type="pct"/>
            <w:vAlign w:val="center"/>
          </w:tcPr>
          <w:p w14:paraId="01A6D006"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77873168" w14:textId="508431E4" w:rsidR="004B57AF" w:rsidRPr="004B57AF" w:rsidRDefault="004B57AF" w:rsidP="000B3481">
            <w:pPr>
              <w:spacing w:after="0" w:line="240" w:lineRule="auto"/>
              <w:jc w:val="center"/>
              <w:rPr>
                <w:rFonts w:ascii="Arial" w:eastAsia="Times New Roman" w:hAnsi="Arial" w:cs="Arial"/>
                <w:noProof/>
                <w:sz w:val="18"/>
                <w:szCs w:val="18"/>
                <w:vertAlign w:val="superscript"/>
                <w:lang w:val="en-US" w:eastAsia="en-MY"/>
              </w:rPr>
            </w:pPr>
            <w:r w:rsidRPr="004B57AF">
              <w:rPr>
                <w:rFonts w:ascii="Arial" w:eastAsia="Times New Roman" w:hAnsi="Arial" w:cs="Arial"/>
                <w:noProof/>
                <w:sz w:val="18"/>
                <w:szCs w:val="18"/>
                <w:lang w:val="en-US" w:eastAsia="en-MY"/>
              </w:rPr>
              <w:t xml:space="preserve">200 (300) </w:t>
            </w:r>
          </w:p>
        </w:tc>
        <w:tc>
          <w:tcPr>
            <w:tcW w:w="343" w:type="pct"/>
            <w:shd w:val="clear" w:color="auto" w:fill="auto"/>
            <w:noWrap/>
            <w:vAlign w:val="center"/>
          </w:tcPr>
          <w:p w14:paraId="187F6652"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49</w:t>
            </w:r>
          </w:p>
        </w:tc>
        <w:tc>
          <w:tcPr>
            <w:tcW w:w="548" w:type="pct"/>
            <w:shd w:val="clear" w:color="auto" w:fill="auto"/>
            <w:noWrap/>
            <w:vAlign w:val="center"/>
          </w:tcPr>
          <w:p w14:paraId="10EAD4E4"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b/>
                <w:bCs/>
                <w:noProof/>
                <w:sz w:val="18"/>
                <w:szCs w:val="18"/>
                <w:lang w:val="en-US"/>
              </w:rPr>
              <w:t>&lt;0.001</w:t>
            </w:r>
          </w:p>
        </w:tc>
      </w:tr>
      <w:tr w:rsidR="006A752F" w:rsidRPr="00214987" w14:paraId="1265C91F" w14:textId="77777777" w:rsidTr="006A752F">
        <w:trPr>
          <w:trHeight w:val="301"/>
        </w:trPr>
        <w:tc>
          <w:tcPr>
            <w:tcW w:w="2259" w:type="pct"/>
            <w:shd w:val="clear" w:color="auto" w:fill="auto"/>
            <w:noWrap/>
            <w:vAlign w:val="center"/>
          </w:tcPr>
          <w:p w14:paraId="432B59AE" w14:textId="0D079ADD"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Baseline ACQ6, median (IQR) </w:t>
            </w:r>
            <w:r w:rsidRPr="004B57AF">
              <w:rPr>
                <w:rFonts w:ascii="Arial" w:eastAsia="Times New Roman" w:hAnsi="Arial" w:cs="Arial"/>
                <w:noProof/>
                <w:sz w:val="20"/>
                <w:szCs w:val="20"/>
                <w:vertAlign w:val="superscript"/>
                <w:lang w:val="en-US" w:eastAsia="en-MY"/>
              </w:rPr>
              <w:t>b,c</w:t>
            </w:r>
          </w:p>
        </w:tc>
        <w:tc>
          <w:tcPr>
            <w:tcW w:w="685" w:type="pct"/>
            <w:vAlign w:val="center"/>
          </w:tcPr>
          <w:p w14:paraId="1A2E972C" w14:textId="0A9FC2E5"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2.67 (1.67) </w:t>
            </w:r>
          </w:p>
        </w:tc>
        <w:tc>
          <w:tcPr>
            <w:tcW w:w="413" w:type="pct"/>
            <w:vAlign w:val="center"/>
          </w:tcPr>
          <w:p w14:paraId="086A3347"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753" w:type="pct"/>
            <w:shd w:val="clear" w:color="auto" w:fill="auto"/>
            <w:noWrap/>
            <w:vAlign w:val="center"/>
          </w:tcPr>
          <w:p w14:paraId="6D3DD86C" w14:textId="3BA8A9BB"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 xml:space="preserve">3 (1.8) </w:t>
            </w:r>
          </w:p>
        </w:tc>
        <w:tc>
          <w:tcPr>
            <w:tcW w:w="343" w:type="pct"/>
            <w:shd w:val="clear" w:color="auto" w:fill="auto"/>
            <w:noWrap/>
            <w:vAlign w:val="center"/>
          </w:tcPr>
          <w:p w14:paraId="78A498D3"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11</w:t>
            </w:r>
          </w:p>
        </w:tc>
        <w:tc>
          <w:tcPr>
            <w:tcW w:w="548" w:type="pct"/>
            <w:shd w:val="clear" w:color="auto" w:fill="auto"/>
            <w:noWrap/>
            <w:vAlign w:val="center"/>
          </w:tcPr>
          <w:p w14:paraId="3BA70B35"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0.795</w:t>
            </w:r>
          </w:p>
        </w:tc>
      </w:tr>
      <w:tr w:rsidR="006A752F" w:rsidRPr="00214987" w14:paraId="2FDC719A" w14:textId="77777777" w:rsidTr="006A752F">
        <w:trPr>
          <w:trHeight w:val="303"/>
        </w:trPr>
        <w:tc>
          <w:tcPr>
            <w:tcW w:w="2259" w:type="pct"/>
            <w:shd w:val="clear" w:color="auto" w:fill="auto"/>
            <w:noWrap/>
            <w:vAlign w:val="center"/>
          </w:tcPr>
          <w:p w14:paraId="65E16E12" w14:textId="0003F36D"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Baseline FENO, median (IQR) – ppb </w:t>
            </w:r>
            <w:r w:rsidRPr="004B57AF">
              <w:rPr>
                <w:rFonts w:ascii="Arial" w:eastAsia="Times New Roman" w:hAnsi="Arial" w:cs="Arial"/>
                <w:noProof/>
                <w:sz w:val="20"/>
                <w:szCs w:val="20"/>
                <w:vertAlign w:val="superscript"/>
                <w:lang w:val="en-US" w:eastAsia="en-MY"/>
              </w:rPr>
              <w:t>b,c</w:t>
            </w:r>
          </w:p>
        </w:tc>
        <w:tc>
          <w:tcPr>
            <w:tcW w:w="685" w:type="pct"/>
            <w:vAlign w:val="center"/>
          </w:tcPr>
          <w:p w14:paraId="5293047E" w14:textId="2E0474A1"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36 (52) </w:t>
            </w:r>
          </w:p>
        </w:tc>
        <w:tc>
          <w:tcPr>
            <w:tcW w:w="413" w:type="pct"/>
            <w:vAlign w:val="center"/>
          </w:tcPr>
          <w:p w14:paraId="6D204770"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753" w:type="pct"/>
            <w:shd w:val="clear" w:color="auto" w:fill="auto"/>
            <w:noWrap/>
            <w:vAlign w:val="center"/>
          </w:tcPr>
          <w:p w14:paraId="0A618296" w14:textId="703851D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 xml:space="preserve">16.85 (24.65) </w:t>
            </w:r>
          </w:p>
        </w:tc>
        <w:tc>
          <w:tcPr>
            <w:tcW w:w="343" w:type="pct"/>
            <w:shd w:val="clear" w:color="auto" w:fill="auto"/>
            <w:noWrap/>
            <w:vAlign w:val="center"/>
          </w:tcPr>
          <w:p w14:paraId="59DB615F"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50</w:t>
            </w:r>
          </w:p>
        </w:tc>
        <w:tc>
          <w:tcPr>
            <w:tcW w:w="548" w:type="pct"/>
            <w:shd w:val="clear" w:color="auto" w:fill="auto"/>
            <w:noWrap/>
            <w:vAlign w:val="center"/>
          </w:tcPr>
          <w:p w14:paraId="60AEE036"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hAnsi="Arial" w:cs="Arial"/>
                <w:b/>
                <w:bCs/>
                <w:noProof/>
                <w:sz w:val="18"/>
                <w:szCs w:val="18"/>
                <w:lang w:val="en-US"/>
              </w:rPr>
              <w:t>&lt;0.001</w:t>
            </w:r>
          </w:p>
        </w:tc>
      </w:tr>
      <w:tr w:rsidR="006A752F" w:rsidRPr="00214987" w14:paraId="4BEBAA9D" w14:textId="77777777" w:rsidTr="006A752F">
        <w:trPr>
          <w:trHeight w:val="321"/>
        </w:trPr>
        <w:tc>
          <w:tcPr>
            <w:tcW w:w="2259" w:type="pct"/>
            <w:shd w:val="clear" w:color="auto" w:fill="auto"/>
            <w:noWrap/>
            <w:vAlign w:val="center"/>
          </w:tcPr>
          <w:p w14:paraId="36FEEFB2" w14:textId="7FE869C2"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Baseline Clinic FEV</w:t>
            </w:r>
            <w:r w:rsidRPr="004B57AF">
              <w:rPr>
                <w:rFonts w:ascii="Arial" w:eastAsia="Times New Roman" w:hAnsi="Arial" w:cs="Arial"/>
                <w:b/>
                <w:bCs/>
                <w:noProof/>
                <w:sz w:val="20"/>
                <w:szCs w:val="20"/>
                <w:vertAlign w:val="subscript"/>
                <w:lang w:val="en-US" w:eastAsia="en-MY"/>
              </w:rPr>
              <w:t>1</w:t>
            </w:r>
            <w:r w:rsidRPr="004B57AF">
              <w:rPr>
                <w:rFonts w:ascii="Arial" w:eastAsia="Times New Roman" w:hAnsi="Arial" w:cs="Arial"/>
                <w:b/>
                <w:bCs/>
                <w:noProof/>
                <w:sz w:val="20"/>
                <w:szCs w:val="20"/>
                <w:lang w:val="en-US" w:eastAsia="en-MY"/>
              </w:rPr>
              <w:t xml:space="preserve"> %, mean (SD) </w:t>
            </w:r>
            <w:r w:rsidRPr="004B57AF">
              <w:rPr>
                <w:rFonts w:ascii="Arial" w:eastAsia="Times New Roman" w:hAnsi="Arial" w:cs="Arial"/>
                <w:noProof/>
                <w:sz w:val="20"/>
                <w:szCs w:val="20"/>
                <w:vertAlign w:val="superscript"/>
                <w:lang w:val="en-US" w:eastAsia="en-MY"/>
              </w:rPr>
              <w:t>b,c</w:t>
            </w:r>
          </w:p>
        </w:tc>
        <w:tc>
          <w:tcPr>
            <w:tcW w:w="685" w:type="pct"/>
            <w:vAlign w:val="center"/>
          </w:tcPr>
          <w:p w14:paraId="54A1CB97" w14:textId="7BFB091F"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67.1 (20.77) </w:t>
            </w:r>
          </w:p>
        </w:tc>
        <w:tc>
          <w:tcPr>
            <w:tcW w:w="413" w:type="pct"/>
            <w:vAlign w:val="center"/>
          </w:tcPr>
          <w:p w14:paraId="5E0C490E"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753" w:type="pct"/>
            <w:shd w:val="clear" w:color="auto" w:fill="auto"/>
            <w:noWrap/>
            <w:vAlign w:val="center"/>
          </w:tcPr>
          <w:p w14:paraId="185B78D4" w14:textId="6899D2C9"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 xml:space="preserve">76.78 (23.37) </w:t>
            </w:r>
          </w:p>
        </w:tc>
        <w:tc>
          <w:tcPr>
            <w:tcW w:w="343" w:type="pct"/>
            <w:shd w:val="clear" w:color="auto" w:fill="auto"/>
            <w:noWrap/>
            <w:vAlign w:val="center"/>
          </w:tcPr>
          <w:p w14:paraId="08370F39"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57</w:t>
            </w:r>
          </w:p>
        </w:tc>
        <w:tc>
          <w:tcPr>
            <w:tcW w:w="548" w:type="pct"/>
            <w:shd w:val="clear" w:color="auto" w:fill="auto"/>
            <w:noWrap/>
            <w:vAlign w:val="center"/>
          </w:tcPr>
          <w:p w14:paraId="61927DA9"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hAnsi="Arial" w:cs="Arial"/>
                <w:b/>
                <w:bCs/>
                <w:noProof/>
                <w:sz w:val="18"/>
                <w:szCs w:val="18"/>
                <w:lang w:val="en-US"/>
              </w:rPr>
              <w:t>0.007</w:t>
            </w:r>
          </w:p>
        </w:tc>
      </w:tr>
      <w:tr w:rsidR="006A752F" w:rsidRPr="00214987" w14:paraId="6CBBAA21" w14:textId="77777777" w:rsidTr="006A752F">
        <w:trPr>
          <w:trHeight w:val="301"/>
        </w:trPr>
        <w:tc>
          <w:tcPr>
            <w:tcW w:w="2259" w:type="pct"/>
            <w:shd w:val="clear" w:color="auto" w:fill="auto"/>
            <w:noWrap/>
            <w:vAlign w:val="center"/>
          </w:tcPr>
          <w:p w14:paraId="5BDA0180" w14:textId="2DBE8378"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BMI, median (IQR) – kgm</w:t>
            </w:r>
            <w:r w:rsidRPr="004B57AF">
              <w:rPr>
                <w:rFonts w:ascii="Arial" w:eastAsia="Times New Roman" w:hAnsi="Arial" w:cs="Arial"/>
                <w:b/>
                <w:bCs/>
                <w:noProof/>
                <w:sz w:val="20"/>
                <w:szCs w:val="20"/>
                <w:vertAlign w:val="superscript"/>
                <w:lang w:val="en-US" w:eastAsia="en-MY"/>
              </w:rPr>
              <w:t>-2</w:t>
            </w:r>
            <w:r w:rsidRPr="004B57AF">
              <w:rPr>
                <w:rFonts w:ascii="Arial" w:eastAsia="Times New Roman" w:hAnsi="Arial" w:cs="Arial"/>
                <w:b/>
                <w:bCs/>
                <w:noProof/>
                <w:sz w:val="20"/>
                <w:szCs w:val="20"/>
                <w:lang w:val="en-US" w:eastAsia="en-MY"/>
              </w:rPr>
              <w:t xml:space="preserve"> </w:t>
            </w:r>
          </w:p>
        </w:tc>
        <w:tc>
          <w:tcPr>
            <w:tcW w:w="685" w:type="pct"/>
            <w:vAlign w:val="center"/>
          </w:tcPr>
          <w:p w14:paraId="1ECC1CA1" w14:textId="77777777"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28.95 (28.95)</w:t>
            </w:r>
          </w:p>
        </w:tc>
        <w:tc>
          <w:tcPr>
            <w:tcW w:w="413" w:type="pct"/>
            <w:vAlign w:val="center"/>
          </w:tcPr>
          <w:p w14:paraId="1773146C"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34E33519"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30.8 (10.8)</w:t>
            </w:r>
          </w:p>
        </w:tc>
        <w:tc>
          <w:tcPr>
            <w:tcW w:w="343" w:type="pct"/>
            <w:shd w:val="clear" w:color="auto" w:fill="auto"/>
            <w:noWrap/>
            <w:vAlign w:val="center"/>
          </w:tcPr>
          <w:p w14:paraId="0B78CCF6"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548" w:type="pct"/>
            <w:shd w:val="clear" w:color="auto" w:fill="auto"/>
            <w:noWrap/>
            <w:vAlign w:val="center"/>
          </w:tcPr>
          <w:p w14:paraId="3E195416"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0.214</w:t>
            </w:r>
          </w:p>
        </w:tc>
      </w:tr>
      <w:tr w:rsidR="006A752F" w:rsidRPr="00214987" w14:paraId="53CD2650" w14:textId="77777777" w:rsidTr="006A752F">
        <w:trPr>
          <w:trHeight w:val="309"/>
        </w:trPr>
        <w:tc>
          <w:tcPr>
            <w:tcW w:w="2259" w:type="pct"/>
            <w:shd w:val="clear" w:color="auto" w:fill="auto"/>
            <w:noWrap/>
            <w:vAlign w:val="center"/>
          </w:tcPr>
          <w:p w14:paraId="767AA188" w14:textId="77777777"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Age of asthma diagnosis, median (IQR) - y</w:t>
            </w:r>
          </w:p>
        </w:tc>
        <w:tc>
          <w:tcPr>
            <w:tcW w:w="685" w:type="pct"/>
            <w:vAlign w:val="center"/>
          </w:tcPr>
          <w:p w14:paraId="7B11B9B8" w14:textId="77777777"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28 (38.5)</w:t>
            </w:r>
          </w:p>
        </w:tc>
        <w:tc>
          <w:tcPr>
            <w:tcW w:w="413" w:type="pct"/>
            <w:vAlign w:val="center"/>
          </w:tcPr>
          <w:p w14:paraId="720EB11E"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753" w:type="pct"/>
            <w:shd w:val="clear" w:color="auto" w:fill="auto"/>
            <w:noWrap/>
            <w:vAlign w:val="center"/>
          </w:tcPr>
          <w:p w14:paraId="38ADADAE"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20 (35)</w:t>
            </w:r>
          </w:p>
        </w:tc>
        <w:tc>
          <w:tcPr>
            <w:tcW w:w="343" w:type="pct"/>
            <w:shd w:val="clear" w:color="auto" w:fill="auto"/>
            <w:noWrap/>
            <w:vAlign w:val="center"/>
          </w:tcPr>
          <w:p w14:paraId="79ECC7B2"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9</w:t>
            </w:r>
          </w:p>
        </w:tc>
        <w:tc>
          <w:tcPr>
            <w:tcW w:w="548" w:type="pct"/>
            <w:shd w:val="clear" w:color="auto" w:fill="auto"/>
            <w:noWrap/>
            <w:vAlign w:val="center"/>
          </w:tcPr>
          <w:p w14:paraId="5DB3BFAD"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hAnsi="Arial" w:cs="Arial"/>
                <w:b/>
                <w:bCs/>
                <w:noProof/>
                <w:sz w:val="18"/>
                <w:szCs w:val="18"/>
                <w:lang w:val="en-US"/>
              </w:rPr>
              <w:t>0.039</w:t>
            </w:r>
          </w:p>
        </w:tc>
      </w:tr>
      <w:tr w:rsidR="006A752F" w:rsidRPr="00214987" w14:paraId="7D05C3C5" w14:textId="77777777" w:rsidTr="006A752F">
        <w:trPr>
          <w:trHeight w:val="367"/>
        </w:trPr>
        <w:tc>
          <w:tcPr>
            <w:tcW w:w="2259" w:type="pct"/>
            <w:shd w:val="clear" w:color="auto" w:fill="auto"/>
            <w:noWrap/>
            <w:vAlign w:val="center"/>
            <w:hideMark/>
          </w:tcPr>
          <w:p w14:paraId="0043BC6F" w14:textId="77777777"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Age, median (IQR) - y</w:t>
            </w:r>
          </w:p>
        </w:tc>
        <w:tc>
          <w:tcPr>
            <w:tcW w:w="685" w:type="pct"/>
            <w:vAlign w:val="center"/>
          </w:tcPr>
          <w:p w14:paraId="7A535A2A" w14:textId="77777777"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61 (19)</w:t>
            </w:r>
          </w:p>
        </w:tc>
        <w:tc>
          <w:tcPr>
            <w:tcW w:w="413" w:type="pct"/>
            <w:vAlign w:val="center"/>
          </w:tcPr>
          <w:p w14:paraId="6AB6F152"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0754BE92"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54.5 (25)</w:t>
            </w:r>
          </w:p>
        </w:tc>
        <w:tc>
          <w:tcPr>
            <w:tcW w:w="343" w:type="pct"/>
            <w:shd w:val="clear" w:color="auto" w:fill="auto"/>
            <w:noWrap/>
            <w:vAlign w:val="center"/>
          </w:tcPr>
          <w:p w14:paraId="591F8A1B"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548" w:type="pct"/>
            <w:shd w:val="clear" w:color="auto" w:fill="auto"/>
            <w:noWrap/>
            <w:vAlign w:val="center"/>
          </w:tcPr>
          <w:p w14:paraId="2AF7BC76"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b/>
                <w:bCs/>
                <w:noProof/>
                <w:sz w:val="18"/>
                <w:szCs w:val="18"/>
                <w:lang w:val="en-US" w:eastAsia="en-MY"/>
              </w:rPr>
              <w:t>0.015</w:t>
            </w:r>
          </w:p>
        </w:tc>
      </w:tr>
      <w:tr w:rsidR="006A752F" w:rsidRPr="00214987" w14:paraId="7E83C11E" w14:textId="77777777" w:rsidTr="006A752F">
        <w:trPr>
          <w:trHeight w:val="359"/>
        </w:trPr>
        <w:tc>
          <w:tcPr>
            <w:tcW w:w="2259" w:type="pct"/>
            <w:shd w:val="clear" w:color="auto" w:fill="auto"/>
            <w:noWrap/>
            <w:vAlign w:val="center"/>
          </w:tcPr>
          <w:p w14:paraId="613452A7" w14:textId="77777777"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p>
        </w:tc>
        <w:tc>
          <w:tcPr>
            <w:tcW w:w="685" w:type="pct"/>
            <w:vAlign w:val="center"/>
          </w:tcPr>
          <w:p w14:paraId="19CDA814" w14:textId="77777777"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Percentage (N)</w:t>
            </w:r>
          </w:p>
        </w:tc>
        <w:tc>
          <w:tcPr>
            <w:tcW w:w="413" w:type="pct"/>
            <w:vAlign w:val="center"/>
          </w:tcPr>
          <w:p w14:paraId="01B5BBB8"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Missing</w:t>
            </w:r>
          </w:p>
        </w:tc>
        <w:tc>
          <w:tcPr>
            <w:tcW w:w="753" w:type="pct"/>
            <w:shd w:val="clear" w:color="auto" w:fill="auto"/>
            <w:noWrap/>
            <w:vAlign w:val="center"/>
          </w:tcPr>
          <w:p w14:paraId="33EF3B04" w14:textId="77777777" w:rsidR="004B57AF" w:rsidRPr="0019704E" w:rsidRDefault="004B57AF" w:rsidP="000B3481">
            <w:pPr>
              <w:spacing w:after="0" w:line="240" w:lineRule="auto"/>
              <w:jc w:val="center"/>
              <w:rPr>
                <w:rFonts w:ascii="Arial" w:eastAsia="Times New Roman" w:hAnsi="Arial" w:cs="Arial"/>
                <w:noProof/>
                <w:sz w:val="18"/>
                <w:szCs w:val="18"/>
                <w:lang w:val="en-US" w:eastAsia="en-MY"/>
              </w:rPr>
            </w:pPr>
            <w:r w:rsidRPr="0019704E">
              <w:rPr>
                <w:rFonts w:ascii="Arial" w:eastAsia="Times New Roman" w:hAnsi="Arial" w:cs="Arial"/>
                <w:noProof/>
                <w:sz w:val="18"/>
                <w:szCs w:val="18"/>
                <w:lang w:val="en-US" w:eastAsia="en-MY"/>
              </w:rPr>
              <w:t>Percentage (N)</w:t>
            </w:r>
          </w:p>
        </w:tc>
        <w:tc>
          <w:tcPr>
            <w:tcW w:w="343" w:type="pct"/>
            <w:shd w:val="clear" w:color="auto" w:fill="auto"/>
            <w:noWrap/>
            <w:vAlign w:val="center"/>
          </w:tcPr>
          <w:p w14:paraId="7BB7D2A2"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Missing</w:t>
            </w:r>
          </w:p>
        </w:tc>
        <w:tc>
          <w:tcPr>
            <w:tcW w:w="548" w:type="pct"/>
            <w:shd w:val="clear" w:color="auto" w:fill="auto"/>
            <w:noWrap/>
            <w:vAlign w:val="center"/>
          </w:tcPr>
          <w:p w14:paraId="04319DEA" w14:textId="77777777" w:rsidR="004B57AF" w:rsidRPr="0019704E" w:rsidRDefault="004B57AF" w:rsidP="000B3481">
            <w:pPr>
              <w:spacing w:after="0" w:line="240" w:lineRule="auto"/>
              <w:jc w:val="center"/>
              <w:rPr>
                <w:rFonts w:ascii="Arial" w:eastAsia="Times New Roman" w:hAnsi="Arial" w:cs="Arial"/>
                <w:noProof/>
                <w:sz w:val="18"/>
                <w:szCs w:val="18"/>
                <w:lang w:val="en-US" w:eastAsia="en-MY"/>
              </w:rPr>
            </w:pPr>
            <w:r w:rsidRPr="0019704E">
              <w:rPr>
                <w:rFonts w:ascii="Arial" w:eastAsia="Times New Roman" w:hAnsi="Arial" w:cs="Arial"/>
                <w:noProof/>
                <w:sz w:val="18"/>
                <w:szCs w:val="18"/>
                <w:lang w:val="en-US" w:eastAsia="en-MY"/>
              </w:rPr>
              <w:t>P-value</w:t>
            </w:r>
          </w:p>
        </w:tc>
      </w:tr>
      <w:tr w:rsidR="006A752F" w:rsidRPr="00214987" w14:paraId="56A3CEA1" w14:textId="77777777" w:rsidTr="006A752F">
        <w:trPr>
          <w:trHeight w:val="387"/>
        </w:trPr>
        <w:tc>
          <w:tcPr>
            <w:tcW w:w="2259" w:type="pct"/>
            <w:shd w:val="clear" w:color="auto" w:fill="auto"/>
            <w:noWrap/>
            <w:vAlign w:val="center"/>
          </w:tcPr>
          <w:p w14:paraId="1F94950F" w14:textId="60338D4D"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Multiple AHE (&gt;1), Yes </w:t>
            </w:r>
            <w:r w:rsidRPr="004B57AF">
              <w:rPr>
                <w:rFonts w:ascii="Arial" w:eastAsia="Times New Roman" w:hAnsi="Arial" w:cs="Arial"/>
                <w:noProof/>
                <w:sz w:val="20"/>
                <w:szCs w:val="20"/>
                <w:vertAlign w:val="superscript"/>
                <w:lang w:val="en-US" w:eastAsia="en-MY"/>
              </w:rPr>
              <w:t>a,b</w:t>
            </w:r>
          </w:p>
        </w:tc>
        <w:tc>
          <w:tcPr>
            <w:tcW w:w="685" w:type="pct"/>
            <w:vAlign w:val="center"/>
          </w:tcPr>
          <w:p w14:paraId="27B78EF1" w14:textId="618102A6"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 xml:space="preserve">16.9% (10) </w:t>
            </w:r>
          </w:p>
        </w:tc>
        <w:tc>
          <w:tcPr>
            <w:tcW w:w="413" w:type="pct"/>
            <w:vAlign w:val="center"/>
          </w:tcPr>
          <w:p w14:paraId="47F37171"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3</w:t>
            </w:r>
          </w:p>
        </w:tc>
        <w:tc>
          <w:tcPr>
            <w:tcW w:w="753" w:type="pct"/>
            <w:shd w:val="clear" w:color="auto" w:fill="auto"/>
            <w:noWrap/>
            <w:vAlign w:val="center"/>
          </w:tcPr>
          <w:p w14:paraId="6153D73D" w14:textId="76905071"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 xml:space="preserve">24.3% (43) </w:t>
            </w:r>
          </w:p>
        </w:tc>
        <w:tc>
          <w:tcPr>
            <w:tcW w:w="343" w:type="pct"/>
            <w:shd w:val="clear" w:color="auto" w:fill="auto"/>
            <w:noWrap/>
            <w:vAlign w:val="center"/>
          </w:tcPr>
          <w:p w14:paraId="68751B2C"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5</w:t>
            </w:r>
          </w:p>
        </w:tc>
        <w:tc>
          <w:tcPr>
            <w:tcW w:w="548" w:type="pct"/>
            <w:shd w:val="clear" w:color="auto" w:fill="auto"/>
            <w:noWrap/>
            <w:vAlign w:val="center"/>
          </w:tcPr>
          <w:p w14:paraId="72342CB3"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0.242</w:t>
            </w:r>
          </w:p>
        </w:tc>
      </w:tr>
      <w:tr w:rsidR="006A752F" w:rsidRPr="00214987" w14:paraId="0C69EFDF" w14:textId="77777777" w:rsidTr="006A752F">
        <w:trPr>
          <w:trHeight w:val="280"/>
        </w:trPr>
        <w:tc>
          <w:tcPr>
            <w:tcW w:w="2259" w:type="pct"/>
            <w:shd w:val="clear" w:color="auto" w:fill="auto"/>
            <w:noWrap/>
            <w:vAlign w:val="center"/>
          </w:tcPr>
          <w:p w14:paraId="653ADD37" w14:textId="73A8CC9C"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On Maintenance OCS at baseline, Yes </w:t>
            </w:r>
            <w:r w:rsidRPr="004B57AF">
              <w:rPr>
                <w:rFonts w:ascii="Arial" w:eastAsia="Times New Roman" w:hAnsi="Arial" w:cs="Arial"/>
                <w:noProof/>
                <w:sz w:val="20"/>
                <w:szCs w:val="20"/>
                <w:vertAlign w:val="superscript"/>
                <w:lang w:val="en-US" w:eastAsia="en-MY"/>
              </w:rPr>
              <w:t>b,c</w:t>
            </w:r>
          </w:p>
        </w:tc>
        <w:tc>
          <w:tcPr>
            <w:tcW w:w="685" w:type="pct"/>
            <w:vAlign w:val="center"/>
          </w:tcPr>
          <w:p w14:paraId="1F96D01E" w14:textId="2D4F7771"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 xml:space="preserve">72.6% (45) </w:t>
            </w:r>
          </w:p>
        </w:tc>
        <w:tc>
          <w:tcPr>
            <w:tcW w:w="413" w:type="pct"/>
            <w:vAlign w:val="center"/>
          </w:tcPr>
          <w:p w14:paraId="77BAE2BD"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579976AD" w14:textId="196AFD3C"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 xml:space="preserve">30.6% (53) </w:t>
            </w:r>
          </w:p>
        </w:tc>
        <w:tc>
          <w:tcPr>
            <w:tcW w:w="343" w:type="pct"/>
            <w:shd w:val="clear" w:color="auto" w:fill="auto"/>
            <w:noWrap/>
            <w:vAlign w:val="center"/>
          </w:tcPr>
          <w:p w14:paraId="356ABB2B"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548" w:type="pct"/>
            <w:shd w:val="clear" w:color="auto" w:fill="auto"/>
            <w:noWrap/>
            <w:vAlign w:val="center"/>
          </w:tcPr>
          <w:p w14:paraId="0BF9E244"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eastAsia="Times New Roman" w:hAnsi="Arial" w:cs="Arial"/>
                <w:b/>
                <w:bCs/>
                <w:noProof/>
                <w:sz w:val="18"/>
                <w:szCs w:val="18"/>
                <w:lang w:val="en-US" w:eastAsia="en-MY"/>
              </w:rPr>
              <w:t>&lt;0.001</w:t>
            </w:r>
          </w:p>
        </w:tc>
      </w:tr>
      <w:tr w:rsidR="006A752F" w:rsidRPr="00214987" w14:paraId="1E62CD9C" w14:textId="77777777" w:rsidTr="006A752F">
        <w:trPr>
          <w:trHeight w:val="280"/>
        </w:trPr>
        <w:tc>
          <w:tcPr>
            <w:tcW w:w="2259" w:type="pct"/>
            <w:shd w:val="clear" w:color="auto" w:fill="auto"/>
            <w:noWrap/>
            <w:vAlign w:val="center"/>
            <w:hideMark/>
          </w:tcPr>
          <w:p w14:paraId="5723F515" w14:textId="77777777"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Adult-onset asthma, Yes</w:t>
            </w:r>
          </w:p>
        </w:tc>
        <w:tc>
          <w:tcPr>
            <w:tcW w:w="685" w:type="pct"/>
            <w:vAlign w:val="center"/>
          </w:tcPr>
          <w:p w14:paraId="22E0A4C7"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60.7% (37)</w:t>
            </w:r>
          </w:p>
        </w:tc>
        <w:tc>
          <w:tcPr>
            <w:tcW w:w="413" w:type="pct"/>
            <w:vAlign w:val="center"/>
          </w:tcPr>
          <w:p w14:paraId="1F1E2276"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1</w:t>
            </w:r>
          </w:p>
        </w:tc>
        <w:tc>
          <w:tcPr>
            <w:tcW w:w="753" w:type="pct"/>
            <w:shd w:val="clear" w:color="auto" w:fill="auto"/>
            <w:noWrap/>
            <w:vAlign w:val="center"/>
          </w:tcPr>
          <w:p w14:paraId="621CDD3C"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52.7% (89)</w:t>
            </w:r>
          </w:p>
        </w:tc>
        <w:tc>
          <w:tcPr>
            <w:tcW w:w="343" w:type="pct"/>
            <w:shd w:val="clear" w:color="auto" w:fill="auto"/>
            <w:noWrap/>
            <w:vAlign w:val="center"/>
          </w:tcPr>
          <w:p w14:paraId="086034DF"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9</w:t>
            </w:r>
          </w:p>
        </w:tc>
        <w:tc>
          <w:tcPr>
            <w:tcW w:w="548" w:type="pct"/>
            <w:shd w:val="clear" w:color="auto" w:fill="auto"/>
            <w:noWrap/>
            <w:vAlign w:val="center"/>
          </w:tcPr>
          <w:p w14:paraId="38473256"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eastAsia="Times New Roman" w:hAnsi="Arial" w:cs="Arial"/>
                <w:noProof/>
                <w:sz w:val="18"/>
                <w:szCs w:val="18"/>
                <w:lang w:val="en-US" w:eastAsia="en-MY"/>
              </w:rPr>
              <w:t>0.282</w:t>
            </w:r>
          </w:p>
        </w:tc>
      </w:tr>
      <w:tr w:rsidR="006A752F" w:rsidRPr="00214987" w14:paraId="5BD2CB5D" w14:textId="77777777" w:rsidTr="006A752F">
        <w:trPr>
          <w:trHeight w:val="280"/>
        </w:trPr>
        <w:tc>
          <w:tcPr>
            <w:tcW w:w="2259" w:type="pct"/>
            <w:shd w:val="clear" w:color="auto" w:fill="auto"/>
            <w:noWrap/>
            <w:vAlign w:val="center"/>
          </w:tcPr>
          <w:p w14:paraId="4F768E45" w14:textId="77777777"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Sex, Male </w:t>
            </w:r>
          </w:p>
        </w:tc>
        <w:tc>
          <w:tcPr>
            <w:tcW w:w="685" w:type="pct"/>
            <w:vAlign w:val="center"/>
          </w:tcPr>
          <w:p w14:paraId="518E6062"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53.2% (33)</w:t>
            </w:r>
          </w:p>
        </w:tc>
        <w:tc>
          <w:tcPr>
            <w:tcW w:w="413" w:type="pct"/>
            <w:vAlign w:val="center"/>
          </w:tcPr>
          <w:p w14:paraId="5E147341"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519674C8"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29.8% (53)</w:t>
            </w:r>
          </w:p>
        </w:tc>
        <w:tc>
          <w:tcPr>
            <w:tcW w:w="343" w:type="pct"/>
            <w:shd w:val="clear" w:color="auto" w:fill="auto"/>
            <w:noWrap/>
            <w:vAlign w:val="center"/>
          </w:tcPr>
          <w:p w14:paraId="140AF347"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548" w:type="pct"/>
            <w:shd w:val="clear" w:color="auto" w:fill="auto"/>
            <w:noWrap/>
            <w:vAlign w:val="center"/>
          </w:tcPr>
          <w:p w14:paraId="0859104B"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b/>
                <w:bCs/>
                <w:noProof/>
                <w:sz w:val="18"/>
                <w:szCs w:val="18"/>
                <w:lang w:val="en-US" w:eastAsia="en-MY"/>
              </w:rPr>
              <w:t>0.001</w:t>
            </w:r>
          </w:p>
        </w:tc>
      </w:tr>
      <w:tr w:rsidR="006A752F" w:rsidRPr="00214987" w14:paraId="214F36CF" w14:textId="77777777" w:rsidTr="006A752F">
        <w:trPr>
          <w:trHeight w:val="280"/>
        </w:trPr>
        <w:tc>
          <w:tcPr>
            <w:tcW w:w="2259" w:type="pct"/>
            <w:shd w:val="clear" w:color="auto" w:fill="auto"/>
            <w:noWrap/>
            <w:vAlign w:val="center"/>
          </w:tcPr>
          <w:p w14:paraId="40D08F82" w14:textId="77777777"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Ethnicity, White</w:t>
            </w:r>
          </w:p>
        </w:tc>
        <w:tc>
          <w:tcPr>
            <w:tcW w:w="685" w:type="pct"/>
            <w:vAlign w:val="center"/>
          </w:tcPr>
          <w:p w14:paraId="5685C7A5"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91.9% (57)</w:t>
            </w:r>
          </w:p>
        </w:tc>
        <w:tc>
          <w:tcPr>
            <w:tcW w:w="413" w:type="pct"/>
            <w:vAlign w:val="center"/>
          </w:tcPr>
          <w:p w14:paraId="6548E645"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38B6E365"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94.9% (169)</w:t>
            </w:r>
          </w:p>
        </w:tc>
        <w:tc>
          <w:tcPr>
            <w:tcW w:w="343" w:type="pct"/>
            <w:shd w:val="clear" w:color="auto" w:fill="auto"/>
            <w:noWrap/>
            <w:vAlign w:val="center"/>
          </w:tcPr>
          <w:p w14:paraId="5B3E7CF8"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548" w:type="pct"/>
            <w:shd w:val="clear" w:color="auto" w:fill="auto"/>
            <w:noWrap/>
            <w:vAlign w:val="center"/>
          </w:tcPr>
          <w:p w14:paraId="3648C8E1"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hAnsi="Arial" w:cs="Arial"/>
                <w:noProof/>
                <w:sz w:val="18"/>
                <w:szCs w:val="18"/>
                <w:lang w:val="en-US"/>
              </w:rPr>
              <w:t>0.362</w:t>
            </w:r>
          </w:p>
        </w:tc>
      </w:tr>
      <w:tr w:rsidR="006A752F" w:rsidRPr="00214987" w14:paraId="0B3D8751" w14:textId="77777777" w:rsidTr="006A752F">
        <w:trPr>
          <w:trHeight w:val="280"/>
        </w:trPr>
        <w:tc>
          <w:tcPr>
            <w:tcW w:w="2259" w:type="pct"/>
            <w:shd w:val="clear" w:color="auto" w:fill="auto"/>
            <w:noWrap/>
            <w:vAlign w:val="center"/>
          </w:tcPr>
          <w:p w14:paraId="76F65938" w14:textId="76F99108"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Rhinitis, Ever </w:t>
            </w:r>
          </w:p>
        </w:tc>
        <w:tc>
          <w:tcPr>
            <w:tcW w:w="685" w:type="pct"/>
            <w:vAlign w:val="center"/>
          </w:tcPr>
          <w:p w14:paraId="196DBBE0"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72.9% (43)</w:t>
            </w:r>
          </w:p>
        </w:tc>
        <w:tc>
          <w:tcPr>
            <w:tcW w:w="413" w:type="pct"/>
            <w:vAlign w:val="center"/>
          </w:tcPr>
          <w:p w14:paraId="21CD477C"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3</w:t>
            </w:r>
          </w:p>
        </w:tc>
        <w:tc>
          <w:tcPr>
            <w:tcW w:w="753" w:type="pct"/>
            <w:shd w:val="clear" w:color="auto" w:fill="auto"/>
            <w:noWrap/>
            <w:vAlign w:val="center"/>
          </w:tcPr>
          <w:p w14:paraId="5B3C21FC"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60.1% (95)</w:t>
            </w:r>
          </w:p>
        </w:tc>
        <w:tc>
          <w:tcPr>
            <w:tcW w:w="343" w:type="pct"/>
            <w:shd w:val="clear" w:color="auto" w:fill="auto"/>
            <w:noWrap/>
            <w:vAlign w:val="center"/>
          </w:tcPr>
          <w:p w14:paraId="2CF09465"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10</w:t>
            </w:r>
          </w:p>
        </w:tc>
        <w:tc>
          <w:tcPr>
            <w:tcW w:w="548" w:type="pct"/>
            <w:shd w:val="clear" w:color="auto" w:fill="auto"/>
            <w:noWrap/>
            <w:vAlign w:val="center"/>
          </w:tcPr>
          <w:p w14:paraId="6994C459"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eastAsia="Times New Roman" w:hAnsi="Arial" w:cs="Arial"/>
                <w:noProof/>
                <w:sz w:val="18"/>
                <w:szCs w:val="18"/>
                <w:lang w:val="en-US" w:eastAsia="en-MY"/>
              </w:rPr>
              <w:t>0.082</w:t>
            </w:r>
          </w:p>
        </w:tc>
      </w:tr>
      <w:tr w:rsidR="006A752F" w:rsidRPr="00214987" w14:paraId="7E1934C3" w14:textId="77777777" w:rsidTr="006A752F">
        <w:trPr>
          <w:trHeight w:val="280"/>
        </w:trPr>
        <w:tc>
          <w:tcPr>
            <w:tcW w:w="2259" w:type="pct"/>
            <w:shd w:val="clear" w:color="auto" w:fill="auto"/>
            <w:noWrap/>
            <w:vAlign w:val="center"/>
          </w:tcPr>
          <w:p w14:paraId="527CE100" w14:textId="1111E7E2"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GORD, Ever </w:t>
            </w:r>
          </w:p>
        </w:tc>
        <w:tc>
          <w:tcPr>
            <w:tcW w:w="685" w:type="pct"/>
            <w:vAlign w:val="center"/>
          </w:tcPr>
          <w:p w14:paraId="60EB5AAD"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67.2% (41)</w:t>
            </w:r>
          </w:p>
        </w:tc>
        <w:tc>
          <w:tcPr>
            <w:tcW w:w="413" w:type="pct"/>
            <w:vAlign w:val="center"/>
          </w:tcPr>
          <w:p w14:paraId="400294DC"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1</w:t>
            </w:r>
          </w:p>
        </w:tc>
        <w:tc>
          <w:tcPr>
            <w:tcW w:w="753" w:type="pct"/>
            <w:shd w:val="clear" w:color="auto" w:fill="auto"/>
            <w:noWrap/>
            <w:vAlign w:val="center"/>
          </w:tcPr>
          <w:p w14:paraId="3E1598FC"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65.3% (111)</w:t>
            </w:r>
          </w:p>
        </w:tc>
        <w:tc>
          <w:tcPr>
            <w:tcW w:w="343" w:type="pct"/>
            <w:shd w:val="clear" w:color="auto" w:fill="auto"/>
            <w:noWrap/>
            <w:vAlign w:val="center"/>
          </w:tcPr>
          <w:p w14:paraId="5D9AC5F3"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8</w:t>
            </w:r>
          </w:p>
        </w:tc>
        <w:tc>
          <w:tcPr>
            <w:tcW w:w="548" w:type="pct"/>
            <w:shd w:val="clear" w:color="auto" w:fill="auto"/>
            <w:noWrap/>
            <w:vAlign w:val="center"/>
          </w:tcPr>
          <w:p w14:paraId="0B23F922"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0.875</w:t>
            </w:r>
          </w:p>
        </w:tc>
      </w:tr>
      <w:tr w:rsidR="006A752F" w:rsidRPr="00214987" w14:paraId="087CE979" w14:textId="77777777" w:rsidTr="006A752F">
        <w:trPr>
          <w:trHeight w:val="280"/>
        </w:trPr>
        <w:tc>
          <w:tcPr>
            <w:tcW w:w="2259" w:type="pct"/>
            <w:shd w:val="clear" w:color="auto" w:fill="auto"/>
            <w:noWrap/>
            <w:vAlign w:val="center"/>
          </w:tcPr>
          <w:p w14:paraId="280A0B83" w14:textId="5D54962B"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Smoking, Ever </w:t>
            </w:r>
          </w:p>
        </w:tc>
        <w:tc>
          <w:tcPr>
            <w:tcW w:w="685" w:type="pct"/>
            <w:vAlign w:val="center"/>
          </w:tcPr>
          <w:p w14:paraId="63A67F42"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56.5% (35)</w:t>
            </w:r>
          </w:p>
        </w:tc>
        <w:tc>
          <w:tcPr>
            <w:tcW w:w="413" w:type="pct"/>
            <w:vAlign w:val="center"/>
          </w:tcPr>
          <w:p w14:paraId="056CE58A"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3DAE9B73"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47.5% (84)</w:t>
            </w:r>
          </w:p>
        </w:tc>
        <w:tc>
          <w:tcPr>
            <w:tcW w:w="343" w:type="pct"/>
            <w:shd w:val="clear" w:color="auto" w:fill="auto"/>
            <w:noWrap/>
            <w:vAlign w:val="center"/>
          </w:tcPr>
          <w:p w14:paraId="6E8E6D15"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w:t>
            </w:r>
          </w:p>
        </w:tc>
        <w:tc>
          <w:tcPr>
            <w:tcW w:w="548" w:type="pct"/>
            <w:shd w:val="clear" w:color="auto" w:fill="auto"/>
            <w:noWrap/>
            <w:vAlign w:val="center"/>
          </w:tcPr>
          <w:p w14:paraId="18E0F0A7"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0.223</w:t>
            </w:r>
          </w:p>
        </w:tc>
      </w:tr>
      <w:tr w:rsidR="006A752F" w:rsidRPr="00214987" w14:paraId="025011B4" w14:textId="77777777" w:rsidTr="006A752F">
        <w:trPr>
          <w:trHeight w:val="370"/>
        </w:trPr>
        <w:tc>
          <w:tcPr>
            <w:tcW w:w="2259" w:type="pct"/>
            <w:shd w:val="clear" w:color="auto" w:fill="auto"/>
            <w:noWrap/>
            <w:vAlign w:val="center"/>
            <w:hideMark/>
          </w:tcPr>
          <w:p w14:paraId="3B158047" w14:textId="5B6F7126"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Atopy (SPT / sIgE positive) </w:t>
            </w:r>
          </w:p>
        </w:tc>
        <w:tc>
          <w:tcPr>
            <w:tcW w:w="685" w:type="pct"/>
            <w:vAlign w:val="center"/>
          </w:tcPr>
          <w:p w14:paraId="63FCC795"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50.0% (31)</w:t>
            </w:r>
          </w:p>
        </w:tc>
        <w:tc>
          <w:tcPr>
            <w:tcW w:w="413" w:type="pct"/>
            <w:vAlign w:val="center"/>
          </w:tcPr>
          <w:p w14:paraId="73818B19"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4BC23478"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52.8% (94)</w:t>
            </w:r>
          </w:p>
        </w:tc>
        <w:tc>
          <w:tcPr>
            <w:tcW w:w="343" w:type="pct"/>
            <w:shd w:val="clear" w:color="auto" w:fill="auto"/>
            <w:noWrap/>
            <w:vAlign w:val="center"/>
          </w:tcPr>
          <w:p w14:paraId="7463B921"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548" w:type="pct"/>
            <w:shd w:val="clear" w:color="auto" w:fill="auto"/>
            <w:noWrap/>
            <w:vAlign w:val="center"/>
          </w:tcPr>
          <w:p w14:paraId="23BF709E"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eastAsia="Times New Roman" w:hAnsi="Arial" w:cs="Arial"/>
                <w:noProof/>
                <w:sz w:val="18"/>
                <w:szCs w:val="18"/>
                <w:lang w:val="en-US" w:eastAsia="en-MY"/>
              </w:rPr>
              <w:t>0.703</w:t>
            </w:r>
          </w:p>
        </w:tc>
      </w:tr>
      <w:tr w:rsidR="006A752F" w:rsidRPr="00214987" w14:paraId="4E2515A8" w14:textId="77777777" w:rsidTr="006A752F">
        <w:trPr>
          <w:trHeight w:val="280"/>
        </w:trPr>
        <w:tc>
          <w:tcPr>
            <w:tcW w:w="2259" w:type="pct"/>
            <w:shd w:val="clear" w:color="auto" w:fill="auto"/>
            <w:noWrap/>
            <w:vAlign w:val="center"/>
          </w:tcPr>
          <w:p w14:paraId="54C3D1A0" w14:textId="44DC888D"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Obesity (BMI≥30kgm</w:t>
            </w:r>
            <w:r w:rsidRPr="004B57AF">
              <w:rPr>
                <w:rFonts w:ascii="Arial" w:eastAsia="Times New Roman" w:hAnsi="Arial" w:cs="Arial"/>
                <w:b/>
                <w:bCs/>
                <w:noProof/>
                <w:sz w:val="20"/>
                <w:szCs w:val="20"/>
                <w:vertAlign w:val="superscript"/>
                <w:lang w:val="en-US" w:eastAsia="en-MY"/>
              </w:rPr>
              <w:t>-2</w:t>
            </w:r>
            <w:r w:rsidRPr="004B57AF">
              <w:rPr>
                <w:rFonts w:ascii="Arial" w:eastAsia="Times New Roman" w:hAnsi="Arial" w:cs="Arial"/>
                <w:b/>
                <w:bCs/>
                <w:noProof/>
                <w:sz w:val="20"/>
                <w:szCs w:val="20"/>
                <w:lang w:val="en-US" w:eastAsia="en-MY"/>
              </w:rPr>
              <w:t xml:space="preserve">), Ever </w:t>
            </w:r>
          </w:p>
        </w:tc>
        <w:tc>
          <w:tcPr>
            <w:tcW w:w="685" w:type="pct"/>
            <w:vAlign w:val="center"/>
          </w:tcPr>
          <w:p w14:paraId="12D7EF15"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41.9% (26)</w:t>
            </w:r>
          </w:p>
        </w:tc>
        <w:tc>
          <w:tcPr>
            <w:tcW w:w="413" w:type="pct"/>
            <w:vAlign w:val="center"/>
          </w:tcPr>
          <w:p w14:paraId="00FBB09B"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52B2D1B8"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52.6% (92)</w:t>
            </w:r>
          </w:p>
        </w:tc>
        <w:tc>
          <w:tcPr>
            <w:tcW w:w="343" w:type="pct"/>
            <w:shd w:val="clear" w:color="auto" w:fill="auto"/>
            <w:noWrap/>
            <w:vAlign w:val="center"/>
          </w:tcPr>
          <w:p w14:paraId="31246E84"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548" w:type="pct"/>
            <w:shd w:val="clear" w:color="auto" w:fill="auto"/>
            <w:noWrap/>
            <w:vAlign w:val="center"/>
          </w:tcPr>
          <w:p w14:paraId="5854F418"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0.097</w:t>
            </w:r>
          </w:p>
        </w:tc>
      </w:tr>
      <w:tr w:rsidR="006A752F" w:rsidRPr="00214987" w14:paraId="30D2C957" w14:textId="77777777" w:rsidTr="006A752F">
        <w:trPr>
          <w:trHeight w:val="280"/>
        </w:trPr>
        <w:tc>
          <w:tcPr>
            <w:tcW w:w="2259" w:type="pct"/>
            <w:shd w:val="clear" w:color="auto" w:fill="auto"/>
            <w:noWrap/>
            <w:vAlign w:val="center"/>
          </w:tcPr>
          <w:p w14:paraId="7FBCBF2B" w14:textId="2933D76F"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Admitted to ICU for asthma, Ever </w:t>
            </w:r>
          </w:p>
        </w:tc>
        <w:tc>
          <w:tcPr>
            <w:tcW w:w="685" w:type="pct"/>
            <w:vAlign w:val="center"/>
          </w:tcPr>
          <w:p w14:paraId="0A8809E4"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35.5% (22)</w:t>
            </w:r>
          </w:p>
        </w:tc>
        <w:tc>
          <w:tcPr>
            <w:tcW w:w="413" w:type="pct"/>
            <w:vAlign w:val="center"/>
          </w:tcPr>
          <w:p w14:paraId="1FF02268"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5A64BA8F"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32.6% (58)</w:t>
            </w:r>
          </w:p>
        </w:tc>
        <w:tc>
          <w:tcPr>
            <w:tcW w:w="343" w:type="pct"/>
            <w:shd w:val="clear" w:color="auto" w:fill="auto"/>
            <w:noWrap/>
            <w:vAlign w:val="center"/>
          </w:tcPr>
          <w:p w14:paraId="6555E46D"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548" w:type="pct"/>
            <w:shd w:val="clear" w:color="auto" w:fill="auto"/>
            <w:noWrap/>
            <w:vAlign w:val="center"/>
          </w:tcPr>
          <w:p w14:paraId="62CB6AF3"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0.677</w:t>
            </w:r>
          </w:p>
        </w:tc>
      </w:tr>
      <w:tr w:rsidR="006A752F" w:rsidRPr="00214987" w14:paraId="1E94FA68" w14:textId="77777777" w:rsidTr="006A752F">
        <w:trPr>
          <w:trHeight w:val="295"/>
        </w:trPr>
        <w:tc>
          <w:tcPr>
            <w:tcW w:w="2259" w:type="pct"/>
            <w:shd w:val="clear" w:color="auto" w:fill="auto"/>
            <w:noWrap/>
            <w:vAlign w:val="center"/>
          </w:tcPr>
          <w:p w14:paraId="2182D903" w14:textId="0EBDFA31"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Intubated for Asthma, Ever </w:t>
            </w:r>
          </w:p>
        </w:tc>
        <w:tc>
          <w:tcPr>
            <w:tcW w:w="685" w:type="pct"/>
            <w:vAlign w:val="center"/>
          </w:tcPr>
          <w:p w14:paraId="09E24C0F"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14.5% (9)</w:t>
            </w:r>
          </w:p>
        </w:tc>
        <w:tc>
          <w:tcPr>
            <w:tcW w:w="413" w:type="pct"/>
            <w:vAlign w:val="center"/>
          </w:tcPr>
          <w:p w14:paraId="498CA3C1"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337307D1"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17.4% (31)</w:t>
            </w:r>
          </w:p>
        </w:tc>
        <w:tc>
          <w:tcPr>
            <w:tcW w:w="343" w:type="pct"/>
            <w:shd w:val="clear" w:color="auto" w:fill="auto"/>
            <w:noWrap/>
            <w:vAlign w:val="center"/>
          </w:tcPr>
          <w:p w14:paraId="5EFFBB8F"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0</w:t>
            </w:r>
          </w:p>
        </w:tc>
        <w:tc>
          <w:tcPr>
            <w:tcW w:w="548" w:type="pct"/>
            <w:shd w:val="clear" w:color="auto" w:fill="auto"/>
            <w:noWrap/>
            <w:vAlign w:val="center"/>
          </w:tcPr>
          <w:p w14:paraId="786039C4"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0.598</w:t>
            </w:r>
          </w:p>
        </w:tc>
      </w:tr>
      <w:tr w:rsidR="006A752F" w:rsidRPr="00214987" w14:paraId="2B970620" w14:textId="77777777" w:rsidTr="006A752F">
        <w:trPr>
          <w:trHeight w:val="241"/>
        </w:trPr>
        <w:tc>
          <w:tcPr>
            <w:tcW w:w="2259" w:type="pct"/>
            <w:shd w:val="clear" w:color="auto" w:fill="auto"/>
            <w:noWrap/>
            <w:vAlign w:val="center"/>
          </w:tcPr>
          <w:p w14:paraId="54573854" w14:textId="2CBDF71E"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Dysfunctional breathing, Ever</w:t>
            </w:r>
          </w:p>
        </w:tc>
        <w:tc>
          <w:tcPr>
            <w:tcW w:w="685" w:type="pct"/>
            <w:vAlign w:val="center"/>
          </w:tcPr>
          <w:p w14:paraId="183BE291"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40.0% (24)</w:t>
            </w:r>
          </w:p>
        </w:tc>
        <w:tc>
          <w:tcPr>
            <w:tcW w:w="413" w:type="pct"/>
            <w:vAlign w:val="center"/>
          </w:tcPr>
          <w:p w14:paraId="4C6F88C0"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2</w:t>
            </w:r>
          </w:p>
        </w:tc>
        <w:tc>
          <w:tcPr>
            <w:tcW w:w="753" w:type="pct"/>
            <w:shd w:val="clear" w:color="auto" w:fill="auto"/>
            <w:noWrap/>
            <w:vAlign w:val="center"/>
          </w:tcPr>
          <w:p w14:paraId="6DDE10CD"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55.1% (92)</w:t>
            </w:r>
          </w:p>
        </w:tc>
        <w:tc>
          <w:tcPr>
            <w:tcW w:w="343" w:type="pct"/>
            <w:shd w:val="clear" w:color="auto" w:fill="auto"/>
            <w:noWrap/>
            <w:vAlign w:val="center"/>
          </w:tcPr>
          <w:p w14:paraId="7B378D9E"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11</w:t>
            </w:r>
          </w:p>
        </w:tc>
        <w:tc>
          <w:tcPr>
            <w:tcW w:w="548" w:type="pct"/>
            <w:shd w:val="clear" w:color="auto" w:fill="auto"/>
            <w:noWrap/>
            <w:vAlign w:val="center"/>
          </w:tcPr>
          <w:p w14:paraId="5C93C26F"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b/>
                <w:bCs/>
                <w:noProof/>
                <w:sz w:val="18"/>
                <w:szCs w:val="18"/>
                <w:lang w:val="en-US" w:eastAsia="en-MY"/>
              </w:rPr>
              <w:t>0.045</w:t>
            </w:r>
          </w:p>
        </w:tc>
      </w:tr>
      <w:tr w:rsidR="006A752F" w:rsidRPr="00214987" w14:paraId="55E12E5F" w14:textId="77777777" w:rsidTr="006A752F">
        <w:trPr>
          <w:trHeight w:val="218"/>
        </w:trPr>
        <w:tc>
          <w:tcPr>
            <w:tcW w:w="2259" w:type="pct"/>
            <w:shd w:val="clear" w:color="auto" w:fill="auto"/>
            <w:noWrap/>
            <w:vAlign w:val="center"/>
          </w:tcPr>
          <w:p w14:paraId="5BD2BF62" w14:textId="063B9767"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ILO, Ever </w:t>
            </w:r>
          </w:p>
        </w:tc>
        <w:tc>
          <w:tcPr>
            <w:tcW w:w="685" w:type="pct"/>
            <w:vAlign w:val="center"/>
          </w:tcPr>
          <w:p w14:paraId="41B15E95"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13.8% (8)</w:t>
            </w:r>
          </w:p>
        </w:tc>
        <w:tc>
          <w:tcPr>
            <w:tcW w:w="413" w:type="pct"/>
            <w:vAlign w:val="center"/>
          </w:tcPr>
          <w:p w14:paraId="4C865CF5"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4</w:t>
            </w:r>
          </w:p>
        </w:tc>
        <w:tc>
          <w:tcPr>
            <w:tcW w:w="753" w:type="pct"/>
            <w:shd w:val="clear" w:color="auto" w:fill="auto"/>
            <w:noWrap/>
            <w:vAlign w:val="center"/>
          </w:tcPr>
          <w:p w14:paraId="59A9133F"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13.2% 921)</w:t>
            </w:r>
          </w:p>
        </w:tc>
        <w:tc>
          <w:tcPr>
            <w:tcW w:w="343" w:type="pct"/>
            <w:shd w:val="clear" w:color="auto" w:fill="auto"/>
            <w:noWrap/>
            <w:vAlign w:val="center"/>
          </w:tcPr>
          <w:p w14:paraId="46543579"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19</w:t>
            </w:r>
          </w:p>
        </w:tc>
        <w:tc>
          <w:tcPr>
            <w:tcW w:w="548" w:type="pct"/>
            <w:shd w:val="clear" w:color="auto" w:fill="auto"/>
            <w:noWrap/>
            <w:vAlign w:val="center"/>
          </w:tcPr>
          <w:p w14:paraId="7C2C9871"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0.911</w:t>
            </w:r>
          </w:p>
        </w:tc>
      </w:tr>
      <w:tr w:rsidR="006A752F" w:rsidRPr="00214987" w14:paraId="62B1782F" w14:textId="77777777" w:rsidTr="006A752F">
        <w:trPr>
          <w:trHeight w:val="280"/>
        </w:trPr>
        <w:tc>
          <w:tcPr>
            <w:tcW w:w="2259" w:type="pct"/>
            <w:shd w:val="clear" w:color="auto" w:fill="auto"/>
            <w:noWrap/>
            <w:vAlign w:val="center"/>
          </w:tcPr>
          <w:p w14:paraId="3ABCCE26" w14:textId="6AA99164"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Depression, Ever </w:t>
            </w:r>
          </w:p>
        </w:tc>
        <w:tc>
          <w:tcPr>
            <w:tcW w:w="685" w:type="pct"/>
            <w:vAlign w:val="center"/>
          </w:tcPr>
          <w:p w14:paraId="70D90E4C"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28.3% (17)</w:t>
            </w:r>
          </w:p>
        </w:tc>
        <w:tc>
          <w:tcPr>
            <w:tcW w:w="413" w:type="pct"/>
            <w:vAlign w:val="center"/>
          </w:tcPr>
          <w:p w14:paraId="52066AE6"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2</w:t>
            </w:r>
          </w:p>
        </w:tc>
        <w:tc>
          <w:tcPr>
            <w:tcW w:w="753" w:type="pct"/>
            <w:shd w:val="clear" w:color="auto" w:fill="auto"/>
            <w:noWrap/>
            <w:vAlign w:val="center"/>
          </w:tcPr>
          <w:p w14:paraId="5B3FEBF8"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42.8% (68)</w:t>
            </w:r>
          </w:p>
        </w:tc>
        <w:tc>
          <w:tcPr>
            <w:tcW w:w="343" w:type="pct"/>
            <w:shd w:val="clear" w:color="auto" w:fill="auto"/>
            <w:noWrap/>
            <w:vAlign w:val="center"/>
          </w:tcPr>
          <w:p w14:paraId="3E4C70F2"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19</w:t>
            </w:r>
          </w:p>
        </w:tc>
        <w:tc>
          <w:tcPr>
            <w:tcW w:w="548" w:type="pct"/>
            <w:shd w:val="clear" w:color="auto" w:fill="auto"/>
            <w:noWrap/>
            <w:vAlign w:val="center"/>
          </w:tcPr>
          <w:p w14:paraId="2D990715"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0.</w:t>
            </w:r>
            <w:r w:rsidRPr="004B57AF">
              <w:rPr>
                <w:rFonts w:ascii="Arial" w:hAnsi="Arial" w:cs="Arial"/>
                <w:noProof/>
                <w:sz w:val="18"/>
                <w:szCs w:val="18"/>
                <w:lang w:val="en-US"/>
              </w:rPr>
              <w:t>051</w:t>
            </w:r>
          </w:p>
        </w:tc>
      </w:tr>
      <w:tr w:rsidR="006A752F" w:rsidRPr="00214987" w14:paraId="00342890" w14:textId="77777777" w:rsidTr="006A752F">
        <w:trPr>
          <w:trHeight w:val="280"/>
        </w:trPr>
        <w:tc>
          <w:tcPr>
            <w:tcW w:w="2259" w:type="pct"/>
            <w:shd w:val="clear" w:color="auto" w:fill="auto"/>
            <w:noWrap/>
            <w:vAlign w:val="center"/>
          </w:tcPr>
          <w:p w14:paraId="4D5C8ED2" w14:textId="147514BF"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Anxiety, Ever </w:t>
            </w:r>
          </w:p>
        </w:tc>
        <w:tc>
          <w:tcPr>
            <w:tcW w:w="685" w:type="pct"/>
            <w:vAlign w:val="center"/>
          </w:tcPr>
          <w:p w14:paraId="1BAF5CA2"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27.1% (16)</w:t>
            </w:r>
          </w:p>
        </w:tc>
        <w:tc>
          <w:tcPr>
            <w:tcW w:w="413" w:type="pct"/>
            <w:vAlign w:val="center"/>
          </w:tcPr>
          <w:p w14:paraId="318180EE"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3</w:t>
            </w:r>
          </w:p>
        </w:tc>
        <w:tc>
          <w:tcPr>
            <w:tcW w:w="753" w:type="pct"/>
            <w:shd w:val="clear" w:color="auto" w:fill="auto"/>
            <w:noWrap/>
            <w:vAlign w:val="center"/>
          </w:tcPr>
          <w:p w14:paraId="503BE847"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38.0% (60)</w:t>
            </w:r>
          </w:p>
        </w:tc>
        <w:tc>
          <w:tcPr>
            <w:tcW w:w="343" w:type="pct"/>
            <w:shd w:val="clear" w:color="auto" w:fill="auto"/>
            <w:noWrap/>
            <w:vAlign w:val="center"/>
          </w:tcPr>
          <w:p w14:paraId="254AC004"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19</w:t>
            </w:r>
          </w:p>
        </w:tc>
        <w:tc>
          <w:tcPr>
            <w:tcW w:w="548" w:type="pct"/>
            <w:shd w:val="clear" w:color="auto" w:fill="auto"/>
            <w:noWrap/>
            <w:vAlign w:val="center"/>
          </w:tcPr>
          <w:p w14:paraId="20AF4D46"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0.136</w:t>
            </w:r>
          </w:p>
        </w:tc>
      </w:tr>
      <w:tr w:rsidR="006A752F" w:rsidRPr="00214987" w14:paraId="04C4CF0C" w14:textId="77777777" w:rsidTr="006A752F">
        <w:trPr>
          <w:trHeight w:val="280"/>
        </w:trPr>
        <w:tc>
          <w:tcPr>
            <w:tcW w:w="2259" w:type="pct"/>
            <w:shd w:val="clear" w:color="auto" w:fill="auto"/>
            <w:noWrap/>
            <w:vAlign w:val="center"/>
          </w:tcPr>
          <w:p w14:paraId="6C04BD47" w14:textId="4786ABAE"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Bronchiectasis, Ever </w:t>
            </w:r>
          </w:p>
        </w:tc>
        <w:tc>
          <w:tcPr>
            <w:tcW w:w="685" w:type="pct"/>
            <w:vAlign w:val="center"/>
          </w:tcPr>
          <w:p w14:paraId="43A27F81"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19.4% (12)</w:t>
            </w:r>
          </w:p>
        </w:tc>
        <w:tc>
          <w:tcPr>
            <w:tcW w:w="413" w:type="pct"/>
            <w:vAlign w:val="center"/>
          </w:tcPr>
          <w:p w14:paraId="4C02415E"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0D929442"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14.2% (25)</w:t>
            </w:r>
          </w:p>
        </w:tc>
        <w:tc>
          <w:tcPr>
            <w:tcW w:w="343" w:type="pct"/>
            <w:shd w:val="clear" w:color="auto" w:fill="auto"/>
            <w:noWrap/>
            <w:vAlign w:val="center"/>
          </w:tcPr>
          <w:p w14:paraId="4B4E6B09"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548" w:type="pct"/>
            <w:shd w:val="clear" w:color="auto" w:fill="auto"/>
            <w:noWrap/>
            <w:vAlign w:val="center"/>
          </w:tcPr>
          <w:p w14:paraId="68A10835"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0.336</w:t>
            </w:r>
          </w:p>
        </w:tc>
      </w:tr>
      <w:tr w:rsidR="006A752F" w:rsidRPr="00214987" w14:paraId="111FD610" w14:textId="77777777" w:rsidTr="006A752F">
        <w:trPr>
          <w:trHeight w:val="280"/>
        </w:trPr>
        <w:tc>
          <w:tcPr>
            <w:tcW w:w="2259" w:type="pct"/>
            <w:shd w:val="clear" w:color="auto" w:fill="auto"/>
            <w:noWrap/>
            <w:vAlign w:val="center"/>
          </w:tcPr>
          <w:p w14:paraId="0D47A128" w14:textId="7F3C4DEE"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Salicylate sensitivity, Ever </w:t>
            </w:r>
          </w:p>
        </w:tc>
        <w:tc>
          <w:tcPr>
            <w:tcW w:w="685" w:type="pct"/>
            <w:vAlign w:val="center"/>
          </w:tcPr>
          <w:p w14:paraId="0052F9EE"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19.4% (12)</w:t>
            </w:r>
          </w:p>
        </w:tc>
        <w:tc>
          <w:tcPr>
            <w:tcW w:w="413" w:type="pct"/>
            <w:vAlign w:val="center"/>
          </w:tcPr>
          <w:p w14:paraId="0A4ADE54"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753FFF33"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27.8% (49)</w:t>
            </w:r>
          </w:p>
        </w:tc>
        <w:tc>
          <w:tcPr>
            <w:tcW w:w="343" w:type="pct"/>
            <w:shd w:val="clear" w:color="auto" w:fill="auto"/>
            <w:noWrap/>
            <w:vAlign w:val="center"/>
          </w:tcPr>
          <w:p w14:paraId="332E4912"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548" w:type="pct"/>
            <w:shd w:val="clear" w:color="auto" w:fill="auto"/>
            <w:noWrap/>
            <w:vAlign w:val="center"/>
          </w:tcPr>
          <w:p w14:paraId="0ED15E6B"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0.188</w:t>
            </w:r>
          </w:p>
        </w:tc>
      </w:tr>
      <w:tr w:rsidR="006A752F" w:rsidRPr="00214987" w14:paraId="5370E386" w14:textId="77777777" w:rsidTr="006A752F">
        <w:trPr>
          <w:trHeight w:val="280"/>
        </w:trPr>
        <w:tc>
          <w:tcPr>
            <w:tcW w:w="2259" w:type="pct"/>
            <w:shd w:val="clear" w:color="auto" w:fill="auto"/>
            <w:noWrap/>
            <w:vAlign w:val="center"/>
          </w:tcPr>
          <w:p w14:paraId="0D63D737" w14:textId="551E1C9B"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ABPA, Ever </w:t>
            </w:r>
          </w:p>
        </w:tc>
        <w:tc>
          <w:tcPr>
            <w:tcW w:w="685" w:type="pct"/>
            <w:vAlign w:val="center"/>
          </w:tcPr>
          <w:p w14:paraId="0003EFD9"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12.9% (8)</w:t>
            </w:r>
          </w:p>
        </w:tc>
        <w:tc>
          <w:tcPr>
            <w:tcW w:w="413" w:type="pct"/>
            <w:vAlign w:val="center"/>
          </w:tcPr>
          <w:p w14:paraId="321500BE"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6ACA599B"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5.2% (9)</w:t>
            </w:r>
          </w:p>
        </w:tc>
        <w:tc>
          <w:tcPr>
            <w:tcW w:w="343" w:type="pct"/>
            <w:shd w:val="clear" w:color="auto" w:fill="auto"/>
            <w:noWrap/>
            <w:vAlign w:val="center"/>
          </w:tcPr>
          <w:p w14:paraId="6FDC7C24"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w:t>
            </w:r>
          </w:p>
        </w:tc>
        <w:tc>
          <w:tcPr>
            <w:tcW w:w="548" w:type="pct"/>
            <w:shd w:val="clear" w:color="auto" w:fill="auto"/>
            <w:noWrap/>
            <w:vAlign w:val="center"/>
          </w:tcPr>
          <w:p w14:paraId="479C54E0"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hAnsi="Arial" w:cs="Arial"/>
                <w:noProof/>
                <w:sz w:val="18"/>
                <w:szCs w:val="18"/>
                <w:lang w:val="en-US"/>
              </w:rPr>
              <w:t>0.081</w:t>
            </w:r>
          </w:p>
        </w:tc>
      </w:tr>
      <w:tr w:rsidR="006A752F" w:rsidRPr="00214987" w14:paraId="0E6343C1" w14:textId="77777777" w:rsidTr="006A752F">
        <w:trPr>
          <w:trHeight w:val="280"/>
        </w:trPr>
        <w:tc>
          <w:tcPr>
            <w:tcW w:w="2259" w:type="pct"/>
            <w:shd w:val="clear" w:color="auto" w:fill="auto"/>
            <w:noWrap/>
            <w:vAlign w:val="center"/>
          </w:tcPr>
          <w:p w14:paraId="2CD576D4" w14:textId="726CDB18"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Sulphite sensitivity, Ever </w:t>
            </w:r>
          </w:p>
        </w:tc>
        <w:tc>
          <w:tcPr>
            <w:tcW w:w="685" w:type="pct"/>
            <w:vAlign w:val="center"/>
          </w:tcPr>
          <w:p w14:paraId="50237E09"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9.7 % (6)</w:t>
            </w:r>
          </w:p>
        </w:tc>
        <w:tc>
          <w:tcPr>
            <w:tcW w:w="413" w:type="pct"/>
            <w:vAlign w:val="center"/>
          </w:tcPr>
          <w:p w14:paraId="7CA70997"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2F27DC65"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7.4% (13)</w:t>
            </w:r>
          </w:p>
        </w:tc>
        <w:tc>
          <w:tcPr>
            <w:tcW w:w="343" w:type="pct"/>
            <w:shd w:val="clear" w:color="auto" w:fill="auto"/>
            <w:noWrap/>
            <w:vAlign w:val="center"/>
          </w:tcPr>
          <w:p w14:paraId="273ECFF5"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3</w:t>
            </w:r>
          </w:p>
        </w:tc>
        <w:tc>
          <w:tcPr>
            <w:tcW w:w="548" w:type="pct"/>
            <w:shd w:val="clear" w:color="auto" w:fill="auto"/>
            <w:noWrap/>
            <w:vAlign w:val="center"/>
          </w:tcPr>
          <w:p w14:paraId="7325DB84"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0.590</w:t>
            </w:r>
          </w:p>
        </w:tc>
      </w:tr>
      <w:tr w:rsidR="006A752F" w:rsidRPr="00214987" w14:paraId="2C305F8B" w14:textId="77777777" w:rsidTr="006A752F">
        <w:trPr>
          <w:trHeight w:val="280"/>
        </w:trPr>
        <w:tc>
          <w:tcPr>
            <w:tcW w:w="2259" w:type="pct"/>
            <w:shd w:val="clear" w:color="auto" w:fill="auto"/>
            <w:noWrap/>
            <w:vAlign w:val="center"/>
          </w:tcPr>
          <w:p w14:paraId="112AECB4" w14:textId="3C17A6F5"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COPD, Ever </w:t>
            </w:r>
          </w:p>
        </w:tc>
        <w:tc>
          <w:tcPr>
            <w:tcW w:w="685" w:type="pct"/>
            <w:vAlign w:val="center"/>
          </w:tcPr>
          <w:p w14:paraId="5BC5A9C8"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9.7 % (6)</w:t>
            </w:r>
          </w:p>
        </w:tc>
        <w:tc>
          <w:tcPr>
            <w:tcW w:w="413" w:type="pct"/>
            <w:vAlign w:val="center"/>
          </w:tcPr>
          <w:p w14:paraId="490F5444"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6C20A325"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10.8% (19)</w:t>
            </w:r>
          </w:p>
        </w:tc>
        <w:tc>
          <w:tcPr>
            <w:tcW w:w="343" w:type="pct"/>
            <w:shd w:val="clear" w:color="auto" w:fill="auto"/>
            <w:noWrap/>
            <w:vAlign w:val="center"/>
          </w:tcPr>
          <w:p w14:paraId="3B1FB89B"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548" w:type="pct"/>
            <w:shd w:val="clear" w:color="auto" w:fill="auto"/>
            <w:noWrap/>
            <w:vAlign w:val="center"/>
          </w:tcPr>
          <w:p w14:paraId="6DBAA3F2"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0.805</w:t>
            </w:r>
          </w:p>
        </w:tc>
      </w:tr>
      <w:tr w:rsidR="006A752F" w:rsidRPr="00214987" w14:paraId="5DDFF5B9" w14:textId="77777777" w:rsidTr="006A752F">
        <w:trPr>
          <w:trHeight w:val="280"/>
        </w:trPr>
        <w:tc>
          <w:tcPr>
            <w:tcW w:w="2259" w:type="pct"/>
            <w:shd w:val="clear" w:color="auto" w:fill="auto"/>
            <w:noWrap/>
            <w:vAlign w:val="center"/>
            <w:hideMark/>
          </w:tcPr>
          <w:p w14:paraId="56CE2F3C" w14:textId="6B47C9DA"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Nasal polyps, Ever </w:t>
            </w:r>
          </w:p>
        </w:tc>
        <w:tc>
          <w:tcPr>
            <w:tcW w:w="685" w:type="pct"/>
            <w:vAlign w:val="center"/>
          </w:tcPr>
          <w:p w14:paraId="74489C99" w14:textId="77777777"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34.5% (20)</w:t>
            </w:r>
          </w:p>
        </w:tc>
        <w:tc>
          <w:tcPr>
            <w:tcW w:w="413" w:type="pct"/>
            <w:vAlign w:val="center"/>
          </w:tcPr>
          <w:p w14:paraId="20ACA194"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w:t>
            </w:r>
          </w:p>
        </w:tc>
        <w:tc>
          <w:tcPr>
            <w:tcW w:w="753" w:type="pct"/>
            <w:shd w:val="clear" w:color="auto" w:fill="auto"/>
            <w:noWrap/>
            <w:vAlign w:val="center"/>
          </w:tcPr>
          <w:p w14:paraId="19BF7852"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19% (31)</w:t>
            </w:r>
          </w:p>
        </w:tc>
        <w:tc>
          <w:tcPr>
            <w:tcW w:w="343" w:type="pct"/>
            <w:shd w:val="clear" w:color="auto" w:fill="auto"/>
            <w:noWrap/>
            <w:vAlign w:val="center"/>
          </w:tcPr>
          <w:p w14:paraId="61779530"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15</w:t>
            </w:r>
          </w:p>
        </w:tc>
        <w:tc>
          <w:tcPr>
            <w:tcW w:w="548" w:type="pct"/>
            <w:shd w:val="clear" w:color="auto" w:fill="auto"/>
            <w:noWrap/>
            <w:vAlign w:val="center"/>
          </w:tcPr>
          <w:p w14:paraId="6961895F"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b/>
                <w:bCs/>
                <w:noProof/>
                <w:sz w:val="18"/>
                <w:szCs w:val="18"/>
                <w:lang w:val="en-US"/>
              </w:rPr>
              <w:t>0.019</w:t>
            </w:r>
          </w:p>
        </w:tc>
      </w:tr>
      <w:tr w:rsidR="006A752F" w:rsidRPr="00214987" w14:paraId="26687714" w14:textId="77777777" w:rsidTr="006A752F">
        <w:trPr>
          <w:trHeight w:val="280"/>
        </w:trPr>
        <w:tc>
          <w:tcPr>
            <w:tcW w:w="2259" w:type="pct"/>
            <w:shd w:val="clear" w:color="auto" w:fill="auto"/>
            <w:noWrap/>
            <w:vAlign w:val="center"/>
            <w:hideMark/>
          </w:tcPr>
          <w:p w14:paraId="73E2AFD7" w14:textId="702C3706"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Nasal (polyps / sinus) surgery, Ever </w:t>
            </w:r>
          </w:p>
        </w:tc>
        <w:tc>
          <w:tcPr>
            <w:tcW w:w="685" w:type="pct"/>
            <w:vAlign w:val="center"/>
          </w:tcPr>
          <w:p w14:paraId="7AC29AEE" w14:textId="77777777" w:rsidR="004B57AF" w:rsidRPr="004B57AF" w:rsidRDefault="004B57AF" w:rsidP="000B3481">
            <w:pPr>
              <w:spacing w:after="0" w:line="240" w:lineRule="auto"/>
              <w:jc w:val="center"/>
              <w:rPr>
                <w:rFonts w:ascii="Arial" w:eastAsia="Times New Roman" w:hAnsi="Arial" w:cs="Arial"/>
                <w:noProof/>
                <w:sz w:val="20"/>
                <w:szCs w:val="20"/>
                <w:lang w:val="en-US" w:eastAsia="en-MY"/>
              </w:rPr>
            </w:pPr>
            <w:r w:rsidRPr="004B57AF">
              <w:rPr>
                <w:rFonts w:ascii="Arial" w:eastAsia="Times New Roman" w:hAnsi="Arial" w:cs="Arial"/>
                <w:noProof/>
                <w:sz w:val="20"/>
                <w:szCs w:val="20"/>
                <w:lang w:val="en-US" w:eastAsia="en-MY"/>
              </w:rPr>
              <w:t>31.7% (19)</w:t>
            </w:r>
          </w:p>
        </w:tc>
        <w:tc>
          <w:tcPr>
            <w:tcW w:w="413" w:type="pct"/>
            <w:vAlign w:val="center"/>
          </w:tcPr>
          <w:p w14:paraId="16BE8849"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753" w:type="pct"/>
            <w:shd w:val="clear" w:color="auto" w:fill="auto"/>
            <w:noWrap/>
            <w:vAlign w:val="center"/>
          </w:tcPr>
          <w:p w14:paraId="267F1AAF"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eastAsia="Times New Roman" w:hAnsi="Arial" w:cs="Arial"/>
                <w:noProof/>
                <w:sz w:val="18"/>
                <w:szCs w:val="18"/>
                <w:lang w:val="en-US" w:eastAsia="en-MY"/>
              </w:rPr>
              <w:t>19.3% (31)</w:t>
            </w:r>
          </w:p>
        </w:tc>
        <w:tc>
          <w:tcPr>
            <w:tcW w:w="343" w:type="pct"/>
            <w:shd w:val="clear" w:color="auto" w:fill="auto"/>
            <w:noWrap/>
            <w:vAlign w:val="center"/>
          </w:tcPr>
          <w:p w14:paraId="752F6DF5"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17</w:t>
            </w:r>
          </w:p>
        </w:tc>
        <w:tc>
          <w:tcPr>
            <w:tcW w:w="548" w:type="pct"/>
            <w:shd w:val="clear" w:color="auto" w:fill="auto"/>
            <w:noWrap/>
            <w:vAlign w:val="center"/>
          </w:tcPr>
          <w:p w14:paraId="35A21766" w14:textId="77777777" w:rsidR="004B57AF" w:rsidRPr="004B57AF" w:rsidRDefault="004B57AF" w:rsidP="000B3481">
            <w:pPr>
              <w:spacing w:after="0" w:line="240" w:lineRule="auto"/>
              <w:jc w:val="center"/>
              <w:rPr>
                <w:rFonts w:ascii="Arial" w:eastAsia="Times New Roman" w:hAnsi="Arial" w:cs="Arial"/>
                <w:b/>
                <w:bCs/>
                <w:noProof/>
                <w:sz w:val="18"/>
                <w:szCs w:val="18"/>
                <w:lang w:val="en-US" w:eastAsia="en-MY"/>
              </w:rPr>
            </w:pPr>
            <w:r w:rsidRPr="004B57AF">
              <w:rPr>
                <w:rFonts w:ascii="Arial" w:hAnsi="Arial" w:cs="Arial"/>
                <w:b/>
                <w:bCs/>
                <w:noProof/>
                <w:sz w:val="18"/>
                <w:szCs w:val="18"/>
                <w:lang w:val="en-US"/>
              </w:rPr>
              <w:t>0.050</w:t>
            </w:r>
          </w:p>
        </w:tc>
      </w:tr>
      <w:tr w:rsidR="006A752F" w:rsidRPr="00214987" w14:paraId="3EFD1318" w14:textId="77777777" w:rsidTr="006A752F">
        <w:trPr>
          <w:trHeight w:val="280"/>
        </w:trPr>
        <w:tc>
          <w:tcPr>
            <w:tcW w:w="2259" w:type="pct"/>
            <w:shd w:val="clear" w:color="auto" w:fill="auto"/>
            <w:noWrap/>
            <w:vAlign w:val="center"/>
          </w:tcPr>
          <w:p w14:paraId="10ACF7A3" w14:textId="5910AF91"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Urticaria or Angioedema, Ever </w:t>
            </w:r>
          </w:p>
        </w:tc>
        <w:tc>
          <w:tcPr>
            <w:tcW w:w="685" w:type="pct"/>
            <w:vAlign w:val="center"/>
          </w:tcPr>
          <w:p w14:paraId="523DAB13"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8.1% (5)</w:t>
            </w:r>
          </w:p>
        </w:tc>
        <w:tc>
          <w:tcPr>
            <w:tcW w:w="413" w:type="pct"/>
            <w:vAlign w:val="center"/>
          </w:tcPr>
          <w:p w14:paraId="22D8E586"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75EA158D"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6.8% (12)</w:t>
            </w:r>
          </w:p>
        </w:tc>
        <w:tc>
          <w:tcPr>
            <w:tcW w:w="343" w:type="pct"/>
            <w:shd w:val="clear" w:color="auto" w:fill="auto"/>
            <w:noWrap/>
            <w:vAlign w:val="center"/>
          </w:tcPr>
          <w:p w14:paraId="3049B431"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548" w:type="pct"/>
            <w:shd w:val="clear" w:color="auto" w:fill="auto"/>
            <w:noWrap/>
            <w:vAlign w:val="center"/>
          </w:tcPr>
          <w:p w14:paraId="0C5BF61B"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0.776</w:t>
            </w:r>
          </w:p>
        </w:tc>
      </w:tr>
      <w:tr w:rsidR="006A752F" w:rsidRPr="00214987" w14:paraId="34514FF2" w14:textId="77777777" w:rsidTr="006A752F">
        <w:trPr>
          <w:trHeight w:val="280"/>
        </w:trPr>
        <w:tc>
          <w:tcPr>
            <w:tcW w:w="2259" w:type="pct"/>
            <w:shd w:val="clear" w:color="auto" w:fill="auto"/>
            <w:noWrap/>
            <w:vAlign w:val="center"/>
          </w:tcPr>
          <w:p w14:paraId="0DD25CC8" w14:textId="376C83FF"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OSA, Ever </w:t>
            </w:r>
          </w:p>
        </w:tc>
        <w:tc>
          <w:tcPr>
            <w:tcW w:w="685" w:type="pct"/>
            <w:vAlign w:val="center"/>
          </w:tcPr>
          <w:p w14:paraId="03EF2C1E"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6.5% (4)</w:t>
            </w:r>
          </w:p>
        </w:tc>
        <w:tc>
          <w:tcPr>
            <w:tcW w:w="413" w:type="pct"/>
            <w:vAlign w:val="center"/>
          </w:tcPr>
          <w:p w14:paraId="097C2250"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7A3D1F5D"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11.5% (20)</w:t>
            </w:r>
          </w:p>
        </w:tc>
        <w:tc>
          <w:tcPr>
            <w:tcW w:w="343" w:type="pct"/>
            <w:shd w:val="clear" w:color="auto" w:fill="auto"/>
            <w:noWrap/>
            <w:vAlign w:val="center"/>
          </w:tcPr>
          <w:p w14:paraId="15E93DDB"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4</w:t>
            </w:r>
          </w:p>
        </w:tc>
        <w:tc>
          <w:tcPr>
            <w:tcW w:w="548" w:type="pct"/>
            <w:shd w:val="clear" w:color="auto" w:fill="auto"/>
            <w:noWrap/>
            <w:vAlign w:val="center"/>
          </w:tcPr>
          <w:p w14:paraId="263758AB"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0.259</w:t>
            </w:r>
          </w:p>
        </w:tc>
      </w:tr>
      <w:tr w:rsidR="006A752F" w:rsidRPr="00214987" w14:paraId="2037B1F3" w14:textId="77777777" w:rsidTr="006A752F">
        <w:trPr>
          <w:trHeight w:val="280"/>
        </w:trPr>
        <w:tc>
          <w:tcPr>
            <w:tcW w:w="2259" w:type="pct"/>
            <w:shd w:val="clear" w:color="auto" w:fill="auto"/>
            <w:noWrap/>
            <w:vAlign w:val="center"/>
            <w:hideMark/>
          </w:tcPr>
          <w:p w14:paraId="2E74B6C1" w14:textId="6DFDA9EB" w:rsidR="004B57AF" w:rsidRPr="004B57AF" w:rsidRDefault="004B57AF" w:rsidP="000B3481">
            <w:pPr>
              <w:spacing w:after="0" w:line="240" w:lineRule="auto"/>
              <w:jc w:val="center"/>
              <w:rPr>
                <w:rFonts w:ascii="Arial" w:eastAsia="Times New Roman" w:hAnsi="Arial" w:cs="Arial"/>
                <w:b/>
                <w:bCs/>
                <w:noProof/>
                <w:sz w:val="20"/>
                <w:szCs w:val="20"/>
                <w:lang w:val="en-US" w:eastAsia="en-MY"/>
              </w:rPr>
            </w:pPr>
            <w:r w:rsidRPr="004B57AF">
              <w:rPr>
                <w:rFonts w:ascii="Arial" w:eastAsia="Times New Roman" w:hAnsi="Arial" w:cs="Arial"/>
                <w:b/>
                <w:bCs/>
                <w:noProof/>
                <w:sz w:val="20"/>
                <w:szCs w:val="20"/>
                <w:lang w:val="en-US" w:eastAsia="en-MY"/>
              </w:rPr>
              <w:t xml:space="preserve">Eczema, Ever </w:t>
            </w:r>
          </w:p>
        </w:tc>
        <w:tc>
          <w:tcPr>
            <w:tcW w:w="685" w:type="pct"/>
            <w:vAlign w:val="center"/>
          </w:tcPr>
          <w:p w14:paraId="242E6103" w14:textId="77777777" w:rsidR="004B57AF" w:rsidRPr="004B57AF" w:rsidRDefault="004B57AF" w:rsidP="000B3481">
            <w:pPr>
              <w:spacing w:after="0" w:line="240" w:lineRule="auto"/>
              <w:jc w:val="center"/>
              <w:rPr>
                <w:rFonts w:ascii="Arial" w:hAnsi="Arial" w:cs="Arial"/>
                <w:noProof/>
                <w:sz w:val="20"/>
                <w:szCs w:val="20"/>
                <w:lang w:val="en-US"/>
              </w:rPr>
            </w:pPr>
            <w:r w:rsidRPr="004B57AF">
              <w:rPr>
                <w:rFonts w:ascii="Arial" w:eastAsia="Times New Roman" w:hAnsi="Arial" w:cs="Arial"/>
                <w:noProof/>
                <w:sz w:val="20"/>
                <w:szCs w:val="20"/>
                <w:lang w:val="en-US" w:eastAsia="en-MY"/>
              </w:rPr>
              <w:t>27.4% (17)</w:t>
            </w:r>
          </w:p>
        </w:tc>
        <w:tc>
          <w:tcPr>
            <w:tcW w:w="413" w:type="pct"/>
            <w:vAlign w:val="center"/>
          </w:tcPr>
          <w:p w14:paraId="224C763A" w14:textId="77777777" w:rsidR="004B57AF" w:rsidRPr="004B57AF" w:rsidRDefault="004B57AF" w:rsidP="000B3481">
            <w:pPr>
              <w:spacing w:after="0" w:line="240" w:lineRule="auto"/>
              <w:jc w:val="center"/>
              <w:rPr>
                <w:rFonts w:ascii="Arial" w:hAnsi="Arial" w:cs="Arial"/>
                <w:noProof/>
                <w:sz w:val="14"/>
                <w:szCs w:val="14"/>
                <w:lang w:val="en-US"/>
              </w:rPr>
            </w:pPr>
            <w:r w:rsidRPr="004B57AF">
              <w:rPr>
                <w:rFonts w:ascii="Arial" w:eastAsia="Times New Roman" w:hAnsi="Arial" w:cs="Arial"/>
                <w:noProof/>
                <w:sz w:val="14"/>
                <w:szCs w:val="14"/>
                <w:lang w:val="en-US" w:eastAsia="en-MY"/>
              </w:rPr>
              <w:t>0</w:t>
            </w:r>
          </w:p>
        </w:tc>
        <w:tc>
          <w:tcPr>
            <w:tcW w:w="753" w:type="pct"/>
            <w:shd w:val="clear" w:color="auto" w:fill="auto"/>
            <w:noWrap/>
            <w:vAlign w:val="center"/>
          </w:tcPr>
          <w:p w14:paraId="6A604325"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21.6% (38)</w:t>
            </w:r>
          </w:p>
        </w:tc>
        <w:tc>
          <w:tcPr>
            <w:tcW w:w="343" w:type="pct"/>
            <w:shd w:val="clear" w:color="auto" w:fill="auto"/>
            <w:noWrap/>
            <w:vAlign w:val="center"/>
          </w:tcPr>
          <w:p w14:paraId="09FCC580" w14:textId="77777777" w:rsidR="004B57AF" w:rsidRPr="004B57AF" w:rsidRDefault="004B57AF" w:rsidP="000B3481">
            <w:pPr>
              <w:spacing w:after="0" w:line="240" w:lineRule="auto"/>
              <w:jc w:val="center"/>
              <w:rPr>
                <w:rFonts w:ascii="Arial" w:eastAsia="Times New Roman" w:hAnsi="Arial" w:cs="Arial"/>
                <w:noProof/>
                <w:sz w:val="14"/>
                <w:szCs w:val="14"/>
                <w:lang w:val="en-US" w:eastAsia="en-MY"/>
              </w:rPr>
            </w:pPr>
            <w:r w:rsidRPr="004B57AF">
              <w:rPr>
                <w:rFonts w:ascii="Arial" w:eastAsia="Times New Roman" w:hAnsi="Arial" w:cs="Arial"/>
                <w:noProof/>
                <w:sz w:val="14"/>
                <w:szCs w:val="14"/>
                <w:lang w:val="en-US" w:eastAsia="en-MY"/>
              </w:rPr>
              <w:t>2</w:t>
            </w:r>
          </w:p>
        </w:tc>
        <w:tc>
          <w:tcPr>
            <w:tcW w:w="548" w:type="pct"/>
            <w:shd w:val="clear" w:color="auto" w:fill="auto"/>
            <w:noWrap/>
            <w:vAlign w:val="center"/>
          </w:tcPr>
          <w:p w14:paraId="21D269F5" w14:textId="77777777" w:rsidR="004B57AF" w:rsidRPr="004B57AF" w:rsidRDefault="004B57AF" w:rsidP="000B3481">
            <w:pPr>
              <w:spacing w:after="0" w:line="240" w:lineRule="auto"/>
              <w:jc w:val="center"/>
              <w:rPr>
                <w:rFonts w:ascii="Arial" w:eastAsia="Times New Roman" w:hAnsi="Arial" w:cs="Arial"/>
                <w:noProof/>
                <w:sz w:val="18"/>
                <w:szCs w:val="18"/>
                <w:lang w:val="en-US" w:eastAsia="en-MY"/>
              </w:rPr>
            </w:pPr>
            <w:r w:rsidRPr="004B57AF">
              <w:rPr>
                <w:rFonts w:ascii="Arial" w:hAnsi="Arial" w:cs="Arial"/>
                <w:noProof/>
                <w:sz w:val="18"/>
                <w:szCs w:val="18"/>
                <w:lang w:val="en-US"/>
              </w:rPr>
              <w:t>0.349</w:t>
            </w:r>
          </w:p>
        </w:tc>
      </w:tr>
    </w:tbl>
    <w:bookmarkEnd w:id="3"/>
    <w:p w14:paraId="13B277DE" w14:textId="357FBB7C" w:rsidR="004A43F4" w:rsidRPr="004B57AF" w:rsidRDefault="004A43F4" w:rsidP="003A011B">
      <w:pPr>
        <w:spacing w:line="240" w:lineRule="auto"/>
        <w:rPr>
          <w:rFonts w:ascii="Arial" w:hAnsi="Arial" w:cs="Arial"/>
          <w:noProof/>
          <w:sz w:val="13"/>
          <w:szCs w:val="13"/>
          <w:lang w:val="en-US"/>
        </w:rPr>
      </w:pPr>
      <w:r w:rsidRPr="004B57AF">
        <w:rPr>
          <w:rFonts w:ascii="Arial" w:hAnsi="Arial" w:cs="Arial"/>
          <w:noProof/>
          <w:sz w:val="13"/>
          <w:szCs w:val="13"/>
          <w:lang w:val="en-US"/>
        </w:rPr>
        <w:t xml:space="preserve">Categorical data presented as proportions and numbers. Continuous data presented </w:t>
      </w:r>
      <w:r w:rsidR="00E92880" w:rsidRPr="004B57AF">
        <w:rPr>
          <w:rFonts w:ascii="Arial" w:hAnsi="Arial" w:cs="Arial"/>
          <w:noProof/>
          <w:sz w:val="13"/>
          <w:szCs w:val="13"/>
          <w:lang w:val="en-US"/>
        </w:rPr>
        <w:t>Median + Interquartile range (IQR) or Mean + standard deviation (SD)</w:t>
      </w:r>
      <w:r w:rsidRPr="004B57AF">
        <w:rPr>
          <w:rFonts w:ascii="Arial" w:hAnsi="Arial" w:cs="Arial"/>
          <w:noProof/>
          <w:sz w:val="13"/>
          <w:szCs w:val="13"/>
          <w:lang w:val="en-US"/>
        </w:rPr>
        <w:t>.</w:t>
      </w:r>
      <w:r w:rsidRPr="004B57AF">
        <w:rPr>
          <w:rFonts w:ascii="Arial" w:eastAsia="Times New Roman" w:hAnsi="Arial" w:cs="Arial"/>
          <w:noProof/>
          <w:sz w:val="13"/>
          <w:szCs w:val="13"/>
          <w:lang w:val="en-US" w:eastAsia="en-MY"/>
        </w:rPr>
        <w:t xml:space="preserve"> </w:t>
      </w:r>
      <w:r w:rsidR="001B2BDD" w:rsidRPr="004B57AF">
        <w:rPr>
          <w:rFonts w:ascii="Arial" w:eastAsia="Times New Roman" w:hAnsi="Arial" w:cs="Arial"/>
          <w:noProof/>
          <w:sz w:val="13"/>
          <w:szCs w:val="13"/>
          <w:vertAlign w:val="superscript"/>
          <w:lang w:val="en-US" w:eastAsia="en-MY"/>
        </w:rPr>
        <w:t>a</w:t>
      </w:r>
      <w:r w:rsidR="001B2BDD" w:rsidRPr="004B57AF">
        <w:rPr>
          <w:rFonts w:ascii="Arial" w:eastAsia="Times New Roman" w:hAnsi="Arial" w:cs="Arial"/>
          <w:noProof/>
          <w:sz w:val="13"/>
          <w:szCs w:val="13"/>
          <w:lang w:val="en-US" w:eastAsia="en-MY"/>
        </w:rPr>
        <w:t xml:space="preserve">: For biologic groups, In the preceding 12 months </w:t>
      </w:r>
      <w:r w:rsidR="00260269">
        <w:rPr>
          <w:rFonts w:ascii="Arial" w:eastAsia="Times New Roman" w:hAnsi="Arial" w:cs="Arial"/>
          <w:noProof/>
          <w:sz w:val="13"/>
          <w:szCs w:val="13"/>
          <w:lang w:val="en-US" w:eastAsia="en-MY"/>
        </w:rPr>
        <w:t>before</w:t>
      </w:r>
      <w:r w:rsidR="001B2BDD" w:rsidRPr="004B57AF">
        <w:rPr>
          <w:rFonts w:ascii="Arial" w:eastAsia="Times New Roman" w:hAnsi="Arial" w:cs="Arial"/>
          <w:noProof/>
          <w:sz w:val="13"/>
          <w:szCs w:val="13"/>
          <w:lang w:val="en-US" w:eastAsia="en-MY"/>
        </w:rPr>
        <w:t xml:space="preserve"> biologic approval. </w:t>
      </w:r>
      <w:r w:rsidR="001B2BDD" w:rsidRPr="004B57AF">
        <w:rPr>
          <w:rFonts w:ascii="Arial" w:eastAsia="Times New Roman" w:hAnsi="Arial" w:cs="Arial"/>
          <w:noProof/>
          <w:sz w:val="13"/>
          <w:szCs w:val="13"/>
          <w:vertAlign w:val="superscript"/>
          <w:lang w:val="en-US" w:eastAsia="en-MY"/>
        </w:rPr>
        <w:t>b</w:t>
      </w:r>
      <w:r w:rsidR="001B2BDD" w:rsidRPr="004B57AF">
        <w:rPr>
          <w:rFonts w:ascii="Arial" w:eastAsia="Times New Roman" w:hAnsi="Arial" w:cs="Arial"/>
          <w:noProof/>
          <w:sz w:val="13"/>
          <w:szCs w:val="13"/>
          <w:lang w:val="en-US" w:eastAsia="en-MY"/>
        </w:rPr>
        <w:t>: For the non-biologic group,</w:t>
      </w:r>
      <w:r w:rsidR="00260269">
        <w:rPr>
          <w:rFonts w:ascii="Arial" w:eastAsia="Times New Roman" w:hAnsi="Arial" w:cs="Arial"/>
          <w:noProof/>
          <w:sz w:val="13"/>
          <w:szCs w:val="13"/>
          <w:lang w:val="en-US" w:eastAsia="en-MY"/>
        </w:rPr>
        <w:t xml:space="preserve"> </w:t>
      </w:r>
      <w:r w:rsidR="001B2BDD" w:rsidRPr="004B57AF">
        <w:rPr>
          <w:rFonts w:ascii="Arial" w:eastAsia="Times New Roman" w:hAnsi="Arial" w:cs="Arial"/>
          <w:noProof/>
          <w:sz w:val="13"/>
          <w:szCs w:val="13"/>
          <w:lang w:val="en-US" w:eastAsia="en-MY"/>
        </w:rPr>
        <w:t xml:space="preserve">at </w:t>
      </w:r>
      <w:r w:rsidR="001B2BDD" w:rsidRPr="004B57AF">
        <w:rPr>
          <w:rFonts w:ascii="Arial" w:hAnsi="Arial" w:cs="Arial"/>
          <w:noProof/>
          <w:sz w:val="13"/>
          <w:szCs w:val="13"/>
          <w:lang w:val="en-US"/>
        </w:rPr>
        <w:t xml:space="preserve">WATCH enrolment. </w:t>
      </w:r>
      <w:r w:rsidR="001B2BDD" w:rsidRPr="004B57AF">
        <w:rPr>
          <w:rFonts w:ascii="Arial" w:eastAsia="Times New Roman" w:hAnsi="Arial" w:cs="Arial"/>
          <w:noProof/>
          <w:sz w:val="13"/>
          <w:szCs w:val="13"/>
          <w:vertAlign w:val="superscript"/>
          <w:lang w:val="en-US" w:eastAsia="en-MY"/>
        </w:rPr>
        <w:t>c</w:t>
      </w:r>
      <w:r w:rsidR="001B2BDD" w:rsidRPr="004B57AF">
        <w:rPr>
          <w:rFonts w:ascii="Arial" w:eastAsia="Times New Roman" w:hAnsi="Arial" w:cs="Arial"/>
          <w:noProof/>
          <w:sz w:val="13"/>
          <w:szCs w:val="13"/>
          <w:lang w:val="en-US" w:eastAsia="en-MY"/>
        </w:rPr>
        <w:t>:</w:t>
      </w:r>
      <w:r w:rsidR="001B2BDD" w:rsidRPr="004B57AF">
        <w:rPr>
          <w:rFonts w:ascii="Arial" w:hAnsi="Arial" w:cs="Arial"/>
          <w:noProof/>
          <w:sz w:val="13"/>
          <w:szCs w:val="13"/>
          <w:lang w:val="en-US"/>
        </w:rPr>
        <w:t xml:space="preserve"> for biologic groups, </w:t>
      </w:r>
      <w:r w:rsidR="001B2BDD" w:rsidRPr="004B57AF">
        <w:rPr>
          <w:rFonts w:ascii="Arial" w:eastAsia="Times New Roman" w:hAnsi="Arial" w:cs="Arial"/>
          <w:noProof/>
          <w:sz w:val="13"/>
          <w:szCs w:val="13"/>
          <w:lang w:val="en-US" w:eastAsia="en-MY"/>
        </w:rPr>
        <w:t xml:space="preserve">at baseline biologic visit. </w:t>
      </w:r>
      <w:r w:rsidR="00BF2A38" w:rsidRPr="004B57AF">
        <w:rPr>
          <w:rFonts w:ascii="Arial" w:hAnsi="Arial" w:cs="Arial"/>
          <w:noProof/>
          <w:sz w:val="13"/>
          <w:szCs w:val="13"/>
          <w:lang w:val="en-US"/>
        </w:rPr>
        <w:t xml:space="preserve">Exacerbations: incidence of exacerbations requiring OCS / increase in maintenance OCS in the past 12 months before biologic approval. </w:t>
      </w:r>
      <w:r w:rsidRPr="004B57AF">
        <w:rPr>
          <w:rFonts w:ascii="Arial" w:hAnsi="Arial" w:cs="Arial"/>
          <w:noProof/>
          <w:sz w:val="13"/>
          <w:szCs w:val="13"/>
          <w:lang w:val="en-US"/>
        </w:rPr>
        <w:t>AHE</w:t>
      </w:r>
      <w:r w:rsidR="000057AB" w:rsidRPr="004B57AF">
        <w:rPr>
          <w:rFonts w:ascii="Arial" w:hAnsi="Arial" w:cs="Arial"/>
          <w:noProof/>
          <w:sz w:val="13"/>
          <w:szCs w:val="13"/>
          <w:lang w:val="en-US"/>
        </w:rPr>
        <w:t>:</w:t>
      </w:r>
      <w:r w:rsidRPr="004B57AF">
        <w:rPr>
          <w:rFonts w:ascii="Arial" w:hAnsi="Arial" w:cs="Arial"/>
          <w:noProof/>
          <w:sz w:val="13"/>
          <w:szCs w:val="13"/>
          <w:lang w:val="en-US"/>
        </w:rPr>
        <w:t xml:space="preserve"> acute healthcare encounters, which include Emergency department/ hospital admissions. </w:t>
      </w:r>
      <w:r w:rsidR="004E2C02" w:rsidRPr="004B57AF">
        <w:rPr>
          <w:rFonts w:ascii="Arial" w:hAnsi="Arial" w:cs="Arial"/>
          <w:noProof/>
          <w:sz w:val="13"/>
          <w:szCs w:val="13"/>
          <w:lang w:val="en-US"/>
        </w:rPr>
        <w:t>PBE</w:t>
      </w:r>
      <w:r w:rsidR="000057AB" w:rsidRPr="004B57AF">
        <w:rPr>
          <w:rFonts w:ascii="Arial" w:hAnsi="Arial" w:cs="Arial"/>
          <w:noProof/>
          <w:sz w:val="13"/>
          <w:szCs w:val="13"/>
          <w:lang w:val="en-US"/>
        </w:rPr>
        <w:t>:</w:t>
      </w:r>
      <w:r w:rsidRPr="004B57AF">
        <w:rPr>
          <w:rFonts w:ascii="Arial" w:hAnsi="Arial" w:cs="Arial"/>
          <w:noProof/>
          <w:sz w:val="13"/>
          <w:szCs w:val="13"/>
          <w:lang w:val="en-US"/>
        </w:rPr>
        <w:t xml:space="preserve"> </w:t>
      </w:r>
      <w:r w:rsidR="004E2C02" w:rsidRPr="004B57AF">
        <w:rPr>
          <w:rFonts w:ascii="Arial" w:hAnsi="Arial" w:cs="Arial"/>
          <w:noProof/>
          <w:sz w:val="13"/>
          <w:szCs w:val="13"/>
          <w:lang w:val="en-US"/>
        </w:rPr>
        <w:t xml:space="preserve">peripheral blood </w:t>
      </w:r>
      <w:r w:rsidRPr="004B57AF">
        <w:rPr>
          <w:rFonts w:ascii="Arial" w:hAnsi="Arial" w:cs="Arial"/>
          <w:noProof/>
          <w:sz w:val="13"/>
          <w:szCs w:val="13"/>
          <w:lang w:val="en-US"/>
        </w:rPr>
        <w:t>eosinophils. µL</w:t>
      </w:r>
      <w:r w:rsidR="000057AB" w:rsidRPr="004B57AF">
        <w:rPr>
          <w:rFonts w:ascii="Arial" w:hAnsi="Arial" w:cs="Arial"/>
          <w:noProof/>
          <w:sz w:val="13"/>
          <w:szCs w:val="13"/>
          <w:lang w:val="en-US"/>
        </w:rPr>
        <w:t>:</w:t>
      </w:r>
      <w:r w:rsidR="002630ED" w:rsidRPr="004B57AF">
        <w:rPr>
          <w:rFonts w:ascii="Arial" w:hAnsi="Arial" w:cs="Arial"/>
          <w:noProof/>
          <w:sz w:val="13"/>
          <w:szCs w:val="13"/>
          <w:lang w:val="en-US"/>
        </w:rPr>
        <w:t xml:space="preserve"> </w:t>
      </w:r>
      <w:r w:rsidRPr="004B57AF">
        <w:rPr>
          <w:rFonts w:ascii="Arial" w:hAnsi="Arial" w:cs="Arial"/>
          <w:noProof/>
          <w:sz w:val="13"/>
          <w:szCs w:val="13"/>
          <w:lang w:val="en-US"/>
        </w:rPr>
        <w:t xml:space="preserve">microlitre. ACQ6: Asthma Control Questionnaire 6. </w:t>
      </w:r>
      <w:r w:rsidR="000057AB" w:rsidRPr="004B57AF">
        <w:rPr>
          <w:rFonts w:ascii="Arial" w:hAnsi="Arial" w:cs="Arial"/>
          <w:noProof/>
          <w:sz w:val="13"/>
          <w:szCs w:val="13"/>
          <w:lang w:val="en-US"/>
        </w:rPr>
        <w:t>FENO:</w:t>
      </w:r>
      <w:r w:rsidRPr="004B57AF">
        <w:rPr>
          <w:rFonts w:ascii="Arial" w:hAnsi="Arial" w:cs="Arial"/>
          <w:noProof/>
          <w:sz w:val="13"/>
          <w:szCs w:val="13"/>
          <w:lang w:val="en-US"/>
        </w:rPr>
        <w:t xml:space="preserve"> fractional exhaled nitric oxide.  ppb: parts per billion. IgE: immunoglobulin E. kU/L</w:t>
      </w:r>
      <w:r w:rsidR="002630ED" w:rsidRPr="004B57AF">
        <w:rPr>
          <w:rFonts w:ascii="Arial" w:hAnsi="Arial" w:cs="Arial"/>
          <w:noProof/>
          <w:sz w:val="13"/>
          <w:szCs w:val="13"/>
          <w:lang w:val="en-US"/>
        </w:rPr>
        <w:t>:</w:t>
      </w:r>
      <w:r w:rsidRPr="004B57AF">
        <w:rPr>
          <w:rFonts w:ascii="Arial" w:hAnsi="Arial" w:cs="Arial"/>
          <w:noProof/>
          <w:sz w:val="13"/>
          <w:szCs w:val="13"/>
          <w:lang w:val="en-US"/>
        </w:rPr>
        <w:t xml:space="preserve"> kilounits per litre.  OCS: oral corticosteroids</w:t>
      </w:r>
      <w:r w:rsidR="002630ED" w:rsidRPr="004B57AF">
        <w:rPr>
          <w:rFonts w:ascii="Arial" w:hAnsi="Arial" w:cs="Arial"/>
          <w:noProof/>
          <w:sz w:val="13"/>
          <w:szCs w:val="13"/>
          <w:lang w:val="en-US"/>
        </w:rPr>
        <w:t>.</w:t>
      </w:r>
      <w:r w:rsidRPr="004B57AF">
        <w:rPr>
          <w:rFonts w:ascii="Arial" w:hAnsi="Arial" w:cs="Arial"/>
          <w:noProof/>
          <w:sz w:val="13"/>
          <w:szCs w:val="13"/>
          <w:lang w:val="en-US"/>
        </w:rPr>
        <w:t xml:space="preserve"> </w:t>
      </w:r>
      <w:r w:rsidR="000057AB" w:rsidRPr="004B57AF">
        <w:rPr>
          <w:rFonts w:ascii="Arial" w:hAnsi="Arial" w:cs="Arial"/>
          <w:noProof/>
          <w:sz w:val="13"/>
          <w:szCs w:val="13"/>
          <w:lang w:val="en-US"/>
        </w:rPr>
        <w:t>mg:</w:t>
      </w:r>
      <w:r w:rsidRPr="004B57AF">
        <w:rPr>
          <w:rFonts w:ascii="Arial" w:hAnsi="Arial" w:cs="Arial"/>
          <w:noProof/>
          <w:sz w:val="13"/>
          <w:szCs w:val="13"/>
          <w:lang w:val="en-US"/>
        </w:rPr>
        <w:t xml:space="preserve"> milligrams. FEV</w:t>
      </w:r>
      <w:r w:rsidR="000057AB" w:rsidRPr="004B57AF">
        <w:rPr>
          <w:rFonts w:ascii="Arial" w:hAnsi="Arial" w:cs="Arial"/>
          <w:noProof/>
          <w:sz w:val="13"/>
          <w:szCs w:val="13"/>
          <w:vertAlign w:val="subscript"/>
          <w:lang w:val="en-US"/>
        </w:rPr>
        <w:t>1</w:t>
      </w:r>
      <w:r w:rsidR="000057AB" w:rsidRPr="004B57AF">
        <w:rPr>
          <w:rFonts w:ascii="Arial" w:hAnsi="Arial" w:cs="Arial"/>
          <w:noProof/>
          <w:sz w:val="13"/>
          <w:szCs w:val="13"/>
          <w:lang w:val="en-US"/>
        </w:rPr>
        <w:t>:</w:t>
      </w:r>
      <w:r w:rsidRPr="004B57AF">
        <w:rPr>
          <w:rFonts w:ascii="Arial" w:hAnsi="Arial" w:cs="Arial"/>
          <w:noProof/>
          <w:sz w:val="13"/>
          <w:szCs w:val="13"/>
          <w:lang w:val="en-US"/>
        </w:rPr>
        <w:t xml:space="preserve"> forced expiratory volume in one second. </w:t>
      </w:r>
      <w:r w:rsidR="005D22AB" w:rsidRPr="004B57AF">
        <w:rPr>
          <w:rFonts w:ascii="Arial" w:hAnsi="Arial" w:cs="Arial"/>
          <w:noProof/>
          <w:sz w:val="13"/>
          <w:szCs w:val="13"/>
          <w:lang w:val="en-US"/>
        </w:rPr>
        <w:t xml:space="preserve">Adult-onset: Age of asthma onset ≥18 years. </w:t>
      </w:r>
      <w:r w:rsidRPr="004B57AF">
        <w:rPr>
          <w:rFonts w:ascii="Arial" w:hAnsi="Arial" w:cs="Arial"/>
          <w:noProof/>
          <w:sz w:val="13"/>
          <w:szCs w:val="13"/>
          <w:lang w:val="en-US"/>
        </w:rPr>
        <w:t>GORD</w:t>
      </w:r>
      <w:r w:rsidR="000057AB" w:rsidRPr="004B57AF">
        <w:rPr>
          <w:rFonts w:ascii="Arial" w:hAnsi="Arial" w:cs="Arial"/>
          <w:noProof/>
          <w:sz w:val="13"/>
          <w:szCs w:val="13"/>
          <w:lang w:val="en-US"/>
        </w:rPr>
        <w:t xml:space="preserve">: </w:t>
      </w:r>
      <w:r w:rsidR="00BD78E9" w:rsidRPr="004B57AF">
        <w:rPr>
          <w:rFonts w:ascii="Arial" w:hAnsi="Arial" w:cs="Arial"/>
          <w:noProof/>
          <w:sz w:val="13"/>
          <w:szCs w:val="13"/>
          <w:lang w:val="en-US"/>
        </w:rPr>
        <w:t>Gastro-oesophageal</w:t>
      </w:r>
      <w:r w:rsidRPr="004B57AF">
        <w:rPr>
          <w:rFonts w:ascii="Arial" w:hAnsi="Arial" w:cs="Arial"/>
          <w:noProof/>
          <w:sz w:val="13"/>
          <w:szCs w:val="13"/>
          <w:lang w:val="en-US"/>
        </w:rPr>
        <w:t xml:space="preserve"> reflux disease. SPT</w:t>
      </w:r>
      <w:r w:rsidR="000057AB" w:rsidRPr="004B57AF">
        <w:rPr>
          <w:rFonts w:ascii="Arial" w:hAnsi="Arial" w:cs="Arial"/>
          <w:noProof/>
          <w:sz w:val="13"/>
          <w:szCs w:val="13"/>
          <w:lang w:val="en-US"/>
        </w:rPr>
        <w:t xml:space="preserve">: </w:t>
      </w:r>
      <w:r w:rsidRPr="004B57AF">
        <w:rPr>
          <w:rFonts w:ascii="Arial" w:hAnsi="Arial" w:cs="Arial"/>
          <w:noProof/>
          <w:sz w:val="13"/>
          <w:szCs w:val="13"/>
          <w:lang w:val="en-US"/>
        </w:rPr>
        <w:t>skin prick test</w:t>
      </w:r>
      <w:r w:rsidR="000057AB" w:rsidRPr="004B57AF">
        <w:rPr>
          <w:rFonts w:ascii="Arial" w:hAnsi="Arial" w:cs="Arial"/>
          <w:noProof/>
          <w:sz w:val="13"/>
          <w:szCs w:val="13"/>
          <w:lang w:val="en-US"/>
        </w:rPr>
        <w:t>.</w:t>
      </w:r>
      <w:r w:rsidRPr="004B57AF">
        <w:rPr>
          <w:rFonts w:ascii="Arial" w:hAnsi="Arial" w:cs="Arial"/>
          <w:noProof/>
          <w:sz w:val="13"/>
          <w:szCs w:val="13"/>
          <w:lang w:val="en-US"/>
        </w:rPr>
        <w:t xml:space="preserve"> sIgE</w:t>
      </w:r>
      <w:r w:rsidR="000057AB" w:rsidRPr="004B57AF">
        <w:rPr>
          <w:rFonts w:ascii="Arial" w:hAnsi="Arial" w:cs="Arial"/>
          <w:noProof/>
          <w:sz w:val="13"/>
          <w:szCs w:val="13"/>
          <w:lang w:val="en-US"/>
        </w:rPr>
        <w:t>:</w:t>
      </w:r>
      <w:r w:rsidRPr="004B57AF">
        <w:rPr>
          <w:rFonts w:ascii="Arial" w:hAnsi="Arial" w:cs="Arial"/>
          <w:noProof/>
          <w:sz w:val="13"/>
          <w:szCs w:val="13"/>
          <w:lang w:val="en-US"/>
        </w:rPr>
        <w:t xml:space="preserve"> specific IgE. ICU</w:t>
      </w:r>
      <w:r w:rsidR="000057AB" w:rsidRPr="004B57AF">
        <w:rPr>
          <w:rFonts w:ascii="Arial" w:hAnsi="Arial" w:cs="Arial"/>
          <w:noProof/>
          <w:sz w:val="13"/>
          <w:szCs w:val="13"/>
          <w:lang w:val="en-US"/>
        </w:rPr>
        <w:t>:</w:t>
      </w:r>
      <w:r w:rsidRPr="004B57AF">
        <w:rPr>
          <w:rFonts w:ascii="Arial" w:hAnsi="Arial" w:cs="Arial"/>
          <w:noProof/>
          <w:sz w:val="13"/>
          <w:szCs w:val="13"/>
          <w:lang w:val="en-US"/>
        </w:rPr>
        <w:t xml:space="preserve"> intensive care unit. ILO</w:t>
      </w:r>
      <w:r w:rsidR="000057AB" w:rsidRPr="004B57AF">
        <w:rPr>
          <w:rFonts w:ascii="Arial" w:hAnsi="Arial" w:cs="Arial"/>
          <w:noProof/>
          <w:sz w:val="13"/>
          <w:szCs w:val="13"/>
          <w:lang w:val="en-US"/>
        </w:rPr>
        <w:t xml:space="preserve">: </w:t>
      </w:r>
      <w:r w:rsidRPr="004B57AF">
        <w:rPr>
          <w:rFonts w:ascii="Arial" w:hAnsi="Arial" w:cs="Arial"/>
          <w:noProof/>
          <w:sz w:val="13"/>
          <w:szCs w:val="13"/>
          <w:lang w:val="en-US"/>
        </w:rPr>
        <w:t>intermittent laryngeal obstruction. ABPA: allergic bronchopulmonary aspergillosis. COPD: chronic obstructive pulmonary disease. OSA</w:t>
      </w:r>
      <w:r w:rsidR="000057AB" w:rsidRPr="004B57AF">
        <w:rPr>
          <w:rFonts w:ascii="Arial" w:hAnsi="Arial" w:cs="Arial"/>
          <w:noProof/>
          <w:sz w:val="13"/>
          <w:szCs w:val="13"/>
          <w:lang w:val="en-US"/>
        </w:rPr>
        <w:t>:</w:t>
      </w:r>
      <w:r w:rsidRPr="004B57AF">
        <w:rPr>
          <w:rFonts w:ascii="Arial" w:hAnsi="Arial" w:cs="Arial"/>
          <w:noProof/>
          <w:sz w:val="13"/>
          <w:szCs w:val="13"/>
          <w:lang w:val="en-US"/>
        </w:rPr>
        <w:t xml:space="preserve"> obstructive sleep apnoea. </w:t>
      </w:r>
      <w:r w:rsidR="006C662D" w:rsidRPr="004B57AF">
        <w:rPr>
          <w:rFonts w:ascii="Arial" w:eastAsia="Times New Roman" w:hAnsi="Arial" w:cs="Arial"/>
          <w:noProof/>
          <w:sz w:val="13"/>
          <w:szCs w:val="13"/>
          <w:lang w:val="en-US" w:eastAsia="en-MY"/>
        </w:rPr>
        <w:t xml:space="preserve">The </w:t>
      </w:r>
      <w:r w:rsidR="006C662D" w:rsidRPr="004B57AF">
        <w:rPr>
          <w:rFonts w:ascii="Arial" w:hAnsi="Arial" w:cs="Arial"/>
          <w:noProof/>
          <w:sz w:val="13"/>
          <w:szCs w:val="13"/>
          <w:lang w:val="en-US"/>
        </w:rPr>
        <w:t xml:space="preserve">severe asthma, non-biologic (SNB) group is </w:t>
      </w:r>
      <w:r w:rsidR="006C662D" w:rsidRPr="004B57AF">
        <w:rPr>
          <w:rFonts w:ascii="Arial" w:eastAsia="Times New Roman" w:hAnsi="Arial" w:cs="Arial"/>
          <w:noProof/>
          <w:sz w:val="13"/>
          <w:szCs w:val="13"/>
          <w:lang w:val="en-US" w:eastAsia="en-MY"/>
        </w:rPr>
        <w:t>a</w:t>
      </w:r>
      <w:r w:rsidR="006C662D" w:rsidRPr="004B57AF">
        <w:rPr>
          <w:rFonts w:ascii="Arial" w:hAnsi="Arial" w:cs="Arial"/>
          <w:noProof/>
          <w:sz w:val="13"/>
          <w:szCs w:val="13"/>
          <w:lang w:val="en-US"/>
        </w:rPr>
        <w:t xml:space="preserve"> common comparator group extracted from WATCH. They were participants who either had ≥4 exacerbations or ≥1 AHE or were on maintenance OCS in the past year but did not commence biologic therapy during the study period.</w:t>
      </w:r>
      <w:r w:rsidR="003F5102" w:rsidRPr="004B57AF">
        <w:rPr>
          <w:rFonts w:ascii="Arial" w:hAnsi="Arial" w:cs="Arial"/>
          <w:noProof/>
          <w:sz w:val="13"/>
          <w:szCs w:val="13"/>
          <w:lang w:val="en-US"/>
        </w:rPr>
        <w:t xml:space="preserve"> Unpaired t-tests, Mann-Whitney U test, Chi-square tests or Fisher’s exact tests were used, where appropriate, to calculate P-values. </w:t>
      </w:r>
    </w:p>
    <w:p w14:paraId="40AD4927" w14:textId="67865A94" w:rsidR="004A43F4" w:rsidRPr="007D75FE" w:rsidRDefault="004A43F4" w:rsidP="004A43F4">
      <w:pPr>
        <w:rPr>
          <w:rFonts w:ascii="Arial" w:hAnsi="Arial" w:cs="Arial"/>
          <w:b/>
          <w:bCs/>
          <w:noProof/>
          <w:lang w:val="en-US"/>
        </w:rPr>
      </w:pPr>
      <w:r w:rsidRPr="007D75FE">
        <w:rPr>
          <w:rFonts w:ascii="Arial" w:hAnsi="Arial" w:cs="Arial"/>
          <w:b/>
          <w:bCs/>
          <w:noProof/>
          <w:lang w:val="en-US"/>
        </w:rPr>
        <w:lastRenderedPageBreak/>
        <w:t xml:space="preserve">Table </w:t>
      </w:r>
      <w:r w:rsidR="004B57AF" w:rsidRPr="007D75FE">
        <w:rPr>
          <w:rFonts w:ascii="Arial" w:hAnsi="Arial" w:cs="Arial"/>
          <w:b/>
          <w:bCs/>
          <w:noProof/>
          <w:lang w:val="en-US"/>
        </w:rPr>
        <w:t>3</w:t>
      </w:r>
      <w:r w:rsidRPr="007D75FE">
        <w:rPr>
          <w:rFonts w:ascii="Arial" w:hAnsi="Arial" w:cs="Arial"/>
          <w:b/>
          <w:bCs/>
          <w:noProof/>
          <w:lang w:val="en-US"/>
        </w:rPr>
        <w:t xml:space="preserve">: Baseline features </w:t>
      </w:r>
      <w:r w:rsidR="008D322B" w:rsidRPr="007D75FE">
        <w:rPr>
          <w:rFonts w:ascii="Arial" w:hAnsi="Arial" w:cs="Arial"/>
          <w:b/>
          <w:bCs/>
          <w:noProof/>
          <w:lang w:val="en-US"/>
        </w:rPr>
        <w:t>Independently</w:t>
      </w:r>
      <w:r w:rsidR="00A30802" w:rsidRPr="007D75FE">
        <w:rPr>
          <w:rFonts w:ascii="Arial" w:hAnsi="Arial" w:cs="Arial"/>
          <w:b/>
          <w:bCs/>
          <w:noProof/>
          <w:lang w:val="en-US"/>
        </w:rPr>
        <w:t xml:space="preserve"> A</w:t>
      </w:r>
      <w:r w:rsidRPr="007D75FE">
        <w:rPr>
          <w:rFonts w:ascii="Arial" w:hAnsi="Arial" w:cs="Arial"/>
          <w:b/>
          <w:bCs/>
          <w:noProof/>
          <w:lang w:val="en-US"/>
        </w:rPr>
        <w:t>ssociated with Biologic Responses</w:t>
      </w:r>
    </w:p>
    <w:p w14:paraId="52DC3E46" w14:textId="77777777" w:rsidR="004A43F4" w:rsidRPr="00214987" w:rsidRDefault="004A43F4" w:rsidP="004A43F4">
      <w:pPr>
        <w:rPr>
          <w:rFonts w:ascii="Arial" w:hAnsi="Arial" w:cs="Arial"/>
          <w:b/>
          <w:bCs/>
          <w:noProof/>
          <w:u w:val="single"/>
          <w:lang w:val="en-US"/>
        </w:rPr>
      </w:pPr>
    </w:p>
    <w:tbl>
      <w:tblPr>
        <w:tblStyle w:val="TableGrid"/>
        <w:tblW w:w="10788" w:type="dxa"/>
        <w:jc w:val="center"/>
        <w:tblLook w:val="04A0" w:firstRow="1" w:lastRow="0" w:firstColumn="1" w:lastColumn="0" w:noHBand="0" w:noVBand="1"/>
      </w:tblPr>
      <w:tblGrid>
        <w:gridCol w:w="1288"/>
        <w:gridCol w:w="1019"/>
        <w:gridCol w:w="2419"/>
        <w:gridCol w:w="1778"/>
        <w:gridCol w:w="967"/>
        <w:gridCol w:w="1978"/>
        <w:gridCol w:w="1339"/>
      </w:tblGrid>
      <w:tr w:rsidR="004A43F4" w:rsidRPr="00214987" w14:paraId="568456D6" w14:textId="77777777" w:rsidTr="006A752F">
        <w:trPr>
          <w:jc w:val="center"/>
        </w:trPr>
        <w:tc>
          <w:tcPr>
            <w:tcW w:w="10788" w:type="dxa"/>
            <w:gridSpan w:val="7"/>
            <w:vAlign w:val="center"/>
          </w:tcPr>
          <w:p w14:paraId="664DECDA" w14:textId="77777777" w:rsidR="004A43F4" w:rsidRPr="00214987" w:rsidRDefault="004A43F4" w:rsidP="000B3481">
            <w:pPr>
              <w:jc w:val="center"/>
              <w:rPr>
                <w:rFonts w:ascii="Arial" w:hAnsi="Arial" w:cs="Arial"/>
                <w:noProof/>
                <w:sz w:val="18"/>
                <w:szCs w:val="18"/>
                <w:lang w:val="en-US"/>
              </w:rPr>
            </w:pPr>
            <w:r w:rsidRPr="00214987">
              <w:rPr>
                <w:rFonts w:ascii="Arial" w:hAnsi="Arial" w:cs="Arial"/>
                <w:b/>
                <w:bCs/>
                <w:noProof/>
                <w:sz w:val="18"/>
                <w:szCs w:val="18"/>
                <w:lang w:val="en-US"/>
              </w:rPr>
              <w:t>Omalizumab models</w:t>
            </w:r>
          </w:p>
        </w:tc>
      </w:tr>
      <w:tr w:rsidR="005F2986" w:rsidRPr="00214987" w14:paraId="35FF2567" w14:textId="77777777" w:rsidTr="006A752F">
        <w:trPr>
          <w:jc w:val="center"/>
        </w:trPr>
        <w:tc>
          <w:tcPr>
            <w:tcW w:w="1133" w:type="dxa"/>
            <w:tcBorders>
              <w:bottom w:val="single" w:sz="4" w:space="0" w:color="auto"/>
            </w:tcBorders>
            <w:vAlign w:val="center"/>
          </w:tcPr>
          <w:p w14:paraId="2E04424F"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Model name</w:t>
            </w:r>
          </w:p>
        </w:tc>
        <w:tc>
          <w:tcPr>
            <w:tcW w:w="1022" w:type="dxa"/>
            <w:tcBorders>
              <w:bottom w:val="single" w:sz="4" w:space="0" w:color="auto"/>
            </w:tcBorders>
            <w:vAlign w:val="center"/>
          </w:tcPr>
          <w:p w14:paraId="7470A01F"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Cases included</w:t>
            </w:r>
          </w:p>
        </w:tc>
        <w:tc>
          <w:tcPr>
            <w:tcW w:w="2465" w:type="dxa"/>
            <w:tcBorders>
              <w:bottom w:val="single" w:sz="4" w:space="0" w:color="auto"/>
            </w:tcBorders>
            <w:vAlign w:val="center"/>
          </w:tcPr>
          <w:p w14:paraId="1FBBB3C9" w14:textId="20B14926" w:rsidR="004A43F4" w:rsidRPr="00214987" w:rsidRDefault="00D047FD" w:rsidP="000B3481">
            <w:pPr>
              <w:jc w:val="center"/>
              <w:rPr>
                <w:rFonts w:ascii="Arial" w:hAnsi="Arial" w:cs="Arial"/>
                <w:b/>
                <w:bCs/>
                <w:noProof/>
                <w:sz w:val="18"/>
                <w:szCs w:val="18"/>
                <w:lang w:val="en-US"/>
              </w:rPr>
            </w:pPr>
            <w:r w:rsidRPr="00214987">
              <w:rPr>
                <w:rFonts w:ascii="Arial" w:hAnsi="Arial" w:cs="Arial"/>
                <w:b/>
                <w:bCs/>
                <w:noProof/>
                <w:sz w:val="18"/>
                <w:szCs w:val="18"/>
                <w:lang w:val="en-US"/>
              </w:rPr>
              <w:t>V</w:t>
            </w:r>
            <w:r w:rsidR="004A43F4" w:rsidRPr="00214987">
              <w:rPr>
                <w:rFonts w:ascii="Arial" w:hAnsi="Arial" w:cs="Arial"/>
                <w:b/>
                <w:bCs/>
                <w:noProof/>
                <w:sz w:val="18"/>
                <w:szCs w:val="18"/>
                <w:lang w:val="en-US"/>
              </w:rPr>
              <w:t>ariables included</w:t>
            </w:r>
          </w:p>
        </w:tc>
        <w:tc>
          <w:tcPr>
            <w:tcW w:w="1798" w:type="dxa"/>
            <w:tcBorders>
              <w:bottom w:val="single" w:sz="4" w:space="0" w:color="auto"/>
            </w:tcBorders>
            <w:vAlign w:val="center"/>
          </w:tcPr>
          <w:p w14:paraId="7EECD67F"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Final variables</w:t>
            </w:r>
          </w:p>
        </w:tc>
        <w:tc>
          <w:tcPr>
            <w:tcW w:w="976" w:type="dxa"/>
            <w:tcBorders>
              <w:bottom w:val="single" w:sz="4" w:space="0" w:color="auto"/>
            </w:tcBorders>
            <w:vAlign w:val="center"/>
          </w:tcPr>
          <w:p w14:paraId="5EEDB3FB"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P-value</w:t>
            </w:r>
          </w:p>
        </w:tc>
        <w:tc>
          <w:tcPr>
            <w:tcW w:w="2029" w:type="dxa"/>
            <w:tcBorders>
              <w:bottom w:val="single" w:sz="4" w:space="0" w:color="auto"/>
            </w:tcBorders>
            <w:vAlign w:val="center"/>
          </w:tcPr>
          <w:p w14:paraId="601E891C"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OR; 95 CI</w:t>
            </w:r>
          </w:p>
        </w:tc>
        <w:tc>
          <w:tcPr>
            <w:tcW w:w="1365" w:type="dxa"/>
            <w:tcBorders>
              <w:bottom w:val="single" w:sz="4" w:space="0" w:color="auto"/>
            </w:tcBorders>
            <w:vAlign w:val="center"/>
          </w:tcPr>
          <w:p w14:paraId="0E7EEAB7"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AUC of model</w:t>
            </w:r>
          </w:p>
        </w:tc>
      </w:tr>
      <w:tr w:rsidR="005F2986" w:rsidRPr="00214987" w14:paraId="73A11F2C" w14:textId="77777777" w:rsidTr="006A752F">
        <w:trPr>
          <w:jc w:val="center"/>
        </w:trPr>
        <w:tc>
          <w:tcPr>
            <w:tcW w:w="1133" w:type="dxa"/>
            <w:vMerge w:val="restart"/>
            <w:tcBorders>
              <w:bottom w:val="single" w:sz="18" w:space="0" w:color="auto"/>
            </w:tcBorders>
            <w:vAlign w:val="center"/>
          </w:tcPr>
          <w:p w14:paraId="184ABFBB" w14:textId="193140D5"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O</w:t>
            </w:r>
            <w:r w:rsidR="005F2986" w:rsidRPr="00214987">
              <w:rPr>
                <w:rFonts w:ascii="Arial" w:hAnsi="Arial" w:cs="Arial"/>
                <w:noProof/>
                <w:sz w:val="18"/>
                <w:szCs w:val="18"/>
                <w:lang w:val="en-US"/>
              </w:rPr>
              <w:t xml:space="preserve">malizumab </w:t>
            </w:r>
            <w:r w:rsidRPr="00214987">
              <w:rPr>
                <w:rFonts w:ascii="Arial" w:hAnsi="Arial" w:cs="Arial"/>
                <w:noProof/>
                <w:sz w:val="18"/>
                <w:szCs w:val="18"/>
                <w:lang w:val="en-US"/>
              </w:rPr>
              <w:t>response vs non-response</w:t>
            </w:r>
          </w:p>
        </w:tc>
        <w:tc>
          <w:tcPr>
            <w:tcW w:w="1022" w:type="dxa"/>
            <w:vMerge w:val="restart"/>
            <w:tcBorders>
              <w:bottom w:val="single" w:sz="18" w:space="0" w:color="auto"/>
            </w:tcBorders>
            <w:vAlign w:val="center"/>
          </w:tcPr>
          <w:p w14:paraId="06AA1E36"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 xml:space="preserve">78/104, </w:t>
            </w:r>
          </w:p>
          <w:p w14:paraId="4755B6B6"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75%</w:t>
            </w:r>
          </w:p>
        </w:tc>
        <w:tc>
          <w:tcPr>
            <w:tcW w:w="2465" w:type="dxa"/>
            <w:vMerge w:val="restart"/>
            <w:tcBorders>
              <w:bottom w:val="single" w:sz="18" w:space="0" w:color="auto"/>
            </w:tcBorders>
            <w:vAlign w:val="center"/>
          </w:tcPr>
          <w:p w14:paraId="3E4F4DB1" w14:textId="4BA8BC91"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Clinic FEV</w:t>
            </w:r>
            <w:r w:rsidRPr="00214987">
              <w:rPr>
                <w:rFonts w:ascii="Arial" w:hAnsi="Arial" w:cs="Arial"/>
                <w:noProof/>
                <w:sz w:val="18"/>
                <w:szCs w:val="18"/>
                <w:vertAlign w:val="subscript"/>
                <w:lang w:val="en-US"/>
              </w:rPr>
              <w:t>1</w:t>
            </w:r>
            <w:r w:rsidRPr="00214987">
              <w:rPr>
                <w:rFonts w:ascii="Arial" w:hAnsi="Arial" w:cs="Arial"/>
                <w:noProof/>
                <w:sz w:val="18"/>
                <w:szCs w:val="18"/>
                <w:lang w:val="en-US"/>
              </w:rPr>
              <w:t xml:space="preserve">%, Age, BMI, Sex, </w:t>
            </w:r>
            <w:r w:rsidR="00131F42" w:rsidRPr="00214987">
              <w:rPr>
                <w:rFonts w:ascii="Arial" w:hAnsi="Arial" w:cs="Arial"/>
                <w:noProof/>
                <w:sz w:val="18"/>
                <w:szCs w:val="18"/>
                <w:lang w:val="en-US"/>
              </w:rPr>
              <w:t>Baseline a</w:t>
            </w:r>
            <w:r w:rsidR="00583062" w:rsidRPr="00214987">
              <w:rPr>
                <w:rFonts w:ascii="Arial" w:hAnsi="Arial" w:cs="Arial"/>
                <w:noProof/>
                <w:sz w:val="18"/>
                <w:szCs w:val="18"/>
                <w:lang w:val="en-US"/>
              </w:rPr>
              <w:t>nnual</w:t>
            </w:r>
            <w:r w:rsidRPr="00214987">
              <w:rPr>
                <w:rFonts w:ascii="Arial" w:hAnsi="Arial" w:cs="Arial"/>
                <w:noProof/>
                <w:sz w:val="18"/>
                <w:szCs w:val="18"/>
                <w:lang w:val="en-US"/>
              </w:rPr>
              <w:t xml:space="preserve"> rate of exacerbations</w:t>
            </w:r>
            <w:r w:rsidR="00C6292A" w:rsidRPr="00214987">
              <w:rPr>
                <w:rFonts w:ascii="Arial" w:hAnsi="Arial" w:cs="Arial"/>
                <w:noProof/>
                <w:sz w:val="18"/>
                <w:szCs w:val="18"/>
                <w:lang w:val="en-US"/>
              </w:rPr>
              <w:t xml:space="preserve"> in the past year</w:t>
            </w:r>
            <w:r w:rsidRPr="00214987">
              <w:rPr>
                <w:rFonts w:ascii="Arial" w:hAnsi="Arial" w:cs="Arial"/>
                <w:noProof/>
                <w:sz w:val="18"/>
                <w:szCs w:val="18"/>
                <w:lang w:val="en-US"/>
              </w:rPr>
              <w:t xml:space="preserve">, Multiple AHE, </w:t>
            </w:r>
            <w:r w:rsidR="00583062" w:rsidRPr="00214987">
              <w:rPr>
                <w:rFonts w:ascii="Arial" w:hAnsi="Arial" w:cs="Arial"/>
                <w:noProof/>
                <w:sz w:val="18"/>
                <w:szCs w:val="18"/>
                <w:lang w:val="en-US"/>
              </w:rPr>
              <w:t>Annual</w:t>
            </w:r>
            <w:r w:rsidR="00684B83">
              <w:rPr>
                <w:rFonts w:ascii="Arial" w:hAnsi="Arial" w:cs="Arial"/>
                <w:noProof/>
                <w:sz w:val="18"/>
                <w:szCs w:val="18"/>
                <w:lang w:val="en-US"/>
              </w:rPr>
              <w:t xml:space="preserve"> </w:t>
            </w:r>
            <w:r w:rsidRPr="00214987">
              <w:rPr>
                <w:rFonts w:ascii="Arial" w:hAnsi="Arial" w:cs="Arial"/>
                <w:noProof/>
                <w:sz w:val="18"/>
                <w:szCs w:val="18"/>
                <w:lang w:val="en-US"/>
              </w:rPr>
              <w:t>rate of AHE</w:t>
            </w:r>
            <w:r w:rsidR="00C6292A" w:rsidRPr="00214987">
              <w:rPr>
                <w:rFonts w:ascii="Arial" w:hAnsi="Arial" w:cs="Arial"/>
                <w:noProof/>
                <w:sz w:val="18"/>
                <w:szCs w:val="18"/>
                <w:lang w:val="en-US"/>
              </w:rPr>
              <w:t xml:space="preserve"> in the past year</w:t>
            </w:r>
            <w:r w:rsidRPr="00214987">
              <w:rPr>
                <w:rFonts w:ascii="Arial" w:hAnsi="Arial" w:cs="Arial"/>
                <w:noProof/>
                <w:sz w:val="18"/>
                <w:szCs w:val="18"/>
                <w:lang w:val="en-US"/>
              </w:rPr>
              <w:t>, Anxiety.</w:t>
            </w:r>
          </w:p>
        </w:tc>
        <w:tc>
          <w:tcPr>
            <w:tcW w:w="1798" w:type="dxa"/>
            <w:vAlign w:val="center"/>
          </w:tcPr>
          <w:p w14:paraId="03645685" w14:textId="4BF90676" w:rsidR="004A43F4" w:rsidRPr="00214987" w:rsidRDefault="00745EEB" w:rsidP="000B3481">
            <w:pPr>
              <w:jc w:val="center"/>
              <w:rPr>
                <w:rFonts w:ascii="Arial" w:hAnsi="Arial" w:cs="Arial"/>
                <w:noProof/>
                <w:sz w:val="18"/>
                <w:szCs w:val="18"/>
                <w:lang w:val="en-US"/>
              </w:rPr>
            </w:pPr>
            <w:r w:rsidRPr="00214987">
              <w:rPr>
                <w:rFonts w:ascii="Arial" w:hAnsi="Arial" w:cs="Arial"/>
                <w:noProof/>
                <w:sz w:val="18"/>
                <w:szCs w:val="18"/>
                <w:lang w:val="en-US"/>
              </w:rPr>
              <w:t>Baseline a</w:t>
            </w:r>
            <w:r w:rsidR="00583062" w:rsidRPr="00214987">
              <w:rPr>
                <w:rFonts w:ascii="Arial" w:hAnsi="Arial" w:cs="Arial"/>
                <w:noProof/>
                <w:sz w:val="18"/>
                <w:szCs w:val="18"/>
                <w:lang w:val="en-US"/>
              </w:rPr>
              <w:t>nnual</w:t>
            </w:r>
            <w:r w:rsidR="004A43F4" w:rsidRPr="00214987">
              <w:rPr>
                <w:rFonts w:ascii="Arial" w:hAnsi="Arial" w:cs="Arial"/>
                <w:noProof/>
                <w:sz w:val="18"/>
                <w:szCs w:val="18"/>
                <w:lang w:val="en-US"/>
              </w:rPr>
              <w:t xml:space="preserve"> rate of exacerbations </w:t>
            </w:r>
          </w:p>
        </w:tc>
        <w:tc>
          <w:tcPr>
            <w:tcW w:w="976" w:type="dxa"/>
            <w:vAlign w:val="center"/>
          </w:tcPr>
          <w:p w14:paraId="3B57F047"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0.024</w:t>
            </w:r>
          </w:p>
        </w:tc>
        <w:tc>
          <w:tcPr>
            <w:tcW w:w="2029" w:type="dxa"/>
            <w:vAlign w:val="center"/>
          </w:tcPr>
          <w:p w14:paraId="37A9A3F8"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1.622 (1.065-2.469)</w:t>
            </w:r>
          </w:p>
        </w:tc>
        <w:tc>
          <w:tcPr>
            <w:tcW w:w="1365" w:type="dxa"/>
            <w:vMerge w:val="restart"/>
            <w:tcBorders>
              <w:bottom w:val="single" w:sz="36" w:space="0" w:color="auto"/>
            </w:tcBorders>
            <w:vAlign w:val="center"/>
          </w:tcPr>
          <w:p w14:paraId="02042236"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0.856</w:t>
            </w:r>
          </w:p>
        </w:tc>
      </w:tr>
      <w:tr w:rsidR="005F2986" w:rsidRPr="00214987" w14:paraId="5CCBB1B0" w14:textId="77777777" w:rsidTr="006A752F">
        <w:trPr>
          <w:trHeight w:val="386"/>
          <w:jc w:val="center"/>
        </w:trPr>
        <w:tc>
          <w:tcPr>
            <w:tcW w:w="1133" w:type="dxa"/>
            <w:vMerge/>
            <w:tcBorders>
              <w:bottom w:val="single" w:sz="18" w:space="0" w:color="auto"/>
            </w:tcBorders>
            <w:vAlign w:val="center"/>
          </w:tcPr>
          <w:p w14:paraId="0735C59D" w14:textId="77777777" w:rsidR="004A43F4" w:rsidRPr="00214987" w:rsidRDefault="004A43F4" w:rsidP="000B3481">
            <w:pPr>
              <w:jc w:val="center"/>
              <w:rPr>
                <w:rFonts w:ascii="Arial" w:hAnsi="Arial" w:cs="Arial"/>
                <w:noProof/>
                <w:sz w:val="18"/>
                <w:szCs w:val="18"/>
                <w:lang w:val="en-US"/>
              </w:rPr>
            </w:pPr>
          </w:p>
        </w:tc>
        <w:tc>
          <w:tcPr>
            <w:tcW w:w="1022" w:type="dxa"/>
            <w:vMerge/>
            <w:tcBorders>
              <w:bottom w:val="single" w:sz="18" w:space="0" w:color="auto"/>
            </w:tcBorders>
            <w:vAlign w:val="center"/>
          </w:tcPr>
          <w:p w14:paraId="34EACE5C" w14:textId="77777777" w:rsidR="004A43F4" w:rsidRPr="00214987" w:rsidRDefault="004A43F4" w:rsidP="000B3481">
            <w:pPr>
              <w:jc w:val="center"/>
              <w:rPr>
                <w:rFonts w:ascii="Arial" w:hAnsi="Arial" w:cs="Arial"/>
                <w:noProof/>
                <w:sz w:val="18"/>
                <w:szCs w:val="18"/>
                <w:lang w:val="en-US"/>
              </w:rPr>
            </w:pPr>
          </w:p>
        </w:tc>
        <w:tc>
          <w:tcPr>
            <w:tcW w:w="2465" w:type="dxa"/>
            <w:vMerge/>
            <w:tcBorders>
              <w:bottom w:val="single" w:sz="18" w:space="0" w:color="auto"/>
            </w:tcBorders>
            <w:vAlign w:val="center"/>
          </w:tcPr>
          <w:p w14:paraId="2EFB6D59" w14:textId="77777777" w:rsidR="004A43F4" w:rsidRPr="00214987" w:rsidRDefault="004A43F4" w:rsidP="000B3481">
            <w:pPr>
              <w:jc w:val="center"/>
              <w:rPr>
                <w:rFonts w:ascii="Arial" w:hAnsi="Arial" w:cs="Arial"/>
                <w:noProof/>
                <w:sz w:val="18"/>
                <w:szCs w:val="18"/>
                <w:lang w:val="en-US"/>
              </w:rPr>
            </w:pPr>
          </w:p>
        </w:tc>
        <w:tc>
          <w:tcPr>
            <w:tcW w:w="1798" w:type="dxa"/>
            <w:vAlign w:val="center"/>
          </w:tcPr>
          <w:p w14:paraId="7E9EC592" w14:textId="287FD8B1" w:rsidR="004A43F4" w:rsidRPr="00214987" w:rsidRDefault="004A43F4" w:rsidP="000B3481">
            <w:pPr>
              <w:jc w:val="center"/>
              <w:rPr>
                <w:rFonts w:ascii="Arial" w:hAnsi="Arial" w:cs="Arial"/>
                <w:noProof/>
                <w:sz w:val="18"/>
                <w:szCs w:val="18"/>
                <w:highlight w:val="yellow"/>
                <w:lang w:val="en-US"/>
              </w:rPr>
            </w:pPr>
            <w:r w:rsidRPr="00214987">
              <w:rPr>
                <w:rFonts w:ascii="Arial" w:hAnsi="Arial" w:cs="Arial"/>
                <w:noProof/>
                <w:sz w:val="18"/>
                <w:szCs w:val="18"/>
                <w:lang w:val="en-US"/>
              </w:rPr>
              <w:t xml:space="preserve">Lower </w:t>
            </w:r>
            <w:r w:rsidR="00745EEB" w:rsidRPr="00214987">
              <w:rPr>
                <w:rFonts w:ascii="Arial" w:hAnsi="Arial" w:cs="Arial"/>
                <w:noProof/>
                <w:sz w:val="18"/>
                <w:szCs w:val="18"/>
                <w:lang w:val="en-US"/>
              </w:rPr>
              <w:t>baseline a</w:t>
            </w:r>
            <w:r w:rsidR="00583062" w:rsidRPr="00214987">
              <w:rPr>
                <w:rFonts w:ascii="Arial" w:hAnsi="Arial" w:cs="Arial"/>
                <w:noProof/>
                <w:sz w:val="18"/>
                <w:szCs w:val="18"/>
                <w:lang w:val="en-US"/>
              </w:rPr>
              <w:t>nnual</w:t>
            </w:r>
            <w:r w:rsidRPr="00214987">
              <w:rPr>
                <w:rFonts w:ascii="Arial" w:hAnsi="Arial" w:cs="Arial"/>
                <w:noProof/>
                <w:sz w:val="18"/>
                <w:szCs w:val="18"/>
                <w:lang w:val="en-US"/>
              </w:rPr>
              <w:t xml:space="preserve"> rate of AHE</w:t>
            </w:r>
          </w:p>
        </w:tc>
        <w:tc>
          <w:tcPr>
            <w:tcW w:w="976" w:type="dxa"/>
            <w:vAlign w:val="center"/>
          </w:tcPr>
          <w:p w14:paraId="2C0E74DE"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0.050</w:t>
            </w:r>
          </w:p>
        </w:tc>
        <w:tc>
          <w:tcPr>
            <w:tcW w:w="2029" w:type="dxa"/>
            <w:vAlign w:val="center"/>
          </w:tcPr>
          <w:p w14:paraId="41A621D2"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1.297 (1.000-1.681)</w:t>
            </w:r>
          </w:p>
        </w:tc>
        <w:tc>
          <w:tcPr>
            <w:tcW w:w="1365" w:type="dxa"/>
            <w:vMerge/>
            <w:tcBorders>
              <w:bottom w:val="single" w:sz="36" w:space="0" w:color="auto"/>
            </w:tcBorders>
            <w:vAlign w:val="center"/>
          </w:tcPr>
          <w:p w14:paraId="1D6C3F78" w14:textId="77777777" w:rsidR="004A43F4" w:rsidRPr="00214987" w:rsidRDefault="004A43F4" w:rsidP="000B3481">
            <w:pPr>
              <w:jc w:val="center"/>
              <w:rPr>
                <w:rFonts w:ascii="Arial" w:hAnsi="Arial" w:cs="Arial"/>
                <w:noProof/>
                <w:sz w:val="18"/>
                <w:szCs w:val="18"/>
                <w:lang w:val="en-US"/>
              </w:rPr>
            </w:pPr>
          </w:p>
        </w:tc>
      </w:tr>
      <w:tr w:rsidR="005F2986" w:rsidRPr="00214987" w14:paraId="2CB8804D" w14:textId="77777777" w:rsidTr="006A752F">
        <w:trPr>
          <w:trHeight w:val="386"/>
          <w:jc w:val="center"/>
        </w:trPr>
        <w:tc>
          <w:tcPr>
            <w:tcW w:w="1133" w:type="dxa"/>
            <w:vMerge/>
            <w:tcBorders>
              <w:bottom w:val="single" w:sz="18" w:space="0" w:color="auto"/>
            </w:tcBorders>
            <w:vAlign w:val="center"/>
          </w:tcPr>
          <w:p w14:paraId="0D6C97A4" w14:textId="77777777" w:rsidR="004A43F4" w:rsidRPr="00214987" w:rsidRDefault="004A43F4" w:rsidP="000B3481">
            <w:pPr>
              <w:jc w:val="center"/>
              <w:rPr>
                <w:rFonts w:ascii="Arial" w:hAnsi="Arial" w:cs="Arial"/>
                <w:noProof/>
                <w:sz w:val="18"/>
                <w:szCs w:val="18"/>
                <w:lang w:val="en-US"/>
              </w:rPr>
            </w:pPr>
          </w:p>
        </w:tc>
        <w:tc>
          <w:tcPr>
            <w:tcW w:w="1022" w:type="dxa"/>
            <w:vMerge/>
            <w:tcBorders>
              <w:bottom w:val="single" w:sz="18" w:space="0" w:color="auto"/>
            </w:tcBorders>
            <w:vAlign w:val="center"/>
          </w:tcPr>
          <w:p w14:paraId="1A0214DE" w14:textId="77777777" w:rsidR="004A43F4" w:rsidRPr="00214987" w:rsidRDefault="004A43F4" w:rsidP="000B3481">
            <w:pPr>
              <w:jc w:val="center"/>
              <w:rPr>
                <w:rFonts w:ascii="Arial" w:hAnsi="Arial" w:cs="Arial"/>
                <w:noProof/>
                <w:sz w:val="18"/>
                <w:szCs w:val="18"/>
                <w:lang w:val="en-US"/>
              </w:rPr>
            </w:pPr>
          </w:p>
        </w:tc>
        <w:tc>
          <w:tcPr>
            <w:tcW w:w="2465" w:type="dxa"/>
            <w:vMerge/>
            <w:tcBorders>
              <w:bottom w:val="single" w:sz="18" w:space="0" w:color="auto"/>
            </w:tcBorders>
            <w:vAlign w:val="center"/>
          </w:tcPr>
          <w:p w14:paraId="5CE75B85" w14:textId="77777777" w:rsidR="004A43F4" w:rsidRPr="00214987" w:rsidRDefault="004A43F4" w:rsidP="000B3481">
            <w:pPr>
              <w:jc w:val="center"/>
              <w:rPr>
                <w:rFonts w:ascii="Arial" w:hAnsi="Arial" w:cs="Arial"/>
                <w:noProof/>
                <w:sz w:val="18"/>
                <w:szCs w:val="18"/>
                <w:lang w:val="en-US"/>
              </w:rPr>
            </w:pPr>
          </w:p>
        </w:tc>
        <w:tc>
          <w:tcPr>
            <w:tcW w:w="1798" w:type="dxa"/>
            <w:tcBorders>
              <w:bottom w:val="single" w:sz="18" w:space="0" w:color="auto"/>
            </w:tcBorders>
            <w:vAlign w:val="center"/>
          </w:tcPr>
          <w:p w14:paraId="32AED31C"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No Anxiety</w:t>
            </w:r>
          </w:p>
        </w:tc>
        <w:tc>
          <w:tcPr>
            <w:tcW w:w="976" w:type="dxa"/>
            <w:tcBorders>
              <w:bottom w:val="single" w:sz="18" w:space="0" w:color="auto"/>
            </w:tcBorders>
            <w:vAlign w:val="center"/>
          </w:tcPr>
          <w:p w14:paraId="77E5B22F"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0.008</w:t>
            </w:r>
          </w:p>
        </w:tc>
        <w:tc>
          <w:tcPr>
            <w:tcW w:w="2029" w:type="dxa"/>
            <w:tcBorders>
              <w:bottom w:val="single" w:sz="18" w:space="0" w:color="auto"/>
            </w:tcBorders>
            <w:vAlign w:val="center"/>
          </w:tcPr>
          <w:p w14:paraId="41F1AD2F"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8.772 (1.745-43.478)</w:t>
            </w:r>
          </w:p>
        </w:tc>
        <w:tc>
          <w:tcPr>
            <w:tcW w:w="1365" w:type="dxa"/>
            <w:vMerge/>
            <w:tcBorders>
              <w:bottom w:val="single" w:sz="18" w:space="0" w:color="auto"/>
            </w:tcBorders>
            <w:vAlign w:val="center"/>
          </w:tcPr>
          <w:p w14:paraId="6F8DC481" w14:textId="77777777" w:rsidR="004A43F4" w:rsidRPr="00214987" w:rsidRDefault="004A43F4" w:rsidP="000B3481">
            <w:pPr>
              <w:jc w:val="center"/>
              <w:rPr>
                <w:rFonts w:ascii="Arial" w:hAnsi="Arial" w:cs="Arial"/>
                <w:noProof/>
                <w:sz w:val="18"/>
                <w:szCs w:val="18"/>
                <w:lang w:val="en-US"/>
              </w:rPr>
            </w:pPr>
          </w:p>
        </w:tc>
      </w:tr>
      <w:tr w:rsidR="005F2986" w:rsidRPr="00214987" w14:paraId="0A89B1E7" w14:textId="77777777" w:rsidTr="006A752F">
        <w:trPr>
          <w:trHeight w:val="634"/>
          <w:jc w:val="center"/>
        </w:trPr>
        <w:tc>
          <w:tcPr>
            <w:tcW w:w="1133" w:type="dxa"/>
            <w:vMerge w:val="restart"/>
            <w:tcBorders>
              <w:top w:val="single" w:sz="18" w:space="0" w:color="auto"/>
              <w:bottom w:val="single" w:sz="4" w:space="0" w:color="auto"/>
            </w:tcBorders>
            <w:vAlign w:val="center"/>
          </w:tcPr>
          <w:p w14:paraId="3D1ED221" w14:textId="15A40852" w:rsidR="004A43F4" w:rsidRPr="00214987" w:rsidRDefault="005F2986" w:rsidP="000B3481">
            <w:pPr>
              <w:jc w:val="center"/>
              <w:rPr>
                <w:rFonts w:ascii="Arial" w:hAnsi="Arial" w:cs="Arial"/>
                <w:noProof/>
                <w:sz w:val="18"/>
                <w:szCs w:val="18"/>
                <w:lang w:val="en-US"/>
              </w:rPr>
            </w:pPr>
            <w:r w:rsidRPr="00214987">
              <w:rPr>
                <w:rFonts w:ascii="Arial" w:hAnsi="Arial" w:cs="Arial"/>
                <w:noProof/>
                <w:sz w:val="18"/>
                <w:szCs w:val="18"/>
                <w:lang w:val="en-US"/>
              </w:rPr>
              <w:t>Omalizumab</w:t>
            </w:r>
            <w:r w:rsidR="004A43F4" w:rsidRPr="00214987">
              <w:rPr>
                <w:rFonts w:ascii="Arial" w:hAnsi="Arial" w:cs="Arial"/>
                <w:noProof/>
                <w:sz w:val="18"/>
                <w:szCs w:val="18"/>
                <w:lang w:val="en-US"/>
              </w:rPr>
              <w:t xml:space="preserve"> </w:t>
            </w:r>
            <w:r w:rsidR="00DC5C1D" w:rsidRPr="00214987">
              <w:rPr>
                <w:rFonts w:ascii="Arial" w:hAnsi="Arial" w:cs="Arial"/>
                <w:noProof/>
                <w:sz w:val="18"/>
                <w:szCs w:val="18"/>
                <w:lang w:val="en-US"/>
              </w:rPr>
              <w:t>s</w:t>
            </w:r>
            <w:r w:rsidR="004A43F4" w:rsidRPr="00214987">
              <w:rPr>
                <w:rFonts w:ascii="Arial" w:hAnsi="Arial" w:cs="Arial"/>
                <w:noProof/>
                <w:sz w:val="18"/>
                <w:szCs w:val="18"/>
                <w:lang w:val="en-US"/>
              </w:rPr>
              <w:t>uper-response vs non-super-response</w:t>
            </w:r>
          </w:p>
        </w:tc>
        <w:tc>
          <w:tcPr>
            <w:tcW w:w="1022" w:type="dxa"/>
            <w:vMerge w:val="restart"/>
            <w:tcBorders>
              <w:top w:val="single" w:sz="18" w:space="0" w:color="auto"/>
              <w:bottom w:val="single" w:sz="4" w:space="0" w:color="auto"/>
            </w:tcBorders>
            <w:vAlign w:val="center"/>
          </w:tcPr>
          <w:p w14:paraId="627012C1"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75/104, 72.1%</w:t>
            </w:r>
          </w:p>
        </w:tc>
        <w:tc>
          <w:tcPr>
            <w:tcW w:w="2465" w:type="dxa"/>
            <w:vMerge w:val="restart"/>
            <w:tcBorders>
              <w:top w:val="single" w:sz="18" w:space="0" w:color="auto"/>
              <w:bottom w:val="single" w:sz="4" w:space="0" w:color="auto"/>
            </w:tcBorders>
            <w:vAlign w:val="center"/>
          </w:tcPr>
          <w:p w14:paraId="008C5CFE" w14:textId="7304821C" w:rsidR="004A43F4" w:rsidRPr="00214987" w:rsidRDefault="00131F42" w:rsidP="000B3481">
            <w:pPr>
              <w:jc w:val="center"/>
              <w:rPr>
                <w:rFonts w:ascii="Arial" w:hAnsi="Arial" w:cs="Arial"/>
                <w:noProof/>
                <w:sz w:val="18"/>
                <w:szCs w:val="18"/>
                <w:lang w:val="en-US"/>
              </w:rPr>
            </w:pPr>
            <w:r w:rsidRPr="00214987">
              <w:rPr>
                <w:rFonts w:ascii="Arial" w:hAnsi="Arial" w:cs="Arial"/>
                <w:noProof/>
                <w:sz w:val="18"/>
                <w:szCs w:val="18"/>
                <w:lang w:val="en-US"/>
              </w:rPr>
              <w:t xml:space="preserve">Baseline </w:t>
            </w:r>
            <w:r w:rsidR="00684B83">
              <w:rPr>
                <w:rFonts w:ascii="Arial" w:hAnsi="Arial" w:cs="Arial"/>
                <w:noProof/>
                <w:sz w:val="18"/>
                <w:szCs w:val="18"/>
                <w:lang w:val="en-US"/>
              </w:rPr>
              <w:t>annual</w:t>
            </w:r>
            <w:r w:rsidR="004A43F4" w:rsidRPr="00214987">
              <w:rPr>
                <w:rFonts w:ascii="Arial" w:hAnsi="Arial" w:cs="Arial"/>
                <w:noProof/>
                <w:sz w:val="18"/>
                <w:szCs w:val="18"/>
                <w:lang w:val="en-US"/>
              </w:rPr>
              <w:t xml:space="preserve"> rate of exacerbations</w:t>
            </w:r>
            <w:r w:rsidR="00C6292A" w:rsidRPr="00214987">
              <w:rPr>
                <w:rFonts w:ascii="Arial" w:hAnsi="Arial" w:cs="Arial"/>
                <w:noProof/>
                <w:sz w:val="18"/>
                <w:szCs w:val="18"/>
                <w:lang w:val="en-US"/>
              </w:rPr>
              <w:t xml:space="preserve"> in the past year</w:t>
            </w:r>
            <w:r w:rsidR="004A43F4" w:rsidRPr="00214987">
              <w:rPr>
                <w:rFonts w:ascii="Arial" w:hAnsi="Arial" w:cs="Arial"/>
                <w:noProof/>
                <w:sz w:val="18"/>
                <w:szCs w:val="18"/>
                <w:lang w:val="en-US"/>
              </w:rPr>
              <w:t>, Multiple AHE, on mOCS, Adult</w:t>
            </w:r>
            <w:r w:rsidR="00260269">
              <w:rPr>
                <w:rFonts w:ascii="Arial" w:hAnsi="Arial" w:cs="Arial"/>
                <w:noProof/>
                <w:sz w:val="18"/>
                <w:szCs w:val="18"/>
                <w:lang w:val="en-US"/>
              </w:rPr>
              <w:t>-</w:t>
            </w:r>
            <w:r w:rsidR="004A43F4" w:rsidRPr="00214987">
              <w:rPr>
                <w:rFonts w:ascii="Arial" w:hAnsi="Arial" w:cs="Arial"/>
                <w:noProof/>
                <w:sz w:val="18"/>
                <w:szCs w:val="18"/>
                <w:lang w:val="en-US"/>
              </w:rPr>
              <w:t>onset, Obesity, ICU admission for asthma ever, Anxiety, Depression.</w:t>
            </w:r>
          </w:p>
        </w:tc>
        <w:tc>
          <w:tcPr>
            <w:tcW w:w="1798" w:type="dxa"/>
            <w:tcBorders>
              <w:top w:val="single" w:sz="18" w:space="0" w:color="auto"/>
            </w:tcBorders>
            <w:vAlign w:val="center"/>
          </w:tcPr>
          <w:p w14:paraId="23D83ED0"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Not on maintenance OCS</w:t>
            </w:r>
          </w:p>
        </w:tc>
        <w:tc>
          <w:tcPr>
            <w:tcW w:w="976" w:type="dxa"/>
            <w:tcBorders>
              <w:top w:val="single" w:sz="18" w:space="0" w:color="auto"/>
            </w:tcBorders>
            <w:vAlign w:val="center"/>
          </w:tcPr>
          <w:p w14:paraId="39EE706E"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&lt;0.001</w:t>
            </w:r>
          </w:p>
        </w:tc>
        <w:tc>
          <w:tcPr>
            <w:tcW w:w="2029" w:type="dxa"/>
            <w:tcBorders>
              <w:top w:val="single" w:sz="18" w:space="0" w:color="auto"/>
            </w:tcBorders>
            <w:vAlign w:val="center"/>
          </w:tcPr>
          <w:p w14:paraId="0B5BFA27"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18.182 (4.484-71.429)</w:t>
            </w:r>
          </w:p>
        </w:tc>
        <w:tc>
          <w:tcPr>
            <w:tcW w:w="1365" w:type="dxa"/>
            <w:vMerge w:val="restart"/>
            <w:tcBorders>
              <w:top w:val="single" w:sz="18" w:space="0" w:color="auto"/>
            </w:tcBorders>
            <w:vAlign w:val="center"/>
          </w:tcPr>
          <w:p w14:paraId="62985F37"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0.809</w:t>
            </w:r>
          </w:p>
        </w:tc>
      </w:tr>
      <w:tr w:rsidR="005F2986" w:rsidRPr="00214987" w14:paraId="3D491C6E" w14:textId="77777777" w:rsidTr="006A752F">
        <w:trPr>
          <w:trHeight w:val="591"/>
          <w:jc w:val="center"/>
        </w:trPr>
        <w:tc>
          <w:tcPr>
            <w:tcW w:w="1133" w:type="dxa"/>
            <w:vMerge/>
            <w:tcBorders>
              <w:top w:val="single" w:sz="36" w:space="0" w:color="auto"/>
              <w:bottom w:val="single" w:sz="48" w:space="0" w:color="auto"/>
            </w:tcBorders>
            <w:vAlign w:val="center"/>
          </w:tcPr>
          <w:p w14:paraId="5F7A9420" w14:textId="77777777" w:rsidR="004A43F4" w:rsidRPr="00214987" w:rsidRDefault="004A43F4" w:rsidP="000B3481">
            <w:pPr>
              <w:jc w:val="center"/>
              <w:rPr>
                <w:rFonts w:ascii="Arial" w:hAnsi="Arial" w:cs="Arial"/>
                <w:noProof/>
                <w:sz w:val="18"/>
                <w:szCs w:val="18"/>
                <w:lang w:val="en-US"/>
              </w:rPr>
            </w:pPr>
          </w:p>
        </w:tc>
        <w:tc>
          <w:tcPr>
            <w:tcW w:w="1022" w:type="dxa"/>
            <w:vMerge/>
            <w:tcBorders>
              <w:top w:val="single" w:sz="36" w:space="0" w:color="auto"/>
              <w:bottom w:val="single" w:sz="48" w:space="0" w:color="auto"/>
            </w:tcBorders>
            <w:vAlign w:val="center"/>
          </w:tcPr>
          <w:p w14:paraId="7C918C14" w14:textId="77777777" w:rsidR="004A43F4" w:rsidRPr="00214987" w:rsidRDefault="004A43F4" w:rsidP="000B3481">
            <w:pPr>
              <w:jc w:val="center"/>
              <w:rPr>
                <w:rFonts w:ascii="Arial" w:hAnsi="Arial" w:cs="Arial"/>
                <w:noProof/>
                <w:sz w:val="18"/>
                <w:szCs w:val="18"/>
                <w:lang w:val="en-US"/>
              </w:rPr>
            </w:pPr>
          </w:p>
        </w:tc>
        <w:tc>
          <w:tcPr>
            <w:tcW w:w="2465" w:type="dxa"/>
            <w:vMerge/>
            <w:tcBorders>
              <w:top w:val="single" w:sz="36" w:space="0" w:color="auto"/>
              <w:bottom w:val="single" w:sz="48" w:space="0" w:color="auto"/>
            </w:tcBorders>
            <w:vAlign w:val="center"/>
          </w:tcPr>
          <w:p w14:paraId="76B7D027" w14:textId="77777777" w:rsidR="004A43F4" w:rsidRPr="00214987" w:rsidRDefault="004A43F4" w:rsidP="000B3481">
            <w:pPr>
              <w:jc w:val="center"/>
              <w:rPr>
                <w:rFonts w:ascii="Arial" w:hAnsi="Arial" w:cs="Arial"/>
                <w:noProof/>
                <w:sz w:val="18"/>
                <w:szCs w:val="18"/>
                <w:lang w:val="en-US"/>
              </w:rPr>
            </w:pPr>
          </w:p>
        </w:tc>
        <w:tc>
          <w:tcPr>
            <w:tcW w:w="1798" w:type="dxa"/>
            <w:tcBorders>
              <w:bottom w:val="single" w:sz="48" w:space="0" w:color="auto"/>
            </w:tcBorders>
            <w:vAlign w:val="center"/>
          </w:tcPr>
          <w:p w14:paraId="04B94FCC"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No Depression</w:t>
            </w:r>
          </w:p>
        </w:tc>
        <w:tc>
          <w:tcPr>
            <w:tcW w:w="976" w:type="dxa"/>
            <w:tcBorders>
              <w:bottom w:val="single" w:sz="48" w:space="0" w:color="auto"/>
            </w:tcBorders>
            <w:vAlign w:val="center"/>
          </w:tcPr>
          <w:p w14:paraId="543700AD"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0.009</w:t>
            </w:r>
          </w:p>
        </w:tc>
        <w:tc>
          <w:tcPr>
            <w:tcW w:w="2029" w:type="dxa"/>
            <w:tcBorders>
              <w:bottom w:val="single" w:sz="48" w:space="0" w:color="auto"/>
            </w:tcBorders>
            <w:vAlign w:val="center"/>
          </w:tcPr>
          <w:p w14:paraId="5D21D632"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4.784 (1.623-29.412)</w:t>
            </w:r>
          </w:p>
        </w:tc>
        <w:tc>
          <w:tcPr>
            <w:tcW w:w="1365" w:type="dxa"/>
            <w:vMerge/>
            <w:tcBorders>
              <w:bottom w:val="single" w:sz="48" w:space="0" w:color="auto"/>
            </w:tcBorders>
            <w:vAlign w:val="center"/>
          </w:tcPr>
          <w:p w14:paraId="762324D6" w14:textId="77777777" w:rsidR="004A43F4" w:rsidRPr="00214987" w:rsidRDefault="004A43F4" w:rsidP="000B3481">
            <w:pPr>
              <w:jc w:val="center"/>
              <w:rPr>
                <w:rFonts w:ascii="Arial" w:hAnsi="Arial" w:cs="Arial"/>
                <w:noProof/>
                <w:sz w:val="18"/>
                <w:szCs w:val="18"/>
                <w:lang w:val="en-US"/>
              </w:rPr>
            </w:pPr>
          </w:p>
        </w:tc>
      </w:tr>
      <w:tr w:rsidR="004A43F4" w:rsidRPr="00214987" w14:paraId="49E679C4" w14:textId="77777777" w:rsidTr="006A752F">
        <w:trPr>
          <w:jc w:val="center"/>
        </w:trPr>
        <w:tc>
          <w:tcPr>
            <w:tcW w:w="10788" w:type="dxa"/>
            <w:gridSpan w:val="7"/>
            <w:tcBorders>
              <w:top w:val="single" w:sz="48" w:space="0" w:color="auto"/>
            </w:tcBorders>
            <w:vAlign w:val="center"/>
          </w:tcPr>
          <w:p w14:paraId="38D47703" w14:textId="77777777" w:rsidR="004A43F4" w:rsidRPr="00214987" w:rsidRDefault="004A43F4" w:rsidP="000B3481">
            <w:pPr>
              <w:jc w:val="center"/>
              <w:rPr>
                <w:rFonts w:ascii="Arial" w:hAnsi="Arial" w:cs="Arial"/>
                <w:noProof/>
                <w:sz w:val="18"/>
                <w:szCs w:val="18"/>
                <w:lang w:val="en-US"/>
              </w:rPr>
            </w:pPr>
            <w:r w:rsidRPr="00214987">
              <w:rPr>
                <w:rFonts w:ascii="Arial" w:hAnsi="Arial" w:cs="Arial"/>
                <w:b/>
                <w:bCs/>
                <w:noProof/>
                <w:sz w:val="18"/>
                <w:szCs w:val="18"/>
                <w:lang w:val="en-US"/>
              </w:rPr>
              <w:t>Mepolizumab models</w:t>
            </w:r>
          </w:p>
        </w:tc>
      </w:tr>
      <w:tr w:rsidR="005F2986" w:rsidRPr="00214987" w14:paraId="01DF6952" w14:textId="77777777" w:rsidTr="006A752F">
        <w:trPr>
          <w:jc w:val="center"/>
        </w:trPr>
        <w:tc>
          <w:tcPr>
            <w:tcW w:w="1133" w:type="dxa"/>
            <w:tcBorders>
              <w:bottom w:val="single" w:sz="4" w:space="0" w:color="auto"/>
            </w:tcBorders>
            <w:vAlign w:val="center"/>
          </w:tcPr>
          <w:p w14:paraId="29DA3F94"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Model name</w:t>
            </w:r>
          </w:p>
        </w:tc>
        <w:tc>
          <w:tcPr>
            <w:tcW w:w="1022" w:type="dxa"/>
            <w:tcBorders>
              <w:bottom w:val="single" w:sz="4" w:space="0" w:color="auto"/>
            </w:tcBorders>
            <w:vAlign w:val="center"/>
          </w:tcPr>
          <w:p w14:paraId="34C5CF68"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Cases included</w:t>
            </w:r>
          </w:p>
        </w:tc>
        <w:tc>
          <w:tcPr>
            <w:tcW w:w="2465" w:type="dxa"/>
            <w:tcBorders>
              <w:bottom w:val="single" w:sz="4" w:space="0" w:color="auto"/>
            </w:tcBorders>
            <w:vAlign w:val="center"/>
          </w:tcPr>
          <w:p w14:paraId="23B29CEE" w14:textId="371BAEE9"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Variables included</w:t>
            </w:r>
          </w:p>
        </w:tc>
        <w:tc>
          <w:tcPr>
            <w:tcW w:w="1798" w:type="dxa"/>
            <w:tcBorders>
              <w:bottom w:val="single" w:sz="4" w:space="0" w:color="auto"/>
            </w:tcBorders>
            <w:vAlign w:val="center"/>
          </w:tcPr>
          <w:p w14:paraId="163B0944"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Final variables</w:t>
            </w:r>
          </w:p>
        </w:tc>
        <w:tc>
          <w:tcPr>
            <w:tcW w:w="976" w:type="dxa"/>
            <w:tcBorders>
              <w:bottom w:val="single" w:sz="4" w:space="0" w:color="auto"/>
            </w:tcBorders>
            <w:vAlign w:val="center"/>
          </w:tcPr>
          <w:p w14:paraId="71DF2F05"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P-value</w:t>
            </w:r>
          </w:p>
        </w:tc>
        <w:tc>
          <w:tcPr>
            <w:tcW w:w="2029" w:type="dxa"/>
            <w:tcBorders>
              <w:bottom w:val="single" w:sz="4" w:space="0" w:color="auto"/>
            </w:tcBorders>
            <w:vAlign w:val="center"/>
          </w:tcPr>
          <w:p w14:paraId="1A1BD14C"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OR; 95 CI</w:t>
            </w:r>
          </w:p>
        </w:tc>
        <w:tc>
          <w:tcPr>
            <w:tcW w:w="1365" w:type="dxa"/>
            <w:tcBorders>
              <w:bottom w:val="single" w:sz="4" w:space="0" w:color="auto"/>
            </w:tcBorders>
            <w:vAlign w:val="center"/>
          </w:tcPr>
          <w:p w14:paraId="38391B77" w14:textId="77777777" w:rsidR="004A43F4" w:rsidRPr="00214987" w:rsidRDefault="004A43F4" w:rsidP="000B3481">
            <w:pPr>
              <w:jc w:val="center"/>
              <w:rPr>
                <w:rFonts w:ascii="Arial" w:hAnsi="Arial" w:cs="Arial"/>
                <w:b/>
                <w:bCs/>
                <w:noProof/>
                <w:sz w:val="18"/>
                <w:szCs w:val="18"/>
                <w:lang w:val="en-US"/>
              </w:rPr>
            </w:pPr>
            <w:r w:rsidRPr="00214987">
              <w:rPr>
                <w:rFonts w:ascii="Arial" w:hAnsi="Arial" w:cs="Arial"/>
                <w:b/>
                <w:bCs/>
                <w:noProof/>
                <w:sz w:val="18"/>
                <w:szCs w:val="18"/>
                <w:lang w:val="en-US"/>
              </w:rPr>
              <w:t>AUC of model</w:t>
            </w:r>
          </w:p>
        </w:tc>
      </w:tr>
      <w:tr w:rsidR="005F2986" w:rsidRPr="00214987" w14:paraId="6EBE16ED" w14:textId="77777777" w:rsidTr="006A752F">
        <w:trPr>
          <w:jc w:val="center"/>
        </w:trPr>
        <w:tc>
          <w:tcPr>
            <w:tcW w:w="1133" w:type="dxa"/>
            <w:tcBorders>
              <w:bottom w:val="single" w:sz="18" w:space="0" w:color="auto"/>
            </w:tcBorders>
            <w:vAlign w:val="center"/>
          </w:tcPr>
          <w:p w14:paraId="72D80E08" w14:textId="1C419EFC"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M</w:t>
            </w:r>
            <w:r w:rsidR="005F2986" w:rsidRPr="00214987">
              <w:rPr>
                <w:rFonts w:ascii="Arial" w:hAnsi="Arial" w:cs="Arial"/>
                <w:noProof/>
                <w:sz w:val="18"/>
                <w:szCs w:val="18"/>
                <w:lang w:val="en-US"/>
              </w:rPr>
              <w:t>epolizumab</w:t>
            </w:r>
            <w:r w:rsidRPr="00214987">
              <w:rPr>
                <w:rFonts w:ascii="Arial" w:hAnsi="Arial" w:cs="Arial"/>
                <w:noProof/>
                <w:sz w:val="18"/>
                <w:szCs w:val="18"/>
                <w:lang w:val="en-US"/>
              </w:rPr>
              <w:t xml:space="preserve"> responders vs non-responders</w:t>
            </w:r>
          </w:p>
        </w:tc>
        <w:tc>
          <w:tcPr>
            <w:tcW w:w="1022" w:type="dxa"/>
            <w:tcBorders>
              <w:bottom w:val="single" w:sz="18" w:space="0" w:color="auto"/>
            </w:tcBorders>
            <w:vAlign w:val="center"/>
          </w:tcPr>
          <w:p w14:paraId="659F3F4B"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42/58, 72.4%</w:t>
            </w:r>
          </w:p>
        </w:tc>
        <w:tc>
          <w:tcPr>
            <w:tcW w:w="2465" w:type="dxa"/>
            <w:tcBorders>
              <w:bottom w:val="single" w:sz="18" w:space="0" w:color="auto"/>
            </w:tcBorders>
            <w:vAlign w:val="center"/>
          </w:tcPr>
          <w:p w14:paraId="294C10DD" w14:textId="436DA84C"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 xml:space="preserve">ACQ6, </w:t>
            </w:r>
            <w:r w:rsidR="00E62958" w:rsidRPr="00214987">
              <w:rPr>
                <w:rFonts w:ascii="Arial" w:hAnsi="Arial" w:cs="Arial"/>
                <w:noProof/>
                <w:sz w:val="18"/>
                <w:szCs w:val="18"/>
                <w:lang w:val="en-US"/>
              </w:rPr>
              <w:t>M</w:t>
            </w:r>
            <w:r w:rsidRPr="00214987">
              <w:rPr>
                <w:rFonts w:ascii="Arial" w:hAnsi="Arial" w:cs="Arial"/>
                <w:noProof/>
                <w:sz w:val="18"/>
                <w:szCs w:val="18"/>
                <w:lang w:val="en-US"/>
              </w:rPr>
              <w:t xml:space="preserve">ultiple AHE, Depression, Anxiety, AQLQ baseline, Total HADS baseline, </w:t>
            </w:r>
            <w:r w:rsidR="00131F42" w:rsidRPr="00214987">
              <w:rPr>
                <w:rFonts w:ascii="Arial" w:hAnsi="Arial" w:cs="Arial"/>
                <w:noProof/>
                <w:sz w:val="18"/>
                <w:szCs w:val="18"/>
                <w:lang w:val="en-US"/>
              </w:rPr>
              <w:t xml:space="preserve">Baseline </w:t>
            </w:r>
            <w:r w:rsidR="00684B83">
              <w:rPr>
                <w:rFonts w:ascii="Arial" w:hAnsi="Arial" w:cs="Arial"/>
                <w:noProof/>
                <w:sz w:val="18"/>
                <w:szCs w:val="18"/>
                <w:lang w:val="en-US"/>
              </w:rPr>
              <w:t>annual</w:t>
            </w:r>
            <w:r w:rsidRPr="00214987">
              <w:rPr>
                <w:rFonts w:ascii="Arial" w:hAnsi="Arial" w:cs="Arial"/>
                <w:noProof/>
                <w:sz w:val="18"/>
                <w:szCs w:val="18"/>
                <w:lang w:val="en-US"/>
              </w:rPr>
              <w:t xml:space="preserve"> rate of AHE</w:t>
            </w:r>
            <w:r w:rsidR="00C6292A" w:rsidRPr="00214987">
              <w:rPr>
                <w:rFonts w:ascii="Arial" w:hAnsi="Arial" w:cs="Arial"/>
                <w:noProof/>
                <w:sz w:val="18"/>
                <w:szCs w:val="18"/>
                <w:lang w:val="en-US"/>
              </w:rPr>
              <w:t xml:space="preserve"> in the past year</w:t>
            </w:r>
            <w:r w:rsidRPr="00214987">
              <w:rPr>
                <w:rFonts w:ascii="Arial" w:hAnsi="Arial" w:cs="Arial"/>
                <w:noProof/>
                <w:sz w:val="18"/>
                <w:szCs w:val="18"/>
                <w:lang w:val="en-US"/>
              </w:rPr>
              <w:t>, Dysfunctional Breathing.</w:t>
            </w:r>
          </w:p>
        </w:tc>
        <w:tc>
          <w:tcPr>
            <w:tcW w:w="1798" w:type="dxa"/>
            <w:tcBorders>
              <w:bottom w:val="single" w:sz="18" w:space="0" w:color="auto"/>
            </w:tcBorders>
            <w:vAlign w:val="center"/>
          </w:tcPr>
          <w:p w14:paraId="662FC859"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Lower ACQ6 at baseline</w:t>
            </w:r>
          </w:p>
        </w:tc>
        <w:tc>
          <w:tcPr>
            <w:tcW w:w="976" w:type="dxa"/>
            <w:tcBorders>
              <w:bottom w:val="single" w:sz="18" w:space="0" w:color="auto"/>
            </w:tcBorders>
            <w:vAlign w:val="center"/>
          </w:tcPr>
          <w:p w14:paraId="5225E4E8"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0.007</w:t>
            </w:r>
          </w:p>
        </w:tc>
        <w:tc>
          <w:tcPr>
            <w:tcW w:w="2029" w:type="dxa"/>
            <w:tcBorders>
              <w:bottom w:val="single" w:sz="18" w:space="0" w:color="auto"/>
            </w:tcBorders>
            <w:vAlign w:val="center"/>
          </w:tcPr>
          <w:p w14:paraId="12CB8BAD"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4.651 (1.513-14.286)</w:t>
            </w:r>
          </w:p>
        </w:tc>
        <w:tc>
          <w:tcPr>
            <w:tcW w:w="1365" w:type="dxa"/>
            <w:tcBorders>
              <w:bottom w:val="single" w:sz="18" w:space="0" w:color="auto"/>
            </w:tcBorders>
            <w:vAlign w:val="center"/>
          </w:tcPr>
          <w:p w14:paraId="25BA14D6"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0.859</w:t>
            </w:r>
          </w:p>
        </w:tc>
      </w:tr>
      <w:tr w:rsidR="005F2986" w:rsidRPr="00214987" w14:paraId="4AF8ECF1" w14:textId="77777777" w:rsidTr="006A752F">
        <w:trPr>
          <w:trHeight w:val="595"/>
          <w:jc w:val="center"/>
        </w:trPr>
        <w:tc>
          <w:tcPr>
            <w:tcW w:w="1133" w:type="dxa"/>
            <w:vMerge w:val="restart"/>
            <w:tcBorders>
              <w:top w:val="single" w:sz="18" w:space="0" w:color="auto"/>
              <w:bottom w:val="single" w:sz="4" w:space="0" w:color="auto"/>
            </w:tcBorders>
            <w:vAlign w:val="center"/>
          </w:tcPr>
          <w:p w14:paraId="0D82835A" w14:textId="281472F0"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M</w:t>
            </w:r>
            <w:r w:rsidR="005F2986" w:rsidRPr="00214987">
              <w:rPr>
                <w:rFonts w:ascii="Arial" w:hAnsi="Arial" w:cs="Arial"/>
                <w:noProof/>
                <w:sz w:val="18"/>
                <w:szCs w:val="18"/>
                <w:lang w:val="en-US"/>
              </w:rPr>
              <w:t>epolizumab</w:t>
            </w:r>
            <w:r w:rsidRPr="00214987">
              <w:rPr>
                <w:rFonts w:ascii="Arial" w:hAnsi="Arial" w:cs="Arial"/>
                <w:noProof/>
                <w:sz w:val="18"/>
                <w:szCs w:val="18"/>
                <w:lang w:val="en-US"/>
              </w:rPr>
              <w:t xml:space="preserve"> super- responders vs non-super-responders</w:t>
            </w:r>
          </w:p>
        </w:tc>
        <w:tc>
          <w:tcPr>
            <w:tcW w:w="1022" w:type="dxa"/>
            <w:vMerge w:val="restart"/>
            <w:tcBorders>
              <w:top w:val="single" w:sz="18" w:space="0" w:color="auto"/>
              <w:bottom w:val="single" w:sz="4" w:space="0" w:color="auto"/>
            </w:tcBorders>
            <w:vAlign w:val="center"/>
          </w:tcPr>
          <w:p w14:paraId="62F5D3E8"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 xml:space="preserve">47/58, </w:t>
            </w:r>
          </w:p>
          <w:p w14:paraId="0BCF5EAD"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81%</w:t>
            </w:r>
          </w:p>
        </w:tc>
        <w:tc>
          <w:tcPr>
            <w:tcW w:w="2465" w:type="dxa"/>
            <w:vMerge w:val="restart"/>
            <w:tcBorders>
              <w:top w:val="single" w:sz="18" w:space="0" w:color="auto"/>
              <w:bottom w:val="single" w:sz="4" w:space="0" w:color="auto"/>
            </w:tcBorders>
            <w:vAlign w:val="center"/>
          </w:tcPr>
          <w:p w14:paraId="2D6FBBD6" w14:textId="1B2E42C2" w:rsidR="004A43F4" w:rsidRPr="00214987" w:rsidRDefault="00131F42" w:rsidP="000B3481">
            <w:pPr>
              <w:jc w:val="center"/>
              <w:rPr>
                <w:rFonts w:ascii="Arial" w:hAnsi="Arial" w:cs="Arial"/>
                <w:noProof/>
                <w:sz w:val="18"/>
                <w:szCs w:val="18"/>
                <w:lang w:val="en-US"/>
              </w:rPr>
            </w:pPr>
            <w:r w:rsidRPr="00214987">
              <w:rPr>
                <w:rFonts w:ascii="Arial" w:hAnsi="Arial" w:cs="Arial"/>
                <w:noProof/>
                <w:sz w:val="18"/>
                <w:szCs w:val="18"/>
                <w:lang w:val="en-US"/>
              </w:rPr>
              <w:t xml:space="preserve">Baseline </w:t>
            </w:r>
            <w:r w:rsidR="00684B83">
              <w:rPr>
                <w:rFonts w:ascii="Arial" w:hAnsi="Arial" w:cs="Arial"/>
                <w:noProof/>
                <w:sz w:val="18"/>
                <w:szCs w:val="18"/>
                <w:lang w:val="en-US"/>
              </w:rPr>
              <w:t>annual</w:t>
            </w:r>
            <w:r w:rsidR="004A43F4" w:rsidRPr="00214987">
              <w:rPr>
                <w:rFonts w:ascii="Arial" w:hAnsi="Arial" w:cs="Arial"/>
                <w:noProof/>
                <w:sz w:val="18"/>
                <w:szCs w:val="18"/>
                <w:lang w:val="en-US"/>
              </w:rPr>
              <w:t xml:space="preserve"> rate of exacerbations</w:t>
            </w:r>
            <w:r w:rsidR="00C6292A" w:rsidRPr="00214987">
              <w:rPr>
                <w:rFonts w:ascii="Arial" w:hAnsi="Arial" w:cs="Arial"/>
                <w:noProof/>
                <w:sz w:val="18"/>
                <w:szCs w:val="18"/>
                <w:lang w:val="en-US"/>
              </w:rPr>
              <w:t xml:space="preserve"> in the past year,</w:t>
            </w:r>
            <w:r w:rsidR="004A43F4" w:rsidRPr="00214987">
              <w:rPr>
                <w:rFonts w:ascii="Arial" w:hAnsi="Arial" w:cs="Arial"/>
                <w:noProof/>
                <w:sz w:val="18"/>
                <w:szCs w:val="18"/>
                <w:lang w:val="en-US"/>
              </w:rPr>
              <w:t xml:space="preserve"> ACQ6, </w:t>
            </w:r>
            <w:r w:rsidR="00614CF9" w:rsidRPr="00214987">
              <w:rPr>
                <w:rFonts w:ascii="Arial" w:hAnsi="Arial" w:cs="Arial"/>
                <w:noProof/>
                <w:sz w:val="18"/>
                <w:szCs w:val="18"/>
                <w:lang w:val="en-US"/>
              </w:rPr>
              <w:t>Clinic</w:t>
            </w:r>
            <w:r w:rsidR="004A43F4" w:rsidRPr="00214987">
              <w:rPr>
                <w:rFonts w:ascii="Arial" w:hAnsi="Arial" w:cs="Arial"/>
                <w:noProof/>
                <w:sz w:val="18"/>
                <w:szCs w:val="18"/>
                <w:lang w:val="en-US"/>
              </w:rPr>
              <w:t xml:space="preserve"> FEV</w:t>
            </w:r>
            <w:r w:rsidR="004A43F4" w:rsidRPr="00214987">
              <w:rPr>
                <w:rFonts w:ascii="Arial" w:hAnsi="Arial" w:cs="Arial"/>
                <w:noProof/>
                <w:sz w:val="18"/>
                <w:szCs w:val="18"/>
                <w:vertAlign w:val="subscript"/>
                <w:lang w:val="en-US"/>
              </w:rPr>
              <w:t>1</w:t>
            </w:r>
            <w:r w:rsidR="004A43F4" w:rsidRPr="00214987">
              <w:rPr>
                <w:rFonts w:ascii="Arial" w:hAnsi="Arial" w:cs="Arial"/>
                <w:noProof/>
                <w:sz w:val="18"/>
                <w:szCs w:val="18"/>
                <w:lang w:val="en-US"/>
              </w:rPr>
              <w:t>%, AQLQ baseline, BMI, on mOCS, Adult</w:t>
            </w:r>
            <w:r w:rsidR="00260269">
              <w:rPr>
                <w:rFonts w:ascii="Arial" w:hAnsi="Arial" w:cs="Arial"/>
                <w:noProof/>
                <w:sz w:val="18"/>
                <w:szCs w:val="18"/>
                <w:lang w:val="en-US"/>
              </w:rPr>
              <w:t>-</w:t>
            </w:r>
            <w:r w:rsidR="004A43F4" w:rsidRPr="00214987">
              <w:rPr>
                <w:rFonts w:ascii="Arial" w:hAnsi="Arial" w:cs="Arial"/>
                <w:noProof/>
                <w:sz w:val="18"/>
                <w:szCs w:val="18"/>
                <w:lang w:val="en-US"/>
              </w:rPr>
              <w:t>onset, Atopy, Smoking ever, Bronchiectasis ever</w:t>
            </w:r>
          </w:p>
        </w:tc>
        <w:tc>
          <w:tcPr>
            <w:tcW w:w="1798" w:type="dxa"/>
            <w:tcBorders>
              <w:top w:val="single" w:sz="18" w:space="0" w:color="auto"/>
              <w:bottom w:val="single" w:sz="4" w:space="0" w:color="auto"/>
            </w:tcBorders>
            <w:vAlign w:val="center"/>
          </w:tcPr>
          <w:p w14:paraId="3285C1EE"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Lower ACQ6 at baseline</w:t>
            </w:r>
          </w:p>
        </w:tc>
        <w:tc>
          <w:tcPr>
            <w:tcW w:w="976" w:type="dxa"/>
            <w:tcBorders>
              <w:top w:val="single" w:sz="18" w:space="0" w:color="auto"/>
              <w:bottom w:val="single" w:sz="4" w:space="0" w:color="auto"/>
            </w:tcBorders>
            <w:vAlign w:val="center"/>
          </w:tcPr>
          <w:p w14:paraId="506DA259"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0.025</w:t>
            </w:r>
          </w:p>
        </w:tc>
        <w:tc>
          <w:tcPr>
            <w:tcW w:w="2029" w:type="dxa"/>
            <w:tcBorders>
              <w:top w:val="single" w:sz="18" w:space="0" w:color="auto"/>
              <w:bottom w:val="single" w:sz="4" w:space="0" w:color="auto"/>
            </w:tcBorders>
            <w:vAlign w:val="center"/>
          </w:tcPr>
          <w:p w14:paraId="18FA16D6"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3.401 (1.167-9.901)</w:t>
            </w:r>
          </w:p>
        </w:tc>
        <w:tc>
          <w:tcPr>
            <w:tcW w:w="1365" w:type="dxa"/>
            <w:vMerge w:val="restart"/>
            <w:tcBorders>
              <w:top w:val="single" w:sz="18" w:space="0" w:color="auto"/>
              <w:bottom w:val="single" w:sz="4" w:space="0" w:color="auto"/>
            </w:tcBorders>
            <w:vAlign w:val="center"/>
          </w:tcPr>
          <w:p w14:paraId="4D4AD5CD"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0.811</w:t>
            </w:r>
          </w:p>
        </w:tc>
      </w:tr>
      <w:tr w:rsidR="005F2986" w:rsidRPr="00214987" w14:paraId="5BCC2491" w14:textId="77777777" w:rsidTr="006A752F">
        <w:trPr>
          <w:trHeight w:val="414"/>
          <w:jc w:val="center"/>
        </w:trPr>
        <w:tc>
          <w:tcPr>
            <w:tcW w:w="1133" w:type="dxa"/>
            <w:vMerge/>
            <w:tcBorders>
              <w:top w:val="single" w:sz="4" w:space="0" w:color="auto"/>
              <w:bottom w:val="single" w:sz="4" w:space="0" w:color="auto"/>
            </w:tcBorders>
            <w:vAlign w:val="center"/>
          </w:tcPr>
          <w:p w14:paraId="4AA6C0BA" w14:textId="77777777" w:rsidR="004A43F4" w:rsidRPr="00214987" w:rsidRDefault="004A43F4" w:rsidP="000B3481">
            <w:pPr>
              <w:jc w:val="center"/>
              <w:rPr>
                <w:rFonts w:ascii="Arial" w:hAnsi="Arial" w:cs="Arial"/>
                <w:noProof/>
                <w:sz w:val="18"/>
                <w:szCs w:val="18"/>
                <w:lang w:val="en-US"/>
              </w:rPr>
            </w:pPr>
          </w:p>
        </w:tc>
        <w:tc>
          <w:tcPr>
            <w:tcW w:w="1022" w:type="dxa"/>
            <w:vMerge/>
            <w:tcBorders>
              <w:top w:val="single" w:sz="4" w:space="0" w:color="auto"/>
              <w:bottom w:val="single" w:sz="4" w:space="0" w:color="auto"/>
            </w:tcBorders>
            <w:vAlign w:val="center"/>
          </w:tcPr>
          <w:p w14:paraId="7A3C7DFA" w14:textId="77777777" w:rsidR="004A43F4" w:rsidRPr="00214987" w:rsidRDefault="004A43F4" w:rsidP="000B3481">
            <w:pPr>
              <w:jc w:val="center"/>
              <w:rPr>
                <w:rFonts w:ascii="Arial" w:hAnsi="Arial" w:cs="Arial"/>
                <w:noProof/>
                <w:sz w:val="18"/>
                <w:szCs w:val="18"/>
                <w:lang w:val="en-US"/>
              </w:rPr>
            </w:pPr>
          </w:p>
        </w:tc>
        <w:tc>
          <w:tcPr>
            <w:tcW w:w="2465" w:type="dxa"/>
            <w:vMerge/>
            <w:tcBorders>
              <w:top w:val="single" w:sz="4" w:space="0" w:color="auto"/>
              <w:bottom w:val="single" w:sz="4" w:space="0" w:color="auto"/>
            </w:tcBorders>
            <w:vAlign w:val="center"/>
          </w:tcPr>
          <w:p w14:paraId="7DB9DAED" w14:textId="77777777" w:rsidR="004A43F4" w:rsidRPr="00214987" w:rsidRDefault="004A43F4" w:rsidP="000B3481">
            <w:pPr>
              <w:jc w:val="center"/>
              <w:rPr>
                <w:rFonts w:ascii="Arial" w:hAnsi="Arial" w:cs="Arial"/>
                <w:noProof/>
                <w:sz w:val="18"/>
                <w:szCs w:val="18"/>
                <w:lang w:val="en-US"/>
              </w:rPr>
            </w:pPr>
          </w:p>
        </w:tc>
        <w:tc>
          <w:tcPr>
            <w:tcW w:w="1798" w:type="dxa"/>
            <w:tcBorders>
              <w:top w:val="single" w:sz="4" w:space="0" w:color="auto"/>
              <w:bottom w:val="single" w:sz="4" w:space="0" w:color="auto"/>
            </w:tcBorders>
            <w:vAlign w:val="center"/>
          </w:tcPr>
          <w:p w14:paraId="5E10A0B8" w14:textId="7492BD76" w:rsidR="004A43F4" w:rsidRPr="00214987" w:rsidRDefault="00745EEB" w:rsidP="000B3481">
            <w:pPr>
              <w:jc w:val="center"/>
              <w:rPr>
                <w:rFonts w:ascii="Arial" w:hAnsi="Arial" w:cs="Arial"/>
                <w:noProof/>
                <w:sz w:val="18"/>
                <w:szCs w:val="18"/>
                <w:lang w:val="en-US"/>
              </w:rPr>
            </w:pPr>
            <w:r w:rsidRPr="00214987">
              <w:rPr>
                <w:rFonts w:ascii="Arial" w:hAnsi="Arial" w:cs="Arial"/>
                <w:noProof/>
                <w:sz w:val="18"/>
                <w:szCs w:val="18"/>
                <w:lang w:val="en-US"/>
              </w:rPr>
              <w:t xml:space="preserve">Baseline </w:t>
            </w:r>
            <w:r w:rsidR="00684B83">
              <w:rPr>
                <w:rFonts w:ascii="Arial" w:hAnsi="Arial" w:cs="Arial"/>
                <w:noProof/>
                <w:sz w:val="18"/>
                <w:szCs w:val="18"/>
                <w:lang w:val="en-US"/>
              </w:rPr>
              <w:t>annual</w:t>
            </w:r>
            <w:r w:rsidR="004A43F4" w:rsidRPr="00214987">
              <w:rPr>
                <w:rFonts w:ascii="Arial" w:hAnsi="Arial" w:cs="Arial"/>
                <w:noProof/>
                <w:sz w:val="18"/>
                <w:szCs w:val="18"/>
                <w:lang w:val="en-US"/>
              </w:rPr>
              <w:t xml:space="preserve"> rate of exacerbations</w:t>
            </w:r>
          </w:p>
        </w:tc>
        <w:tc>
          <w:tcPr>
            <w:tcW w:w="976" w:type="dxa"/>
            <w:tcBorders>
              <w:top w:val="single" w:sz="4" w:space="0" w:color="auto"/>
              <w:bottom w:val="single" w:sz="4" w:space="0" w:color="auto"/>
            </w:tcBorders>
            <w:vAlign w:val="center"/>
          </w:tcPr>
          <w:p w14:paraId="3EF29EF7"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0.023</w:t>
            </w:r>
          </w:p>
        </w:tc>
        <w:tc>
          <w:tcPr>
            <w:tcW w:w="2029" w:type="dxa"/>
            <w:tcBorders>
              <w:top w:val="single" w:sz="4" w:space="0" w:color="auto"/>
              <w:bottom w:val="single" w:sz="4" w:space="0" w:color="auto"/>
            </w:tcBorders>
            <w:vAlign w:val="center"/>
          </w:tcPr>
          <w:p w14:paraId="7CC947B0" w14:textId="77777777" w:rsidR="004A43F4" w:rsidRPr="00214987" w:rsidRDefault="004A43F4" w:rsidP="000B3481">
            <w:pPr>
              <w:jc w:val="center"/>
              <w:rPr>
                <w:rFonts w:ascii="Arial" w:hAnsi="Arial" w:cs="Arial"/>
                <w:noProof/>
                <w:sz w:val="18"/>
                <w:szCs w:val="18"/>
                <w:lang w:val="en-US"/>
              </w:rPr>
            </w:pPr>
            <w:r w:rsidRPr="00214987">
              <w:rPr>
                <w:rFonts w:ascii="Arial" w:hAnsi="Arial" w:cs="Arial"/>
                <w:noProof/>
                <w:sz w:val="18"/>
                <w:szCs w:val="18"/>
                <w:lang w:val="en-US"/>
              </w:rPr>
              <w:t>1.487 (1.046-2.115)</w:t>
            </w:r>
          </w:p>
        </w:tc>
        <w:tc>
          <w:tcPr>
            <w:tcW w:w="1365" w:type="dxa"/>
            <w:vMerge/>
            <w:tcBorders>
              <w:top w:val="single" w:sz="4" w:space="0" w:color="auto"/>
              <w:bottom w:val="single" w:sz="4" w:space="0" w:color="auto"/>
            </w:tcBorders>
            <w:vAlign w:val="center"/>
          </w:tcPr>
          <w:p w14:paraId="50D02299" w14:textId="77777777" w:rsidR="004A43F4" w:rsidRPr="00214987" w:rsidRDefault="004A43F4" w:rsidP="000B3481">
            <w:pPr>
              <w:jc w:val="center"/>
              <w:rPr>
                <w:rFonts w:ascii="Arial" w:hAnsi="Arial" w:cs="Arial"/>
                <w:noProof/>
                <w:sz w:val="18"/>
                <w:szCs w:val="18"/>
                <w:lang w:val="en-US"/>
              </w:rPr>
            </w:pPr>
          </w:p>
        </w:tc>
      </w:tr>
    </w:tbl>
    <w:p w14:paraId="63F42632" w14:textId="6C36FC50" w:rsidR="000D57E1" w:rsidRPr="00214987" w:rsidRDefault="004A43F4" w:rsidP="000D57E1">
      <w:pPr>
        <w:rPr>
          <w:rFonts w:ascii="Arial" w:hAnsi="Arial" w:cs="Arial"/>
          <w:noProof/>
          <w:sz w:val="16"/>
          <w:szCs w:val="16"/>
          <w:lang w:val="en-US"/>
        </w:rPr>
      </w:pPr>
      <w:r w:rsidRPr="00214987">
        <w:rPr>
          <w:rFonts w:ascii="Arial" w:hAnsi="Arial" w:cs="Arial"/>
          <w:noProof/>
          <w:sz w:val="16"/>
          <w:szCs w:val="16"/>
          <w:lang w:val="en-US"/>
        </w:rPr>
        <w:t>FEV</w:t>
      </w:r>
      <w:r w:rsidRPr="00214987">
        <w:rPr>
          <w:rFonts w:ascii="Arial" w:hAnsi="Arial" w:cs="Arial"/>
          <w:noProof/>
          <w:sz w:val="16"/>
          <w:szCs w:val="16"/>
          <w:vertAlign w:val="subscript"/>
          <w:lang w:val="en-US"/>
        </w:rPr>
        <w:t>1</w:t>
      </w:r>
      <w:r w:rsidR="00BD1447" w:rsidRPr="00214987">
        <w:rPr>
          <w:rFonts w:ascii="Arial" w:hAnsi="Arial" w:cs="Arial"/>
          <w:noProof/>
          <w:sz w:val="16"/>
          <w:szCs w:val="16"/>
          <w:lang w:val="en-US"/>
        </w:rPr>
        <w:t xml:space="preserve">: </w:t>
      </w:r>
      <w:r w:rsidRPr="00214987">
        <w:rPr>
          <w:rFonts w:ascii="Arial" w:hAnsi="Arial" w:cs="Arial"/>
          <w:noProof/>
          <w:sz w:val="16"/>
          <w:szCs w:val="16"/>
          <w:lang w:val="en-US"/>
        </w:rPr>
        <w:t>forced expiratory volume in one second. BMI</w:t>
      </w:r>
      <w:r w:rsidR="000057AB" w:rsidRPr="00214987">
        <w:rPr>
          <w:rFonts w:ascii="Arial" w:hAnsi="Arial" w:cs="Arial"/>
          <w:noProof/>
          <w:sz w:val="12"/>
          <w:szCs w:val="12"/>
          <w:lang w:val="en-US"/>
        </w:rPr>
        <w:t>:</w:t>
      </w:r>
      <w:r w:rsidRPr="00214987">
        <w:rPr>
          <w:rFonts w:ascii="Arial" w:hAnsi="Arial" w:cs="Arial"/>
          <w:noProof/>
          <w:sz w:val="16"/>
          <w:szCs w:val="16"/>
          <w:lang w:val="en-US"/>
        </w:rPr>
        <w:t xml:space="preserve"> Body mass index. </w:t>
      </w:r>
      <w:r w:rsidR="00131F42" w:rsidRPr="00214987">
        <w:rPr>
          <w:rFonts w:ascii="Arial" w:hAnsi="Arial" w:cs="Arial"/>
          <w:noProof/>
          <w:sz w:val="16"/>
          <w:szCs w:val="16"/>
          <w:lang w:val="en-US"/>
        </w:rPr>
        <w:t xml:space="preserve">Exacerbations: incidence of exacerbations requiring OCS / increase in maintenance OCS in the past 12 months before biologic approval. </w:t>
      </w:r>
      <w:r w:rsidRPr="00214987">
        <w:rPr>
          <w:rFonts w:ascii="Arial" w:hAnsi="Arial" w:cs="Arial"/>
          <w:noProof/>
          <w:sz w:val="16"/>
          <w:szCs w:val="16"/>
          <w:lang w:val="en-US"/>
        </w:rPr>
        <w:t>AHE: acute healthcare encounters, which include Emergency department/ hospital admissions.</w:t>
      </w:r>
      <w:r w:rsidR="00131F42" w:rsidRPr="00214987">
        <w:rPr>
          <w:rFonts w:ascii="Arial" w:hAnsi="Arial" w:cs="Arial"/>
          <w:noProof/>
          <w:sz w:val="16"/>
          <w:szCs w:val="16"/>
          <w:lang w:val="en-US"/>
        </w:rPr>
        <w:t xml:space="preserve"> </w:t>
      </w:r>
      <w:r w:rsidR="007D7614" w:rsidRPr="00214987">
        <w:rPr>
          <w:rFonts w:ascii="Arial" w:hAnsi="Arial" w:cs="Arial"/>
          <w:noProof/>
          <w:sz w:val="16"/>
          <w:szCs w:val="16"/>
          <w:lang w:val="en-US"/>
        </w:rPr>
        <w:t>Multiple AHE</w:t>
      </w:r>
      <w:r w:rsidR="00E62958" w:rsidRPr="00214987">
        <w:rPr>
          <w:rFonts w:ascii="Arial" w:hAnsi="Arial" w:cs="Arial"/>
          <w:noProof/>
          <w:sz w:val="16"/>
          <w:szCs w:val="16"/>
          <w:lang w:val="en-US"/>
        </w:rPr>
        <w:t>:</w:t>
      </w:r>
      <w:r w:rsidR="007D7614" w:rsidRPr="00214987">
        <w:rPr>
          <w:rFonts w:ascii="Arial" w:hAnsi="Arial" w:cs="Arial"/>
          <w:noProof/>
          <w:sz w:val="16"/>
          <w:szCs w:val="16"/>
          <w:lang w:val="en-US"/>
        </w:rPr>
        <w:t xml:space="preserve"> &gt;1 AHE in the past 12 months</w:t>
      </w:r>
      <w:r w:rsidR="00131F42" w:rsidRPr="00214987">
        <w:rPr>
          <w:rFonts w:ascii="Arial" w:hAnsi="Arial" w:cs="Arial"/>
          <w:noProof/>
          <w:sz w:val="16"/>
          <w:szCs w:val="16"/>
          <w:lang w:val="en-US"/>
        </w:rPr>
        <w:t xml:space="preserve"> before biologic approval</w:t>
      </w:r>
      <w:r w:rsidR="007D7614" w:rsidRPr="00214987">
        <w:rPr>
          <w:rFonts w:ascii="Arial" w:hAnsi="Arial" w:cs="Arial"/>
          <w:noProof/>
          <w:sz w:val="16"/>
          <w:szCs w:val="16"/>
          <w:lang w:val="en-US"/>
        </w:rPr>
        <w:t>.</w:t>
      </w:r>
      <w:r w:rsidR="00131F42" w:rsidRPr="00214987">
        <w:rPr>
          <w:rFonts w:ascii="Arial" w:hAnsi="Arial" w:cs="Arial"/>
          <w:noProof/>
          <w:sz w:val="16"/>
          <w:szCs w:val="16"/>
          <w:lang w:val="en-US"/>
        </w:rPr>
        <w:t xml:space="preserve"> </w:t>
      </w:r>
      <w:r w:rsidRPr="00214987">
        <w:rPr>
          <w:rFonts w:ascii="Arial" w:hAnsi="Arial" w:cs="Arial"/>
          <w:noProof/>
          <w:sz w:val="16"/>
          <w:szCs w:val="16"/>
          <w:lang w:val="en-US"/>
        </w:rPr>
        <w:t xml:space="preserve">mOCS: maintenance oral corticosteroids. </w:t>
      </w:r>
      <w:r w:rsidR="007A4828" w:rsidRPr="00214987">
        <w:rPr>
          <w:rFonts w:ascii="Arial" w:hAnsi="Arial" w:cs="Arial"/>
          <w:noProof/>
          <w:sz w:val="16"/>
          <w:szCs w:val="16"/>
          <w:lang w:val="en-US"/>
        </w:rPr>
        <w:t>BMI</w:t>
      </w:r>
      <w:r w:rsidR="007A4828" w:rsidRPr="00214987">
        <w:rPr>
          <w:rFonts w:ascii="Arial" w:hAnsi="Arial" w:cs="Arial"/>
          <w:noProof/>
          <w:sz w:val="12"/>
          <w:szCs w:val="12"/>
          <w:lang w:val="en-US"/>
        </w:rPr>
        <w:t>:</w:t>
      </w:r>
      <w:r w:rsidR="007A4828" w:rsidRPr="00214987">
        <w:rPr>
          <w:rFonts w:ascii="Arial" w:hAnsi="Arial" w:cs="Arial"/>
          <w:noProof/>
          <w:sz w:val="16"/>
          <w:szCs w:val="16"/>
          <w:lang w:val="en-US"/>
        </w:rPr>
        <w:t xml:space="preserve"> Body mass index. </w:t>
      </w:r>
      <w:r w:rsidRPr="00214987">
        <w:rPr>
          <w:rFonts w:ascii="Arial" w:hAnsi="Arial" w:cs="Arial"/>
          <w:noProof/>
          <w:sz w:val="16"/>
          <w:szCs w:val="16"/>
          <w:lang w:val="en-US"/>
        </w:rPr>
        <w:t>Obesity: BMI</w:t>
      </w:r>
      <w:r w:rsidRPr="00214987">
        <w:rPr>
          <w:rFonts w:ascii="Arial" w:eastAsia="Times New Roman" w:hAnsi="Arial" w:cs="Arial"/>
          <w:noProof/>
          <w:sz w:val="16"/>
          <w:szCs w:val="16"/>
          <w:lang w:val="en-US" w:eastAsia="en-MY"/>
        </w:rPr>
        <w:t>≥30kgm</w:t>
      </w:r>
      <w:r w:rsidRPr="00214987">
        <w:rPr>
          <w:rFonts w:ascii="Arial" w:eastAsia="Times New Roman" w:hAnsi="Arial" w:cs="Arial"/>
          <w:noProof/>
          <w:sz w:val="16"/>
          <w:szCs w:val="16"/>
          <w:vertAlign w:val="superscript"/>
          <w:lang w:val="en-US" w:eastAsia="en-MY"/>
        </w:rPr>
        <w:t>-2</w:t>
      </w:r>
      <w:r w:rsidRPr="00214987">
        <w:rPr>
          <w:rFonts w:ascii="Arial" w:eastAsia="Times New Roman" w:hAnsi="Arial" w:cs="Arial"/>
          <w:noProof/>
          <w:sz w:val="16"/>
          <w:szCs w:val="16"/>
          <w:lang w:val="en-US" w:eastAsia="en-MY"/>
        </w:rPr>
        <w:t xml:space="preserve">. </w:t>
      </w:r>
      <w:r w:rsidRPr="00214987">
        <w:rPr>
          <w:rFonts w:ascii="Arial" w:hAnsi="Arial" w:cs="Arial"/>
          <w:noProof/>
          <w:sz w:val="16"/>
          <w:szCs w:val="16"/>
          <w:lang w:val="en-US"/>
        </w:rPr>
        <w:t>ICU: Intensive care unit. ACQ6</w:t>
      </w:r>
      <w:r w:rsidR="00BD1447" w:rsidRPr="00214987">
        <w:rPr>
          <w:rFonts w:ascii="Arial" w:hAnsi="Arial" w:cs="Arial"/>
          <w:noProof/>
          <w:sz w:val="16"/>
          <w:szCs w:val="16"/>
          <w:lang w:val="en-US"/>
        </w:rPr>
        <w:t xml:space="preserve">: </w:t>
      </w:r>
      <w:r w:rsidRPr="00214987">
        <w:rPr>
          <w:rFonts w:ascii="Arial" w:hAnsi="Arial" w:cs="Arial"/>
          <w:noProof/>
          <w:sz w:val="16"/>
          <w:szCs w:val="16"/>
          <w:lang w:val="en-US"/>
        </w:rPr>
        <w:t>asthma control questionnaire 6</w:t>
      </w:r>
      <w:r w:rsidR="00E1544E" w:rsidRPr="00214987">
        <w:rPr>
          <w:rFonts w:ascii="Arial" w:hAnsi="Arial" w:cs="Arial"/>
          <w:noProof/>
          <w:sz w:val="16"/>
          <w:szCs w:val="16"/>
          <w:lang w:val="en-US"/>
        </w:rPr>
        <w:t>.</w:t>
      </w:r>
      <w:r w:rsidRPr="00214987">
        <w:rPr>
          <w:rFonts w:ascii="Arial" w:hAnsi="Arial" w:cs="Arial"/>
          <w:noProof/>
          <w:sz w:val="16"/>
          <w:szCs w:val="16"/>
          <w:lang w:val="en-US"/>
        </w:rPr>
        <w:t xml:space="preserve"> AQLQ: Asthma Quality of Life Questionnaire. HADS: hospital anxiety and depression scale. </w:t>
      </w:r>
      <w:r w:rsidR="006075A1" w:rsidRPr="00214987">
        <w:rPr>
          <w:rFonts w:ascii="Arial" w:hAnsi="Arial" w:cs="Arial"/>
          <w:noProof/>
          <w:sz w:val="16"/>
          <w:szCs w:val="16"/>
          <w:lang w:val="en-US"/>
        </w:rPr>
        <w:t>Adul</w:t>
      </w:r>
      <w:r w:rsidR="00AA0473" w:rsidRPr="00214987">
        <w:rPr>
          <w:rFonts w:ascii="Arial" w:hAnsi="Arial" w:cs="Arial"/>
          <w:noProof/>
          <w:sz w:val="16"/>
          <w:szCs w:val="16"/>
          <w:lang w:val="en-US"/>
        </w:rPr>
        <w:t>t</w:t>
      </w:r>
      <w:r w:rsidR="00260269">
        <w:rPr>
          <w:rFonts w:ascii="Arial" w:hAnsi="Arial" w:cs="Arial"/>
          <w:noProof/>
          <w:sz w:val="16"/>
          <w:szCs w:val="16"/>
          <w:lang w:val="en-US"/>
        </w:rPr>
        <w:t>-</w:t>
      </w:r>
      <w:r w:rsidR="006075A1" w:rsidRPr="00214987">
        <w:rPr>
          <w:rFonts w:ascii="Arial" w:hAnsi="Arial" w:cs="Arial"/>
          <w:noProof/>
          <w:sz w:val="16"/>
          <w:szCs w:val="16"/>
          <w:lang w:val="en-US"/>
        </w:rPr>
        <w:t xml:space="preserve">onset: </w:t>
      </w:r>
      <w:r w:rsidR="00AA0473" w:rsidRPr="00214987">
        <w:rPr>
          <w:rFonts w:ascii="Arial" w:hAnsi="Arial" w:cs="Arial"/>
          <w:noProof/>
          <w:sz w:val="16"/>
          <w:szCs w:val="16"/>
          <w:lang w:val="en-US"/>
        </w:rPr>
        <w:t xml:space="preserve">asthma age of onset </w:t>
      </w:r>
      <w:r w:rsidR="004712C9" w:rsidRPr="00214987">
        <w:rPr>
          <w:rFonts w:ascii="Arial" w:hAnsi="Arial" w:cs="Arial"/>
          <w:noProof/>
          <w:sz w:val="16"/>
          <w:szCs w:val="16"/>
          <w:lang w:val="en-US"/>
        </w:rPr>
        <w:t>≥</w:t>
      </w:r>
      <w:r w:rsidR="00AA0473" w:rsidRPr="00214987">
        <w:rPr>
          <w:rFonts w:ascii="Arial" w:hAnsi="Arial" w:cs="Arial"/>
          <w:noProof/>
          <w:sz w:val="16"/>
          <w:szCs w:val="16"/>
          <w:lang w:val="en-US"/>
        </w:rPr>
        <w:t>18 years</w:t>
      </w:r>
      <w:r w:rsidR="002B174D" w:rsidRPr="00214987">
        <w:rPr>
          <w:rFonts w:ascii="Arial" w:hAnsi="Arial" w:cs="Arial"/>
          <w:noProof/>
          <w:sz w:val="16"/>
          <w:szCs w:val="16"/>
          <w:lang w:val="en-US"/>
        </w:rPr>
        <w:t>.</w:t>
      </w:r>
      <w:r w:rsidRPr="00214987">
        <w:rPr>
          <w:rFonts w:ascii="Arial" w:hAnsi="Arial" w:cs="Arial"/>
          <w:noProof/>
          <w:sz w:val="16"/>
          <w:szCs w:val="16"/>
          <w:lang w:val="en-US"/>
        </w:rPr>
        <w:t xml:space="preserve"> Multiple logistic regression was performed (backward variable selection) using baseline variables trending towards significance (P&lt;0.2).</w:t>
      </w:r>
      <w:r w:rsidR="00004648" w:rsidRPr="00214987">
        <w:rPr>
          <w:rFonts w:ascii="Arial" w:hAnsi="Arial" w:cs="Arial"/>
          <w:noProof/>
          <w:sz w:val="16"/>
          <w:szCs w:val="16"/>
          <w:lang w:val="en-US"/>
        </w:rPr>
        <w:t xml:space="preserve"> AUC: Area under the </w:t>
      </w:r>
      <w:r w:rsidR="001E5DED" w:rsidRPr="00214987">
        <w:rPr>
          <w:rFonts w:ascii="Arial" w:hAnsi="Arial" w:cs="Arial"/>
          <w:noProof/>
          <w:sz w:val="16"/>
          <w:szCs w:val="16"/>
          <w:lang w:val="en-US"/>
        </w:rPr>
        <w:t>Receiver operating characteristic curve.</w:t>
      </w:r>
    </w:p>
    <w:p w14:paraId="0D127116" w14:textId="77777777" w:rsidR="000D57E1" w:rsidRPr="00214987" w:rsidRDefault="000D57E1">
      <w:pPr>
        <w:rPr>
          <w:rFonts w:ascii="Arial" w:hAnsi="Arial" w:cs="Arial"/>
          <w:noProof/>
          <w:sz w:val="16"/>
          <w:szCs w:val="16"/>
          <w:lang w:val="en-US"/>
        </w:rPr>
      </w:pPr>
      <w:r w:rsidRPr="00214987">
        <w:rPr>
          <w:rFonts w:ascii="Arial" w:hAnsi="Arial" w:cs="Arial"/>
          <w:noProof/>
          <w:sz w:val="16"/>
          <w:szCs w:val="16"/>
          <w:lang w:val="en-US"/>
        </w:rPr>
        <w:br w:type="page"/>
      </w:r>
    </w:p>
    <w:p w14:paraId="39058099" w14:textId="0DDE64BF" w:rsidR="004A43F4" w:rsidRPr="007D75FE" w:rsidRDefault="004A43F4" w:rsidP="004A43F4">
      <w:pPr>
        <w:rPr>
          <w:rFonts w:ascii="Arial" w:hAnsi="Arial" w:cs="Arial"/>
          <w:b/>
          <w:bCs/>
          <w:noProof/>
          <w:shd w:val="clear" w:color="auto" w:fill="FFFFFF"/>
          <w:lang w:val="en-US"/>
        </w:rPr>
      </w:pPr>
      <w:r w:rsidRPr="007D75FE">
        <w:rPr>
          <w:rFonts w:ascii="Arial" w:hAnsi="Arial" w:cs="Arial"/>
          <w:b/>
          <w:bCs/>
          <w:noProof/>
          <w:shd w:val="clear" w:color="auto" w:fill="FFFFFF"/>
          <w:lang w:val="en-US"/>
        </w:rPr>
        <w:lastRenderedPageBreak/>
        <w:t xml:space="preserve">Table </w:t>
      </w:r>
      <w:r w:rsidR="004B57AF" w:rsidRPr="007D75FE">
        <w:rPr>
          <w:rFonts w:ascii="Arial" w:hAnsi="Arial" w:cs="Arial"/>
          <w:b/>
          <w:bCs/>
          <w:noProof/>
          <w:shd w:val="clear" w:color="auto" w:fill="FFFFFF"/>
          <w:lang w:val="en-US"/>
        </w:rPr>
        <w:t>4</w:t>
      </w:r>
      <w:r w:rsidRPr="007D75FE">
        <w:rPr>
          <w:rFonts w:ascii="Arial" w:hAnsi="Arial" w:cs="Arial"/>
          <w:b/>
          <w:bCs/>
          <w:noProof/>
          <w:shd w:val="clear" w:color="auto" w:fill="FFFFFF"/>
          <w:lang w:val="en-US"/>
        </w:rPr>
        <w:t>: Stratification of b</w:t>
      </w:r>
      <w:r w:rsidRPr="007D75FE">
        <w:rPr>
          <w:rFonts w:ascii="Arial" w:hAnsi="Arial" w:cs="Arial"/>
          <w:b/>
          <w:bCs/>
          <w:noProof/>
          <w:lang w:val="en-US"/>
        </w:rPr>
        <w:t>iologic use and outcomes within Age-of-onset/sex clusters</w:t>
      </w:r>
    </w:p>
    <w:tbl>
      <w:tblPr>
        <w:tblStyle w:val="TableGrid"/>
        <w:tblpPr w:leftFromText="180" w:rightFromText="180" w:vertAnchor="text" w:horzAnchor="margin" w:tblpY="142"/>
        <w:tblW w:w="10627" w:type="dxa"/>
        <w:tblLook w:val="04A0" w:firstRow="1" w:lastRow="0" w:firstColumn="1" w:lastColumn="0" w:noHBand="0" w:noVBand="1"/>
      </w:tblPr>
      <w:tblGrid>
        <w:gridCol w:w="2105"/>
        <w:gridCol w:w="1213"/>
        <w:gridCol w:w="1687"/>
        <w:gridCol w:w="139"/>
        <w:gridCol w:w="1828"/>
        <w:gridCol w:w="1827"/>
        <w:gridCol w:w="1828"/>
      </w:tblGrid>
      <w:tr w:rsidR="00482133" w:rsidRPr="00214987" w14:paraId="4E6EF116" w14:textId="77777777" w:rsidTr="00482133">
        <w:trPr>
          <w:trHeight w:val="644"/>
        </w:trPr>
        <w:tc>
          <w:tcPr>
            <w:tcW w:w="3318" w:type="dxa"/>
            <w:gridSpan w:val="2"/>
            <w:vAlign w:val="center"/>
          </w:tcPr>
          <w:p w14:paraId="7963B5A7" w14:textId="77777777" w:rsidR="00482133" w:rsidRPr="00214987" w:rsidRDefault="00482133" w:rsidP="00482133">
            <w:pPr>
              <w:jc w:val="center"/>
              <w:rPr>
                <w:rFonts w:ascii="Arial" w:eastAsia="Times New Roman" w:hAnsi="Arial" w:cs="Arial"/>
                <w:noProof/>
                <w:sz w:val="16"/>
                <w:szCs w:val="16"/>
                <w:lang w:val="en-US" w:eastAsia="en-MY"/>
              </w:rPr>
            </w:pPr>
            <w:r w:rsidRPr="002D3C4E">
              <w:rPr>
                <w:rFonts w:ascii="Arial" w:eastAsia="Times New Roman" w:hAnsi="Arial" w:cs="Arial"/>
                <w:b/>
                <w:bCs/>
                <w:noProof/>
                <w:sz w:val="18"/>
                <w:szCs w:val="18"/>
                <w:lang w:val="en-US" w:eastAsia="en-MY"/>
              </w:rPr>
              <w:t>Phenotype and Proportions within overall WATCH cohort</w:t>
            </w:r>
          </w:p>
        </w:tc>
        <w:tc>
          <w:tcPr>
            <w:tcW w:w="1826" w:type="dxa"/>
            <w:gridSpan w:val="2"/>
            <w:vAlign w:val="center"/>
          </w:tcPr>
          <w:p w14:paraId="013CAF13" w14:textId="77777777" w:rsidR="00482133" w:rsidRPr="00214987" w:rsidRDefault="00482133" w:rsidP="00482133">
            <w:pPr>
              <w:jc w:val="center"/>
              <w:rPr>
                <w:rFonts w:ascii="Arial" w:eastAsia="Times New Roman" w:hAnsi="Arial" w:cs="Arial"/>
                <w:b/>
                <w:bCs/>
                <w:noProof/>
                <w:sz w:val="18"/>
                <w:szCs w:val="18"/>
                <w:lang w:val="en-US" w:eastAsia="en-MY"/>
              </w:rPr>
            </w:pPr>
            <w:r w:rsidRPr="00214987">
              <w:rPr>
                <w:rFonts w:ascii="Arial" w:eastAsia="Times New Roman" w:hAnsi="Arial" w:cs="Arial"/>
                <w:b/>
                <w:bCs/>
                <w:noProof/>
                <w:sz w:val="18"/>
                <w:szCs w:val="18"/>
                <w:lang w:val="en-US" w:eastAsia="en-MY"/>
              </w:rPr>
              <w:t>Male, early-onset</w:t>
            </w:r>
          </w:p>
          <w:p w14:paraId="1015127E" w14:textId="77777777" w:rsidR="00482133" w:rsidRPr="00214987" w:rsidRDefault="00482133" w:rsidP="00482133">
            <w:pPr>
              <w:jc w:val="center"/>
              <w:rPr>
                <w:rFonts w:ascii="Arial" w:hAnsi="Arial" w:cs="Arial"/>
                <w:b/>
                <w:bCs/>
                <w:noProof/>
                <w:sz w:val="18"/>
                <w:szCs w:val="18"/>
                <w:lang w:val="en-US"/>
              </w:rPr>
            </w:pPr>
            <w:r w:rsidRPr="00214987">
              <w:rPr>
                <w:rFonts w:ascii="Arial" w:eastAsia="Times New Roman" w:hAnsi="Arial" w:cs="Arial"/>
                <w:b/>
                <w:bCs/>
                <w:noProof/>
                <w:sz w:val="18"/>
                <w:szCs w:val="18"/>
                <w:lang w:val="en-US" w:eastAsia="en-MY"/>
              </w:rPr>
              <w:t>(14.0%)</w:t>
            </w:r>
          </w:p>
        </w:tc>
        <w:tc>
          <w:tcPr>
            <w:tcW w:w="1828" w:type="dxa"/>
            <w:vAlign w:val="center"/>
          </w:tcPr>
          <w:p w14:paraId="13733429" w14:textId="77777777" w:rsidR="00482133" w:rsidRPr="00214987" w:rsidRDefault="00482133" w:rsidP="00482133">
            <w:pPr>
              <w:jc w:val="center"/>
              <w:rPr>
                <w:rFonts w:ascii="Arial" w:hAnsi="Arial" w:cs="Arial"/>
                <w:b/>
                <w:bCs/>
                <w:noProof/>
                <w:sz w:val="18"/>
                <w:szCs w:val="18"/>
                <w:lang w:val="en-US"/>
              </w:rPr>
            </w:pPr>
            <w:r w:rsidRPr="00214987">
              <w:rPr>
                <w:rFonts w:ascii="Arial" w:eastAsia="Times New Roman" w:hAnsi="Arial" w:cs="Arial"/>
                <w:b/>
                <w:bCs/>
                <w:noProof/>
                <w:sz w:val="18"/>
                <w:szCs w:val="18"/>
                <w:lang w:val="en-US" w:eastAsia="en-MY"/>
              </w:rPr>
              <w:t>Female, early-onset (34.7%)</w:t>
            </w:r>
          </w:p>
        </w:tc>
        <w:tc>
          <w:tcPr>
            <w:tcW w:w="1827" w:type="dxa"/>
            <w:vAlign w:val="center"/>
          </w:tcPr>
          <w:p w14:paraId="45A4B357" w14:textId="77777777" w:rsidR="00482133" w:rsidRPr="00214987" w:rsidRDefault="00482133" w:rsidP="00482133">
            <w:pPr>
              <w:jc w:val="center"/>
              <w:rPr>
                <w:rFonts w:ascii="Arial" w:eastAsia="Times New Roman" w:hAnsi="Arial" w:cs="Arial"/>
                <w:b/>
                <w:bCs/>
                <w:noProof/>
                <w:sz w:val="18"/>
                <w:szCs w:val="18"/>
                <w:lang w:val="en-US" w:eastAsia="en-MY"/>
              </w:rPr>
            </w:pPr>
            <w:r w:rsidRPr="00214987">
              <w:rPr>
                <w:rFonts w:ascii="Arial" w:eastAsia="Times New Roman" w:hAnsi="Arial" w:cs="Arial"/>
                <w:b/>
                <w:bCs/>
                <w:noProof/>
                <w:sz w:val="18"/>
                <w:szCs w:val="18"/>
                <w:lang w:val="en-US" w:eastAsia="en-MY"/>
              </w:rPr>
              <w:t>Male, adult-onset</w:t>
            </w:r>
          </w:p>
          <w:p w14:paraId="5A80F9C4" w14:textId="77777777" w:rsidR="00482133" w:rsidRPr="00214987" w:rsidRDefault="00482133" w:rsidP="00482133">
            <w:pPr>
              <w:jc w:val="center"/>
              <w:rPr>
                <w:rFonts w:ascii="Arial" w:hAnsi="Arial" w:cs="Arial"/>
                <w:b/>
                <w:bCs/>
                <w:noProof/>
                <w:sz w:val="18"/>
                <w:szCs w:val="18"/>
                <w:lang w:val="en-US"/>
              </w:rPr>
            </w:pPr>
            <w:r w:rsidRPr="00214987">
              <w:rPr>
                <w:rFonts w:ascii="Arial" w:eastAsia="Times New Roman" w:hAnsi="Arial" w:cs="Arial"/>
                <w:b/>
                <w:bCs/>
                <w:noProof/>
                <w:sz w:val="18"/>
                <w:szCs w:val="18"/>
                <w:lang w:val="en-US" w:eastAsia="en-MY"/>
              </w:rPr>
              <w:t>(20.8%)</w:t>
            </w:r>
          </w:p>
        </w:tc>
        <w:tc>
          <w:tcPr>
            <w:tcW w:w="1828" w:type="dxa"/>
            <w:vAlign w:val="center"/>
          </w:tcPr>
          <w:p w14:paraId="20FABE9B" w14:textId="77777777" w:rsidR="00482133" w:rsidRPr="00214987" w:rsidRDefault="00482133" w:rsidP="00482133">
            <w:pPr>
              <w:jc w:val="center"/>
              <w:rPr>
                <w:rFonts w:ascii="Arial" w:eastAsia="Times New Roman" w:hAnsi="Arial" w:cs="Arial"/>
                <w:b/>
                <w:bCs/>
                <w:noProof/>
                <w:sz w:val="18"/>
                <w:szCs w:val="18"/>
                <w:lang w:val="en-US" w:eastAsia="en-MY"/>
              </w:rPr>
            </w:pPr>
            <w:r w:rsidRPr="00214987">
              <w:rPr>
                <w:rFonts w:ascii="Arial" w:eastAsia="Times New Roman" w:hAnsi="Arial" w:cs="Arial"/>
                <w:b/>
                <w:bCs/>
                <w:noProof/>
                <w:sz w:val="18"/>
                <w:szCs w:val="18"/>
                <w:lang w:val="en-US" w:eastAsia="en-MY"/>
              </w:rPr>
              <w:t>Female, adult-onset (30.5%)</w:t>
            </w:r>
          </w:p>
        </w:tc>
      </w:tr>
      <w:tr w:rsidR="00482133" w:rsidRPr="00214987" w14:paraId="7BD74C8D" w14:textId="77777777" w:rsidTr="00482133">
        <w:trPr>
          <w:trHeight w:val="644"/>
        </w:trPr>
        <w:tc>
          <w:tcPr>
            <w:tcW w:w="2105" w:type="dxa"/>
            <w:vMerge w:val="restart"/>
            <w:vAlign w:val="center"/>
          </w:tcPr>
          <w:p w14:paraId="1123BC5A" w14:textId="77777777" w:rsidR="00482133" w:rsidRPr="002D3C4E" w:rsidRDefault="00482133" w:rsidP="00482133">
            <w:pPr>
              <w:jc w:val="center"/>
              <w:rPr>
                <w:rFonts w:ascii="Arial" w:eastAsia="Times New Roman" w:hAnsi="Arial" w:cs="Arial"/>
                <w:noProof/>
                <w:sz w:val="20"/>
                <w:szCs w:val="20"/>
                <w:lang w:val="en-US" w:eastAsia="en-MY"/>
              </w:rPr>
            </w:pPr>
            <w:r w:rsidRPr="002D3C4E">
              <w:rPr>
                <w:rFonts w:ascii="Arial" w:eastAsia="Times New Roman" w:hAnsi="Arial" w:cs="Arial"/>
                <w:b/>
                <w:bCs/>
                <w:noProof/>
                <w:sz w:val="20"/>
                <w:szCs w:val="20"/>
                <w:lang w:val="en-US" w:eastAsia="en-MY"/>
              </w:rPr>
              <w:t xml:space="preserve">Proportions within biologic cohorts </w:t>
            </w:r>
            <w:r w:rsidRPr="002D3C4E">
              <w:rPr>
                <w:rFonts w:ascii="Arial" w:eastAsia="Times New Roman" w:hAnsi="Arial" w:cs="Arial"/>
                <w:b/>
                <w:bCs/>
                <w:noProof/>
                <w:sz w:val="20"/>
                <w:szCs w:val="20"/>
                <w:lang w:val="en-US" w:eastAsia="en-MY"/>
              </w:rPr>
              <w:br/>
              <w:t>(%, n/N)</w:t>
            </w:r>
          </w:p>
        </w:tc>
        <w:tc>
          <w:tcPr>
            <w:tcW w:w="1213" w:type="dxa"/>
            <w:vAlign w:val="center"/>
          </w:tcPr>
          <w:p w14:paraId="22FD76A1" w14:textId="77777777" w:rsidR="00482133" w:rsidRPr="00214987" w:rsidRDefault="00482133" w:rsidP="00482133">
            <w:pPr>
              <w:jc w:val="center"/>
              <w:rPr>
                <w:rFonts w:ascii="Arial" w:eastAsia="Times New Roman" w:hAnsi="Arial" w:cs="Arial"/>
                <w:noProof/>
                <w:sz w:val="16"/>
                <w:szCs w:val="16"/>
                <w:lang w:val="en-US" w:eastAsia="en-MY"/>
              </w:rPr>
            </w:pPr>
            <w:r>
              <w:rPr>
                <w:rFonts w:ascii="Arial" w:eastAsia="Times New Roman" w:hAnsi="Arial" w:cs="Arial"/>
                <w:noProof/>
                <w:sz w:val="16"/>
                <w:szCs w:val="16"/>
                <w:lang w:val="en-US" w:eastAsia="en-MY"/>
              </w:rPr>
              <w:t>Overall,</w:t>
            </w:r>
            <w:r>
              <w:rPr>
                <w:rFonts w:ascii="Arial" w:eastAsia="Times New Roman" w:hAnsi="Arial" w:cs="Arial"/>
                <w:noProof/>
                <w:sz w:val="16"/>
                <w:szCs w:val="16"/>
                <w:lang w:val="en-US" w:eastAsia="en-MY"/>
              </w:rPr>
              <w:br/>
              <w:t>N= 167 (A)</w:t>
            </w:r>
          </w:p>
        </w:tc>
        <w:tc>
          <w:tcPr>
            <w:tcW w:w="1826" w:type="dxa"/>
            <w:gridSpan w:val="2"/>
            <w:vAlign w:val="center"/>
          </w:tcPr>
          <w:p w14:paraId="70BCBF39"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17.4% (29/167)</w:t>
            </w:r>
          </w:p>
        </w:tc>
        <w:tc>
          <w:tcPr>
            <w:tcW w:w="1828" w:type="dxa"/>
            <w:vAlign w:val="center"/>
          </w:tcPr>
          <w:p w14:paraId="1400EB84"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34.7% (58/167)</w:t>
            </w:r>
          </w:p>
        </w:tc>
        <w:tc>
          <w:tcPr>
            <w:tcW w:w="1827" w:type="dxa"/>
            <w:vAlign w:val="center"/>
          </w:tcPr>
          <w:p w14:paraId="0257D989"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23.4% (39/167)</w:t>
            </w:r>
          </w:p>
        </w:tc>
        <w:tc>
          <w:tcPr>
            <w:tcW w:w="1828" w:type="dxa"/>
            <w:vAlign w:val="center"/>
          </w:tcPr>
          <w:p w14:paraId="7F41012E"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24.6% (41/167)</w:t>
            </w:r>
          </w:p>
        </w:tc>
      </w:tr>
      <w:tr w:rsidR="00482133" w:rsidRPr="00214987" w14:paraId="6A83097C" w14:textId="77777777" w:rsidTr="00482133">
        <w:trPr>
          <w:trHeight w:val="644"/>
        </w:trPr>
        <w:tc>
          <w:tcPr>
            <w:tcW w:w="2105" w:type="dxa"/>
            <w:vMerge/>
            <w:vAlign w:val="center"/>
          </w:tcPr>
          <w:p w14:paraId="0DA0C452" w14:textId="77777777" w:rsidR="00482133" w:rsidRPr="00214987" w:rsidRDefault="00482133" w:rsidP="00482133">
            <w:pPr>
              <w:jc w:val="center"/>
              <w:rPr>
                <w:rFonts w:ascii="Arial" w:hAnsi="Arial" w:cs="Arial"/>
                <w:noProof/>
                <w:lang w:val="en-US"/>
              </w:rPr>
            </w:pPr>
          </w:p>
        </w:tc>
        <w:tc>
          <w:tcPr>
            <w:tcW w:w="1213" w:type="dxa"/>
            <w:vAlign w:val="center"/>
          </w:tcPr>
          <w:p w14:paraId="6B984472" w14:textId="77777777" w:rsidR="00482133" w:rsidRPr="00054B74" w:rsidRDefault="00482133" w:rsidP="00482133">
            <w:pPr>
              <w:jc w:val="center"/>
              <w:rPr>
                <w:rFonts w:ascii="Arial" w:hAnsi="Arial" w:cs="Arial"/>
                <w:noProof/>
                <w:sz w:val="16"/>
                <w:szCs w:val="16"/>
                <w:lang w:val="en-US"/>
              </w:rPr>
            </w:pPr>
            <w:r w:rsidRPr="00054B74">
              <w:rPr>
                <w:rFonts w:ascii="Arial" w:eastAsia="Times New Roman" w:hAnsi="Arial" w:cs="Arial"/>
                <w:noProof/>
                <w:sz w:val="16"/>
                <w:szCs w:val="16"/>
                <w:lang w:val="en-US" w:eastAsia="en-MY"/>
              </w:rPr>
              <w:t>Omalizumab, N=105</w:t>
            </w:r>
          </w:p>
        </w:tc>
        <w:tc>
          <w:tcPr>
            <w:tcW w:w="1826" w:type="dxa"/>
            <w:gridSpan w:val="2"/>
            <w:vAlign w:val="center"/>
          </w:tcPr>
          <w:p w14:paraId="4B86AE44" w14:textId="77777777" w:rsidR="00482133" w:rsidRPr="00054B74" w:rsidRDefault="00482133" w:rsidP="00482133">
            <w:pPr>
              <w:jc w:val="center"/>
              <w:rPr>
                <w:rFonts w:ascii="Arial" w:hAnsi="Arial" w:cs="Arial"/>
                <w:noProof/>
                <w:sz w:val="16"/>
                <w:szCs w:val="16"/>
                <w:lang w:val="en-US"/>
              </w:rPr>
            </w:pPr>
            <w:r w:rsidRPr="00054B74">
              <w:rPr>
                <w:rFonts w:ascii="Arial" w:hAnsi="Arial" w:cs="Arial"/>
                <w:noProof/>
                <w:sz w:val="16"/>
                <w:szCs w:val="16"/>
                <w:lang w:val="en-US"/>
              </w:rPr>
              <w:t>15.2% (16/105)</w:t>
            </w:r>
          </w:p>
        </w:tc>
        <w:tc>
          <w:tcPr>
            <w:tcW w:w="1828" w:type="dxa"/>
            <w:vAlign w:val="center"/>
          </w:tcPr>
          <w:p w14:paraId="08D8536E" w14:textId="77777777" w:rsidR="00482133" w:rsidRPr="00054B74" w:rsidRDefault="00482133" w:rsidP="00482133">
            <w:pPr>
              <w:jc w:val="center"/>
              <w:rPr>
                <w:rFonts w:ascii="Arial" w:hAnsi="Arial" w:cs="Arial"/>
                <w:noProof/>
                <w:sz w:val="16"/>
                <w:szCs w:val="16"/>
                <w:lang w:val="en-US"/>
              </w:rPr>
            </w:pPr>
            <w:r w:rsidRPr="00054B74">
              <w:rPr>
                <w:rFonts w:ascii="Arial" w:hAnsi="Arial" w:cs="Arial"/>
                <w:noProof/>
                <w:sz w:val="16"/>
                <w:szCs w:val="16"/>
                <w:lang w:val="en-US"/>
              </w:rPr>
              <w:t>44.8% (47/105)</w:t>
            </w:r>
          </w:p>
        </w:tc>
        <w:tc>
          <w:tcPr>
            <w:tcW w:w="1827" w:type="dxa"/>
            <w:vAlign w:val="center"/>
          </w:tcPr>
          <w:p w14:paraId="6E054593" w14:textId="77777777" w:rsidR="00482133" w:rsidRPr="00054B74" w:rsidRDefault="00482133" w:rsidP="00482133">
            <w:pPr>
              <w:jc w:val="center"/>
              <w:rPr>
                <w:rFonts w:ascii="Arial" w:hAnsi="Arial" w:cs="Arial"/>
                <w:noProof/>
                <w:sz w:val="16"/>
                <w:szCs w:val="16"/>
                <w:lang w:val="en-US"/>
              </w:rPr>
            </w:pPr>
            <w:r w:rsidRPr="00054B74">
              <w:rPr>
                <w:rFonts w:ascii="Arial" w:hAnsi="Arial" w:cs="Arial"/>
                <w:noProof/>
                <w:sz w:val="16"/>
                <w:szCs w:val="16"/>
                <w:lang w:val="en-US"/>
              </w:rPr>
              <w:t>18.1% (19/105)</w:t>
            </w:r>
          </w:p>
        </w:tc>
        <w:tc>
          <w:tcPr>
            <w:tcW w:w="1828" w:type="dxa"/>
            <w:vAlign w:val="center"/>
          </w:tcPr>
          <w:p w14:paraId="5B4B1575" w14:textId="77777777" w:rsidR="00482133" w:rsidRPr="00054B74" w:rsidRDefault="00482133" w:rsidP="00482133">
            <w:pPr>
              <w:jc w:val="center"/>
              <w:rPr>
                <w:rFonts w:ascii="Arial" w:hAnsi="Arial" w:cs="Arial"/>
                <w:noProof/>
                <w:sz w:val="16"/>
                <w:szCs w:val="16"/>
                <w:lang w:val="en-US"/>
              </w:rPr>
            </w:pPr>
            <w:r w:rsidRPr="00054B74">
              <w:rPr>
                <w:rFonts w:ascii="Arial" w:hAnsi="Arial" w:cs="Arial"/>
                <w:noProof/>
                <w:sz w:val="16"/>
                <w:szCs w:val="16"/>
                <w:lang w:val="en-US"/>
              </w:rPr>
              <w:t>21.9% (23/105)</w:t>
            </w:r>
          </w:p>
        </w:tc>
      </w:tr>
      <w:tr w:rsidR="00482133" w:rsidRPr="00214987" w14:paraId="53BCFF65" w14:textId="77777777" w:rsidTr="00482133">
        <w:trPr>
          <w:trHeight w:val="644"/>
        </w:trPr>
        <w:tc>
          <w:tcPr>
            <w:tcW w:w="2105" w:type="dxa"/>
            <w:vMerge/>
            <w:vAlign w:val="center"/>
          </w:tcPr>
          <w:p w14:paraId="400FCE09" w14:textId="77777777" w:rsidR="00482133" w:rsidRPr="00214987" w:rsidRDefault="00482133" w:rsidP="00482133">
            <w:pPr>
              <w:jc w:val="center"/>
              <w:rPr>
                <w:rFonts w:ascii="Arial" w:hAnsi="Arial" w:cs="Arial"/>
                <w:noProof/>
                <w:lang w:val="en-US"/>
              </w:rPr>
            </w:pPr>
          </w:p>
        </w:tc>
        <w:tc>
          <w:tcPr>
            <w:tcW w:w="1213" w:type="dxa"/>
            <w:vAlign w:val="center"/>
          </w:tcPr>
          <w:p w14:paraId="39601001" w14:textId="77777777" w:rsidR="00482133" w:rsidRPr="00054B74" w:rsidRDefault="00482133" w:rsidP="00482133">
            <w:pPr>
              <w:jc w:val="center"/>
              <w:rPr>
                <w:rFonts w:ascii="Arial" w:hAnsi="Arial" w:cs="Arial"/>
                <w:noProof/>
                <w:sz w:val="16"/>
                <w:szCs w:val="16"/>
                <w:lang w:val="en-US"/>
              </w:rPr>
            </w:pPr>
            <w:r w:rsidRPr="00054B74">
              <w:rPr>
                <w:rFonts w:ascii="Arial" w:eastAsia="Times New Roman" w:hAnsi="Arial" w:cs="Arial"/>
                <w:noProof/>
                <w:sz w:val="16"/>
                <w:szCs w:val="16"/>
                <w:lang w:val="en-US" w:eastAsia="en-MY"/>
              </w:rPr>
              <w:t>Mepolizumab, N=62</w:t>
            </w:r>
          </w:p>
        </w:tc>
        <w:tc>
          <w:tcPr>
            <w:tcW w:w="1826" w:type="dxa"/>
            <w:gridSpan w:val="2"/>
            <w:vAlign w:val="center"/>
          </w:tcPr>
          <w:p w14:paraId="3552BCF2" w14:textId="77777777" w:rsidR="00482133" w:rsidRPr="00054B74" w:rsidRDefault="00482133" w:rsidP="00482133">
            <w:pPr>
              <w:jc w:val="center"/>
              <w:rPr>
                <w:rFonts w:ascii="Arial" w:hAnsi="Arial" w:cs="Arial"/>
                <w:noProof/>
                <w:sz w:val="16"/>
                <w:szCs w:val="16"/>
                <w:lang w:val="en-US"/>
              </w:rPr>
            </w:pPr>
            <w:r w:rsidRPr="00054B74">
              <w:rPr>
                <w:rFonts w:ascii="Arial" w:hAnsi="Arial" w:cs="Arial"/>
                <w:noProof/>
                <w:sz w:val="16"/>
                <w:szCs w:val="16"/>
                <w:lang w:val="en-US"/>
              </w:rPr>
              <w:t>21.0% (13/62)</w:t>
            </w:r>
          </w:p>
        </w:tc>
        <w:tc>
          <w:tcPr>
            <w:tcW w:w="1828" w:type="dxa"/>
            <w:vAlign w:val="center"/>
          </w:tcPr>
          <w:p w14:paraId="42276DCD" w14:textId="77777777" w:rsidR="00482133" w:rsidRPr="00054B74" w:rsidRDefault="00482133" w:rsidP="00482133">
            <w:pPr>
              <w:jc w:val="center"/>
              <w:rPr>
                <w:rFonts w:ascii="Arial" w:hAnsi="Arial" w:cs="Arial"/>
                <w:noProof/>
                <w:sz w:val="16"/>
                <w:szCs w:val="16"/>
                <w:lang w:val="en-US"/>
              </w:rPr>
            </w:pPr>
            <w:r w:rsidRPr="00054B74">
              <w:rPr>
                <w:rFonts w:ascii="Arial" w:hAnsi="Arial" w:cs="Arial"/>
                <w:noProof/>
                <w:sz w:val="16"/>
                <w:szCs w:val="16"/>
                <w:lang w:val="en-US"/>
              </w:rPr>
              <w:t>17.7% (11/62)</w:t>
            </w:r>
          </w:p>
        </w:tc>
        <w:tc>
          <w:tcPr>
            <w:tcW w:w="1827" w:type="dxa"/>
            <w:vAlign w:val="center"/>
          </w:tcPr>
          <w:p w14:paraId="7DAC1BCC" w14:textId="77777777" w:rsidR="00482133" w:rsidRPr="00054B74" w:rsidRDefault="00482133" w:rsidP="00482133">
            <w:pPr>
              <w:jc w:val="center"/>
              <w:rPr>
                <w:rFonts w:ascii="Arial" w:hAnsi="Arial" w:cs="Arial"/>
                <w:noProof/>
                <w:sz w:val="16"/>
                <w:szCs w:val="16"/>
                <w:lang w:val="en-US"/>
              </w:rPr>
            </w:pPr>
            <w:r w:rsidRPr="00054B74">
              <w:rPr>
                <w:rFonts w:ascii="Arial" w:hAnsi="Arial" w:cs="Arial"/>
                <w:noProof/>
                <w:sz w:val="16"/>
                <w:szCs w:val="16"/>
                <w:lang w:val="en-US"/>
              </w:rPr>
              <w:t>32.3% (20/62)</w:t>
            </w:r>
          </w:p>
        </w:tc>
        <w:tc>
          <w:tcPr>
            <w:tcW w:w="1828" w:type="dxa"/>
            <w:vAlign w:val="center"/>
          </w:tcPr>
          <w:p w14:paraId="4EB36881" w14:textId="77777777" w:rsidR="00482133" w:rsidRPr="00054B74" w:rsidRDefault="00482133" w:rsidP="00482133">
            <w:pPr>
              <w:jc w:val="center"/>
              <w:rPr>
                <w:rFonts w:ascii="Arial" w:hAnsi="Arial" w:cs="Arial"/>
                <w:noProof/>
                <w:sz w:val="16"/>
                <w:szCs w:val="16"/>
                <w:lang w:val="en-US"/>
              </w:rPr>
            </w:pPr>
            <w:r w:rsidRPr="00054B74">
              <w:rPr>
                <w:rFonts w:ascii="Arial" w:hAnsi="Arial" w:cs="Arial"/>
                <w:noProof/>
                <w:sz w:val="16"/>
                <w:szCs w:val="16"/>
                <w:lang w:val="en-US"/>
              </w:rPr>
              <w:t>29.0% (18/62)</w:t>
            </w:r>
          </w:p>
        </w:tc>
      </w:tr>
      <w:tr w:rsidR="00482133" w:rsidRPr="00214987" w14:paraId="39AC5141" w14:textId="77777777" w:rsidTr="00482133">
        <w:trPr>
          <w:trHeight w:val="644"/>
        </w:trPr>
        <w:tc>
          <w:tcPr>
            <w:tcW w:w="2105" w:type="dxa"/>
            <w:vMerge w:val="restart"/>
            <w:vAlign w:val="center"/>
          </w:tcPr>
          <w:p w14:paraId="149E9A10" w14:textId="77777777" w:rsidR="00482133" w:rsidRPr="00214987" w:rsidRDefault="00482133" w:rsidP="00482133">
            <w:pPr>
              <w:jc w:val="center"/>
              <w:rPr>
                <w:rFonts w:ascii="Arial" w:hAnsi="Arial" w:cs="Arial"/>
                <w:noProof/>
                <w:lang w:val="en-US"/>
              </w:rPr>
            </w:pPr>
            <w:r w:rsidRPr="002D3C4E">
              <w:rPr>
                <w:rFonts w:ascii="Arial" w:eastAsia="Times New Roman" w:hAnsi="Arial" w:cs="Arial"/>
                <w:b/>
                <w:bCs/>
                <w:noProof/>
                <w:sz w:val="18"/>
                <w:szCs w:val="18"/>
                <w:lang w:val="en-US" w:eastAsia="en-MY"/>
              </w:rPr>
              <w:t xml:space="preserve">Biologic response within each phenotype (%, n/N) </w:t>
            </w:r>
            <w:r w:rsidRPr="002D3C4E">
              <w:rPr>
                <w:rFonts w:ascii="Arial" w:eastAsia="Times New Roman" w:hAnsi="Arial" w:cs="Arial"/>
                <w:b/>
                <w:bCs/>
                <w:noProof/>
                <w:sz w:val="18"/>
                <w:szCs w:val="18"/>
                <w:vertAlign w:val="superscript"/>
                <w:lang w:val="en-US" w:eastAsia="en-MY"/>
              </w:rPr>
              <w:t>a</w:t>
            </w:r>
          </w:p>
        </w:tc>
        <w:tc>
          <w:tcPr>
            <w:tcW w:w="1213" w:type="dxa"/>
            <w:vAlign w:val="center"/>
          </w:tcPr>
          <w:p w14:paraId="23891F85"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Omalizumab responder (B)</w:t>
            </w:r>
          </w:p>
        </w:tc>
        <w:tc>
          <w:tcPr>
            <w:tcW w:w="1826" w:type="dxa"/>
            <w:gridSpan w:val="2"/>
            <w:vAlign w:val="center"/>
          </w:tcPr>
          <w:p w14:paraId="5E8B04A3"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100% (16/16)</w:t>
            </w:r>
          </w:p>
        </w:tc>
        <w:tc>
          <w:tcPr>
            <w:tcW w:w="1828" w:type="dxa"/>
            <w:vAlign w:val="center"/>
          </w:tcPr>
          <w:p w14:paraId="163DBA75" w14:textId="77777777" w:rsidR="00482133" w:rsidRPr="00214987" w:rsidRDefault="00482133" w:rsidP="00482133">
            <w:pPr>
              <w:jc w:val="center"/>
              <w:rPr>
                <w:rFonts w:ascii="Arial" w:hAnsi="Arial" w:cs="Arial"/>
                <w:noProof/>
                <w:lang w:val="en-US"/>
              </w:rPr>
            </w:pPr>
            <w:r w:rsidRPr="00214987">
              <w:rPr>
                <w:rFonts w:ascii="Arial" w:hAnsi="Arial" w:cs="Arial"/>
                <w:noProof/>
                <w:sz w:val="16"/>
                <w:szCs w:val="16"/>
                <w:lang w:val="en-US"/>
              </w:rPr>
              <w:t>80.9% (38/47)</w:t>
            </w:r>
          </w:p>
        </w:tc>
        <w:tc>
          <w:tcPr>
            <w:tcW w:w="1827" w:type="dxa"/>
            <w:vAlign w:val="center"/>
          </w:tcPr>
          <w:p w14:paraId="5926DACB" w14:textId="77777777" w:rsidR="00482133" w:rsidRPr="00214987" w:rsidRDefault="00482133" w:rsidP="00482133">
            <w:pPr>
              <w:jc w:val="center"/>
              <w:rPr>
                <w:rFonts w:ascii="Arial" w:hAnsi="Arial" w:cs="Arial"/>
                <w:noProof/>
                <w:lang w:val="en-US"/>
              </w:rPr>
            </w:pPr>
            <w:r w:rsidRPr="00214987">
              <w:rPr>
                <w:rFonts w:ascii="Arial" w:hAnsi="Arial" w:cs="Arial"/>
                <w:noProof/>
                <w:sz w:val="16"/>
                <w:szCs w:val="16"/>
                <w:lang w:val="en-US"/>
              </w:rPr>
              <w:t>94.4% (17/18)</w:t>
            </w:r>
          </w:p>
        </w:tc>
        <w:tc>
          <w:tcPr>
            <w:tcW w:w="1828" w:type="dxa"/>
            <w:vAlign w:val="center"/>
          </w:tcPr>
          <w:p w14:paraId="42A471BE" w14:textId="77777777" w:rsidR="00482133" w:rsidRPr="00214987" w:rsidRDefault="00482133" w:rsidP="00482133">
            <w:pPr>
              <w:jc w:val="center"/>
              <w:rPr>
                <w:rFonts w:ascii="Arial" w:hAnsi="Arial" w:cs="Arial"/>
                <w:noProof/>
                <w:lang w:val="en-US"/>
              </w:rPr>
            </w:pPr>
            <w:r w:rsidRPr="00214987">
              <w:rPr>
                <w:rFonts w:ascii="Arial" w:hAnsi="Arial" w:cs="Arial"/>
                <w:noProof/>
                <w:sz w:val="16"/>
                <w:szCs w:val="16"/>
                <w:lang w:val="en-US"/>
              </w:rPr>
              <w:t>91.3% (21/23)</w:t>
            </w:r>
          </w:p>
        </w:tc>
      </w:tr>
      <w:tr w:rsidR="00482133" w:rsidRPr="00214987" w14:paraId="6D3885AD" w14:textId="77777777" w:rsidTr="00482133">
        <w:trPr>
          <w:trHeight w:val="644"/>
        </w:trPr>
        <w:tc>
          <w:tcPr>
            <w:tcW w:w="2105" w:type="dxa"/>
            <w:vMerge/>
            <w:vAlign w:val="center"/>
          </w:tcPr>
          <w:p w14:paraId="22B5EC2D" w14:textId="77777777" w:rsidR="00482133" w:rsidRPr="00214987" w:rsidRDefault="00482133" w:rsidP="00482133">
            <w:pPr>
              <w:jc w:val="center"/>
              <w:rPr>
                <w:rFonts w:ascii="Arial" w:hAnsi="Arial" w:cs="Arial"/>
                <w:noProof/>
                <w:lang w:val="en-US"/>
              </w:rPr>
            </w:pPr>
          </w:p>
        </w:tc>
        <w:tc>
          <w:tcPr>
            <w:tcW w:w="1213" w:type="dxa"/>
            <w:vAlign w:val="center"/>
          </w:tcPr>
          <w:p w14:paraId="383251B7"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Mepolizumab responder (C)</w:t>
            </w:r>
          </w:p>
        </w:tc>
        <w:tc>
          <w:tcPr>
            <w:tcW w:w="1826" w:type="dxa"/>
            <w:gridSpan w:val="2"/>
            <w:vAlign w:val="center"/>
          </w:tcPr>
          <w:p w14:paraId="7D75AB60"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69.2% (9/13)</w:t>
            </w:r>
          </w:p>
        </w:tc>
        <w:tc>
          <w:tcPr>
            <w:tcW w:w="1828" w:type="dxa"/>
            <w:vAlign w:val="center"/>
          </w:tcPr>
          <w:p w14:paraId="263C702C"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70% (7/10)</w:t>
            </w:r>
          </w:p>
        </w:tc>
        <w:tc>
          <w:tcPr>
            <w:tcW w:w="1827" w:type="dxa"/>
            <w:vAlign w:val="center"/>
          </w:tcPr>
          <w:p w14:paraId="77A809D8"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80% (16/20)</w:t>
            </w:r>
          </w:p>
        </w:tc>
        <w:tc>
          <w:tcPr>
            <w:tcW w:w="1828" w:type="dxa"/>
            <w:vAlign w:val="center"/>
          </w:tcPr>
          <w:p w14:paraId="048E96B6"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73.3% (11/15)</w:t>
            </w:r>
          </w:p>
        </w:tc>
      </w:tr>
      <w:tr w:rsidR="00482133" w:rsidRPr="00214987" w14:paraId="3D371718" w14:textId="77777777" w:rsidTr="00482133">
        <w:trPr>
          <w:trHeight w:val="315"/>
        </w:trPr>
        <w:tc>
          <w:tcPr>
            <w:tcW w:w="3318" w:type="dxa"/>
            <w:gridSpan w:val="2"/>
            <w:vMerge w:val="restart"/>
            <w:vAlign w:val="center"/>
          </w:tcPr>
          <w:p w14:paraId="2C6D3B94" w14:textId="77777777" w:rsidR="00482133" w:rsidRPr="00214987" w:rsidRDefault="00482133" w:rsidP="00482133">
            <w:pPr>
              <w:jc w:val="center"/>
              <w:rPr>
                <w:rFonts w:ascii="Arial" w:hAnsi="Arial" w:cs="Arial"/>
                <w:noProof/>
                <w:lang w:val="en-US"/>
              </w:rPr>
            </w:pPr>
            <w:r w:rsidRPr="002D3C4E">
              <w:rPr>
                <w:rFonts w:ascii="Arial" w:eastAsia="Times New Roman" w:hAnsi="Arial" w:cs="Arial"/>
                <w:b/>
                <w:bCs/>
                <w:noProof/>
                <w:sz w:val="20"/>
                <w:szCs w:val="20"/>
                <w:lang w:val="en-US" w:eastAsia="en-MY"/>
              </w:rPr>
              <w:t>P-values</w:t>
            </w:r>
          </w:p>
        </w:tc>
        <w:tc>
          <w:tcPr>
            <w:tcW w:w="1687" w:type="dxa"/>
            <w:vAlign w:val="center"/>
          </w:tcPr>
          <w:p w14:paraId="75936ECF" w14:textId="77777777" w:rsidR="00482133" w:rsidRPr="00214987" w:rsidRDefault="00482133" w:rsidP="00482133">
            <w:pPr>
              <w:jc w:val="center"/>
              <w:rPr>
                <w:rFonts w:ascii="Arial" w:hAnsi="Arial" w:cs="Arial"/>
                <w:noProof/>
                <w:lang w:val="en-US"/>
              </w:rPr>
            </w:pPr>
            <w:r w:rsidRPr="00214987">
              <w:rPr>
                <w:rFonts w:ascii="Arial" w:hAnsi="Arial" w:cs="Arial"/>
                <w:noProof/>
                <w:lang w:val="en-US"/>
              </w:rPr>
              <w:t>A</w:t>
            </w:r>
          </w:p>
        </w:tc>
        <w:tc>
          <w:tcPr>
            <w:tcW w:w="5622" w:type="dxa"/>
            <w:gridSpan w:val="4"/>
            <w:vAlign w:val="center"/>
          </w:tcPr>
          <w:p w14:paraId="340EF76E"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b/>
                <w:bCs/>
                <w:noProof/>
                <w:sz w:val="16"/>
                <w:szCs w:val="16"/>
                <w:lang w:val="en-US" w:eastAsia="en-MY"/>
              </w:rPr>
              <w:t xml:space="preserve">0.004 </w:t>
            </w:r>
          </w:p>
        </w:tc>
      </w:tr>
      <w:tr w:rsidR="00482133" w:rsidRPr="00214987" w14:paraId="26F22C0F" w14:textId="77777777" w:rsidTr="00482133">
        <w:trPr>
          <w:trHeight w:val="225"/>
        </w:trPr>
        <w:tc>
          <w:tcPr>
            <w:tcW w:w="3318" w:type="dxa"/>
            <w:gridSpan w:val="2"/>
            <w:vMerge/>
            <w:vAlign w:val="center"/>
          </w:tcPr>
          <w:p w14:paraId="057DCF49" w14:textId="77777777" w:rsidR="00482133" w:rsidRPr="00214987" w:rsidRDefault="00482133" w:rsidP="00482133">
            <w:pPr>
              <w:jc w:val="center"/>
              <w:rPr>
                <w:rFonts w:ascii="Arial" w:hAnsi="Arial" w:cs="Arial"/>
                <w:noProof/>
                <w:lang w:val="en-US"/>
              </w:rPr>
            </w:pPr>
          </w:p>
        </w:tc>
        <w:tc>
          <w:tcPr>
            <w:tcW w:w="1687" w:type="dxa"/>
            <w:vAlign w:val="center"/>
          </w:tcPr>
          <w:p w14:paraId="4685D5A6" w14:textId="77777777" w:rsidR="00482133" w:rsidRPr="00214987" w:rsidRDefault="00482133" w:rsidP="00482133">
            <w:pPr>
              <w:jc w:val="center"/>
              <w:rPr>
                <w:rFonts w:ascii="Arial" w:hAnsi="Arial" w:cs="Arial"/>
                <w:noProof/>
                <w:lang w:val="en-US"/>
              </w:rPr>
            </w:pPr>
            <w:r w:rsidRPr="00214987">
              <w:rPr>
                <w:rFonts w:ascii="Arial" w:hAnsi="Arial" w:cs="Arial"/>
                <w:noProof/>
                <w:lang w:val="en-US"/>
              </w:rPr>
              <w:t>B</w:t>
            </w:r>
          </w:p>
        </w:tc>
        <w:tc>
          <w:tcPr>
            <w:tcW w:w="5622" w:type="dxa"/>
            <w:gridSpan w:val="4"/>
            <w:vAlign w:val="center"/>
          </w:tcPr>
          <w:p w14:paraId="176208A4"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0.135</w:t>
            </w:r>
          </w:p>
        </w:tc>
      </w:tr>
      <w:tr w:rsidR="00482133" w:rsidRPr="00214987" w14:paraId="0C99B45F" w14:textId="77777777" w:rsidTr="00482133">
        <w:trPr>
          <w:trHeight w:val="149"/>
        </w:trPr>
        <w:tc>
          <w:tcPr>
            <w:tcW w:w="3318" w:type="dxa"/>
            <w:gridSpan w:val="2"/>
            <w:vMerge/>
            <w:vAlign w:val="center"/>
          </w:tcPr>
          <w:p w14:paraId="339102EF" w14:textId="77777777" w:rsidR="00482133" w:rsidRPr="00214987" w:rsidRDefault="00482133" w:rsidP="00482133">
            <w:pPr>
              <w:jc w:val="center"/>
              <w:rPr>
                <w:rFonts w:ascii="Arial" w:hAnsi="Arial" w:cs="Arial"/>
                <w:noProof/>
                <w:lang w:val="en-US"/>
              </w:rPr>
            </w:pPr>
          </w:p>
        </w:tc>
        <w:tc>
          <w:tcPr>
            <w:tcW w:w="1687" w:type="dxa"/>
            <w:vAlign w:val="center"/>
          </w:tcPr>
          <w:p w14:paraId="5D2A493D" w14:textId="77777777" w:rsidR="00482133" w:rsidRPr="00214987" w:rsidRDefault="00482133" w:rsidP="00482133">
            <w:pPr>
              <w:jc w:val="center"/>
              <w:rPr>
                <w:rFonts w:ascii="Arial" w:hAnsi="Arial" w:cs="Arial"/>
                <w:noProof/>
                <w:lang w:val="en-US"/>
              </w:rPr>
            </w:pPr>
            <w:r w:rsidRPr="00214987">
              <w:rPr>
                <w:rFonts w:ascii="Arial" w:hAnsi="Arial" w:cs="Arial"/>
                <w:noProof/>
                <w:lang w:val="en-US"/>
              </w:rPr>
              <w:t>C</w:t>
            </w:r>
          </w:p>
        </w:tc>
        <w:tc>
          <w:tcPr>
            <w:tcW w:w="5622" w:type="dxa"/>
            <w:gridSpan w:val="4"/>
            <w:vAlign w:val="center"/>
          </w:tcPr>
          <w:p w14:paraId="3A488EC3" w14:textId="77777777" w:rsidR="00482133" w:rsidRPr="00214987" w:rsidRDefault="00482133" w:rsidP="00482133">
            <w:pPr>
              <w:jc w:val="center"/>
              <w:rPr>
                <w:rFonts w:ascii="Arial" w:hAnsi="Arial" w:cs="Arial"/>
                <w:noProof/>
                <w:lang w:val="en-US"/>
              </w:rPr>
            </w:pPr>
            <w:r w:rsidRPr="00214987">
              <w:rPr>
                <w:rFonts w:ascii="Arial" w:eastAsia="Times New Roman" w:hAnsi="Arial" w:cs="Arial"/>
                <w:noProof/>
                <w:sz w:val="16"/>
                <w:szCs w:val="16"/>
                <w:lang w:val="en-US" w:eastAsia="en-MY"/>
              </w:rPr>
              <w:t>0.893</w:t>
            </w:r>
          </w:p>
        </w:tc>
      </w:tr>
    </w:tbl>
    <w:p w14:paraId="272FAE9B" w14:textId="3B91EBCB" w:rsidR="00940B9F" w:rsidRPr="00214987" w:rsidRDefault="00940B9F" w:rsidP="00940B9F">
      <w:pPr>
        <w:rPr>
          <w:rFonts w:ascii="Arial" w:eastAsia="Times New Roman" w:hAnsi="Arial" w:cs="Arial"/>
          <w:noProof/>
          <w:sz w:val="16"/>
          <w:szCs w:val="16"/>
          <w:lang w:val="en-US" w:eastAsia="en-MY"/>
        </w:rPr>
      </w:pPr>
      <w:r w:rsidRPr="00214987">
        <w:rPr>
          <w:rFonts w:ascii="Arial" w:hAnsi="Arial" w:cs="Arial"/>
          <w:noProof/>
          <w:sz w:val="16"/>
          <w:szCs w:val="16"/>
          <w:shd w:val="clear" w:color="auto" w:fill="FFFFFF"/>
          <w:lang w:val="en-US"/>
        </w:rPr>
        <w:br/>
        <w:t xml:space="preserve">Early-onset: age of asthma onset&lt;18 years. Adult-onset: age of asthma onset ≥18 years. </w:t>
      </w:r>
      <w:r w:rsidRPr="00214987">
        <w:rPr>
          <w:rFonts w:ascii="Arial" w:hAnsi="Arial" w:cs="Arial"/>
          <w:noProof/>
          <w:sz w:val="16"/>
          <w:szCs w:val="16"/>
          <w:shd w:val="clear" w:color="auto" w:fill="FFFFFF"/>
          <w:vertAlign w:val="superscript"/>
          <w:lang w:val="en-US"/>
        </w:rPr>
        <w:t>a</w:t>
      </w:r>
      <w:r w:rsidRPr="00214987">
        <w:rPr>
          <w:rFonts w:ascii="Arial" w:hAnsi="Arial" w:cs="Arial"/>
          <w:noProof/>
          <w:sz w:val="16"/>
          <w:szCs w:val="16"/>
          <w:shd w:val="clear" w:color="auto" w:fill="FFFFFF"/>
          <w:lang w:val="en-US"/>
        </w:rPr>
        <w:t>: those who completed biologic trials, i.e.: did not withdraw due to any reason.</w:t>
      </w:r>
      <w:r w:rsidRPr="00214987">
        <w:rPr>
          <w:rFonts w:ascii="Arial" w:eastAsia="Times New Roman" w:hAnsi="Arial" w:cs="Arial"/>
          <w:noProof/>
          <w:sz w:val="16"/>
          <w:szCs w:val="16"/>
          <w:lang w:val="en-US" w:eastAsia="en-MY"/>
        </w:rPr>
        <w:t xml:space="preserve"> A= Chi-squared tests were performed to assess</w:t>
      </w:r>
      <w:r>
        <w:rPr>
          <w:rFonts w:ascii="Arial" w:eastAsia="Times New Roman" w:hAnsi="Arial" w:cs="Arial"/>
          <w:noProof/>
          <w:sz w:val="16"/>
          <w:szCs w:val="16"/>
          <w:lang w:val="en-US" w:eastAsia="en-MY"/>
        </w:rPr>
        <w:t xml:space="preserve"> the distribution of </w:t>
      </w:r>
      <w:r w:rsidRPr="00214987">
        <w:rPr>
          <w:rFonts w:ascii="Arial" w:eastAsia="Times New Roman" w:hAnsi="Arial" w:cs="Arial"/>
          <w:noProof/>
          <w:sz w:val="16"/>
          <w:szCs w:val="16"/>
          <w:lang w:val="en-US" w:eastAsia="en-MY"/>
        </w:rPr>
        <w:t>the four age-of-onset/sex clusters</w:t>
      </w:r>
      <w:r>
        <w:rPr>
          <w:rFonts w:ascii="Arial" w:eastAsia="Times New Roman" w:hAnsi="Arial" w:cs="Arial"/>
          <w:noProof/>
          <w:sz w:val="16"/>
          <w:szCs w:val="16"/>
          <w:lang w:val="en-US" w:eastAsia="en-MY"/>
        </w:rPr>
        <w:t xml:space="preserve"> across both biologics</w:t>
      </w:r>
      <w:r w:rsidRPr="00214987">
        <w:rPr>
          <w:rFonts w:ascii="Arial" w:eastAsia="Times New Roman" w:hAnsi="Arial" w:cs="Arial"/>
          <w:noProof/>
          <w:sz w:val="16"/>
          <w:szCs w:val="16"/>
          <w:lang w:val="en-US" w:eastAsia="en-MY"/>
        </w:rPr>
        <w:t xml:space="preserve">. B= Chi-squared tests were performed to assess biologic response to Omalizumab across the four age-of-onset/sex clusters. C= Chi-squared tests were performed to assess biologic response to Mepolizumab across the four age-of-onset/sex clusters.   </w:t>
      </w:r>
    </w:p>
    <w:p w14:paraId="33A5F1AE" w14:textId="1E2BD09A" w:rsidR="004A43F4" w:rsidRPr="00214987" w:rsidRDefault="004A43F4" w:rsidP="004A43F4">
      <w:pPr>
        <w:rPr>
          <w:rFonts w:ascii="Arial" w:eastAsia="Times New Roman" w:hAnsi="Arial" w:cs="Arial"/>
          <w:noProof/>
          <w:sz w:val="16"/>
          <w:szCs w:val="16"/>
          <w:lang w:val="en-US" w:eastAsia="en-MY"/>
        </w:rPr>
      </w:pPr>
    </w:p>
    <w:p w14:paraId="00357136" w14:textId="77777777" w:rsidR="004A43F4" w:rsidRPr="00214987" w:rsidRDefault="004A43F4" w:rsidP="004A43F4">
      <w:pPr>
        <w:rPr>
          <w:rFonts w:ascii="Arial" w:hAnsi="Arial" w:cs="Arial"/>
          <w:b/>
          <w:bCs/>
          <w:noProof/>
          <w:lang w:val="en-US"/>
        </w:rPr>
      </w:pPr>
    </w:p>
    <w:p w14:paraId="4BCE47ED" w14:textId="22EC6451" w:rsidR="00425686" w:rsidRPr="00214987" w:rsidRDefault="00425686">
      <w:pPr>
        <w:rPr>
          <w:rFonts w:ascii="Arial" w:hAnsi="Arial" w:cs="Arial"/>
          <w:b/>
          <w:bCs/>
          <w:noProof/>
          <w:lang w:val="en-US"/>
        </w:rPr>
      </w:pPr>
    </w:p>
    <w:p w14:paraId="10418D48" w14:textId="77777777" w:rsidR="00E33814" w:rsidRDefault="00E33814" w:rsidP="00DF7D99">
      <w:pPr>
        <w:rPr>
          <w:rFonts w:ascii="Arial" w:hAnsi="Arial" w:cs="Arial"/>
          <w:noProof/>
          <w:sz w:val="16"/>
          <w:szCs w:val="16"/>
          <w:lang w:val="en-US"/>
        </w:rPr>
      </w:pPr>
    </w:p>
    <w:p w14:paraId="2115A4E2" w14:textId="77777777" w:rsidR="00C446EA" w:rsidRPr="00214987" w:rsidRDefault="00C446EA" w:rsidP="00DF7D99">
      <w:pPr>
        <w:rPr>
          <w:rFonts w:ascii="Arial" w:hAnsi="Arial" w:cs="Arial"/>
          <w:noProof/>
          <w:sz w:val="16"/>
          <w:szCs w:val="16"/>
          <w:lang w:val="en-US"/>
        </w:rPr>
      </w:pPr>
    </w:p>
    <w:p w14:paraId="676C81CB" w14:textId="638BBD33" w:rsidR="007E5397" w:rsidRDefault="007E5397">
      <w:pPr>
        <w:rPr>
          <w:rFonts w:ascii="Arial" w:hAnsi="Arial" w:cs="Arial"/>
          <w:b/>
          <w:bCs/>
          <w:noProof/>
          <w:sz w:val="12"/>
          <w:szCs w:val="12"/>
          <w:u w:val="single"/>
          <w:shd w:val="clear" w:color="auto" w:fill="FFFFFF"/>
          <w:lang w:val="en-US"/>
        </w:rPr>
      </w:pPr>
    </w:p>
    <w:p w14:paraId="02E644F8" w14:textId="56F07FBC" w:rsidR="00606522" w:rsidRDefault="00606522">
      <w:pPr>
        <w:rPr>
          <w:rFonts w:ascii="Arial" w:hAnsi="Arial" w:cs="Arial"/>
          <w:b/>
          <w:bCs/>
          <w:noProof/>
          <w:sz w:val="12"/>
          <w:szCs w:val="12"/>
          <w:u w:val="single"/>
          <w:shd w:val="clear" w:color="auto" w:fill="FFFFFF"/>
          <w:lang w:val="en-US"/>
        </w:rPr>
      </w:pPr>
    </w:p>
    <w:p w14:paraId="63613E7E" w14:textId="24A74789" w:rsidR="00606522" w:rsidRDefault="00606522">
      <w:pPr>
        <w:rPr>
          <w:rFonts w:ascii="Arial" w:hAnsi="Arial" w:cs="Arial"/>
          <w:b/>
          <w:bCs/>
          <w:noProof/>
          <w:sz w:val="12"/>
          <w:szCs w:val="12"/>
          <w:u w:val="single"/>
          <w:shd w:val="clear" w:color="auto" w:fill="FFFFFF"/>
          <w:lang w:val="en-US"/>
        </w:rPr>
      </w:pPr>
    </w:p>
    <w:p w14:paraId="40700B7E" w14:textId="2575A782" w:rsidR="00606522" w:rsidRDefault="00606522">
      <w:pPr>
        <w:rPr>
          <w:rFonts w:ascii="Arial" w:hAnsi="Arial" w:cs="Arial"/>
          <w:b/>
          <w:bCs/>
          <w:noProof/>
          <w:sz w:val="12"/>
          <w:szCs w:val="12"/>
          <w:u w:val="single"/>
          <w:shd w:val="clear" w:color="auto" w:fill="FFFFFF"/>
          <w:lang w:val="en-US"/>
        </w:rPr>
      </w:pPr>
    </w:p>
    <w:p w14:paraId="2DA7EBB0" w14:textId="1E098107" w:rsidR="00606522" w:rsidRDefault="00606522">
      <w:pPr>
        <w:rPr>
          <w:rFonts w:ascii="Arial" w:hAnsi="Arial" w:cs="Arial"/>
          <w:b/>
          <w:bCs/>
          <w:noProof/>
          <w:sz w:val="12"/>
          <w:szCs w:val="12"/>
          <w:u w:val="single"/>
          <w:shd w:val="clear" w:color="auto" w:fill="FFFFFF"/>
          <w:lang w:val="en-US"/>
        </w:rPr>
      </w:pPr>
    </w:p>
    <w:p w14:paraId="6DA7A4F5" w14:textId="53704CC7" w:rsidR="00606522" w:rsidRDefault="00606522">
      <w:pPr>
        <w:rPr>
          <w:rFonts w:ascii="Arial" w:hAnsi="Arial" w:cs="Arial"/>
          <w:b/>
          <w:bCs/>
          <w:noProof/>
          <w:sz w:val="12"/>
          <w:szCs w:val="12"/>
          <w:u w:val="single"/>
          <w:shd w:val="clear" w:color="auto" w:fill="FFFFFF"/>
          <w:lang w:val="en-US"/>
        </w:rPr>
      </w:pPr>
    </w:p>
    <w:p w14:paraId="163E5F36" w14:textId="71D76A30" w:rsidR="00606522" w:rsidRDefault="00606522">
      <w:pPr>
        <w:rPr>
          <w:rFonts w:ascii="Arial" w:hAnsi="Arial" w:cs="Arial"/>
          <w:b/>
          <w:bCs/>
          <w:noProof/>
          <w:sz w:val="12"/>
          <w:szCs w:val="12"/>
          <w:u w:val="single"/>
          <w:shd w:val="clear" w:color="auto" w:fill="FFFFFF"/>
          <w:lang w:val="en-US"/>
        </w:rPr>
      </w:pPr>
    </w:p>
    <w:p w14:paraId="7011AFE4" w14:textId="7195B2CA" w:rsidR="00606522" w:rsidRDefault="00606522">
      <w:pPr>
        <w:rPr>
          <w:rFonts w:ascii="Arial" w:hAnsi="Arial" w:cs="Arial"/>
          <w:b/>
          <w:bCs/>
          <w:noProof/>
          <w:sz w:val="12"/>
          <w:szCs w:val="12"/>
          <w:u w:val="single"/>
          <w:shd w:val="clear" w:color="auto" w:fill="FFFFFF"/>
          <w:lang w:val="en-US"/>
        </w:rPr>
      </w:pPr>
    </w:p>
    <w:p w14:paraId="16F8DE0E" w14:textId="646B7D80" w:rsidR="00606522" w:rsidRDefault="00606522">
      <w:pPr>
        <w:rPr>
          <w:rFonts w:ascii="Arial" w:hAnsi="Arial" w:cs="Arial"/>
          <w:b/>
          <w:bCs/>
          <w:noProof/>
          <w:sz w:val="12"/>
          <w:szCs w:val="12"/>
          <w:u w:val="single"/>
          <w:shd w:val="clear" w:color="auto" w:fill="FFFFFF"/>
          <w:lang w:val="en-US"/>
        </w:rPr>
      </w:pPr>
    </w:p>
    <w:p w14:paraId="0ABA7D1B" w14:textId="2F5E33F9" w:rsidR="00606522" w:rsidRDefault="00606522">
      <w:pPr>
        <w:rPr>
          <w:rFonts w:ascii="Arial" w:hAnsi="Arial" w:cs="Arial"/>
          <w:b/>
          <w:bCs/>
          <w:noProof/>
          <w:sz w:val="12"/>
          <w:szCs w:val="12"/>
          <w:u w:val="single"/>
          <w:shd w:val="clear" w:color="auto" w:fill="FFFFFF"/>
          <w:lang w:val="en-US"/>
        </w:rPr>
      </w:pPr>
    </w:p>
    <w:p w14:paraId="4BFCB604" w14:textId="38DF9A22" w:rsidR="00606522" w:rsidRDefault="00606522">
      <w:pPr>
        <w:rPr>
          <w:rFonts w:ascii="Arial" w:hAnsi="Arial" w:cs="Arial"/>
          <w:b/>
          <w:bCs/>
          <w:noProof/>
          <w:sz w:val="12"/>
          <w:szCs w:val="12"/>
          <w:u w:val="single"/>
          <w:shd w:val="clear" w:color="auto" w:fill="FFFFFF"/>
          <w:lang w:val="en-US"/>
        </w:rPr>
      </w:pPr>
    </w:p>
    <w:p w14:paraId="7528ECA8" w14:textId="3E0BCEDC" w:rsidR="00606522" w:rsidRDefault="00606522">
      <w:pPr>
        <w:rPr>
          <w:rFonts w:ascii="Arial" w:hAnsi="Arial" w:cs="Arial"/>
          <w:b/>
          <w:bCs/>
          <w:noProof/>
          <w:sz w:val="12"/>
          <w:szCs w:val="12"/>
          <w:u w:val="single"/>
          <w:shd w:val="clear" w:color="auto" w:fill="FFFFFF"/>
          <w:lang w:val="en-US"/>
        </w:rPr>
      </w:pPr>
    </w:p>
    <w:p w14:paraId="660BA210" w14:textId="67553F57" w:rsidR="00606522" w:rsidRDefault="00606522">
      <w:pPr>
        <w:rPr>
          <w:rFonts w:ascii="Arial" w:hAnsi="Arial" w:cs="Arial"/>
          <w:b/>
          <w:bCs/>
          <w:noProof/>
          <w:sz w:val="12"/>
          <w:szCs w:val="12"/>
          <w:u w:val="single"/>
          <w:shd w:val="clear" w:color="auto" w:fill="FFFFFF"/>
          <w:lang w:val="en-US"/>
        </w:rPr>
      </w:pPr>
    </w:p>
    <w:p w14:paraId="4C6BCC4A" w14:textId="5E890AFF" w:rsidR="00606522" w:rsidRDefault="00606522">
      <w:pPr>
        <w:rPr>
          <w:rFonts w:ascii="Arial" w:hAnsi="Arial" w:cs="Arial"/>
          <w:b/>
          <w:bCs/>
          <w:noProof/>
          <w:sz w:val="12"/>
          <w:szCs w:val="12"/>
          <w:u w:val="single"/>
          <w:shd w:val="clear" w:color="auto" w:fill="FFFFFF"/>
          <w:lang w:val="en-US"/>
        </w:rPr>
      </w:pPr>
    </w:p>
    <w:p w14:paraId="4A77C9DA" w14:textId="70879BA4" w:rsidR="00606522" w:rsidRDefault="00606522">
      <w:pPr>
        <w:rPr>
          <w:rFonts w:ascii="Arial" w:hAnsi="Arial" w:cs="Arial"/>
          <w:b/>
          <w:bCs/>
          <w:noProof/>
          <w:sz w:val="12"/>
          <w:szCs w:val="12"/>
          <w:u w:val="single"/>
          <w:shd w:val="clear" w:color="auto" w:fill="FFFFFF"/>
          <w:lang w:val="en-US"/>
        </w:rPr>
      </w:pPr>
    </w:p>
    <w:p w14:paraId="1D6ACE8D" w14:textId="2582C753" w:rsidR="00606522" w:rsidRDefault="00606522">
      <w:pPr>
        <w:rPr>
          <w:rFonts w:ascii="Arial" w:hAnsi="Arial" w:cs="Arial"/>
          <w:b/>
          <w:bCs/>
          <w:noProof/>
          <w:sz w:val="12"/>
          <w:szCs w:val="12"/>
          <w:u w:val="single"/>
          <w:shd w:val="clear" w:color="auto" w:fill="FFFFFF"/>
          <w:lang w:val="en-US"/>
        </w:rPr>
      </w:pPr>
    </w:p>
    <w:p w14:paraId="2525754C" w14:textId="2911BCA7" w:rsidR="00606522" w:rsidRDefault="00606522">
      <w:pPr>
        <w:rPr>
          <w:rFonts w:ascii="Arial" w:hAnsi="Arial" w:cs="Arial"/>
          <w:b/>
          <w:bCs/>
          <w:noProof/>
          <w:sz w:val="12"/>
          <w:szCs w:val="12"/>
          <w:u w:val="single"/>
          <w:shd w:val="clear" w:color="auto" w:fill="FFFFFF"/>
          <w:lang w:val="en-US"/>
        </w:rPr>
      </w:pPr>
    </w:p>
    <w:p w14:paraId="287F168E" w14:textId="2E910ECB" w:rsidR="00606522" w:rsidRDefault="00606522">
      <w:pPr>
        <w:rPr>
          <w:rFonts w:ascii="Arial" w:hAnsi="Arial" w:cs="Arial"/>
          <w:b/>
          <w:bCs/>
          <w:noProof/>
          <w:sz w:val="12"/>
          <w:szCs w:val="12"/>
          <w:u w:val="single"/>
          <w:shd w:val="clear" w:color="auto" w:fill="FFFFFF"/>
          <w:lang w:val="en-US"/>
        </w:rPr>
      </w:pPr>
    </w:p>
    <w:p w14:paraId="4D37D36D" w14:textId="4257F67D" w:rsidR="00606522" w:rsidRDefault="00606522">
      <w:pPr>
        <w:rPr>
          <w:rFonts w:ascii="Arial" w:hAnsi="Arial" w:cs="Arial"/>
          <w:b/>
          <w:bCs/>
          <w:noProof/>
          <w:sz w:val="12"/>
          <w:szCs w:val="12"/>
          <w:u w:val="single"/>
          <w:shd w:val="clear" w:color="auto" w:fill="FFFFFF"/>
          <w:lang w:val="en-US"/>
        </w:rPr>
      </w:pPr>
    </w:p>
    <w:p w14:paraId="38728361" w14:textId="77777777" w:rsidR="00606522" w:rsidRPr="00260269" w:rsidRDefault="00606522" w:rsidP="00260269">
      <w:pPr>
        <w:pStyle w:val="Heading1"/>
        <w:rPr>
          <w:rFonts w:ascii="Arial" w:hAnsi="Arial" w:cs="Arial"/>
          <w:noProof/>
          <w:sz w:val="12"/>
          <w:szCs w:val="12"/>
          <w:shd w:val="clear" w:color="auto" w:fill="FFFFFF"/>
        </w:rPr>
      </w:pPr>
      <w:r w:rsidRPr="00260269">
        <w:rPr>
          <w:rFonts w:ascii="Arial" w:hAnsi="Arial" w:cs="Arial"/>
          <w:noProof/>
          <w:shd w:val="clear" w:color="auto" w:fill="FFFFFF"/>
        </w:rPr>
        <w:lastRenderedPageBreak/>
        <w:t>Figure legends</w:t>
      </w:r>
    </w:p>
    <w:p w14:paraId="1C26E985" w14:textId="77777777" w:rsidR="00606522" w:rsidRDefault="00606522" w:rsidP="00606522">
      <w:pPr>
        <w:rPr>
          <w:rFonts w:ascii="Arial" w:hAnsi="Arial" w:cs="Arial"/>
          <w:b/>
          <w:bCs/>
          <w:noProof/>
          <w:sz w:val="12"/>
          <w:szCs w:val="12"/>
          <w:u w:val="single"/>
          <w:shd w:val="clear" w:color="auto" w:fill="FFFFFF"/>
          <w:lang w:val="en-US"/>
        </w:rPr>
      </w:pPr>
    </w:p>
    <w:p w14:paraId="7D3240BD" w14:textId="015939B5" w:rsidR="00606522" w:rsidRPr="007D75FE" w:rsidRDefault="00606522" w:rsidP="00606522">
      <w:pPr>
        <w:rPr>
          <w:rFonts w:ascii="Arial" w:hAnsi="Arial" w:cs="Arial"/>
          <w:b/>
          <w:bCs/>
          <w:noProof/>
          <w:sz w:val="12"/>
          <w:szCs w:val="12"/>
          <w:u w:val="single"/>
          <w:shd w:val="clear" w:color="auto" w:fill="FFFFFF"/>
          <w:lang w:val="en-US"/>
        </w:rPr>
      </w:pPr>
      <w:r w:rsidRPr="007D75FE">
        <w:rPr>
          <w:rFonts w:ascii="Arial" w:hAnsi="Arial" w:cs="Arial"/>
          <w:noProof/>
          <w:sz w:val="16"/>
          <w:szCs w:val="16"/>
          <w:lang w:val="en-US"/>
        </w:rPr>
        <w:t xml:space="preserve">Figure 1: </w:t>
      </w:r>
      <w:r w:rsidRPr="007D75FE">
        <w:rPr>
          <w:rFonts w:ascii="Arial" w:hAnsi="Arial" w:cs="Arial"/>
          <w:sz w:val="16"/>
          <w:szCs w:val="16"/>
          <w:shd w:val="clear" w:color="auto" w:fill="FFFFFF"/>
        </w:rPr>
        <w:t xml:space="preserve">Consort diagram of participants </w:t>
      </w:r>
      <w:r w:rsidR="00A9730C">
        <w:rPr>
          <w:rFonts w:ascii="Arial" w:hAnsi="Arial" w:cs="Arial"/>
          <w:sz w:val="16"/>
          <w:szCs w:val="16"/>
          <w:shd w:val="clear" w:color="auto" w:fill="FFFFFF"/>
        </w:rPr>
        <w:t>in</w:t>
      </w:r>
      <w:r w:rsidRPr="007D75FE">
        <w:rPr>
          <w:rFonts w:ascii="Arial" w:hAnsi="Arial" w:cs="Arial"/>
          <w:sz w:val="16"/>
          <w:szCs w:val="16"/>
          <w:shd w:val="clear" w:color="auto" w:fill="FFFFFF"/>
        </w:rPr>
        <w:t xml:space="preserve"> the study and included in the various stages of analysis</w:t>
      </w:r>
      <w:r w:rsidR="00923F90">
        <w:rPr>
          <w:rFonts w:ascii="Arial" w:hAnsi="Arial" w:cs="Arial"/>
          <w:sz w:val="16"/>
          <w:szCs w:val="16"/>
          <w:shd w:val="clear" w:color="auto" w:fill="FFFFFF"/>
        </w:rPr>
        <w:t>.</w:t>
      </w:r>
      <w:r w:rsidR="00923F90">
        <w:rPr>
          <w:rFonts w:ascii="Arial" w:hAnsi="Arial" w:cs="Arial"/>
          <w:sz w:val="16"/>
          <w:szCs w:val="16"/>
          <w:shd w:val="clear" w:color="auto" w:fill="FFFFFF"/>
        </w:rPr>
        <w:br/>
      </w:r>
      <w:r w:rsidR="00F817D6">
        <w:rPr>
          <w:rFonts w:ascii="Arial" w:hAnsi="Arial" w:cs="Arial"/>
          <w:sz w:val="16"/>
          <w:szCs w:val="16"/>
          <w:shd w:val="clear" w:color="auto" w:fill="FFFFFF"/>
        </w:rPr>
        <w:br/>
      </w:r>
    </w:p>
    <w:p w14:paraId="0BEA812F" w14:textId="77777777" w:rsidR="00606522" w:rsidRPr="007D75FE" w:rsidRDefault="00606522" w:rsidP="00606522">
      <w:pPr>
        <w:rPr>
          <w:rFonts w:ascii="Arial" w:hAnsi="Arial" w:cs="Arial"/>
          <w:noProof/>
          <w:sz w:val="16"/>
          <w:szCs w:val="16"/>
          <w:lang w:val="en-US"/>
        </w:rPr>
      </w:pPr>
      <w:r w:rsidRPr="007D75FE">
        <w:rPr>
          <w:rFonts w:ascii="Arial" w:hAnsi="Arial" w:cs="Arial"/>
          <w:noProof/>
          <w:sz w:val="16"/>
          <w:szCs w:val="16"/>
          <w:lang w:val="en-US"/>
        </w:rPr>
        <w:t>Figure 2: Biologic outcomes for Omalizumab and Mepolizumab at the end-of-trial. ACQ6: Asthma Control Questionnaire 6. AHE: acute healthcare encounters, which include Emergency department/ hospital admissions. OCS: oral corticosteroids. mg: milligrams. FEV</w:t>
      </w:r>
      <w:r w:rsidRPr="007D75FE">
        <w:rPr>
          <w:rFonts w:ascii="Arial" w:hAnsi="Arial" w:cs="Arial"/>
          <w:noProof/>
          <w:sz w:val="16"/>
          <w:szCs w:val="16"/>
          <w:vertAlign w:val="subscript"/>
          <w:lang w:val="en-US"/>
        </w:rPr>
        <w:t>1</w:t>
      </w:r>
      <w:r w:rsidRPr="007D75FE">
        <w:rPr>
          <w:rFonts w:ascii="Arial" w:hAnsi="Arial" w:cs="Arial"/>
          <w:noProof/>
          <w:sz w:val="16"/>
          <w:szCs w:val="16"/>
          <w:lang w:val="en-US"/>
        </w:rPr>
        <w:t>: forced expiratory volume in one second. AQLQ: Asthma Quality of Life Questionnaire. HADS: Hospital anxiety and depression scale.</w:t>
      </w:r>
    </w:p>
    <w:p w14:paraId="3E6A988E" w14:textId="77777777" w:rsidR="00606522" w:rsidRPr="007D75FE" w:rsidRDefault="00606522" w:rsidP="00606522">
      <w:pPr>
        <w:rPr>
          <w:rFonts w:ascii="Arial" w:hAnsi="Arial" w:cs="Arial"/>
          <w:noProof/>
          <w:sz w:val="16"/>
          <w:szCs w:val="16"/>
          <w:lang w:val="en-US"/>
        </w:rPr>
      </w:pPr>
    </w:p>
    <w:p w14:paraId="1A6B4712" w14:textId="77777777" w:rsidR="00606522" w:rsidRPr="007D75FE" w:rsidRDefault="00606522" w:rsidP="00606522">
      <w:pPr>
        <w:rPr>
          <w:rFonts w:ascii="Arial" w:hAnsi="Arial" w:cs="Arial"/>
          <w:noProof/>
          <w:sz w:val="16"/>
          <w:szCs w:val="16"/>
          <w:lang w:val="en-US"/>
        </w:rPr>
      </w:pPr>
      <w:r w:rsidRPr="007D75FE">
        <w:rPr>
          <w:rFonts w:ascii="Arial" w:hAnsi="Arial" w:cs="Arial"/>
          <w:noProof/>
          <w:sz w:val="16"/>
          <w:szCs w:val="16"/>
          <w:lang w:val="en-US"/>
        </w:rPr>
        <w:t xml:space="preserve">Figure 3: Summary of baseline phenotypic features of Omalizumab and Mepolizumab treated patients and factors independently associated with response and super-response to these drugs. ABPA: allergic bronchopulmonary aspergillosis. AHE: acute healthcare encounters, which include Emergency department/ hospital admissions. ACQ6: Asthma Control Questionnaire 6. mOCS: maintenance oral corticosteroids. WATCH: Wessex AsThma CoHort of difficult asthma. </w:t>
      </w:r>
    </w:p>
    <w:p w14:paraId="20923BF5" w14:textId="77777777" w:rsidR="00606522" w:rsidRPr="007D75FE" w:rsidRDefault="00606522" w:rsidP="00606522">
      <w:pPr>
        <w:rPr>
          <w:rFonts w:ascii="Arial" w:hAnsi="Arial" w:cs="Arial"/>
          <w:noProof/>
          <w:sz w:val="16"/>
          <w:szCs w:val="16"/>
          <w:lang w:val="en-US"/>
        </w:rPr>
      </w:pPr>
    </w:p>
    <w:p w14:paraId="2512E53F" w14:textId="58C5E0CD" w:rsidR="00606522" w:rsidRPr="007D75FE" w:rsidRDefault="00606522" w:rsidP="00606522">
      <w:pPr>
        <w:rPr>
          <w:rFonts w:ascii="Arial" w:hAnsi="Arial" w:cs="Arial"/>
          <w:sz w:val="16"/>
          <w:szCs w:val="16"/>
        </w:rPr>
      </w:pPr>
      <w:r w:rsidRPr="007D75FE">
        <w:rPr>
          <w:rFonts w:ascii="Arial" w:hAnsi="Arial" w:cs="Arial"/>
          <w:sz w:val="16"/>
          <w:szCs w:val="16"/>
        </w:rPr>
        <w:t xml:space="preserve">Figure 4: Alternative assessments of biologic outcomes. </w:t>
      </w:r>
      <w:r w:rsidR="00790C7E">
        <w:rPr>
          <w:rFonts w:ascii="Arial" w:hAnsi="Arial" w:cs="Arial"/>
          <w:sz w:val="16"/>
          <w:szCs w:val="16"/>
        </w:rPr>
        <w:t>4</w:t>
      </w:r>
      <w:r w:rsidRPr="007D75FE">
        <w:rPr>
          <w:rFonts w:ascii="Arial" w:hAnsi="Arial" w:cs="Arial"/>
          <w:sz w:val="16"/>
          <w:szCs w:val="16"/>
        </w:rPr>
        <w:t xml:space="preserve">a: Side-by-side comparisons of different response measures. </w:t>
      </w:r>
      <w:r w:rsidR="00790C7E">
        <w:rPr>
          <w:rFonts w:ascii="Arial" w:hAnsi="Arial" w:cs="Arial"/>
          <w:sz w:val="16"/>
          <w:szCs w:val="16"/>
        </w:rPr>
        <w:t>4</w:t>
      </w:r>
      <w:r w:rsidRPr="007D75FE">
        <w:rPr>
          <w:rFonts w:ascii="Arial" w:hAnsi="Arial" w:cs="Arial"/>
          <w:sz w:val="16"/>
          <w:szCs w:val="16"/>
        </w:rPr>
        <w:t>b: Alternative Mepolizumab response measures.  ACQ: Asthma Control Questionnaire 6. AHE: acute healthcare encounters. OCS: exacerbations. AQLQ: Asthma Quality of Life Questionnaire. MDT: multi-disciplinary team decision. Blue outlier: a patient who had maintenance OCS reduction (10-7mg) and had no exacerbations nor AHE (baseline:0), and thereby had a positive trial.</w:t>
      </w:r>
    </w:p>
    <w:p w14:paraId="4397FA84" w14:textId="77777777" w:rsidR="00606522" w:rsidRPr="00214987" w:rsidRDefault="00606522">
      <w:pPr>
        <w:rPr>
          <w:rFonts w:ascii="Arial" w:hAnsi="Arial" w:cs="Arial"/>
          <w:b/>
          <w:bCs/>
          <w:noProof/>
          <w:sz w:val="12"/>
          <w:szCs w:val="12"/>
          <w:u w:val="single"/>
          <w:shd w:val="clear" w:color="auto" w:fill="FFFFFF"/>
          <w:lang w:val="en-US"/>
        </w:rPr>
      </w:pPr>
    </w:p>
    <w:sectPr w:rsidR="00606522" w:rsidRPr="00214987" w:rsidSect="008C6CE9">
      <w:head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0D94" w14:textId="77777777" w:rsidR="00C07559" w:rsidRDefault="00C07559" w:rsidP="00FB4211">
      <w:pPr>
        <w:spacing w:after="0" w:line="240" w:lineRule="auto"/>
      </w:pPr>
      <w:r>
        <w:separator/>
      </w:r>
    </w:p>
  </w:endnote>
  <w:endnote w:type="continuationSeparator" w:id="0">
    <w:p w14:paraId="41AFCEF9" w14:textId="77777777" w:rsidR="00C07559" w:rsidRDefault="00C07559" w:rsidP="00FB4211">
      <w:pPr>
        <w:spacing w:after="0" w:line="240" w:lineRule="auto"/>
      </w:pPr>
      <w:r>
        <w:continuationSeparator/>
      </w:r>
    </w:p>
  </w:endnote>
  <w:endnote w:type="continuationNotice" w:id="1">
    <w:p w14:paraId="7C8FCD97" w14:textId="77777777" w:rsidR="00C07559" w:rsidRDefault="00C07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0E3F" w14:textId="77777777" w:rsidR="00C07559" w:rsidRDefault="00C07559" w:rsidP="00FB4211">
      <w:pPr>
        <w:spacing w:after="0" w:line="240" w:lineRule="auto"/>
      </w:pPr>
      <w:r>
        <w:separator/>
      </w:r>
    </w:p>
  </w:footnote>
  <w:footnote w:type="continuationSeparator" w:id="0">
    <w:p w14:paraId="312511C3" w14:textId="77777777" w:rsidR="00C07559" w:rsidRDefault="00C07559" w:rsidP="00FB4211">
      <w:pPr>
        <w:spacing w:after="0" w:line="240" w:lineRule="auto"/>
      </w:pPr>
      <w:r>
        <w:continuationSeparator/>
      </w:r>
    </w:p>
  </w:footnote>
  <w:footnote w:type="continuationNotice" w:id="1">
    <w:p w14:paraId="576A2E6C" w14:textId="77777777" w:rsidR="00C07559" w:rsidRDefault="00C075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209255"/>
      <w:docPartObj>
        <w:docPartGallery w:val="Page Numbers (Top of Page)"/>
        <w:docPartUnique/>
      </w:docPartObj>
    </w:sdtPr>
    <w:sdtEndPr>
      <w:rPr>
        <w:noProof/>
      </w:rPr>
    </w:sdtEndPr>
    <w:sdtContent>
      <w:p w14:paraId="663D20EE" w14:textId="78BFEF2E" w:rsidR="006D41B1" w:rsidRDefault="006D41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53A842" w14:textId="77777777" w:rsidR="006D41B1" w:rsidRDefault="006D4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DDD"/>
    <w:multiLevelType w:val="hybridMultilevel"/>
    <w:tmpl w:val="C45C92C6"/>
    <w:lvl w:ilvl="0" w:tplc="9C9EDA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30656"/>
    <w:multiLevelType w:val="multilevel"/>
    <w:tmpl w:val="794CB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340AB"/>
    <w:multiLevelType w:val="hybridMultilevel"/>
    <w:tmpl w:val="24227BC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09B4DA7"/>
    <w:multiLevelType w:val="hybridMultilevel"/>
    <w:tmpl w:val="9050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56E4D"/>
    <w:multiLevelType w:val="hybridMultilevel"/>
    <w:tmpl w:val="59D01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9C6395"/>
    <w:multiLevelType w:val="hybridMultilevel"/>
    <w:tmpl w:val="96387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EF638E"/>
    <w:multiLevelType w:val="hybridMultilevel"/>
    <w:tmpl w:val="19F2CD0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488369C"/>
    <w:multiLevelType w:val="hybridMultilevel"/>
    <w:tmpl w:val="4476DB8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7F067F4"/>
    <w:multiLevelType w:val="hybridMultilevel"/>
    <w:tmpl w:val="8E061C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A3621B0"/>
    <w:multiLevelType w:val="hybridMultilevel"/>
    <w:tmpl w:val="D298A380"/>
    <w:lvl w:ilvl="0" w:tplc="1D2EE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53EF1"/>
    <w:multiLevelType w:val="hybridMultilevel"/>
    <w:tmpl w:val="CFDA746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31378AE"/>
    <w:multiLevelType w:val="hybridMultilevel"/>
    <w:tmpl w:val="EA84788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97D043E"/>
    <w:multiLevelType w:val="hybridMultilevel"/>
    <w:tmpl w:val="FA70607C"/>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FA66808"/>
    <w:multiLevelType w:val="hybridMultilevel"/>
    <w:tmpl w:val="8CFA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7"/>
  </w:num>
  <w:num w:numId="5">
    <w:abstractNumId w:val="2"/>
  </w:num>
  <w:num w:numId="6">
    <w:abstractNumId w:val="12"/>
  </w:num>
  <w:num w:numId="7">
    <w:abstractNumId w:val="11"/>
  </w:num>
  <w:num w:numId="8">
    <w:abstractNumId w:val="1"/>
  </w:num>
  <w:num w:numId="9">
    <w:abstractNumId w:val="6"/>
  </w:num>
  <w:num w:numId="10">
    <w:abstractNumId w:val="8"/>
  </w:num>
  <w:num w:numId="11">
    <w:abstractNumId w:val="5"/>
  </w:num>
  <w:num w:numId="12">
    <w:abstractNumId w:val="13"/>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activeWritingStyle w:appName="MSWord" w:lang="en-MY" w:vendorID="64" w:dllVersion="0" w:nlCheck="1" w:checkStyle="0"/>
  <w:activeWritingStyle w:appName="MSWord" w:lang="en-US" w:vendorID="64" w:dllVersion="0" w:nlCheck="1" w:checkStyle="0"/>
  <w:activeWritingStyle w:appName="MSWord" w:lang="en-GB" w:vendorID="64" w:dllVersion="6" w:nlCheck="1" w:checkStyle="1"/>
  <w:activeWritingStyle w:appName="MSWord" w:lang="en-MY" w:vendorID="64" w:dllVersion="6" w:nlCheck="1" w:checkStyle="1"/>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NzY3NjWxNDAyNTBW0lEKTi0uzszPAykwNKwFANU3ZNQtAAAA"/>
  </w:docVars>
  <w:rsids>
    <w:rsidRoot w:val="004159A6"/>
    <w:rsid w:val="0000029F"/>
    <w:rsid w:val="000006E1"/>
    <w:rsid w:val="00000E71"/>
    <w:rsid w:val="000013AC"/>
    <w:rsid w:val="0000160C"/>
    <w:rsid w:val="00001A90"/>
    <w:rsid w:val="00001B5C"/>
    <w:rsid w:val="00002873"/>
    <w:rsid w:val="00002AB4"/>
    <w:rsid w:val="00003D68"/>
    <w:rsid w:val="00004018"/>
    <w:rsid w:val="0000414D"/>
    <w:rsid w:val="000045F0"/>
    <w:rsid w:val="00004648"/>
    <w:rsid w:val="00004785"/>
    <w:rsid w:val="0000488A"/>
    <w:rsid w:val="00004EF4"/>
    <w:rsid w:val="000057AB"/>
    <w:rsid w:val="000078A5"/>
    <w:rsid w:val="000102E7"/>
    <w:rsid w:val="00010351"/>
    <w:rsid w:val="000108E7"/>
    <w:rsid w:val="0001179B"/>
    <w:rsid w:val="00011810"/>
    <w:rsid w:val="00011B27"/>
    <w:rsid w:val="00011D21"/>
    <w:rsid w:val="00011D46"/>
    <w:rsid w:val="00011F6A"/>
    <w:rsid w:val="000129BB"/>
    <w:rsid w:val="00012DB9"/>
    <w:rsid w:val="000133E3"/>
    <w:rsid w:val="00013BBB"/>
    <w:rsid w:val="00014C2B"/>
    <w:rsid w:val="00014CF8"/>
    <w:rsid w:val="000151FA"/>
    <w:rsid w:val="000154C9"/>
    <w:rsid w:val="00015E86"/>
    <w:rsid w:val="000160D0"/>
    <w:rsid w:val="0001673B"/>
    <w:rsid w:val="00016C6B"/>
    <w:rsid w:val="00016E6A"/>
    <w:rsid w:val="000170D8"/>
    <w:rsid w:val="00020C91"/>
    <w:rsid w:val="0002123C"/>
    <w:rsid w:val="0002149C"/>
    <w:rsid w:val="0002204F"/>
    <w:rsid w:val="000221A9"/>
    <w:rsid w:val="0002332D"/>
    <w:rsid w:val="0002508D"/>
    <w:rsid w:val="00025EF1"/>
    <w:rsid w:val="000262C3"/>
    <w:rsid w:val="00026C50"/>
    <w:rsid w:val="00027510"/>
    <w:rsid w:val="00027647"/>
    <w:rsid w:val="000278F8"/>
    <w:rsid w:val="00027B79"/>
    <w:rsid w:val="0003008A"/>
    <w:rsid w:val="00031C91"/>
    <w:rsid w:val="00032246"/>
    <w:rsid w:val="00032AF1"/>
    <w:rsid w:val="00033740"/>
    <w:rsid w:val="00033AAA"/>
    <w:rsid w:val="00033CBA"/>
    <w:rsid w:val="00034DE1"/>
    <w:rsid w:val="0003506F"/>
    <w:rsid w:val="000358B3"/>
    <w:rsid w:val="00035CEA"/>
    <w:rsid w:val="000363D5"/>
    <w:rsid w:val="00040042"/>
    <w:rsid w:val="0004009A"/>
    <w:rsid w:val="00040922"/>
    <w:rsid w:val="00040925"/>
    <w:rsid w:val="00040970"/>
    <w:rsid w:val="000426CB"/>
    <w:rsid w:val="000435ED"/>
    <w:rsid w:val="0004397E"/>
    <w:rsid w:val="00043DEF"/>
    <w:rsid w:val="000442BE"/>
    <w:rsid w:val="00044476"/>
    <w:rsid w:val="00044E5C"/>
    <w:rsid w:val="00045131"/>
    <w:rsid w:val="00046713"/>
    <w:rsid w:val="0004705B"/>
    <w:rsid w:val="00050C08"/>
    <w:rsid w:val="000515B5"/>
    <w:rsid w:val="00051C9B"/>
    <w:rsid w:val="000528DC"/>
    <w:rsid w:val="00052E7D"/>
    <w:rsid w:val="00052F93"/>
    <w:rsid w:val="00054B74"/>
    <w:rsid w:val="00054C8D"/>
    <w:rsid w:val="000552D9"/>
    <w:rsid w:val="00055973"/>
    <w:rsid w:val="00056055"/>
    <w:rsid w:val="00056355"/>
    <w:rsid w:val="000563F3"/>
    <w:rsid w:val="00056489"/>
    <w:rsid w:val="00056D7B"/>
    <w:rsid w:val="000572A9"/>
    <w:rsid w:val="000572ED"/>
    <w:rsid w:val="00057C0C"/>
    <w:rsid w:val="00060980"/>
    <w:rsid w:val="00060F71"/>
    <w:rsid w:val="000619B8"/>
    <w:rsid w:val="0006253E"/>
    <w:rsid w:val="00062BB1"/>
    <w:rsid w:val="00062C11"/>
    <w:rsid w:val="00063538"/>
    <w:rsid w:val="00063C03"/>
    <w:rsid w:val="00064F59"/>
    <w:rsid w:val="00066291"/>
    <w:rsid w:val="000662F5"/>
    <w:rsid w:val="00066D0E"/>
    <w:rsid w:val="00066EAE"/>
    <w:rsid w:val="000673AA"/>
    <w:rsid w:val="000677AC"/>
    <w:rsid w:val="000706AD"/>
    <w:rsid w:val="000711CE"/>
    <w:rsid w:val="00071BB4"/>
    <w:rsid w:val="00071FE3"/>
    <w:rsid w:val="00072347"/>
    <w:rsid w:val="0007422D"/>
    <w:rsid w:val="0007562A"/>
    <w:rsid w:val="00075670"/>
    <w:rsid w:val="0007570C"/>
    <w:rsid w:val="00075D68"/>
    <w:rsid w:val="00076091"/>
    <w:rsid w:val="000762AC"/>
    <w:rsid w:val="0007667B"/>
    <w:rsid w:val="00076701"/>
    <w:rsid w:val="00076E70"/>
    <w:rsid w:val="00077CDA"/>
    <w:rsid w:val="00077EAF"/>
    <w:rsid w:val="0008055D"/>
    <w:rsid w:val="00081469"/>
    <w:rsid w:val="00081E28"/>
    <w:rsid w:val="000832D6"/>
    <w:rsid w:val="00084CC8"/>
    <w:rsid w:val="00084F90"/>
    <w:rsid w:val="00085094"/>
    <w:rsid w:val="0008555A"/>
    <w:rsid w:val="00085CE8"/>
    <w:rsid w:val="00086894"/>
    <w:rsid w:val="00087A5A"/>
    <w:rsid w:val="000901A8"/>
    <w:rsid w:val="00091B9C"/>
    <w:rsid w:val="00091D50"/>
    <w:rsid w:val="000930E1"/>
    <w:rsid w:val="00094E13"/>
    <w:rsid w:val="00095384"/>
    <w:rsid w:val="000959CA"/>
    <w:rsid w:val="00096C65"/>
    <w:rsid w:val="00096DB2"/>
    <w:rsid w:val="00096E12"/>
    <w:rsid w:val="000971F1"/>
    <w:rsid w:val="00097AC4"/>
    <w:rsid w:val="000A0269"/>
    <w:rsid w:val="000A10C7"/>
    <w:rsid w:val="000A137B"/>
    <w:rsid w:val="000A1A6F"/>
    <w:rsid w:val="000A1C6F"/>
    <w:rsid w:val="000A20CD"/>
    <w:rsid w:val="000A2879"/>
    <w:rsid w:val="000A2F89"/>
    <w:rsid w:val="000A34C3"/>
    <w:rsid w:val="000A3E37"/>
    <w:rsid w:val="000A4A46"/>
    <w:rsid w:val="000A4B09"/>
    <w:rsid w:val="000A4D89"/>
    <w:rsid w:val="000A4E77"/>
    <w:rsid w:val="000A53F3"/>
    <w:rsid w:val="000A6095"/>
    <w:rsid w:val="000A6E4F"/>
    <w:rsid w:val="000A77A9"/>
    <w:rsid w:val="000A7DF1"/>
    <w:rsid w:val="000B02E5"/>
    <w:rsid w:val="000B0AC0"/>
    <w:rsid w:val="000B0FBE"/>
    <w:rsid w:val="000B154A"/>
    <w:rsid w:val="000B15BF"/>
    <w:rsid w:val="000B18CF"/>
    <w:rsid w:val="000B1AC4"/>
    <w:rsid w:val="000B3481"/>
    <w:rsid w:val="000B35C1"/>
    <w:rsid w:val="000B39B9"/>
    <w:rsid w:val="000B3D74"/>
    <w:rsid w:val="000B3FCC"/>
    <w:rsid w:val="000B46B7"/>
    <w:rsid w:val="000B513C"/>
    <w:rsid w:val="000B635E"/>
    <w:rsid w:val="000B6E6C"/>
    <w:rsid w:val="000B73C6"/>
    <w:rsid w:val="000B77BB"/>
    <w:rsid w:val="000B7A88"/>
    <w:rsid w:val="000C0D0D"/>
    <w:rsid w:val="000C0F4F"/>
    <w:rsid w:val="000C1F55"/>
    <w:rsid w:val="000C416F"/>
    <w:rsid w:val="000C4434"/>
    <w:rsid w:val="000C4477"/>
    <w:rsid w:val="000C5696"/>
    <w:rsid w:val="000C56CB"/>
    <w:rsid w:val="000C5D23"/>
    <w:rsid w:val="000C6A07"/>
    <w:rsid w:val="000C7239"/>
    <w:rsid w:val="000C76DB"/>
    <w:rsid w:val="000C77A7"/>
    <w:rsid w:val="000D0535"/>
    <w:rsid w:val="000D131B"/>
    <w:rsid w:val="000D157C"/>
    <w:rsid w:val="000D19F8"/>
    <w:rsid w:val="000D1B1B"/>
    <w:rsid w:val="000D2092"/>
    <w:rsid w:val="000D2DA0"/>
    <w:rsid w:val="000D3470"/>
    <w:rsid w:val="000D34A2"/>
    <w:rsid w:val="000D3535"/>
    <w:rsid w:val="000D3882"/>
    <w:rsid w:val="000D3A73"/>
    <w:rsid w:val="000D4695"/>
    <w:rsid w:val="000D48BF"/>
    <w:rsid w:val="000D57E1"/>
    <w:rsid w:val="000D5868"/>
    <w:rsid w:val="000D5F59"/>
    <w:rsid w:val="000D6747"/>
    <w:rsid w:val="000D6F2E"/>
    <w:rsid w:val="000D7315"/>
    <w:rsid w:val="000D7AB5"/>
    <w:rsid w:val="000E1030"/>
    <w:rsid w:val="000E1034"/>
    <w:rsid w:val="000E10E6"/>
    <w:rsid w:val="000E1765"/>
    <w:rsid w:val="000E2706"/>
    <w:rsid w:val="000E3A67"/>
    <w:rsid w:val="000E4BD5"/>
    <w:rsid w:val="000E4D15"/>
    <w:rsid w:val="000E4D23"/>
    <w:rsid w:val="000E5424"/>
    <w:rsid w:val="000E59F7"/>
    <w:rsid w:val="000E67EA"/>
    <w:rsid w:val="000E6C1B"/>
    <w:rsid w:val="000E7291"/>
    <w:rsid w:val="000E7E56"/>
    <w:rsid w:val="000F0541"/>
    <w:rsid w:val="000F1AE2"/>
    <w:rsid w:val="000F1B4C"/>
    <w:rsid w:val="000F1CD5"/>
    <w:rsid w:val="000F1DA3"/>
    <w:rsid w:val="000F23DB"/>
    <w:rsid w:val="000F2964"/>
    <w:rsid w:val="000F4747"/>
    <w:rsid w:val="000F4967"/>
    <w:rsid w:val="000F4B7B"/>
    <w:rsid w:val="000F68A7"/>
    <w:rsid w:val="000F6EE3"/>
    <w:rsid w:val="000F7AAE"/>
    <w:rsid w:val="00100592"/>
    <w:rsid w:val="001016B7"/>
    <w:rsid w:val="00101CF2"/>
    <w:rsid w:val="00102398"/>
    <w:rsid w:val="00102744"/>
    <w:rsid w:val="00102C4C"/>
    <w:rsid w:val="00102CD3"/>
    <w:rsid w:val="00103071"/>
    <w:rsid w:val="0010404D"/>
    <w:rsid w:val="0010614A"/>
    <w:rsid w:val="0010622F"/>
    <w:rsid w:val="001071CE"/>
    <w:rsid w:val="00107396"/>
    <w:rsid w:val="00107A06"/>
    <w:rsid w:val="00107DEF"/>
    <w:rsid w:val="00107E34"/>
    <w:rsid w:val="00107F02"/>
    <w:rsid w:val="001102E4"/>
    <w:rsid w:val="00110798"/>
    <w:rsid w:val="0011082F"/>
    <w:rsid w:val="00110998"/>
    <w:rsid w:val="00111442"/>
    <w:rsid w:val="001114AB"/>
    <w:rsid w:val="00112E7C"/>
    <w:rsid w:val="00113B21"/>
    <w:rsid w:val="00113C4F"/>
    <w:rsid w:val="0011445C"/>
    <w:rsid w:val="00114707"/>
    <w:rsid w:val="00114EF2"/>
    <w:rsid w:val="0011579B"/>
    <w:rsid w:val="00115851"/>
    <w:rsid w:val="001166BD"/>
    <w:rsid w:val="00117FA9"/>
    <w:rsid w:val="00120220"/>
    <w:rsid w:val="0012059C"/>
    <w:rsid w:val="00120708"/>
    <w:rsid w:val="00121745"/>
    <w:rsid w:val="00121A19"/>
    <w:rsid w:val="00122635"/>
    <w:rsid w:val="001228AA"/>
    <w:rsid w:val="00122915"/>
    <w:rsid w:val="001230D6"/>
    <w:rsid w:val="00123F81"/>
    <w:rsid w:val="001248E9"/>
    <w:rsid w:val="00125DD8"/>
    <w:rsid w:val="001261B2"/>
    <w:rsid w:val="00126731"/>
    <w:rsid w:val="00126896"/>
    <w:rsid w:val="001268AF"/>
    <w:rsid w:val="00126D7D"/>
    <w:rsid w:val="0012712E"/>
    <w:rsid w:val="00127E71"/>
    <w:rsid w:val="00130269"/>
    <w:rsid w:val="00131420"/>
    <w:rsid w:val="0013185C"/>
    <w:rsid w:val="00131F42"/>
    <w:rsid w:val="00132163"/>
    <w:rsid w:val="0013252E"/>
    <w:rsid w:val="00132B7A"/>
    <w:rsid w:val="00132BCE"/>
    <w:rsid w:val="00132E05"/>
    <w:rsid w:val="0013313C"/>
    <w:rsid w:val="001331A2"/>
    <w:rsid w:val="001333AC"/>
    <w:rsid w:val="00133AAD"/>
    <w:rsid w:val="001349F4"/>
    <w:rsid w:val="001351B3"/>
    <w:rsid w:val="001352D7"/>
    <w:rsid w:val="00135450"/>
    <w:rsid w:val="00135984"/>
    <w:rsid w:val="00135BB5"/>
    <w:rsid w:val="00135DBF"/>
    <w:rsid w:val="00136634"/>
    <w:rsid w:val="001368F2"/>
    <w:rsid w:val="001378FC"/>
    <w:rsid w:val="0014169F"/>
    <w:rsid w:val="00141C78"/>
    <w:rsid w:val="00141CD1"/>
    <w:rsid w:val="00142647"/>
    <w:rsid w:val="00142862"/>
    <w:rsid w:val="0014294E"/>
    <w:rsid w:val="0014294F"/>
    <w:rsid w:val="00142BE8"/>
    <w:rsid w:val="00143D08"/>
    <w:rsid w:val="00144F8A"/>
    <w:rsid w:val="00146878"/>
    <w:rsid w:val="0014728F"/>
    <w:rsid w:val="0014755A"/>
    <w:rsid w:val="00147600"/>
    <w:rsid w:val="00147C59"/>
    <w:rsid w:val="00151173"/>
    <w:rsid w:val="001514AF"/>
    <w:rsid w:val="00151BA9"/>
    <w:rsid w:val="00152658"/>
    <w:rsid w:val="00152796"/>
    <w:rsid w:val="00152AF7"/>
    <w:rsid w:val="0015374D"/>
    <w:rsid w:val="00153A14"/>
    <w:rsid w:val="0015405F"/>
    <w:rsid w:val="001544F9"/>
    <w:rsid w:val="001545DB"/>
    <w:rsid w:val="0015477B"/>
    <w:rsid w:val="00154B9C"/>
    <w:rsid w:val="00154E27"/>
    <w:rsid w:val="00156085"/>
    <w:rsid w:val="00156E71"/>
    <w:rsid w:val="00156F48"/>
    <w:rsid w:val="00157CDC"/>
    <w:rsid w:val="00160695"/>
    <w:rsid w:val="00160CAB"/>
    <w:rsid w:val="00160FF5"/>
    <w:rsid w:val="00161422"/>
    <w:rsid w:val="00162363"/>
    <w:rsid w:val="00162800"/>
    <w:rsid w:val="001632AF"/>
    <w:rsid w:val="001637E6"/>
    <w:rsid w:val="00163A69"/>
    <w:rsid w:val="00163DF7"/>
    <w:rsid w:val="00164D52"/>
    <w:rsid w:val="00164FAE"/>
    <w:rsid w:val="001654FA"/>
    <w:rsid w:val="00165738"/>
    <w:rsid w:val="00166094"/>
    <w:rsid w:val="00170378"/>
    <w:rsid w:val="001711F9"/>
    <w:rsid w:val="00171AC7"/>
    <w:rsid w:val="00172D5F"/>
    <w:rsid w:val="001741C9"/>
    <w:rsid w:val="00174318"/>
    <w:rsid w:val="001743F7"/>
    <w:rsid w:val="0017455A"/>
    <w:rsid w:val="0017479F"/>
    <w:rsid w:val="00174963"/>
    <w:rsid w:val="001749AD"/>
    <w:rsid w:val="00174D63"/>
    <w:rsid w:val="00174E87"/>
    <w:rsid w:val="00175522"/>
    <w:rsid w:val="00176430"/>
    <w:rsid w:val="00176579"/>
    <w:rsid w:val="00176710"/>
    <w:rsid w:val="00177E56"/>
    <w:rsid w:val="00177F4B"/>
    <w:rsid w:val="001805AA"/>
    <w:rsid w:val="001807E4"/>
    <w:rsid w:val="00180F1E"/>
    <w:rsid w:val="00182406"/>
    <w:rsid w:val="00182843"/>
    <w:rsid w:val="00182B7E"/>
    <w:rsid w:val="00182DD0"/>
    <w:rsid w:val="00186209"/>
    <w:rsid w:val="0018649A"/>
    <w:rsid w:val="00186DC4"/>
    <w:rsid w:val="001871DF"/>
    <w:rsid w:val="0018729E"/>
    <w:rsid w:val="001872A3"/>
    <w:rsid w:val="00190B3A"/>
    <w:rsid w:val="00190BBC"/>
    <w:rsid w:val="001917CA"/>
    <w:rsid w:val="00191D04"/>
    <w:rsid w:val="00192308"/>
    <w:rsid w:val="001936C9"/>
    <w:rsid w:val="00193E12"/>
    <w:rsid w:val="00194EFD"/>
    <w:rsid w:val="001957D0"/>
    <w:rsid w:val="001964FC"/>
    <w:rsid w:val="0019704E"/>
    <w:rsid w:val="0019758C"/>
    <w:rsid w:val="001A053E"/>
    <w:rsid w:val="001A0A99"/>
    <w:rsid w:val="001A0EC6"/>
    <w:rsid w:val="001A12CD"/>
    <w:rsid w:val="001A1DF5"/>
    <w:rsid w:val="001A26A1"/>
    <w:rsid w:val="001A2747"/>
    <w:rsid w:val="001A2EAC"/>
    <w:rsid w:val="001A3984"/>
    <w:rsid w:val="001A41E2"/>
    <w:rsid w:val="001A4363"/>
    <w:rsid w:val="001A4976"/>
    <w:rsid w:val="001A4AA4"/>
    <w:rsid w:val="001A4B43"/>
    <w:rsid w:val="001A4D77"/>
    <w:rsid w:val="001A4FFE"/>
    <w:rsid w:val="001A5BA0"/>
    <w:rsid w:val="001A5F04"/>
    <w:rsid w:val="001A635C"/>
    <w:rsid w:val="001A64ED"/>
    <w:rsid w:val="001A6BEE"/>
    <w:rsid w:val="001A75F1"/>
    <w:rsid w:val="001B1598"/>
    <w:rsid w:val="001B1A47"/>
    <w:rsid w:val="001B2BDD"/>
    <w:rsid w:val="001B2D41"/>
    <w:rsid w:val="001B3EDC"/>
    <w:rsid w:val="001B3F45"/>
    <w:rsid w:val="001B51B1"/>
    <w:rsid w:val="001B55B3"/>
    <w:rsid w:val="001B56C7"/>
    <w:rsid w:val="001B6AC3"/>
    <w:rsid w:val="001B709E"/>
    <w:rsid w:val="001C0084"/>
    <w:rsid w:val="001C019C"/>
    <w:rsid w:val="001C140D"/>
    <w:rsid w:val="001C1734"/>
    <w:rsid w:val="001C2B69"/>
    <w:rsid w:val="001C3405"/>
    <w:rsid w:val="001C377F"/>
    <w:rsid w:val="001C3830"/>
    <w:rsid w:val="001C39BC"/>
    <w:rsid w:val="001C3A75"/>
    <w:rsid w:val="001C467F"/>
    <w:rsid w:val="001C4941"/>
    <w:rsid w:val="001C5BFA"/>
    <w:rsid w:val="001C5DAA"/>
    <w:rsid w:val="001C6029"/>
    <w:rsid w:val="001C63C5"/>
    <w:rsid w:val="001C66DD"/>
    <w:rsid w:val="001C68A9"/>
    <w:rsid w:val="001D052F"/>
    <w:rsid w:val="001D0ED8"/>
    <w:rsid w:val="001D1663"/>
    <w:rsid w:val="001D199E"/>
    <w:rsid w:val="001D2B67"/>
    <w:rsid w:val="001D301A"/>
    <w:rsid w:val="001D3989"/>
    <w:rsid w:val="001D3CF8"/>
    <w:rsid w:val="001D50DD"/>
    <w:rsid w:val="001D6D7D"/>
    <w:rsid w:val="001D737C"/>
    <w:rsid w:val="001D7390"/>
    <w:rsid w:val="001D76C9"/>
    <w:rsid w:val="001D78E1"/>
    <w:rsid w:val="001D7909"/>
    <w:rsid w:val="001D7DEF"/>
    <w:rsid w:val="001E0020"/>
    <w:rsid w:val="001E04E4"/>
    <w:rsid w:val="001E1953"/>
    <w:rsid w:val="001E2F52"/>
    <w:rsid w:val="001E38FE"/>
    <w:rsid w:val="001E3AEA"/>
    <w:rsid w:val="001E4747"/>
    <w:rsid w:val="001E49CD"/>
    <w:rsid w:val="001E51A3"/>
    <w:rsid w:val="001E5DED"/>
    <w:rsid w:val="001E5F2B"/>
    <w:rsid w:val="001E6347"/>
    <w:rsid w:val="001E70C2"/>
    <w:rsid w:val="001E725C"/>
    <w:rsid w:val="001E7579"/>
    <w:rsid w:val="001E7634"/>
    <w:rsid w:val="001E7E11"/>
    <w:rsid w:val="001F0902"/>
    <w:rsid w:val="001F290A"/>
    <w:rsid w:val="001F2ADD"/>
    <w:rsid w:val="001F2B2D"/>
    <w:rsid w:val="001F2FD2"/>
    <w:rsid w:val="001F313F"/>
    <w:rsid w:val="001F36C4"/>
    <w:rsid w:val="001F36F1"/>
    <w:rsid w:val="001F3AC0"/>
    <w:rsid w:val="001F484C"/>
    <w:rsid w:val="001F4E5B"/>
    <w:rsid w:val="001F502E"/>
    <w:rsid w:val="001F60AD"/>
    <w:rsid w:val="001F71D5"/>
    <w:rsid w:val="001F7331"/>
    <w:rsid w:val="001F7447"/>
    <w:rsid w:val="001F7499"/>
    <w:rsid w:val="00200233"/>
    <w:rsid w:val="00200C5C"/>
    <w:rsid w:val="0020255F"/>
    <w:rsid w:val="00203CF2"/>
    <w:rsid w:val="00204CF9"/>
    <w:rsid w:val="002055E3"/>
    <w:rsid w:val="00206079"/>
    <w:rsid w:val="002070DE"/>
    <w:rsid w:val="002073CB"/>
    <w:rsid w:val="00207BA4"/>
    <w:rsid w:val="00207C3B"/>
    <w:rsid w:val="00210839"/>
    <w:rsid w:val="00210E6D"/>
    <w:rsid w:val="00210F7F"/>
    <w:rsid w:val="0021107D"/>
    <w:rsid w:val="00211326"/>
    <w:rsid w:val="00211806"/>
    <w:rsid w:val="00212236"/>
    <w:rsid w:val="00212EFF"/>
    <w:rsid w:val="0021411F"/>
    <w:rsid w:val="00214253"/>
    <w:rsid w:val="00214987"/>
    <w:rsid w:val="002159CC"/>
    <w:rsid w:val="0021618B"/>
    <w:rsid w:val="00216E9C"/>
    <w:rsid w:val="00216ECA"/>
    <w:rsid w:val="00217F83"/>
    <w:rsid w:val="00220963"/>
    <w:rsid w:val="0022104A"/>
    <w:rsid w:val="002219F9"/>
    <w:rsid w:val="00221E7E"/>
    <w:rsid w:val="0022216B"/>
    <w:rsid w:val="002233A1"/>
    <w:rsid w:val="00223CD3"/>
    <w:rsid w:val="00224F34"/>
    <w:rsid w:val="00225800"/>
    <w:rsid w:val="0022668A"/>
    <w:rsid w:val="0022699D"/>
    <w:rsid w:val="00226AB4"/>
    <w:rsid w:val="00226C2A"/>
    <w:rsid w:val="00226E32"/>
    <w:rsid w:val="00230359"/>
    <w:rsid w:val="00230F58"/>
    <w:rsid w:val="00231259"/>
    <w:rsid w:val="0023129A"/>
    <w:rsid w:val="00232016"/>
    <w:rsid w:val="00232919"/>
    <w:rsid w:val="00232E46"/>
    <w:rsid w:val="00233276"/>
    <w:rsid w:val="00233713"/>
    <w:rsid w:val="00234AA3"/>
    <w:rsid w:val="002354B3"/>
    <w:rsid w:val="0023596B"/>
    <w:rsid w:val="0023608A"/>
    <w:rsid w:val="00236C26"/>
    <w:rsid w:val="00237E21"/>
    <w:rsid w:val="00237E81"/>
    <w:rsid w:val="002400EA"/>
    <w:rsid w:val="00240203"/>
    <w:rsid w:val="002408AF"/>
    <w:rsid w:val="0024189D"/>
    <w:rsid w:val="002427CC"/>
    <w:rsid w:val="0024429B"/>
    <w:rsid w:val="00245084"/>
    <w:rsid w:val="00245CE1"/>
    <w:rsid w:val="0024623B"/>
    <w:rsid w:val="00247CEC"/>
    <w:rsid w:val="00250508"/>
    <w:rsid w:val="00250C3D"/>
    <w:rsid w:val="002510CD"/>
    <w:rsid w:val="00251553"/>
    <w:rsid w:val="00251661"/>
    <w:rsid w:val="00252719"/>
    <w:rsid w:val="00253875"/>
    <w:rsid w:val="00254A2F"/>
    <w:rsid w:val="00254E1C"/>
    <w:rsid w:val="0025640B"/>
    <w:rsid w:val="00256463"/>
    <w:rsid w:val="0025795A"/>
    <w:rsid w:val="00257D28"/>
    <w:rsid w:val="00260269"/>
    <w:rsid w:val="00261BB1"/>
    <w:rsid w:val="002630ED"/>
    <w:rsid w:val="00263D70"/>
    <w:rsid w:val="002641EE"/>
    <w:rsid w:val="002646BB"/>
    <w:rsid w:val="00264DF8"/>
    <w:rsid w:val="0026514E"/>
    <w:rsid w:val="00265347"/>
    <w:rsid w:val="0026592F"/>
    <w:rsid w:val="00265D1D"/>
    <w:rsid w:val="00266D25"/>
    <w:rsid w:val="00267263"/>
    <w:rsid w:val="002675A4"/>
    <w:rsid w:val="002679C4"/>
    <w:rsid w:val="00267D68"/>
    <w:rsid w:val="00273301"/>
    <w:rsid w:val="00273933"/>
    <w:rsid w:val="00273964"/>
    <w:rsid w:val="00273D00"/>
    <w:rsid w:val="00274EAC"/>
    <w:rsid w:val="002756B2"/>
    <w:rsid w:val="00275740"/>
    <w:rsid w:val="00275EDF"/>
    <w:rsid w:val="00277BAD"/>
    <w:rsid w:val="00277FDC"/>
    <w:rsid w:val="00281AD3"/>
    <w:rsid w:val="00282958"/>
    <w:rsid w:val="00282AAA"/>
    <w:rsid w:val="00283144"/>
    <w:rsid w:val="00283706"/>
    <w:rsid w:val="00283CE9"/>
    <w:rsid w:val="00284566"/>
    <w:rsid w:val="00284E94"/>
    <w:rsid w:val="00285703"/>
    <w:rsid w:val="002868D7"/>
    <w:rsid w:val="0028695B"/>
    <w:rsid w:val="00286A3B"/>
    <w:rsid w:val="00286A75"/>
    <w:rsid w:val="00287878"/>
    <w:rsid w:val="00290AC7"/>
    <w:rsid w:val="00290E62"/>
    <w:rsid w:val="0029160C"/>
    <w:rsid w:val="00291CA6"/>
    <w:rsid w:val="00292252"/>
    <w:rsid w:val="002924A4"/>
    <w:rsid w:val="00292CEB"/>
    <w:rsid w:val="00292FC7"/>
    <w:rsid w:val="00293008"/>
    <w:rsid w:val="002939F6"/>
    <w:rsid w:val="00293D47"/>
    <w:rsid w:val="00294089"/>
    <w:rsid w:val="0029443E"/>
    <w:rsid w:val="00294B15"/>
    <w:rsid w:val="00294B94"/>
    <w:rsid w:val="002951DA"/>
    <w:rsid w:val="00296B6B"/>
    <w:rsid w:val="00297BB9"/>
    <w:rsid w:val="002A2D91"/>
    <w:rsid w:val="002A358B"/>
    <w:rsid w:val="002A397F"/>
    <w:rsid w:val="002A422D"/>
    <w:rsid w:val="002A4543"/>
    <w:rsid w:val="002A457A"/>
    <w:rsid w:val="002A45C3"/>
    <w:rsid w:val="002A55CF"/>
    <w:rsid w:val="002A5E03"/>
    <w:rsid w:val="002A63A0"/>
    <w:rsid w:val="002A7342"/>
    <w:rsid w:val="002A7CDB"/>
    <w:rsid w:val="002B01F3"/>
    <w:rsid w:val="002B0593"/>
    <w:rsid w:val="002B0D87"/>
    <w:rsid w:val="002B174D"/>
    <w:rsid w:val="002B1DEC"/>
    <w:rsid w:val="002B23E8"/>
    <w:rsid w:val="002B25BA"/>
    <w:rsid w:val="002B26CC"/>
    <w:rsid w:val="002B28E3"/>
    <w:rsid w:val="002B304A"/>
    <w:rsid w:val="002B3207"/>
    <w:rsid w:val="002B361F"/>
    <w:rsid w:val="002B3CDB"/>
    <w:rsid w:val="002B40FF"/>
    <w:rsid w:val="002B45D2"/>
    <w:rsid w:val="002B541F"/>
    <w:rsid w:val="002B554A"/>
    <w:rsid w:val="002B569D"/>
    <w:rsid w:val="002B59B5"/>
    <w:rsid w:val="002B628F"/>
    <w:rsid w:val="002B6C53"/>
    <w:rsid w:val="002C225B"/>
    <w:rsid w:val="002C262B"/>
    <w:rsid w:val="002C297E"/>
    <w:rsid w:val="002C3293"/>
    <w:rsid w:val="002C3687"/>
    <w:rsid w:val="002C484D"/>
    <w:rsid w:val="002C4AA7"/>
    <w:rsid w:val="002C4C77"/>
    <w:rsid w:val="002C52D4"/>
    <w:rsid w:val="002C58AA"/>
    <w:rsid w:val="002C5FE8"/>
    <w:rsid w:val="002C6AC2"/>
    <w:rsid w:val="002C751A"/>
    <w:rsid w:val="002C7996"/>
    <w:rsid w:val="002D0168"/>
    <w:rsid w:val="002D0287"/>
    <w:rsid w:val="002D03AE"/>
    <w:rsid w:val="002D146C"/>
    <w:rsid w:val="002D20AB"/>
    <w:rsid w:val="002D2636"/>
    <w:rsid w:val="002D2FD5"/>
    <w:rsid w:val="002D3165"/>
    <w:rsid w:val="002D3213"/>
    <w:rsid w:val="002D4632"/>
    <w:rsid w:val="002D49A0"/>
    <w:rsid w:val="002D4FF0"/>
    <w:rsid w:val="002D6511"/>
    <w:rsid w:val="002D6804"/>
    <w:rsid w:val="002D6E37"/>
    <w:rsid w:val="002E0058"/>
    <w:rsid w:val="002E0E0F"/>
    <w:rsid w:val="002E1513"/>
    <w:rsid w:val="002E2281"/>
    <w:rsid w:val="002E2A11"/>
    <w:rsid w:val="002E3848"/>
    <w:rsid w:val="002E38CE"/>
    <w:rsid w:val="002E492F"/>
    <w:rsid w:val="002E4ECF"/>
    <w:rsid w:val="002E512D"/>
    <w:rsid w:val="002E6B26"/>
    <w:rsid w:val="002E7461"/>
    <w:rsid w:val="002F0F99"/>
    <w:rsid w:val="002F1811"/>
    <w:rsid w:val="002F192D"/>
    <w:rsid w:val="002F1BCF"/>
    <w:rsid w:val="002F267F"/>
    <w:rsid w:val="002F2CE8"/>
    <w:rsid w:val="002F335C"/>
    <w:rsid w:val="002F3806"/>
    <w:rsid w:val="002F4996"/>
    <w:rsid w:val="002F58F2"/>
    <w:rsid w:val="002F7C1F"/>
    <w:rsid w:val="002F7D71"/>
    <w:rsid w:val="00300903"/>
    <w:rsid w:val="00300AEF"/>
    <w:rsid w:val="00300FDA"/>
    <w:rsid w:val="003020B2"/>
    <w:rsid w:val="00302AF9"/>
    <w:rsid w:val="0030326E"/>
    <w:rsid w:val="00303874"/>
    <w:rsid w:val="0030406D"/>
    <w:rsid w:val="003042EE"/>
    <w:rsid w:val="003046A8"/>
    <w:rsid w:val="00304981"/>
    <w:rsid w:val="00304AF2"/>
    <w:rsid w:val="0030517C"/>
    <w:rsid w:val="0030683D"/>
    <w:rsid w:val="00306BB9"/>
    <w:rsid w:val="00306C61"/>
    <w:rsid w:val="00306C77"/>
    <w:rsid w:val="00306D40"/>
    <w:rsid w:val="0030761C"/>
    <w:rsid w:val="003107EE"/>
    <w:rsid w:val="00310A2C"/>
    <w:rsid w:val="00311BA6"/>
    <w:rsid w:val="00311D4C"/>
    <w:rsid w:val="00312237"/>
    <w:rsid w:val="00312591"/>
    <w:rsid w:val="003137CA"/>
    <w:rsid w:val="00314238"/>
    <w:rsid w:val="003142CF"/>
    <w:rsid w:val="0031437C"/>
    <w:rsid w:val="00317022"/>
    <w:rsid w:val="00317232"/>
    <w:rsid w:val="00317EFE"/>
    <w:rsid w:val="00320506"/>
    <w:rsid w:val="003208CE"/>
    <w:rsid w:val="00320AD4"/>
    <w:rsid w:val="00320C2E"/>
    <w:rsid w:val="00320E64"/>
    <w:rsid w:val="00320EBB"/>
    <w:rsid w:val="00321AC2"/>
    <w:rsid w:val="00322398"/>
    <w:rsid w:val="00323001"/>
    <w:rsid w:val="00323D6E"/>
    <w:rsid w:val="00324A5E"/>
    <w:rsid w:val="00325408"/>
    <w:rsid w:val="00326E29"/>
    <w:rsid w:val="00327B4D"/>
    <w:rsid w:val="00330BA1"/>
    <w:rsid w:val="003317B4"/>
    <w:rsid w:val="00331837"/>
    <w:rsid w:val="0033190A"/>
    <w:rsid w:val="00333A95"/>
    <w:rsid w:val="00333AC9"/>
    <w:rsid w:val="0033416B"/>
    <w:rsid w:val="0033417D"/>
    <w:rsid w:val="00334DA3"/>
    <w:rsid w:val="003353E3"/>
    <w:rsid w:val="003359C2"/>
    <w:rsid w:val="00335F19"/>
    <w:rsid w:val="00336099"/>
    <w:rsid w:val="003370CF"/>
    <w:rsid w:val="00337130"/>
    <w:rsid w:val="00337390"/>
    <w:rsid w:val="00337502"/>
    <w:rsid w:val="00340340"/>
    <w:rsid w:val="003404EE"/>
    <w:rsid w:val="00341CDE"/>
    <w:rsid w:val="003423AA"/>
    <w:rsid w:val="003423C8"/>
    <w:rsid w:val="0034268B"/>
    <w:rsid w:val="00343F0A"/>
    <w:rsid w:val="00344CA2"/>
    <w:rsid w:val="003452CE"/>
    <w:rsid w:val="00345EF7"/>
    <w:rsid w:val="003463EE"/>
    <w:rsid w:val="00347AA4"/>
    <w:rsid w:val="003516A9"/>
    <w:rsid w:val="00352CA1"/>
    <w:rsid w:val="003530B7"/>
    <w:rsid w:val="003535C6"/>
    <w:rsid w:val="00353F43"/>
    <w:rsid w:val="00354149"/>
    <w:rsid w:val="00355AF5"/>
    <w:rsid w:val="003568C5"/>
    <w:rsid w:val="00356C3B"/>
    <w:rsid w:val="00357671"/>
    <w:rsid w:val="003577B4"/>
    <w:rsid w:val="00357862"/>
    <w:rsid w:val="00357B4D"/>
    <w:rsid w:val="00357DE1"/>
    <w:rsid w:val="003605DD"/>
    <w:rsid w:val="0036151D"/>
    <w:rsid w:val="0036174D"/>
    <w:rsid w:val="003619FD"/>
    <w:rsid w:val="00361AAC"/>
    <w:rsid w:val="00361BEB"/>
    <w:rsid w:val="003628AA"/>
    <w:rsid w:val="00362B4D"/>
    <w:rsid w:val="00362EB6"/>
    <w:rsid w:val="00363075"/>
    <w:rsid w:val="0036325C"/>
    <w:rsid w:val="00363466"/>
    <w:rsid w:val="0036355D"/>
    <w:rsid w:val="0036397E"/>
    <w:rsid w:val="003639B7"/>
    <w:rsid w:val="00363F58"/>
    <w:rsid w:val="00364264"/>
    <w:rsid w:val="003647F2"/>
    <w:rsid w:val="00364F5E"/>
    <w:rsid w:val="00366F7E"/>
    <w:rsid w:val="00367175"/>
    <w:rsid w:val="00367A84"/>
    <w:rsid w:val="00367C16"/>
    <w:rsid w:val="00367C59"/>
    <w:rsid w:val="00367CBD"/>
    <w:rsid w:val="00370C54"/>
    <w:rsid w:val="003715C6"/>
    <w:rsid w:val="00371F50"/>
    <w:rsid w:val="0037275D"/>
    <w:rsid w:val="00372ACD"/>
    <w:rsid w:val="003735D7"/>
    <w:rsid w:val="00373A1D"/>
    <w:rsid w:val="00373A7F"/>
    <w:rsid w:val="00373CBD"/>
    <w:rsid w:val="00375642"/>
    <w:rsid w:val="00375ED6"/>
    <w:rsid w:val="003760FF"/>
    <w:rsid w:val="00376A17"/>
    <w:rsid w:val="003773B0"/>
    <w:rsid w:val="0037748A"/>
    <w:rsid w:val="003777A9"/>
    <w:rsid w:val="003815AB"/>
    <w:rsid w:val="00381977"/>
    <w:rsid w:val="00381ADE"/>
    <w:rsid w:val="00381BB9"/>
    <w:rsid w:val="00383BA9"/>
    <w:rsid w:val="00383BE9"/>
    <w:rsid w:val="003844FA"/>
    <w:rsid w:val="00384A07"/>
    <w:rsid w:val="00384BC0"/>
    <w:rsid w:val="003854A7"/>
    <w:rsid w:val="00385511"/>
    <w:rsid w:val="0038552B"/>
    <w:rsid w:val="003856EB"/>
    <w:rsid w:val="00385CA4"/>
    <w:rsid w:val="00386CCD"/>
    <w:rsid w:val="00387168"/>
    <w:rsid w:val="00387566"/>
    <w:rsid w:val="0039082D"/>
    <w:rsid w:val="003908FC"/>
    <w:rsid w:val="00390E02"/>
    <w:rsid w:val="00393218"/>
    <w:rsid w:val="0039427D"/>
    <w:rsid w:val="003951D7"/>
    <w:rsid w:val="0039568A"/>
    <w:rsid w:val="003956B6"/>
    <w:rsid w:val="00397021"/>
    <w:rsid w:val="0039703D"/>
    <w:rsid w:val="003A0086"/>
    <w:rsid w:val="003A011B"/>
    <w:rsid w:val="003A01C2"/>
    <w:rsid w:val="003A07AF"/>
    <w:rsid w:val="003A0B32"/>
    <w:rsid w:val="003A12FE"/>
    <w:rsid w:val="003A1599"/>
    <w:rsid w:val="003A15BC"/>
    <w:rsid w:val="003A1769"/>
    <w:rsid w:val="003A18DD"/>
    <w:rsid w:val="003A2026"/>
    <w:rsid w:val="003A274E"/>
    <w:rsid w:val="003A27B1"/>
    <w:rsid w:val="003A31CC"/>
    <w:rsid w:val="003A332C"/>
    <w:rsid w:val="003A34D3"/>
    <w:rsid w:val="003A3748"/>
    <w:rsid w:val="003A3ECC"/>
    <w:rsid w:val="003A4D26"/>
    <w:rsid w:val="003A4E2D"/>
    <w:rsid w:val="003A55DE"/>
    <w:rsid w:val="003A664D"/>
    <w:rsid w:val="003A6DA6"/>
    <w:rsid w:val="003A6F17"/>
    <w:rsid w:val="003A76CE"/>
    <w:rsid w:val="003A7F2B"/>
    <w:rsid w:val="003B0A68"/>
    <w:rsid w:val="003B0ADF"/>
    <w:rsid w:val="003B0BE1"/>
    <w:rsid w:val="003B18FB"/>
    <w:rsid w:val="003B19C4"/>
    <w:rsid w:val="003B1E51"/>
    <w:rsid w:val="003B24CE"/>
    <w:rsid w:val="003B2F25"/>
    <w:rsid w:val="003B38B4"/>
    <w:rsid w:val="003B40CC"/>
    <w:rsid w:val="003B4247"/>
    <w:rsid w:val="003B42C9"/>
    <w:rsid w:val="003B6641"/>
    <w:rsid w:val="003B72CA"/>
    <w:rsid w:val="003B730E"/>
    <w:rsid w:val="003B73E7"/>
    <w:rsid w:val="003B753E"/>
    <w:rsid w:val="003B75ED"/>
    <w:rsid w:val="003B7AF4"/>
    <w:rsid w:val="003C0299"/>
    <w:rsid w:val="003C02A3"/>
    <w:rsid w:val="003C0717"/>
    <w:rsid w:val="003C37B3"/>
    <w:rsid w:val="003C5852"/>
    <w:rsid w:val="003C58D5"/>
    <w:rsid w:val="003C5B76"/>
    <w:rsid w:val="003C5C85"/>
    <w:rsid w:val="003C7DB2"/>
    <w:rsid w:val="003D147D"/>
    <w:rsid w:val="003D1964"/>
    <w:rsid w:val="003D343A"/>
    <w:rsid w:val="003D359D"/>
    <w:rsid w:val="003D3C39"/>
    <w:rsid w:val="003D3DFD"/>
    <w:rsid w:val="003D42E6"/>
    <w:rsid w:val="003D49D8"/>
    <w:rsid w:val="003D548D"/>
    <w:rsid w:val="003D5670"/>
    <w:rsid w:val="003D5862"/>
    <w:rsid w:val="003D612F"/>
    <w:rsid w:val="003D70F6"/>
    <w:rsid w:val="003D7BAC"/>
    <w:rsid w:val="003E0DBA"/>
    <w:rsid w:val="003E0FFD"/>
    <w:rsid w:val="003E184B"/>
    <w:rsid w:val="003E1B22"/>
    <w:rsid w:val="003E22EF"/>
    <w:rsid w:val="003E2E63"/>
    <w:rsid w:val="003E376D"/>
    <w:rsid w:val="003E3B09"/>
    <w:rsid w:val="003E4AD7"/>
    <w:rsid w:val="003E4E85"/>
    <w:rsid w:val="003E673C"/>
    <w:rsid w:val="003E681A"/>
    <w:rsid w:val="003E6869"/>
    <w:rsid w:val="003E7B5C"/>
    <w:rsid w:val="003F12DF"/>
    <w:rsid w:val="003F144E"/>
    <w:rsid w:val="003F1A8F"/>
    <w:rsid w:val="003F1CBE"/>
    <w:rsid w:val="003F1DF1"/>
    <w:rsid w:val="003F1EEA"/>
    <w:rsid w:val="003F2119"/>
    <w:rsid w:val="003F39DF"/>
    <w:rsid w:val="003F3C8B"/>
    <w:rsid w:val="003F3DCB"/>
    <w:rsid w:val="003F49DB"/>
    <w:rsid w:val="003F4A3D"/>
    <w:rsid w:val="003F5102"/>
    <w:rsid w:val="003F518B"/>
    <w:rsid w:val="003F5627"/>
    <w:rsid w:val="003F692F"/>
    <w:rsid w:val="003F6BCC"/>
    <w:rsid w:val="003F6C82"/>
    <w:rsid w:val="003F6C8E"/>
    <w:rsid w:val="003F789B"/>
    <w:rsid w:val="003F792F"/>
    <w:rsid w:val="004015D6"/>
    <w:rsid w:val="004018C6"/>
    <w:rsid w:val="0040223E"/>
    <w:rsid w:val="0040254E"/>
    <w:rsid w:val="00402775"/>
    <w:rsid w:val="004035A2"/>
    <w:rsid w:val="004038A9"/>
    <w:rsid w:val="004043A7"/>
    <w:rsid w:val="004061A0"/>
    <w:rsid w:val="004069DA"/>
    <w:rsid w:val="004077EF"/>
    <w:rsid w:val="004109E1"/>
    <w:rsid w:val="00410B53"/>
    <w:rsid w:val="00410B62"/>
    <w:rsid w:val="00411204"/>
    <w:rsid w:val="00411709"/>
    <w:rsid w:val="00413C3D"/>
    <w:rsid w:val="004140A6"/>
    <w:rsid w:val="004149B4"/>
    <w:rsid w:val="00414AA1"/>
    <w:rsid w:val="00414C30"/>
    <w:rsid w:val="00415279"/>
    <w:rsid w:val="00415373"/>
    <w:rsid w:val="00415928"/>
    <w:rsid w:val="004159A6"/>
    <w:rsid w:val="00415D7B"/>
    <w:rsid w:val="004170C2"/>
    <w:rsid w:val="00417681"/>
    <w:rsid w:val="00417C35"/>
    <w:rsid w:val="00420277"/>
    <w:rsid w:val="00420314"/>
    <w:rsid w:val="004206AD"/>
    <w:rsid w:val="00420E4A"/>
    <w:rsid w:val="00420E7D"/>
    <w:rsid w:val="00420F98"/>
    <w:rsid w:val="00421546"/>
    <w:rsid w:val="00421CC8"/>
    <w:rsid w:val="00422437"/>
    <w:rsid w:val="00423027"/>
    <w:rsid w:val="00423736"/>
    <w:rsid w:val="004238C6"/>
    <w:rsid w:val="004250D1"/>
    <w:rsid w:val="0042555F"/>
    <w:rsid w:val="00425686"/>
    <w:rsid w:val="00426647"/>
    <w:rsid w:val="00426A01"/>
    <w:rsid w:val="00426EBD"/>
    <w:rsid w:val="004270DC"/>
    <w:rsid w:val="00427B61"/>
    <w:rsid w:val="00431135"/>
    <w:rsid w:val="004326B5"/>
    <w:rsid w:val="00433675"/>
    <w:rsid w:val="0043614C"/>
    <w:rsid w:val="00436BBD"/>
    <w:rsid w:val="0043729A"/>
    <w:rsid w:val="004372AB"/>
    <w:rsid w:val="0043732D"/>
    <w:rsid w:val="00437A5B"/>
    <w:rsid w:val="00437FBE"/>
    <w:rsid w:val="0044118B"/>
    <w:rsid w:val="0044122C"/>
    <w:rsid w:val="004415AA"/>
    <w:rsid w:val="00441AD9"/>
    <w:rsid w:val="00441D3E"/>
    <w:rsid w:val="004427E1"/>
    <w:rsid w:val="00442BEE"/>
    <w:rsid w:val="00442D12"/>
    <w:rsid w:val="00442E41"/>
    <w:rsid w:val="004438E1"/>
    <w:rsid w:val="00443B15"/>
    <w:rsid w:val="004440B9"/>
    <w:rsid w:val="004443EF"/>
    <w:rsid w:val="00444601"/>
    <w:rsid w:val="0044481A"/>
    <w:rsid w:val="00444ED8"/>
    <w:rsid w:val="00445014"/>
    <w:rsid w:val="004450AA"/>
    <w:rsid w:val="0044602E"/>
    <w:rsid w:val="004468F6"/>
    <w:rsid w:val="00446BAF"/>
    <w:rsid w:val="00446E37"/>
    <w:rsid w:val="004474BD"/>
    <w:rsid w:val="00450886"/>
    <w:rsid w:val="0045090C"/>
    <w:rsid w:val="00450AEB"/>
    <w:rsid w:val="00450C21"/>
    <w:rsid w:val="00450E13"/>
    <w:rsid w:val="0045111B"/>
    <w:rsid w:val="00451B88"/>
    <w:rsid w:val="00452386"/>
    <w:rsid w:val="00453252"/>
    <w:rsid w:val="00454769"/>
    <w:rsid w:val="00456213"/>
    <w:rsid w:val="004563E2"/>
    <w:rsid w:val="00456A19"/>
    <w:rsid w:val="0045705B"/>
    <w:rsid w:val="004570FE"/>
    <w:rsid w:val="0045724B"/>
    <w:rsid w:val="0045750E"/>
    <w:rsid w:val="00457558"/>
    <w:rsid w:val="004575EC"/>
    <w:rsid w:val="004578EE"/>
    <w:rsid w:val="004601D5"/>
    <w:rsid w:val="0046081A"/>
    <w:rsid w:val="00460913"/>
    <w:rsid w:val="00460CEA"/>
    <w:rsid w:val="00460DE0"/>
    <w:rsid w:val="00462550"/>
    <w:rsid w:val="004625C7"/>
    <w:rsid w:val="00462765"/>
    <w:rsid w:val="0046324E"/>
    <w:rsid w:val="00463329"/>
    <w:rsid w:val="00464C20"/>
    <w:rsid w:val="00465733"/>
    <w:rsid w:val="00465FEB"/>
    <w:rsid w:val="00466979"/>
    <w:rsid w:val="004673FF"/>
    <w:rsid w:val="00467C2C"/>
    <w:rsid w:val="004712C9"/>
    <w:rsid w:val="0047174D"/>
    <w:rsid w:val="00471A23"/>
    <w:rsid w:val="00473980"/>
    <w:rsid w:val="00474226"/>
    <w:rsid w:val="0047442E"/>
    <w:rsid w:val="0047498D"/>
    <w:rsid w:val="0047572B"/>
    <w:rsid w:val="00475933"/>
    <w:rsid w:val="0047593C"/>
    <w:rsid w:val="00475BC4"/>
    <w:rsid w:val="00476783"/>
    <w:rsid w:val="004769A5"/>
    <w:rsid w:val="00477762"/>
    <w:rsid w:val="004777EE"/>
    <w:rsid w:val="0047793B"/>
    <w:rsid w:val="00480D33"/>
    <w:rsid w:val="0048146C"/>
    <w:rsid w:val="00481AA3"/>
    <w:rsid w:val="00482133"/>
    <w:rsid w:val="00482C1F"/>
    <w:rsid w:val="0048391B"/>
    <w:rsid w:val="00484D12"/>
    <w:rsid w:val="00485054"/>
    <w:rsid w:val="004858B0"/>
    <w:rsid w:val="00485D91"/>
    <w:rsid w:val="00485D9F"/>
    <w:rsid w:val="00486729"/>
    <w:rsid w:val="0048768F"/>
    <w:rsid w:val="00487AC7"/>
    <w:rsid w:val="00490862"/>
    <w:rsid w:val="00491C05"/>
    <w:rsid w:val="004924C1"/>
    <w:rsid w:val="00492B4B"/>
    <w:rsid w:val="0049307D"/>
    <w:rsid w:val="00494AEB"/>
    <w:rsid w:val="00494B02"/>
    <w:rsid w:val="00494E2B"/>
    <w:rsid w:val="00495C60"/>
    <w:rsid w:val="0049692E"/>
    <w:rsid w:val="00497986"/>
    <w:rsid w:val="004A0138"/>
    <w:rsid w:val="004A02BC"/>
    <w:rsid w:val="004A0900"/>
    <w:rsid w:val="004A1002"/>
    <w:rsid w:val="004A1537"/>
    <w:rsid w:val="004A16CA"/>
    <w:rsid w:val="004A2221"/>
    <w:rsid w:val="004A27E4"/>
    <w:rsid w:val="004A2845"/>
    <w:rsid w:val="004A2A19"/>
    <w:rsid w:val="004A3598"/>
    <w:rsid w:val="004A4051"/>
    <w:rsid w:val="004A43F4"/>
    <w:rsid w:val="004A4EA9"/>
    <w:rsid w:val="004A62B4"/>
    <w:rsid w:val="004A7154"/>
    <w:rsid w:val="004A7923"/>
    <w:rsid w:val="004A7BBB"/>
    <w:rsid w:val="004B088E"/>
    <w:rsid w:val="004B0E82"/>
    <w:rsid w:val="004B1EBD"/>
    <w:rsid w:val="004B43E6"/>
    <w:rsid w:val="004B4B69"/>
    <w:rsid w:val="004B5499"/>
    <w:rsid w:val="004B57AF"/>
    <w:rsid w:val="004B5D56"/>
    <w:rsid w:val="004B7094"/>
    <w:rsid w:val="004B74D6"/>
    <w:rsid w:val="004C0490"/>
    <w:rsid w:val="004C0D18"/>
    <w:rsid w:val="004C1472"/>
    <w:rsid w:val="004C2194"/>
    <w:rsid w:val="004C2598"/>
    <w:rsid w:val="004C29CD"/>
    <w:rsid w:val="004C2B9E"/>
    <w:rsid w:val="004C2F87"/>
    <w:rsid w:val="004C36DB"/>
    <w:rsid w:val="004C3E3E"/>
    <w:rsid w:val="004C3E62"/>
    <w:rsid w:val="004C515C"/>
    <w:rsid w:val="004C640B"/>
    <w:rsid w:val="004C6726"/>
    <w:rsid w:val="004C6D9A"/>
    <w:rsid w:val="004C7F82"/>
    <w:rsid w:val="004D091B"/>
    <w:rsid w:val="004D0CC2"/>
    <w:rsid w:val="004D1BB1"/>
    <w:rsid w:val="004D315C"/>
    <w:rsid w:val="004D32F7"/>
    <w:rsid w:val="004D36E8"/>
    <w:rsid w:val="004D390B"/>
    <w:rsid w:val="004D3DDE"/>
    <w:rsid w:val="004D5ADF"/>
    <w:rsid w:val="004D5B4B"/>
    <w:rsid w:val="004D6993"/>
    <w:rsid w:val="004D6C55"/>
    <w:rsid w:val="004E06B7"/>
    <w:rsid w:val="004E0C8A"/>
    <w:rsid w:val="004E12CA"/>
    <w:rsid w:val="004E13AB"/>
    <w:rsid w:val="004E19DD"/>
    <w:rsid w:val="004E28E6"/>
    <w:rsid w:val="004E2C02"/>
    <w:rsid w:val="004E2CE1"/>
    <w:rsid w:val="004E3C36"/>
    <w:rsid w:val="004E3E47"/>
    <w:rsid w:val="004E4989"/>
    <w:rsid w:val="004E5F02"/>
    <w:rsid w:val="004E6818"/>
    <w:rsid w:val="004E793F"/>
    <w:rsid w:val="004F0798"/>
    <w:rsid w:val="004F0B05"/>
    <w:rsid w:val="004F225A"/>
    <w:rsid w:val="004F2575"/>
    <w:rsid w:val="004F33A6"/>
    <w:rsid w:val="004F4877"/>
    <w:rsid w:val="004F5A8E"/>
    <w:rsid w:val="004F66BD"/>
    <w:rsid w:val="004F6A9C"/>
    <w:rsid w:val="0050204C"/>
    <w:rsid w:val="00502552"/>
    <w:rsid w:val="0050286D"/>
    <w:rsid w:val="00502F9C"/>
    <w:rsid w:val="0050301C"/>
    <w:rsid w:val="00503F98"/>
    <w:rsid w:val="00504029"/>
    <w:rsid w:val="0050416A"/>
    <w:rsid w:val="00504C92"/>
    <w:rsid w:val="00505E3D"/>
    <w:rsid w:val="00505FA0"/>
    <w:rsid w:val="0050646E"/>
    <w:rsid w:val="005068F9"/>
    <w:rsid w:val="00506C8D"/>
    <w:rsid w:val="00507004"/>
    <w:rsid w:val="005072DB"/>
    <w:rsid w:val="0050773C"/>
    <w:rsid w:val="005077AB"/>
    <w:rsid w:val="00507DBE"/>
    <w:rsid w:val="00507F73"/>
    <w:rsid w:val="005100E1"/>
    <w:rsid w:val="00513F06"/>
    <w:rsid w:val="005141F1"/>
    <w:rsid w:val="00514CAD"/>
    <w:rsid w:val="00514E74"/>
    <w:rsid w:val="00515C43"/>
    <w:rsid w:val="00515FAA"/>
    <w:rsid w:val="005160A2"/>
    <w:rsid w:val="005168D4"/>
    <w:rsid w:val="005169EB"/>
    <w:rsid w:val="00516A6B"/>
    <w:rsid w:val="00516C7C"/>
    <w:rsid w:val="005178D3"/>
    <w:rsid w:val="00517A8B"/>
    <w:rsid w:val="00517C51"/>
    <w:rsid w:val="00517C73"/>
    <w:rsid w:val="00520098"/>
    <w:rsid w:val="005200EA"/>
    <w:rsid w:val="005203A1"/>
    <w:rsid w:val="00520B4E"/>
    <w:rsid w:val="005232F0"/>
    <w:rsid w:val="00523395"/>
    <w:rsid w:val="00523526"/>
    <w:rsid w:val="00523B43"/>
    <w:rsid w:val="00524F17"/>
    <w:rsid w:val="00525042"/>
    <w:rsid w:val="005251D9"/>
    <w:rsid w:val="0052570E"/>
    <w:rsid w:val="005266BE"/>
    <w:rsid w:val="00526B10"/>
    <w:rsid w:val="00527F54"/>
    <w:rsid w:val="0053071D"/>
    <w:rsid w:val="0053074A"/>
    <w:rsid w:val="00532A3C"/>
    <w:rsid w:val="00533429"/>
    <w:rsid w:val="005337B4"/>
    <w:rsid w:val="005347D3"/>
    <w:rsid w:val="00534A3B"/>
    <w:rsid w:val="0053581E"/>
    <w:rsid w:val="00535CA4"/>
    <w:rsid w:val="0053614E"/>
    <w:rsid w:val="005409EC"/>
    <w:rsid w:val="00540E10"/>
    <w:rsid w:val="005412C9"/>
    <w:rsid w:val="00541DE2"/>
    <w:rsid w:val="00541E23"/>
    <w:rsid w:val="00542D23"/>
    <w:rsid w:val="00542D25"/>
    <w:rsid w:val="00542EF1"/>
    <w:rsid w:val="00543B66"/>
    <w:rsid w:val="00543CFB"/>
    <w:rsid w:val="00543F60"/>
    <w:rsid w:val="005446EA"/>
    <w:rsid w:val="00544ACC"/>
    <w:rsid w:val="00544F2C"/>
    <w:rsid w:val="0054607C"/>
    <w:rsid w:val="00546D2A"/>
    <w:rsid w:val="00546EC8"/>
    <w:rsid w:val="005472B0"/>
    <w:rsid w:val="00547F55"/>
    <w:rsid w:val="0055003A"/>
    <w:rsid w:val="00550A13"/>
    <w:rsid w:val="0055182F"/>
    <w:rsid w:val="00551B4D"/>
    <w:rsid w:val="00551DD4"/>
    <w:rsid w:val="00551E73"/>
    <w:rsid w:val="005520E8"/>
    <w:rsid w:val="00552E7B"/>
    <w:rsid w:val="0055382E"/>
    <w:rsid w:val="0055387C"/>
    <w:rsid w:val="0055507E"/>
    <w:rsid w:val="00555694"/>
    <w:rsid w:val="005562A8"/>
    <w:rsid w:val="0055658D"/>
    <w:rsid w:val="00557022"/>
    <w:rsid w:val="0055703A"/>
    <w:rsid w:val="0056016B"/>
    <w:rsid w:val="00560679"/>
    <w:rsid w:val="005614FF"/>
    <w:rsid w:val="00561F46"/>
    <w:rsid w:val="00562218"/>
    <w:rsid w:val="005622E8"/>
    <w:rsid w:val="005633DF"/>
    <w:rsid w:val="00565F2B"/>
    <w:rsid w:val="0056692F"/>
    <w:rsid w:val="00566D5C"/>
    <w:rsid w:val="00567D99"/>
    <w:rsid w:val="0057058C"/>
    <w:rsid w:val="005711CB"/>
    <w:rsid w:val="00571557"/>
    <w:rsid w:val="005718D9"/>
    <w:rsid w:val="00571921"/>
    <w:rsid w:val="00572981"/>
    <w:rsid w:val="00572E6F"/>
    <w:rsid w:val="005747BB"/>
    <w:rsid w:val="00574976"/>
    <w:rsid w:val="00575269"/>
    <w:rsid w:val="00575A4E"/>
    <w:rsid w:val="005775BE"/>
    <w:rsid w:val="005778EF"/>
    <w:rsid w:val="0057796B"/>
    <w:rsid w:val="00580466"/>
    <w:rsid w:val="005816BF"/>
    <w:rsid w:val="00581D8D"/>
    <w:rsid w:val="00581E9C"/>
    <w:rsid w:val="00581EFF"/>
    <w:rsid w:val="005829B4"/>
    <w:rsid w:val="00582B97"/>
    <w:rsid w:val="00583062"/>
    <w:rsid w:val="00583BCF"/>
    <w:rsid w:val="00583C4F"/>
    <w:rsid w:val="005845AD"/>
    <w:rsid w:val="00584901"/>
    <w:rsid w:val="00584D6D"/>
    <w:rsid w:val="00585CE3"/>
    <w:rsid w:val="00586C11"/>
    <w:rsid w:val="0058726A"/>
    <w:rsid w:val="005902C3"/>
    <w:rsid w:val="00590665"/>
    <w:rsid w:val="00592277"/>
    <w:rsid w:val="00592543"/>
    <w:rsid w:val="00592C95"/>
    <w:rsid w:val="005946E3"/>
    <w:rsid w:val="00594EBA"/>
    <w:rsid w:val="0059522E"/>
    <w:rsid w:val="00596B11"/>
    <w:rsid w:val="00596BB4"/>
    <w:rsid w:val="00597259"/>
    <w:rsid w:val="005972A2"/>
    <w:rsid w:val="00597B48"/>
    <w:rsid w:val="00597C2F"/>
    <w:rsid w:val="005A07D5"/>
    <w:rsid w:val="005A08CC"/>
    <w:rsid w:val="005A1123"/>
    <w:rsid w:val="005A24A6"/>
    <w:rsid w:val="005A2F6D"/>
    <w:rsid w:val="005A403A"/>
    <w:rsid w:val="005A4B80"/>
    <w:rsid w:val="005A587F"/>
    <w:rsid w:val="005A5EE4"/>
    <w:rsid w:val="005A71D9"/>
    <w:rsid w:val="005A7204"/>
    <w:rsid w:val="005A7F8C"/>
    <w:rsid w:val="005B0446"/>
    <w:rsid w:val="005B10C6"/>
    <w:rsid w:val="005B1668"/>
    <w:rsid w:val="005B1D11"/>
    <w:rsid w:val="005B3177"/>
    <w:rsid w:val="005B41E6"/>
    <w:rsid w:val="005B43C5"/>
    <w:rsid w:val="005B46C5"/>
    <w:rsid w:val="005B4ABB"/>
    <w:rsid w:val="005B4C7A"/>
    <w:rsid w:val="005B4D52"/>
    <w:rsid w:val="005B54F5"/>
    <w:rsid w:val="005B65A1"/>
    <w:rsid w:val="005B6693"/>
    <w:rsid w:val="005B77F1"/>
    <w:rsid w:val="005C087E"/>
    <w:rsid w:val="005C1A26"/>
    <w:rsid w:val="005C1BB0"/>
    <w:rsid w:val="005C1E7A"/>
    <w:rsid w:val="005C22CE"/>
    <w:rsid w:val="005C2337"/>
    <w:rsid w:val="005C27DA"/>
    <w:rsid w:val="005C31FA"/>
    <w:rsid w:val="005C3688"/>
    <w:rsid w:val="005C3764"/>
    <w:rsid w:val="005C383D"/>
    <w:rsid w:val="005C3E8D"/>
    <w:rsid w:val="005C4043"/>
    <w:rsid w:val="005C45E4"/>
    <w:rsid w:val="005C48DE"/>
    <w:rsid w:val="005C4A59"/>
    <w:rsid w:val="005C4B75"/>
    <w:rsid w:val="005C525F"/>
    <w:rsid w:val="005C6C8A"/>
    <w:rsid w:val="005C7DD1"/>
    <w:rsid w:val="005C7ED3"/>
    <w:rsid w:val="005C7FA1"/>
    <w:rsid w:val="005D0E7B"/>
    <w:rsid w:val="005D1658"/>
    <w:rsid w:val="005D17AA"/>
    <w:rsid w:val="005D1B52"/>
    <w:rsid w:val="005D1EEA"/>
    <w:rsid w:val="005D22AB"/>
    <w:rsid w:val="005D24CB"/>
    <w:rsid w:val="005D2838"/>
    <w:rsid w:val="005D2976"/>
    <w:rsid w:val="005D2B6D"/>
    <w:rsid w:val="005D3AA2"/>
    <w:rsid w:val="005D4D3F"/>
    <w:rsid w:val="005D6096"/>
    <w:rsid w:val="005D68E3"/>
    <w:rsid w:val="005D6BDF"/>
    <w:rsid w:val="005D6CB2"/>
    <w:rsid w:val="005D72CD"/>
    <w:rsid w:val="005D7E45"/>
    <w:rsid w:val="005E0F5D"/>
    <w:rsid w:val="005E1920"/>
    <w:rsid w:val="005E2506"/>
    <w:rsid w:val="005E306F"/>
    <w:rsid w:val="005E459B"/>
    <w:rsid w:val="005E4BE2"/>
    <w:rsid w:val="005E570E"/>
    <w:rsid w:val="005E5D1A"/>
    <w:rsid w:val="005E5FA6"/>
    <w:rsid w:val="005E613B"/>
    <w:rsid w:val="005E6AA8"/>
    <w:rsid w:val="005E77CD"/>
    <w:rsid w:val="005E7898"/>
    <w:rsid w:val="005F00E2"/>
    <w:rsid w:val="005F0F94"/>
    <w:rsid w:val="005F1200"/>
    <w:rsid w:val="005F1596"/>
    <w:rsid w:val="005F15E4"/>
    <w:rsid w:val="005F1934"/>
    <w:rsid w:val="005F1E11"/>
    <w:rsid w:val="005F2986"/>
    <w:rsid w:val="005F3269"/>
    <w:rsid w:val="005F3320"/>
    <w:rsid w:val="005F3890"/>
    <w:rsid w:val="005F4906"/>
    <w:rsid w:val="005F4D66"/>
    <w:rsid w:val="005F5064"/>
    <w:rsid w:val="005F5532"/>
    <w:rsid w:val="005F5C74"/>
    <w:rsid w:val="005F6234"/>
    <w:rsid w:val="005F673F"/>
    <w:rsid w:val="006007DC"/>
    <w:rsid w:val="00601E6C"/>
    <w:rsid w:val="0060202B"/>
    <w:rsid w:val="00602CDF"/>
    <w:rsid w:val="0060346B"/>
    <w:rsid w:val="00603E24"/>
    <w:rsid w:val="00603E91"/>
    <w:rsid w:val="00603EB1"/>
    <w:rsid w:val="0060492E"/>
    <w:rsid w:val="00605EBF"/>
    <w:rsid w:val="0060608F"/>
    <w:rsid w:val="00606522"/>
    <w:rsid w:val="00606A73"/>
    <w:rsid w:val="006075A1"/>
    <w:rsid w:val="00610C40"/>
    <w:rsid w:val="00610CDD"/>
    <w:rsid w:val="006110C5"/>
    <w:rsid w:val="00612083"/>
    <w:rsid w:val="006123C3"/>
    <w:rsid w:val="00612803"/>
    <w:rsid w:val="00612BDD"/>
    <w:rsid w:val="00612EA3"/>
    <w:rsid w:val="006132CD"/>
    <w:rsid w:val="00613560"/>
    <w:rsid w:val="006139DB"/>
    <w:rsid w:val="00614CF9"/>
    <w:rsid w:val="006152C7"/>
    <w:rsid w:val="00615854"/>
    <w:rsid w:val="00615E1B"/>
    <w:rsid w:val="00615E81"/>
    <w:rsid w:val="0061622A"/>
    <w:rsid w:val="00616F08"/>
    <w:rsid w:val="0061734C"/>
    <w:rsid w:val="006173DB"/>
    <w:rsid w:val="006176B3"/>
    <w:rsid w:val="00620467"/>
    <w:rsid w:val="00621310"/>
    <w:rsid w:val="0062136D"/>
    <w:rsid w:val="00621705"/>
    <w:rsid w:val="00622AD0"/>
    <w:rsid w:val="00623134"/>
    <w:rsid w:val="00623243"/>
    <w:rsid w:val="00624134"/>
    <w:rsid w:val="00624195"/>
    <w:rsid w:val="00624342"/>
    <w:rsid w:val="0062445A"/>
    <w:rsid w:val="006253D0"/>
    <w:rsid w:val="00625630"/>
    <w:rsid w:val="00625B0E"/>
    <w:rsid w:val="00626A2C"/>
    <w:rsid w:val="0062704A"/>
    <w:rsid w:val="00627A75"/>
    <w:rsid w:val="00627DC4"/>
    <w:rsid w:val="00631A4E"/>
    <w:rsid w:val="00631C45"/>
    <w:rsid w:val="0063296D"/>
    <w:rsid w:val="00632E61"/>
    <w:rsid w:val="00632F7B"/>
    <w:rsid w:val="0063391A"/>
    <w:rsid w:val="00633E7A"/>
    <w:rsid w:val="00634319"/>
    <w:rsid w:val="00635178"/>
    <w:rsid w:val="00635A9F"/>
    <w:rsid w:val="00635C5B"/>
    <w:rsid w:val="00635DB3"/>
    <w:rsid w:val="00636603"/>
    <w:rsid w:val="00636D8A"/>
    <w:rsid w:val="00636E8D"/>
    <w:rsid w:val="0063740C"/>
    <w:rsid w:val="00637537"/>
    <w:rsid w:val="0064068F"/>
    <w:rsid w:val="00640766"/>
    <w:rsid w:val="006409BA"/>
    <w:rsid w:val="006414D4"/>
    <w:rsid w:val="0064167B"/>
    <w:rsid w:val="00641896"/>
    <w:rsid w:val="00642AD2"/>
    <w:rsid w:val="00642C74"/>
    <w:rsid w:val="00642D5E"/>
    <w:rsid w:val="0064316E"/>
    <w:rsid w:val="00643722"/>
    <w:rsid w:val="00643ADC"/>
    <w:rsid w:val="00645CA3"/>
    <w:rsid w:val="00645D65"/>
    <w:rsid w:val="00645D71"/>
    <w:rsid w:val="006460FF"/>
    <w:rsid w:val="00646DF5"/>
    <w:rsid w:val="006472B1"/>
    <w:rsid w:val="0065060B"/>
    <w:rsid w:val="0065070F"/>
    <w:rsid w:val="00650775"/>
    <w:rsid w:val="00650899"/>
    <w:rsid w:val="00650B3A"/>
    <w:rsid w:val="0065121F"/>
    <w:rsid w:val="0065265F"/>
    <w:rsid w:val="00652D4A"/>
    <w:rsid w:val="00652EBF"/>
    <w:rsid w:val="00653A4D"/>
    <w:rsid w:val="00653CDB"/>
    <w:rsid w:val="00654712"/>
    <w:rsid w:val="006552D7"/>
    <w:rsid w:val="00655A5B"/>
    <w:rsid w:val="006566DA"/>
    <w:rsid w:val="0065672F"/>
    <w:rsid w:val="006567A8"/>
    <w:rsid w:val="00656D82"/>
    <w:rsid w:val="00657163"/>
    <w:rsid w:val="00657324"/>
    <w:rsid w:val="0065738F"/>
    <w:rsid w:val="00657415"/>
    <w:rsid w:val="00657F33"/>
    <w:rsid w:val="00660365"/>
    <w:rsid w:val="00662810"/>
    <w:rsid w:val="00662F8F"/>
    <w:rsid w:val="00663933"/>
    <w:rsid w:val="006640BE"/>
    <w:rsid w:val="00664652"/>
    <w:rsid w:val="00664B19"/>
    <w:rsid w:val="00664B9D"/>
    <w:rsid w:val="00665460"/>
    <w:rsid w:val="006655CB"/>
    <w:rsid w:val="0066597D"/>
    <w:rsid w:val="00665D7E"/>
    <w:rsid w:val="00666379"/>
    <w:rsid w:val="00670604"/>
    <w:rsid w:val="00670A84"/>
    <w:rsid w:val="00670C06"/>
    <w:rsid w:val="00670D92"/>
    <w:rsid w:val="00671095"/>
    <w:rsid w:val="00671914"/>
    <w:rsid w:val="00671A33"/>
    <w:rsid w:val="0067339F"/>
    <w:rsid w:val="00673418"/>
    <w:rsid w:val="00673470"/>
    <w:rsid w:val="00673C69"/>
    <w:rsid w:val="0067522E"/>
    <w:rsid w:val="006773FB"/>
    <w:rsid w:val="0067775E"/>
    <w:rsid w:val="00677B7D"/>
    <w:rsid w:val="00677DD3"/>
    <w:rsid w:val="0068138E"/>
    <w:rsid w:val="006821EF"/>
    <w:rsid w:val="00682A80"/>
    <w:rsid w:val="00682CF3"/>
    <w:rsid w:val="0068307D"/>
    <w:rsid w:val="00683190"/>
    <w:rsid w:val="00683508"/>
    <w:rsid w:val="00683655"/>
    <w:rsid w:val="00683B82"/>
    <w:rsid w:val="00684565"/>
    <w:rsid w:val="006845EE"/>
    <w:rsid w:val="00684B83"/>
    <w:rsid w:val="00684DE7"/>
    <w:rsid w:val="00684F87"/>
    <w:rsid w:val="00685179"/>
    <w:rsid w:val="00685B12"/>
    <w:rsid w:val="006860D7"/>
    <w:rsid w:val="00686424"/>
    <w:rsid w:val="006867D0"/>
    <w:rsid w:val="00686DDA"/>
    <w:rsid w:val="00687573"/>
    <w:rsid w:val="006900E6"/>
    <w:rsid w:val="006902C1"/>
    <w:rsid w:val="00690ABD"/>
    <w:rsid w:val="00690D20"/>
    <w:rsid w:val="006922F6"/>
    <w:rsid w:val="00694013"/>
    <w:rsid w:val="006948D6"/>
    <w:rsid w:val="00694941"/>
    <w:rsid w:val="006949EE"/>
    <w:rsid w:val="00694A1C"/>
    <w:rsid w:val="00695B16"/>
    <w:rsid w:val="006965AE"/>
    <w:rsid w:val="00696D41"/>
    <w:rsid w:val="00697072"/>
    <w:rsid w:val="006979B1"/>
    <w:rsid w:val="00697B26"/>
    <w:rsid w:val="006A0236"/>
    <w:rsid w:val="006A0E73"/>
    <w:rsid w:val="006A1A42"/>
    <w:rsid w:val="006A1A4D"/>
    <w:rsid w:val="006A207C"/>
    <w:rsid w:val="006A4024"/>
    <w:rsid w:val="006A5568"/>
    <w:rsid w:val="006A57D6"/>
    <w:rsid w:val="006A580B"/>
    <w:rsid w:val="006A5BAA"/>
    <w:rsid w:val="006A5D53"/>
    <w:rsid w:val="006A5E31"/>
    <w:rsid w:val="006A689D"/>
    <w:rsid w:val="006A6C34"/>
    <w:rsid w:val="006A7391"/>
    <w:rsid w:val="006A752F"/>
    <w:rsid w:val="006B0336"/>
    <w:rsid w:val="006B0DC1"/>
    <w:rsid w:val="006B13E9"/>
    <w:rsid w:val="006B1C38"/>
    <w:rsid w:val="006B26ED"/>
    <w:rsid w:val="006B2C20"/>
    <w:rsid w:val="006B329F"/>
    <w:rsid w:val="006B3347"/>
    <w:rsid w:val="006B34A0"/>
    <w:rsid w:val="006B388C"/>
    <w:rsid w:val="006B3EDE"/>
    <w:rsid w:val="006B44ED"/>
    <w:rsid w:val="006B4851"/>
    <w:rsid w:val="006B6032"/>
    <w:rsid w:val="006B614F"/>
    <w:rsid w:val="006B61A7"/>
    <w:rsid w:val="006B6B8C"/>
    <w:rsid w:val="006B7360"/>
    <w:rsid w:val="006B7C61"/>
    <w:rsid w:val="006C0908"/>
    <w:rsid w:val="006C193B"/>
    <w:rsid w:val="006C1F02"/>
    <w:rsid w:val="006C228E"/>
    <w:rsid w:val="006C2C39"/>
    <w:rsid w:val="006C2C5C"/>
    <w:rsid w:val="006C2F20"/>
    <w:rsid w:val="006C317F"/>
    <w:rsid w:val="006C3DB0"/>
    <w:rsid w:val="006C415C"/>
    <w:rsid w:val="006C46D1"/>
    <w:rsid w:val="006C491E"/>
    <w:rsid w:val="006C51D5"/>
    <w:rsid w:val="006C52BE"/>
    <w:rsid w:val="006C5793"/>
    <w:rsid w:val="006C61D3"/>
    <w:rsid w:val="006C6372"/>
    <w:rsid w:val="006C662D"/>
    <w:rsid w:val="006C665C"/>
    <w:rsid w:val="006C6766"/>
    <w:rsid w:val="006C7019"/>
    <w:rsid w:val="006D0185"/>
    <w:rsid w:val="006D0309"/>
    <w:rsid w:val="006D05A9"/>
    <w:rsid w:val="006D0793"/>
    <w:rsid w:val="006D0857"/>
    <w:rsid w:val="006D0A14"/>
    <w:rsid w:val="006D1396"/>
    <w:rsid w:val="006D21E6"/>
    <w:rsid w:val="006D28B1"/>
    <w:rsid w:val="006D2AD4"/>
    <w:rsid w:val="006D2CE7"/>
    <w:rsid w:val="006D2D1B"/>
    <w:rsid w:val="006D2D5F"/>
    <w:rsid w:val="006D2F36"/>
    <w:rsid w:val="006D3170"/>
    <w:rsid w:val="006D31C8"/>
    <w:rsid w:val="006D3A91"/>
    <w:rsid w:val="006D3B16"/>
    <w:rsid w:val="006D41B1"/>
    <w:rsid w:val="006D4D02"/>
    <w:rsid w:val="006D5127"/>
    <w:rsid w:val="006D5E05"/>
    <w:rsid w:val="006D70C1"/>
    <w:rsid w:val="006E0F5A"/>
    <w:rsid w:val="006E24C0"/>
    <w:rsid w:val="006E2DF0"/>
    <w:rsid w:val="006E3449"/>
    <w:rsid w:val="006E39FD"/>
    <w:rsid w:val="006E4F6C"/>
    <w:rsid w:val="006E5256"/>
    <w:rsid w:val="006E5A44"/>
    <w:rsid w:val="006E6C0F"/>
    <w:rsid w:val="006E71B2"/>
    <w:rsid w:val="006E7931"/>
    <w:rsid w:val="006E7AF1"/>
    <w:rsid w:val="006E7B9D"/>
    <w:rsid w:val="006F13B3"/>
    <w:rsid w:val="006F1DA1"/>
    <w:rsid w:val="006F203F"/>
    <w:rsid w:val="006F24E4"/>
    <w:rsid w:val="006F2A5B"/>
    <w:rsid w:val="006F4322"/>
    <w:rsid w:val="006F470E"/>
    <w:rsid w:val="006F4D7A"/>
    <w:rsid w:val="006F4FA2"/>
    <w:rsid w:val="006F5849"/>
    <w:rsid w:val="006F61EC"/>
    <w:rsid w:val="006F6BC8"/>
    <w:rsid w:val="006F6C95"/>
    <w:rsid w:val="006F6E33"/>
    <w:rsid w:val="006F7095"/>
    <w:rsid w:val="00700BFB"/>
    <w:rsid w:val="007011DD"/>
    <w:rsid w:val="00701D97"/>
    <w:rsid w:val="00702C25"/>
    <w:rsid w:val="00703133"/>
    <w:rsid w:val="007043F7"/>
    <w:rsid w:val="0070451D"/>
    <w:rsid w:val="007048B8"/>
    <w:rsid w:val="00704C9D"/>
    <w:rsid w:val="00705065"/>
    <w:rsid w:val="00705325"/>
    <w:rsid w:val="0070587A"/>
    <w:rsid w:val="00705D6A"/>
    <w:rsid w:val="00706344"/>
    <w:rsid w:val="00706921"/>
    <w:rsid w:val="00706B86"/>
    <w:rsid w:val="007072D1"/>
    <w:rsid w:val="0070745F"/>
    <w:rsid w:val="0070782D"/>
    <w:rsid w:val="00710AAD"/>
    <w:rsid w:val="00710CE8"/>
    <w:rsid w:val="00711745"/>
    <w:rsid w:val="0071181D"/>
    <w:rsid w:val="00711DD3"/>
    <w:rsid w:val="00711EA6"/>
    <w:rsid w:val="00715484"/>
    <w:rsid w:val="00716930"/>
    <w:rsid w:val="00716EF6"/>
    <w:rsid w:val="0071715C"/>
    <w:rsid w:val="00717606"/>
    <w:rsid w:val="007177F8"/>
    <w:rsid w:val="00717872"/>
    <w:rsid w:val="00717B40"/>
    <w:rsid w:val="00720E0E"/>
    <w:rsid w:val="0072187E"/>
    <w:rsid w:val="0072335E"/>
    <w:rsid w:val="00723AB3"/>
    <w:rsid w:val="00723C34"/>
    <w:rsid w:val="007259F9"/>
    <w:rsid w:val="00726343"/>
    <w:rsid w:val="00726BF2"/>
    <w:rsid w:val="00726D8C"/>
    <w:rsid w:val="00727605"/>
    <w:rsid w:val="007276A8"/>
    <w:rsid w:val="00727765"/>
    <w:rsid w:val="00727BAB"/>
    <w:rsid w:val="00730452"/>
    <w:rsid w:val="00731D01"/>
    <w:rsid w:val="00731D80"/>
    <w:rsid w:val="00732067"/>
    <w:rsid w:val="00732DD1"/>
    <w:rsid w:val="007332E0"/>
    <w:rsid w:val="00733741"/>
    <w:rsid w:val="00733E74"/>
    <w:rsid w:val="00734A76"/>
    <w:rsid w:val="00734AAE"/>
    <w:rsid w:val="00734DA1"/>
    <w:rsid w:val="00735668"/>
    <w:rsid w:val="00735AD1"/>
    <w:rsid w:val="0073657F"/>
    <w:rsid w:val="007370A6"/>
    <w:rsid w:val="00740065"/>
    <w:rsid w:val="00740317"/>
    <w:rsid w:val="007405F3"/>
    <w:rsid w:val="00740FDC"/>
    <w:rsid w:val="00741CA5"/>
    <w:rsid w:val="007420EB"/>
    <w:rsid w:val="00742D11"/>
    <w:rsid w:val="00743B9D"/>
    <w:rsid w:val="00743FA8"/>
    <w:rsid w:val="00744478"/>
    <w:rsid w:val="007447C6"/>
    <w:rsid w:val="0074485F"/>
    <w:rsid w:val="007451F1"/>
    <w:rsid w:val="0074563D"/>
    <w:rsid w:val="007457DC"/>
    <w:rsid w:val="00745EA9"/>
    <w:rsid w:val="00745EEB"/>
    <w:rsid w:val="007475C8"/>
    <w:rsid w:val="0074779D"/>
    <w:rsid w:val="00747839"/>
    <w:rsid w:val="007501AF"/>
    <w:rsid w:val="0075074D"/>
    <w:rsid w:val="00750D9A"/>
    <w:rsid w:val="00750F05"/>
    <w:rsid w:val="007520D6"/>
    <w:rsid w:val="007523E6"/>
    <w:rsid w:val="007525C1"/>
    <w:rsid w:val="00752DB8"/>
    <w:rsid w:val="00753A4A"/>
    <w:rsid w:val="00754129"/>
    <w:rsid w:val="007545FE"/>
    <w:rsid w:val="0075485A"/>
    <w:rsid w:val="00756511"/>
    <w:rsid w:val="00756D2C"/>
    <w:rsid w:val="00756F6D"/>
    <w:rsid w:val="00757BC3"/>
    <w:rsid w:val="00757FEE"/>
    <w:rsid w:val="0076042F"/>
    <w:rsid w:val="00760B1D"/>
    <w:rsid w:val="007615B4"/>
    <w:rsid w:val="00761CC4"/>
    <w:rsid w:val="00762028"/>
    <w:rsid w:val="0076333B"/>
    <w:rsid w:val="007640DC"/>
    <w:rsid w:val="0076419D"/>
    <w:rsid w:val="007642C5"/>
    <w:rsid w:val="0076464C"/>
    <w:rsid w:val="00765B86"/>
    <w:rsid w:val="0076640E"/>
    <w:rsid w:val="00766457"/>
    <w:rsid w:val="00766DCA"/>
    <w:rsid w:val="00770FFC"/>
    <w:rsid w:val="007712FF"/>
    <w:rsid w:val="0077248B"/>
    <w:rsid w:val="00772B7E"/>
    <w:rsid w:val="00772D69"/>
    <w:rsid w:val="00773846"/>
    <w:rsid w:val="007744EC"/>
    <w:rsid w:val="00774AFF"/>
    <w:rsid w:val="00774BB7"/>
    <w:rsid w:val="00774BEB"/>
    <w:rsid w:val="00774D72"/>
    <w:rsid w:val="007751E8"/>
    <w:rsid w:val="00776880"/>
    <w:rsid w:val="0077692E"/>
    <w:rsid w:val="00776D1F"/>
    <w:rsid w:val="00776D29"/>
    <w:rsid w:val="00777A23"/>
    <w:rsid w:val="007805CE"/>
    <w:rsid w:val="007808C8"/>
    <w:rsid w:val="00783A61"/>
    <w:rsid w:val="00786328"/>
    <w:rsid w:val="007863A5"/>
    <w:rsid w:val="00786A61"/>
    <w:rsid w:val="00790C7E"/>
    <w:rsid w:val="00790F50"/>
    <w:rsid w:val="00791CD4"/>
    <w:rsid w:val="00791E70"/>
    <w:rsid w:val="007931CD"/>
    <w:rsid w:val="00793607"/>
    <w:rsid w:val="00793EC6"/>
    <w:rsid w:val="00794287"/>
    <w:rsid w:val="007944C4"/>
    <w:rsid w:val="00794CB7"/>
    <w:rsid w:val="00795864"/>
    <w:rsid w:val="007959B0"/>
    <w:rsid w:val="00795A28"/>
    <w:rsid w:val="00796536"/>
    <w:rsid w:val="00796A79"/>
    <w:rsid w:val="00797217"/>
    <w:rsid w:val="00797685"/>
    <w:rsid w:val="007A136E"/>
    <w:rsid w:val="007A16AB"/>
    <w:rsid w:val="007A2141"/>
    <w:rsid w:val="007A266A"/>
    <w:rsid w:val="007A3355"/>
    <w:rsid w:val="007A38F9"/>
    <w:rsid w:val="007A3BE0"/>
    <w:rsid w:val="007A4828"/>
    <w:rsid w:val="007A4D97"/>
    <w:rsid w:val="007A532C"/>
    <w:rsid w:val="007A6766"/>
    <w:rsid w:val="007A6A9F"/>
    <w:rsid w:val="007B0105"/>
    <w:rsid w:val="007B08DA"/>
    <w:rsid w:val="007B1338"/>
    <w:rsid w:val="007B25E1"/>
    <w:rsid w:val="007B318F"/>
    <w:rsid w:val="007B38F2"/>
    <w:rsid w:val="007B410E"/>
    <w:rsid w:val="007B410F"/>
    <w:rsid w:val="007B5374"/>
    <w:rsid w:val="007B5A72"/>
    <w:rsid w:val="007B72E0"/>
    <w:rsid w:val="007B75F7"/>
    <w:rsid w:val="007C010F"/>
    <w:rsid w:val="007C0133"/>
    <w:rsid w:val="007C0C23"/>
    <w:rsid w:val="007C185F"/>
    <w:rsid w:val="007C1EF7"/>
    <w:rsid w:val="007C1EFB"/>
    <w:rsid w:val="007C248F"/>
    <w:rsid w:val="007C28E6"/>
    <w:rsid w:val="007C3549"/>
    <w:rsid w:val="007C3C28"/>
    <w:rsid w:val="007C5292"/>
    <w:rsid w:val="007C530B"/>
    <w:rsid w:val="007C5AC6"/>
    <w:rsid w:val="007D061B"/>
    <w:rsid w:val="007D11B5"/>
    <w:rsid w:val="007D11E5"/>
    <w:rsid w:val="007D1AE9"/>
    <w:rsid w:val="007D1B7C"/>
    <w:rsid w:val="007D22B1"/>
    <w:rsid w:val="007D28C7"/>
    <w:rsid w:val="007D324F"/>
    <w:rsid w:val="007D55BF"/>
    <w:rsid w:val="007D56E2"/>
    <w:rsid w:val="007D58BA"/>
    <w:rsid w:val="007D5971"/>
    <w:rsid w:val="007D5E50"/>
    <w:rsid w:val="007D5E9D"/>
    <w:rsid w:val="007D6CD6"/>
    <w:rsid w:val="007D6EF3"/>
    <w:rsid w:val="007D75FE"/>
    <w:rsid w:val="007D7614"/>
    <w:rsid w:val="007D79B7"/>
    <w:rsid w:val="007E00A9"/>
    <w:rsid w:val="007E0FCF"/>
    <w:rsid w:val="007E1841"/>
    <w:rsid w:val="007E18DF"/>
    <w:rsid w:val="007E18E1"/>
    <w:rsid w:val="007E1913"/>
    <w:rsid w:val="007E1BCA"/>
    <w:rsid w:val="007E1BEA"/>
    <w:rsid w:val="007E24CA"/>
    <w:rsid w:val="007E282D"/>
    <w:rsid w:val="007E357B"/>
    <w:rsid w:val="007E373C"/>
    <w:rsid w:val="007E3AB8"/>
    <w:rsid w:val="007E4449"/>
    <w:rsid w:val="007E4FD7"/>
    <w:rsid w:val="007E5397"/>
    <w:rsid w:val="007E55E7"/>
    <w:rsid w:val="007E5B69"/>
    <w:rsid w:val="007F0418"/>
    <w:rsid w:val="007F0B9D"/>
    <w:rsid w:val="007F1592"/>
    <w:rsid w:val="007F165C"/>
    <w:rsid w:val="007F29FE"/>
    <w:rsid w:val="007F2A07"/>
    <w:rsid w:val="007F366E"/>
    <w:rsid w:val="007F3A5E"/>
    <w:rsid w:val="007F42C5"/>
    <w:rsid w:val="007F4455"/>
    <w:rsid w:val="007F4D03"/>
    <w:rsid w:val="007F5F6E"/>
    <w:rsid w:val="007F7AA0"/>
    <w:rsid w:val="00800B19"/>
    <w:rsid w:val="00801996"/>
    <w:rsid w:val="00801CCD"/>
    <w:rsid w:val="00801D33"/>
    <w:rsid w:val="00801D44"/>
    <w:rsid w:val="008021CF"/>
    <w:rsid w:val="00802270"/>
    <w:rsid w:val="00802AFA"/>
    <w:rsid w:val="00802DEC"/>
    <w:rsid w:val="008031D4"/>
    <w:rsid w:val="00803E62"/>
    <w:rsid w:val="00803EEE"/>
    <w:rsid w:val="008050A7"/>
    <w:rsid w:val="00805132"/>
    <w:rsid w:val="008052C5"/>
    <w:rsid w:val="00806329"/>
    <w:rsid w:val="008065D2"/>
    <w:rsid w:val="0080679B"/>
    <w:rsid w:val="008068F9"/>
    <w:rsid w:val="008102E5"/>
    <w:rsid w:val="00810CF4"/>
    <w:rsid w:val="00811254"/>
    <w:rsid w:val="00812539"/>
    <w:rsid w:val="00812786"/>
    <w:rsid w:val="00812E1C"/>
    <w:rsid w:val="00813113"/>
    <w:rsid w:val="008131E7"/>
    <w:rsid w:val="00813237"/>
    <w:rsid w:val="00813ED4"/>
    <w:rsid w:val="0081417B"/>
    <w:rsid w:val="008148D3"/>
    <w:rsid w:val="00814C19"/>
    <w:rsid w:val="00814FE2"/>
    <w:rsid w:val="0081517C"/>
    <w:rsid w:val="00815689"/>
    <w:rsid w:val="0081602B"/>
    <w:rsid w:val="008174FC"/>
    <w:rsid w:val="00817A8D"/>
    <w:rsid w:val="00820A08"/>
    <w:rsid w:val="00820FF9"/>
    <w:rsid w:val="00821CE0"/>
    <w:rsid w:val="00823137"/>
    <w:rsid w:val="00823C17"/>
    <w:rsid w:val="00824CE5"/>
    <w:rsid w:val="00825255"/>
    <w:rsid w:val="008252C9"/>
    <w:rsid w:val="008258CC"/>
    <w:rsid w:val="008270BB"/>
    <w:rsid w:val="00830C2B"/>
    <w:rsid w:val="008310B5"/>
    <w:rsid w:val="00831479"/>
    <w:rsid w:val="008316D1"/>
    <w:rsid w:val="00832524"/>
    <w:rsid w:val="00832E85"/>
    <w:rsid w:val="00833C72"/>
    <w:rsid w:val="00833F29"/>
    <w:rsid w:val="00834264"/>
    <w:rsid w:val="00834ADE"/>
    <w:rsid w:val="00835990"/>
    <w:rsid w:val="00835B91"/>
    <w:rsid w:val="008360D4"/>
    <w:rsid w:val="00836433"/>
    <w:rsid w:val="00836AE1"/>
    <w:rsid w:val="008379A4"/>
    <w:rsid w:val="00837FB1"/>
    <w:rsid w:val="00837FE3"/>
    <w:rsid w:val="00840D95"/>
    <w:rsid w:val="008423B6"/>
    <w:rsid w:val="008438AA"/>
    <w:rsid w:val="008440E0"/>
    <w:rsid w:val="0084508F"/>
    <w:rsid w:val="00845A48"/>
    <w:rsid w:val="0084601A"/>
    <w:rsid w:val="0084632A"/>
    <w:rsid w:val="0084641C"/>
    <w:rsid w:val="008477B2"/>
    <w:rsid w:val="00847FF9"/>
    <w:rsid w:val="0085092A"/>
    <w:rsid w:val="00851816"/>
    <w:rsid w:val="00852C51"/>
    <w:rsid w:val="008530F3"/>
    <w:rsid w:val="0085326C"/>
    <w:rsid w:val="0085331B"/>
    <w:rsid w:val="0085400F"/>
    <w:rsid w:val="0085425F"/>
    <w:rsid w:val="00854D46"/>
    <w:rsid w:val="00855411"/>
    <w:rsid w:val="0085561D"/>
    <w:rsid w:val="008557B7"/>
    <w:rsid w:val="00856360"/>
    <w:rsid w:val="0085733F"/>
    <w:rsid w:val="00857489"/>
    <w:rsid w:val="008575F5"/>
    <w:rsid w:val="00860715"/>
    <w:rsid w:val="0086072F"/>
    <w:rsid w:val="008611E4"/>
    <w:rsid w:val="008614A8"/>
    <w:rsid w:val="00862728"/>
    <w:rsid w:val="0086273E"/>
    <w:rsid w:val="00862E06"/>
    <w:rsid w:val="00862F50"/>
    <w:rsid w:val="0086312B"/>
    <w:rsid w:val="00863531"/>
    <w:rsid w:val="008637E4"/>
    <w:rsid w:val="00864597"/>
    <w:rsid w:val="008653AD"/>
    <w:rsid w:val="0086546D"/>
    <w:rsid w:val="00865EC7"/>
    <w:rsid w:val="00866056"/>
    <w:rsid w:val="00866472"/>
    <w:rsid w:val="0086664F"/>
    <w:rsid w:val="00866AD1"/>
    <w:rsid w:val="008678B7"/>
    <w:rsid w:val="00867F78"/>
    <w:rsid w:val="00871950"/>
    <w:rsid w:val="00871CFE"/>
    <w:rsid w:val="00872790"/>
    <w:rsid w:val="00872A18"/>
    <w:rsid w:val="00872B43"/>
    <w:rsid w:val="00872D4B"/>
    <w:rsid w:val="00872D62"/>
    <w:rsid w:val="0087440F"/>
    <w:rsid w:val="00874B9E"/>
    <w:rsid w:val="008752A2"/>
    <w:rsid w:val="0087575F"/>
    <w:rsid w:val="0087584C"/>
    <w:rsid w:val="008759D0"/>
    <w:rsid w:val="00877AEF"/>
    <w:rsid w:val="00880075"/>
    <w:rsid w:val="00880CAF"/>
    <w:rsid w:val="00880F20"/>
    <w:rsid w:val="00883008"/>
    <w:rsid w:val="008830B7"/>
    <w:rsid w:val="00884009"/>
    <w:rsid w:val="008840C9"/>
    <w:rsid w:val="008858C2"/>
    <w:rsid w:val="0088680C"/>
    <w:rsid w:val="0088721D"/>
    <w:rsid w:val="0089017F"/>
    <w:rsid w:val="00891251"/>
    <w:rsid w:val="008915D7"/>
    <w:rsid w:val="008925B7"/>
    <w:rsid w:val="0089298B"/>
    <w:rsid w:val="00892AC6"/>
    <w:rsid w:val="0089390F"/>
    <w:rsid w:val="0089405B"/>
    <w:rsid w:val="00895472"/>
    <w:rsid w:val="0089586F"/>
    <w:rsid w:val="0089694F"/>
    <w:rsid w:val="008976BE"/>
    <w:rsid w:val="008978F6"/>
    <w:rsid w:val="008979F7"/>
    <w:rsid w:val="008A1BE8"/>
    <w:rsid w:val="008A1E5A"/>
    <w:rsid w:val="008A1F74"/>
    <w:rsid w:val="008A26D7"/>
    <w:rsid w:val="008A2928"/>
    <w:rsid w:val="008A2C91"/>
    <w:rsid w:val="008A3887"/>
    <w:rsid w:val="008A3FA7"/>
    <w:rsid w:val="008A46E0"/>
    <w:rsid w:val="008A4C6D"/>
    <w:rsid w:val="008A4CFA"/>
    <w:rsid w:val="008A6067"/>
    <w:rsid w:val="008A6093"/>
    <w:rsid w:val="008A6E04"/>
    <w:rsid w:val="008B01AF"/>
    <w:rsid w:val="008B04DD"/>
    <w:rsid w:val="008B1628"/>
    <w:rsid w:val="008B1D3E"/>
    <w:rsid w:val="008B35E5"/>
    <w:rsid w:val="008B37CD"/>
    <w:rsid w:val="008B3E57"/>
    <w:rsid w:val="008B47D5"/>
    <w:rsid w:val="008B489D"/>
    <w:rsid w:val="008B5C83"/>
    <w:rsid w:val="008B62C1"/>
    <w:rsid w:val="008B6BF7"/>
    <w:rsid w:val="008C08C0"/>
    <w:rsid w:val="008C0DC3"/>
    <w:rsid w:val="008C1757"/>
    <w:rsid w:val="008C1BE2"/>
    <w:rsid w:val="008C3545"/>
    <w:rsid w:val="008C4123"/>
    <w:rsid w:val="008C473F"/>
    <w:rsid w:val="008C506D"/>
    <w:rsid w:val="008C51AF"/>
    <w:rsid w:val="008C51C0"/>
    <w:rsid w:val="008C53D1"/>
    <w:rsid w:val="008C5950"/>
    <w:rsid w:val="008C5969"/>
    <w:rsid w:val="008C5A9B"/>
    <w:rsid w:val="008C5B8D"/>
    <w:rsid w:val="008C6CE9"/>
    <w:rsid w:val="008C6DDB"/>
    <w:rsid w:val="008C6DDE"/>
    <w:rsid w:val="008C7094"/>
    <w:rsid w:val="008C7D6B"/>
    <w:rsid w:val="008D0F8F"/>
    <w:rsid w:val="008D19AE"/>
    <w:rsid w:val="008D2123"/>
    <w:rsid w:val="008D250D"/>
    <w:rsid w:val="008D2939"/>
    <w:rsid w:val="008D30B1"/>
    <w:rsid w:val="008D315A"/>
    <w:rsid w:val="008D322B"/>
    <w:rsid w:val="008D3A07"/>
    <w:rsid w:val="008D3AFE"/>
    <w:rsid w:val="008D3EAF"/>
    <w:rsid w:val="008D6354"/>
    <w:rsid w:val="008D6485"/>
    <w:rsid w:val="008D735B"/>
    <w:rsid w:val="008E040B"/>
    <w:rsid w:val="008E0AFF"/>
    <w:rsid w:val="008E1534"/>
    <w:rsid w:val="008E1D3A"/>
    <w:rsid w:val="008E24D6"/>
    <w:rsid w:val="008E28BA"/>
    <w:rsid w:val="008E459E"/>
    <w:rsid w:val="008E4CBB"/>
    <w:rsid w:val="008E57DF"/>
    <w:rsid w:val="008E6617"/>
    <w:rsid w:val="008E687A"/>
    <w:rsid w:val="008E70D4"/>
    <w:rsid w:val="008E7961"/>
    <w:rsid w:val="008F058D"/>
    <w:rsid w:val="008F07C8"/>
    <w:rsid w:val="008F0807"/>
    <w:rsid w:val="008F0CEA"/>
    <w:rsid w:val="008F1447"/>
    <w:rsid w:val="008F1F78"/>
    <w:rsid w:val="008F2ADF"/>
    <w:rsid w:val="008F3796"/>
    <w:rsid w:val="008F3A08"/>
    <w:rsid w:val="008F3AB3"/>
    <w:rsid w:val="008F49BB"/>
    <w:rsid w:val="008F4C13"/>
    <w:rsid w:val="008F5794"/>
    <w:rsid w:val="008F57E9"/>
    <w:rsid w:val="008F683E"/>
    <w:rsid w:val="008F6E0F"/>
    <w:rsid w:val="00900F3F"/>
    <w:rsid w:val="009014BB"/>
    <w:rsid w:val="009014D1"/>
    <w:rsid w:val="0090165F"/>
    <w:rsid w:val="00901DEF"/>
    <w:rsid w:val="00902264"/>
    <w:rsid w:val="00902FE1"/>
    <w:rsid w:val="00904353"/>
    <w:rsid w:val="00904C86"/>
    <w:rsid w:val="00906623"/>
    <w:rsid w:val="00906A8F"/>
    <w:rsid w:val="00911206"/>
    <w:rsid w:val="009117EB"/>
    <w:rsid w:val="00911FDA"/>
    <w:rsid w:val="00913705"/>
    <w:rsid w:val="00915273"/>
    <w:rsid w:val="0091639F"/>
    <w:rsid w:val="0091688C"/>
    <w:rsid w:val="00917421"/>
    <w:rsid w:val="009211E4"/>
    <w:rsid w:val="009214E0"/>
    <w:rsid w:val="00922258"/>
    <w:rsid w:val="009222FF"/>
    <w:rsid w:val="009223B1"/>
    <w:rsid w:val="009223B8"/>
    <w:rsid w:val="009228E3"/>
    <w:rsid w:val="0092339B"/>
    <w:rsid w:val="00923466"/>
    <w:rsid w:val="009235E2"/>
    <w:rsid w:val="00923B2B"/>
    <w:rsid w:val="00923F90"/>
    <w:rsid w:val="0092531D"/>
    <w:rsid w:val="00925F14"/>
    <w:rsid w:val="009263A2"/>
    <w:rsid w:val="00927FF7"/>
    <w:rsid w:val="00930AF6"/>
    <w:rsid w:val="00931426"/>
    <w:rsid w:val="00931795"/>
    <w:rsid w:val="00932429"/>
    <w:rsid w:val="0093269D"/>
    <w:rsid w:val="00932853"/>
    <w:rsid w:val="0093323C"/>
    <w:rsid w:val="00934295"/>
    <w:rsid w:val="00935561"/>
    <w:rsid w:val="009365AC"/>
    <w:rsid w:val="00936F79"/>
    <w:rsid w:val="009375BF"/>
    <w:rsid w:val="00937809"/>
    <w:rsid w:val="00940B9F"/>
    <w:rsid w:val="00940E45"/>
    <w:rsid w:val="00942958"/>
    <w:rsid w:val="00942E5C"/>
    <w:rsid w:val="0094361F"/>
    <w:rsid w:val="00943F33"/>
    <w:rsid w:val="00944068"/>
    <w:rsid w:val="0094441F"/>
    <w:rsid w:val="0094470E"/>
    <w:rsid w:val="009448E5"/>
    <w:rsid w:val="00944BCA"/>
    <w:rsid w:val="00944E5F"/>
    <w:rsid w:val="00945ACF"/>
    <w:rsid w:val="00946A66"/>
    <w:rsid w:val="00947A91"/>
    <w:rsid w:val="009500E8"/>
    <w:rsid w:val="0095033F"/>
    <w:rsid w:val="009508BE"/>
    <w:rsid w:val="00951F54"/>
    <w:rsid w:val="00953502"/>
    <w:rsid w:val="00953A16"/>
    <w:rsid w:val="00953E6B"/>
    <w:rsid w:val="00954B51"/>
    <w:rsid w:val="009554F0"/>
    <w:rsid w:val="009558D7"/>
    <w:rsid w:val="00955BDC"/>
    <w:rsid w:val="00955C7B"/>
    <w:rsid w:val="00956213"/>
    <w:rsid w:val="0095621D"/>
    <w:rsid w:val="0095670B"/>
    <w:rsid w:val="0095673A"/>
    <w:rsid w:val="00956CFD"/>
    <w:rsid w:val="009574AD"/>
    <w:rsid w:val="00961754"/>
    <w:rsid w:val="00961DDD"/>
    <w:rsid w:val="009622D9"/>
    <w:rsid w:val="00962712"/>
    <w:rsid w:val="00962B08"/>
    <w:rsid w:val="0096384C"/>
    <w:rsid w:val="00964465"/>
    <w:rsid w:val="00965F15"/>
    <w:rsid w:val="00967E4F"/>
    <w:rsid w:val="00970504"/>
    <w:rsid w:val="009706B5"/>
    <w:rsid w:val="009709FA"/>
    <w:rsid w:val="00970E05"/>
    <w:rsid w:val="00970F68"/>
    <w:rsid w:val="00971141"/>
    <w:rsid w:val="00971CB5"/>
    <w:rsid w:val="00971E50"/>
    <w:rsid w:val="009725F4"/>
    <w:rsid w:val="00973002"/>
    <w:rsid w:val="00973154"/>
    <w:rsid w:val="00973ABD"/>
    <w:rsid w:val="00973C77"/>
    <w:rsid w:val="00973D6A"/>
    <w:rsid w:val="009742AF"/>
    <w:rsid w:val="0097456F"/>
    <w:rsid w:val="00974EE4"/>
    <w:rsid w:val="00975B0F"/>
    <w:rsid w:val="009766E6"/>
    <w:rsid w:val="00976EBC"/>
    <w:rsid w:val="00977E4D"/>
    <w:rsid w:val="009802B3"/>
    <w:rsid w:val="009807DE"/>
    <w:rsid w:val="00981893"/>
    <w:rsid w:val="00982D96"/>
    <w:rsid w:val="00983005"/>
    <w:rsid w:val="009830BB"/>
    <w:rsid w:val="00983C6F"/>
    <w:rsid w:val="00986304"/>
    <w:rsid w:val="009867FC"/>
    <w:rsid w:val="009877FA"/>
    <w:rsid w:val="00990592"/>
    <w:rsid w:val="0099067C"/>
    <w:rsid w:val="00990A14"/>
    <w:rsid w:val="00990B92"/>
    <w:rsid w:val="00991194"/>
    <w:rsid w:val="0099127B"/>
    <w:rsid w:val="00991818"/>
    <w:rsid w:val="00991D90"/>
    <w:rsid w:val="009929D1"/>
    <w:rsid w:val="00992B16"/>
    <w:rsid w:val="009933F1"/>
    <w:rsid w:val="00993400"/>
    <w:rsid w:val="0099346E"/>
    <w:rsid w:val="009934F0"/>
    <w:rsid w:val="009935C2"/>
    <w:rsid w:val="009936C6"/>
    <w:rsid w:val="009936FF"/>
    <w:rsid w:val="00993B49"/>
    <w:rsid w:val="0099439C"/>
    <w:rsid w:val="0099463D"/>
    <w:rsid w:val="00995ACB"/>
    <w:rsid w:val="00995F09"/>
    <w:rsid w:val="00996EA4"/>
    <w:rsid w:val="009A003E"/>
    <w:rsid w:val="009A024D"/>
    <w:rsid w:val="009A041A"/>
    <w:rsid w:val="009A18EE"/>
    <w:rsid w:val="009A248F"/>
    <w:rsid w:val="009A26D8"/>
    <w:rsid w:val="009A27D6"/>
    <w:rsid w:val="009A4AA7"/>
    <w:rsid w:val="009A5139"/>
    <w:rsid w:val="009A64A4"/>
    <w:rsid w:val="009A72F6"/>
    <w:rsid w:val="009A75F9"/>
    <w:rsid w:val="009A7619"/>
    <w:rsid w:val="009B05ED"/>
    <w:rsid w:val="009B1040"/>
    <w:rsid w:val="009B1956"/>
    <w:rsid w:val="009B27E6"/>
    <w:rsid w:val="009B31FE"/>
    <w:rsid w:val="009B3359"/>
    <w:rsid w:val="009B3524"/>
    <w:rsid w:val="009B3571"/>
    <w:rsid w:val="009B3E88"/>
    <w:rsid w:val="009B3F3E"/>
    <w:rsid w:val="009B513B"/>
    <w:rsid w:val="009B5C94"/>
    <w:rsid w:val="009B5FF7"/>
    <w:rsid w:val="009B661A"/>
    <w:rsid w:val="009B687E"/>
    <w:rsid w:val="009B6B04"/>
    <w:rsid w:val="009B700B"/>
    <w:rsid w:val="009B734F"/>
    <w:rsid w:val="009B7832"/>
    <w:rsid w:val="009B7FFC"/>
    <w:rsid w:val="009C01DA"/>
    <w:rsid w:val="009C0B44"/>
    <w:rsid w:val="009C1038"/>
    <w:rsid w:val="009C1448"/>
    <w:rsid w:val="009C28B0"/>
    <w:rsid w:val="009C3107"/>
    <w:rsid w:val="009C3564"/>
    <w:rsid w:val="009C3A40"/>
    <w:rsid w:val="009C46DA"/>
    <w:rsid w:val="009C476B"/>
    <w:rsid w:val="009C4F99"/>
    <w:rsid w:val="009C5191"/>
    <w:rsid w:val="009C5B48"/>
    <w:rsid w:val="009C5C4B"/>
    <w:rsid w:val="009C6887"/>
    <w:rsid w:val="009C68C3"/>
    <w:rsid w:val="009C76D0"/>
    <w:rsid w:val="009C76DE"/>
    <w:rsid w:val="009C7E07"/>
    <w:rsid w:val="009C7EEF"/>
    <w:rsid w:val="009D06B5"/>
    <w:rsid w:val="009D0924"/>
    <w:rsid w:val="009D0CA3"/>
    <w:rsid w:val="009D1273"/>
    <w:rsid w:val="009D12AA"/>
    <w:rsid w:val="009D3209"/>
    <w:rsid w:val="009D33B6"/>
    <w:rsid w:val="009D3752"/>
    <w:rsid w:val="009D3867"/>
    <w:rsid w:val="009D4513"/>
    <w:rsid w:val="009D4CD6"/>
    <w:rsid w:val="009D6056"/>
    <w:rsid w:val="009D60F2"/>
    <w:rsid w:val="009D6337"/>
    <w:rsid w:val="009D6B27"/>
    <w:rsid w:val="009D737C"/>
    <w:rsid w:val="009D7BD8"/>
    <w:rsid w:val="009E1133"/>
    <w:rsid w:val="009E1CB0"/>
    <w:rsid w:val="009E20D6"/>
    <w:rsid w:val="009E23A7"/>
    <w:rsid w:val="009E29F7"/>
    <w:rsid w:val="009E303D"/>
    <w:rsid w:val="009E397E"/>
    <w:rsid w:val="009E4907"/>
    <w:rsid w:val="009E5B97"/>
    <w:rsid w:val="009E63BF"/>
    <w:rsid w:val="009E6F10"/>
    <w:rsid w:val="009E7EDC"/>
    <w:rsid w:val="009E7F5F"/>
    <w:rsid w:val="009F0478"/>
    <w:rsid w:val="009F0B1E"/>
    <w:rsid w:val="009F0BE9"/>
    <w:rsid w:val="009F1125"/>
    <w:rsid w:val="009F23A2"/>
    <w:rsid w:val="009F44E9"/>
    <w:rsid w:val="009F454C"/>
    <w:rsid w:val="009F458D"/>
    <w:rsid w:val="009F571B"/>
    <w:rsid w:val="009F5C48"/>
    <w:rsid w:val="009F659E"/>
    <w:rsid w:val="009F7476"/>
    <w:rsid w:val="009F78A0"/>
    <w:rsid w:val="009F7CC6"/>
    <w:rsid w:val="009F7EBE"/>
    <w:rsid w:val="00A00F35"/>
    <w:rsid w:val="00A0110E"/>
    <w:rsid w:val="00A0197E"/>
    <w:rsid w:val="00A01DAC"/>
    <w:rsid w:val="00A02318"/>
    <w:rsid w:val="00A024B4"/>
    <w:rsid w:val="00A02693"/>
    <w:rsid w:val="00A026D7"/>
    <w:rsid w:val="00A02B93"/>
    <w:rsid w:val="00A0346F"/>
    <w:rsid w:val="00A0362E"/>
    <w:rsid w:val="00A039EC"/>
    <w:rsid w:val="00A044D6"/>
    <w:rsid w:val="00A04FDE"/>
    <w:rsid w:val="00A07906"/>
    <w:rsid w:val="00A07F95"/>
    <w:rsid w:val="00A10239"/>
    <w:rsid w:val="00A10C8B"/>
    <w:rsid w:val="00A10CA0"/>
    <w:rsid w:val="00A11646"/>
    <w:rsid w:val="00A11BF7"/>
    <w:rsid w:val="00A122EA"/>
    <w:rsid w:val="00A12495"/>
    <w:rsid w:val="00A13561"/>
    <w:rsid w:val="00A138A4"/>
    <w:rsid w:val="00A13D28"/>
    <w:rsid w:val="00A142D1"/>
    <w:rsid w:val="00A15646"/>
    <w:rsid w:val="00A157E1"/>
    <w:rsid w:val="00A15958"/>
    <w:rsid w:val="00A15C85"/>
    <w:rsid w:val="00A16067"/>
    <w:rsid w:val="00A163F2"/>
    <w:rsid w:val="00A170DA"/>
    <w:rsid w:val="00A17B50"/>
    <w:rsid w:val="00A209BF"/>
    <w:rsid w:val="00A217A7"/>
    <w:rsid w:val="00A21B28"/>
    <w:rsid w:val="00A22019"/>
    <w:rsid w:val="00A2223D"/>
    <w:rsid w:val="00A2228D"/>
    <w:rsid w:val="00A22A63"/>
    <w:rsid w:val="00A22FD0"/>
    <w:rsid w:val="00A23007"/>
    <w:rsid w:val="00A24330"/>
    <w:rsid w:val="00A246EF"/>
    <w:rsid w:val="00A24DD5"/>
    <w:rsid w:val="00A2603D"/>
    <w:rsid w:val="00A2610D"/>
    <w:rsid w:val="00A265D5"/>
    <w:rsid w:val="00A269FC"/>
    <w:rsid w:val="00A2701A"/>
    <w:rsid w:val="00A27888"/>
    <w:rsid w:val="00A30802"/>
    <w:rsid w:val="00A30D61"/>
    <w:rsid w:val="00A316BE"/>
    <w:rsid w:val="00A31B44"/>
    <w:rsid w:val="00A322EB"/>
    <w:rsid w:val="00A33239"/>
    <w:rsid w:val="00A335EC"/>
    <w:rsid w:val="00A3389E"/>
    <w:rsid w:val="00A339AF"/>
    <w:rsid w:val="00A350C0"/>
    <w:rsid w:val="00A364C8"/>
    <w:rsid w:val="00A36982"/>
    <w:rsid w:val="00A3771A"/>
    <w:rsid w:val="00A40C00"/>
    <w:rsid w:val="00A413DF"/>
    <w:rsid w:val="00A4229A"/>
    <w:rsid w:val="00A42DC1"/>
    <w:rsid w:val="00A43AA2"/>
    <w:rsid w:val="00A43ABA"/>
    <w:rsid w:val="00A442CD"/>
    <w:rsid w:val="00A4472E"/>
    <w:rsid w:val="00A44ADB"/>
    <w:rsid w:val="00A453E0"/>
    <w:rsid w:val="00A472B5"/>
    <w:rsid w:val="00A4782C"/>
    <w:rsid w:val="00A4794F"/>
    <w:rsid w:val="00A51C06"/>
    <w:rsid w:val="00A51C3E"/>
    <w:rsid w:val="00A52257"/>
    <w:rsid w:val="00A53363"/>
    <w:rsid w:val="00A5369F"/>
    <w:rsid w:val="00A544AD"/>
    <w:rsid w:val="00A54696"/>
    <w:rsid w:val="00A54D75"/>
    <w:rsid w:val="00A54F25"/>
    <w:rsid w:val="00A55798"/>
    <w:rsid w:val="00A55C7F"/>
    <w:rsid w:val="00A568F9"/>
    <w:rsid w:val="00A575F9"/>
    <w:rsid w:val="00A57895"/>
    <w:rsid w:val="00A57899"/>
    <w:rsid w:val="00A605F7"/>
    <w:rsid w:val="00A608A1"/>
    <w:rsid w:val="00A60AAE"/>
    <w:rsid w:val="00A60CBF"/>
    <w:rsid w:val="00A6172B"/>
    <w:rsid w:val="00A6179B"/>
    <w:rsid w:val="00A6215B"/>
    <w:rsid w:val="00A6226D"/>
    <w:rsid w:val="00A6239D"/>
    <w:rsid w:val="00A62D08"/>
    <w:rsid w:val="00A632D4"/>
    <w:rsid w:val="00A639E4"/>
    <w:rsid w:val="00A63ABA"/>
    <w:rsid w:val="00A63B52"/>
    <w:rsid w:val="00A63D06"/>
    <w:rsid w:val="00A6433F"/>
    <w:rsid w:val="00A64CC9"/>
    <w:rsid w:val="00A64F7F"/>
    <w:rsid w:val="00A65026"/>
    <w:rsid w:val="00A65E57"/>
    <w:rsid w:val="00A660AC"/>
    <w:rsid w:val="00A6644C"/>
    <w:rsid w:val="00A66938"/>
    <w:rsid w:val="00A67EF8"/>
    <w:rsid w:val="00A70996"/>
    <w:rsid w:val="00A71DE5"/>
    <w:rsid w:val="00A731AB"/>
    <w:rsid w:val="00A73FDF"/>
    <w:rsid w:val="00A744E3"/>
    <w:rsid w:val="00A754C4"/>
    <w:rsid w:val="00A76D73"/>
    <w:rsid w:val="00A771A0"/>
    <w:rsid w:val="00A77F8C"/>
    <w:rsid w:val="00A801C0"/>
    <w:rsid w:val="00A80457"/>
    <w:rsid w:val="00A80C96"/>
    <w:rsid w:val="00A813E9"/>
    <w:rsid w:val="00A81D9B"/>
    <w:rsid w:val="00A825B5"/>
    <w:rsid w:val="00A83833"/>
    <w:rsid w:val="00A83C59"/>
    <w:rsid w:val="00A847BE"/>
    <w:rsid w:val="00A86195"/>
    <w:rsid w:val="00A871E6"/>
    <w:rsid w:val="00A878D6"/>
    <w:rsid w:val="00A90DBB"/>
    <w:rsid w:val="00A90EC5"/>
    <w:rsid w:val="00A92F4A"/>
    <w:rsid w:val="00A93138"/>
    <w:rsid w:val="00A9327E"/>
    <w:rsid w:val="00A9403A"/>
    <w:rsid w:val="00A943CE"/>
    <w:rsid w:val="00A94979"/>
    <w:rsid w:val="00A94A5A"/>
    <w:rsid w:val="00A955CE"/>
    <w:rsid w:val="00A95694"/>
    <w:rsid w:val="00A95DA1"/>
    <w:rsid w:val="00A96969"/>
    <w:rsid w:val="00A96F5E"/>
    <w:rsid w:val="00A9730C"/>
    <w:rsid w:val="00A97494"/>
    <w:rsid w:val="00A975B8"/>
    <w:rsid w:val="00A97DDF"/>
    <w:rsid w:val="00AA0294"/>
    <w:rsid w:val="00AA0473"/>
    <w:rsid w:val="00AA0810"/>
    <w:rsid w:val="00AA0FCD"/>
    <w:rsid w:val="00AA1C59"/>
    <w:rsid w:val="00AA272A"/>
    <w:rsid w:val="00AA2998"/>
    <w:rsid w:val="00AA2CD8"/>
    <w:rsid w:val="00AA3084"/>
    <w:rsid w:val="00AA3555"/>
    <w:rsid w:val="00AA391E"/>
    <w:rsid w:val="00AA44B7"/>
    <w:rsid w:val="00AA45D0"/>
    <w:rsid w:val="00AA4834"/>
    <w:rsid w:val="00AA4955"/>
    <w:rsid w:val="00AA49F7"/>
    <w:rsid w:val="00AA56A0"/>
    <w:rsid w:val="00AA6589"/>
    <w:rsid w:val="00AA6C39"/>
    <w:rsid w:val="00AA6CE4"/>
    <w:rsid w:val="00AA7723"/>
    <w:rsid w:val="00AA7785"/>
    <w:rsid w:val="00AA779A"/>
    <w:rsid w:val="00AB0F0A"/>
    <w:rsid w:val="00AB0FBC"/>
    <w:rsid w:val="00AB1D07"/>
    <w:rsid w:val="00AB275E"/>
    <w:rsid w:val="00AB2D1D"/>
    <w:rsid w:val="00AB2D6E"/>
    <w:rsid w:val="00AB314D"/>
    <w:rsid w:val="00AB3526"/>
    <w:rsid w:val="00AB3DA2"/>
    <w:rsid w:val="00AB4CB7"/>
    <w:rsid w:val="00AB4E6E"/>
    <w:rsid w:val="00AB6FDD"/>
    <w:rsid w:val="00AB7844"/>
    <w:rsid w:val="00AB78C5"/>
    <w:rsid w:val="00AC039D"/>
    <w:rsid w:val="00AC064A"/>
    <w:rsid w:val="00AC0A7F"/>
    <w:rsid w:val="00AC0F02"/>
    <w:rsid w:val="00AC2293"/>
    <w:rsid w:val="00AC464C"/>
    <w:rsid w:val="00AC50E8"/>
    <w:rsid w:val="00AC5884"/>
    <w:rsid w:val="00AC5A4C"/>
    <w:rsid w:val="00AC5B7C"/>
    <w:rsid w:val="00AC5D5F"/>
    <w:rsid w:val="00AC5F79"/>
    <w:rsid w:val="00AC606E"/>
    <w:rsid w:val="00AC6199"/>
    <w:rsid w:val="00AC6E79"/>
    <w:rsid w:val="00AC7607"/>
    <w:rsid w:val="00AD0526"/>
    <w:rsid w:val="00AD088C"/>
    <w:rsid w:val="00AD1709"/>
    <w:rsid w:val="00AD20B4"/>
    <w:rsid w:val="00AD29E1"/>
    <w:rsid w:val="00AD2B57"/>
    <w:rsid w:val="00AD3354"/>
    <w:rsid w:val="00AD360C"/>
    <w:rsid w:val="00AD3662"/>
    <w:rsid w:val="00AD3D17"/>
    <w:rsid w:val="00AD44F4"/>
    <w:rsid w:val="00AD45F6"/>
    <w:rsid w:val="00AD4BEE"/>
    <w:rsid w:val="00AD5766"/>
    <w:rsid w:val="00AD59FE"/>
    <w:rsid w:val="00AE0E1F"/>
    <w:rsid w:val="00AE11EE"/>
    <w:rsid w:val="00AE24C4"/>
    <w:rsid w:val="00AE2A5D"/>
    <w:rsid w:val="00AE3128"/>
    <w:rsid w:val="00AE312D"/>
    <w:rsid w:val="00AE329A"/>
    <w:rsid w:val="00AE3B47"/>
    <w:rsid w:val="00AE3F3A"/>
    <w:rsid w:val="00AE5514"/>
    <w:rsid w:val="00AE59D2"/>
    <w:rsid w:val="00AE5BBA"/>
    <w:rsid w:val="00AE5E25"/>
    <w:rsid w:val="00AE5F43"/>
    <w:rsid w:val="00AE5FB6"/>
    <w:rsid w:val="00AE6490"/>
    <w:rsid w:val="00AE6733"/>
    <w:rsid w:val="00AE68E4"/>
    <w:rsid w:val="00AE69AC"/>
    <w:rsid w:val="00AE74C8"/>
    <w:rsid w:val="00AE796E"/>
    <w:rsid w:val="00AE7E7D"/>
    <w:rsid w:val="00AF0B57"/>
    <w:rsid w:val="00AF1AE9"/>
    <w:rsid w:val="00AF2290"/>
    <w:rsid w:val="00AF2368"/>
    <w:rsid w:val="00AF299A"/>
    <w:rsid w:val="00AF2BEF"/>
    <w:rsid w:val="00AF3554"/>
    <w:rsid w:val="00AF457F"/>
    <w:rsid w:val="00AF4653"/>
    <w:rsid w:val="00AF5D1C"/>
    <w:rsid w:val="00AF6DEE"/>
    <w:rsid w:val="00AF7277"/>
    <w:rsid w:val="00AF7506"/>
    <w:rsid w:val="00AF757D"/>
    <w:rsid w:val="00B0016F"/>
    <w:rsid w:val="00B0059B"/>
    <w:rsid w:val="00B00B5A"/>
    <w:rsid w:val="00B0224C"/>
    <w:rsid w:val="00B02413"/>
    <w:rsid w:val="00B03FAE"/>
    <w:rsid w:val="00B04280"/>
    <w:rsid w:val="00B04475"/>
    <w:rsid w:val="00B04819"/>
    <w:rsid w:val="00B049BE"/>
    <w:rsid w:val="00B04A9F"/>
    <w:rsid w:val="00B051CD"/>
    <w:rsid w:val="00B05906"/>
    <w:rsid w:val="00B06082"/>
    <w:rsid w:val="00B06F24"/>
    <w:rsid w:val="00B074E1"/>
    <w:rsid w:val="00B07ACD"/>
    <w:rsid w:val="00B07ADF"/>
    <w:rsid w:val="00B10237"/>
    <w:rsid w:val="00B106BB"/>
    <w:rsid w:val="00B10982"/>
    <w:rsid w:val="00B10A7D"/>
    <w:rsid w:val="00B10E06"/>
    <w:rsid w:val="00B1143C"/>
    <w:rsid w:val="00B12075"/>
    <w:rsid w:val="00B12B28"/>
    <w:rsid w:val="00B12DB7"/>
    <w:rsid w:val="00B12EED"/>
    <w:rsid w:val="00B1340C"/>
    <w:rsid w:val="00B160D1"/>
    <w:rsid w:val="00B16276"/>
    <w:rsid w:val="00B1667C"/>
    <w:rsid w:val="00B168FF"/>
    <w:rsid w:val="00B16B57"/>
    <w:rsid w:val="00B1748D"/>
    <w:rsid w:val="00B1770D"/>
    <w:rsid w:val="00B202F4"/>
    <w:rsid w:val="00B20899"/>
    <w:rsid w:val="00B20F25"/>
    <w:rsid w:val="00B2121B"/>
    <w:rsid w:val="00B2199A"/>
    <w:rsid w:val="00B21B60"/>
    <w:rsid w:val="00B21C3D"/>
    <w:rsid w:val="00B224BB"/>
    <w:rsid w:val="00B22766"/>
    <w:rsid w:val="00B2294E"/>
    <w:rsid w:val="00B2295E"/>
    <w:rsid w:val="00B22AD1"/>
    <w:rsid w:val="00B22DBB"/>
    <w:rsid w:val="00B22E38"/>
    <w:rsid w:val="00B23346"/>
    <w:rsid w:val="00B245F6"/>
    <w:rsid w:val="00B249A6"/>
    <w:rsid w:val="00B24C1C"/>
    <w:rsid w:val="00B24DFE"/>
    <w:rsid w:val="00B251A5"/>
    <w:rsid w:val="00B253DC"/>
    <w:rsid w:val="00B2585B"/>
    <w:rsid w:val="00B25D2D"/>
    <w:rsid w:val="00B27354"/>
    <w:rsid w:val="00B3144A"/>
    <w:rsid w:val="00B31714"/>
    <w:rsid w:val="00B319A7"/>
    <w:rsid w:val="00B31F6C"/>
    <w:rsid w:val="00B33607"/>
    <w:rsid w:val="00B33D4A"/>
    <w:rsid w:val="00B35AA7"/>
    <w:rsid w:val="00B3742D"/>
    <w:rsid w:val="00B40277"/>
    <w:rsid w:val="00B403B5"/>
    <w:rsid w:val="00B40869"/>
    <w:rsid w:val="00B40FA4"/>
    <w:rsid w:val="00B411A2"/>
    <w:rsid w:val="00B42AE9"/>
    <w:rsid w:val="00B42CFB"/>
    <w:rsid w:val="00B438ED"/>
    <w:rsid w:val="00B43AC1"/>
    <w:rsid w:val="00B43DB6"/>
    <w:rsid w:val="00B44605"/>
    <w:rsid w:val="00B44B63"/>
    <w:rsid w:val="00B4569C"/>
    <w:rsid w:val="00B458D8"/>
    <w:rsid w:val="00B45FFD"/>
    <w:rsid w:val="00B4696F"/>
    <w:rsid w:val="00B46AFD"/>
    <w:rsid w:val="00B470BC"/>
    <w:rsid w:val="00B51315"/>
    <w:rsid w:val="00B5218C"/>
    <w:rsid w:val="00B530A5"/>
    <w:rsid w:val="00B5345E"/>
    <w:rsid w:val="00B55372"/>
    <w:rsid w:val="00B55844"/>
    <w:rsid w:val="00B55D44"/>
    <w:rsid w:val="00B5616C"/>
    <w:rsid w:val="00B562C1"/>
    <w:rsid w:val="00B56780"/>
    <w:rsid w:val="00B56C27"/>
    <w:rsid w:val="00B57764"/>
    <w:rsid w:val="00B57A08"/>
    <w:rsid w:val="00B6006D"/>
    <w:rsid w:val="00B60C56"/>
    <w:rsid w:val="00B60E3E"/>
    <w:rsid w:val="00B61509"/>
    <w:rsid w:val="00B62A58"/>
    <w:rsid w:val="00B62EDF"/>
    <w:rsid w:val="00B62EF5"/>
    <w:rsid w:val="00B631DA"/>
    <w:rsid w:val="00B645E6"/>
    <w:rsid w:val="00B661CE"/>
    <w:rsid w:val="00B6654B"/>
    <w:rsid w:val="00B665B0"/>
    <w:rsid w:val="00B66A0F"/>
    <w:rsid w:val="00B678E6"/>
    <w:rsid w:val="00B67F5B"/>
    <w:rsid w:val="00B70716"/>
    <w:rsid w:val="00B70C16"/>
    <w:rsid w:val="00B713CD"/>
    <w:rsid w:val="00B7185D"/>
    <w:rsid w:val="00B7200F"/>
    <w:rsid w:val="00B72185"/>
    <w:rsid w:val="00B724A2"/>
    <w:rsid w:val="00B726D3"/>
    <w:rsid w:val="00B73909"/>
    <w:rsid w:val="00B74770"/>
    <w:rsid w:val="00B75003"/>
    <w:rsid w:val="00B75A25"/>
    <w:rsid w:val="00B77382"/>
    <w:rsid w:val="00B77A2E"/>
    <w:rsid w:val="00B77ADB"/>
    <w:rsid w:val="00B8168B"/>
    <w:rsid w:val="00B828E5"/>
    <w:rsid w:val="00B834AC"/>
    <w:rsid w:val="00B8393F"/>
    <w:rsid w:val="00B848C6"/>
    <w:rsid w:val="00B84D64"/>
    <w:rsid w:val="00B853C9"/>
    <w:rsid w:val="00B86213"/>
    <w:rsid w:val="00B862F7"/>
    <w:rsid w:val="00B87542"/>
    <w:rsid w:val="00B875DD"/>
    <w:rsid w:val="00B87E3F"/>
    <w:rsid w:val="00B92341"/>
    <w:rsid w:val="00B93974"/>
    <w:rsid w:val="00B948A0"/>
    <w:rsid w:val="00B94A37"/>
    <w:rsid w:val="00B94E31"/>
    <w:rsid w:val="00B95F84"/>
    <w:rsid w:val="00B964EB"/>
    <w:rsid w:val="00B96731"/>
    <w:rsid w:val="00B979E2"/>
    <w:rsid w:val="00B97F12"/>
    <w:rsid w:val="00BA005B"/>
    <w:rsid w:val="00BA0B09"/>
    <w:rsid w:val="00BA4156"/>
    <w:rsid w:val="00BA4D63"/>
    <w:rsid w:val="00BA5AB5"/>
    <w:rsid w:val="00BA602D"/>
    <w:rsid w:val="00BA669D"/>
    <w:rsid w:val="00BA7B8F"/>
    <w:rsid w:val="00BA7BAC"/>
    <w:rsid w:val="00BA7CE0"/>
    <w:rsid w:val="00BB06E3"/>
    <w:rsid w:val="00BB08E1"/>
    <w:rsid w:val="00BB0D56"/>
    <w:rsid w:val="00BB13EA"/>
    <w:rsid w:val="00BB1688"/>
    <w:rsid w:val="00BB1A49"/>
    <w:rsid w:val="00BB2D66"/>
    <w:rsid w:val="00BB39C8"/>
    <w:rsid w:val="00BB429F"/>
    <w:rsid w:val="00BB4E2B"/>
    <w:rsid w:val="00BB59D0"/>
    <w:rsid w:val="00BB5E2A"/>
    <w:rsid w:val="00BB5E45"/>
    <w:rsid w:val="00BB67FF"/>
    <w:rsid w:val="00BB737A"/>
    <w:rsid w:val="00BB73E5"/>
    <w:rsid w:val="00BC078A"/>
    <w:rsid w:val="00BC0AB9"/>
    <w:rsid w:val="00BC2303"/>
    <w:rsid w:val="00BC29CE"/>
    <w:rsid w:val="00BC2A93"/>
    <w:rsid w:val="00BC2ED5"/>
    <w:rsid w:val="00BC3890"/>
    <w:rsid w:val="00BC49AE"/>
    <w:rsid w:val="00BC5147"/>
    <w:rsid w:val="00BC533A"/>
    <w:rsid w:val="00BC5819"/>
    <w:rsid w:val="00BC70AF"/>
    <w:rsid w:val="00BC7C7D"/>
    <w:rsid w:val="00BD1447"/>
    <w:rsid w:val="00BD15C7"/>
    <w:rsid w:val="00BD180B"/>
    <w:rsid w:val="00BD1E4E"/>
    <w:rsid w:val="00BD2BCE"/>
    <w:rsid w:val="00BD2EF2"/>
    <w:rsid w:val="00BD3653"/>
    <w:rsid w:val="00BD43D2"/>
    <w:rsid w:val="00BD4590"/>
    <w:rsid w:val="00BD45C1"/>
    <w:rsid w:val="00BD4B35"/>
    <w:rsid w:val="00BD5DC0"/>
    <w:rsid w:val="00BD66AE"/>
    <w:rsid w:val="00BD6753"/>
    <w:rsid w:val="00BD7198"/>
    <w:rsid w:val="00BD7656"/>
    <w:rsid w:val="00BD77A6"/>
    <w:rsid w:val="00BD78E9"/>
    <w:rsid w:val="00BD7AD9"/>
    <w:rsid w:val="00BE08F6"/>
    <w:rsid w:val="00BE0BD8"/>
    <w:rsid w:val="00BE0D5C"/>
    <w:rsid w:val="00BE0FD1"/>
    <w:rsid w:val="00BE10CE"/>
    <w:rsid w:val="00BE142C"/>
    <w:rsid w:val="00BE1433"/>
    <w:rsid w:val="00BE1B33"/>
    <w:rsid w:val="00BE1FE3"/>
    <w:rsid w:val="00BE2596"/>
    <w:rsid w:val="00BE2AFB"/>
    <w:rsid w:val="00BE2B4A"/>
    <w:rsid w:val="00BE334D"/>
    <w:rsid w:val="00BE46D7"/>
    <w:rsid w:val="00BE5DC7"/>
    <w:rsid w:val="00BE6336"/>
    <w:rsid w:val="00BE6793"/>
    <w:rsid w:val="00BE72EF"/>
    <w:rsid w:val="00BE79F2"/>
    <w:rsid w:val="00BF026A"/>
    <w:rsid w:val="00BF1D9D"/>
    <w:rsid w:val="00BF21EF"/>
    <w:rsid w:val="00BF2586"/>
    <w:rsid w:val="00BF2A38"/>
    <w:rsid w:val="00BF2A77"/>
    <w:rsid w:val="00BF2F6C"/>
    <w:rsid w:val="00BF3330"/>
    <w:rsid w:val="00BF413A"/>
    <w:rsid w:val="00BF4414"/>
    <w:rsid w:val="00BF4F9F"/>
    <w:rsid w:val="00BF5218"/>
    <w:rsid w:val="00BF6698"/>
    <w:rsid w:val="00BF69D7"/>
    <w:rsid w:val="00BF6BE8"/>
    <w:rsid w:val="00BF7465"/>
    <w:rsid w:val="00BF78BA"/>
    <w:rsid w:val="00BF7BD6"/>
    <w:rsid w:val="00C0006B"/>
    <w:rsid w:val="00C00527"/>
    <w:rsid w:val="00C0060E"/>
    <w:rsid w:val="00C01711"/>
    <w:rsid w:val="00C03AE4"/>
    <w:rsid w:val="00C04EA9"/>
    <w:rsid w:val="00C050DD"/>
    <w:rsid w:val="00C063C7"/>
    <w:rsid w:val="00C07559"/>
    <w:rsid w:val="00C07631"/>
    <w:rsid w:val="00C1026F"/>
    <w:rsid w:val="00C104F2"/>
    <w:rsid w:val="00C10C33"/>
    <w:rsid w:val="00C10FE5"/>
    <w:rsid w:val="00C112D7"/>
    <w:rsid w:val="00C12485"/>
    <w:rsid w:val="00C12647"/>
    <w:rsid w:val="00C126AE"/>
    <w:rsid w:val="00C12862"/>
    <w:rsid w:val="00C13003"/>
    <w:rsid w:val="00C1366F"/>
    <w:rsid w:val="00C139C9"/>
    <w:rsid w:val="00C13F51"/>
    <w:rsid w:val="00C143AD"/>
    <w:rsid w:val="00C144E4"/>
    <w:rsid w:val="00C1503E"/>
    <w:rsid w:val="00C1507E"/>
    <w:rsid w:val="00C1562A"/>
    <w:rsid w:val="00C1596D"/>
    <w:rsid w:val="00C166F0"/>
    <w:rsid w:val="00C1728D"/>
    <w:rsid w:val="00C17450"/>
    <w:rsid w:val="00C1778B"/>
    <w:rsid w:val="00C17AC5"/>
    <w:rsid w:val="00C207DC"/>
    <w:rsid w:val="00C20E93"/>
    <w:rsid w:val="00C21C60"/>
    <w:rsid w:val="00C238AD"/>
    <w:rsid w:val="00C24304"/>
    <w:rsid w:val="00C24372"/>
    <w:rsid w:val="00C24B43"/>
    <w:rsid w:val="00C24B77"/>
    <w:rsid w:val="00C24C63"/>
    <w:rsid w:val="00C24E8C"/>
    <w:rsid w:val="00C25DC1"/>
    <w:rsid w:val="00C25E24"/>
    <w:rsid w:val="00C262E3"/>
    <w:rsid w:val="00C27270"/>
    <w:rsid w:val="00C27271"/>
    <w:rsid w:val="00C309F0"/>
    <w:rsid w:val="00C3119F"/>
    <w:rsid w:val="00C31C7F"/>
    <w:rsid w:val="00C31D37"/>
    <w:rsid w:val="00C3413E"/>
    <w:rsid w:val="00C34231"/>
    <w:rsid w:val="00C3488C"/>
    <w:rsid w:val="00C3561A"/>
    <w:rsid w:val="00C359B8"/>
    <w:rsid w:val="00C35CD4"/>
    <w:rsid w:val="00C36207"/>
    <w:rsid w:val="00C3630F"/>
    <w:rsid w:val="00C37360"/>
    <w:rsid w:val="00C376E4"/>
    <w:rsid w:val="00C37E74"/>
    <w:rsid w:val="00C40F24"/>
    <w:rsid w:val="00C42223"/>
    <w:rsid w:val="00C422BF"/>
    <w:rsid w:val="00C43021"/>
    <w:rsid w:val="00C446EA"/>
    <w:rsid w:val="00C45061"/>
    <w:rsid w:val="00C457D1"/>
    <w:rsid w:val="00C46648"/>
    <w:rsid w:val="00C467F4"/>
    <w:rsid w:val="00C46BE4"/>
    <w:rsid w:val="00C46CE3"/>
    <w:rsid w:val="00C47002"/>
    <w:rsid w:val="00C50654"/>
    <w:rsid w:val="00C50BF0"/>
    <w:rsid w:val="00C50D61"/>
    <w:rsid w:val="00C51172"/>
    <w:rsid w:val="00C5156C"/>
    <w:rsid w:val="00C51BEF"/>
    <w:rsid w:val="00C5236A"/>
    <w:rsid w:val="00C52563"/>
    <w:rsid w:val="00C5321B"/>
    <w:rsid w:val="00C53C55"/>
    <w:rsid w:val="00C54E21"/>
    <w:rsid w:val="00C5786F"/>
    <w:rsid w:val="00C60040"/>
    <w:rsid w:val="00C601DA"/>
    <w:rsid w:val="00C605F5"/>
    <w:rsid w:val="00C60833"/>
    <w:rsid w:val="00C61998"/>
    <w:rsid w:val="00C61A30"/>
    <w:rsid w:val="00C623E0"/>
    <w:rsid w:val="00C62443"/>
    <w:rsid w:val="00C6292A"/>
    <w:rsid w:val="00C62A6A"/>
    <w:rsid w:val="00C63BE2"/>
    <w:rsid w:val="00C64725"/>
    <w:rsid w:val="00C648AF"/>
    <w:rsid w:val="00C66F70"/>
    <w:rsid w:val="00C676F0"/>
    <w:rsid w:val="00C6780B"/>
    <w:rsid w:val="00C67881"/>
    <w:rsid w:val="00C70479"/>
    <w:rsid w:val="00C70C4C"/>
    <w:rsid w:val="00C72644"/>
    <w:rsid w:val="00C72785"/>
    <w:rsid w:val="00C72B77"/>
    <w:rsid w:val="00C72C80"/>
    <w:rsid w:val="00C73805"/>
    <w:rsid w:val="00C73828"/>
    <w:rsid w:val="00C7399B"/>
    <w:rsid w:val="00C74ED4"/>
    <w:rsid w:val="00C74EE1"/>
    <w:rsid w:val="00C7514B"/>
    <w:rsid w:val="00C753CB"/>
    <w:rsid w:val="00C76A7F"/>
    <w:rsid w:val="00C770C0"/>
    <w:rsid w:val="00C77508"/>
    <w:rsid w:val="00C77BFE"/>
    <w:rsid w:val="00C8030E"/>
    <w:rsid w:val="00C81D73"/>
    <w:rsid w:val="00C82546"/>
    <w:rsid w:val="00C82B7C"/>
    <w:rsid w:val="00C83143"/>
    <w:rsid w:val="00C83165"/>
    <w:rsid w:val="00C83598"/>
    <w:rsid w:val="00C83D57"/>
    <w:rsid w:val="00C85F82"/>
    <w:rsid w:val="00C90FC9"/>
    <w:rsid w:val="00C9104F"/>
    <w:rsid w:val="00C91CBD"/>
    <w:rsid w:val="00C92073"/>
    <w:rsid w:val="00C930A7"/>
    <w:rsid w:val="00C9410B"/>
    <w:rsid w:val="00C9428C"/>
    <w:rsid w:val="00C94497"/>
    <w:rsid w:val="00C946E9"/>
    <w:rsid w:val="00C95A92"/>
    <w:rsid w:val="00C95CF4"/>
    <w:rsid w:val="00C9676F"/>
    <w:rsid w:val="00C9683E"/>
    <w:rsid w:val="00C96F14"/>
    <w:rsid w:val="00CA0BC9"/>
    <w:rsid w:val="00CA14C2"/>
    <w:rsid w:val="00CA19F2"/>
    <w:rsid w:val="00CA2E1A"/>
    <w:rsid w:val="00CA2E85"/>
    <w:rsid w:val="00CA3206"/>
    <w:rsid w:val="00CA3707"/>
    <w:rsid w:val="00CA4242"/>
    <w:rsid w:val="00CA4F5B"/>
    <w:rsid w:val="00CA5195"/>
    <w:rsid w:val="00CA568D"/>
    <w:rsid w:val="00CA5F48"/>
    <w:rsid w:val="00CA6263"/>
    <w:rsid w:val="00CA6A2A"/>
    <w:rsid w:val="00CA71FA"/>
    <w:rsid w:val="00CA75C4"/>
    <w:rsid w:val="00CA7A51"/>
    <w:rsid w:val="00CB015A"/>
    <w:rsid w:val="00CB13C8"/>
    <w:rsid w:val="00CB1823"/>
    <w:rsid w:val="00CB34BB"/>
    <w:rsid w:val="00CB34E9"/>
    <w:rsid w:val="00CB3994"/>
    <w:rsid w:val="00CB46F1"/>
    <w:rsid w:val="00CB5334"/>
    <w:rsid w:val="00CB5B7D"/>
    <w:rsid w:val="00CB5C42"/>
    <w:rsid w:val="00CB7EFA"/>
    <w:rsid w:val="00CC0930"/>
    <w:rsid w:val="00CC0E87"/>
    <w:rsid w:val="00CC1121"/>
    <w:rsid w:val="00CC2547"/>
    <w:rsid w:val="00CC266F"/>
    <w:rsid w:val="00CC278F"/>
    <w:rsid w:val="00CC2F10"/>
    <w:rsid w:val="00CC39D1"/>
    <w:rsid w:val="00CC4290"/>
    <w:rsid w:val="00CC443D"/>
    <w:rsid w:val="00CC4DED"/>
    <w:rsid w:val="00CC573A"/>
    <w:rsid w:val="00CC6011"/>
    <w:rsid w:val="00CC60BC"/>
    <w:rsid w:val="00CC6A8F"/>
    <w:rsid w:val="00CD0126"/>
    <w:rsid w:val="00CD02F5"/>
    <w:rsid w:val="00CD113E"/>
    <w:rsid w:val="00CD1A5B"/>
    <w:rsid w:val="00CD1D35"/>
    <w:rsid w:val="00CD21D7"/>
    <w:rsid w:val="00CD24C5"/>
    <w:rsid w:val="00CD2961"/>
    <w:rsid w:val="00CD2A9A"/>
    <w:rsid w:val="00CD4082"/>
    <w:rsid w:val="00CD48B3"/>
    <w:rsid w:val="00CD5242"/>
    <w:rsid w:val="00CD678E"/>
    <w:rsid w:val="00CD6C8F"/>
    <w:rsid w:val="00CD6E9A"/>
    <w:rsid w:val="00CD735E"/>
    <w:rsid w:val="00CE0852"/>
    <w:rsid w:val="00CE0897"/>
    <w:rsid w:val="00CE099F"/>
    <w:rsid w:val="00CE13EE"/>
    <w:rsid w:val="00CE185D"/>
    <w:rsid w:val="00CE3B3F"/>
    <w:rsid w:val="00CE4642"/>
    <w:rsid w:val="00CE555C"/>
    <w:rsid w:val="00CE5CE6"/>
    <w:rsid w:val="00CE6403"/>
    <w:rsid w:val="00CE6851"/>
    <w:rsid w:val="00CE781E"/>
    <w:rsid w:val="00CE7C24"/>
    <w:rsid w:val="00CF00EE"/>
    <w:rsid w:val="00CF106E"/>
    <w:rsid w:val="00CF1AD3"/>
    <w:rsid w:val="00CF1DA4"/>
    <w:rsid w:val="00CF3056"/>
    <w:rsid w:val="00CF33A3"/>
    <w:rsid w:val="00CF35CE"/>
    <w:rsid w:val="00CF4BFD"/>
    <w:rsid w:val="00CF4D9A"/>
    <w:rsid w:val="00CF5C72"/>
    <w:rsid w:val="00CF633A"/>
    <w:rsid w:val="00CF66B4"/>
    <w:rsid w:val="00CF77CF"/>
    <w:rsid w:val="00CF7C39"/>
    <w:rsid w:val="00CF7F91"/>
    <w:rsid w:val="00CF7FF7"/>
    <w:rsid w:val="00D008AB"/>
    <w:rsid w:val="00D00BCD"/>
    <w:rsid w:val="00D00CF1"/>
    <w:rsid w:val="00D03117"/>
    <w:rsid w:val="00D03944"/>
    <w:rsid w:val="00D0464D"/>
    <w:rsid w:val="00D047FD"/>
    <w:rsid w:val="00D04A3C"/>
    <w:rsid w:val="00D04F19"/>
    <w:rsid w:val="00D05082"/>
    <w:rsid w:val="00D053F0"/>
    <w:rsid w:val="00D056E4"/>
    <w:rsid w:val="00D06EAD"/>
    <w:rsid w:val="00D07164"/>
    <w:rsid w:val="00D075F1"/>
    <w:rsid w:val="00D117DF"/>
    <w:rsid w:val="00D11FE7"/>
    <w:rsid w:val="00D126A4"/>
    <w:rsid w:val="00D12FB8"/>
    <w:rsid w:val="00D12FFB"/>
    <w:rsid w:val="00D1387F"/>
    <w:rsid w:val="00D13AD2"/>
    <w:rsid w:val="00D13DFC"/>
    <w:rsid w:val="00D14210"/>
    <w:rsid w:val="00D1449D"/>
    <w:rsid w:val="00D14993"/>
    <w:rsid w:val="00D158A5"/>
    <w:rsid w:val="00D15F87"/>
    <w:rsid w:val="00D166E0"/>
    <w:rsid w:val="00D16C9F"/>
    <w:rsid w:val="00D16D48"/>
    <w:rsid w:val="00D17791"/>
    <w:rsid w:val="00D205AB"/>
    <w:rsid w:val="00D20990"/>
    <w:rsid w:val="00D20FA0"/>
    <w:rsid w:val="00D21708"/>
    <w:rsid w:val="00D21E26"/>
    <w:rsid w:val="00D22B2E"/>
    <w:rsid w:val="00D22D94"/>
    <w:rsid w:val="00D2324A"/>
    <w:rsid w:val="00D235E5"/>
    <w:rsid w:val="00D23632"/>
    <w:rsid w:val="00D24810"/>
    <w:rsid w:val="00D24BEC"/>
    <w:rsid w:val="00D24D06"/>
    <w:rsid w:val="00D250DA"/>
    <w:rsid w:val="00D25BC6"/>
    <w:rsid w:val="00D25DE1"/>
    <w:rsid w:val="00D2675A"/>
    <w:rsid w:val="00D26955"/>
    <w:rsid w:val="00D26F8E"/>
    <w:rsid w:val="00D270C2"/>
    <w:rsid w:val="00D27C31"/>
    <w:rsid w:val="00D3054D"/>
    <w:rsid w:val="00D30FD4"/>
    <w:rsid w:val="00D310A8"/>
    <w:rsid w:val="00D31189"/>
    <w:rsid w:val="00D31B8C"/>
    <w:rsid w:val="00D3213D"/>
    <w:rsid w:val="00D33009"/>
    <w:rsid w:val="00D33811"/>
    <w:rsid w:val="00D33D66"/>
    <w:rsid w:val="00D349EF"/>
    <w:rsid w:val="00D34B3F"/>
    <w:rsid w:val="00D34F50"/>
    <w:rsid w:val="00D34FF5"/>
    <w:rsid w:val="00D357A9"/>
    <w:rsid w:val="00D35CD6"/>
    <w:rsid w:val="00D36AC2"/>
    <w:rsid w:val="00D37419"/>
    <w:rsid w:val="00D374B9"/>
    <w:rsid w:val="00D377C3"/>
    <w:rsid w:val="00D37CC8"/>
    <w:rsid w:val="00D37E57"/>
    <w:rsid w:val="00D37F01"/>
    <w:rsid w:val="00D406D4"/>
    <w:rsid w:val="00D40A8C"/>
    <w:rsid w:val="00D40D45"/>
    <w:rsid w:val="00D40D61"/>
    <w:rsid w:val="00D416E8"/>
    <w:rsid w:val="00D41A3F"/>
    <w:rsid w:val="00D41F42"/>
    <w:rsid w:val="00D422BD"/>
    <w:rsid w:val="00D436DD"/>
    <w:rsid w:val="00D43CC2"/>
    <w:rsid w:val="00D448E6"/>
    <w:rsid w:val="00D44B6F"/>
    <w:rsid w:val="00D44ED0"/>
    <w:rsid w:val="00D45362"/>
    <w:rsid w:val="00D467E6"/>
    <w:rsid w:val="00D46DD4"/>
    <w:rsid w:val="00D46EEE"/>
    <w:rsid w:val="00D47F38"/>
    <w:rsid w:val="00D5067A"/>
    <w:rsid w:val="00D515BA"/>
    <w:rsid w:val="00D517A8"/>
    <w:rsid w:val="00D51A69"/>
    <w:rsid w:val="00D525E0"/>
    <w:rsid w:val="00D525FB"/>
    <w:rsid w:val="00D528E8"/>
    <w:rsid w:val="00D52CA2"/>
    <w:rsid w:val="00D52E50"/>
    <w:rsid w:val="00D53939"/>
    <w:rsid w:val="00D53FFB"/>
    <w:rsid w:val="00D544A3"/>
    <w:rsid w:val="00D5483C"/>
    <w:rsid w:val="00D54A97"/>
    <w:rsid w:val="00D54EFB"/>
    <w:rsid w:val="00D550F8"/>
    <w:rsid w:val="00D554F2"/>
    <w:rsid w:val="00D5564B"/>
    <w:rsid w:val="00D55838"/>
    <w:rsid w:val="00D56B85"/>
    <w:rsid w:val="00D56D6C"/>
    <w:rsid w:val="00D579EF"/>
    <w:rsid w:val="00D57A14"/>
    <w:rsid w:val="00D60103"/>
    <w:rsid w:val="00D6094C"/>
    <w:rsid w:val="00D60A52"/>
    <w:rsid w:val="00D62E7A"/>
    <w:rsid w:val="00D63031"/>
    <w:rsid w:val="00D630F6"/>
    <w:rsid w:val="00D63109"/>
    <w:rsid w:val="00D632AC"/>
    <w:rsid w:val="00D63375"/>
    <w:rsid w:val="00D63A80"/>
    <w:rsid w:val="00D640A6"/>
    <w:rsid w:val="00D6432F"/>
    <w:rsid w:val="00D648DE"/>
    <w:rsid w:val="00D653F2"/>
    <w:rsid w:val="00D6540C"/>
    <w:rsid w:val="00D65631"/>
    <w:rsid w:val="00D66643"/>
    <w:rsid w:val="00D669E3"/>
    <w:rsid w:val="00D67BAB"/>
    <w:rsid w:val="00D70EF8"/>
    <w:rsid w:val="00D71133"/>
    <w:rsid w:val="00D716DB"/>
    <w:rsid w:val="00D71B59"/>
    <w:rsid w:val="00D7328C"/>
    <w:rsid w:val="00D73808"/>
    <w:rsid w:val="00D7396D"/>
    <w:rsid w:val="00D741BC"/>
    <w:rsid w:val="00D7504D"/>
    <w:rsid w:val="00D75E85"/>
    <w:rsid w:val="00D75FEC"/>
    <w:rsid w:val="00D76125"/>
    <w:rsid w:val="00D768AD"/>
    <w:rsid w:val="00D76CDB"/>
    <w:rsid w:val="00D76F44"/>
    <w:rsid w:val="00D775AD"/>
    <w:rsid w:val="00D776D8"/>
    <w:rsid w:val="00D77C7A"/>
    <w:rsid w:val="00D80108"/>
    <w:rsid w:val="00D81055"/>
    <w:rsid w:val="00D82790"/>
    <w:rsid w:val="00D82DC0"/>
    <w:rsid w:val="00D82FBD"/>
    <w:rsid w:val="00D83452"/>
    <w:rsid w:val="00D83764"/>
    <w:rsid w:val="00D83805"/>
    <w:rsid w:val="00D83866"/>
    <w:rsid w:val="00D8484B"/>
    <w:rsid w:val="00D84E8E"/>
    <w:rsid w:val="00D85453"/>
    <w:rsid w:val="00D85B3C"/>
    <w:rsid w:val="00D861BE"/>
    <w:rsid w:val="00D8684C"/>
    <w:rsid w:val="00D87029"/>
    <w:rsid w:val="00D873DE"/>
    <w:rsid w:val="00D875F5"/>
    <w:rsid w:val="00D8771D"/>
    <w:rsid w:val="00D877C1"/>
    <w:rsid w:val="00D911D6"/>
    <w:rsid w:val="00D915C3"/>
    <w:rsid w:val="00D9169D"/>
    <w:rsid w:val="00D92248"/>
    <w:rsid w:val="00D923D9"/>
    <w:rsid w:val="00D92E6E"/>
    <w:rsid w:val="00D931E3"/>
    <w:rsid w:val="00D955F8"/>
    <w:rsid w:val="00D95BEF"/>
    <w:rsid w:val="00D95D8A"/>
    <w:rsid w:val="00D95FB6"/>
    <w:rsid w:val="00D96177"/>
    <w:rsid w:val="00D971C5"/>
    <w:rsid w:val="00D9748D"/>
    <w:rsid w:val="00D97662"/>
    <w:rsid w:val="00DA0A55"/>
    <w:rsid w:val="00DA18D0"/>
    <w:rsid w:val="00DA20F4"/>
    <w:rsid w:val="00DA2AAB"/>
    <w:rsid w:val="00DA4381"/>
    <w:rsid w:val="00DA45C4"/>
    <w:rsid w:val="00DA4BF9"/>
    <w:rsid w:val="00DA5842"/>
    <w:rsid w:val="00DA5F0C"/>
    <w:rsid w:val="00DA62D7"/>
    <w:rsid w:val="00DA7B4D"/>
    <w:rsid w:val="00DA7B58"/>
    <w:rsid w:val="00DB0111"/>
    <w:rsid w:val="00DB01DB"/>
    <w:rsid w:val="00DB0FBA"/>
    <w:rsid w:val="00DB1AD8"/>
    <w:rsid w:val="00DB2B5A"/>
    <w:rsid w:val="00DB2E56"/>
    <w:rsid w:val="00DB4085"/>
    <w:rsid w:val="00DB46CD"/>
    <w:rsid w:val="00DB49CE"/>
    <w:rsid w:val="00DB599D"/>
    <w:rsid w:val="00DB5E9D"/>
    <w:rsid w:val="00DB7DC8"/>
    <w:rsid w:val="00DB7FCD"/>
    <w:rsid w:val="00DC013F"/>
    <w:rsid w:val="00DC0146"/>
    <w:rsid w:val="00DC0542"/>
    <w:rsid w:val="00DC0FEF"/>
    <w:rsid w:val="00DC11BB"/>
    <w:rsid w:val="00DC2745"/>
    <w:rsid w:val="00DC308A"/>
    <w:rsid w:val="00DC3914"/>
    <w:rsid w:val="00DC3D41"/>
    <w:rsid w:val="00DC48A3"/>
    <w:rsid w:val="00DC4F44"/>
    <w:rsid w:val="00DC5258"/>
    <w:rsid w:val="00DC5559"/>
    <w:rsid w:val="00DC5890"/>
    <w:rsid w:val="00DC5C1D"/>
    <w:rsid w:val="00DC6997"/>
    <w:rsid w:val="00DC732D"/>
    <w:rsid w:val="00DC75CA"/>
    <w:rsid w:val="00DC7F4B"/>
    <w:rsid w:val="00DD08E2"/>
    <w:rsid w:val="00DD092A"/>
    <w:rsid w:val="00DD15B5"/>
    <w:rsid w:val="00DD1E87"/>
    <w:rsid w:val="00DD2AD1"/>
    <w:rsid w:val="00DD3A34"/>
    <w:rsid w:val="00DD3ADB"/>
    <w:rsid w:val="00DD3BDC"/>
    <w:rsid w:val="00DD3C0D"/>
    <w:rsid w:val="00DD53B7"/>
    <w:rsid w:val="00DD595D"/>
    <w:rsid w:val="00DD6877"/>
    <w:rsid w:val="00DD6FF3"/>
    <w:rsid w:val="00DE0847"/>
    <w:rsid w:val="00DE08F5"/>
    <w:rsid w:val="00DE0C16"/>
    <w:rsid w:val="00DE1FAF"/>
    <w:rsid w:val="00DE244C"/>
    <w:rsid w:val="00DE248C"/>
    <w:rsid w:val="00DE266C"/>
    <w:rsid w:val="00DE2AA6"/>
    <w:rsid w:val="00DE3572"/>
    <w:rsid w:val="00DE647B"/>
    <w:rsid w:val="00DE6B3F"/>
    <w:rsid w:val="00DE6C71"/>
    <w:rsid w:val="00DE7019"/>
    <w:rsid w:val="00DF05D0"/>
    <w:rsid w:val="00DF0A34"/>
    <w:rsid w:val="00DF0A74"/>
    <w:rsid w:val="00DF26C0"/>
    <w:rsid w:val="00DF478E"/>
    <w:rsid w:val="00DF49C0"/>
    <w:rsid w:val="00DF5694"/>
    <w:rsid w:val="00DF5CFF"/>
    <w:rsid w:val="00DF6C9A"/>
    <w:rsid w:val="00DF71C6"/>
    <w:rsid w:val="00DF77BF"/>
    <w:rsid w:val="00DF7938"/>
    <w:rsid w:val="00DF7D99"/>
    <w:rsid w:val="00DF7DCC"/>
    <w:rsid w:val="00DF7E62"/>
    <w:rsid w:val="00E0017E"/>
    <w:rsid w:val="00E00703"/>
    <w:rsid w:val="00E009AF"/>
    <w:rsid w:val="00E0138E"/>
    <w:rsid w:val="00E01471"/>
    <w:rsid w:val="00E019B2"/>
    <w:rsid w:val="00E01CE5"/>
    <w:rsid w:val="00E01E66"/>
    <w:rsid w:val="00E02062"/>
    <w:rsid w:val="00E02549"/>
    <w:rsid w:val="00E027AD"/>
    <w:rsid w:val="00E02E04"/>
    <w:rsid w:val="00E048DD"/>
    <w:rsid w:val="00E04E51"/>
    <w:rsid w:val="00E074FE"/>
    <w:rsid w:val="00E10400"/>
    <w:rsid w:val="00E105B8"/>
    <w:rsid w:val="00E107FC"/>
    <w:rsid w:val="00E10CCC"/>
    <w:rsid w:val="00E11A61"/>
    <w:rsid w:val="00E1210A"/>
    <w:rsid w:val="00E1339B"/>
    <w:rsid w:val="00E137FC"/>
    <w:rsid w:val="00E13A2F"/>
    <w:rsid w:val="00E147BF"/>
    <w:rsid w:val="00E147E9"/>
    <w:rsid w:val="00E14D4F"/>
    <w:rsid w:val="00E1544E"/>
    <w:rsid w:val="00E15727"/>
    <w:rsid w:val="00E15F4B"/>
    <w:rsid w:val="00E171E7"/>
    <w:rsid w:val="00E17962"/>
    <w:rsid w:val="00E20158"/>
    <w:rsid w:val="00E21706"/>
    <w:rsid w:val="00E21B28"/>
    <w:rsid w:val="00E22121"/>
    <w:rsid w:val="00E22854"/>
    <w:rsid w:val="00E228E6"/>
    <w:rsid w:val="00E22E28"/>
    <w:rsid w:val="00E23092"/>
    <w:rsid w:val="00E23C1C"/>
    <w:rsid w:val="00E246A5"/>
    <w:rsid w:val="00E24E2B"/>
    <w:rsid w:val="00E24F42"/>
    <w:rsid w:val="00E250AC"/>
    <w:rsid w:val="00E2589A"/>
    <w:rsid w:val="00E25F18"/>
    <w:rsid w:val="00E25FB2"/>
    <w:rsid w:val="00E2706B"/>
    <w:rsid w:val="00E30161"/>
    <w:rsid w:val="00E308E5"/>
    <w:rsid w:val="00E30D9F"/>
    <w:rsid w:val="00E3108E"/>
    <w:rsid w:val="00E31F6E"/>
    <w:rsid w:val="00E32BB2"/>
    <w:rsid w:val="00E33814"/>
    <w:rsid w:val="00E35576"/>
    <w:rsid w:val="00E35AE5"/>
    <w:rsid w:val="00E35B0F"/>
    <w:rsid w:val="00E35B63"/>
    <w:rsid w:val="00E3608A"/>
    <w:rsid w:val="00E360C0"/>
    <w:rsid w:val="00E3614B"/>
    <w:rsid w:val="00E3642D"/>
    <w:rsid w:val="00E36E97"/>
    <w:rsid w:val="00E37C94"/>
    <w:rsid w:val="00E40B17"/>
    <w:rsid w:val="00E40FAB"/>
    <w:rsid w:val="00E4106D"/>
    <w:rsid w:val="00E41BE9"/>
    <w:rsid w:val="00E42E02"/>
    <w:rsid w:val="00E4305D"/>
    <w:rsid w:val="00E433AE"/>
    <w:rsid w:val="00E434B4"/>
    <w:rsid w:val="00E44021"/>
    <w:rsid w:val="00E44D65"/>
    <w:rsid w:val="00E45995"/>
    <w:rsid w:val="00E459DB"/>
    <w:rsid w:val="00E45C33"/>
    <w:rsid w:val="00E45FDD"/>
    <w:rsid w:val="00E462CC"/>
    <w:rsid w:val="00E463FE"/>
    <w:rsid w:val="00E46F41"/>
    <w:rsid w:val="00E501E9"/>
    <w:rsid w:val="00E50356"/>
    <w:rsid w:val="00E504B6"/>
    <w:rsid w:val="00E50AC1"/>
    <w:rsid w:val="00E51DB3"/>
    <w:rsid w:val="00E51FC7"/>
    <w:rsid w:val="00E52391"/>
    <w:rsid w:val="00E553F2"/>
    <w:rsid w:val="00E554D4"/>
    <w:rsid w:val="00E5571F"/>
    <w:rsid w:val="00E56247"/>
    <w:rsid w:val="00E56255"/>
    <w:rsid w:val="00E56DDC"/>
    <w:rsid w:val="00E56E27"/>
    <w:rsid w:val="00E6002F"/>
    <w:rsid w:val="00E606F2"/>
    <w:rsid w:val="00E60F6C"/>
    <w:rsid w:val="00E61496"/>
    <w:rsid w:val="00E6198E"/>
    <w:rsid w:val="00E626A0"/>
    <w:rsid w:val="00E6276F"/>
    <w:rsid w:val="00E62958"/>
    <w:rsid w:val="00E632C5"/>
    <w:rsid w:val="00E6361B"/>
    <w:rsid w:val="00E64011"/>
    <w:rsid w:val="00E64021"/>
    <w:rsid w:val="00E642BF"/>
    <w:rsid w:val="00E65127"/>
    <w:rsid w:val="00E65AB3"/>
    <w:rsid w:val="00E66161"/>
    <w:rsid w:val="00E66714"/>
    <w:rsid w:val="00E700D3"/>
    <w:rsid w:val="00E702A5"/>
    <w:rsid w:val="00E70752"/>
    <w:rsid w:val="00E713A6"/>
    <w:rsid w:val="00E71C65"/>
    <w:rsid w:val="00E72710"/>
    <w:rsid w:val="00E72CE9"/>
    <w:rsid w:val="00E72E5F"/>
    <w:rsid w:val="00E730D5"/>
    <w:rsid w:val="00E739E7"/>
    <w:rsid w:val="00E73C5E"/>
    <w:rsid w:val="00E74472"/>
    <w:rsid w:val="00E75FC9"/>
    <w:rsid w:val="00E76607"/>
    <w:rsid w:val="00E770CC"/>
    <w:rsid w:val="00E771CD"/>
    <w:rsid w:val="00E772D1"/>
    <w:rsid w:val="00E801D0"/>
    <w:rsid w:val="00E81888"/>
    <w:rsid w:val="00E81EFA"/>
    <w:rsid w:val="00E83CA0"/>
    <w:rsid w:val="00E84512"/>
    <w:rsid w:val="00E85C04"/>
    <w:rsid w:val="00E867CA"/>
    <w:rsid w:val="00E87319"/>
    <w:rsid w:val="00E87A06"/>
    <w:rsid w:val="00E87AEC"/>
    <w:rsid w:val="00E910BE"/>
    <w:rsid w:val="00E91841"/>
    <w:rsid w:val="00E926A0"/>
    <w:rsid w:val="00E92880"/>
    <w:rsid w:val="00E93559"/>
    <w:rsid w:val="00E93631"/>
    <w:rsid w:val="00E9454A"/>
    <w:rsid w:val="00E945D6"/>
    <w:rsid w:val="00E94780"/>
    <w:rsid w:val="00E96E6B"/>
    <w:rsid w:val="00E97481"/>
    <w:rsid w:val="00EA04BD"/>
    <w:rsid w:val="00EA2CAB"/>
    <w:rsid w:val="00EA304B"/>
    <w:rsid w:val="00EA39CC"/>
    <w:rsid w:val="00EA464C"/>
    <w:rsid w:val="00EA47FD"/>
    <w:rsid w:val="00EA581C"/>
    <w:rsid w:val="00EA5D6C"/>
    <w:rsid w:val="00EA5E17"/>
    <w:rsid w:val="00EA614F"/>
    <w:rsid w:val="00EA6977"/>
    <w:rsid w:val="00EA7B76"/>
    <w:rsid w:val="00EA7CD0"/>
    <w:rsid w:val="00EB04F2"/>
    <w:rsid w:val="00EB0FC9"/>
    <w:rsid w:val="00EB1531"/>
    <w:rsid w:val="00EB1ABD"/>
    <w:rsid w:val="00EB1C29"/>
    <w:rsid w:val="00EB23D2"/>
    <w:rsid w:val="00EB2B55"/>
    <w:rsid w:val="00EB2BB1"/>
    <w:rsid w:val="00EB33FC"/>
    <w:rsid w:val="00EB3A88"/>
    <w:rsid w:val="00EB3CC9"/>
    <w:rsid w:val="00EB40C3"/>
    <w:rsid w:val="00EB4478"/>
    <w:rsid w:val="00EB44EB"/>
    <w:rsid w:val="00EB4E39"/>
    <w:rsid w:val="00EB57C6"/>
    <w:rsid w:val="00EB5A52"/>
    <w:rsid w:val="00EB5BB2"/>
    <w:rsid w:val="00EB66C4"/>
    <w:rsid w:val="00EB6D80"/>
    <w:rsid w:val="00EB7DDE"/>
    <w:rsid w:val="00EC06AC"/>
    <w:rsid w:val="00EC1B18"/>
    <w:rsid w:val="00EC2ED7"/>
    <w:rsid w:val="00EC34A8"/>
    <w:rsid w:val="00EC53BE"/>
    <w:rsid w:val="00EC5AB3"/>
    <w:rsid w:val="00EC65CD"/>
    <w:rsid w:val="00EC6FC9"/>
    <w:rsid w:val="00EC739C"/>
    <w:rsid w:val="00EC78A1"/>
    <w:rsid w:val="00EC78E3"/>
    <w:rsid w:val="00ED0D36"/>
    <w:rsid w:val="00ED12C2"/>
    <w:rsid w:val="00ED1826"/>
    <w:rsid w:val="00ED272F"/>
    <w:rsid w:val="00ED3152"/>
    <w:rsid w:val="00ED3359"/>
    <w:rsid w:val="00ED3917"/>
    <w:rsid w:val="00ED4233"/>
    <w:rsid w:val="00ED4259"/>
    <w:rsid w:val="00ED45EE"/>
    <w:rsid w:val="00ED5A74"/>
    <w:rsid w:val="00ED5F06"/>
    <w:rsid w:val="00ED6EFB"/>
    <w:rsid w:val="00ED7F49"/>
    <w:rsid w:val="00ED7FAF"/>
    <w:rsid w:val="00EE035B"/>
    <w:rsid w:val="00EE0637"/>
    <w:rsid w:val="00EE09BE"/>
    <w:rsid w:val="00EE0C54"/>
    <w:rsid w:val="00EE0CFD"/>
    <w:rsid w:val="00EE0F03"/>
    <w:rsid w:val="00EE184D"/>
    <w:rsid w:val="00EE2371"/>
    <w:rsid w:val="00EE2686"/>
    <w:rsid w:val="00EE270D"/>
    <w:rsid w:val="00EE2B0B"/>
    <w:rsid w:val="00EE2BE0"/>
    <w:rsid w:val="00EE339A"/>
    <w:rsid w:val="00EE3CFD"/>
    <w:rsid w:val="00EE415A"/>
    <w:rsid w:val="00EE47B5"/>
    <w:rsid w:val="00EE4ECA"/>
    <w:rsid w:val="00EE551F"/>
    <w:rsid w:val="00EE5D7C"/>
    <w:rsid w:val="00EE5DC7"/>
    <w:rsid w:val="00EE6A16"/>
    <w:rsid w:val="00EE6BBF"/>
    <w:rsid w:val="00EE6F32"/>
    <w:rsid w:val="00EE7040"/>
    <w:rsid w:val="00EE743A"/>
    <w:rsid w:val="00EF05CB"/>
    <w:rsid w:val="00EF07CA"/>
    <w:rsid w:val="00EF1311"/>
    <w:rsid w:val="00EF171E"/>
    <w:rsid w:val="00EF2963"/>
    <w:rsid w:val="00EF2D2B"/>
    <w:rsid w:val="00EF32B8"/>
    <w:rsid w:val="00EF3746"/>
    <w:rsid w:val="00EF383C"/>
    <w:rsid w:val="00EF3B3E"/>
    <w:rsid w:val="00EF4248"/>
    <w:rsid w:val="00EF45AC"/>
    <w:rsid w:val="00EF4E1C"/>
    <w:rsid w:val="00EF5149"/>
    <w:rsid w:val="00EF637D"/>
    <w:rsid w:val="00EF77A1"/>
    <w:rsid w:val="00EF7E04"/>
    <w:rsid w:val="00F00D8D"/>
    <w:rsid w:val="00F01244"/>
    <w:rsid w:val="00F01D41"/>
    <w:rsid w:val="00F02609"/>
    <w:rsid w:val="00F02B57"/>
    <w:rsid w:val="00F02C56"/>
    <w:rsid w:val="00F0319D"/>
    <w:rsid w:val="00F031CC"/>
    <w:rsid w:val="00F0359F"/>
    <w:rsid w:val="00F03739"/>
    <w:rsid w:val="00F044F5"/>
    <w:rsid w:val="00F048A2"/>
    <w:rsid w:val="00F04B5A"/>
    <w:rsid w:val="00F04EB5"/>
    <w:rsid w:val="00F052A3"/>
    <w:rsid w:val="00F05C60"/>
    <w:rsid w:val="00F0603A"/>
    <w:rsid w:val="00F06453"/>
    <w:rsid w:val="00F06B05"/>
    <w:rsid w:val="00F06C78"/>
    <w:rsid w:val="00F074A9"/>
    <w:rsid w:val="00F07865"/>
    <w:rsid w:val="00F07F6E"/>
    <w:rsid w:val="00F10752"/>
    <w:rsid w:val="00F11450"/>
    <w:rsid w:val="00F11B13"/>
    <w:rsid w:val="00F12604"/>
    <w:rsid w:val="00F12696"/>
    <w:rsid w:val="00F12A33"/>
    <w:rsid w:val="00F130AD"/>
    <w:rsid w:val="00F1328B"/>
    <w:rsid w:val="00F14742"/>
    <w:rsid w:val="00F14882"/>
    <w:rsid w:val="00F1502B"/>
    <w:rsid w:val="00F15C93"/>
    <w:rsid w:val="00F164EA"/>
    <w:rsid w:val="00F16D5E"/>
    <w:rsid w:val="00F1741B"/>
    <w:rsid w:val="00F17AE5"/>
    <w:rsid w:val="00F17FE4"/>
    <w:rsid w:val="00F21781"/>
    <w:rsid w:val="00F2197A"/>
    <w:rsid w:val="00F21BC8"/>
    <w:rsid w:val="00F21EF0"/>
    <w:rsid w:val="00F23038"/>
    <w:rsid w:val="00F24110"/>
    <w:rsid w:val="00F25097"/>
    <w:rsid w:val="00F250C5"/>
    <w:rsid w:val="00F25B1C"/>
    <w:rsid w:val="00F25D96"/>
    <w:rsid w:val="00F266C7"/>
    <w:rsid w:val="00F26FB6"/>
    <w:rsid w:val="00F270CA"/>
    <w:rsid w:val="00F301EA"/>
    <w:rsid w:val="00F309D9"/>
    <w:rsid w:val="00F30CA6"/>
    <w:rsid w:val="00F30F54"/>
    <w:rsid w:val="00F31043"/>
    <w:rsid w:val="00F3105A"/>
    <w:rsid w:val="00F31724"/>
    <w:rsid w:val="00F31810"/>
    <w:rsid w:val="00F3188F"/>
    <w:rsid w:val="00F31AE1"/>
    <w:rsid w:val="00F31F4E"/>
    <w:rsid w:val="00F32FFA"/>
    <w:rsid w:val="00F333EC"/>
    <w:rsid w:val="00F33492"/>
    <w:rsid w:val="00F33689"/>
    <w:rsid w:val="00F33CC5"/>
    <w:rsid w:val="00F35306"/>
    <w:rsid w:val="00F35AA2"/>
    <w:rsid w:val="00F35E2D"/>
    <w:rsid w:val="00F35E4C"/>
    <w:rsid w:val="00F36D39"/>
    <w:rsid w:val="00F375B1"/>
    <w:rsid w:val="00F37638"/>
    <w:rsid w:val="00F37E0A"/>
    <w:rsid w:val="00F40757"/>
    <w:rsid w:val="00F40B87"/>
    <w:rsid w:val="00F417CC"/>
    <w:rsid w:val="00F417E5"/>
    <w:rsid w:val="00F4227E"/>
    <w:rsid w:val="00F4273E"/>
    <w:rsid w:val="00F42B19"/>
    <w:rsid w:val="00F445FC"/>
    <w:rsid w:val="00F45BB5"/>
    <w:rsid w:val="00F475B9"/>
    <w:rsid w:val="00F501C4"/>
    <w:rsid w:val="00F50625"/>
    <w:rsid w:val="00F508AF"/>
    <w:rsid w:val="00F50F13"/>
    <w:rsid w:val="00F52173"/>
    <w:rsid w:val="00F5293F"/>
    <w:rsid w:val="00F535C7"/>
    <w:rsid w:val="00F537CE"/>
    <w:rsid w:val="00F53A3E"/>
    <w:rsid w:val="00F53AE6"/>
    <w:rsid w:val="00F53B3C"/>
    <w:rsid w:val="00F544C2"/>
    <w:rsid w:val="00F55C4F"/>
    <w:rsid w:val="00F55C82"/>
    <w:rsid w:val="00F56250"/>
    <w:rsid w:val="00F563A8"/>
    <w:rsid w:val="00F56F8C"/>
    <w:rsid w:val="00F57D12"/>
    <w:rsid w:val="00F57EA0"/>
    <w:rsid w:val="00F60141"/>
    <w:rsid w:val="00F607FC"/>
    <w:rsid w:val="00F60FDD"/>
    <w:rsid w:val="00F61F08"/>
    <w:rsid w:val="00F62027"/>
    <w:rsid w:val="00F62819"/>
    <w:rsid w:val="00F62B6E"/>
    <w:rsid w:val="00F62C24"/>
    <w:rsid w:val="00F6313A"/>
    <w:rsid w:val="00F6315E"/>
    <w:rsid w:val="00F63175"/>
    <w:rsid w:val="00F63DA4"/>
    <w:rsid w:val="00F6536A"/>
    <w:rsid w:val="00F6574C"/>
    <w:rsid w:val="00F65B41"/>
    <w:rsid w:val="00F663A3"/>
    <w:rsid w:val="00F663FB"/>
    <w:rsid w:val="00F66ECC"/>
    <w:rsid w:val="00F66F18"/>
    <w:rsid w:val="00F675F5"/>
    <w:rsid w:val="00F67664"/>
    <w:rsid w:val="00F7001C"/>
    <w:rsid w:val="00F70126"/>
    <w:rsid w:val="00F72468"/>
    <w:rsid w:val="00F726A8"/>
    <w:rsid w:val="00F72BA2"/>
    <w:rsid w:val="00F73837"/>
    <w:rsid w:val="00F7436F"/>
    <w:rsid w:val="00F745C3"/>
    <w:rsid w:val="00F749E7"/>
    <w:rsid w:val="00F74E04"/>
    <w:rsid w:val="00F74F55"/>
    <w:rsid w:val="00F7529F"/>
    <w:rsid w:val="00F758F2"/>
    <w:rsid w:val="00F76BD4"/>
    <w:rsid w:val="00F778A4"/>
    <w:rsid w:val="00F77A79"/>
    <w:rsid w:val="00F77EBC"/>
    <w:rsid w:val="00F8067D"/>
    <w:rsid w:val="00F80F3B"/>
    <w:rsid w:val="00F817D6"/>
    <w:rsid w:val="00F81F7F"/>
    <w:rsid w:val="00F82E11"/>
    <w:rsid w:val="00F8369A"/>
    <w:rsid w:val="00F837A9"/>
    <w:rsid w:val="00F83D01"/>
    <w:rsid w:val="00F841A9"/>
    <w:rsid w:val="00F8466D"/>
    <w:rsid w:val="00F84BDE"/>
    <w:rsid w:val="00F856AD"/>
    <w:rsid w:val="00F85842"/>
    <w:rsid w:val="00F8589D"/>
    <w:rsid w:val="00F85EA7"/>
    <w:rsid w:val="00F86047"/>
    <w:rsid w:val="00F86831"/>
    <w:rsid w:val="00F900E1"/>
    <w:rsid w:val="00F900F1"/>
    <w:rsid w:val="00F90106"/>
    <w:rsid w:val="00F90527"/>
    <w:rsid w:val="00F907CE"/>
    <w:rsid w:val="00F90BFB"/>
    <w:rsid w:val="00F919EA"/>
    <w:rsid w:val="00F91A56"/>
    <w:rsid w:val="00F921BE"/>
    <w:rsid w:val="00F922FD"/>
    <w:rsid w:val="00F9285A"/>
    <w:rsid w:val="00F92A65"/>
    <w:rsid w:val="00F92BFA"/>
    <w:rsid w:val="00F92EFF"/>
    <w:rsid w:val="00F937A8"/>
    <w:rsid w:val="00F93BA9"/>
    <w:rsid w:val="00F9438B"/>
    <w:rsid w:val="00F9642E"/>
    <w:rsid w:val="00FA0CF1"/>
    <w:rsid w:val="00FA12F9"/>
    <w:rsid w:val="00FA1A12"/>
    <w:rsid w:val="00FA1ABF"/>
    <w:rsid w:val="00FA1C3D"/>
    <w:rsid w:val="00FA1E2C"/>
    <w:rsid w:val="00FA28F6"/>
    <w:rsid w:val="00FA42B4"/>
    <w:rsid w:val="00FA4EBB"/>
    <w:rsid w:val="00FA6C0B"/>
    <w:rsid w:val="00FB0113"/>
    <w:rsid w:val="00FB017B"/>
    <w:rsid w:val="00FB0B90"/>
    <w:rsid w:val="00FB0BE3"/>
    <w:rsid w:val="00FB1543"/>
    <w:rsid w:val="00FB1E0E"/>
    <w:rsid w:val="00FB2031"/>
    <w:rsid w:val="00FB28B6"/>
    <w:rsid w:val="00FB301B"/>
    <w:rsid w:val="00FB31C1"/>
    <w:rsid w:val="00FB362F"/>
    <w:rsid w:val="00FB3641"/>
    <w:rsid w:val="00FB3DF3"/>
    <w:rsid w:val="00FB3F42"/>
    <w:rsid w:val="00FB4211"/>
    <w:rsid w:val="00FB51DA"/>
    <w:rsid w:val="00FB55D7"/>
    <w:rsid w:val="00FB5F32"/>
    <w:rsid w:val="00FB62F2"/>
    <w:rsid w:val="00FB6B51"/>
    <w:rsid w:val="00FB752A"/>
    <w:rsid w:val="00FB7C65"/>
    <w:rsid w:val="00FB7F72"/>
    <w:rsid w:val="00FC0968"/>
    <w:rsid w:val="00FC17DD"/>
    <w:rsid w:val="00FC1FDA"/>
    <w:rsid w:val="00FC220C"/>
    <w:rsid w:val="00FC2975"/>
    <w:rsid w:val="00FC3B4B"/>
    <w:rsid w:val="00FC5D09"/>
    <w:rsid w:val="00FC62A2"/>
    <w:rsid w:val="00FC71E2"/>
    <w:rsid w:val="00FC7404"/>
    <w:rsid w:val="00FC78DE"/>
    <w:rsid w:val="00FD0E20"/>
    <w:rsid w:val="00FD1475"/>
    <w:rsid w:val="00FD17A0"/>
    <w:rsid w:val="00FD1905"/>
    <w:rsid w:val="00FD22AF"/>
    <w:rsid w:val="00FD31A5"/>
    <w:rsid w:val="00FD45C8"/>
    <w:rsid w:val="00FD4D42"/>
    <w:rsid w:val="00FD5C87"/>
    <w:rsid w:val="00FD5E9A"/>
    <w:rsid w:val="00FD6CCD"/>
    <w:rsid w:val="00FD70D0"/>
    <w:rsid w:val="00FE006F"/>
    <w:rsid w:val="00FE059F"/>
    <w:rsid w:val="00FE1293"/>
    <w:rsid w:val="00FE2F31"/>
    <w:rsid w:val="00FE38CD"/>
    <w:rsid w:val="00FE4664"/>
    <w:rsid w:val="00FE46EA"/>
    <w:rsid w:val="00FE4F17"/>
    <w:rsid w:val="00FE4F2E"/>
    <w:rsid w:val="00FE5848"/>
    <w:rsid w:val="00FE5A63"/>
    <w:rsid w:val="00FE6C0D"/>
    <w:rsid w:val="00FE6F69"/>
    <w:rsid w:val="00FF0461"/>
    <w:rsid w:val="00FF0568"/>
    <w:rsid w:val="00FF3ADD"/>
    <w:rsid w:val="00FF3FAF"/>
    <w:rsid w:val="00FF443B"/>
    <w:rsid w:val="00FF525A"/>
    <w:rsid w:val="00FF5337"/>
    <w:rsid w:val="00FF5EFB"/>
    <w:rsid w:val="00FF6170"/>
    <w:rsid w:val="00FF6D4C"/>
    <w:rsid w:val="00FF7568"/>
    <w:rsid w:val="00FF76A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8FCF9"/>
  <w15:docId w15:val="{42A7596A-9CC1-4DF8-8860-E67EA27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E4BE2"/>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5D72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52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9A6"/>
    <w:rPr>
      <w:rFonts w:ascii="Segoe UI" w:hAnsi="Segoe UI" w:cs="Segoe UI"/>
      <w:sz w:val="18"/>
      <w:szCs w:val="18"/>
    </w:rPr>
  </w:style>
  <w:style w:type="character" w:styleId="CommentReference">
    <w:name w:val="annotation reference"/>
    <w:basedOn w:val="DefaultParagraphFont"/>
    <w:uiPriority w:val="99"/>
    <w:semiHidden/>
    <w:unhideWhenUsed/>
    <w:rsid w:val="00931795"/>
    <w:rPr>
      <w:sz w:val="16"/>
      <w:szCs w:val="16"/>
    </w:rPr>
  </w:style>
  <w:style w:type="paragraph" w:styleId="CommentText">
    <w:name w:val="annotation text"/>
    <w:basedOn w:val="Normal"/>
    <w:link w:val="CommentTextChar"/>
    <w:uiPriority w:val="99"/>
    <w:semiHidden/>
    <w:unhideWhenUsed/>
    <w:rsid w:val="00931795"/>
    <w:pPr>
      <w:spacing w:line="240" w:lineRule="auto"/>
    </w:pPr>
    <w:rPr>
      <w:sz w:val="20"/>
      <w:szCs w:val="20"/>
    </w:rPr>
  </w:style>
  <w:style w:type="character" w:customStyle="1" w:styleId="CommentTextChar">
    <w:name w:val="Comment Text Char"/>
    <w:basedOn w:val="DefaultParagraphFont"/>
    <w:link w:val="CommentText"/>
    <w:uiPriority w:val="99"/>
    <w:semiHidden/>
    <w:rsid w:val="00931795"/>
    <w:rPr>
      <w:sz w:val="20"/>
      <w:szCs w:val="20"/>
    </w:rPr>
  </w:style>
  <w:style w:type="table" w:styleId="TableGrid">
    <w:name w:val="Table Grid"/>
    <w:basedOn w:val="TableNormal"/>
    <w:uiPriority w:val="39"/>
    <w:rsid w:val="00D9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F106E"/>
    <w:pPr>
      <w:spacing w:beforeAutospacing="1" w:afterAutospacing="1" w:line="240" w:lineRule="auto"/>
    </w:pPr>
    <w:rPr>
      <w:rFonts w:ascii="Times New Roman" w:eastAsia="Times New Roman" w:hAnsi="Times New Roman" w:cs="Times New Roman"/>
      <w:sz w:val="24"/>
      <w:szCs w:val="24"/>
      <w:lang w:eastAsia="en-MY"/>
    </w:rPr>
  </w:style>
  <w:style w:type="paragraph" w:styleId="CommentSubject">
    <w:name w:val="annotation subject"/>
    <w:basedOn w:val="CommentText"/>
    <w:next w:val="CommentText"/>
    <w:link w:val="CommentSubjectChar"/>
    <w:uiPriority w:val="99"/>
    <w:semiHidden/>
    <w:unhideWhenUsed/>
    <w:rsid w:val="00E30161"/>
    <w:rPr>
      <w:b/>
      <w:bCs/>
    </w:rPr>
  </w:style>
  <w:style w:type="character" w:customStyle="1" w:styleId="CommentSubjectChar">
    <w:name w:val="Comment Subject Char"/>
    <w:basedOn w:val="CommentTextChar"/>
    <w:link w:val="CommentSubject"/>
    <w:uiPriority w:val="99"/>
    <w:semiHidden/>
    <w:rsid w:val="00E30161"/>
    <w:rPr>
      <w:b/>
      <w:bCs/>
      <w:sz w:val="20"/>
      <w:szCs w:val="20"/>
    </w:rPr>
  </w:style>
  <w:style w:type="paragraph" w:styleId="ListParagraph">
    <w:name w:val="List Paragraph"/>
    <w:basedOn w:val="Normal"/>
    <w:uiPriority w:val="34"/>
    <w:qFormat/>
    <w:rsid w:val="00AE68E4"/>
    <w:pPr>
      <w:ind w:left="720"/>
      <w:contextualSpacing/>
    </w:pPr>
  </w:style>
  <w:style w:type="paragraph" w:styleId="FootnoteText">
    <w:name w:val="footnote text"/>
    <w:basedOn w:val="Normal"/>
    <w:link w:val="FootnoteTextChar"/>
    <w:uiPriority w:val="99"/>
    <w:semiHidden/>
    <w:unhideWhenUsed/>
    <w:rsid w:val="00FB4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211"/>
    <w:rPr>
      <w:sz w:val="20"/>
      <w:szCs w:val="20"/>
    </w:rPr>
  </w:style>
  <w:style w:type="character" w:styleId="FootnoteReference">
    <w:name w:val="footnote reference"/>
    <w:basedOn w:val="DefaultParagraphFont"/>
    <w:uiPriority w:val="99"/>
    <w:semiHidden/>
    <w:unhideWhenUsed/>
    <w:rsid w:val="00FB4211"/>
    <w:rPr>
      <w:vertAlign w:val="superscript"/>
    </w:rPr>
  </w:style>
  <w:style w:type="character" w:styleId="PlaceholderText">
    <w:name w:val="Placeholder Text"/>
    <w:basedOn w:val="DefaultParagraphFont"/>
    <w:uiPriority w:val="99"/>
    <w:semiHidden/>
    <w:rsid w:val="00970504"/>
    <w:rPr>
      <w:color w:val="808080"/>
    </w:rPr>
  </w:style>
  <w:style w:type="character" w:customStyle="1" w:styleId="Heading1Char">
    <w:name w:val="Heading 1 Char"/>
    <w:basedOn w:val="DefaultParagraphFont"/>
    <w:link w:val="Heading1"/>
    <w:uiPriority w:val="9"/>
    <w:rsid w:val="005E4BE2"/>
    <w:rPr>
      <w:rFonts w:asciiTheme="majorHAnsi" w:eastAsiaTheme="majorEastAsia" w:hAnsiTheme="majorHAnsi" w:cstheme="majorBidi"/>
      <w:color w:val="2F5496" w:themeColor="accent1" w:themeShade="BF"/>
      <w:sz w:val="32"/>
      <w:szCs w:val="32"/>
      <w:lang w:val="en-US"/>
    </w:rPr>
  </w:style>
  <w:style w:type="character" w:styleId="LineNumber">
    <w:name w:val="line number"/>
    <w:basedOn w:val="DefaultParagraphFont"/>
    <w:uiPriority w:val="99"/>
    <w:semiHidden/>
    <w:unhideWhenUsed/>
    <w:rsid w:val="00834264"/>
  </w:style>
  <w:style w:type="table" w:styleId="GridTable2-Accent1">
    <w:name w:val="Grid Table 2 Accent 1"/>
    <w:basedOn w:val="TableNormal"/>
    <w:uiPriority w:val="47"/>
    <w:rsid w:val="007E539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994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39C"/>
  </w:style>
  <w:style w:type="paragraph" w:styleId="Footer">
    <w:name w:val="footer"/>
    <w:basedOn w:val="Normal"/>
    <w:link w:val="FooterChar"/>
    <w:uiPriority w:val="99"/>
    <w:unhideWhenUsed/>
    <w:rsid w:val="00994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39C"/>
  </w:style>
  <w:style w:type="paragraph" w:styleId="Revision">
    <w:name w:val="Revision"/>
    <w:hidden/>
    <w:uiPriority w:val="99"/>
    <w:semiHidden/>
    <w:rsid w:val="00357B4D"/>
    <w:pPr>
      <w:spacing w:after="0" w:line="240" w:lineRule="auto"/>
    </w:pPr>
  </w:style>
  <w:style w:type="character" w:styleId="Hyperlink">
    <w:name w:val="Hyperlink"/>
    <w:basedOn w:val="DefaultParagraphFont"/>
    <w:uiPriority w:val="99"/>
    <w:unhideWhenUsed/>
    <w:rsid w:val="00AD1709"/>
    <w:rPr>
      <w:color w:val="0563C1" w:themeColor="hyperlink"/>
      <w:u w:val="single"/>
    </w:rPr>
  </w:style>
  <w:style w:type="character" w:styleId="UnresolvedMention">
    <w:name w:val="Unresolved Mention"/>
    <w:basedOn w:val="DefaultParagraphFont"/>
    <w:uiPriority w:val="99"/>
    <w:semiHidden/>
    <w:unhideWhenUsed/>
    <w:rsid w:val="00AD1709"/>
    <w:rPr>
      <w:color w:val="605E5C"/>
      <w:shd w:val="clear" w:color="auto" w:fill="E1DFDD"/>
    </w:rPr>
  </w:style>
  <w:style w:type="character" w:customStyle="1" w:styleId="Heading2Char">
    <w:name w:val="Heading 2 Char"/>
    <w:basedOn w:val="DefaultParagraphFont"/>
    <w:link w:val="Heading2"/>
    <w:uiPriority w:val="9"/>
    <w:rsid w:val="005D72CD"/>
    <w:rPr>
      <w:rFonts w:asciiTheme="majorHAnsi" w:eastAsiaTheme="majorEastAsia" w:hAnsiTheme="majorHAnsi" w:cstheme="majorBidi"/>
      <w:color w:val="2F5496" w:themeColor="accent1" w:themeShade="BF"/>
      <w:sz w:val="26"/>
      <w:szCs w:val="26"/>
      <w:lang w:val="en-GB"/>
    </w:rPr>
  </w:style>
  <w:style w:type="paragraph" w:styleId="NoSpacing">
    <w:name w:val="No Spacing"/>
    <w:uiPriority w:val="1"/>
    <w:qFormat/>
    <w:rsid w:val="00992B16"/>
    <w:pPr>
      <w:spacing w:after="0" w:line="240" w:lineRule="auto"/>
    </w:pPr>
    <w:rPr>
      <w:lang w:val="en-GB"/>
    </w:rPr>
  </w:style>
  <w:style w:type="character" w:customStyle="1" w:styleId="Heading3Char">
    <w:name w:val="Heading 3 Char"/>
    <w:basedOn w:val="DefaultParagraphFont"/>
    <w:link w:val="Heading3"/>
    <w:uiPriority w:val="9"/>
    <w:rsid w:val="006E5256"/>
    <w:rPr>
      <w:rFonts w:asciiTheme="majorHAnsi" w:eastAsiaTheme="majorEastAsia" w:hAnsiTheme="majorHAnsi" w:cstheme="majorBidi"/>
      <w:color w:val="1F3763" w:themeColor="accent1" w:themeShade="7F"/>
      <w:sz w:val="24"/>
      <w:szCs w:val="24"/>
      <w:lang w:val="en-GB"/>
    </w:rPr>
  </w:style>
  <w:style w:type="paragraph" w:styleId="Title">
    <w:name w:val="Title"/>
    <w:basedOn w:val="Normal"/>
    <w:next w:val="Normal"/>
    <w:link w:val="TitleChar"/>
    <w:uiPriority w:val="10"/>
    <w:qFormat/>
    <w:rsid w:val="004203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314"/>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149">
      <w:bodyDiv w:val="1"/>
      <w:marLeft w:val="0"/>
      <w:marRight w:val="0"/>
      <w:marTop w:val="0"/>
      <w:marBottom w:val="0"/>
      <w:divBdr>
        <w:top w:val="none" w:sz="0" w:space="0" w:color="auto"/>
        <w:left w:val="none" w:sz="0" w:space="0" w:color="auto"/>
        <w:bottom w:val="none" w:sz="0" w:space="0" w:color="auto"/>
        <w:right w:val="none" w:sz="0" w:space="0" w:color="auto"/>
      </w:divBdr>
    </w:div>
    <w:div w:id="830101068">
      <w:bodyDiv w:val="1"/>
      <w:marLeft w:val="0"/>
      <w:marRight w:val="0"/>
      <w:marTop w:val="0"/>
      <w:marBottom w:val="0"/>
      <w:divBdr>
        <w:top w:val="none" w:sz="0" w:space="0" w:color="auto"/>
        <w:left w:val="none" w:sz="0" w:space="0" w:color="auto"/>
        <w:bottom w:val="none" w:sz="0" w:space="0" w:color="auto"/>
        <w:right w:val="none" w:sz="0" w:space="0" w:color="auto"/>
      </w:divBdr>
    </w:div>
    <w:div w:id="1213734395">
      <w:bodyDiv w:val="1"/>
      <w:marLeft w:val="0"/>
      <w:marRight w:val="0"/>
      <w:marTop w:val="0"/>
      <w:marBottom w:val="0"/>
      <w:divBdr>
        <w:top w:val="none" w:sz="0" w:space="0" w:color="auto"/>
        <w:left w:val="none" w:sz="0" w:space="0" w:color="auto"/>
        <w:bottom w:val="none" w:sz="0" w:space="0" w:color="auto"/>
        <w:right w:val="none" w:sz="0" w:space="0" w:color="auto"/>
      </w:divBdr>
    </w:div>
    <w:div w:id="1619408152">
      <w:bodyDiv w:val="1"/>
      <w:marLeft w:val="0"/>
      <w:marRight w:val="0"/>
      <w:marTop w:val="0"/>
      <w:marBottom w:val="0"/>
      <w:divBdr>
        <w:top w:val="none" w:sz="0" w:space="0" w:color="auto"/>
        <w:left w:val="none" w:sz="0" w:space="0" w:color="auto"/>
        <w:bottom w:val="none" w:sz="0" w:space="0" w:color="auto"/>
        <w:right w:val="none" w:sz="0" w:space="0" w:color="auto"/>
      </w:divBdr>
    </w:div>
    <w:div w:id="16892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Kurukulaaratchy@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A39F-E2DF-4588-B491-ACAC1E15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38730</Words>
  <Characters>220767</Characters>
  <Application>Microsoft Office Word</Application>
  <DocSecurity>0</DocSecurity>
  <Lines>1839</Lines>
  <Paragraphs>517</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258980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fong</dc:creator>
  <cp:lastModifiedBy>Ramesh Kurukulaaratchy</cp:lastModifiedBy>
  <cp:revision>3</cp:revision>
  <dcterms:created xsi:type="dcterms:W3CDTF">2021-04-25T12:34:00Z</dcterms:created>
  <dcterms:modified xsi:type="dcterms:W3CDTF">2021-04-25T12:36:00Z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http://www.zotero.org/styles/chest</vt:lpwstr>
  </property>
  <property fmtid="{D5CDD505-2E9C-101B-9397-08002B2CF9AE}" pid="4" name="Mendeley Unique User Id_1">
    <vt:lpwstr>f34ea424-e3c2-3e06-a30c-d64984e477a2</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http://www.zotero.org/styles/chest</vt:lpwstr>
  </property>
  <property fmtid="{D5CDD505-2E9C-101B-9397-08002B2CF9AE}" pid="10" name="Mendeley Recent Style Name 2_1">
    <vt:lpwstr>Chest</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