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6DC6" w14:textId="77777777" w:rsidR="004F31DA" w:rsidRDefault="004F31DA">
      <w:pPr>
        <w:pBdr>
          <w:top w:val="nil"/>
          <w:left w:val="nil"/>
          <w:bottom w:val="nil"/>
          <w:right w:val="nil"/>
          <w:between w:val="nil"/>
        </w:pBdr>
        <w:spacing w:line="276" w:lineRule="auto"/>
      </w:pPr>
    </w:p>
    <w:p w14:paraId="616E0ECF" w14:textId="77777777" w:rsidR="004F31DA" w:rsidRDefault="00080486">
      <w:pPr>
        <w:widowControl/>
        <w:pBdr>
          <w:top w:val="nil"/>
          <w:left w:val="nil"/>
          <w:bottom w:val="nil"/>
          <w:right w:val="nil"/>
          <w:between w:val="nil"/>
        </w:pBdr>
        <w:spacing w:after="240"/>
        <w:ind w:left="-119" w:right="-136" w:firstLine="119"/>
        <w:jc w:val="center"/>
        <w:rPr>
          <w:rFonts w:eastAsia="Times New Roman"/>
          <w:color w:val="000000"/>
          <w:sz w:val="24"/>
          <w:szCs w:val="24"/>
        </w:rPr>
      </w:pPr>
      <w:bookmarkStart w:id="0" w:name="_heading=h.gjdgxs" w:colFirst="0" w:colLast="0"/>
      <w:bookmarkEnd w:id="0"/>
      <w:r>
        <w:rPr>
          <w:sz w:val="24"/>
          <w:szCs w:val="24"/>
        </w:rPr>
        <w:t>5th Annual CDT Conference in Energy Storage &amp; Its Applications, Professor Andrew Cruden, 2021, 01-12</w:t>
      </w:r>
      <w:r>
        <w:rPr>
          <w:rFonts w:eastAsia="Times New Roman"/>
          <w:color w:val="000000"/>
          <w:sz w:val="24"/>
          <w:szCs w:val="24"/>
        </w:rPr>
        <w:t>, held virtually</w:t>
      </w:r>
    </w:p>
    <w:p w14:paraId="563B0FC9" w14:textId="0D29D79D" w:rsidR="004F31DA" w:rsidRDefault="002467B3">
      <w:pPr>
        <w:widowControl/>
        <w:pBdr>
          <w:top w:val="nil"/>
          <w:left w:val="nil"/>
          <w:bottom w:val="nil"/>
          <w:right w:val="nil"/>
          <w:between w:val="nil"/>
        </w:pBdr>
        <w:spacing w:after="240" w:line="400" w:lineRule="auto"/>
        <w:jc w:val="center"/>
        <w:rPr>
          <w:rFonts w:eastAsia="Times New Roman"/>
          <w:color w:val="000000"/>
          <w:sz w:val="34"/>
          <w:szCs w:val="34"/>
        </w:rPr>
      </w:pPr>
      <w:r w:rsidRPr="002467B3">
        <w:rPr>
          <w:rFonts w:eastAsia="Times New Roman"/>
          <w:color w:val="000000"/>
          <w:sz w:val="34"/>
          <w:szCs w:val="34"/>
        </w:rPr>
        <w:t xml:space="preserve">A </w:t>
      </w:r>
      <w:proofErr w:type="gramStart"/>
      <w:r w:rsidRPr="002467B3">
        <w:rPr>
          <w:rFonts w:eastAsia="Times New Roman"/>
          <w:color w:val="000000"/>
          <w:sz w:val="34"/>
          <w:szCs w:val="34"/>
        </w:rPr>
        <w:t>two dimensional</w:t>
      </w:r>
      <w:proofErr w:type="gramEnd"/>
      <w:r w:rsidRPr="002467B3">
        <w:rPr>
          <w:rFonts w:eastAsia="Times New Roman"/>
          <w:color w:val="000000"/>
          <w:sz w:val="34"/>
          <w:szCs w:val="34"/>
        </w:rPr>
        <w:t xml:space="preserve"> numerical model of the membrane-divided soluble lead flow battery</w:t>
      </w:r>
    </w:p>
    <w:p w14:paraId="32D98423" w14:textId="7CE9AC36" w:rsidR="004F31DA" w:rsidRPr="002467B3" w:rsidRDefault="002467B3">
      <w:pPr>
        <w:keepNext/>
        <w:widowControl/>
        <w:pBdr>
          <w:top w:val="nil"/>
          <w:left w:val="nil"/>
          <w:bottom w:val="nil"/>
          <w:right w:val="nil"/>
          <w:between w:val="nil"/>
        </w:pBdr>
        <w:spacing w:after="160" w:line="300" w:lineRule="auto"/>
        <w:ind w:right="2"/>
        <w:jc w:val="center"/>
        <w:rPr>
          <w:rFonts w:eastAsia="Times New Roman"/>
          <w:color w:val="000000"/>
          <w:sz w:val="26"/>
          <w:szCs w:val="26"/>
          <w:vertAlign w:val="superscript"/>
        </w:rPr>
      </w:pPr>
      <w:proofErr w:type="spellStart"/>
      <w:r w:rsidRPr="002467B3">
        <w:rPr>
          <w:rFonts w:eastAsia="Times New Roman"/>
          <w:color w:val="000000"/>
          <w:sz w:val="26"/>
          <w:szCs w:val="26"/>
        </w:rPr>
        <w:t>E.</w:t>
      </w:r>
      <w:proofErr w:type="gramStart"/>
      <w:r w:rsidRPr="002467B3">
        <w:rPr>
          <w:rFonts w:eastAsia="Times New Roman"/>
          <w:color w:val="000000"/>
          <w:sz w:val="26"/>
          <w:szCs w:val="26"/>
        </w:rPr>
        <w:t>J.Fraser</w:t>
      </w:r>
      <w:r>
        <w:rPr>
          <w:rFonts w:eastAsia="Times New Roman"/>
          <w:color w:val="000000"/>
          <w:sz w:val="26"/>
          <w:szCs w:val="26"/>
          <w:vertAlign w:val="superscript"/>
        </w:rPr>
        <w:t>a</w:t>
      </w:r>
      <w:proofErr w:type="spellEnd"/>
      <w:proofErr w:type="gramEnd"/>
      <w:r w:rsidRPr="002467B3">
        <w:rPr>
          <w:rFonts w:eastAsia="Times New Roman"/>
          <w:color w:val="000000"/>
          <w:sz w:val="26"/>
          <w:szCs w:val="26"/>
        </w:rPr>
        <w:t xml:space="preserve"> , K.K.J. Ranga </w:t>
      </w:r>
      <w:proofErr w:type="spellStart"/>
      <w:r w:rsidRPr="002467B3">
        <w:rPr>
          <w:rFonts w:eastAsia="Times New Roman"/>
          <w:color w:val="000000"/>
          <w:sz w:val="26"/>
          <w:szCs w:val="26"/>
        </w:rPr>
        <w:t>Dinesh</w:t>
      </w:r>
      <w:r>
        <w:rPr>
          <w:rFonts w:eastAsia="Times New Roman"/>
          <w:color w:val="000000"/>
          <w:sz w:val="26"/>
          <w:szCs w:val="26"/>
          <w:vertAlign w:val="superscript"/>
        </w:rPr>
        <w:t>a</w:t>
      </w:r>
      <w:proofErr w:type="spellEnd"/>
      <w:r w:rsidRPr="002467B3">
        <w:rPr>
          <w:rFonts w:eastAsia="Times New Roman"/>
          <w:color w:val="000000"/>
          <w:sz w:val="26"/>
          <w:szCs w:val="26"/>
        </w:rPr>
        <w:t xml:space="preserve">, R.G.A. </w:t>
      </w:r>
      <w:proofErr w:type="spellStart"/>
      <w:r w:rsidRPr="002467B3">
        <w:rPr>
          <w:rFonts w:eastAsia="Times New Roman"/>
          <w:color w:val="000000"/>
          <w:sz w:val="26"/>
          <w:szCs w:val="26"/>
        </w:rPr>
        <w:t>Wills</w:t>
      </w:r>
      <w:r w:rsidRPr="002467B3">
        <w:rPr>
          <w:rFonts w:eastAsia="Times New Roman"/>
          <w:color w:val="000000"/>
          <w:sz w:val="26"/>
          <w:szCs w:val="26"/>
          <w:vertAlign w:val="superscript"/>
        </w:rPr>
        <w:t>a</w:t>
      </w:r>
      <w:proofErr w:type="spellEnd"/>
      <w:r w:rsidR="00080486">
        <w:rPr>
          <w:rFonts w:eastAsia="Times New Roman"/>
          <w:color w:val="000000"/>
          <w:sz w:val="26"/>
          <w:szCs w:val="26"/>
          <w:vertAlign w:val="superscript"/>
        </w:rPr>
        <w:footnoteReference w:id="1"/>
      </w:r>
    </w:p>
    <w:p w14:paraId="1B9F80CD" w14:textId="012CA33C" w:rsidR="002467B3" w:rsidRPr="00FA455F" w:rsidRDefault="002467B3" w:rsidP="002467B3">
      <w:pPr>
        <w:pStyle w:val="Els-Affiliation"/>
        <w:jc w:val="left"/>
        <w:rPr>
          <w:lang w:val="en-GB"/>
        </w:rPr>
      </w:pPr>
      <w:r>
        <w:rPr>
          <w:vertAlign w:val="superscript"/>
          <w:lang w:val="en-GB"/>
        </w:rPr>
        <w:t>a</w:t>
      </w:r>
      <w:r w:rsidRPr="00FA455F">
        <w:rPr>
          <w:lang w:val="en-GB"/>
        </w:rPr>
        <w:t>Energy Technology Research Group, Faculty of Engineering and Physical Sciences, University of Southampton, Southampton, SO17 1BJ, UK</w:t>
      </w:r>
    </w:p>
    <w:p w14:paraId="5DAEFEB1" w14:textId="77777777" w:rsidR="004F31DA" w:rsidRDefault="004F31DA">
      <w:pPr>
        <w:widowControl/>
        <w:pBdr>
          <w:top w:val="nil"/>
          <w:left w:val="nil"/>
          <w:bottom w:val="nil"/>
          <w:right w:val="nil"/>
          <w:between w:val="nil"/>
        </w:pBdr>
        <w:spacing w:line="200" w:lineRule="auto"/>
        <w:jc w:val="center"/>
        <w:rPr>
          <w:rFonts w:eastAsia="Times New Roman"/>
          <w:i/>
          <w:color w:val="000000"/>
          <w:sz w:val="16"/>
          <w:szCs w:val="16"/>
        </w:rPr>
      </w:pPr>
    </w:p>
    <w:p w14:paraId="1D6DAD2F" w14:textId="77777777" w:rsidR="004F31DA" w:rsidRDefault="00080486">
      <w:pPr>
        <w:widowControl/>
        <w:pBdr>
          <w:top w:val="nil"/>
          <w:left w:val="nil"/>
          <w:bottom w:val="nil"/>
          <w:right w:val="nil"/>
          <w:between w:val="nil"/>
        </w:pBdr>
        <w:spacing w:after="400" w:line="200" w:lineRule="auto"/>
        <w:jc w:val="center"/>
        <w:rPr>
          <w:rFonts w:eastAsia="Times New Roman"/>
          <w:i/>
          <w:color w:val="000000"/>
          <w:sz w:val="16"/>
          <w:szCs w:val="16"/>
        </w:rPr>
      </w:pPr>
      <w:r>
        <w:rPr>
          <w:rFonts w:eastAsia="Times New Roman"/>
          <w:i/>
          <w:color w:val="000000"/>
          <w:sz w:val="16"/>
          <w:szCs w:val="16"/>
        </w:rPr>
        <w:t xml:space="preserve"> </w:t>
      </w:r>
    </w:p>
    <w:p w14:paraId="1399B899" w14:textId="77777777" w:rsidR="004F31DA" w:rsidRDefault="00080486">
      <w:pPr>
        <w:keepNext/>
        <w:widowControl/>
        <w:pBdr>
          <w:top w:val="single" w:sz="4" w:space="10" w:color="000000"/>
          <w:left w:val="nil"/>
          <w:bottom w:val="nil"/>
          <w:right w:val="nil"/>
          <w:between w:val="nil"/>
        </w:pBdr>
        <w:spacing w:before="200" w:after="220" w:line="220" w:lineRule="auto"/>
        <w:rPr>
          <w:rFonts w:eastAsia="Times New Roman"/>
          <w:b/>
          <w:color w:val="000000"/>
          <w:sz w:val="18"/>
          <w:szCs w:val="18"/>
        </w:rPr>
      </w:pPr>
      <w:r>
        <w:rPr>
          <w:rFonts w:eastAsia="Times New Roman"/>
          <w:b/>
          <w:color w:val="000000"/>
          <w:sz w:val="18"/>
          <w:szCs w:val="18"/>
        </w:rPr>
        <w:t>Abstract</w:t>
      </w:r>
    </w:p>
    <w:p w14:paraId="0B4B74DE" w14:textId="67568488" w:rsidR="004F31DA" w:rsidRPr="002467B3" w:rsidRDefault="00783958" w:rsidP="002467B3">
      <w:pPr>
        <w:pStyle w:val="Els-Abstract-text"/>
        <w:rPr>
          <w:lang w:val="en-GB"/>
        </w:rPr>
      </w:pPr>
      <w:r>
        <w:rPr>
          <w:lang w:val="en-GB"/>
        </w:rPr>
        <w:t>D</w:t>
      </w:r>
      <w:r w:rsidRPr="00FA455F">
        <w:rPr>
          <w:lang w:val="en-GB"/>
        </w:rPr>
        <w:t xml:space="preserve">ividing the </w:t>
      </w:r>
      <w:r>
        <w:rPr>
          <w:lang w:val="en-GB"/>
        </w:rPr>
        <w:t>soluble lead flow battery (SLFB)</w:t>
      </w:r>
      <w:r w:rsidRPr="00FA455F">
        <w:rPr>
          <w:lang w:val="en-GB"/>
        </w:rPr>
        <w:t xml:space="preserve"> is known to improve the cycle life of the SLFB by preventing failure mechanisms such as short-circuiting and by allowing electrode specific electrolyte additives. </w:t>
      </w:r>
      <w:r w:rsidR="002467B3" w:rsidRPr="00FA455F">
        <w:rPr>
          <w:lang w:val="en-GB"/>
        </w:rPr>
        <w:t xml:space="preserve">Modelling (SLFB) is a complex </w:t>
      </w:r>
      <w:proofErr w:type="spellStart"/>
      <w:r w:rsidR="002467B3" w:rsidRPr="00FA455F">
        <w:rPr>
          <w:lang w:val="en-GB"/>
        </w:rPr>
        <w:t>multiphysics</w:t>
      </w:r>
      <w:proofErr w:type="spellEnd"/>
      <w:r w:rsidR="002467B3" w:rsidRPr="00FA455F">
        <w:rPr>
          <w:lang w:val="en-GB"/>
        </w:rPr>
        <w:t xml:space="preserve"> problem due to the electrolyte flow, composition changes and reaction environment geometry variations associated with the deposition and dissolution of the active material as a function of state of charge. Here we studied the membrane divided SLFB using a two-dimensional, transient, numerical model, built in COMSOL Multiphysics. Divided cells using cationic and anionic ion-exchange membranes and simple, porous separators are compared with the undivided SLFB. The model successfully predicts the complex, non-linear relationship between Pb</w:t>
      </w:r>
      <w:r w:rsidR="002467B3" w:rsidRPr="00FA455F">
        <w:rPr>
          <w:vertAlign w:val="superscript"/>
          <w:lang w:val="en-GB"/>
        </w:rPr>
        <w:t>2+</w:t>
      </w:r>
      <w:r w:rsidR="002467B3" w:rsidRPr="00FA455F">
        <w:rPr>
          <w:lang w:val="en-GB"/>
        </w:rPr>
        <w:t xml:space="preserve"> ion concentration and conductivity of the electrolyte as a function of free acid concentration. The</w:t>
      </w:r>
      <w:r w:rsidR="002467B3">
        <w:rPr>
          <w:lang w:val="en-GB"/>
        </w:rPr>
        <w:t xml:space="preserve">re is a </w:t>
      </w:r>
      <w:r w:rsidR="002467B3" w:rsidRPr="00FA455F">
        <w:rPr>
          <w:lang w:val="en-GB"/>
        </w:rPr>
        <w:t>deviat</w:t>
      </w:r>
      <w:r w:rsidR="002467B3">
        <w:rPr>
          <w:lang w:val="en-GB"/>
        </w:rPr>
        <w:t>ion of less than</w:t>
      </w:r>
      <w:r w:rsidR="002467B3" w:rsidRPr="00FA455F">
        <w:rPr>
          <w:lang w:val="en-GB"/>
        </w:rPr>
        <w:t xml:space="preserve"> 22 mS cm</w:t>
      </w:r>
      <w:r w:rsidR="002467B3" w:rsidRPr="00FA455F">
        <w:rPr>
          <w:vertAlign w:val="superscript"/>
          <w:lang w:val="en-GB"/>
        </w:rPr>
        <w:t>-1</w:t>
      </w:r>
      <w:r w:rsidR="002467B3">
        <w:rPr>
          <w:lang w:val="en-GB"/>
        </w:rPr>
        <w:t xml:space="preserve"> between the simulated electrolyte conductivity and</w:t>
      </w:r>
      <w:r w:rsidR="002467B3" w:rsidRPr="00FA455F">
        <w:rPr>
          <w:lang w:val="en-GB"/>
        </w:rPr>
        <w:t xml:space="preserve"> the experimental data. We show the conductivity of the Nafion-115 membrane in the SLFB dominated the potential drop across the membrane. However, at higher current densities, the </w:t>
      </w:r>
      <w:proofErr w:type="spellStart"/>
      <w:r w:rsidR="002467B3" w:rsidRPr="00FA455F">
        <w:rPr>
          <w:lang w:val="en-GB"/>
        </w:rPr>
        <w:t>Donnan</w:t>
      </w:r>
      <w:proofErr w:type="spellEnd"/>
      <w:r w:rsidR="002467B3" w:rsidRPr="00FA455F">
        <w:rPr>
          <w:lang w:val="en-GB"/>
        </w:rPr>
        <w:t xml:space="preserve"> potential becomes more dominant.</w:t>
      </w:r>
    </w:p>
    <w:p w14:paraId="68CF0D5C" w14:textId="77777777" w:rsidR="004F31DA" w:rsidRDefault="004F31DA">
      <w:pPr>
        <w:widowControl/>
        <w:pBdr>
          <w:top w:val="nil"/>
          <w:left w:val="nil"/>
          <w:bottom w:val="single" w:sz="4" w:space="10" w:color="000000"/>
          <w:right w:val="nil"/>
          <w:between w:val="nil"/>
        </w:pBdr>
        <w:spacing w:after="200" w:line="200" w:lineRule="auto"/>
        <w:rPr>
          <w:rFonts w:eastAsia="Times New Roman"/>
          <w:color w:val="000000"/>
          <w:sz w:val="16"/>
          <w:szCs w:val="16"/>
        </w:rPr>
      </w:pPr>
    </w:p>
    <w:p w14:paraId="6A4082C6" w14:textId="77777777" w:rsidR="004F31DA" w:rsidRDefault="00080486">
      <w:pPr>
        <w:widowControl/>
        <w:pBdr>
          <w:top w:val="nil"/>
          <w:left w:val="nil"/>
          <w:bottom w:val="single" w:sz="4" w:space="10" w:color="000000"/>
          <w:right w:val="nil"/>
          <w:between w:val="nil"/>
        </w:pBdr>
        <w:spacing w:after="200" w:line="200" w:lineRule="auto"/>
        <w:rPr>
          <w:rFonts w:eastAsia="Times New Roman"/>
          <w:color w:val="000000"/>
          <w:sz w:val="16"/>
          <w:szCs w:val="16"/>
        </w:rPr>
      </w:pPr>
      <w:r>
        <w:rPr>
          <w:rFonts w:eastAsia="Times New Roman"/>
          <w:color w:val="000000"/>
          <w:sz w:val="16"/>
          <w:szCs w:val="16"/>
        </w:rPr>
        <w:t>© YEAR The Authors. Published by Elsevier Ltd.</w:t>
      </w:r>
    </w:p>
    <w:p w14:paraId="47E5C58A" w14:textId="77777777" w:rsidR="004F31DA" w:rsidRDefault="00080486">
      <w:pPr>
        <w:widowControl/>
        <w:pBdr>
          <w:top w:val="nil"/>
          <w:left w:val="nil"/>
          <w:bottom w:val="single" w:sz="4" w:space="10" w:color="000000"/>
          <w:right w:val="nil"/>
          <w:between w:val="nil"/>
        </w:pBdr>
        <w:spacing w:after="200" w:line="200" w:lineRule="auto"/>
        <w:rPr>
          <w:rFonts w:eastAsia="Times New Roman"/>
          <w:color w:val="000000"/>
          <w:sz w:val="16"/>
          <w:szCs w:val="16"/>
        </w:rPr>
      </w:pPr>
      <w:r>
        <w:rPr>
          <w:rFonts w:eastAsia="Times New Roman"/>
          <w:color w:val="000000"/>
          <w:sz w:val="16"/>
          <w:szCs w:val="16"/>
        </w:rPr>
        <w:t>Peer-review under responsibility of the scientific committee of the Name of the Conference, Conference Organizer Name, Year or Edition of Conference.</w:t>
      </w:r>
    </w:p>
    <w:p w14:paraId="54D81047" w14:textId="6B8D94EC" w:rsidR="004F31DA" w:rsidRDefault="00080486">
      <w:pPr>
        <w:widowControl/>
        <w:pBdr>
          <w:top w:val="nil"/>
          <w:left w:val="nil"/>
          <w:bottom w:val="single" w:sz="4" w:space="10" w:color="000000"/>
          <w:right w:val="nil"/>
          <w:between w:val="nil"/>
        </w:pBdr>
        <w:spacing w:after="200" w:line="200" w:lineRule="auto"/>
        <w:rPr>
          <w:rFonts w:eastAsia="Times New Roman"/>
          <w:color w:val="000000"/>
          <w:sz w:val="16"/>
          <w:szCs w:val="16"/>
        </w:rPr>
      </w:pPr>
      <w:r>
        <w:rPr>
          <w:rFonts w:eastAsia="Times New Roman"/>
          <w:i/>
          <w:color w:val="000000"/>
          <w:sz w:val="16"/>
          <w:szCs w:val="16"/>
        </w:rPr>
        <w:t>Keywords:</w:t>
      </w:r>
      <w:r w:rsidR="006168E2">
        <w:rPr>
          <w:rFonts w:eastAsia="Times New Roman"/>
          <w:i/>
          <w:color w:val="000000"/>
          <w:sz w:val="16"/>
          <w:szCs w:val="16"/>
        </w:rPr>
        <w:t xml:space="preserve"> </w:t>
      </w:r>
      <w:r w:rsidR="006168E2" w:rsidRPr="006168E2">
        <w:rPr>
          <w:rFonts w:eastAsia="Times New Roman"/>
          <w:i/>
          <w:color w:val="000000"/>
          <w:sz w:val="16"/>
          <w:szCs w:val="16"/>
        </w:rPr>
        <w:t>Soluble Lead; Redox Flow battery; Modelling and Simulation; Divided; Membrane</w:t>
      </w:r>
      <w:r>
        <w:rPr>
          <w:rFonts w:eastAsia="Times New Roman"/>
          <w:color w:val="000000"/>
          <w:sz w:val="16"/>
          <w:szCs w:val="16"/>
        </w:rPr>
        <w:t xml:space="preserve"> </w:t>
      </w:r>
    </w:p>
    <w:p w14:paraId="1F3F6395" w14:textId="77777777" w:rsidR="002467B3" w:rsidRDefault="002467B3" w:rsidP="002467B3">
      <w:pPr>
        <w:pStyle w:val="Els-1storder-head"/>
        <w:widowControl/>
        <w:numPr>
          <w:ilvl w:val="0"/>
          <w:numId w:val="8"/>
        </w:numPr>
      </w:pPr>
      <w:r>
        <w:t>Introduction</w:t>
      </w:r>
    </w:p>
    <w:p w14:paraId="5DDC0C51" w14:textId="4932A3B6" w:rsidR="002467B3" w:rsidRPr="002B0709" w:rsidRDefault="002467B3" w:rsidP="002467B3">
      <w:pPr>
        <w:pStyle w:val="Els-body-text"/>
      </w:pPr>
      <w:r>
        <w:t>The soluble lead flow battery (SLFB) is a hybrid flow battery in which solid lead is electroplated onto the negative electrode and solid lead dioxide is electroplated onto the positive electrode during charging. During discharge, the solid phases are electrochemically dissolved back into the electrolyte as Pb</w:t>
      </w:r>
      <w:r>
        <w:rPr>
          <w:vertAlign w:val="superscript"/>
        </w:rPr>
        <w:t>2+</w:t>
      </w:r>
      <w:r>
        <w:t>, the active species in both half-reactions, see eq</w:t>
      </w:r>
      <w:r>
        <w:fldChar w:fldCharType="begin"/>
      </w:r>
      <w:r>
        <w:instrText xml:space="preserve"> REF _Ref46141297 \h </w:instrText>
      </w:r>
      <w:r>
        <w:fldChar w:fldCharType="separate"/>
      </w:r>
      <w:r w:rsidR="00E800B1" w:rsidRPr="003D6521">
        <w:t xml:space="preserve">( </w:t>
      </w:r>
      <w:r w:rsidR="00E800B1">
        <w:rPr>
          <w:noProof/>
        </w:rPr>
        <w:t>1</w:t>
      </w:r>
      <w:r w:rsidR="00E800B1" w:rsidRPr="003D6521">
        <w:t xml:space="preserve"> )</w:t>
      </w:r>
      <w:r>
        <w:fldChar w:fldCharType="end"/>
      </w:r>
      <w:r>
        <w:t>-</w:t>
      </w:r>
      <w:r>
        <w:fldChar w:fldCharType="begin"/>
      </w:r>
      <w:r>
        <w:instrText xml:space="preserve"> REF _Ref43116079 \h </w:instrText>
      </w:r>
      <w:r>
        <w:fldChar w:fldCharType="separate"/>
      </w:r>
      <w:r w:rsidR="00E800B1" w:rsidRPr="003D6521">
        <w:t xml:space="preserve">( </w:t>
      </w:r>
      <w:r w:rsidR="00E800B1">
        <w:rPr>
          <w:noProof/>
        </w:rPr>
        <w:t>3</w:t>
      </w:r>
      <w:r w:rsidR="00E800B1" w:rsidRPr="003D6521">
        <w:t xml:space="preserve"> )</w:t>
      </w:r>
      <w:r>
        <w:fldChar w:fldCharType="end"/>
      </w:r>
      <w:r>
        <w:t>. Because of this, the SLFB can operate in an undivided manner as there is a physical separation of the active materials in the charged state, which prevents self-discharge.</w:t>
      </w:r>
    </w:p>
    <w:tbl>
      <w:tblPr>
        <w:tblStyle w:val="TableGrid"/>
        <w:tblpPr w:leftFromText="1247" w:rightFromText="1247" w:topFromText="142" w:bottomFromText="142" w:vertAnchor="text" w:horzAnchor="margin" w:tblpY="15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298"/>
        <w:gridCol w:w="8020"/>
        <w:gridCol w:w="653"/>
      </w:tblGrid>
      <w:tr w:rsidR="002467B3" w:rsidRPr="003D6521" w14:paraId="2A397CC5" w14:textId="77777777" w:rsidTr="003D6521">
        <w:tc>
          <w:tcPr>
            <w:tcW w:w="350" w:type="pct"/>
            <w:gridSpan w:val="2"/>
            <w:shd w:val="clear" w:color="auto" w:fill="auto"/>
          </w:tcPr>
          <w:p w14:paraId="5DD15A50" w14:textId="77777777" w:rsidR="002467B3" w:rsidRPr="003D6521" w:rsidRDefault="002467B3" w:rsidP="003D6521">
            <w:pPr>
              <w:pStyle w:val="Els-body-text"/>
              <w:spacing w:line="240" w:lineRule="auto"/>
              <w:ind w:left="360" w:right="-28" w:firstLine="0"/>
            </w:pPr>
          </w:p>
        </w:tc>
        <w:tc>
          <w:tcPr>
            <w:tcW w:w="4300" w:type="pct"/>
            <w:shd w:val="clear" w:color="auto" w:fill="auto"/>
          </w:tcPr>
          <w:p w14:paraId="43829591" w14:textId="77777777" w:rsidR="002467B3" w:rsidRPr="003D6521" w:rsidRDefault="002467B3" w:rsidP="003D6521">
            <w:pPr>
              <w:pStyle w:val="Els-body-text"/>
              <w:spacing w:line="240" w:lineRule="auto"/>
              <w:ind w:left="360" w:right="-28" w:firstLine="0"/>
            </w:pPr>
            <m:oMathPara>
              <m:oMath>
                <m:r>
                  <w:rPr>
                    <w:rFonts w:ascii="Cambria Math" w:hAnsi="Cambria Math"/>
                  </w:rPr>
                  <m:t>Positive</m:t>
                </m:r>
                <m:r>
                  <m:rPr>
                    <m:sty m:val="p"/>
                  </m:rPr>
                  <w:rPr>
                    <w:rFonts w:ascii="Cambria Math" w:hAnsi="Cambria Math"/>
                  </w:rPr>
                  <m:t xml:space="preserve">             </m:t>
                </m:r>
                <m:sSup>
                  <m:sSupPr>
                    <m:ctrlPr>
                      <w:rPr>
                        <w:rFonts w:ascii="Cambria Math" w:hAnsi="Cambria Math"/>
                      </w:rPr>
                    </m:ctrlPr>
                  </m:sSupPr>
                  <m:e>
                    <m:r>
                      <w:rPr>
                        <w:rFonts w:ascii="Cambria Math" w:hAnsi="Cambria Math"/>
                      </w:rPr>
                      <m:t>Pb</m:t>
                    </m:r>
                  </m:e>
                  <m:sup>
                    <m:r>
                      <m:rPr>
                        <m:sty m:val="p"/>
                      </m:rPr>
                      <w:rPr>
                        <w:rFonts w:ascii="Cambria Math" w:hAnsi="Cambria Math"/>
                      </w:rPr>
                      <m:t>2+</m:t>
                    </m:r>
                  </m:sup>
                </m:sSup>
                <m:r>
                  <m:rPr>
                    <m:sty m:val="p"/>
                  </m:rP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 xml:space="preserve"> ⇌</m:t>
                </m:r>
                <m:r>
                  <w:rPr>
                    <w:rFonts w:ascii="Cambria Math" w:hAnsi="Cambria Math"/>
                  </w:rPr>
                  <m:t>Pb</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+ 4</m:t>
                </m:r>
                <m:sSup>
                  <m:sSupPr>
                    <m:ctrlPr>
                      <w:rPr>
                        <w:rFonts w:ascii="Cambria Math" w:hAnsi="Cambria Math"/>
                      </w:rPr>
                    </m:ctrlPr>
                  </m:sSupPr>
                  <m:e>
                    <m:r>
                      <w:rPr>
                        <w:rFonts w:ascii="Cambria Math" w:hAnsi="Cambria Math"/>
                      </w:rPr>
                      <m:t>H</m:t>
                    </m:r>
                  </m:e>
                  <m:sup>
                    <m:r>
                      <m:rPr>
                        <m:sty m:val="p"/>
                      </m:rPr>
                      <w:rPr>
                        <w:rFonts w:ascii="Cambria Math" w:hAnsi="Cambria Math"/>
                      </w:rPr>
                      <m:t>+</m:t>
                    </m:r>
                  </m:sup>
                </m:sSup>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m:t>
                    </m:r>
                    <m:r>
                      <w:rPr>
                        <w:rFonts w:ascii="Cambria Math" w:hAnsi="Cambria Math"/>
                      </w:rPr>
                      <m:t>E</m:t>
                    </m:r>
                  </m:e>
                  <m:sup>
                    <m:r>
                      <m:rPr>
                        <m:sty m:val="p"/>
                      </m:rPr>
                      <w:rPr>
                        <w:rFonts w:ascii="Cambria Math" w:hAnsi="Cambria Math"/>
                      </w:rPr>
                      <m:t>0</m:t>
                    </m:r>
                  </m:sup>
                </m:sSup>
                <m:r>
                  <m:rPr>
                    <m:sty m:val="p"/>
                  </m:rPr>
                  <w:rPr>
                    <w:rFonts w:ascii="Cambria Math" w:hAnsi="Cambria Math"/>
                  </w:rPr>
                  <m:t xml:space="preserve">= + 1.46 </m:t>
                </m:r>
                <m:r>
                  <w:rPr>
                    <w:rFonts w:ascii="Cambria Math" w:hAnsi="Cambria Math"/>
                  </w:rPr>
                  <m:t>V</m:t>
                </m:r>
                <m:r>
                  <m:rPr>
                    <m:sty m:val="p"/>
                  </m:rPr>
                  <w:rPr>
                    <w:rFonts w:ascii="Cambria Math" w:hAnsi="Cambria Math"/>
                  </w:rPr>
                  <m:t xml:space="preserve"> </m:t>
                </m:r>
                <m:r>
                  <w:rPr>
                    <w:rFonts w:ascii="Cambria Math" w:hAnsi="Cambria Math"/>
                  </w:rPr>
                  <m:t>vs</m:t>
                </m:r>
                <m:r>
                  <m:rPr>
                    <m:sty m:val="p"/>
                  </m:rPr>
                  <w:rPr>
                    <w:rFonts w:ascii="Cambria Math" w:hAnsi="Cambria Math"/>
                  </w:rPr>
                  <m:t xml:space="preserve"> </m:t>
                </m:r>
                <m:r>
                  <w:rPr>
                    <w:rFonts w:ascii="Cambria Math" w:hAnsi="Cambria Math"/>
                  </w:rPr>
                  <m:t>SHE</m:t>
                </m:r>
                <m:r>
                  <m:rPr>
                    <m:sty m:val="p"/>
                  </m:rPr>
                  <w:rPr>
                    <w:rFonts w:ascii="Cambria Math" w:hAnsi="Cambria Math"/>
                  </w:rPr>
                  <m:t xml:space="preserve">  </m:t>
                </m:r>
              </m:oMath>
            </m:oMathPara>
          </w:p>
        </w:tc>
        <w:tc>
          <w:tcPr>
            <w:tcW w:w="350" w:type="pct"/>
            <w:shd w:val="clear" w:color="auto" w:fill="auto"/>
            <w:vAlign w:val="center"/>
          </w:tcPr>
          <w:p w14:paraId="03B0A1BD" w14:textId="4FA8861F" w:rsidR="002467B3" w:rsidRPr="003D6521" w:rsidRDefault="002467B3" w:rsidP="003D6521">
            <w:pPr>
              <w:pStyle w:val="Els-body-text"/>
              <w:spacing w:line="240" w:lineRule="auto"/>
              <w:ind w:right="-28" w:firstLine="0"/>
            </w:pPr>
            <w:bookmarkStart w:id="2" w:name="_Ref46141297"/>
            <w:r w:rsidRPr="003D6521">
              <w:t xml:space="preserve">( </w:t>
            </w:r>
            <w:r w:rsidRPr="003D6521">
              <w:fldChar w:fldCharType="begin"/>
            </w:r>
            <w:r w:rsidRPr="003D6521">
              <w:instrText xml:space="preserve"> SEQ Eq_( \* ARABIC </w:instrText>
            </w:r>
            <w:r w:rsidRPr="003D6521">
              <w:fldChar w:fldCharType="separate"/>
            </w:r>
            <w:r w:rsidR="00E800B1">
              <w:rPr>
                <w:noProof/>
              </w:rPr>
              <w:t>1</w:t>
            </w:r>
            <w:r w:rsidRPr="003D6521">
              <w:fldChar w:fldCharType="end"/>
            </w:r>
            <w:r w:rsidRPr="003D6521">
              <w:t xml:space="preserve"> )</w:t>
            </w:r>
            <w:bookmarkEnd w:id="2"/>
          </w:p>
        </w:tc>
      </w:tr>
      <w:tr w:rsidR="002467B3" w:rsidRPr="003D6521" w14:paraId="4783F0E8" w14:textId="77777777" w:rsidTr="003D6521">
        <w:tc>
          <w:tcPr>
            <w:tcW w:w="350" w:type="pct"/>
            <w:gridSpan w:val="2"/>
          </w:tcPr>
          <w:p w14:paraId="7A745260" w14:textId="77777777" w:rsidR="002467B3" w:rsidRPr="003D6521" w:rsidRDefault="002467B3" w:rsidP="003D6521">
            <w:pPr>
              <w:pStyle w:val="Els-body-text"/>
              <w:spacing w:line="240" w:lineRule="auto"/>
              <w:ind w:left="360" w:right="-28" w:firstLine="0"/>
            </w:pPr>
          </w:p>
        </w:tc>
        <w:tc>
          <w:tcPr>
            <w:tcW w:w="4300" w:type="pct"/>
          </w:tcPr>
          <w:p w14:paraId="5B8931A6" w14:textId="77777777" w:rsidR="002467B3" w:rsidRPr="003D6521" w:rsidRDefault="002467B3" w:rsidP="003D6521">
            <w:pPr>
              <w:pStyle w:val="Els-body-text"/>
              <w:spacing w:line="240" w:lineRule="auto"/>
              <w:ind w:left="360" w:right="-28" w:firstLine="0"/>
            </w:pPr>
            <m:oMathPara>
              <m:oMath>
                <m:r>
                  <w:rPr>
                    <w:rFonts w:ascii="Cambria Math" w:hAnsi="Cambria Math"/>
                  </w:rPr>
                  <m:t>Negative</m:t>
                </m:r>
                <m:r>
                  <m:rPr>
                    <m:sty m:val="p"/>
                  </m:rPr>
                  <w:rPr>
                    <w:rFonts w:ascii="Cambria Math" w:hAnsi="Cambria Math"/>
                  </w:rPr>
                  <m:t xml:space="preserve">           </m:t>
                </m:r>
                <m:sSup>
                  <m:sSupPr>
                    <m:ctrlPr>
                      <w:rPr>
                        <w:rFonts w:ascii="Cambria Math" w:hAnsi="Cambria Math"/>
                      </w:rPr>
                    </m:ctrlPr>
                  </m:sSupPr>
                  <m:e>
                    <m:r>
                      <w:rPr>
                        <w:rFonts w:ascii="Cambria Math" w:hAnsi="Cambria Math"/>
                      </w:rPr>
                      <m:t>Pb</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r>
                  <w:rPr>
                    <w:rFonts w:ascii="Cambria Math" w:hAnsi="Cambria Math"/>
                  </w:rPr>
                  <m:t>Pb</m:t>
                </m:r>
                <m:r>
                  <m:rPr>
                    <m:sty m:val="p"/>
                  </m:rPr>
                  <w:rPr>
                    <w:rFonts w:ascii="Cambria Math" w:hAnsi="Cambria Math"/>
                  </w:rPr>
                  <m:t xml:space="preserve">                                             </m:t>
                </m:r>
                <m:sSup>
                  <m:sSupPr>
                    <m:ctrlPr>
                      <w:rPr>
                        <w:rFonts w:ascii="Cambria Math" w:hAnsi="Cambria Math"/>
                      </w:rPr>
                    </m:ctrlPr>
                  </m:sSupPr>
                  <m:e>
                    <m:r>
                      <w:rPr>
                        <w:rFonts w:ascii="Cambria Math" w:hAnsi="Cambria Math"/>
                      </w:rPr>
                      <m:t>E</m:t>
                    </m:r>
                  </m:e>
                  <m:sup>
                    <m:r>
                      <m:rPr>
                        <m:sty m:val="p"/>
                      </m:rPr>
                      <w:rPr>
                        <w:rFonts w:ascii="Cambria Math" w:hAnsi="Cambria Math"/>
                      </w:rPr>
                      <m:t>0</m:t>
                    </m:r>
                  </m:sup>
                </m:sSup>
                <m:r>
                  <m:rPr>
                    <m:sty m:val="p"/>
                  </m:rPr>
                  <w:rPr>
                    <w:rFonts w:ascii="Cambria Math" w:hAnsi="Cambria Math"/>
                  </w:rPr>
                  <m:t xml:space="preserve">= - 0.13 </m:t>
                </m:r>
                <m:r>
                  <w:rPr>
                    <w:rFonts w:ascii="Cambria Math" w:hAnsi="Cambria Math"/>
                  </w:rPr>
                  <m:t>V</m:t>
                </m:r>
                <m:r>
                  <m:rPr>
                    <m:sty m:val="p"/>
                  </m:rPr>
                  <w:rPr>
                    <w:rFonts w:ascii="Cambria Math" w:hAnsi="Cambria Math"/>
                  </w:rPr>
                  <m:t xml:space="preserve"> </m:t>
                </m:r>
                <m:r>
                  <w:rPr>
                    <w:rFonts w:ascii="Cambria Math" w:hAnsi="Cambria Math"/>
                  </w:rPr>
                  <m:t>vs</m:t>
                </m:r>
                <m:r>
                  <m:rPr>
                    <m:sty m:val="p"/>
                  </m:rPr>
                  <w:rPr>
                    <w:rFonts w:ascii="Cambria Math" w:hAnsi="Cambria Math"/>
                  </w:rPr>
                  <m:t xml:space="preserve"> </m:t>
                </m:r>
                <m:r>
                  <w:rPr>
                    <w:rFonts w:ascii="Cambria Math" w:hAnsi="Cambria Math"/>
                  </w:rPr>
                  <m:t>SHE</m:t>
                </m:r>
              </m:oMath>
            </m:oMathPara>
          </w:p>
        </w:tc>
        <w:tc>
          <w:tcPr>
            <w:tcW w:w="350" w:type="pct"/>
            <w:vAlign w:val="center"/>
          </w:tcPr>
          <w:p w14:paraId="3942820D" w14:textId="7AAA8D76" w:rsidR="002467B3" w:rsidRPr="003D6521" w:rsidRDefault="002467B3" w:rsidP="003D6521">
            <w:pPr>
              <w:pStyle w:val="Els-body-text"/>
              <w:spacing w:line="240" w:lineRule="auto"/>
              <w:ind w:right="-28" w:firstLine="0"/>
            </w:pPr>
            <w:r w:rsidRPr="003D6521">
              <w:t xml:space="preserve">( </w:t>
            </w:r>
            <w:r w:rsidRPr="003D6521">
              <w:fldChar w:fldCharType="begin"/>
            </w:r>
            <w:r w:rsidRPr="003D6521">
              <w:instrText xml:space="preserve"> SEQ Eq_( \* ARABIC </w:instrText>
            </w:r>
            <w:r w:rsidRPr="003D6521">
              <w:fldChar w:fldCharType="separate"/>
            </w:r>
            <w:r w:rsidR="00E800B1">
              <w:rPr>
                <w:noProof/>
              </w:rPr>
              <w:t>2</w:t>
            </w:r>
            <w:r w:rsidRPr="003D6521">
              <w:fldChar w:fldCharType="end"/>
            </w:r>
            <w:r w:rsidRPr="003D6521">
              <w:t xml:space="preserve"> )</w:t>
            </w:r>
          </w:p>
        </w:tc>
      </w:tr>
      <w:tr w:rsidR="002467B3" w:rsidRPr="003D6521" w14:paraId="402E789F" w14:textId="77777777" w:rsidTr="003D6521">
        <w:tc>
          <w:tcPr>
            <w:tcW w:w="190" w:type="pct"/>
          </w:tcPr>
          <w:p w14:paraId="2BBDD95C" w14:textId="77777777" w:rsidR="002467B3" w:rsidRPr="003D6521" w:rsidRDefault="002467B3" w:rsidP="003D6521">
            <w:pPr>
              <w:pStyle w:val="Els-body-text"/>
              <w:numPr>
                <w:ilvl w:val="0"/>
                <w:numId w:val="10"/>
              </w:numPr>
              <w:spacing w:line="240" w:lineRule="auto"/>
              <w:ind w:right="-28"/>
            </w:pPr>
          </w:p>
        </w:tc>
        <w:tc>
          <w:tcPr>
            <w:tcW w:w="4460" w:type="pct"/>
            <w:gridSpan w:val="2"/>
          </w:tcPr>
          <w:p w14:paraId="2D487989" w14:textId="77777777" w:rsidR="002467B3" w:rsidRPr="003D6521" w:rsidRDefault="002467B3" w:rsidP="003D6521">
            <w:pPr>
              <w:pStyle w:val="Els-body-text"/>
              <w:spacing w:line="240" w:lineRule="auto"/>
              <w:ind w:right="-28"/>
            </w:pPr>
            <m:oMathPara>
              <m:oMath>
                <m:r>
                  <w:rPr>
                    <w:rFonts w:ascii="Cambria Math" w:hAnsi="Cambria Math"/>
                  </w:rPr>
                  <m:t>Cell</m:t>
                </m:r>
                <m:r>
                  <m:rPr>
                    <m:sty m:val="p"/>
                  </m:rPr>
                  <w:rPr>
                    <w:rFonts w:ascii="Cambria Math" w:hAnsi="Cambria Math"/>
                  </w:rPr>
                  <m:t xml:space="preserve">                     2</m:t>
                </m:r>
                <m:sSup>
                  <m:sSupPr>
                    <m:ctrlPr>
                      <w:rPr>
                        <w:rFonts w:ascii="Cambria Math" w:hAnsi="Cambria Math"/>
                      </w:rPr>
                    </m:ctrlPr>
                  </m:sSupPr>
                  <m:e>
                    <m:r>
                      <w:rPr>
                        <w:rFonts w:ascii="Cambria Math" w:hAnsi="Cambria Math"/>
                      </w:rPr>
                      <m:t>Pb</m:t>
                    </m:r>
                  </m:e>
                  <m:sup>
                    <m:r>
                      <m:rPr>
                        <m:sty m:val="p"/>
                      </m:rPr>
                      <w:rPr>
                        <w:rFonts w:ascii="Cambria Math" w:hAnsi="Cambria Math"/>
                      </w:rPr>
                      <m:t>2+</m:t>
                    </m:r>
                  </m:sup>
                </m:sSup>
                <m:r>
                  <m:rPr>
                    <m:sty m:val="p"/>
                  </m:rP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 xml:space="preserve"> ⇌</m:t>
                </m:r>
                <m:r>
                  <w:rPr>
                    <w:rFonts w:ascii="Cambria Math" w:hAnsi="Cambria Math"/>
                  </w:rPr>
                  <m:t>Pb</m:t>
                </m:r>
                <m:r>
                  <m:rPr>
                    <m:sty m:val="p"/>
                  </m:rPr>
                  <w:rPr>
                    <w:rFonts w:ascii="Cambria Math" w:hAnsi="Cambria Math"/>
                  </w:rPr>
                  <m:t>+</m:t>
                </m:r>
                <m:r>
                  <w:rPr>
                    <w:rFonts w:ascii="Cambria Math" w:hAnsi="Cambria Math"/>
                  </w:rPr>
                  <m:t>Pb</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+4</m:t>
                </m:r>
                <m:sSup>
                  <m:sSupPr>
                    <m:ctrlPr>
                      <w:rPr>
                        <w:rFonts w:ascii="Cambria Math" w:hAnsi="Cambria Math"/>
                      </w:rPr>
                    </m:ctrlPr>
                  </m:sSupPr>
                  <m:e>
                    <m:r>
                      <w:rPr>
                        <w:rFonts w:ascii="Cambria Math" w:hAnsi="Cambria Math"/>
                      </w:rPr>
                      <m:t>H</m:t>
                    </m:r>
                  </m:e>
                  <m:sup>
                    <m:r>
                      <m:rPr>
                        <m:sty m:val="p"/>
                      </m:rPr>
                      <w:rPr>
                        <w:rFonts w:ascii="Cambria Math" w:hAnsi="Cambria Math"/>
                      </w:rPr>
                      <m:t>+</m:t>
                    </m:r>
                  </m:sup>
                </m:sSup>
                <m:r>
                  <m:rPr>
                    <m:sty m:val="p"/>
                  </m:rPr>
                  <w:rPr>
                    <w:rFonts w:ascii="Cambria Math" w:hAnsi="Cambria Math"/>
                  </w:rPr>
                  <m:t xml:space="preserve">          </m:t>
                </m:r>
                <m:sSubSup>
                  <m:sSubSupPr>
                    <m:ctrlPr>
                      <w:rPr>
                        <w:rFonts w:ascii="Cambria Math" w:hAnsi="Cambria Math"/>
                      </w:rPr>
                    </m:ctrlPr>
                  </m:sSubSupPr>
                  <m:e>
                    <m:r>
                      <w:rPr>
                        <w:rFonts w:ascii="Cambria Math" w:hAnsi="Cambria Math"/>
                      </w:rPr>
                      <m:t>E</m:t>
                    </m:r>
                  </m:e>
                  <m:sub>
                    <m:r>
                      <w:rPr>
                        <w:rFonts w:ascii="Cambria Math" w:hAnsi="Cambria Math"/>
                      </w:rPr>
                      <m:t>cell</m:t>
                    </m:r>
                  </m:sub>
                  <m:sup>
                    <m:r>
                      <m:rPr>
                        <m:sty m:val="p"/>
                      </m:rPr>
                      <w:rPr>
                        <w:rFonts w:ascii="Cambria Math" w:hAnsi="Cambria Math"/>
                      </w:rPr>
                      <m:t>0</m:t>
                    </m:r>
                  </m:sup>
                </m:sSubSup>
                <m:r>
                  <m:rPr>
                    <m:sty m:val="p"/>
                  </m:rPr>
                  <w:rPr>
                    <w:rFonts w:ascii="Cambria Math" w:hAnsi="Cambria Math"/>
                  </w:rPr>
                  <m:t xml:space="preserve">= + 1.59 </m:t>
                </m:r>
                <m:r>
                  <w:rPr>
                    <w:rFonts w:ascii="Cambria Math" w:hAnsi="Cambria Math"/>
                  </w:rPr>
                  <m:t>V</m:t>
                </m:r>
              </m:oMath>
            </m:oMathPara>
          </w:p>
        </w:tc>
        <w:tc>
          <w:tcPr>
            <w:tcW w:w="350" w:type="pct"/>
            <w:vAlign w:val="bottom"/>
          </w:tcPr>
          <w:p w14:paraId="506B51D0" w14:textId="64BA3DC8" w:rsidR="002467B3" w:rsidRPr="003D6521" w:rsidRDefault="002467B3" w:rsidP="003D6521">
            <w:pPr>
              <w:pStyle w:val="Els-body-text"/>
              <w:spacing w:line="240" w:lineRule="auto"/>
              <w:ind w:right="-28" w:firstLine="0"/>
            </w:pPr>
            <w:bookmarkStart w:id="3" w:name="_Ref43116075"/>
            <w:bookmarkStart w:id="4" w:name="_Ref43116079"/>
            <w:r w:rsidRPr="003D6521">
              <w:t xml:space="preserve">( </w:t>
            </w:r>
            <w:r w:rsidRPr="003D6521">
              <w:fldChar w:fldCharType="begin"/>
            </w:r>
            <w:r w:rsidRPr="003D6521">
              <w:instrText xml:space="preserve"> SEQ Eq_( \* ARABIC </w:instrText>
            </w:r>
            <w:r w:rsidRPr="003D6521">
              <w:fldChar w:fldCharType="separate"/>
            </w:r>
            <w:r w:rsidR="00E800B1">
              <w:rPr>
                <w:noProof/>
              </w:rPr>
              <w:t>3</w:t>
            </w:r>
            <w:r w:rsidRPr="003D6521">
              <w:fldChar w:fldCharType="end"/>
            </w:r>
            <w:bookmarkEnd w:id="3"/>
            <w:r w:rsidRPr="003D6521">
              <w:t xml:space="preserve"> )</w:t>
            </w:r>
            <w:bookmarkEnd w:id="4"/>
          </w:p>
        </w:tc>
      </w:tr>
    </w:tbl>
    <w:p w14:paraId="51D6405B" w14:textId="5C2CC056" w:rsidR="002467B3" w:rsidRDefault="002467B3" w:rsidP="002467B3">
      <w:pPr>
        <w:pStyle w:val="Els-body-text"/>
        <w:ind w:right="-28"/>
        <w:rPr>
          <w:lang w:val="en-GB"/>
        </w:rPr>
      </w:pPr>
      <w:r w:rsidRPr="00FA455F">
        <w:rPr>
          <w:lang w:val="en-GB"/>
        </w:rPr>
        <w:t xml:space="preserve">Despite the advantage of a single electrolyte and simplified reaction chamber, however, </w:t>
      </w:r>
      <w:r w:rsidR="005F17E0">
        <w:rPr>
          <w:lang w:val="en-GB"/>
        </w:rPr>
        <w:t xml:space="preserve">a review of the SLFB highlights the relatively low cycle life of the undivided system. 2000 cycles have been achieved in a beaker cell, but this drops to 100 in a flow cell with no maintenance cycle </w:t>
      </w:r>
      <w:r w:rsidR="005F17E0">
        <w:rPr>
          <w:lang w:val="en-GB"/>
        </w:rPr>
        <w:fldChar w:fldCharType="begin"/>
      </w:r>
      <w:r w:rsidR="005F17E0">
        <w:rPr>
          <w:lang w:val="en-GB"/>
        </w:rPr>
        <w:instrText xml:space="preserve"> ADDIN EN.CITE &lt;EndNote&gt;&lt;Cite&gt;&lt;Author&gt;Krishna&lt;/Author&gt;&lt;Year&gt;2018&lt;/Year&gt;&lt;RecNum&gt;364&lt;/RecNum&gt;&lt;DisplayText&gt;[1]&lt;/DisplayText&gt;&lt;record&gt;&lt;rec-number&gt;364&lt;/rec-number&gt;&lt;foreign-keys&gt;&lt;key app="EN" db-id="svvfd0xvz92p9cedzr4pv9au5p9safsedrar" timestamp="1530118259" guid="f9c15d12-c6e5-47ac-8f11-caf2dda74d85"&gt;364&lt;/key&gt;&lt;/foreign-keys&gt;&lt;ref-type name="Journal Article"&gt;17&lt;/ref-type&gt;&lt;contributors&gt;&lt;authors&gt;&lt;author&gt;Krishna, M.&lt;/author&gt;&lt;author&gt;Fraser, E. J.&lt;/author&gt;&lt;author&gt;Wills, R. G. A.&lt;/author&gt;&lt;author&gt;Walsh, F. C.&lt;/author&gt;&lt;/authors&gt;&lt;/contributors&gt;&lt;titles&gt;&lt;title&gt;Developments in soluble lead flow batteries and remaining challenges: An illustrated review&lt;/title&gt;&lt;secondary-title&gt;Journal of Energy Storage&lt;/secondary-title&gt;&lt;/titles&gt;&lt;periodical&gt;&lt;full-title&gt;Journal of Energy Storage&lt;/full-title&gt;&lt;/periodical&gt;&lt;pages&gt;69-90&lt;/pages&gt;&lt;volume&gt;15&lt;/volume&gt;&lt;keywords&gt;&lt;keyword&gt;Electrolyte additives&lt;/keyword&gt;&lt;keyword&gt;Soluble lead&lt;/keyword&gt;&lt;keyword&gt;Lead dioxide&lt;/keyword&gt;&lt;keyword&gt;Methanesulfonic acid&lt;/keyword&gt;&lt;keyword&gt;Redox flow battery&lt;/keyword&gt;&lt;/keywords&gt;&lt;dates&gt;&lt;year&gt;2018&lt;/year&gt;&lt;pub-dates&gt;&lt;date&gt;2018/02/01/&lt;/date&gt;&lt;/pub-dates&gt;&lt;/dates&gt;&lt;isbn&gt;2352-152X&lt;/isbn&gt;&lt;urls&gt;&lt;related-urls&gt;&lt;url&gt;http://www.sciencedirect.com/science/article/pii/S2352152X17303870&lt;/url&gt;&lt;/related-urls&gt;&lt;/urls&gt;&lt;electronic-resource-num&gt;10.1016/j.est.2017.10.020&lt;/electronic-resource-num&gt;&lt;/record&gt;&lt;/Cite&gt;&lt;/EndNote&gt;</w:instrText>
      </w:r>
      <w:r w:rsidR="005F17E0">
        <w:rPr>
          <w:lang w:val="en-GB"/>
        </w:rPr>
        <w:fldChar w:fldCharType="separate"/>
      </w:r>
      <w:r w:rsidR="005F17E0">
        <w:rPr>
          <w:noProof/>
          <w:lang w:val="en-GB"/>
        </w:rPr>
        <w:t>[1]</w:t>
      </w:r>
      <w:r w:rsidR="005F17E0">
        <w:rPr>
          <w:lang w:val="en-GB"/>
        </w:rPr>
        <w:fldChar w:fldCharType="end"/>
      </w:r>
      <w:r w:rsidR="005F17E0">
        <w:rPr>
          <w:lang w:val="en-GB"/>
        </w:rPr>
        <w:t xml:space="preserve">. </w:t>
      </w:r>
      <w:r w:rsidRPr="00FA455F">
        <w:rPr>
          <w:lang w:val="en-GB"/>
        </w:rPr>
        <w:t xml:space="preserve">Krishna et al. </w:t>
      </w:r>
      <w:r w:rsidR="005F17E0">
        <w:rPr>
          <w:lang w:val="en-GB"/>
        </w:rPr>
        <w:t xml:space="preserve">showed that </w:t>
      </w:r>
      <w:r w:rsidRPr="00FA455F">
        <w:rPr>
          <w:lang w:val="en-GB"/>
        </w:rPr>
        <w:t>by including a separator</w:t>
      </w:r>
      <w:r w:rsidR="005F17E0">
        <w:rPr>
          <w:lang w:val="en-GB"/>
        </w:rPr>
        <w:t>,</w:t>
      </w:r>
      <w:r w:rsidRPr="00FA455F">
        <w:rPr>
          <w:lang w:val="en-GB"/>
        </w:rPr>
        <w:t xml:space="preserve"> </w:t>
      </w:r>
      <w:r w:rsidR="005F17E0" w:rsidRPr="00FA455F">
        <w:rPr>
          <w:lang w:val="en-GB"/>
        </w:rPr>
        <w:t>the cycle life of the SLFB</w:t>
      </w:r>
      <w:r w:rsidR="005F17E0">
        <w:rPr>
          <w:lang w:val="en-GB"/>
        </w:rPr>
        <w:t xml:space="preserve"> can be improved to over 150 cycles</w:t>
      </w:r>
      <w:r w:rsidR="005F17E0" w:rsidRPr="00FA455F">
        <w:rPr>
          <w:lang w:val="en-GB"/>
        </w:rPr>
        <w:t xml:space="preserve"> </w:t>
      </w:r>
      <w:r w:rsidRPr="00FA455F">
        <w:rPr>
          <w:lang w:val="en-GB"/>
        </w:rPr>
        <w:fldChar w:fldCharType="begin"/>
      </w:r>
      <w:r w:rsidR="005F17E0">
        <w:rPr>
          <w:lang w:val="en-GB"/>
        </w:rPr>
        <w:instrText xml:space="preserve"> ADDIN EN.CITE &lt;EndNote&gt;&lt;Cite&gt;&lt;Author&gt;Krishna&lt;/Author&gt;&lt;Year&gt;2018&lt;/Year&gt;&lt;RecNum&gt;367&lt;/RecNum&gt;&lt;DisplayText&gt;[2]&lt;/DisplayText&gt;&lt;record&gt;&lt;rec-number&gt;367&lt;/rec-number&gt;&lt;foreign-keys&gt;&lt;key app="EN" db-id="svvfd0xvz92p9cedzr4pv9au5p9safsedrar" timestamp="1547135286" guid="6122021d-f1ab-40ad-bfeb-373b2a142eae"&gt;367&lt;/key&gt;&lt;/foreign-keys&gt;&lt;ref-type name="Journal Article"&gt;17&lt;/ref-type&gt;&lt;contributors&gt;&lt;authors&gt;&lt;author&gt;Krishna, M&lt;/author&gt;&lt;author&gt;Wills, RGA&lt;/author&gt;&lt;author&gt;Shah, AA&lt;/author&gt;&lt;author&gt;Hall, D&lt;/author&gt;&lt;author&gt;Collins, J&lt;/author&gt;&lt;/authors&gt;&lt;/contributors&gt;&lt;titles&gt;&lt;title&gt;The separator-divided soluble lead flow battery&lt;/title&gt;&lt;secondary-title&gt;Journal of Applied Electrochemistry&lt;/secondary-title&gt;&lt;/titles&gt;&lt;periodical&gt;&lt;full-title&gt;Journal of Applied Electrochemistry&lt;/full-title&gt;&lt;/periodical&gt;&lt;pages&gt;1031-1041&lt;/pages&gt;&lt;volume&gt;48&lt;/volume&gt;&lt;number&gt;9&lt;/number&gt;&lt;dates&gt;&lt;year&gt;2018&lt;/year&gt;&lt;/dates&gt;&lt;isbn&gt;0021-891X&lt;/isbn&gt;&lt;urls&gt;&lt;/urls&gt;&lt;/record&gt;&lt;/Cite&gt;&lt;/EndNote&gt;</w:instrText>
      </w:r>
      <w:r w:rsidRPr="00FA455F">
        <w:rPr>
          <w:lang w:val="en-GB"/>
        </w:rPr>
        <w:fldChar w:fldCharType="separate"/>
      </w:r>
      <w:r w:rsidR="005F17E0">
        <w:rPr>
          <w:noProof/>
          <w:lang w:val="en-GB"/>
        </w:rPr>
        <w:t>[2]</w:t>
      </w:r>
      <w:r w:rsidRPr="00FA455F">
        <w:fldChar w:fldCharType="end"/>
      </w:r>
      <w:r w:rsidRPr="00FA455F">
        <w:rPr>
          <w:lang w:val="en-GB"/>
        </w:rPr>
        <w:t>.</w:t>
      </w:r>
      <w:r w:rsidR="005F17E0">
        <w:rPr>
          <w:lang w:val="en-GB"/>
        </w:rPr>
        <w:t xml:space="preserve"> In the same study the undivided cell failed after just 10 cycles.</w:t>
      </w:r>
      <w:r w:rsidRPr="00FA455F">
        <w:rPr>
          <w:lang w:val="en-GB"/>
        </w:rPr>
        <w:t xml:space="preserve"> </w:t>
      </w:r>
      <w:r w:rsidR="005F17E0">
        <w:rPr>
          <w:lang w:val="en-GB"/>
        </w:rPr>
        <w:t>T</w:t>
      </w:r>
      <w:r w:rsidRPr="00FA455F">
        <w:rPr>
          <w:lang w:val="en-GB"/>
        </w:rPr>
        <w:t>he separator acts as a physical barrier to prevent failure by electrical shorting of uneven deposit growths and, when an ion exchange membrane is used, electrode specific additives may be included in the electrolytes.</w:t>
      </w:r>
    </w:p>
    <w:p w14:paraId="6C9FE5FC" w14:textId="77777777" w:rsidR="005F17E0" w:rsidRDefault="000C3AA4" w:rsidP="000C3AA4">
      <w:pPr>
        <w:pStyle w:val="Els-body-text"/>
        <w:ind w:right="-28"/>
        <w:rPr>
          <w:lang w:val="en-GB"/>
        </w:rPr>
      </w:pPr>
      <w:r>
        <w:rPr>
          <w:lang w:val="en-GB"/>
        </w:rPr>
        <w:t>S</w:t>
      </w:r>
      <w:r w:rsidR="002467B3" w:rsidRPr="00FA455F">
        <w:rPr>
          <w:lang w:val="en-GB"/>
        </w:rPr>
        <w:t xml:space="preserve">tudies </w:t>
      </w:r>
      <w:r>
        <w:rPr>
          <w:lang w:val="en-GB"/>
        </w:rPr>
        <w:t xml:space="preserve">which </w:t>
      </w:r>
      <w:r w:rsidR="002467B3" w:rsidRPr="00FA455F">
        <w:rPr>
          <w:lang w:val="en-GB"/>
        </w:rPr>
        <w:t>model</w:t>
      </w:r>
      <w:r>
        <w:rPr>
          <w:lang w:val="en-GB"/>
        </w:rPr>
        <w:t xml:space="preserve"> </w:t>
      </w:r>
      <w:r w:rsidR="002467B3" w:rsidRPr="00FA455F">
        <w:rPr>
          <w:lang w:val="en-GB"/>
        </w:rPr>
        <w:t>the SLFB</w:t>
      </w:r>
      <w:r>
        <w:rPr>
          <w:lang w:val="en-GB"/>
        </w:rPr>
        <w:t xml:space="preserve"> have investigated variation in applied and local current density </w:t>
      </w:r>
      <w:r>
        <w:rPr>
          <w:lang w:val="en-GB"/>
        </w:rPr>
        <w:fldChar w:fldCharType="begin"/>
      </w:r>
      <w:r w:rsidR="005F17E0">
        <w:rPr>
          <w:lang w:val="en-GB"/>
        </w:rPr>
        <w:instrText xml:space="preserve"> ADDIN EN.CITE &lt;EndNote&gt;&lt;Cite&gt;&lt;Author&gt;Shah&lt;/Author&gt;&lt;Year&gt;2010&lt;/Year&gt;&lt;RecNum&gt;278&lt;/RecNum&gt;&lt;DisplayText&gt;[3, 4]&lt;/DisplayText&gt;&lt;record&gt;&lt;rec-number&gt;278&lt;/rec-number&gt;&lt;foreign-keys&gt;&lt;key app="EN" db-id="svvfd0xvz92p9cedzr4pv9au5p9safsedrar" timestamp="1499255276" guid="44d3f74f-24d5-45ba-911b-3eb7d51cc4e3"&gt;278&lt;/key&gt;&lt;/foreign-keys&gt;&lt;ref-type name="Journal Article"&gt;17&lt;/ref-type&gt;&lt;contributors&gt;&lt;authors&gt;&lt;author&gt;Shah, Akeel A&lt;/author&gt;&lt;author&gt;Li, Xiaohong&lt;/author&gt;&lt;author&gt;Wills, Richard GA&lt;/author&gt;&lt;author&gt;Walsh, Frank C&lt;/author&gt;&lt;/authors&gt;&lt;/contributors&gt;&lt;titles&gt;&lt;title&gt;A mathematical model for the soluble lead-acid flow battery&lt;/title&gt;&lt;secondary-title&gt;Journal of The Electrochemical Society&lt;/secondary-title&gt;&lt;/titles&gt;&lt;periodical&gt;&lt;full-title&gt;Journal of the Electrochemical Society&lt;/full-title&gt;&lt;/periodical&gt;&lt;pages&gt;A589-A599&lt;/pages&gt;&lt;volume&gt;157&lt;/volume&gt;&lt;number&gt;5&lt;/number&gt;&lt;dates&gt;&lt;year&gt;2010&lt;/year&gt;&lt;/dates&gt;&lt;isbn&gt;0013-4651&lt;/isbn&gt;&lt;urls&gt;&lt;/urls&gt;&lt;electronic-resource-num&gt;10.1149/1.3328520&lt;/electronic-resource-num&gt;&lt;/record&gt;&lt;/Cite&gt;&lt;Cite&gt;&lt;Author&gt;Nandanwar&lt;/Author&gt;&lt;Year&gt;2014&lt;/Year&gt;&lt;RecNum&gt;321&lt;/RecNum&gt;&lt;record&gt;&lt;rec-number&gt;321&lt;/rec-number&gt;&lt;foreign-keys&gt;&lt;key app="EN" db-id="svvfd0xvz92p9cedzr4pv9au5p9safsedrar" timestamp="1499255321" guid="d8e09750-190b-4d78-8912-cebdd63b137e"&gt;321&lt;/key&gt;&lt;/foreign-keys&gt;&lt;ref-type name="Journal Article"&gt;17&lt;/ref-type&gt;&lt;contributors&gt;&lt;authors&gt;&lt;author&gt;Nandanwar, Mahendra N&lt;/author&gt;&lt;author&gt;Kumar, Sanjeev&lt;/author&gt;&lt;/authors&gt;&lt;/contributors&gt;&lt;titles&gt;&lt;title&gt;Modelling of Effect of Non-Uniform Current Density on the Performance of Soluble Lead Redox Flow Batteries&lt;/title&gt;&lt;secondary-title&gt;Journal of The Electrochemical Society&lt;/secondary-title&gt;&lt;/titles&gt;&lt;periodical&gt;&lt;full-title&gt;Journal of the Electrochemical Society&lt;/full-title&gt;&lt;/periodical&gt;&lt;pages&gt;A1602-A1610&lt;/pages&gt;&lt;volume&gt;161&lt;/volume&gt;&lt;number&gt;10&lt;/number&gt;&lt;dates&gt;&lt;year&gt;2014&lt;/year&gt;&lt;/dates&gt;&lt;isbn&gt;0013-4651&lt;/isbn&gt;&lt;urls&gt;&lt;/urls&gt;&lt;electronic-resource-num&gt;10.1149/2.0281410jes&lt;/electronic-resource-num&gt;&lt;/record&gt;&lt;/Cite&gt;&lt;/EndNote&gt;</w:instrText>
      </w:r>
      <w:r>
        <w:rPr>
          <w:lang w:val="en-GB"/>
        </w:rPr>
        <w:fldChar w:fldCharType="separate"/>
      </w:r>
      <w:r w:rsidR="005F17E0">
        <w:rPr>
          <w:noProof/>
          <w:lang w:val="en-GB"/>
        </w:rPr>
        <w:t>[3, 4]</w:t>
      </w:r>
      <w:r>
        <w:rPr>
          <w:lang w:val="en-GB"/>
        </w:rPr>
        <w:fldChar w:fldCharType="end"/>
      </w:r>
      <w:r>
        <w:rPr>
          <w:lang w:val="en-GB"/>
        </w:rPr>
        <w:t>, possible morphology of the PbO</w:t>
      </w:r>
      <w:r>
        <w:rPr>
          <w:vertAlign w:val="subscript"/>
          <w:lang w:val="en-GB"/>
        </w:rPr>
        <w:t>2</w:t>
      </w:r>
      <w:r>
        <w:rPr>
          <w:lang w:val="en-GB"/>
        </w:rPr>
        <w:t xml:space="preserve"> deposit </w:t>
      </w:r>
      <w:r>
        <w:rPr>
          <w:lang w:val="en-GB"/>
        </w:rPr>
        <w:fldChar w:fldCharType="begin"/>
      </w:r>
      <w:r w:rsidR="005F17E0">
        <w:rPr>
          <w:lang w:val="en-GB"/>
        </w:rPr>
        <w:instrText xml:space="preserve"> ADDIN EN.CITE &lt;EndNote&gt;&lt;Cite&gt;&lt;Author&gt;Nandanwar&lt;/Author&gt;&lt;Year&gt;2016&lt;/Year&gt;&lt;RecNum&gt;322&lt;/RecNum&gt;&lt;DisplayText&gt;[5]&lt;/DisplayText&gt;&lt;record&gt;&lt;rec-number&gt;322&lt;/rec-number&gt;&lt;foreign-keys&gt;&lt;key app="EN" db-id="svvfd0xvz92p9cedzr4pv9au5p9safsedrar" timestamp="1499255321" guid="984ff053-4b3c-4792-832e-df2cd99e6cf3"&gt;322&lt;/key&gt;&lt;/foreign-keys&gt;&lt;ref-type name="Journal Article"&gt;17&lt;/ref-type&gt;&lt;contributors&gt;&lt;authors&gt;&lt;author&gt;Nandanwar, Mahendra&lt;/author&gt;&lt;author&gt;Kumar, Sanjeev&lt;/author&gt;&lt;/authors&gt;&lt;/contributors&gt;&lt;titles&gt;&lt;title&gt;Charge coup de fouet phenomenon in soluble lead redox flow battery&lt;/title&gt;&lt;secondary-title&gt;Chemical Engineering Science&lt;/secondary-title&gt;&lt;/titles&gt;&lt;periodical&gt;&lt;full-title&gt;Chemical Engineering Science&lt;/full-title&gt;&lt;/periodical&gt;&lt;pages&gt;61-71&lt;/pages&gt;&lt;volume&gt;154&lt;/volume&gt;&lt;dates&gt;&lt;year&gt;2016&lt;/year&gt;&lt;/dates&gt;&lt;isbn&gt;0009-2509&lt;/isbn&gt;&lt;urls&gt;&lt;/urls&gt;&lt;electronic-resource-num&gt;10.1016/j.ces.2016.07.001&lt;/electronic-resource-num&gt;&lt;/record&gt;&lt;/Cite&gt;&lt;/EndNote&gt;</w:instrText>
      </w:r>
      <w:r>
        <w:rPr>
          <w:lang w:val="en-GB"/>
        </w:rPr>
        <w:fldChar w:fldCharType="separate"/>
      </w:r>
      <w:r w:rsidR="005F17E0">
        <w:rPr>
          <w:noProof/>
          <w:lang w:val="en-GB"/>
        </w:rPr>
        <w:t>[5]</w:t>
      </w:r>
      <w:r>
        <w:rPr>
          <w:lang w:val="en-GB"/>
        </w:rPr>
        <w:fldChar w:fldCharType="end"/>
      </w:r>
      <w:r>
        <w:rPr>
          <w:lang w:val="en-GB"/>
        </w:rPr>
        <w:t>,</w:t>
      </w:r>
      <w:r w:rsidR="002467B3" w:rsidRPr="00FA455F">
        <w:rPr>
          <w:lang w:val="en-GB"/>
        </w:rPr>
        <w:t xml:space="preserve"> </w:t>
      </w:r>
      <w:r>
        <w:rPr>
          <w:lang w:val="en-GB"/>
        </w:rPr>
        <w:t>convection currents driven by Pb</w:t>
      </w:r>
      <w:r>
        <w:rPr>
          <w:vertAlign w:val="superscript"/>
          <w:lang w:val="en-GB"/>
        </w:rPr>
        <w:t>2+</w:t>
      </w:r>
      <w:r>
        <w:rPr>
          <w:lang w:val="en-GB"/>
        </w:rPr>
        <w:t xml:space="preserve"> concentration </w:t>
      </w:r>
      <w:r>
        <w:rPr>
          <w:lang w:val="en-GB"/>
        </w:rPr>
        <w:fldChar w:fldCharType="begin">
          <w:fldData xml:space="preserve">PEVuZE5vdGU+PENpdGU+PEF1dGhvcj5OYW5kYW53YXI8L0F1dGhvcj48WWVhcj4yMDE2PC9ZZWFy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</w:fldData>
        </w:fldChar>
      </w:r>
      <w:r w:rsidR="005F17E0">
        <w:rPr>
          <w:lang w:val="en-GB"/>
        </w:rPr>
        <w:instrText xml:space="preserve"> ADDIN EN.CITE </w:instrText>
      </w:r>
      <w:r w:rsidR="005F17E0">
        <w:rPr>
          <w:lang w:val="en-GB"/>
        </w:rPr>
        <w:fldChar w:fldCharType="begin">
          <w:fldData xml:space="preserve">PEVuZE5vdGU+PENpdGU+PEF1dGhvcj5OYW5kYW53YXI8L0F1dGhvcj48WWVhcj4yMDE2PC9ZZWFy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</w:fldData>
        </w:fldChar>
      </w:r>
      <w:r w:rsidR="005F17E0">
        <w:rPr>
          <w:lang w:val="en-GB"/>
        </w:rPr>
        <w:instrText xml:space="preserve"> ADDIN EN.CITE.DATA </w:instrText>
      </w:r>
      <w:r w:rsidR="005F17E0">
        <w:rPr>
          <w:lang w:val="en-GB"/>
        </w:rPr>
      </w:r>
      <w:r w:rsidR="005F17E0">
        <w:rPr>
          <w:lang w:val="en-GB"/>
        </w:rPr>
        <w:fldChar w:fldCharType="end"/>
      </w:r>
      <w:r>
        <w:rPr>
          <w:lang w:val="en-GB"/>
        </w:rPr>
      </w:r>
      <w:r>
        <w:rPr>
          <w:lang w:val="en-GB"/>
        </w:rPr>
        <w:fldChar w:fldCharType="separate"/>
      </w:r>
      <w:r w:rsidR="005F17E0">
        <w:rPr>
          <w:noProof/>
          <w:lang w:val="en-GB"/>
        </w:rPr>
        <w:t>[4-7]</w:t>
      </w:r>
      <w:r>
        <w:rPr>
          <w:lang w:val="en-GB"/>
        </w:rPr>
        <w:fldChar w:fldCharType="end"/>
      </w:r>
      <w:r>
        <w:rPr>
          <w:lang w:val="en-GB"/>
        </w:rPr>
        <w:t xml:space="preserve">, novel electrode designs to increase the relative area of the positive electrode </w:t>
      </w:r>
      <w:r>
        <w:rPr>
          <w:lang w:val="en-GB"/>
        </w:rPr>
        <w:fldChar w:fldCharType="begin"/>
      </w:r>
      <w:r w:rsidR="005F17E0">
        <w:rPr>
          <w:lang w:val="en-GB"/>
        </w:rPr>
        <w:instrText xml:space="preserve"> ADDIN EN.CITE &lt;EndNote&gt;&lt;Cite&gt;&lt;Author&gt;Nandanwar&lt;/Author&gt;&lt;Year&gt;2014&lt;/Year&gt;&lt;RecNum&gt;321&lt;/RecNum&gt;&lt;DisplayText&gt;[4, 8]&lt;/DisplayText&gt;&lt;record&gt;&lt;rec-number&gt;321&lt;/rec-number&gt;&lt;foreign-keys&gt;&lt;key app="EN" db-id="svvfd0xvz92p9cedzr4pv9au5p9safsedrar" timestamp="1499255321" guid="d8e09750-190b-4d78-8912-cebdd63b137e"&gt;321&lt;/key&gt;&lt;/foreign-keys&gt;&lt;ref-type name="Journal Article"&gt;17&lt;/ref-type&gt;&lt;contributors&gt;&lt;authors&gt;&lt;author&gt;Nandanwar, Mahendra N&lt;/author&gt;&lt;author&gt;Kumar, Sanjeev&lt;/author&gt;&lt;/authors&gt;&lt;/contributors&gt;&lt;titles&gt;&lt;title&gt;Modelling of Effect of Non-Uniform Current Density on the Performance of Soluble Lead Redox Flow Batteries&lt;/title&gt;&lt;secondary-title&gt;Journal of The Electrochemical Society&lt;/secondary-title&gt;&lt;/titles&gt;&lt;periodical&gt;&lt;full-title&gt;Journal of the Electrochemical Society&lt;/full-title&gt;&lt;/periodical&gt;&lt;pages&gt;A1602-A1610&lt;/pages&gt;&lt;volume&gt;161&lt;/volume&gt;&lt;number&gt;10&lt;/number&gt;&lt;dates&gt;&lt;year&gt;2014&lt;/year&gt;&lt;/dates&gt;&lt;isbn&gt;0013-4651&lt;/isbn&gt;&lt;urls&gt;&lt;/urls&gt;&lt;electronic-resource-num&gt;10.1149/2.0281410jes&lt;/electronic-resource-num&gt;&lt;/record&gt;&lt;/Cite&gt;&lt;Cite&gt;&lt;Author&gt;Oury&lt;/Author&gt;&lt;Year&gt;2014&lt;/Year&gt;&lt;RecNum&gt;315&lt;/RecNum&gt;&lt;record&gt;&lt;rec-number&gt;315&lt;/rec-number&gt;&lt;foreign-keys&gt;&lt;key app="EN" db-id="svvfd0xvz92p9cedzr4pv9au5p9safsedrar" timestamp="1499255313" guid="53285016-d9be-4106-85d2-a3c172c4d411"&gt;315&lt;/key&gt;&lt;/foreign-keys&gt;&lt;ref-type name="Journal Article"&gt;17&lt;/ref-type&gt;&lt;contributors&gt;&lt;authors&gt;&lt;author&gt;Oury, Alexandre&lt;/author&gt;&lt;author&gt;Kirchev, Angel&lt;/author&gt;&lt;author&gt;Bultel, Yann&lt;/author&gt;&lt;/authors&gt;&lt;/contributors&gt;&lt;titles&gt;&lt;title&gt;A numerical model for a soluble lead-acid flow battery comprising a three-dimensional honeycomb-shaped positive electrode&lt;/title&gt;&lt;secondary-title&gt;Journal of Power Sources&lt;/secondary-title&gt;&lt;/titles&gt;&lt;periodical&gt;&lt;full-title&gt;Journal of Power Sources&lt;/full-title&gt;&lt;/periodical&gt;&lt;pages&gt;703-718&lt;/pages&gt;&lt;volume&gt;246&lt;/volume&gt;&lt;dates&gt;&lt;year&gt;2014&lt;/year&gt;&lt;/dates&gt;&lt;isbn&gt;0378-7753&lt;/isbn&gt;&lt;urls&gt;&lt;/urls&gt;&lt;electronic-resource-num&gt;10.1016/j.jpowsour.2013.07.101&lt;/electronic-resource-num&gt;&lt;/record&gt;&lt;/Cite&gt;&lt;/EndNote&gt;</w:instrText>
      </w:r>
      <w:r>
        <w:rPr>
          <w:lang w:val="en-GB"/>
        </w:rPr>
        <w:fldChar w:fldCharType="separate"/>
      </w:r>
      <w:r w:rsidR="005F17E0">
        <w:rPr>
          <w:noProof/>
          <w:lang w:val="en-GB"/>
        </w:rPr>
        <w:t>[4, 8]</w:t>
      </w:r>
      <w:r>
        <w:rPr>
          <w:lang w:val="en-GB"/>
        </w:rPr>
        <w:fldChar w:fldCharType="end"/>
      </w:r>
      <w:r w:rsidR="002467B3" w:rsidRPr="00FA455F">
        <w:rPr>
          <w:lang w:val="en-GB"/>
        </w:rPr>
        <w:t xml:space="preserve">. However, all these models the undivided SLFB configuration. </w:t>
      </w:r>
    </w:p>
    <w:p w14:paraId="0D6EFBA4" w14:textId="3B98F4F7" w:rsidR="005F17E0" w:rsidRDefault="005F17E0" w:rsidP="000C3AA4">
      <w:pPr>
        <w:pStyle w:val="Els-body-text"/>
        <w:ind w:right="-28"/>
        <w:rPr>
          <w:lang w:val="en-GB"/>
        </w:rPr>
      </w:pPr>
      <w:r>
        <w:rPr>
          <w:lang w:val="en-GB"/>
        </w:rPr>
        <w:t xml:space="preserve">Simulations by Nandanwar and Kumar suggest control of flow rate and direction provide more even current distribution leading to reduced </w:t>
      </w:r>
      <w:proofErr w:type="spellStart"/>
      <w:r>
        <w:rPr>
          <w:lang w:val="en-GB"/>
        </w:rPr>
        <w:t>unevn</w:t>
      </w:r>
      <w:proofErr w:type="spellEnd"/>
      <w:r>
        <w:rPr>
          <w:lang w:val="en-GB"/>
        </w:rPr>
        <w:t xml:space="preserve"> deposit growth which may lead to an increase in cycle life </w:t>
      </w:r>
      <w:r>
        <w:rPr>
          <w:lang w:val="en-GB"/>
        </w:rPr>
        <w:fldChar w:fldCharType="begin"/>
      </w:r>
      <w:r>
        <w:rPr>
          <w:lang w:val="en-GB"/>
        </w:rPr>
        <w:instrText xml:space="preserve"> ADDIN EN.CITE &lt;EndNote&gt;&lt;Cite&gt;&lt;Author&gt;Nandanwar&lt;/Author&gt;&lt;Year&gt;2014&lt;/Year&gt;&lt;RecNum&gt;321&lt;/RecNum&gt;&lt;DisplayText&gt;[4]&lt;/DisplayText&gt;&lt;record&gt;&lt;rec-number&gt;321&lt;/rec-number&gt;&lt;foreign-keys&gt;&lt;key app="EN" db-id="svvfd0xvz92p9cedzr4pv9au5p9safsedrar" timestamp="1499255321" guid="d8e09750-190b-4d78-8912-cebdd63b137e"&gt;321&lt;/key&gt;&lt;/foreign-keys&gt;&lt;ref-type name="Journal Article"&gt;17&lt;/ref-type&gt;&lt;contributors&gt;&lt;authors&gt;&lt;author&gt;Nandanwar, Mahendra N&lt;/author&gt;&lt;author&gt;Kumar, Sanjeev&lt;/author&gt;&lt;/authors&gt;&lt;/contributors&gt;&lt;titles&gt;&lt;title&gt;Modelling of Effect of Non-Uniform Current Density on the Performance of Soluble Lead Redox Flow Batteries&lt;/title&gt;&lt;secondary-title&gt;Journal of The Electrochemical Society&lt;/secondary-title&gt;&lt;/titles&gt;&lt;periodical&gt;&lt;full-title&gt;Journal of the Electrochemical Society&lt;/full-title&gt;&lt;/periodical&gt;&lt;pages&gt;A1602-A1610&lt;/pages&gt;&lt;volume&gt;161&lt;/volume&gt;&lt;number&gt;10&lt;/number&gt;&lt;dates&gt;&lt;year&gt;2014&lt;/year&gt;&lt;/dates&gt;&lt;isbn&gt;0013-4651&lt;/isbn&gt;&lt;urls&gt;&lt;/urls&gt;&lt;electronic-resource-num&gt;10.1149/2.0281410jes&lt;/electronic-resource-num&gt;&lt;/record&gt;&lt;/Cite&gt;&lt;/EndNote&gt;</w:instrText>
      </w:r>
      <w:r>
        <w:rPr>
          <w:lang w:val="en-GB"/>
        </w:rPr>
        <w:fldChar w:fldCharType="separate"/>
      </w:r>
      <w:r>
        <w:rPr>
          <w:noProof/>
          <w:lang w:val="en-GB"/>
        </w:rPr>
        <w:t>[4]</w:t>
      </w:r>
      <w:r>
        <w:rPr>
          <w:lang w:val="en-GB"/>
        </w:rPr>
        <w:fldChar w:fldCharType="end"/>
      </w:r>
      <w:r>
        <w:rPr>
          <w:lang w:val="en-GB"/>
        </w:rPr>
        <w:t xml:space="preserve">. Additives are also known to improve the smoothness of deposits </w:t>
      </w:r>
      <w:r>
        <w:rPr>
          <w:lang w:val="en-GB"/>
        </w:rPr>
        <w:fldChar w:fldCharType="begin"/>
      </w:r>
      <w:r>
        <w:rPr>
          <w:lang w:val="en-GB"/>
        </w:rPr>
        <w:instrText xml:space="preserve"> ADDIN EN.CITE &lt;EndNote&gt;&lt;Cite&gt;&lt;Author&gt;Hazza&lt;/Author&gt;&lt;Year&gt;2005&lt;/Year&gt;&lt;RecNum&gt;263&lt;/RecNum&gt;&lt;DisplayText&gt;[9]&lt;/DisplayText&gt;&lt;record&gt;&lt;rec-number&gt;263&lt;/rec-number&gt;&lt;foreign-keys&gt;&lt;key app="EN" db-id="svvfd0xvz92p9cedzr4pv9au5p9safsedrar" timestamp="1499255262" guid="c386d5ca-5092-4c91-bbd1-cbee7b9dde7e"&gt;263&lt;/key&gt;&lt;/foreign-keys&gt;&lt;ref-type name="Journal Article"&gt;17&lt;/ref-type&gt;&lt;contributors&gt;&lt;authors&gt;&lt;author&gt;Hazza, Ahmed&lt;/author&gt;&lt;author&gt;Pletcher, Derek&lt;/author&gt;&lt;author&gt;Wills, Richard&lt;/author&gt;&lt;/authors&gt;&lt;/contributors&gt;&lt;titles&gt;&lt;title&gt;A novel flow battery: A lead acid battery based on an electrolyte with soluble lead(II) Part IV. The influence of additives&lt;/title&gt;&lt;secondary-title&gt;Journal of Power Sources&lt;/secondary-title&gt;&lt;/titles&gt;&lt;periodical&gt;&lt;full-title&gt;Journal of Power Sources&lt;/full-title&gt;&lt;/periodical&gt;&lt;pages&gt;103-111&lt;/pages&gt;&lt;volume&gt;149&lt;/volume&gt;&lt;number&gt;0&lt;/number&gt;&lt;keywords&gt;&lt;keyword&gt;Flow batteries&lt;/keyword&gt;&lt;keyword&gt;Lead acid&lt;/keyword&gt;&lt;keyword&gt;Methanesulfonic acid&lt;/keyword&gt;&lt;/keywords&gt;&lt;dates&gt;&lt;year&gt;2005&lt;/year&gt;&lt;pub-dates&gt;&lt;date&gt;9/26/&lt;/date&gt;&lt;/pub-dates&gt;&lt;/dates&gt;&lt;isbn&gt;0378-7753&lt;/isbn&gt;&lt;urls&gt;&lt;related-urls&gt;&lt;url&gt;http://www.sciencedirect.com/science/article/pii/S0378775305001837&lt;/url&gt;&lt;/related-urls&gt;&lt;/urls&gt;&lt;electronic-resource-num&gt;http://dx.doi.org/10.1016/j.jpowsour.2005.01.049&lt;/electronic-resource-num&gt;&lt;/record&gt;&lt;/Cite&gt;&lt;/EndNote&gt;</w:instrText>
      </w:r>
      <w:r>
        <w:rPr>
          <w:lang w:val="en-GB"/>
        </w:rPr>
        <w:fldChar w:fldCharType="separate"/>
      </w:r>
      <w:r>
        <w:rPr>
          <w:noProof/>
          <w:lang w:val="en-GB"/>
        </w:rPr>
        <w:t>[9]</w:t>
      </w:r>
      <w:r>
        <w:rPr>
          <w:lang w:val="en-GB"/>
        </w:rPr>
        <w:fldChar w:fldCharType="end"/>
      </w:r>
      <w:r>
        <w:rPr>
          <w:lang w:val="en-GB"/>
        </w:rPr>
        <w:t xml:space="preserve"> and regular chemical </w:t>
      </w:r>
      <w:r>
        <w:rPr>
          <w:lang w:val="en-GB"/>
        </w:rPr>
        <w:fldChar w:fldCharType="begin"/>
      </w:r>
      <w:r>
        <w:rPr>
          <w:lang w:val="en-GB"/>
        </w:rPr>
        <w:instrText xml:space="preserve"> ADDIN EN.CITE &lt;EndNote&gt;&lt;Cite&gt;&lt;Author&gt;Collins&lt;/Author&gt;&lt;Year&gt;2010&lt;/Year&gt;&lt;RecNum&gt;232&lt;/RecNum&gt;&lt;DisplayText&gt;[10]&lt;/DisplayText&gt;&lt;record&gt;&lt;rec-number&gt;232&lt;/rec-number&gt;&lt;foreign-keys&gt;&lt;key app="EN" db-id="svvfd0xvz92p9cedzr4pv9au5p9safsedrar" timestamp="1493919529" guid="29ec3a92-d45d-43af-8fff-ca05fc29a3cf"&gt;232&lt;/key&gt;&lt;/foreign-keys&gt;&lt;ref-type name="Journal Article"&gt;17&lt;/ref-type&gt;&lt;contributors&gt;&lt;authors&gt;&lt;author&gt;Collins, John&lt;/author&gt;&lt;author&gt;Li, Xiaohong&lt;/author&gt;&lt;author&gt;Pletcher, Derek&lt;/author&gt;&lt;author&gt;Tangirala, Ravichandra&lt;/author&gt;&lt;author&gt;Stratton-Campbell, Duncan&lt;/author&gt;&lt;author&gt;Walsh, Frank C&lt;/author&gt;&lt;author&gt;Zhang, Caiping&lt;/author&gt;&lt;/authors&gt;&lt;/contributors&gt;&lt;titles&gt;&lt;title&gt;A novel flow battery: A lead acid battery based on an electrolyte with soluble lead (II). Part IX: Electrode and electrolyte conditioning with hydrogen peroxide&lt;/title&gt;&lt;secondary-title&gt;Journal of Power Sources&lt;/secondary-title&gt;&lt;/titles&gt;&lt;periodical&gt;&lt;full-title&gt;Journal of Power Sources&lt;/full-title&gt;&lt;/periodical&gt;&lt;pages&gt;2975-2978&lt;/pages&gt;&lt;volume&gt;195&lt;/volume&gt;&lt;number&gt;9&lt;/number&gt;&lt;dates&gt;&lt;year&gt;2010&lt;/year&gt;&lt;/dates&gt;&lt;isbn&gt;0378-7753&lt;/isbn&gt;&lt;urls&gt;&lt;/urls&gt;&lt;/record&gt;&lt;/Cite&gt;&lt;/EndNote&gt;</w:instrText>
      </w:r>
      <w:r>
        <w:rPr>
          <w:lang w:val="en-GB"/>
        </w:rPr>
        <w:fldChar w:fldCharType="separate"/>
      </w:r>
      <w:r>
        <w:rPr>
          <w:noProof/>
          <w:lang w:val="en-GB"/>
        </w:rPr>
        <w:t>[10]</w:t>
      </w:r>
      <w:r>
        <w:rPr>
          <w:lang w:val="en-GB"/>
        </w:rPr>
        <w:fldChar w:fldCharType="end"/>
      </w:r>
      <w:r>
        <w:rPr>
          <w:lang w:val="en-GB"/>
        </w:rPr>
        <w:t xml:space="preserve">, or electrochemical, </w:t>
      </w:r>
      <w:r>
        <w:rPr>
          <w:lang w:val="en-GB"/>
        </w:rPr>
        <w:fldChar w:fldCharType="begin"/>
      </w:r>
      <w:r>
        <w:rPr>
          <w:lang w:val="en-GB"/>
        </w:rPr>
        <w:instrText xml:space="preserve"> ADDIN EN.CITE &lt;EndNote&gt;&lt;Cite&gt;&lt;Author&gt;Lanfranconi&lt;/Author&gt;&lt;Year&gt;2019&lt;/Year&gt;&lt;RecNum&gt;451&lt;/RecNum&gt;&lt;DisplayText&gt;[11]&lt;/DisplayText&gt;&lt;record&gt;&lt;rec-number&gt;451&lt;/rec-number&gt;&lt;foreign-keys&gt;&lt;key app="EN" db-id="svvfd0xvz92p9cedzr4pv9au5p9safsedrar" timestamp="1613050342" guid="6480c91c-a191-4722-b2f1-1d39df704896"&gt;451&lt;/key&gt;&lt;/foreign-keys&gt;&lt;ref-type name="Journal Article"&gt;17&lt;/ref-type&gt;&lt;contributors&gt;&lt;authors&gt;&lt;author&gt;Lanfranconi, Michael&lt;/author&gt;&lt;author&gt;Lilienhof, Hans-J&lt;/author&gt;&lt;/authors&gt;&lt;/contributors&gt;&lt;titles&gt;&lt;title&gt;All-lead-flow-batteries as promising candidates for energy storage solutions&lt;/title&gt;&lt;secondary-title&gt;Journal of Sustainable Development of Energy, Water and Environment Systems&lt;/secondary-title&gt;&lt;/titles&gt;&lt;periodical&gt;&lt;full-title&gt;Journal of Sustainable Development of Energy, Water and Environment Systems&lt;/full-title&gt;&lt;/periodical&gt;&lt;pages&gt;343-354&lt;/pages&gt;&lt;volume&gt;7&lt;/volume&gt;&lt;number&gt;2&lt;/number&gt;&lt;dates&gt;&lt;year&gt;2019&lt;/year&gt;&lt;/dates&gt;&lt;urls&gt;&lt;/urls&gt;&lt;/record&gt;&lt;/Cite&gt;&lt;/EndNote&gt;</w:instrText>
      </w:r>
      <w:r>
        <w:rPr>
          <w:lang w:val="en-GB"/>
        </w:rPr>
        <w:fldChar w:fldCharType="separate"/>
      </w:r>
      <w:r>
        <w:rPr>
          <w:noProof/>
          <w:lang w:val="en-GB"/>
        </w:rPr>
        <w:t>[11]</w:t>
      </w:r>
      <w:r>
        <w:rPr>
          <w:lang w:val="en-GB"/>
        </w:rPr>
        <w:fldChar w:fldCharType="end"/>
      </w:r>
      <w:r>
        <w:rPr>
          <w:lang w:val="en-GB"/>
        </w:rPr>
        <w:t>, maintenance cycles are shown to reset the deposits to close to initial conditions. However, maintenance cycles may add cost and restrict the freedom of operation of the SLFB, so reducing their required frequency is beneficial. As neither flow control nor additives lead to completely smooth deposits, and as a separator provides a physical barrier to shorting and allows for the possibility of better performing, electrode specific additives, dividing the SLFB remains beneficial.</w:t>
      </w:r>
    </w:p>
    <w:p w14:paraId="236FBFAC" w14:textId="5A941001" w:rsidR="002467B3" w:rsidRPr="00FA455F" w:rsidRDefault="005F17E0" w:rsidP="005F17E0">
      <w:pPr>
        <w:pStyle w:val="Els-body-text"/>
        <w:ind w:right="-28"/>
        <w:rPr>
          <w:lang w:val="en-GB"/>
        </w:rPr>
      </w:pPr>
      <w:r>
        <w:rPr>
          <w:lang w:val="en-GB"/>
        </w:rPr>
        <w:t xml:space="preserve">While </w:t>
      </w:r>
      <w:r w:rsidR="002467B3" w:rsidRPr="00FA455F">
        <w:rPr>
          <w:lang w:val="en-GB"/>
        </w:rPr>
        <w:t xml:space="preserve">ion-exchange membranes in flow batteries, such as the vanadium redox flow battery </w:t>
      </w:r>
      <w:r w:rsidR="002467B3" w:rsidRPr="00FA455F">
        <w:rPr>
          <w:lang w:val="en-GB"/>
        </w:rPr>
        <w:fldChar w:fldCharType="begin"/>
      </w:r>
      <w:r>
        <w:rPr>
          <w:lang w:val="en-GB"/>
        </w:rPr>
        <w:instrText xml:space="preserve"> ADDIN EN.CITE &lt;EndNote&gt;&lt;Cite&gt;&lt;Author&gt;Knehr&lt;/Author&gt;&lt;Year&gt;2012&lt;/Year&gt;&lt;RecNum&gt;416&lt;/RecNum&gt;&lt;DisplayText&gt;[12]&lt;/DisplayText&gt;&lt;record&gt;&lt;rec-number&gt;416&lt;/rec-number&gt;&lt;foreign-keys&gt;&lt;key app="EN" db-id="svvfd0xvz92p9cedzr4pv9au5p9safsedrar" timestamp="1593640184" guid="e9e68f33-482a-4776-86da-6f052e288c40"&gt;416&lt;/key&gt;&lt;/foreign-keys&gt;&lt;ref-type name="Journal Article"&gt;17&lt;/ref-type&gt;&lt;contributors&gt;&lt;authors&gt;&lt;author&gt;Knehr, KW&lt;/author&gt;&lt;author&gt;Agar, Ertan&lt;/author&gt;&lt;author&gt;Dennison, CR&lt;/author&gt;&lt;author&gt;Kalidindi, AR&lt;/author&gt;&lt;author&gt;Kumbur, EC&lt;/author&gt;&lt;/authors&gt;&lt;/contributors&gt;&lt;titles&gt;&lt;title&gt;A transient vanadium flow battery model incorporating vanadium crossover and water transport through the membrane&lt;/title&gt;&lt;secondary-title&gt;Journal of The Electrochemical Society&lt;/secondary-title&gt;&lt;/titles&gt;&lt;periodical&gt;&lt;full-title&gt;Journal of the Electrochemical Society&lt;/full-title&gt;&lt;/periodical&gt;&lt;pages&gt;A1446&lt;/pages&gt;&lt;volume&gt;159&lt;/volume&gt;&lt;number&gt;9&lt;/number&gt;&lt;dates&gt;&lt;year&gt;2012&lt;/year&gt;&lt;/dates&gt;&lt;isbn&gt;1945-7111&lt;/isbn&gt;&lt;urls&gt;&lt;/urls&gt;&lt;/record&gt;&lt;/Cite&gt;&lt;/EndNote&gt;</w:instrText>
      </w:r>
      <w:r w:rsidR="002467B3" w:rsidRPr="00FA455F">
        <w:rPr>
          <w:lang w:val="en-GB"/>
        </w:rPr>
        <w:fldChar w:fldCharType="separate"/>
      </w:r>
      <w:r>
        <w:rPr>
          <w:noProof/>
          <w:lang w:val="en-GB"/>
        </w:rPr>
        <w:t>[12]</w:t>
      </w:r>
      <w:r w:rsidR="002467B3" w:rsidRPr="00FA455F">
        <w:fldChar w:fldCharType="end"/>
      </w:r>
      <w:r>
        <w:t>, have been modelled, simulation of the SLFB remains exclusively of the undivided setup</w:t>
      </w:r>
      <w:r w:rsidR="002467B3" w:rsidRPr="00FA455F">
        <w:rPr>
          <w:lang w:val="en-GB"/>
        </w:rPr>
        <w:t>.</w:t>
      </w:r>
      <w:r w:rsidR="002467B3">
        <w:rPr>
          <w:lang w:val="en-GB"/>
        </w:rPr>
        <w:t xml:space="preserve"> </w:t>
      </w:r>
      <w:r w:rsidR="002467B3" w:rsidRPr="00FA455F">
        <w:rPr>
          <w:lang w:val="en-GB"/>
        </w:rPr>
        <w:t>In this paper</w:t>
      </w:r>
      <w:r w:rsidR="002467B3">
        <w:rPr>
          <w:lang w:val="en-GB"/>
        </w:rPr>
        <w:t>,</w:t>
      </w:r>
      <w:r w:rsidR="002467B3" w:rsidRPr="00FA455F">
        <w:rPr>
          <w:lang w:val="en-GB"/>
        </w:rPr>
        <w:t xml:space="preserve"> we develop a </w:t>
      </w:r>
      <w:r>
        <w:rPr>
          <w:lang w:val="en-GB"/>
        </w:rPr>
        <w:t xml:space="preserve">novel </w:t>
      </w:r>
      <w:r w:rsidR="002467B3" w:rsidRPr="00FA455F">
        <w:rPr>
          <w:lang w:val="en-GB"/>
        </w:rPr>
        <w:t>model for the ion exchan</w:t>
      </w:r>
      <w:r w:rsidR="002467B3">
        <w:rPr>
          <w:lang w:val="en-GB"/>
        </w:rPr>
        <w:t xml:space="preserve">ge, </w:t>
      </w:r>
      <w:proofErr w:type="gramStart"/>
      <w:r w:rsidR="002467B3">
        <w:rPr>
          <w:lang w:val="en-GB"/>
        </w:rPr>
        <w:t>fully-divided</w:t>
      </w:r>
      <w:proofErr w:type="gramEnd"/>
      <w:r w:rsidR="002467B3">
        <w:rPr>
          <w:lang w:val="en-GB"/>
        </w:rPr>
        <w:t xml:space="preserve"> SLFB, which</w:t>
      </w:r>
      <w:r w:rsidR="002467B3" w:rsidRPr="00FA455F">
        <w:rPr>
          <w:lang w:val="en-GB"/>
        </w:rPr>
        <w:t xml:space="preserve"> is validated using experimental results for a Nafion 115 divided cell.</w:t>
      </w:r>
    </w:p>
    <w:p w14:paraId="1118F072" w14:textId="77777777" w:rsidR="002467B3" w:rsidRDefault="002467B3" w:rsidP="002467B3">
      <w:pPr>
        <w:pStyle w:val="Els-1storder-head"/>
        <w:widowControl/>
        <w:numPr>
          <w:ilvl w:val="0"/>
          <w:numId w:val="8"/>
        </w:numPr>
      </w:pPr>
      <w:r>
        <w:t>Model setup</w:t>
      </w:r>
    </w:p>
    <w:p w14:paraId="46893398" w14:textId="441760F6" w:rsidR="002467B3" w:rsidRDefault="002467B3" w:rsidP="007C36A5">
      <w:pPr>
        <w:pStyle w:val="Els-body-text"/>
      </w:pPr>
      <w:r>
        <w:t>A numerical model of the</w:t>
      </w:r>
      <w:r w:rsidR="005F17E0">
        <w:t xml:space="preserve"> divided</w:t>
      </w:r>
      <w:r>
        <w:t xml:space="preserve"> SLFB was developed in COMSOL Multiphysics.</w:t>
      </w:r>
      <w:r w:rsidR="005F17E0">
        <w:t xml:space="preserve"> The equations for the electrolyte and the electrode equations are as used in our previous paper </w:t>
      </w:r>
      <w:r w:rsidR="005F17E0">
        <w:fldChar w:fldCharType="begin"/>
      </w:r>
      <w:r w:rsidR="005F17E0">
        <w:instrText xml:space="preserve"> ADDIN EN.CITE &lt;EndNote&gt;&lt;Cite&gt;&lt;Author&gt;Fraser&lt;/Author&gt;&lt;Year&gt;2020&lt;/Year&gt;&lt;RecNum&gt;417&lt;/RecNum&gt;&lt;DisplayText&gt;[13]&lt;/DisplayText&gt;&lt;record&gt;&lt;rec-number&gt;417&lt;/rec-number&gt;&lt;foreign-keys&gt;&lt;key app="EN" db-id="svvfd0xvz92p9cedzr4pv9au5p9safsedrar" timestamp="1593691803" guid="ea6a1a4a-7579-4f64-8891-698a8aafaf0c"&gt;417&lt;/key&gt;&lt;/foreign-keys&gt;&lt;ref-type name="Journal Article"&gt;17&lt;/ref-type&gt;&lt;contributors&gt;&lt;authors&gt;&lt;author&gt;Fraser, E J&lt;/author&gt;&lt;author&gt;Ranga Dinesh, K K J&lt;/author&gt;&lt;author&gt;Wills, R G A&lt;/author&gt;&lt;/authors&gt;&lt;/contributors&gt;&lt;titles&gt;&lt;title&gt;Development of a two-dimensional, moving mesh treatment for modelling the reaction chamber of the soluble lead flow battery as a function of state of charge for Pb and PbO2 deposition and dissolution&lt;/title&gt;&lt;secondary-title&gt;Journal of Energy Storage&lt;/secondary-title&gt;&lt;/titles&gt;&lt;periodical&gt;&lt;full-title&gt;Journal of Energy Storage&lt;/full-title&gt;&lt;/periodical&gt;&lt;pages&gt;101484&lt;/pages&gt;&lt;volume&gt;31&lt;/volume&gt;&lt;dates&gt;&lt;year&gt;2020&lt;/year&gt;&lt;/dates&gt;&lt;isbn&gt;2352-152X&lt;/isbn&gt;&lt;urls&gt;&lt;/urls&gt;&lt;/record&gt;&lt;/Cite&gt;&lt;/EndNote&gt;</w:instrText>
      </w:r>
      <w:r w:rsidR="005F17E0">
        <w:fldChar w:fldCharType="separate"/>
      </w:r>
      <w:r w:rsidR="005F17E0">
        <w:rPr>
          <w:noProof/>
        </w:rPr>
        <w:t>[13]</w:t>
      </w:r>
      <w:r w:rsidR="005F17E0">
        <w:fldChar w:fldCharType="end"/>
      </w:r>
      <w:r w:rsidR="005F17E0">
        <w:t>, the following section highlights any differences.</w:t>
      </w:r>
      <w:r>
        <w:t xml:space="preserve"> The flow of the electrolyte was modelled using the Navier-Stokes for conservation of mass and momentum. The Nernst-Planck equation was employed to simulate the mass transport of species in solution. Three domains between the active electrode surfaces are used when implementing the model: two containing electrolyte and a further membrane domain. Validation was completed using steady-state, one-dimensional models. The model for validation of the electrolyte conductivity was competed using a single electrolyte domain. Validation for the membrane used the same three domains as the two-dimensional model.</w:t>
      </w:r>
      <w:r w:rsidR="007C36A5">
        <w:t xml:space="preserve"> </w:t>
      </w:r>
      <w:r>
        <w:t>As with previous SLFB models, only a single side reaction is assumed at the positive electrode:</w:t>
      </w:r>
    </w:p>
    <w:tbl>
      <w:tblPr>
        <w:tblStyle w:val="TableGrid"/>
        <w:tblpPr w:leftFromText="181" w:rightFromText="181" w:topFromText="142" w:bottomFromText="142" w:vertAnchor="text" w:horzAnchor="margin" w:tblpY="22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8241"/>
        <w:gridCol w:w="671"/>
      </w:tblGrid>
      <w:tr w:rsidR="002467B3" w:rsidRPr="003D6521" w14:paraId="5FA9A493" w14:textId="77777777" w:rsidTr="007C36A5">
        <w:tc>
          <w:tcPr>
            <w:tcW w:w="221" w:type="pct"/>
          </w:tcPr>
          <w:p w14:paraId="188D3120" w14:textId="77777777" w:rsidR="002467B3" w:rsidRPr="003D6521" w:rsidRDefault="002467B3" w:rsidP="007C36A5"/>
        </w:tc>
        <w:tc>
          <w:tcPr>
            <w:tcW w:w="4419" w:type="pct"/>
          </w:tcPr>
          <w:p w14:paraId="7BA26978" w14:textId="77777777" w:rsidR="002467B3" w:rsidRPr="003D6521" w:rsidRDefault="002467B3" w:rsidP="007C36A5">
            <m:oMathPara>
              <m:oMath>
                <m:r>
                  <w:rPr>
                    <w:rFonts w:ascii="Cambria Math" w:hAnsi="Cambria Math"/>
                  </w:rPr>
                  <m:t>Positive side reaction</m:t>
                </m:r>
                <m:r>
                  <m:rPr>
                    <m:sty m:val="p"/>
                  </m:rPr>
                  <w:rPr>
                    <w:rFonts w:ascii="Cambria Math" w:hAnsi="Cambria Math"/>
                  </w:rPr>
                  <m:t xml:space="preserve">    </m:t>
                </m:r>
                <m:r>
                  <w:rPr>
                    <w:rFonts w:ascii="Cambria Math" w:hAnsi="Cambria Math"/>
                  </w:rPr>
                  <m:t>PbO</m:t>
                </m:r>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 xml:space="preserve"> ↔</m:t>
                </m:r>
                <m:r>
                  <w:rPr>
                    <w:rFonts w:ascii="Cambria Math" w:hAnsi="Cambria Math"/>
                  </w:rPr>
                  <m:t>Pb</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+ 2</m:t>
                </m:r>
                <m:sSup>
                  <m:sSupPr>
                    <m:ctrlPr>
                      <w:rPr>
                        <w:rFonts w:ascii="Cambria Math" w:hAnsi="Cambria Math"/>
                      </w:rPr>
                    </m:ctrlPr>
                  </m:sSupPr>
                  <m:e>
                    <m:r>
                      <w:rPr>
                        <w:rFonts w:ascii="Cambria Math" w:hAnsi="Cambria Math"/>
                      </w:rPr>
                      <m:t>H</m:t>
                    </m:r>
                  </m:e>
                  <m:sup>
                    <m:r>
                      <m:rPr>
                        <m:sty m:val="p"/>
                      </m:rPr>
                      <w:rPr>
                        <w:rFonts w:ascii="Cambria Math" w:hAnsi="Cambria Math"/>
                      </w:rPr>
                      <m:t>+</m:t>
                    </m:r>
                  </m:sup>
                </m:sSup>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m:t>
                    </m:r>
                    <m:r>
                      <w:rPr>
                        <w:rFonts w:ascii="Cambria Math" w:hAnsi="Cambria Math"/>
                      </w:rPr>
                      <m:t>E</m:t>
                    </m:r>
                  </m:e>
                  <m:sup>
                    <m:r>
                      <m:rPr>
                        <m:sty m:val="p"/>
                      </m:rPr>
                      <w:rPr>
                        <w:rFonts w:ascii="Cambria Math" w:hAnsi="Cambria Math"/>
                      </w:rPr>
                      <m:t>0</m:t>
                    </m:r>
                  </m:sup>
                </m:sSup>
                <m:r>
                  <m:rPr>
                    <m:sty m:val="p"/>
                  </m:rPr>
                  <w:rPr>
                    <w:rFonts w:ascii="Cambria Math" w:hAnsi="Cambria Math"/>
                  </w:rPr>
                  <m:t xml:space="preserve">= + 0.28 </m:t>
                </m:r>
                <m:r>
                  <w:rPr>
                    <w:rFonts w:ascii="Cambria Math" w:hAnsi="Cambria Math"/>
                  </w:rPr>
                  <m:t>V</m:t>
                </m:r>
                <m:r>
                  <m:rPr>
                    <m:sty m:val="p"/>
                  </m:rPr>
                  <w:rPr>
                    <w:rFonts w:ascii="Cambria Math" w:hAnsi="Cambria Math"/>
                  </w:rPr>
                  <m:t xml:space="preserve"> </m:t>
                </m:r>
                <m:r>
                  <w:rPr>
                    <w:rFonts w:ascii="Cambria Math" w:hAnsi="Cambria Math"/>
                  </w:rPr>
                  <m:t>vs</m:t>
                </m:r>
                <m:r>
                  <m:rPr>
                    <m:sty m:val="p"/>
                  </m:rPr>
                  <w:rPr>
                    <w:rFonts w:ascii="Cambria Math" w:hAnsi="Cambria Math"/>
                  </w:rPr>
                  <m:t xml:space="preserve"> </m:t>
                </m:r>
                <m:r>
                  <w:rPr>
                    <w:rFonts w:ascii="Cambria Math" w:hAnsi="Cambria Math"/>
                  </w:rPr>
                  <m:t>SHE</m:t>
                </m:r>
                <m:r>
                  <m:rPr>
                    <m:sty m:val="p"/>
                  </m:rPr>
                  <w:rPr>
                    <w:rFonts w:ascii="Cambria Math" w:hAnsi="Cambria Math"/>
                  </w:rPr>
                  <m:t xml:space="preserve"> </m:t>
                </m:r>
              </m:oMath>
            </m:oMathPara>
          </w:p>
        </w:tc>
        <w:tc>
          <w:tcPr>
            <w:tcW w:w="360" w:type="pct"/>
          </w:tcPr>
          <w:p w14:paraId="20B5206C" w14:textId="63293395" w:rsidR="002467B3" w:rsidRPr="003D6521" w:rsidRDefault="002467B3" w:rsidP="007C36A5">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4</w:t>
            </w:r>
            <w:r w:rsidRPr="003D6521">
              <w:rPr>
                <w:noProof/>
              </w:rPr>
              <w:fldChar w:fldCharType="end"/>
            </w:r>
            <w:r w:rsidRPr="003D6521">
              <w:t xml:space="preserve"> </w:t>
            </w:r>
            <w:r w:rsidRPr="003D6521">
              <w:rPr>
                <w:rFonts w:eastAsiaTheme="minorEastAsia"/>
              </w:rPr>
              <w:t>)</w:t>
            </w:r>
          </w:p>
        </w:tc>
      </w:tr>
    </w:tbl>
    <w:p w14:paraId="0A1B9756" w14:textId="16ECD962" w:rsidR="002467B3" w:rsidRDefault="002467B3" w:rsidP="002467B3">
      <w:pPr>
        <w:pStyle w:val="Els-body-text"/>
      </w:pPr>
      <w:r>
        <w:t>This side reaction is a simplification of the mechanism which gives the SLFB its characteristic two-step charging voltage which is seen during the second and subsequent charges. The cell potential begins at a lower voltage than the first charge before rising sharply, once PbO is fully converted to PbO</w:t>
      </w:r>
      <w:r w:rsidRPr="00FA5FE7">
        <w:rPr>
          <w:vertAlign w:val="subscript"/>
        </w:rPr>
        <w:t>2</w:t>
      </w:r>
      <w:r w:rsidRPr="00D60452">
        <w:t>,</w:t>
      </w:r>
      <w:r>
        <w:t xml:space="preserve"> to close to the first charge voltage for the remainder of the charge.</w:t>
      </w:r>
    </w:p>
    <w:p w14:paraId="5F89825A" w14:textId="77777777" w:rsidR="002467B3" w:rsidRDefault="002467B3" w:rsidP="002467B3">
      <w:pPr>
        <w:pStyle w:val="Els-2ndorder-head"/>
        <w:widowControl/>
        <w:numPr>
          <w:ilvl w:val="1"/>
          <w:numId w:val="8"/>
        </w:numPr>
      </w:pPr>
      <w:r>
        <w:t>Assumptions</w:t>
      </w:r>
    </w:p>
    <w:p w14:paraId="395A94CE" w14:textId="77777777" w:rsidR="002467B3" w:rsidRDefault="002467B3" w:rsidP="002467B3">
      <w:pPr>
        <w:pStyle w:val="Els-body-text"/>
      </w:pPr>
      <w:r>
        <w:t>In all models, the electrolyte is defined as being composed of only the following ions in water: Pb</w:t>
      </w:r>
      <w:r>
        <w:rPr>
          <w:vertAlign w:val="superscript"/>
        </w:rPr>
        <w:t>2+</w:t>
      </w:r>
      <w:r>
        <w:t>, H</w:t>
      </w:r>
      <w:r>
        <w:rPr>
          <w:vertAlign w:val="superscript"/>
        </w:rPr>
        <w:t>+</w:t>
      </w:r>
      <w:r>
        <w:t xml:space="preserve"> and CH</w:t>
      </w:r>
      <w:r>
        <w:rPr>
          <w:vertAlign w:val="subscript"/>
        </w:rPr>
        <w:t>3</w:t>
      </w:r>
      <w:r>
        <w:t>SO</w:t>
      </w:r>
      <w:r>
        <w:rPr>
          <w:vertAlign w:val="subscript"/>
        </w:rPr>
        <w:t>3</w:t>
      </w:r>
      <w:r>
        <w:rPr>
          <w:vertAlign w:val="superscript"/>
        </w:rPr>
        <w:t>-</w:t>
      </w:r>
      <w:r>
        <w:t>. Methanesulfonic acid is assumed to dissociate fully into H</w:t>
      </w:r>
      <w:r w:rsidRPr="00D456E2">
        <w:rPr>
          <w:vertAlign w:val="superscript"/>
        </w:rPr>
        <w:t>+</w:t>
      </w:r>
      <w:r>
        <w:t xml:space="preserve"> and CH</w:t>
      </w:r>
      <w:r w:rsidRPr="004A3881">
        <w:rPr>
          <w:vertAlign w:val="subscript"/>
        </w:rPr>
        <w:t>3</w:t>
      </w:r>
      <w:r>
        <w:t>SO</w:t>
      </w:r>
      <w:r w:rsidRPr="004A3881">
        <w:rPr>
          <w:vertAlign w:val="subscript"/>
        </w:rPr>
        <w:t>3</w:t>
      </w:r>
      <w:r w:rsidRPr="00D456E2">
        <w:rPr>
          <w:vertAlign w:val="superscript"/>
        </w:rPr>
        <w:t>-</w:t>
      </w:r>
      <w:r>
        <w:t xml:space="preserve">. The electroneutrality assumption is also employed. </w:t>
      </w:r>
    </w:p>
    <w:p w14:paraId="630B8211" w14:textId="77777777" w:rsidR="002467B3" w:rsidRDefault="002467B3" w:rsidP="002467B3">
      <w:pPr>
        <w:pStyle w:val="Els-body-text"/>
      </w:pPr>
      <w:r>
        <w:t>The two-dimensional model further assumes laminar flow within the reaction chamber and</w:t>
      </w:r>
      <w:r w:rsidRPr="00663480">
        <w:t xml:space="preserve"> </w:t>
      </w:r>
      <w:r>
        <w:t xml:space="preserve">perfect mixing in the </w:t>
      </w:r>
      <w:r>
        <w:lastRenderedPageBreak/>
        <w:t xml:space="preserve">reservoir. Hence the inlet concentration (averaged over the inlet length) is set to be the volumetric integral of the outlet and reservoir concentration. </w:t>
      </w:r>
    </w:p>
    <w:p w14:paraId="4B89C135" w14:textId="77777777" w:rsidR="002467B3" w:rsidRDefault="002467B3" w:rsidP="002467B3">
      <w:pPr>
        <w:pStyle w:val="Els-2ndorder-head"/>
        <w:widowControl/>
        <w:numPr>
          <w:ilvl w:val="1"/>
          <w:numId w:val="8"/>
        </w:numPr>
      </w:pPr>
      <w:r>
        <w:t>Governing equations</w:t>
      </w:r>
    </w:p>
    <w:p w14:paraId="1D3B4582" w14:textId="2CB2E879" w:rsidR="002467B3" w:rsidRDefault="002467B3" w:rsidP="000C3AA4">
      <w:pPr>
        <w:pStyle w:val="Els-body-text"/>
      </w:pPr>
      <w:r>
        <w:t>The membrane domain is a porous medium, so the effective diffusion coefficient</w:t>
      </w:r>
      <w:r w:rsidR="005F17E0">
        <w:t xml:space="preserve">, </w:t>
      </w:r>
      <w:proofErr w:type="spellStart"/>
      <w:proofErr w:type="gramStart"/>
      <w:r w:rsidR="005F17E0" w:rsidRPr="00732B24">
        <w:rPr>
          <w:rFonts w:ascii="Cambria Math" w:hAnsi="Cambria Math"/>
        </w:rPr>
        <w:t>D</w:t>
      </w:r>
      <w:r w:rsidR="005F17E0" w:rsidRPr="00732B24">
        <w:rPr>
          <w:rFonts w:ascii="Cambria Math" w:hAnsi="Cambria Math"/>
          <w:vertAlign w:val="subscript"/>
        </w:rPr>
        <w:t>i,eff</w:t>
      </w:r>
      <w:proofErr w:type="spellEnd"/>
      <w:r w:rsidR="005F17E0" w:rsidRPr="00732B24">
        <w:rPr>
          <w:rFonts w:ascii="Cambria Math" w:hAnsi="Cambria Math"/>
          <w:vertAlign w:val="subscript"/>
        </w:rPr>
        <w:softHyphen/>
      </w:r>
      <w:proofErr w:type="gramEnd"/>
      <w:r w:rsidR="005F17E0">
        <w:rPr>
          <w:rFonts w:ascii="Cambria Math" w:hAnsi="Cambria Math"/>
          <w:vertAlign w:val="subscript"/>
        </w:rPr>
        <w:t>,</w:t>
      </w:r>
      <w:r>
        <w:t xml:space="preserve"> is lower than in the free electrolyte.</w:t>
      </w:r>
      <w:r w:rsidR="005F17E0">
        <w:t xml:space="preserve"> T</w:t>
      </w:r>
      <w:r>
        <w:t>he Bruggeman correlation</w:t>
      </w:r>
      <w:r w:rsidR="005F17E0">
        <w:t xml:space="preserve"> is used for calculating</w:t>
      </w:r>
      <w:r>
        <w:t xml:space="preserve"> the effective diffusion coefficients </w:t>
      </w:r>
      <w:r w:rsidR="005F17E0">
        <w:t xml:space="preserve">in the membrane </w:t>
      </w:r>
      <w:r>
        <w:t xml:space="preserve">from the porosity, </w:t>
      </w:r>
      <w:r w:rsidRPr="00732B24">
        <w:rPr>
          <w:rFonts w:ascii="Cambria Math" w:hAnsi="Cambria Math"/>
        </w:rPr>
        <w:t>ϵ</w:t>
      </w:r>
      <w:r w:rsidR="005F17E0">
        <w:rPr>
          <w:rFonts w:ascii="Cambria Math" w:hAnsi="Cambria Math"/>
        </w:rPr>
        <w:t xml:space="preserve"> </w:t>
      </w:r>
      <w:r w:rsidR="005F17E0">
        <w:rPr>
          <w:rFonts w:ascii="Cambria Math" w:hAnsi="Cambria Math"/>
        </w:rPr>
        <w:fldChar w:fldCharType="begin"/>
      </w:r>
      <w:r w:rsidR="005F17E0">
        <w:rPr>
          <w:rFonts w:ascii="Cambria Math" w:hAnsi="Cambria Math"/>
        </w:rPr>
        <w:instrText xml:space="preserve"> ADDIN EN.CITE &lt;EndNote&gt;&lt;Cite&gt;&lt;Author&gt;Knehr&lt;/Author&gt;&lt;Year&gt;2012&lt;/Year&gt;&lt;RecNum&gt;416&lt;/RecNum&gt;&lt;DisplayText&gt;[12]&lt;/DisplayText&gt;&lt;record&gt;&lt;rec-number&gt;416&lt;/rec-number&gt;&lt;foreign-keys&gt;&lt;key app="EN" db-id="svvfd0xvz92p9cedzr4pv9au5p9safsedrar" timestamp="1593640184" guid="e9e68f33-482a-4776-86da-6f052e288c40"&gt;416&lt;/key&gt;&lt;/foreign-keys&gt;&lt;ref-type name="Journal Article"&gt;17&lt;/ref-type&gt;&lt;contributors&gt;&lt;authors&gt;&lt;author&gt;Knehr, KW&lt;/author&gt;&lt;author&gt;Agar, Ertan&lt;/author&gt;&lt;author&gt;Dennison, CR&lt;/author&gt;&lt;author&gt;Kalidindi, AR&lt;/author&gt;&lt;author&gt;Kumbur, EC&lt;/author&gt;&lt;/authors&gt;&lt;/contributors&gt;&lt;titles&gt;&lt;title&gt;A transient vanadium flow battery model incorporating vanadium crossover and water transport through the membrane&lt;/title&gt;&lt;secondary-title&gt;Journal of The Electrochemical Society&lt;/secondary-title&gt;&lt;/titles&gt;&lt;periodical&gt;&lt;full-title&gt;Journal of the Electrochemical Society&lt;/full-title&gt;&lt;/periodical&gt;&lt;pages&gt;A1446&lt;/pages&gt;&lt;volume&gt;159&lt;/volume&gt;&lt;number&gt;9&lt;/number&gt;&lt;dates&gt;&lt;year&gt;2012&lt;/year&gt;&lt;/dates&gt;&lt;isbn&gt;1945-7111&lt;/isbn&gt;&lt;urls&gt;&lt;/urls&gt;&lt;/record&gt;&lt;/Cite&gt;&lt;/EndNote&gt;</w:instrText>
      </w:r>
      <w:r w:rsidR="005F17E0">
        <w:rPr>
          <w:rFonts w:ascii="Cambria Math" w:hAnsi="Cambria Math"/>
        </w:rPr>
        <w:fldChar w:fldCharType="separate"/>
      </w:r>
      <w:r w:rsidR="005F17E0">
        <w:rPr>
          <w:rFonts w:ascii="Cambria Math" w:hAnsi="Cambria Math"/>
          <w:noProof/>
        </w:rPr>
        <w:t>[12]</w:t>
      </w:r>
      <w:r w:rsidR="005F17E0">
        <w:rPr>
          <w:rFonts w:ascii="Cambria Math" w:hAnsi="Cambria Math"/>
        </w:rPr>
        <w:fldChar w:fldCharType="end"/>
      </w:r>
      <w:r>
        <w:t>:</w:t>
      </w:r>
    </w:p>
    <w:tbl>
      <w:tblPr>
        <w:tblStyle w:val="TableGrid"/>
        <w:tblpPr w:leftFromText="181" w:rightFromText="181" w:topFromText="142" w:bottomFromText="142" w:vertAnchor="text" w:horzAnchor="margin" w:tblpY="1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047"/>
        <w:gridCol w:w="655"/>
      </w:tblGrid>
      <w:tr w:rsidR="002467B3" w:rsidRPr="003D6521" w14:paraId="0EBBC6AC" w14:textId="77777777" w:rsidTr="005F17E0">
        <w:trPr>
          <w:trHeight w:val="268"/>
        </w:trPr>
        <w:tc>
          <w:tcPr>
            <w:tcW w:w="349" w:type="pct"/>
          </w:tcPr>
          <w:p w14:paraId="05E63E6F" w14:textId="77777777" w:rsidR="002467B3" w:rsidRPr="003D6521" w:rsidRDefault="002467B3" w:rsidP="005F17E0"/>
        </w:tc>
        <w:tc>
          <w:tcPr>
            <w:tcW w:w="4301" w:type="pct"/>
          </w:tcPr>
          <w:p w14:paraId="6CF5D042" w14:textId="77777777" w:rsidR="002467B3" w:rsidRPr="003D6521" w:rsidRDefault="00F05333" w:rsidP="005F17E0">
            <w:pPr>
              <w:rPr>
                <w:rFonts w:eastAsiaTheme="minorEastAsia"/>
              </w:rPr>
            </w:pPr>
            <m:oMathPara>
              <m:oMath>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i,eff</m:t>
                    </m:r>
                  </m:sub>
                </m:sSub>
                <m:r>
                  <w:rPr>
                    <w:rFonts w:ascii="Cambria Math" w:hAnsi="Cambria Math"/>
                    <w:vertAlign w:val="subscript"/>
                  </w:rPr>
                  <m:t xml:space="preserve">= </m:t>
                </m:r>
                <m:sSup>
                  <m:sSupPr>
                    <m:ctrlPr>
                      <w:rPr>
                        <w:rFonts w:ascii="Cambria Math" w:hAnsi="Cambria Math"/>
                        <w:i/>
                        <w:vertAlign w:val="subscript"/>
                      </w:rPr>
                    </m:ctrlPr>
                  </m:sSupPr>
                  <m:e>
                    <m:r>
                      <w:rPr>
                        <w:rFonts w:ascii="Cambria Math" w:hAnsi="Cambria Math"/>
                        <w:vertAlign w:val="subscript"/>
                      </w:rPr>
                      <m:t>ϵ</m:t>
                    </m:r>
                  </m:e>
                  <m:sup>
                    <m:r>
                      <w:rPr>
                        <w:rFonts w:ascii="Cambria Math" w:hAnsi="Cambria Math"/>
                        <w:vertAlign w:val="subscript"/>
                      </w:rPr>
                      <m:t>1.5</m:t>
                    </m:r>
                  </m:sup>
                </m:sSup>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i</m:t>
                    </m:r>
                  </m:sub>
                </m:sSub>
                <m:r>
                  <m:rPr>
                    <m:sty m:val="p"/>
                  </m:rPr>
                  <w:rPr>
                    <w:rFonts w:ascii="Cambria Math" w:hAnsi="Cambria Math"/>
                  </w:rPr>
                  <m:t xml:space="preserve">  </m:t>
                </m:r>
              </m:oMath>
            </m:oMathPara>
          </w:p>
        </w:tc>
        <w:tc>
          <w:tcPr>
            <w:tcW w:w="350" w:type="pct"/>
          </w:tcPr>
          <w:p w14:paraId="2D436D10" w14:textId="28BCE9C6" w:rsidR="002467B3" w:rsidRPr="003D6521" w:rsidRDefault="002467B3" w:rsidP="005F17E0">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5</w:t>
            </w:r>
            <w:r w:rsidRPr="003D6521">
              <w:rPr>
                <w:noProof/>
              </w:rPr>
              <w:fldChar w:fldCharType="end"/>
            </w:r>
            <w:r w:rsidRPr="003D6521">
              <w:t xml:space="preserve"> </w:t>
            </w:r>
            <w:r w:rsidRPr="003D6521">
              <w:rPr>
                <w:rFonts w:eastAsiaTheme="minorEastAsia"/>
              </w:rPr>
              <w:t>)</w:t>
            </w:r>
          </w:p>
        </w:tc>
      </w:tr>
    </w:tbl>
    <w:p w14:paraId="1BDAAD3D" w14:textId="41FD1D7B" w:rsidR="002467B3" w:rsidRDefault="002467B3" w:rsidP="005F17E0">
      <w:pPr>
        <w:pStyle w:val="Els-body-text"/>
      </w:pPr>
      <w:r>
        <w:t xml:space="preserve">Where </w:t>
      </w:r>
      <w:proofErr w:type="spellStart"/>
      <w:proofErr w:type="gramStart"/>
      <w:r w:rsidRPr="00732B24">
        <w:rPr>
          <w:rFonts w:ascii="Cambria Math" w:hAnsi="Cambria Math"/>
        </w:rPr>
        <w:t>D</w:t>
      </w:r>
      <w:r w:rsidRPr="00732B24">
        <w:rPr>
          <w:rFonts w:ascii="Cambria Math" w:hAnsi="Cambria Math"/>
          <w:vertAlign w:val="subscript"/>
        </w:rPr>
        <w:t>i,eff</w:t>
      </w:r>
      <w:proofErr w:type="spellEnd"/>
      <w:proofErr w:type="gramEnd"/>
      <w:r>
        <w:t xml:space="preserve"> is used to calculate mobility, </w:t>
      </w:r>
      <w:proofErr w:type="spellStart"/>
      <w:r w:rsidRPr="00732B24">
        <w:rPr>
          <w:rFonts w:ascii="Cambria Math" w:hAnsi="Cambria Math"/>
        </w:rPr>
        <w:t>u</w:t>
      </w:r>
      <w:r w:rsidRPr="00732B24">
        <w:rPr>
          <w:rFonts w:ascii="Cambria Math" w:hAnsi="Cambria Math"/>
          <w:vertAlign w:val="subscript"/>
        </w:rPr>
        <w:t>m,i</w:t>
      </w:r>
      <w:proofErr w:type="spellEnd"/>
      <w:r>
        <w:t xml:space="preserve"> becomes </w:t>
      </w:r>
      <w:proofErr w:type="spellStart"/>
      <w:r w:rsidRPr="00732B24">
        <w:rPr>
          <w:rFonts w:ascii="Cambria Math" w:hAnsi="Cambria Math"/>
        </w:rPr>
        <w:t>u</w:t>
      </w:r>
      <w:r w:rsidRPr="00732B24">
        <w:rPr>
          <w:rFonts w:ascii="Cambria Math" w:hAnsi="Cambria Math"/>
          <w:vertAlign w:val="subscript"/>
        </w:rPr>
        <w:t>m,I,eff</w:t>
      </w:r>
      <w:proofErr w:type="spellEnd"/>
      <w:r>
        <w:t>.</w:t>
      </w:r>
      <w:r w:rsidR="005F17E0">
        <w:t xml:space="preserve"> </w:t>
      </w:r>
      <w:r>
        <w:t>In the membrane, effective diffusion coefficients and mobilities are used. It is assumed there is negligible flow, so the Nernst-Planck equation becomes:</w:t>
      </w:r>
    </w:p>
    <w:tbl>
      <w:tblPr>
        <w:tblStyle w:val="TableGrid"/>
        <w:tblpPr w:leftFromText="181" w:rightFromText="181" w:topFromText="142" w:bottomFromText="142" w:vertAnchor="text" w:horzAnchor="margin" w:tblpY="15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020"/>
        <w:gridCol w:w="653"/>
      </w:tblGrid>
      <w:tr w:rsidR="002467B3" w:rsidRPr="003D6521" w14:paraId="7B81BB7B" w14:textId="77777777" w:rsidTr="005F17E0">
        <w:tc>
          <w:tcPr>
            <w:tcW w:w="350" w:type="pct"/>
          </w:tcPr>
          <w:p w14:paraId="2F34BE33" w14:textId="77777777" w:rsidR="002467B3" w:rsidRPr="003D6521" w:rsidRDefault="002467B3" w:rsidP="005F17E0"/>
        </w:tc>
        <w:tc>
          <w:tcPr>
            <w:tcW w:w="4300" w:type="pct"/>
          </w:tcPr>
          <w:p w14:paraId="1571777B" w14:textId="77777777" w:rsidR="002467B3" w:rsidRPr="003D6521" w:rsidRDefault="00F05333" w:rsidP="005F17E0">
            <w:pPr>
              <w:rPr>
                <w:rFonts w:eastAsiaTheme="minorEastAsia"/>
              </w:rPr>
            </w:pPr>
            <m:oMathPara>
              <m:oMath>
                <m:sSub>
                  <m:sSubPr>
                    <m:ctrlPr>
                      <w:rPr>
                        <w:rFonts w:ascii="Cambria Math" w:hAnsi="Cambria Math"/>
                      </w:rPr>
                    </m:ctrlPr>
                  </m:sSubPr>
                  <m:e>
                    <m:r>
                      <m:rPr>
                        <m:sty m:val="bi"/>
                      </m:rPr>
                      <w:rPr>
                        <w:rFonts w:ascii="Cambria Math" w:hAnsi="Cambria Math"/>
                      </w:rPr>
                      <m:t>N</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i,eff</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sSub>
                  <m:sSubPr>
                    <m:ctrlPr>
                      <w:rPr>
                        <w:rFonts w:ascii="Cambria Math" w:hAnsi="Cambria Math"/>
                      </w:rPr>
                    </m:ctrlPr>
                  </m:sSubPr>
                  <m:e>
                    <m:r>
                      <w:rPr>
                        <w:rFonts w:ascii="Cambria Math" w:hAnsi="Cambria Math"/>
                      </w:rPr>
                      <m:t>u</m:t>
                    </m:r>
                  </m:e>
                  <m:sub>
                    <m:r>
                      <w:rPr>
                        <w:rFonts w:ascii="Cambria Math" w:hAnsi="Cambria Math"/>
                      </w:rPr>
                      <m:t>m</m:t>
                    </m:r>
                    <m:r>
                      <m:rPr>
                        <m:sty m:val="p"/>
                      </m:rPr>
                      <w:rPr>
                        <w:rFonts w:ascii="Cambria Math" w:hAnsi="Cambria Math"/>
                      </w:rPr>
                      <m:t>,</m:t>
                    </m:r>
                    <m:r>
                      <w:rPr>
                        <w:rFonts w:ascii="Cambria Math" w:hAnsi="Cambria Math"/>
                      </w:rPr>
                      <m:t>i,eff</m:t>
                    </m:r>
                  </m:sub>
                </m:sSub>
                <m:r>
                  <w:rPr>
                    <w:rFonts w:ascii="Cambria Math" w:hAnsi="Cambria Math"/>
                  </w:rPr>
                  <m:t>F</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r>
                  <w:rPr>
                    <w:rFonts w:ascii="Cambria Math" w:hAnsi="Cambria Math"/>
                  </w:rPr>
                  <m:t>ϕ</m:t>
                </m:r>
              </m:oMath>
            </m:oMathPara>
          </w:p>
        </w:tc>
        <w:tc>
          <w:tcPr>
            <w:tcW w:w="350" w:type="pct"/>
            <w:vAlign w:val="center"/>
          </w:tcPr>
          <w:p w14:paraId="3D017211" w14:textId="1B111466" w:rsidR="002467B3" w:rsidRPr="003D6521" w:rsidRDefault="002467B3" w:rsidP="005F17E0">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6</w:t>
            </w:r>
            <w:r w:rsidRPr="003D6521">
              <w:rPr>
                <w:noProof/>
              </w:rPr>
              <w:fldChar w:fldCharType="end"/>
            </w:r>
            <w:r w:rsidRPr="003D6521">
              <w:t xml:space="preserve"> </w:t>
            </w:r>
            <w:r w:rsidRPr="003D6521">
              <w:rPr>
                <w:rFonts w:eastAsiaTheme="minorEastAsia"/>
              </w:rPr>
              <w:t>)</w:t>
            </w:r>
          </w:p>
        </w:tc>
      </w:tr>
    </w:tbl>
    <w:p w14:paraId="3B025E90" w14:textId="77777777" w:rsidR="002467B3" w:rsidRDefault="002467B3" w:rsidP="002467B3">
      <w:pPr>
        <w:pStyle w:val="Els-2ndorder-head"/>
        <w:widowControl/>
        <w:numPr>
          <w:ilvl w:val="1"/>
          <w:numId w:val="8"/>
        </w:numPr>
      </w:pPr>
      <w:r>
        <w:t>Boundary conditions</w:t>
      </w:r>
    </w:p>
    <w:p w14:paraId="64F27DF9" w14:textId="77777777" w:rsidR="002467B3" w:rsidRDefault="002467B3" w:rsidP="002467B3">
      <w:pPr>
        <w:pStyle w:val="Els-3rdorder-head"/>
        <w:widowControl/>
        <w:numPr>
          <w:ilvl w:val="2"/>
          <w:numId w:val="8"/>
        </w:numPr>
      </w:pPr>
      <w:r>
        <w:t>Two-dimensional model</w:t>
      </w:r>
    </w:p>
    <w:p w14:paraId="45D7941F" w14:textId="455CF489" w:rsidR="002467B3" w:rsidRPr="00FC37EF" w:rsidRDefault="002467B3" w:rsidP="002467B3">
      <w:pPr>
        <w:pStyle w:val="Els-body-text"/>
      </w:pPr>
      <w:r>
        <w:t xml:space="preserve">The boundary conditions used were largely the same as in our previous publication </w:t>
      </w:r>
      <w:r>
        <w:fldChar w:fldCharType="begin"/>
      </w:r>
      <w:r w:rsidR="005F17E0">
        <w:instrText xml:space="preserve"> ADDIN EN.CITE &lt;EndNote&gt;&lt;Cite&gt;&lt;Author&gt;Fraser&lt;/Author&gt;&lt;Year&gt;2020&lt;/Year&gt;&lt;RecNum&gt;417&lt;/RecNum&gt;&lt;DisplayText&gt;[13]&lt;/DisplayText&gt;&lt;record&gt;&lt;rec-number&gt;417&lt;/rec-number&gt;&lt;foreign-keys&gt;&lt;key app="EN" db-id="svvfd0xvz92p9cedzr4pv9au5p9safsedrar" timestamp="1593691803" guid="ea6a1a4a-7579-4f64-8891-698a8aafaf0c"&gt;417&lt;/key&gt;&lt;/foreign-keys&gt;&lt;ref-type name="Journal Article"&gt;17&lt;/ref-type&gt;&lt;contributors&gt;&lt;authors&gt;&lt;author&gt;Fraser, E J&lt;/author&gt;&lt;author&gt;Ranga Dinesh, K K J&lt;/author&gt;&lt;author&gt;Wills, R G A&lt;/author&gt;&lt;/authors&gt;&lt;/contributors&gt;&lt;titles&gt;&lt;title&gt;Development of a two-dimensional, moving mesh treatment for modelling the reaction chamber of the soluble lead flow battery as a function of state of charge for Pb and PbO2 deposition and dissolution&lt;/title&gt;&lt;secondary-title&gt;Journal of Energy Storage&lt;/secondary-title&gt;&lt;/titles&gt;&lt;periodical&gt;&lt;full-title&gt;Journal of Energy Storage&lt;/full-title&gt;&lt;/periodical&gt;&lt;pages&gt;101484&lt;/pages&gt;&lt;volume&gt;31&lt;/volume&gt;&lt;dates&gt;&lt;year&gt;2020&lt;/year&gt;&lt;/dates&gt;&lt;isbn&gt;2352-152X&lt;/isbn&gt;&lt;urls&gt;&lt;/urls&gt;&lt;/record&gt;&lt;/Cite&gt;&lt;/EndNote&gt;</w:instrText>
      </w:r>
      <w:r>
        <w:fldChar w:fldCharType="separate"/>
      </w:r>
      <w:r w:rsidR="005F17E0">
        <w:rPr>
          <w:noProof/>
        </w:rPr>
        <w:t>[13]</w:t>
      </w:r>
      <w:r>
        <w:fldChar w:fldCharType="end"/>
      </w:r>
      <w:r>
        <w:t>. But briefly, the following conditions were employed, Butler-Volmer equations for the kinetics, the Nernst equations to define the equilibrium potential, a constant parabolic velocity profile at the inlet, zero diffusion and current normal to the boundary and zero gauge pressure at the outlet, no-slip wall conditions, a negative electrode potential of 0 V and an average current density equal to the applied current density at the positive electrode.</w:t>
      </w:r>
    </w:p>
    <w:p w14:paraId="7A5A3ADB" w14:textId="73C2D2CE" w:rsidR="002467B3" w:rsidRPr="00235945" w:rsidRDefault="002467B3" w:rsidP="002467B3">
      <w:pPr>
        <w:pStyle w:val="Els-body-text"/>
      </w:pPr>
      <w:r>
        <w:t xml:space="preserve">As there are significant changes of concentration and potential </w:t>
      </w:r>
      <w:r w:rsidR="005F17E0">
        <w:t xml:space="preserve">at </w:t>
      </w:r>
      <w:r>
        <w:t>the membrane</w:t>
      </w:r>
      <w:r w:rsidR="005F17E0">
        <w:t xml:space="preserve"> boundaries</w:t>
      </w:r>
      <w:r>
        <w:t xml:space="preserve">, </w:t>
      </w:r>
      <w:proofErr w:type="spellStart"/>
      <w:r>
        <w:t>Donnan</w:t>
      </w:r>
      <w:proofErr w:type="spellEnd"/>
      <w:r>
        <w:t xml:space="preserve"> potentials may be used</w:t>
      </w:r>
      <w:r w:rsidR="005F17E0">
        <w:t xml:space="preserve"> to prevent the need for meshing on a nm scale</w:t>
      </w:r>
      <w:r>
        <w:t>. This gives two values for concentration and electrolyte potential at the membrane-electrolyte interface – one approaching from the electrolyte domain and another approaching from within the membrane, denoted by subscripts 1 and 2 respectively</w:t>
      </w:r>
      <w:r w:rsidR="005F17E0">
        <w:t xml:space="preserve"> </w:t>
      </w:r>
      <w:r w:rsidR="005F17E0">
        <w:fldChar w:fldCharType="begin"/>
      </w:r>
      <w:r w:rsidR="005F17E0">
        <w:instrText xml:space="preserve"> ADDIN EN.CITE &lt;EndNote&gt;&lt;Cite&gt;&lt;Author&gt;Knehr&lt;/Author&gt;&lt;Year&gt;2011&lt;/Year&gt;&lt;RecNum&gt;452&lt;/RecNum&gt;&lt;DisplayText&gt;[14]&lt;/DisplayText&gt;&lt;record&gt;&lt;rec-number&gt;452&lt;/rec-number&gt;&lt;foreign-keys&gt;&lt;key app="EN" db-id="svvfd0xvz92p9cedzr4pv9au5p9safsedrar" timestamp="1613058281"&gt;452&lt;/key&gt;&lt;/foreign-keys&gt;&lt;ref-type name="Journal Article"&gt;17&lt;/ref-type&gt;&lt;contributors&gt;&lt;authors&gt;&lt;author&gt;Knehr, KW&lt;/author&gt;&lt;author&gt;Kumbur, EC&lt;/author&gt;&lt;/authors&gt;&lt;/contributors&gt;&lt;titles&gt;&lt;title&gt;Open circuit voltage of vanadium redox flow batteries: Discrepancy between models and experiments&lt;/title&gt;&lt;secondary-title&gt;Electrochemistry Communications&lt;/secondary-title&gt;&lt;/titles&gt;&lt;periodical&gt;&lt;full-title&gt;Electrochemistry Communications&lt;/full-title&gt;&lt;/periodical&gt;&lt;pages&gt;342-345&lt;/pages&gt;&lt;volume&gt;13&lt;/volume&gt;&lt;number&gt;4&lt;/number&gt;&lt;dates&gt;&lt;year&gt;2011&lt;/year&gt;&lt;/dates&gt;&lt;isbn&gt;1388-2481&lt;/isbn&gt;&lt;urls&gt;&lt;/urls&gt;&lt;/record&gt;&lt;/Cite&gt;&lt;/EndNote&gt;</w:instrText>
      </w:r>
      <w:r w:rsidR="005F17E0">
        <w:fldChar w:fldCharType="separate"/>
      </w:r>
      <w:r w:rsidR="005F17E0">
        <w:rPr>
          <w:noProof/>
        </w:rPr>
        <w:t>[14]</w:t>
      </w:r>
      <w:r w:rsidR="005F17E0">
        <w:fldChar w:fldCharType="end"/>
      </w:r>
      <w:r>
        <w:t>. To do this, the electrochemical potentials for both conditions are set to be equal.</w:t>
      </w:r>
    </w:p>
    <w:tbl>
      <w:tblPr>
        <w:tblStyle w:val="TableGrid"/>
        <w:tblpPr w:leftFromText="181" w:rightFromText="181" w:topFromText="142" w:bottomFromText="142" w:vertAnchor="text" w:horzAnchor="margin" w:tblpY="314"/>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7952"/>
        <w:gridCol w:w="785"/>
      </w:tblGrid>
      <w:tr w:rsidR="005F17E0" w:rsidRPr="003D6521" w14:paraId="2EF4845C" w14:textId="77777777" w:rsidTr="005F17E0">
        <w:tc>
          <w:tcPr>
            <w:tcW w:w="315" w:type="pct"/>
          </w:tcPr>
          <w:p w14:paraId="2297641E" w14:textId="77777777" w:rsidR="005F17E0" w:rsidRPr="003D6521" w:rsidRDefault="005F17E0" w:rsidP="005F17E0"/>
        </w:tc>
        <w:tc>
          <w:tcPr>
            <w:tcW w:w="4264" w:type="pct"/>
          </w:tcPr>
          <w:p w14:paraId="24E8864D" w14:textId="77777777" w:rsidR="005F17E0" w:rsidRPr="003D6521" w:rsidRDefault="00F05333" w:rsidP="005F17E0">
            <w:pPr>
              <w:rPr>
                <w:rFonts w:eastAsiaTheme="minorEastAsia"/>
              </w:rPr>
            </w:pPr>
            <m:oMathPara>
              <m:oMath>
                <m:sSub>
                  <m:sSubPr>
                    <m:ctrlPr>
                      <w:rPr>
                        <w:rFonts w:ascii="Cambria Math" w:hAnsi="Cambria Math"/>
                      </w:rPr>
                    </m:ctrlPr>
                  </m:sSubPr>
                  <m:e>
                    <m:acc>
                      <m:accPr>
                        <m:chr m:val="̅"/>
                        <m:ctrlPr>
                          <w:rPr>
                            <w:rFonts w:ascii="Cambria Math" w:hAnsi="Cambria Math"/>
                            <w:i/>
                          </w:rPr>
                        </m:ctrlPr>
                      </m:accPr>
                      <m:e>
                        <m:r>
                          <w:rPr>
                            <w:rFonts w:ascii="Cambria Math" w:hAnsi="Cambria Math"/>
                          </w:rPr>
                          <m:t>μ</m:t>
                        </m:r>
                      </m:e>
                    </m:acc>
                  </m:e>
                  <m:sub>
                    <m:r>
                      <w:rPr>
                        <w:rFonts w:ascii="Cambria Math" w:hAnsi="Cambria Math"/>
                      </w:rPr>
                      <m:t>i,1</m:t>
                    </m:r>
                  </m:sub>
                </m:sSub>
                <m: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μ</m:t>
                        </m:r>
                      </m:e>
                    </m:acc>
                  </m:e>
                  <m:sub>
                    <m:r>
                      <w:rPr>
                        <w:rFonts w:ascii="Cambria Math" w:hAnsi="Cambria Math"/>
                      </w:rPr>
                      <m:t>i,2</m:t>
                    </m:r>
                  </m:sub>
                </m:sSub>
              </m:oMath>
            </m:oMathPara>
          </w:p>
        </w:tc>
        <w:tc>
          <w:tcPr>
            <w:tcW w:w="421" w:type="pct"/>
            <w:vAlign w:val="center"/>
          </w:tcPr>
          <w:p w14:paraId="077502AE" w14:textId="690C3048" w:rsidR="005F17E0" w:rsidRPr="003D6521" w:rsidRDefault="005F17E0" w:rsidP="005F17E0">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7</w:t>
            </w:r>
            <w:r w:rsidRPr="003D6521">
              <w:rPr>
                <w:noProof/>
              </w:rPr>
              <w:fldChar w:fldCharType="end"/>
            </w:r>
            <w:r w:rsidRPr="003D6521">
              <w:t xml:space="preserve"> </w:t>
            </w:r>
            <w:r w:rsidRPr="003D6521">
              <w:rPr>
                <w:rFonts w:eastAsiaTheme="minorEastAsia"/>
              </w:rPr>
              <w:t>)</w:t>
            </w:r>
          </w:p>
        </w:tc>
      </w:tr>
      <w:tr w:rsidR="005F17E0" w:rsidRPr="003D6521" w14:paraId="08872736" w14:textId="77777777" w:rsidTr="005F17E0">
        <w:tc>
          <w:tcPr>
            <w:tcW w:w="315" w:type="pct"/>
          </w:tcPr>
          <w:p w14:paraId="75868B45" w14:textId="77777777" w:rsidR="005F17E0" w:rsidRPr="003D6521" w:rsidRDefault="005F17E0" w:rsidP="005F17E0"/>
        </w:tc>
        <w:tc>
          <w:tcPr>
            <w:tcW w:w="4264" w:type="pct"/>
          </w:tcPr>
          <w:p w14:paraId="4599CBB4" w14:textId="77777777" w:rsidR="005F17E0" w:rsidRPr="003D6521" w:rsidRDefault="00F05333" w:rsidP="005F17E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i</m:t>
                    </m:r>
                  </m:sub>
                </m:sSub>
                <m:r>
                  <w:rPr>
                    <w:rFonts w:ascii="Cambria Math" w:hAnsi="Cambria Math"/>
                  </w:rPr>
                  <m:t>=RTln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num>
                      <m:den>
                        <m:sSub>
                          <m:sSubPr>
                            <m:ctrlPr>
                              <w:rPr>
                                <w:rFonts w:ascii="Cambria Math" w:hAnsi="Cambria Math"/>
                                <w:i/>
                              </w:rPr>
                            </m:ctrlPr>
                          </m:sSubPr>
                          <m:e>
                            <m:r>
                              <w:rPr>
                                <w:rFonts w:ascii="Cambria Math" w:hAnsi="Cambria Math"/>
                              </w:rPr>
                              <m:t>c</m:t>
                            </m:r>
                          </m:e>
                          <m:sub>
                            <m:r>
                              <w:rPr>
                                <w:rFonts w:ascii="Cambria Math" w:hAnsi="Cambria Math"/>
                              </w:rPr>
                              <m:t>i, ref</m:t>
                            </m:r>
                          </m:sub>
                        </m:sSub>
                      </m:den>
                    </m:f>
                  </m:e>
                </m:d>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l</m:t>
                    </m:r>
                  </m:sub>
                </m:sSub>
              </m:oMath>
            </m:oMathPara>
          </w:p>
        </w:tc>
        <w:tc>
          <w:tcPr>
            <w:tcW w:w="421" w:type="pct"/>
            <w:vAlign w:val="center"/>
          </w:tcPr>
          <w:p w14:paraId="38289920" w14:textId="6CC37B4D" w:rsidR="005F17E0" w:rsidRPr="003D6521" w:rsidRDefault="005F17E0" w:rsidP="005F17E0">
            <w:pPr>
              <w:jc w:val="center"/>
              <w:rPr>
                <w:rFonts w:eastAsiaTheme="minorEastAsia"/>
              </w:rP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8</w:t>
            </w:r>
            <w:r w:rsidRPr="003D6521">
              <w:rPr>
                <w:noProof/>
              </w:rPr>
              <w:fldChar w:fldCharType="end"/>
            </w:r>
            <w:r w:rsidRPr="003D6521">
              <w:t xml:space="preserve"> </w:t>
            </w:r>
            <w:r w:rsidRPr="003D6521">
              <w:rPr>
                <w:rFonts w:eastAsiaTheme="minorEastAsia"/>
              </w:rPr>
              <w:t>)</w:t>
            </w:r>
          </w:p>
        </w:tc>
      </w:tr>
      <w:tr w:rsidR="005F17E0" w:rsidRPr="003D6521" w14:paraId="0A28B506" w14:textId="77777777" w:rsidTr="005F17E0">
        <w:tc>
          <w:tcPr>
            <w:tcW w:w="315" w:type="pct"/>
          </w:tcPr>
          <w:p w14:paraId="43F7FA24" w14:textId="77777777" w:rsidR="005F17E0" w:rsidRPr="003D6521" w:rsidRDefault="005F17E0" w:rsidP="005F17E0"/>
        </w:tc>
        <w:tc>
          <w:tcPr>
            <w:tcW w:w="4264" w:type="pct"/>
          </w:tcPr>
          <w:p w14:paraId="1B440169" w14:textId="77777777" w:rsidR="005F17E0" w:rsidRPr="003D6521" w:rsidRDefault="00F05333" w:rsidP="005F17E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l,2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RT</m:t>
                    </m:r>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F</m:t>
                    </m:r>
                  </m:den>
                </m:f>
                <m: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i,2</m:t>
                            </m:r>
                          </m:sub>
                        </m:sSub>
                      </m:den>
                    </m:f>
                  </m:e>
                </m:d>
              </m:oMath>
            </m:oMathPara>
          </w:p>
        </w:tc>
        <w:tc>
          <w:tcPr>
            <w:tcW w:w="421" w:type="pct"/>
            <w:vAlign w:val="center"/>
          </w:tcPr>
          <w:p w14:paraId="1AF6D3D1" w14:textId="1AE08889" w:rsidR="005F17E0" w:rsidRPr="003D6521" w:rsidRDefault="005F17E0" w:rsidP="005F17E0">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9</w:t>
            </w:r>
            <w:r w:rsidRPr="003D6521">
              <w:rPr>
                <w:noProof/>
              </w:rPr>
              <w:fldChar w:fldCharType="end"/>
            </w:r>
            <w:r w:rsidRPr="003D6521">
              <w:t xml:space="preserve"> </w:t>
            </w:r>
            <w:r w:rsidRPr="003D6521">
              <w:rPr>
                <w:rFonts w:eastAsiaTheme="minorEastAsia"/>
              </w:rPr>
              <w:t>)</w:t>
            </w:r>
          </w:p>
        </w:tc>
      </w:tr>
    </w:tbl>
    <w:p w14:paraId="5A195CB2" w14:textId="77777777" w:rsidR="002467B3" w:rsidRDefault="002467B3" w:rsidP="002467B3">
      <w:pPr>
        <w:pStyle w:val="Els-body-text"/>
      </w:pPr>
      <w:r>
        <w:t xml:space="preserve">Where </w:t>
      </w:r>
      <m:oMath>
        <m:sSub>
          <m:sSubPr>
            <m:ctrlPr>
              <w:rPr>
                <w:rFonts w:ascii="Cambria Math" w:hAnsi="Cambria Math"/>
                <w:i/>
              </w:rPr>
            </m:ctrlPr>
          </m:sSubPr>
          <m:e>
            <m:acc>
              <m:accPr>
                <m:chr m:val="̅"/>
                <m:ctrlPr>
                  <w:rPr>
                    <w:rFonts w:ascii="Cambria Math" w:eastAsia="Times New Roman" w:hAnsi="Cambria Math"/>
                    <w:i/>
                    <w:lang w:eastAsia="zh-CN"/>
                  </w:rPr>
                </m:ctrlPr>
              </m:accPr>
              <m:e>
                <m:r>
                  <w:rPr>
                    <w:rFonts w:ascii="Cambria Math" w:hAnsi="Cambria Math"/>
                  </w:rPr>
                  <m:t>μ</m:t>
                </m:r>
              </m:e>
            </m:acc>
          </m:e>
          <m:sub>
            <m:r>
              <w:rPr>
                <w:rFonts w:ascii="Cambria Math" w:hAnsi="Cambria Math"/>
              </w:rPr>
              <m:t>i</m:t>
            </m:r>
          </m:sub>
        </m:sSub>
      </m:oMath>
      <w:r>
        <w:t xml:space="preserve"> is the electrochemical potential and </w:t>
      </w:r>
      <w:proofErr w:type="spellStart"/>
      <w:proofErr w:type="gramStart"/>
      <w:r w:rsidRPr="00732B24">
        <w:rPr>
          <w:rFonts w:ascii="Cambria Math" w:hAnsi="Cambria Math"/>
        </w:rPr>
        <w:t>c</w:t>
      </w:r>
      <w:r w:rsidRPr="00732B24">
        <w:rPr>
          <w:rFonts w:ascii="Cambria Math" w:hAnsi="Cambria Math"/>
          <w:vertAlign w:val="subscript"/>
        </w:rPr>
        <w:t>i,ref</w:t>
      </w:r>
      <w:proofErr w:type="spellEnd"/>
      <w:proofErr w:type="gramEnd"/>
      <w:r>
        <w:t xml:space="preserve"> is an arbitrary reference concentration.</w:t>
      </w:r>
    </w:p>
    <w:p w14:paraId="1A060B02" w14:textId="77777777" w:rsidR="002467B3" w:rsidRDefault="002467B3" w:rsidP="002467B3">
      <w:pPr>
        <w:pStyle w:val="Els-3rdorder-head"/>
        <w:widowControl/>
        <w:numPr>
          <w:ilvl w:val="2"/>
          <w:numId w:val="8"/>
        </w:numPr>
      </w:pPr>
      <w:r>
        <w:t>One-dimensional model</w:t>
      </w:r>
    </w:p>
    <w:p w14:paraId="74E1063E" w14:textId="77777777" w:rsidR="002467B3" w:rsidRPr="001B4AF5" w:rsidRDefault="002467B3" w:rsidP="002467B3">
      <w:pPr>
        <w:pStyle w:val="Els-body-text"/>
        <w:rPr>
          <w:lang w:val="en-GB"/>
        </w:rPr>
      </w:pPr>
      <w:r w:rsidRPr="001B4AF5">
        <w:rPr>
          <w:lang w:val="en-GB"/>
        </w:rPr>
        <w:t>The one-dimensional conductivity validation model used constant concentrations at both boundaries. Potentials at the boundaries were fixed, the boundary potential</w:t>
      </w:r>
      <w:r>
        <w:rPr>
          <w:lang w:val="en-GB"/>
        </w:rPr>
        <w:t>s were</w:t>
      </w:r>
      <w:r w:rsidRPr="001B4AF5">
        <w:rPr>
          <w:lang w:val="en-GB"/>
        </w:rPr>
        <w:t xml:space="preserve"> set to 0.1 V and 0 V</w:t>
      </w:r>
      <w:r>
        <w:rPr>
          <w:lang w:val="en-GB"/>
        </w:rPr>
        <w:t xml:space="preserve"> for the positive and negative respectively</w:t>
      </w:r>
      <w:r w:rsidRPr="001B4AF5">
        <w:rPr>
          <w:lang w:val="en-GB"/>
        </w:rPr>
        <w:t>.</w:t>
      </w:r>
    </w:p>
    <w:p w14:paraId="77B97367" w14:textId="192A05B2" w:rsidR="002467B3" w:rsidRPr="00D92F8C" w:rsidRDefault="002467B3" w:rsidP="002467B3">
      <w:pPr>
        <w:pStyle w:val="Els-body-text"/>
        <w:rPr>
          <w:lang w:val="en-GB"/>
        </w:rPr>
      </w:pPr>
      <w:r>
        <w:rPr>
          <w:lang w:val="en-GB"/>
        </w:rPr>
        <w:t>The one-dimensional</w:t>
      </w:r>
      <w:r w:rsidRPr="001B4AF5">
        <w:rPr>
          <w:lang w:val="en-GB"/>
        </w:rPr>
        <w:t xml:space="preserve"> model</w:t>
      </w:r>
      <w:r>
        <w:rPr>
          <w:lang w:val="en-GB"/>
        </w:rPr>
        <w:t xml:space="preserve"> for potential-drop across the membrane</w:t>
      </w:r>
      <w:r w:rsidRPr="001B4AF5">
        <w:rPr>
          <w:lang w:val="en-GB"/>
        </w:rPr>
        <w:t xml:space="preserve"> also used constant concentrations at each external boundary. A constant current was applied at the positive boundary and a potential of 0 V was ap</w:t>
      </w:r>
      <w:r>
        <w:rPr>
          <w:lang w:val="en-GB"/>
        </w:rPr>
        <w:t>plied to the negative boundary.</w:t>
      </w:r>
    </w:p>
    <w:p w14:paraId="208D326D" w14:textId="6A93280C" w:rsidR="002467B3" w:rsidRDefault="002467B3" w:rsidP="002467B3">
      <w:pPr>
        <w:pStyle w:val="Els-1storder-head"/>
        <w:widowControl/>
        <w:numPr>
          <w:ilvl w:val="0"/>
          <w:numId w:val="8"/>
        </w:numPr>
      </w:pPr>
      <w:r>
        <w:t>Numerical details</w:t>
      </w:r>
    </w:p>
    <w:p w14:paraId="63D44AC0" w14:textId="5F1E64C0" w:rsidR="002467B3" w:rsidRDefault="002467B3" w:rsidP="002467B3">
      <w:pPr>
        <w:pStyle w:val="Els-body-text"/>
      </w:pPr>
      <w:r>
        <w:t>The simulations were run using COMSOL Multiphysics 5.4. Transient simulations used a multifrontal massively parallel sparse direct solver (MUMPS) using backward differentiation formula (BDF) time-stepping and stationary simulations used a parallel direct solver (PARDISO). Default COMSOL values were used for both.</w:t>
      </w:r>
    </w:p>
    <w:p w14:paraId="624488B5" w14:textId="7787CEA6" w:rsidR="002467B3" w:rsidRPr="001B4AF5" w:rsidRDefault="002467B3" w:rsidP="002467B3">
      <w:pPr>
        <w:pStyle w:val="Els-body-text"/>
      </w:pPr>
      <w:r>
        <w:lastRenderedPageBreak/>
        <w:t xml:space="preserve">A rectangular mesh with 40 elements vertically by 10 elements horizontally for each electrolyte domain and 5 elements across the </w:t>
      </w:r>
      <w:r w:rsidR="007C36A5">
        <w:t>membrane domain's width</w:t>
      </w:r>
      <w:r>
        <w:t xml:space="preserve"> was used. A further 15 boundary layer elements at each electrode boundary and another 5 on the electrolyte side of each membrane-electrolyte boundary were used.</w:t>
      </w:r>
    </w:p>
    <w:p w14:paraId="7A3D633D" w14:textId="05FAB922" w:rsidR="002467B3" w:rsidRDefault="002467B3" w:rsidP="002467B3">
      <w:pPr>
        <w:pStyle w:val="Els-1storder-head"/>
        <w:widowControl/>
        <w:numPr>
          <w:ilvl w:val="0"/>
          <w:numId w:val="8"/>
        </w:numPr>
      </w:pPr>
      <w:r>
        <w:t>Results and discussion</w:t>
      </w:r>
    </w:p>
    <w:p w14:paraId="2015130C" w14:textId="2F0C0106" w:rsidR="002467B3" w:rsidRDefault="002467B3" w:rsidP="002467B3">
      <w:pPr>
        <w:pStyle w:val="Els-2ndorder-head"/>
        <w:widowControl/>
        <w:numPr>
          <w:ilvl w:val="1"/>
          <w:numId w:val="8"/>
        </w:numPr>
      </w:pPr>
      <w:r>
        <w:t>Model validation 1D model</w:t>
      </w:r>
    </w:p>
    <w:p w14:paraId="63887ECF" w14:textId="5968B714" w:rsidR="002467B3" w:rsidRDefault="002467B3" w:rsidP="002467B3">
      <w:pPr>
        <w:pStyle w:val="Els-body-text"/>
      </w:pPr>
      <w:r>
        <w:t>The simple Nernst-Einstein relation is commonly used to calculate the mobility of mobile ions in electrolytes. However, this gives a linear relationship for conductivity vs concentration</w:t>
      </w:r>
      <w:r w:rsidR="000C3AA4">
        <w:t xml:space="preserve">, as presented in </w:t>
      </w:r>
      <w:r w:rsidR="000C3AA4">
        <w:fldChar w:fldCharType="begin"/>
      </w:r>
      <w:r w:rsidR="000C3AA4">
        <w:instrText xml:space="preserve"> REF _Ref44500676 \h </w:instrText>
      </w:r>
      <w:r w:rsidR="000C3AA4">
        <w:fldChar w:fldCharType="separate"/>
      </w:r>
      <w:r w:rsidR="00E800B1">
        <w:t xml:space="preserve">Figure </w:t>
      </w:r>
      <w:r w:rsidR="00E800B1">
        <w:rPr>
          <w:noProof/>
        </w:rPr>
        <w:t>1</w:t>
      </w:r>
      <w:r w:rsidR="000C3AA4">
        <w:fldChar w:fldCharType="end"/>
      </w:r>
      <w:r w:rsidR="000C3AA4">
        <w:t>a</w:t>
      </w:r>
      <w:r>
        <w:t xml:space="preserve">. Krishna et al. have shown that this relationship is non-linear </w:t>
      </w:r>
      <w:r>
        <w:fldChar w:fldCharType="begin"/>
      </w:r>
      <w:r w:rsidR="005F17E0">
        <w:instrText xml:space="preserve"> ADDIN EN.CITE &lt;EndNote&gt;&lt;Cite&gt;&lt;Author&gt;Krishna&lt;/Author&gt;&lt;Year&gt;2017&lt;/Year&gt;&lt;RecNum&gt;291&lt;/RecNum&gt;&lt;DisplayText&gt;[15]&lt;/DisplayText&gt;&lt;record&gt;&lt;rec-number&gt;291&lt;/rec-number&gt;&lt;foreign-keys&gt;&lt;key app="EN" db-id="svvfd0xvz92p9cedzr4pv9au5p9safsedrar" timestamp="1499255289" guid="aaa0d2dd-5d0c-4477-9534-73327265e53b"&gt;291&lt;/key&gt;&lt;/foreign-keys&gt;&lt;ref-type name="Journal Article"&gt;17&lt;/ref-type&gt;&lt;contributors&gt;&lt;authors&gt;&lt;author&gt;Krishna, M&lt;/author&gt;&lt;author&gt;Wallis, LPJ&lt;/author&gt;&lt;author&gt;Wills, RGA&lt;/author&gt;&lt;author&gt;Hall, D&lt;/author&gt;&lt;author&gt;Shah, AA&lt;/author&gt;&lt;/authors&gt;&lt;/contributors&gt;&lt;titles&gt;&lt;title&gt;Measurement of key electrolyte properties for improved performance of the soluble lead flow battery&lt;/title&gt;&lt;secondary-title&gt;International Journal of Hydrogen Energy&lt;/secondary-title&gt;&lt;/titles&gt;&lt;periodical&gt;&lt;full-title&gt;International Journal of Hydrogen Energy&lt;/full-title&gt;&lt;/periodical&gt;&lt;pages&gt;18491-18498&lt;/pages&gt;&lt;volume&gt;42&lt;/volume&gt;&lt;number&gt;29&lt;/number&gt;&lt;dates&gt;&lt;year&gt;2017&lt;/year&gt;&lt;/dates&gt;&lt;isbn&gt;0360-3199&lt;/isbn&gt;&lt;urls&gt;&lt;/urls&gt;&lt;electronic-resource-num&gt;10.1016/j.ijhydene.2017.05.004&lt;/electronic-resource-num&gt;&lt;/record&gt;&lt;/Cite&gt;&lt;/EndNote&gt;</w:instrText>
      </w:r>
      <w:r>
        <w:fldChar w:fldCharType="separate"/>
      </w:r>
      <w:r w:rsidR="005F17E0">
        <w:rPr>
          <w:noProof/>
        </w:rPr>
        <w:t>[15]</w:t>
      </w:r>
      <w:r>
        <w:fldChar w:fldCharType="end"/>
      </w:r>
      <w:r>
        <w:t xml:space="preserve">. There is a positive correlation between conductivity and concentration at low concentrations and a negative correlation at higher concentrations. By using eq </w:t>
      </w:r>
      <w:r>
        <w:fldChar w:fldCharType="begin"/>
      </w:r>
      <w:r>
        <w:instrText xml:space="preserve"> REF _Ref44581160 \h  \* MERGEFORMAT </w:instrText>
      </w:r>
      <w:r>
        <w:fldChar w:fldCharType="separate"/>
      </w:r>
      <w:r w:rsidR="00E800B1" w:rsidRPr="003D6521">
        <w:rPr>
          <w:rFonts w:eastAsiaTheme="minorEastAsia"/>
        </w:rPr>
        <w:t>(</w:t>
      </w:r>
      <w:r w:rsidR="00E800B1" w:rsidRPr="003D6521">
        <w:t xml:space="preserve"> </w:t>
      </w:r>
      <w:r w:rsidR="00E800B1">
        <w:rPr>
          <w:noProof/>
        </w:rPr>
        <w:t>10</w:t>
      </w:r>
      <w:r w:rsidR="00E800B1" w:rsidRPr="003D6521">
        <w:t xml:space="preserve"> </w:t>
      </w:r>
      <w:r w:rsidR="00E800B1" w:rsidRPr="003D6521">
        <w:rPr>
          <w:rFonts w:eastAsiaTheme="minorEastAsia"/>
        </w:rPr>
        <w:t>)</w:t>
      </w:r>
      <w:r>
        <w:fldChar w:fldCharType="end"/>
      </w:r>
      <w:r>
        <w:t xml:space="preserve"> in place of the Nernst-Einstein equation, a much closer fit is achieved. The simulated conductivity </w:t>
      </w:r>
      <w:r w:rsidRPr="000639D7">
        <w:rPr>
          <w:i/>
          <w:iCs/>
        </w:rPr>
        <w:t>vs</w:t>
      </w:r>
      <w:r>
        <w:t xml:space="preserve"> concentration of H</w:t>
      </w:r>
      <w:r>
        <w:rPr>
          <w:vertAlign w:val="superscript"/>
        </w:rPr>
        <w:t>+</w:t>
      </w:r>
      <w:r w:rsidR="000C3AA4">
        <w:t xml:space="preserve"> and</w:t>
      </w:r>
      <w:r>
        <w:t xml:space="preserve"> Pb</w:t>
      </w:r>
      <w:r>
        <w:rPr>
          <w:vertAlign w:val="superscript"/>
        </w:rPr>
        <w:t>2+</w:t>
      </w:r>
      <w:r w:rsidR="000C3AA4">
        <w:rPr>
          <w:vertAlign w:val="superscript"/>
        </w:rPr>
        <w:t xml:space="preserve"> </w:t>
      </w:r>
      <w:r w:rsidR="000C3AA4">
        <w:t>in an electrolyte with a CH</w:t>
      </w:r>
      <w:r w:rsidR="000C3AA4">
        <w:rPr>
          <w:vertAlign w:val="subscript"/>
        </w:rPr>
        <w:t>3</w:t>
      </w:r>
      <w:r w:rsidR="000C3AA4">
        <w:t>SO</w:t>
      </w:r>
      <w:r w:rsidR="000C3AA4">
        <w:rPr>
          <w:vertAlign w:val="subscript"/>
        </w:rPr>
        <w:t>3</w:t>
      </w:r>
      <w:r w:rsidR="000C3AA4">
        <w:rPr>
          <w:vertAlign w:val="superscript"/>
        </w:rPr>
        <w:t>-</w:t>
      </w:r>
      <w:r w:rsidR="000C3AA4">
        <w:t xml:space="preserve"> counter ion</w:t>
      </w:r>
      <w:r>
        <w:t xml:space="preserve"> is shown against the experimental data gathered by Krishna et al. in </w:t>
      </w:r>
      <w:r>
        <w:fldChar w:fldCharType="begin"/>
      </w:r>
      <w:r>
        <w:instrText xml:space="preserve"> REF _Ref44500676 \h  \* MERGEFORMAT </w:instrText>
      </w:r>
      <w:r>
        <w:fldChar w:fldCharType="separate"/>
      </w:r>
      <w:r w:rsidR="00E800B1">
        <w:t xml:space="preserve">Figure </w:t>
      </w:r>
      <w:r w:rsidR="00E800B1">
        <w:rPr>
          <w:noProof/>
        </w:rPr>
        <w:t>1</w:t>
      </w:r>
      <w:r>
        <w:fldChar w:fldCharType="end"/>
      </w:r>
      <w:r w:rsidR="000C3AA4">
        <w:t>b</w:t>
      </w:r>
      <w:r>
        <w:t>. The model successfully predicts the complex, non-linear relationship between Pb</w:t>
      </w:r>
      <w:r w:rsidRPr="000639D7">
        <w:rPr>
          <w:vertAlign w:val="superscript"/>
        </w:rPr>
        <w:t>2+</w:t>
      </w:r>
      <w:r>
        <w:t xml:space="preserve"> ion concentration and conductivity of the electrolyte as a function of free acid concentration. The model closely matches the experimental data, with a maximum deviation of 22 mS cm</w:t>
      </w:r>
      <w:r w:rsidRPr="000639D7">
        <w:rPr>
          <w:vertAlign w:val="superscript"/>
        </w:rPr>
        <w:t>-</w:t>
      </w:r>
      <w:r>
        <w:rPr>
          <w:vertAlign w:val="superscript"/>
        </w:rPr>
        <w:t>1</w:t>
      </w:r>
      <w:r w:rsidR="000C3AA4">
        <w:rPr>
          <w:vertAlign w:val="superscript"/>
        </w:rPr>
        <w:t xml:space="preserve"> </w:t>
      </w:r>
      <w:r w:rsidR="000C3AA4">
        <w:t>and an R</w:t>
      </w:r>
      <w:r w:rsidR="000C3AA4">
        <w:rPr>
          <w:vertAlign w:val="superscript"/>
        </w:rPr>
        <w:t>2</w:t>
      </w:r>
      <w:r w:rsidR="000C3AA4">
        <w:t xml:space="preserve"> value of 0.985</w:t>
      </w:r>
      <w:r>
        <w:t>.</w:t>
      </w:r>
      <w:r w:rsidRPr="00A32020">
        <w:rPr>
          <w:noProof/>
          <w:lang w:val="en-GB"/>
        </w:rPr>
        <w:t xml:space="preserve"> </w:t>
      </w:r>
    </w:p>
    <w:p w14:paraId="0675C809" w14:textId="71A096A3" w:rsidR="002467B3" w:rsidRDefault="002467B3" w:rsidP="002467B3">
      <w:r>
        <w:t>Using a correction factor for the mobility derived from Kohlrausch's square-</w:t>
      </w:r>
      <w:proofErr w:type="spellStart"/>
      <w:r>
        <w:t>root</w:t>
      </w:r>
      <w:proofErr w:type="spellEnd"/>
      <w:r>
        <w:t xml:space="preserve"> law, mobility is defined as:</w:t>
      </w:r>
    </w:p>
    <w:tbl>
      <w:tblPr>
        <w:tblStyle w:val="TableGrid"/>
        <w:tblpPr w:leftFromText="181" w:rightFromText="181" w:topFromText="142" w:bottomFromText="142" w:vertAnchor="text" w:horzAnchor="margin" w:tblpY="27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7854"/>
        <w:gridCol w:w="819"/>
      </w:tblGrid>
      <w:tr w:rsidR="002467B3" w:rsidRPr="003D6521" w14:paraId="696FF32E" w14:textId="77777777" w:rsidTr="007C36A5">
        <w:tc>
          <w:tcPr>
            <w:tcW w:w="350" w:type="pct"/>
          </w:tcPr>
          <w:p w14:paraId="6F87A5E8" w14:textId="1064D618" w:rsidR="002467B3" w:rsidRPr="003D6521" w:rsidRDefault="002467B3" w:rsidP="007C36A5"/>
        </w:tc>
        <w:tc>
          <w:tcPr>
            <w:tcW w:w="4211" w:type="pct"/>
          </w:tcPr>
          <w:p w14:paraId="41F4AEAA" w14:textId="77777777" w:rsidR="002467B3" w:rsidRPr="003D6521" w:rsidRDefault="00F05333" w:rsidP="007C36A5">
            <w:pPr>
              <w:rPr>
                <w:rFonts w:eastAsiaTheme="minorEastAsia"/>
              </w:rPr>
            </w:pPr>
            <m:oMathPara>
              <m:oMath>
                <m:sSub>
                  <m:sSubPr>
                    <m:ctrlPr>
                      <w:rPr>
                        <w:rFonts w:ascii="Cambria Math" w:hAnsi="Cambria Math"/>
                      </w:rPr>
                    </m:ctrlPr>
                  </m:sSubPr>
                  <m:e>
                    <m:r>
                      <w:rPr>
                        <w:rFonts w:ascii="Cambria Math" w:hAnsi="Cambria Math"/>
                      </w:rPr>
                      <m:t>u</m:t>
                    </m:r>
                  </m:e>
                  <m:sub>
                    <m:r>
                      <w:rPr>
                        <w:rFonts w:ascii="Cambria Math" w:hAnsi="Cambria Math"/>
                      </w:rPr>
                      <m:t>m</m:t>
                    </m:r>
                    <m:r>
                      <m:rPr>
                        <m:sty m:val="p"/>
                      </m:rPr>
                      <w:rPr>
                        <w:rFonts w:ascii="Cambria Math" w:hAnsi="Cambria Math"/>
                      </w:rPr>
                      <m:t>,</m:t>
                    </m:r>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m:t>
                        </m:r>
                      </m:sub>
                    </m:sSub>
                  </m:num>
                  <m:den>
                    <m:r>
                      <w:rPr>
                        <w:rFonts w:ascii="Cambria Math" w:hAnsi="Cambria Math"/>
                      </w:rPr>
                      <m:t>RT</m:t>
                    </m:r>
                  </m:den>
                </m:f>
                <m:sSub>
                  <m:sSubPr>
                    <m:ctrlPr>
                      <w:rPr>
                        <w:rFonts w:ascii="Cambria Math" w:hAnsi="Cambria Math"/>
                        <w:i/>
                      </w:rPr>
                    </m:ctrlPr>
                  </m:sSubPr>
                  <m:e>
                    <m:r>
                      <w:rPr>
                        <w:rFonts w:ascii="Cambria Math" w:hAnsi="Cambria Math"/>
                      </w:rPr>
                      <m:t>γ</m:t>
                    </m:r>
                  </m:e>
                  <m:sub>
                    <m:r>
                      <w:rPr>
                        <w:rFonts w:ascii="Cambria Math" w:hAnsi="Cambria Math"/>
                      </w:rPr>
                      <m:t>corr</m:t>
                    </m:r>
                  </m:sub>
                </m:sSub>
              </m:oMath>
            </m:oMathPara>
          </w:p>
        </w:tc>
        <w:tc>
          <w:tcPr>
            <w:tcW w:w="439" w:type="pct"/>
            <w:vAlign w:val="center"/>
          </w:tcPr>
          <w:p w14:paraId="62DD937C" w14:textId="0B6300F0" w:rsidR="002467B3" w:rsidRPr="003D6521" w:rsidRDefault="002467B3" w:rsidP="007C36A5">
            <w:pPr>
              <w:jc w:val="center"/>
            </w:pPr>
            <w:bookmarkStart w:id="5" w:name="_Ref44581160"/>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10</w:t>
            </w:r>
            <w:r w:rsidRPr="003D6521">
              <w:rPr>
                <w:noProof/>
              </w:rPr>
              <w:fldChar w:fldCharType="end"/>
            </w:r>
            <w:r w:rsidRPr="003D6521">
              <w:t xml:space="preserve"> </w:t>
            </w:r>
            <w:r w:rsidRPr="003D6521">
              <w:rPr>
                <w:rFonts w:eastAsiaTheme="minorEastAsia"/>
              </w:rPr>
              <w:t>)</w:t>
            </w:r>
            <w:bookmarkEnd w:id="5"/>
          </w:p>
        </w:tc>
      </w:tr>
    </w:tbl>
    <w:p w14:paraId="06D12493" w14:textId="07EDB95C" w:rsidR="002467B3" w:rsidRDefault="002467B3" w:rsidP="002467B3">
      <w:pPr>
        <w:pStyle w:val="Els-body-text"/>
      </w:pPr>
      <w:proofErr w:type="spellStart"/>
      <w:r w:rsidRPr="000639D7">
        <w:rPr>
          <w:i/>
          <w:iCs/>
        </w:rPr>
        <w:t>γ</w:t>
      </w:r>
      <w:r w:rsidRPr="000639D7">
        <w:rPr>
          <w:i/>
          <w:iCs/>
          <w:vertAlign w:val="subscript"/>
        </w:rPr>
        <w:t>corr</w:t>
      </w:r>
      <w:proofErr w:type="spellEnd"/>
      <w:r>
        <w:t xml:space="preserve"> can be related to the activity coefficient, </w:t>
      </w:r>
      <w:proofErr w:type="spellStart"/>
      <w:r w:rsidRPr="000639D7">
        <w:rPr>
          <w:i/>
          <w:iCs/>
        </w:rPr>
        <w:t>γ</w:t>
      </w:r>
      <w:r w:rsidRPr="000639D7">
        <w:rPr>
          <w:i/>
          <w:iCs/>
          <w:vertAlign w:val="subscript"/>
        </w:rPr>
        <w:t>i</w:t>
      </w:r>
      <w:proofErr w:type="spellEnd"/>
      <w:r>
        <w:t>:</w:t>
      </w:r>
    </w:p>
    <w:tbl>
      <w:tblPr>
        <w:tblStyle w:val="TableGrid"/>
        <w:tblpPr w:leftFromText="181" w:rightFromText="181" w:topFromText="142" w:bottomFromText="142" w:vertAnchor="text" w:horzAnchor="margin" w:tblpY="31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7854"/>
        <w:gridCol w:w="819"/>
      </w:tblGrid>
      <w:tr w:rsidR="002467B3" w:rsidRPr="003D6521" w14:paraId="3271DC94" w14:textId="77777777" w:rsidTr="007C36A5">
        <w:tc>
          <w:tcPr>
            <w:tcW w:w="350" w:type="pct"/>
          </w:tcPr>
          <w:p w14:paraId="2074CE5B" w14:textId="4CF50674" w:rsidR="002467B3" w:rsidRPr="003D6521" w:rsidRDefault="002467B3" w:rsidP="007C36A5"/>
        </w:tc>
        <w:tc>
          <w:tcPr>
            <w:tcW w:w="4211" w:type="pct"/>
          </w:tcPr>
          <w:p w14:paraId="3C1D4051" w14:textId="77777777" w:rsidR="002467B3" w:rsidRPr="003D6521" w:rsidRDefault="00F05333" w:rsidP="007C36A5">
            <w:pPr>
              <w:rPr>
                <w:rFonts w:eastAsiaTheme="minorEastAsia"/>
              </w:rPr>
            </w:pPr>
            <m:oMathPara>
              <m:oMath>
                <m:sSub>
                  <m:sSubPr>
                    <m:ctrlPr>
                      <w:rPr>
                        <w:rFonts w:ascii="Cambria Math" w:hAnsi="Cambria Math"/>
                        <w:i/>
                      </w:rPr>
                    </m:ctrlPr>
                  </m:sSubPr>
                  <m:e>
                    <m:r>
                      <w:rPr>
                        <w:rFonts w:ascii="Cambria Math" w:hAnsi="Cambria Math"/>
                      </w:rPr>
                      <m:t>γ</m:t>
                    </m:r>
                  </m:e>
                  <m:sub>
                    <m:r>
                      <w:rPr>
                        <w:rFonts w:ascii="Cambria Math" w:hAnsi="Cambria Math"/>
                      </w:rPr>
                      <m:t>corr</m:t>
                    </m:r>
                  </m:sub>
                </m:sSub>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i</m:t>
                    </m:r>
                  </m:sub>
                  <m:sup>
                    <m:r>
                      <w:rPr>
                        <w:rFonts w:ascii="Cambria Math" w:hAnsi="Cambria Math"/>
                      </w:rPr>
                      <m:t>α</m:t>
                    </m:r>
                  </m:sup>
                </m:sSubSup>
                <m:r>
                  <w:rPr>
                    <w:rFonts w:ascii="Cambria Math" w:eastAsiaTheme="minorEastAsia" w:hAnsi="Cambria Math"/>
                  </w:rPr>
                  <m:t>,  α≈</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I</m:t>
                        </m:r>
                      </m:e>
                    </m:ra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d>
                  </m:den>
                </m:f>
              </m:oMath>
            </m:oMathPara>
          </w:p>
        </w:tc>
        <w:tc>
          <w:tcPr>
            <w:tcW w:w="439" w:type="pct"/>
            <w:vAlign w:val="center"/>
          </w:tcPr>
          <w:p w14:paraId="4939334D" w14:textId="1343EEB9" w:rsidR="002467B3" w:rsidRPr="003D6521" w:rsidRDefault="002467B3" w:rsidP="007C36A5">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11</w:t>
            </w:r>
            <w:r w:rsidRPr="003D6521">
              <w:rPr>
                <w:noProof/>
              </w:rPr>
              <w:fldChar w:fldCharType="end"/>
            </w:r>
            <w:r w:rsidRPr="003D6521">
              <w:t xml:space="preserve"> </w:t>
            </w:r>
            <w:r w:rsidRPr="003D6521">
              <w:rPr>
                <w:rFonts w:eastAsiaTheme="minorEastAsia"/>
              </w:rPr>
              <w:t>)</w:t>
            </w:r>
          </w:p>
        </w:tc>
      </w:tr>
    </w:tbl>
    <w:p w14:paraId="5527D7CE" w14:textId="18489005" w:rsidR="002467B3" w:rsidRDefault="002467B3" w:rsidP="002467B3">
      <w:pPr>
        <w:pStyle w:val="Els-body-text"/>
      </w:pPr>
      <w:r>
        <w:t xml:space="preserve"> </w:t>
      </w:r>
      <w:proofErr w:type="spellStart"/>
      <w:r w:rsidRPr="002A65C1">
        <w:t>γ</w:t>
      </w:r>
      <w:r>
        <w:rPr>
          <w:vertAlign w:val="subscript"/>
        </w:rPr>
        <w:t>i</w:t>
      </w:r>
      <w:proofErr w:type="spellEnd"/>
      <w:r w:rsidRPr="002A65C1">
        <w:t xml:space="preserve"> </w:t>
      </w:r>
      <w:r>
        <w:t xml:space="preserve">is calculated using a </w:t>
      </w:r>
      <w:r w:rsidRPr="002A65C1">
        <w:t xml:space="preserve">variation </w:t>
      </w:r>
      <w:r>
        <w:t>on the Debye-</w:t>
      </w:r>
      <w:proofErr w:type="spellStart"/>
      <w:r>
        <w:t>Hückel</w:t>
      </w:r>
      <w:proofErr w:type="spellEnd"/>
      <w:r>
        <w:t xml:space="preserve"> equations:</w:t>
      </w:r>
    </w:p>
    <w:tbl>
      <w:tblPr>
        <w:tblStyle w:val="TableGrid"/>
        <w:tblpPr w:leftFromText="181" w:rightFromText="181" w:topFromText="142" w:bottomFromText="142" w:vertAnchor="text" w:tblpY="19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7854"/>
        <w:gridCol w:w="819"/>
      </w:tblGrid>
      <w:tr w:rsidR="002467B3" w:rsidRPr="003D6521" w14:paraId="66C32F15" w14:textId="77777777" w:rsidTr="007C36A5">
        <w:tc>
          <w:tcPr>
            <w:tcW w:w="350" w:type="pct"/>
          </w:tcPr>
          <w:p w14:paraId="748EE2F5" w14:textId="2F014012" w:rsidR="002467B3" w:rsidRPr="003D6521" w:rsidRDefault="002467B3" w:rsidP="007C36A5"/>
        </w:tc>
        <w:tc>
          <w:tcPr>
            <w:tcW w:w="4211" w:type="pct"/>
          </w:tcPr>
          <w:p w14:paraId="28A5CB24" w14:textId="77777777" w:rsidR="002467B3" w:rsidRPr="003D6521" w:rsidRDefault="00F05333" w:rsidP="007C36A5">
            <w:pPr>
              <w:rPr>
                <w:rFonts w:eastAsiaTheme="minorEastAsia"/>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sSub>
                      <m:sSubPr>
                        <m:ctrlPr>
                          <w:rPr>
                            <w:rFonts w:ascii="Cambria Math" w:hAnsi="Cambria Math"/>
                            <w:i/>
                          </w:rPr>
                        </m:ctrlPr>
                      </m:sSubPr>
                      <m:e>
                        <m:r>
                          <w:rPr>
                            <w:rFonts w:ascii="Cambria Math" w:hAnsi="Cambria Math"/>
                          </w:rPr>
                          <m:t>γ</m:t>
                        </m:r>
                      </m:e>
                      <m:sub>
                        <m:r>
                          <w:rPr>
                            <w:rFonts w:ascii="Cambria Math" w:hAnsi="Cambria Math"/>
                          </w:rPr>
                          <m:t>i</m:t>
                        </m:r>
                      </m:sub>
                    </m:sSub>
                  </m:e>
                </m:func>
                <m:r>
                  <w:rPr>
                    <w:rFonts w:ascii="Cambria Math" w:hAnsi="Cambria Math"/>
                  </w:rPr>
                  <m:t>=-</m:t>
                </m:r>
                <m:f>
                  <m:fPr>
                    <m:ctrlPr>
                      <w:rPr>
                        <w:rFonts w:ascii="Cambria Math" w:hAnsi="Cambria Math"/>
                        <w:i/>
                      </w:rPr>
                    </m:ctrlPr>
                  </m:fPr>
                  <m:num>
                    <m:r>
                      <w:rPr>
                        <w:rFonts w:ascii="Cambria Math" w:hAnsi="Cambria Math"/>
                      </w:rPr>
                      <m:t>A</m:t>
                    </m:r>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rad>
                      <m:radPr>
                        <m:degHide m:val="1"/>
                        <m:ctrlPr>
                          <w:rPr>
                            <w:rFonts w:ascii="Cambria Math" w:hAnsi="Cambria Math"/>
                            <w:i/>
                          </w:rPr>
                        </m:ctrlPr>
                      </m:radPr>
                      <m:deg/>
                      <m:e>
                        <m:r>
                          <w:rPr>
                            <w:rFonts w:ascii="Cambria Math" w:hAnsi="Cambria Math"/>
                          </w:rPr>
                          <m:t>I</m:t>
                        </m:r>
                      </m:e>
                    </m:rad>
                  </m:num>
                  <m:den>
                    <m:r>
                      <w:rPr>
                        <w:rFonts w:ascii="Cambria Math" w:hAnsi="Cambria Math"/>
                      </w:rPr>
                      <m:t>1+B</m:t>
                    </m:r>
                    <m:sSub>
                      <m:sSubPr>
                        <m:ctrlPr>
                          <w:rPr>
                            <w:rFonts w:ascii="Cambria Math" w:hAnsi="Cambria Math"/>
                            <w:i/>
                          </w:rPr>
                        </m:ctrlPr>
                      </m:sSubPr>
                      <m:e>
                        <m:r>
                          <w:rPr>
                            <w:rFonts w:ascii="Cambria Math" w:hAnsi="Cambria Math"/>
                          </w:rPr>
                          <m:t>a</m:t>
                        </m:r>
                      </m:e>
                      <m:sub>
                        <m:r>
                          <w:rPr>
                            <w:rFonts w:ascii="Cambria Math" w:hAnsi="Cambria Math"/>
                          </w:rPr>
                          <m:t>0</m:t>
                        </m:r>
                      </m:sub>
                    </m:sSub>
                    <m:rad>
                      <m:radPr>
                        <m:degHide m:val="1"/>
                        <m:ctrlPr>
                          <w:rPr>
                            <w:rFonts w:ascii="Cambria Math" w:hAnsi="Cambria Math"/>
                            <w:i/>
                          </w:rPr>
                        </m:ctrlPr>
                      </m:radPr>
                      <m:deg/>
                      <m:e>
                        <m:r>
                          <w:rPr>
                            <w:rFonts w:ascii="Cambria Math" w:hAnsi="Cambria Math"/>
                          </w:rPr>
                          <m:t>I</m:t>
                        </m:r>
                      </m:e>
                    </m:rad>
                  </m:den>
                </m:f>
              </m:oMath>
            </m:oMathPara>
          </w:p>
        </w:tc>
        <w:tc>
          <w:tcPr>
            <w:tcW w:w="439" w:type="pct"/>
            <w:vAlign w:val="center"/>
          </w:tcPr>
          <w:p w14:paraId="7B6EDA8C" w14:textId="7F2F0097" w:rsidR="002467B3" w:rsidRPr="003D6521" w:rsidRDefault="002467B3" w:rsidP="007C36A5">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12</w:t>
            </w:r>
            <w:r w:rsidRPr="003D6521">
              <w:rPr>
                <w:noProof/>
              </w:rPr>
              <w:fldChar w:fldCharType="end"/>
            </w:r>
            <w:r w:rsidRPr="003D6521">
              <w:t xml:space="preserve"> </w:t>
            </w:r>
            <w:r w:rsidRPr="003D6521">
              <w:rPr>
                <w:rFonts w:eastAsiaTheme="minorEastAsia"/>
              </w:rPr>
              <w:t>)</w:t>
            </w:r>
          </w:p>
        </w:tc>
      </w:tr>
    </w:tbl>
    <w:p w14:paraId="68F22D24" w14:textId="421D6FD0" w:rsidR="002467B3" w:rsidRDefault="002467B3" w:rsidP="002467B3">
      <w:pPr>
        <w:pStyle w:val="Els-body-text"/>
      </w:pPr>
      <w:r>
        <w:t xml:space="preserve">A (0.51) and </w:t>
      </w:r>
      <w:proofErr w:type="gramStart"/>
      <w:r>
        <w:t>B(</w:t>
      </w:r>
      <w:proofErr w:type="gramEnd"/>
      <w:r>
        <w:t>3.29) are constants, a</w:t>
      </w:r>
      <w:r>
        <w:rPr>
          <w:vertAlign w:val="subscript"/>
        </w:rPr>
        <w:t xml:space="preserve">0 </w:t>
      </w:r>
      <w:r>
        <w:t xml:space="preserve">is an empirically fitted function with constants </w:t>
      </w:r>
      <w:proofErr w:type="spellStart"/>
      <w:r>
        <w:t>δ</w:t>
      </w:r>
      <w:r>
        <w:softHyphen/>
      </w:r>
      <w:r w:rsidRPr="004F19DD">
        <w:rPr>
          <w:vertAlign w:val="subscript"/>
        </w:rPr>
        <w:t>i</w:t>
      </w:r>
      <w:proofErr w:type="spellEnd"/>
      <w:r>
        <w:t xml:space="preserve"> (</w:t>
      </w:r>
      <w:proofErr w:type="spellStart"/>
      <w:r>
        <w:t>δ</w:t>
      </w:r>
      <w:r>
        <w:rPr>
          <w:vertAlign w:val="subscript"/>
        </w:rPr>
        <w:t>H</w:t>
      </w:r>
      <w:proofErr w:type="spellEnd"/>
      <w:r>
        <w:rPr>
          <w:vertAlign w:val="superscript"/>
        </w:rPr>
        <w:t>+</w:t>
      </w:r>
      <w:r>
        <w:t>=0.94331,</w:t>
      </w:r>
      <w:r w:rsidRPr="004F19DD">
        <w:t xml:space="preserve"> </w:t>
      </w:r>
      <w:r>
        <w:t>δ</w:t>
      </w:r>
      <w:r>
        <w:rPr>
          <w:vertAlign w:val="subscript"/>
        </w:rPr>
        <w:t>Pb</w:t>
      </w:r>
      <w:r>
        <w:rPr>
          <w:vertAlign w:val="superscript"/>
        </w:rPr>
        <w:t>2+</w:t>
      </w:r>
      <w:r>
        <w:t>=3.52243,</w:t>
      </w:r>
      <w:r w:rsidRPr="004F19DD">
        <w:t xml:space="preserve"> </w:t>
      </w:r>
      <w:r>
        <w:t>δ</w:t>
      </w:r>
      <w:r w:rsidRPr="004F19DD">
        <w:rPr>
          <w:vertAlign w:val="subscript"/>
        </w:rPr>
        <w:t>CH3SO3</w:t>
      </w:r>
      <w:r w:rsidRPr="004F19DD">
        <w:rPr>
          <w:vertAlign w:val="superscript"/>
        </w:rPr>
        <w:t>-</w:t>
      </w:r>
      <w:r>
        <w:t>=0.18444</w:t>
      </w:r>
      <w:r w:rsidRPr="004F19DD">
        <w:t>)</w:t>
      </w:r>
      <w:r>
        <w:t>, and I is the ionic strength:</w:t>
      </w:r>
    </w:p>
    <w:tbl>
      <w:tblPr>
        <w:tblStyle w:val="EGYR"/>
        <w:tblpPr w:leftFromText="181" w:rightFromText="181" w:topFromText="142" w:bottomFromText="142" w:vertAnchor="text" w:horzAnchor="margin" w:tblpY="291"/>
        <w:tblOverlap w:val="never"/>
        <w:tblW w:w="4989" w:type="pct"/>
        <w:tblLook w:val="04A0" w:firstRow="1" w:lastRow="0" w:firstColumn="1" w:lastColumn="0" w:noHBand="0" w:noVBand="1"/>
      </w:tblPr>
      <w:tblGrid>
        <w:gridCol w:w="648"/>
        <w:gridCol w:w="7857"/>
        <w:gridCol w:w="829"/>
      </w:tblGrid>
      <w:tr w:rsidR="002467B3" w:rsidRPr="003D6521" w14:paraId="360F2A08" w14:textId="77777777" w:rsidTr="007C36A5">
        <w:tc>
          <w:tcPr>
            <w:tcW w:w="347" w:type="pct"/>
          </w:tcPr>
          <w:p w14:paraId="2DBAA93A" w14:textId="77777777" w:rsidR="002467B3" w:rsidRPr="003D6521" w:rsidRDefault="002467B3" w:rsidP="007C36A5"/>
        </w:tc>
        <w:tc>
          <w:tcPr>
            <w:tcW w:w="4209" w:type="pct"/>
          </w:tcPr>
          <w:p w14:paraId="6CFAE62B" w14:textId="77777777" w:rsidR="002467B3" w:rsidRPr="003D6521" w:rsidRDefault="00F05333" w:rsidP="007C36A5">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up>
                </m:sSup>
              </m:oMath>
            </m:oMathPara>
          </w:p>
        </w:tc>
        <w:tc>
          <w:tcPr>
            <w:tcW w:w="444" w:type="pct"/>
          </w:tcPr>
          <w:p w14:paraId="705CE020" w14:textId="356AE3C6" w:rsidR="002467B3" w:rsidRPr="003D6521" w:rsidRDefault="002467B3" w:rsidP="007C36A5">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13</w:t>
            </w:r>
            <w:r w:rsidRPr="003D6521">
              <w:rPr>
                <w:noProof/>
              </w:rPr>
              <w:fldChar w:fldCharType="end"/>
            </w:r>
            <w:r w:rsidRPr="003D6521">
              <w:t xml:space="preserve"> </w:t>
            </w:r>
            <w:r w:rsidRPr="003D6521">
              <w:rPr>
                <w:rFonts w:eastAsiaTheme="minorEastAsia"/>
              </w:rPr>
              <w:t>)</w:t>
            </w:r>
          </w:p>
        </w:tc>
      </w:tr>
      <w:tr w:rsidR="002467B3" w:rsidRPr="003D6521" w14:paraId="061741F1" w14:textId="77777777" w:rsidTr="007C36A5">
        <w:tc>
          <w:tcPr>
            <w:tcW w:w="347" w:type="pct"/>
          </w:tcPr>
          <w:p w14:paraId="7ECC38DD" w14:textId="7D27CF58" w:rsidR="002467B3" w:rsidRPr="003D6521" w:rsidRDefault="002467B3" w:rsidP="007C36A5"/>
        </w:tc>
        <w:tc>
          <w:tcPr>
            <w:tcW w:w="4209" w:type="pct"/>
          </w:tcPr>
          <w:p w14:paraId="7BAE6CD2" w14:textId="77777777" w:rsidR="002467B3" w:rsidRPr="003D6521" w:rsidRDefault="002467B3" w:rsidP="007C36A5">
            <w:pPr>
              <w:rPr>
                <w:rFonts w:eastAsiaTheme="minorEastAsia"/>
              </w:rPr>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tc>
        <w:tc>
          <w:tcPr>
            <w:tcW w:w="444" w:type="pct"/>
          </w:tcPr>
          <w:p w14:paraId="6D919BEA" w14:textId="5EED2967" w:rsidR="002467B3" w:rsidRPr="003D6521" w:rsidRDefault="002467B3" w:rsidP="007C36A5">
            <w:pPr>
              <w:jc w:val="center"/>
            </w:pPr>
            <w:r w:rsidRPr="003D6521">
              <w:rPr>
                <w:rFonts w:eastAsiaTheme="minorEastAsia"/>
              </w:rPr>
              <w:t>(</w:t>
            </w:r>
            <w:r w:rsidRPr="003D6521">
              <w:t xml:space="preserve"> </w:t>
            </w:r>
            <w:r w:rsidRPr="003D6521">
              <w:fldChar w:fldCharType="begin"/>
            </w:r>
            <w:r w:rsidRPr="003D6521">
              <w:instrText xml:space="preserve"> SEQ Eq_( \* ARABIC </w:instrText>
            </w:r>
            <w:r w:rsidRPr="003D6521">
              <w:fldChar w:fldCharType="separate"/>
            </w:r>
            <w:r w:rsidR="00E800B1">
              <w:rPr>
                <w:noProof/>
              </w:rPr>
              <w:t>14</w:t>
            </w:r>
            <w:r w:rsidRPr="003D6521">
              <w:rPr>
                <w:noProof/>
              </w:rPr>
              <w:fldChar w:fldCharType="end"/>
            </w:r>
            <w:r w:rsidRPr="003D6521">
              <w:t xml:space="preserve"> </w:t>
            </w:r>
            <w:r w:rsidRPr="003D6521">
              <w:rPr>
                <w:rFonts w:eastAsiaTheme="minorEastAsia"/>
              </w:rPr>
              <w:t>)</w:t>
            </w:r>
          </w:p>
        </w:tc>
      </w:tr>
    </w:tbl>
    <w:p w14:paraId="2F64B951" w14:textId="0EC3DA28" w:rsidR="002467B3" w:rsidRDefault="007C36A5" w:rsidP="00C722F8">
      <w:pPr>
        <w:pStyle w:val="Els-body-text"/>
        <w:rPr>
          <w:noProof/>
        </w:rPr>
      </w:pPr>
      <w:r>
        <w:t>U</w:t>
      </w:r>
      <w:r w:rsidR="002467B3">
        <w:t xml:space="preserve">sing this method for calculating mobility in both the electrolyte and the membrane, it is possible to calculate the potential drop across the membrane. </w:t>
      </w:r>
      <w:r w:rsidR="00C722F8">
        <w:t>U</w:t>
      </w:r>
      <w:r w:rsidR="002467B3">
        <w:t>sing a Nafion 115 ion exchange membrane,</w:t>
      </w:r>
      <w:r w:rsidR="00344502">
        <w:t xml:space="preserve"> </w:t>
      </w:r>
      <w:r w:rsidR="00344502">
        <w:fldChar w:fldCharType="begin"/>
      </w:r>
      <w:r w:rsidR="00344502">
        <w:instrText xml:space="preserve"> REF _Ref63953090 \h </w:instrText>
      </w:r>
      <w:r w:rsidR="00344502">
        <w:fldChar w:fldCharType="separate"/>
      </w:r>
      <w:r w:rsidR="00E800B1">
        <w:t xml:space="preserve">Figure </w:t>
      </w:r>
      <w:r w:rsidR="00E800B1">
        <w:rPr>
          <w:noProof/>
        </w:rPr>
        <w:t>2</w:t>
      </w:r>
      <w:r w:rsidR="00344502">
        <w:fldChar w:fldCharType="end"/>
      </w:r>
      <w:r w:rsidR="00344502">
        <w:t xml:space="preserve"> </w:t>
      </w:r>
      <w:r w:rsidR="002467B3">
        <w:t xml:space="preserve">shows the experimental results gathered by Krishna et al. </w:t>
      </w:r>
      <w:r w:rsidR="002467B3">
        <w:fldChar w:fldCharType="begin"/>
      </w:r>
      <w:r w:rsidR="005F17E0">
        <w:instrText xml:space="preserve"> ADDIN EN.CITE &lt;EndNote&gt;&lt;Cite&gt;&lt;Author&gt;Krishna&lt;/Author&gt;&lt;Year&gt;2018&lt;/Year&gt;&lt;RecNum&gt;367&lt;/RecNum&gt;&lt;DisplayText&gt;[2]&lt;/DisplayText&gt;&lt;record&gt;&lt;rec-number&gt;367&lt;/rec-number&gt;&lt;foreign-keys&gt;&lt;key app="EN" db-id="svvfd0xvz92p9cedzr4pv9au5p9safsedrar" timestamp="1547135286" guid="6122021d-f1ab-40ad-bfeb-373b2a142eae"&gt;367&lt;/key&gt;&lt;/foreign-keys&gt;&lt;ref-type name="Journal Article"&gt;17&lt;/ref-type&gt;&lt;contributors&gt;&lt;authors&gt;&lt;author&gt;Krishna, M&lt;/author&gt;&lt;author&gt;Wills, RGA&lt;/author&gt;&lt;author&gt;Shah, AA&lt;/author&gt;&lt;author&gt;Hall, D&lt;/author&gt;&lt;author&gt;Collins, J&lt;/author&gt;&lt;/authors&gt;&lt;/contributors&gt;&lt;titles&gt;&lt;title&gt;The separator-divided soluble lead flow battery&lt;/title&gt;&lt;secondary-title&gt;Journal of Applied Electrochemistry&lt;/secondary-title&gt;&lt;/titles&gt;&lt;periodical&gt;&lt;full-title&gt;Journal of Applied Electrochemistry&lt;/full-title&gt;&lt;/periodical&gt;&lt;pages&gt;1031-1041&lt;/pages&gt;&lt;volume&gt;48&lt;/volume&gt;&lt;number&gt;9&lt;/number&gt;&lt;dates&gt;&lt;year&gt;2018&lt;/year&gt;&lt;/dates&gt;&lt;isbn&gt;0021-891X&lt;/isbn&gt;&lt;urls&gt;&lt;/urls&gt;&lt;/record&gt;&lt;/Cite&gt;&lt;/EndNote&gt;</w:instrText>
      </w:r>
      <w:r w:rsidR="002467B3">
        <w:fldChar w:fldCharType="separate"/>
      </w:r>
      <w:r w:rsidR="005F17E0">
        <w:rPr>
          <w:noProof/>
        </w:rPr>
        <w:t>[2]</w:t>
      </w:r>
      <w:r w:rsidR="002467B3">
        <w:fldChar w:fldCharType="end"/>
      </w:r>
      <w:r w:rsidR="002467B3">
        <w:t>, the results by simulating the same technique they used and the simulated potential drop between boundaries at different electrolyte concentrations simulating different Pb</w:t>
      </w:r>
      <w:r w:rsidR="002467B3">
        <w:rPr>
          <w:vertAlign w:val="superscript"/>
        </w:rPr>
        <w:t>2+</w:t>
      </w:r>
      <w:r w:rsidR="002467B3">
        <w:t xml:space="preserve"> </w:t>
      </w:r>
      <w:proofErr w:type="spellStart"/>
      <w:r w:rsidR="002467B3">
        <w:t>utilisations</w:t>
      </w:r>
      <w:proofErr w:type="spellEnd"/>
      <w:r w:rsidR="002467B3">
        <w:t xml:space="preserve">. </w:t>
      </w:r>
      <w:r w:rsidR="005F17E0">
        <w:t>A</w:t>
      </w:r>
      <w:r w:rsidR="002467B3">
        <w:t xml:space="preserve"> reasonable match is found</w:t>
      </w:r>
      <w:r w:rsidR="005F17E0">
        <w:t xml:space="preserve"> with R</w:t>
      </w:r>
      <w:r w:rsidR="005F17E0">
        <w:rPr>
          <w:vertAlign w:val="superscript"/>
        </w:rPr>
        <w:t>2</w:t>
      </w:r>
      <w:r w:rsidR="005F17E0">
        <w:t xml:space="preserve"> values of 0.705 and 0.751</w:t>
      </w:r>
      <w:r w:rsidR="002467B3">
        <w:t>.</w:t>
      </w:r>
    </w:p>
    <w:p w14:paraId="462624A1" w14:textId="4FD2C1FB" w:rsidR="002467B3" w:rsidRDefault="002467B3" w:rsidP="002467B3">
      <w:pPr>
        <w:pStyle w:val="Els-body-text"/>
      </w:pPr>
      <w:r>
        <w:t xml:space="preserve">The concentration distributions across the membrane domain and electrolyte domains which extend 2 mm to either </w:t>
      </w:r>
      <w:r w:rsidR="009D5B4B">
        <w:rPr>
          <w:noProof/>
        </w:rPr>
        <w:lastRenderedPageBreak/>
        <mc:AlternateContent>
          <mc:Choice Requires="wpg">
            <w:drawing>
              <wp:anchor distT="0" distB="0" distL="114300" distR="114300" simplePos="0" relativeHeight="251669504" behindDoc="0" locked="0" layoutInCell="1" allowOverlap="1" wp14:anchorId="7E7441FE" wp14:editId="3F3A199E">
                <wp:simplePos x="0" y="0"/>
                <wp:positionH relativeFrom="column">
                  <wp:posOffset>-8350</wp:posOffset>
                </wp:positionH>
                <wp:positionV relativeFrom="paragraph">
                  <wp:posOffset>503</wp:posOffset>
                </wp:positionV>
                <wp:extent cx="5949949" cy="2712084"/>
                <wp:effectExtent l="0" t="0" r="0" b="0"/>
                <wp:wrapTopAndBottom/>
                <wp:docPr id="19" name="Group 19"/>
                <wp:cNvGraphicFramePr/>
                <a:graphic xmlns:a="http://schemas.openxmlformats.org/drawingml/2006/main">
                  <a:graphicData uri="http://schemas.microsoft.com/office/word/2010/wordprocessingGroup">
                    <wpg:wgp>
                      <wpg:cNvGrpSpPr/>
                      <wpg:grpSpPr>
                        <a:xfrm>
                          <a:off x="0" y="0"/>
                          <a:ext cx="5949949" cy="2712084"/>
                          <a:chOff x="0" y="0"/>
                          <a:chExt cx="5949949" cy="2712084"/>
                        </a:xfrm>
                      </wpg:grpSpPr>
                      <wps:wsp>
                        <wps:cNvPr id="53" name="Text Box 2"/>
                        <wps:cNvSpPr txBox="1">
                          <a:spLocks noChangeArrowheads="1"/>
                        </wps:cNvSpPr>
                        <wps:spPr bwMode="auto">
                          <a:xfrm>
                            <a:off x="0" y="0"/>
                            <a:ext cx="5949949" cy="2712084"/>
                          </a:xfrm>
                          <a:prstGeom prst="rect">
                            <a:avLst/>
                          </a:prstGeom>
                          <a:noFill/>
                          <a:ln w="9525">
                            <a:noFill/>
                            <a:miter lim="800000"/>
                            <a:headEnd/>
                            <a:tailEnd/>
                          </a:ln>
                        </wps:spPr>
                        <wps:txbx>
                          <w:txbxContent>
                            <w:p w14:paraId="05F182AD" w14:textId="2AF8CF1F" w:rsidR="005F17E0" w:rsidRDefault="005F17E0" w:rsidP="002467B3">
                              <w:r w:rsidRPr="005E440A">
                                <w:rPr>
                                  <w:noProof/>
                                </w:rPr>
                                <w:drawing>
                                  <wp:inline distT="0" distB="0" distL="0" distR="0" wp14:anchorId="7EB6F800" wp14:editId="262EA3B7">
                                    <wp:extent cx="5750560" cy="208251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750560" cy="2082519"/>
                                            </a:xfrm>
                                            <a:prstGeom prst="rect">
                                              <a:avLst/>
                                            </a:prstGeom>
                                            <a:noFill/>
                                            <a:ln>
                                              <a:noFill/>
                                            </a:ln>
                                          </pic:spPr>
                                        </pic:pic>
                                      </a:graphicData>
                                    </a:graphic>
                                  </wp:inline>
                                </w:drawing>
                              </w:r>
                            </w:p>
                            <w:p w14:paraId="1D2EEB7C" w14:textId="7F2F9477" w:rsidR="005F17E0" w:rsidRDefault="005F17E0" w:rsidP="002467B3">
                              <w:pPr>
                                <w:pStyle w:val="Els-caption"/>
                              </w:pPr>
                              <w:bookmarkStart w:id="6" w:name="_Ref44500676"/>
                              <w:r>
                                <w:t xml:space="preserve">Figure </w:t>
                              </w:r>
                              <w:fldSimple w:instr=" SEQ Figure \* ARABIC ">
                                <w:r w:rsidR="00E800B1">
                                  <w:rPr>
                                    <w:noProof/>
                                  </w:rPr>
                                  <w:t>1</w:t>
                                </w:r>
                              </w:fldSimple>
                              <w:bookmarkEnd w:id="6"/>
                              <w:r>
                                <w:t>: Simulated and experimental electrolyte conductivity vs concentration of Pb</w:t>
                              </w:r>
                              <w:r w:rsidRPr="000639D7">
                                <w:rPr>
                                  <w:vertAlign w:val="superscript"/>
                                </w:rPr>
                                <w:t>2+</w:t>
                              </w:r>
                              <w:r>
                                <w:t xml:space="preserve"> and H</w:t>
                              </w:r>
                              <w:r w:rsidRPr="000639D7">
                                <w:rPr>
                                  <w:vertAlign w:val="superscript"/>
                                </w:rPr>
                                <w:t>+</w:t>
                              </w:r>
                              <w:r>
                                <w:t xml:space="preserve"> ions. </w:t>
                              </w:r>
                              <w:r>
                                <w:rPr>
                                  <w:noProof/>
                                </w:rPr>
                                <w:t xml:space="preserve"> (a) shows the conductivity calculated using the modified equation for mobility and (b) shows the conductivity using the simple Nernst-Einstein equation. Experimental data from [15].</w:t>
                              </w:r>
                            </w:p>
                            <w:p w14:paraId="43B10C08" w14:textId="77777777" w:rsidR="005F17E0" w:rsidRDefault="005F17E0"/>
                          </w:txbxContent>
                        </wps:txbx>
                        <wps:bodyPr rot="0" vert="horz" wrap="none" lIns="91440" tIns="45720" rIns="91440" bIns="45720" anchor="t" anchorCtr="0">
                          <a:noAutofit/>
                        </wps:bodyPr>
                      </wps:wsp>
                      <wpg:grpSp>
                        <wpg:cNvPr id="13" name="Group 13"/>
                        <wpg:cNvGrpSpPr/>
                        <wpg:grpSpPr>
                          <a:xfrm>
                            <a:off x="2415581" y="185813"/>
                            <a:ext cx="1314450" cy="263525"/>
                            <a:chOff x="0" y="0"/>
                            <a:chExt cx="1314836" cy="264052"/>
                          </a:xfrm>
                        </wpg:grpSpPr>
                        <wps:wsp>
                          <wps:cNvPr id="5" name="Text Box 5"/>
                          <wps:cNvSpPr txBox="1"/>
                          <wps:spPr>
                            <a:xfrm>
                              <a:off x="0" y="4890"/>
                              <a:ext cx="380877" cy="259162"/>
                            </a:xfrm>
                            <a:prstGeom prst="rect">
                              <a:avLst/>
                            </a:prstGeom>
                            <a:noFill/>
                            <a:ln w="6350">
                              <a:noFill/>
                            </a:ln>
                          </wps:spPr>
                          <wps:txbx>
                            <w:txbxContent>
                              <w:p w14:paraId="4A95ED35" w14:textId="37A73D22" w:rsidR="009D5B4B" w:rsidRDefault="009D5B4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33959" y="0"/>
                              <a:ext cx="380877" cy="259162"/>
                            </a:xfrm>
                            <a:prstGeom prst="rect">
                              <a:avLst/>
                            </a:prstGeom>
                            <a:noFill/>
                            <a:ln w="6350">
                              <a:noFill/>
                            </a:ln>
                          </wps:spPr>
                          <wps:txbx>
                            <w:txbxContent>
                              <w:p w14:paraId="74504C15" w14:textId="5BD1368D" w:rsidR="009D5B4B" w:rsidRDefault="009D5B4B" w:rsidP="009D5B4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E7441FE" id="Group 19" o:spid="_x0000_s1026" style="position:absolute;left:0;text-align:left;margin-left:-.65pt;margin-top:.05pt;width:468.5pt;height:213.55pt;z-index:251669504" coordsize="59499,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">
                <v:shapetype id="_x0000_t202" coordsize="21600,21600" o:spt="202" path="m,l,21600r21600,l21600,xe">
                  <v:stroke joinstyle="miter"/>
                  <v:path gradientshapeok="t" o:connecttype="rect"/>
                </v:shapetype>
                <v:shape id="Text Box 2" o:spid="_x0000_s1027" type="#_x0000_t202" style="position:absolute;width:59499;height:27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" filled="f" stroked="f">
                  <v:textbox>
                    <w:txbxContent>
                      <w:p w14:paraId="05F182AD" w14:textId="2AF8CF1F" w:rsidR="005F17E0" w:rsidRDefault="005F17E0" w:rsidP="002467B3">
                        <w:r w:rsidRPr="005E440A">
                          <w:rPr>
                            <w:noProof/>
                          </w:rPr>
                          <w:drawing>
                            <wp:inline distT="0" distB="0" distL="0" distR="0" wp14:anchorId="7EB6F800" wp14:editId="262EA3B7">
                              <wp:extent cx="5750560" cy="208251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750560" cy="2082519"/>
                                      </a:xfrm>
                                      <a:prstGeom prst="rect">
                                        <a:avLst/>
                                      </a:prstGeom>
                                      <a:noFill/>
                                      <a:ln>
                                        <a:noFill/>
                                      </a:ln>
                                    </pic:spPr>
                                  </pic:pic>
                                </a:graphicData>
                              </a:graphic>
                            </wp:inline>
                          </w:drawing>
                        </w:r>
                      </w:p>
                      <w:p w14:paraId="1D2EEB7C" w14:textId="7F2F9477" w:rsidR="005F17E0" w:rsidRDefault="005F17E0" w:rsidP="002467B3">
                        <w:pPr>
                          <w:pStyle w:val="Els-caption"/>
                        </w:pPr>
                        <w:bookmarkStart w:id="7" w:name="_Ref44500676"/>
                        <w:r>
                          <w:t xml:space="preserve">Figure </w:t>
                        </w:r>
                        <w:fldSimple w:instr=" SEQ Figure \* ARABIC ">
                          <w:r w:rsidR="00E800B1">
                            <w:rPr>
                              <w:noProof/>
                            </w:rPr>
                            <w:t>1</w:t>
                          </w:r>
                        </w:fldSimple>
                        <w:bookmarkEnd w:id="7"/>
                        <w:r>
                          <w:t>: Simulated and experimental electrolyte conductivity vs concentration of Pb</w:t>
                        </w:r>
                        <w:r w:rsidRPr="000639D7">
                          <w:rPr>
                            <w:vertAlign w:val="superscript"/>
                          </w:rPr>
                          <w:t>2+</w:t>
                        </w:r>
                        <w:r>
                          <w:t xml:space="preserve"> and H</w:t>
                        </w:r>
                        <w:r w:rsidRPr="000639D7">
                          <w:rPr>
                            <w:vertAlign w:val="superscript"/>
                          </w:rPr>
                          <w:t>+</w:t>
                        </w:r>
                        <w:r>
                          <w:t xml:space="preserve"> ions. </w:t>
                        </w:r>
                        <w:r>
                          <w:rPr>
                            <w:noProof/>
                          </w:rPr>
                          <w:t xml:space="preserve"> (a) shows the conductivity calculated using the modified equation for mobility and (b) shows the conductivity using the simple Nernst-Einstein equation. Experimental data from [15].</w:t>
                        </w:r>
                      </w:p>
                      <w:p w14:paraId="43B10C08" w14:textId="77777777" w:rsidR="005F17E0" w:rsidRDefault="005F17E0"/>
                    </w:txbxContent>
                  </v:textbox>
                </v:shape>
                <v:group id="Group 13" o:spid="_x0000_s1028" style="position:absolute;left:24155;top:1858;width:13145;height:2635" coordsize="13148,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 o:spid="_x0000_s1029" type="#_x0000_t202" style="position:absolute;top:48;width:3808;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A95ED35" w14:textId="37A73D22" w:rsidR="009D5B4B" w:rsidRDefault="009D5B4B">
                          <w:r>
                            <w:t>(a)</w:t>
                          </w:r>
                        </w:p>
                      </w:txbxContent>
                    </v:textbox>
                  </v:shape>
                  <v:shape id="Text Box 10" o:spid="_x0000_s1030" type="#_x0000_t202" style="position:absolute;left:9339;width:380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4504C15" w14:textId="5BD1368D" w:rsidR="009D5B4B" w:rsidRDefault="009D5B4B" w:rsidP="009D5B4B">
                          <w:r>
                            <w:t>(b)</w:t>
                          </w:r>
                        </w:p>
                      </w:txbxContent>
                    </v:textbox>
                  </v:shape>
                </v:group>
                <w10:wrap type="topAndBottom"/>
              </v:group>
            </w:pict>
          </mc:Fallback>
        </mc:AlternateContent>
      </w:r>
      <w:r>
        <w:t xml:space="preserve">side of the membrane, displayed in </w:t>
      </w:r>
      <w:r>
        <w:fldChar w:fldCharType="begin"/>
      </w:r>
      <w:r>
        <w:instrText xml:space="preserve"> REF _Ref51087419 \h </w:instrText>
      </w:r>
      <w:r>
        <w:fldChar w:fldCharType="separate"/>
      </w:r>
      <w:r w:rsidR="00E800B1">
        <w:t xml:space="preserve">Figure </w:t>
      </w:r>
      <w:r w:rsidR="00E800B1">
        <w:rPr>
          <w:noProof/>
        </w:rPr>
        <w:t>3</w:t>
      </w:r>
      <w:r>
        <w:fldChar w:fldCharType="end"/>
      </w:r>
      <w:r>
        <w:t xml:space="preserve">, show the majority of the potential drop across the membrane is due to the resistance of the membrane. </w:t>
      </w:r>
    </w:p>
    <w:p w14:paraId="405803EA" w14:textId="5FE2EE46" w:rsidR="002467B3" w:rsidRDefault="002467B3" w:rsidP="002467B3">
      <w:pPr>
        <w:pStyle w:val="Els-2ndorder-head"/>
        <w:widowControl/>
        <w:numPr>
          <w:ilvl w:val="1"/>
          <w:numId w:val="8"/>
        </w:numPr>
      </w:pPr>
      <w:r>
        <w:t>Divided cell 2D model</w:t>
      </w:r>
    </w:p>
    <w:p w14:paraId="51FC5206" w14:textId="206215DD" w:rsidR="002467B3" w:rsidRPr="00344502" w:rsidRDefault="00344502" w:rsidP="00344502">
      <w:pPr>
        <w:pStyle w:val="Els-body-text"/>
        <w:rPr>
          <w:sz w:val="16"/>
        </w:rPr>
      </w:pPr>
      <w:r>
        <w:rPr>
          <w:noProof/>
        </w:rPr>
        <mc:AlternateContent>
          <mc:Choice Requires="wpg">
            <w:drawing>
              <wp:anchor distT="0" distB="0" distL="114300" distR="114300" simplePos="0" relativeHeight="251664384" behindDoc="0" locked="0" layoutInCell="1" allowOverlap="1" wp14:anchorId="07CDF61E" wp14:editId="5C5AF653">
                <wp:simplePos x="0" y="0"/>
                <wp:positionH relativeFrom="page">
                  <wp:align>center</wp:align>
                </wp:positionH>
                <wp:positionV relativeFrom="paragraph">
                  <wp:posOffset>1603401</wp:posOffset>
                </wp:positionV>
                <wp:extent cx="5942330" cy="265176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942330" cy="2651760"/>
                          <a:chOff x="0" y="0"/>
                          <a:chExt cx="5942330" cy="2651760"/>
                        </a:xfrm>
                      </wpg:grpSpPr>
                      <wps:wsp>
                        <wps:cNvPr id="55" name="Text Box 2"/>
                        <wps:cNvSpPr txBox="1">
                          <a:spLocks noChangeArrowheads="1"/>
                        </wps:cNvSpPr>
                        <wps:spPr bwMode="auto">
                          <a:xfrm>
                            <a:off x="0" y="0"/>
                            <a:ext cx="5942330" cy="2651760"/>
                          </a:xfrm>
                          <a:prstGeom prst="rect">
                            <a:avLst/>
                          </a:prstGeom>
                          <a:noFill/>
                          <a:ln w="9525">
                            <a:noFill/>
                            <a:miter lim="800000"/>
                            <a:headEnd/>
                            <a:tailEnd/>
                          </a:ln>
                        </wps:spPr>
                        <wps:txbx>
                          <w:txbxContent>
                            <w:p w14:paraId="164D81B3" w14:textId="77777777" w:rsidR="005F17E0" w:rsidRDefault="005F17E0" w:rsidP="002467B3">
                              <w:pPr>
                                <w:pStyle w:val="Els-caption"/>
                                <w:spacing w:before="0" w:after="0" w:line="240" w:lineRule="atLeast"/>
                              </w:pPr>
                              <w:bookmarkStart w:id="8" w:name="_Ref44512309"/>
                              <w:r>
                                <w:rPr>
                                  <w:noProof/>
                                  <w:lang w:val="en-GB"/>
                                </w:rPr>
                                <w:drawing>
                                  <wp:inline distT="0" distB="0" distL="0" distR="0" wp14:anchorId="1471C3B4" wp14:editId="46081DEB">
                                    <wp:extent cx="2880541" cy="2070735"/>
                                    <wp:effectExtent l="0" t="0" r="0" b="571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883512" cy="2072871"/>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rPr>
                                <w:drawing>
                                  <wp:inline distT="0" distB="0" distL="0" distR="0" wp14:anchorId="64FE0696" wp14:editId="374127C6">
                                    <wp:extent cx="2805780" cy="2067560"/>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09753" cy="2070488"/>
                                            </a:xfrm>
                                            <a:prstGeom prst="rect">
                                              <a:avLst/>
                                            </a:prstGeom>
                                            <a:ln>
                                              <a:noFill/>
                                            </a:ln>
                                            <a:extLst>
                                              <a:ext uri="{53640926-AAD7-44D8-BBD7-CCE9431645EC}">
                                                <a14:shadowObscured xmlns:a14="http://schemas.microsoft.com/office/drawing/2010/main"/>
                                              </a:ext>
                                            </a:extLst>
                                          </pic:spPr>
                                        </pic:pic>
                                      </a:graphicData>
                                    </a:graphic>
                                  </wp:inline>
                                </w:drawing>
                              </w:r>
                            </w:p>
                            <w:p w14:paraId="367562FB" w14:textId="18BBF694" w:rsidR="005F17E0" w:rsidRDefault="005F17E0" w:rsidP="002467B3">
                              <w:pPr>
                                <w:pStyle w:val="Els-caption"/>
                                <w:spacing w:before="0" w:after="0"/>
                                <w:rPr>
                                  <w:noProof/>
                                </w:rPr>
                              </w:pPr>
                              <w:bookmarkStart w:id="9" w:name="_Ref63953090"/>
                              <w:r>
                                <w:t xml:space="preserve">Figure </w:t>
                              </w:r>
                              <w:fldSimple w:instr=" SEQ Figure \* ARABIC ">
                                <w:r w:rsidR="00E800B1">
                                  <w:rPr>
                                    <w:noProof/>
                                  </w:rPr>
                                  <w:t>2</w:t>
                                </w:r>
                              </w:fldSimple>
                              <w:bookmarkEnd w:id="8"/>
                              <w:bookmarkEnd w:id="9"/>
                              <w:r>
                                <w:t>: Experimental and simulated potential drop across the membranes, (a), and across the electrolyte at different Pb</w:t>
                              </w:r>
                              <w:r>
                                <w:rPr>
                                  <w:vertAlign w:val="superscript"/>
                                </w:rPr>
                                <w:t>2+</w:t>
                              </w:r>
                              <w:r>
                                <w:t xml:space="preserve"> </w:t>
                              </w:r>
                              <w:proofErr w:type="spellStart"/>
                              <w:r>
                                <w:t>utilisation</w:t>
                              </w:r>
                              <w:proofErr w:type="spellEnd"/>
                              <w:r>
                                <w:t xml:space="preserve">, (b). </w:t>
                              </w:r>
                              <w:r>
                                <w:rPr>
                                  <w:noProof/>
                                </w:rPr>
                                <w:t>A current density of 171 mA cm</w:t>
                              </w:r>
                              <w:r w:rsidRPr="004D2DBA">
                                <w:rPr>
                                  <w:noProof/>
                                  <w:vertAlign w:val="superscript"/>
                                </w:rPr>
                                <w:t>-1</w:t>
                              </w:r>
                              <w:r>
                                <w:rPr>
                                  <w:noProof/>
                                </w:rPr>
                                <w:t xml:space="preserve"> </w:t>
                              </w:r>
                              <w:r w:rsidRPr="004D2DBA">
                                <w:rPr>
                                  <w:noProof/>
                                </w:rPr>
                                <w:t>is</w:t>
                              </w:r>
                              <w:r>
                                <w:rPr>
                                  <w:noProof/>
                                </w:rPr>
                                <w:t xml:space="preserve"> used. The two simulated techniques used in (a). One measuring the potential drop between the electrolyte side of the membrane boundaries and another which mimics the experimental technique of measuring the potential difference between points 2 mm either side of the membrane minus the potential drop over an equivalent distance of electrolyte only.</w:t>
                              </w:r>
                            </w:p>
                            <w:p w14:paraId="5062FE71" w14:textId="77777777" w:rsidR="005F17E0" w:rsidRDefault="005F17E0" w:rsidP="002467B3">
                              <w:pPr>
                                <w:pStyle w:val="Els-caption"/>
                              </w:pPr>
                            </w:p>
                          </w:txbxContent>
                        </wps:txbx>
                        <wps:bodyPr rot="0" vert="horz" wrap="square" lIns="91440" tIns="0" rIns="91440" bIns="0" anchor="t" anchorCtr="0">
                          <a:noAutofit/>
                        </wps:bodyPr>
                      </wps:wsp>
                      <wps:wsp>
                        <wps:cNvPr id="17" name="Text Box 2"/>
                        <wps:cNvSpPr txBox="1">
                          <a:spLocks noChangeArrowheads="1"/>
                        </wps:cNvSpPr>
                        <wps:spPr bwMode="auto">
                          <a:xfrm>
                            <a:off x="419100" y="88900"/>
                            <a:ext cx="359410" cy="246380"/>
                          </a:xfrm>
                          <a:prstGeom prst="rect">
                            <a:avLst/>
                          </a:prstGeom>
                          <a:noFill/>
                          <a:ln w="9525">
                            <a:noFill/>
                            <a:miter lim="800000"/>
                            <a:headEnd/>
                            <a:tailEnd/>
                          </a:ln>
                        </wps:spPr>
                        <wps:txbx>
                          <w:txbxContent>
                            <w:p w14:paraId="2FBF179D" w14:textId="77777777" w:rsidR="005F17E0" w:rsidRDefault="005F17E0" w:rsidP="002467B3">
                              <w:r>
                                <w:t>(a)</w:t>
                              </w:r>
                            </w:p>
                          </w:txbxContent>
                        </wps:txbx>
                        <wps:bodyPr rot="0" vert="horz" wrap="square" lIns="91440" tIns="45720" rIns="91440" bIns="45720" anchor="t" anchorCtr="0">
                          <a:spAutoFit/>
                        </wps:bodyPr>
                      </wps:wsp>
                      <wps:wsp>
                        <wps:cNvPr id="18" name="Text Box 2"/>
                        <wps:cNvSpPr txBox="1">
                          <a:spLocks noChangeArrowheads="1"/>
                        </wps:cNvSpPr>
                        <wps:spPr bwMode="auto">
                          <a:xfrm>
                            <a:off x="5435600" y="76200"/>
                            <a:ext cx="359410" cy="246380"/>
                          </a:xfrm>
                          <a:prstGeom prst="rect">
                            <a:avLst/>
                          </a:prstGeom>
                          <a:noFill/>
                          <a:ln w="9525">
                            <a:noFill/>
                            <a:miter lim="800000"/>
                            <a:headEnd/>
                            <a:tailEnd/>
                          </a:ln>
                        </wps:spPr>
                        <wps:txbx>
                          <w:txbxContent>
                            <w:p w14:paraId="772C9908" w14:textId="77777777" w:rsidR="005F17E0" w:rsidRDefault="005F17E0" w:rsidP="002467B3">
                              <w:r>
                                <w:t>(b)</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CDF61E" id="Group 3" o:spid="_x0000_s1031" style="position:absolute;left:0;text-align:left;margin-left:0;margin-top:126.25pt;width:467.9pt;height:208.8pt;z-index:251664384;mso-position-horizontal:center;mso-position-horizontal-relative:page;mso-width-relative:margin;mso-height-relative:margin" coordsize="59423,2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">
                <v:shape id="Text Box 2" o:spid="_x0000_s1032" type="#_x0000_t202" style="position:absolute;width:59423;height:26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" filled="f" stroked="f">
                  <v:textbox inset=",0,,0">
                    <w:txbxContent>
                      <w:p w14:paraId="164D81B3" w14:textId="77777777" w:rsidR="005F17E0" w:rsidRDefault="005F17E0" w:rsidP="002467B3">
                        <w:pPr>
                          <w:pStyle w:val="Els-caption"/>
                          <w:spacing w:before="0" w:after="0" w:line="240" w:lineRule="atLeast"/>
                        </w:pPr>
                        <w:bookmarkStart w:id="10" w:name="_Ref44512309"/>
                        <w:r>
                          <w:rPr>
                            <w:noProof/>
                            <w:lang w:val="en-GB"/>
                          </w:rPr>
                          <w:drawing>
                            <wp:inline distT="0" distB="0" distL="0" distR="0" wp14:anchorId="1471C3B4" wp14:editId="46081DEB">
                              <wp:extent cx="2880541" cy="2070735"/>
                              <wp:effectExtent l="0" t="0" r="0" b="571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883512" cy="2072871"/>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rPr>
                          <w:drawing>
                            <wp:inline distT="0" distB="0" distL="0" distR="0" wp14:anchorId="64FE0696" wp14:editId="374127C6">
                              <wp:extent cx="2805780" cy="2067560"/>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09753" cy="2070488"/>
                                      </a:xfrm>
                                      <a:prstGeom prst="rect">
                                        <a:avLst/>
                                      </a:prstGeom>
                                      <a:ln>
                                        <a:noFill/>
                                      </a:ln>
                                      <a:extLst>
                                        <a:ext uri="{53640926-AAD7-44D8-BBD7-CCE9431645EC}">
                                          <a14:shadowObscured xmlns:a14="http://schemas.microsoft.com/office/drawing/2010/main"/>
                                        </a:ext>
                                      </a:extLst>
                                    </pic:spPr>
                                  </pic:pic>
                                </a:graphicData>
                              </a:graphic>
                            </wp:inline>
                          </w:drawing>
                        </w:r>
                      </w:p>
                      <w:p w14:paraId="367562FB" w14:textId="18BBF694" w:rsidR="005F17E0" w:rsidRDefault="005F17E0" w:rsidP="002467B3">
                        <w:pPr>
                          <w:pStyle w:val="Els-caption"/>
                          <w:spacing w:before="0" w:after="0"/>
                          <w:rPr>
                            <w:noProof/>
                          </w:rPr>
                        </w:pPr>
                        <w:bookmarkStart w:id="11" w:name="_Ref63953090"/>
                        <w:r>
                          <w:t xml:space="preserve">Figure </w:t>
                        </w:r>
                        <w:fldSimple w:instr=" SEQ Figure \* ARABIC ">
                          <w:r w:rsidR="00E800B1">
                            <w:rPr>
                              <w:noProof/>
                            </w:rPr>
                            <w:t>2</w:t>
                          </w:r>
                        </w:fldSimple>
                        <w:bookmarkEnd w:id="10"/>
                        <w:bookmarkEnd w:id="11"/>
                        <w:r>
                          <w:t>: Experimental and simulated potential drop across the membranes, (a), and across the electrolyte at different Pb</w:t>
                        </w:r>
                        <w:r>
                          <w:rPr>
                            <w:vertAlign w:val="superscript"/>
                          </w:rPr>
                          <w:t>2+</w:t>
                        </w:r>
                        <w:r>
                          <w:t xml:space="preserve"> </w:t>
                        </w:r>
                        <w:proofErr w:type="spellStart"/>
                        <w:r>
                          <w:t>utilisation</w:t>
                        </w:r>
                        <w:proofErr w:type="spellEnd"/>
                        <w:r>
                          <w:t xml:space="preserve">, (b). </w:t>
                        </w:r>
                        <w:r>
                          <w:rPr>
                            <w:noProof/>
                          </w:rPr>
                          <w:t>A current density of 171 mA cm</w:t>
                        </w:r>
                        <w:r w:rsidRPr="004D2DBA">
                          <w:rPr>
                            <w:noProof/>
                            <w:vertAlign w:val="superscript"/>
                          </w:rPr>
                          <w:t>-1</w:t>
                        </w:r>
                        <w:r>
                          <w:rPr>
                            <w:noProof/>
                          </w:rPr>
                          <w:t xml:space="preserve"> </w:t>
                        </w:r>
                        <w:r w:rsidRPr="004D2DBA">
                          <w:rPr>
                            <w:noProof/>
                          </w:rPr>
                          <w:t>is</w:t>
                        </w:r>
                        <w:r>
                          <w:rPr>
                            <w:noProof/>
                          </w:rPr>
                          <w:t xml:space="preserve"> used. The two simulated techniques used in (a). One measuring the potential drop between the electrolyte side of the membrane boundaries and another which mimics the experimental technique of measuring the potential difference between points 2 mm either side of the membrane minus the potential drop over an equivalent distance of electrolyte only.</w:t>
                        </w:r>
                      </w:p>
                      <w:p w14:paraId="5062FE71" w14:textId="77777777" w:rsidR="005F17E0" w:rsidRDefault="005F17E0" w:rsidP="002467B3">
                        <w:pPr>
                          <w:pStyle w:val="Els-caption"/>
                        </w:pPr>
                      </w:p>
                    </w:txbxContent>
                  </v:textbox>
                </v:shape>
                <v:shape id="Text Box 2" o:spid="_x0000_s1033" type="#_x0000_t202" style="position:absolute;left:4191;top:889;width:359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2FBF179D" w14:textId="77777777" w:rsidR="005F17E0" w:rsidRDefault="005F17E0" w:rsidP="002467B3">
                        <w:r>
                          <w:t>(a)</w:t>
                        </w:r>
                      </w:p>
                    </w:txbxContent>
                  </v:textbox>
                </v:shape>
                <v:shape id="Text Box 2" o:spid="_x0000_s1034" type="#_x0000_t202" style="position:absolute;left:54356;top:762;width:359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72C9908" w14:textId="77777777" w:rsidR="005F17E0" w:rsidRDefault="005F17E0" w:rsidP="002467B3">
                        <w:r>
                          <w:t>(b)</w:t>
                        </w:r>
                      </w:p>
                    </w:txbxContent>
                  </v:textbox>
                </v:shape>
                <w10:wrap type="square" anchorx="page"/>
              </v:group>
            </w:pict>
          </mc:Fallback>
        </mc:AlternateContent>
      </w:r>
      <w:r w:rsidR="002467B3">
        <w:t>In the 2D simulations, as seen i</w:t>
      </w:r>
      <w:r>
        <w:t xml:space="preserve">n </w:t>
      </w:r>
      <w:r>
        <w:fldChar w:fldCharType="begin"/>
      </w:r>
      <w:r>
        <w:instrText xml:space="preserve"> REF _Ref51087419 \h </w:instrText>
      </w:r>
      <w:r>
        <w:fldChar w:fldCharType="separate"/>
      </w:r>
      <w:r w:rsidR="00E800B1">
        <w:t xml:space="preserve">Figure </w:t>
      </w:r>
      <w:r w:rsidR="00E800B1">
        <w:rPr>
          <w:noProof/>
        </w:rPr>
        <w:t>3</w:t>
      </w:r>
      <w:r>
        <w:fldChar w:fldCharType="end"/>
      </w:r>
      <w:r w:rsidR="002467B3">
        <w:t xml:space="preserve">, the concentration of each species varies between membrane boundaries, leading to an increase in </w:t>
      </w:r>
      <w:proofErr w:type="spellStart"/>
      <w:r w:rsidR="002467B3">
        <w:t>Donnan</w:t>
      </w:r>
      <w:proofErr w:type="spellEnd"/>
      <w:r w:rsidR="002467B3">
        <w:t xml:space="preserve"> potential drop. This is exacerbated with an increase in current density. However</w:t>
      </w:r>
      <w:r>
        <w:t xml:space="preserve">, </w:t>
      </w:r>
      <w:r>
        <w:fldChar w:fldCharType="begin"/>
      </w:r>
      <w:r>
        <w:instrText xml:space="preserve"> REF _Ref63953053 \h </w:instrText>
      </w:r>
      <w:r>
        <w:fldChar w:fldCharType="separate"/>
      </w:r>
      <w:r w:rsidR="00E800B1">
        <w:t xml:space="preserve">Figure </w:t>
      </w:r>
      <w:r w:rsidR="00E800B1">
        <w:rPr>
          <w:noProof/>
        </w:rPr>
        <w:t>4</w:t>
      </w:r>
      <w:r>
        <w:fldChar w:fldCharType="end"/>
      </w:r>
      <w:r>
        <w:t xml:space="preserve">, </w:t>
      </w:r>
      <w:r w:rsidR="002467B3">
        <w:t>which shows the potential distribution over a 2D simulated flow cell when the cell is run at currents of 10, 20, 30 and 50 mA cm</w:t>
      </w:r>
      <w:r w:rsidR="002467B3" w:rsidRPr="005155A1">
        <w:rPr>
          <w:vertAlign w:val="superscript"/>
        </w:rPr>
        <w:t>-2</w:t>
      </w:r>
      <w:r w:rsidR="002467B3">
        <w:t xml:space="preserve"> shows the potential drop within the membrane, also increases. In the electrolyte domain, the potential increases almost linearly with distance through the electrolyte. At the membrane-electrolyte interface, however, there are significant changes in the electrolyte – as expected from the concentration profile. </w:t>
      </w:r>
      <w:r w:rsidR="002467B3">
        <w:fldChar w:fldCharType="begin"/>
      </w:r>
      <w:r w:rsidR="002467B3">
        <w:instrText xml:space="preserve"> REF _Ref44533676 \h </w:instrText>
      </w:r>
      <w:r w:rsidR="002467B3">
        <w:fldChar w:fldCharType="separate"/>
      </w:r>
      <w:r w:rsidR="00E800B1">
        <w:t xml:space="preserve">Table </w:t>
      </w:r>
      <w:r w:rsidR="00E800B1">
        <w:rPr>
          <w:noProof/>
        </w:rPr>
        <w:t>1</w:t>
      </w:r>
      <w:r w:rsidR="002467B3">
        <w:fldChar w:fldCharType="end"/>
      </w:r>
      <w:r w:rsidR="002467B3">
        <w:t xml:space="preserve"> displays the total potential difference across the membrane, the potential difference due to </w:t>
      </w:r>
      <w:proofErr w:type="spellStart"/>
      <w:r w:rsidR="002467B3">
        <w:t>Donnan</w:t>
      </w:r>
      <w:proofErr w:type="spellEnd"/>
      <w:r w:rsidR="002467B3">
        <w:t xml:space="preserve"> potentials and the potential difference within the membrane due to its conductivity. This shows that the membrane conductivity dominates the potential drop across the membrane during both charge and discharge. However, as current density is increased, the ratio of membrane conductivity to </w:t>
      </w:r>
      <w:proofErr w:type="spellStart"/>
      <w:r w:rsidR="002467B3">
        <w:t>Donnan</w:t>
      </w:r>
      <w:proofErr w:type="spellEnd"/>
      <w:r w:rsidR="002467B3">
        <w:t xml:space="preserve"> drop decreases.</w:t>
      </w:r>
    </w:p>
    <w:p w14:paraId="57E3970E" w14:textId="2726DB4F" w:rsidR="002467B3" w:rsidRDefault="002467B3" w:rsidP="002467B3">
      <w:pPr>
        <w:pStyle w:val="Els-caption"/>
        <w:spacing w:after="0"/>
      </w:pPr>
      <w:bookmarkStart w:id="12" w:name="_Ref44533676"/>
      <w:bookmarkStart w:id="13" w:name="_Ref44533668"/>
      <w:r>
        <w:lastRenderedPageBreak/>
        <w:t xml:space="preserve">Table </w:t>
      </w:r>
      <w:fldSimple w:instr=" SEQ Table \* ARABIC ">
        <w:r w:rsidR="00E800B1">
          <w:rPr>
            <w:noProof/>
          </w:rPr>
          <w:t>1</w:t>
        </w:r>
      </w:fldSimple>
      <w:bookmarkEnd w:id="12"/>
      <w:r>
        <w:t xml:space="preserve">: </w:t>
      </w:r>
      <w:r w:rsidRPr="00D57284">
        <w:t xml:space="preserve">Breakdown of potential drop across </w:t>
      </w:r>
      <w:r>
        <w:t xml:space="preserve">the </w:t>
      </w:r>
      <w:r w:rsidRPr="00D57284">
        <w:t>membrane during charge and discharge. Current densities of 10, 20, 30 and 50 mA cm</w:t>
      </w:r>
      <w:r w:rsidRPr="00D92F8C">
        <w:rPr>
          <w:vertAlign w:val="superscript"/>
        </w:rPr>
        <w:t>-1</w:t>
      </w:r>
      <w:r w:rsidRPr="00D57284">
        <w:t xml:space="preserve"> are used.</w:t>
      </w:r>
      <w:bookmarkEnd w:id="13"/>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84"/>
        <w:gridCol w:w="1283"/>
        <w:gridCol w:w="1284"/>
        <w:gridCol w:w="1394"/>
        <w:gridCol w:w="1174"/>
        <w:gridCol w:w="1284"/>
        <w:gridCol w:w="1284"/>
      </w:tblGrid>
      <w:tr w:rsidR="002467B3" w14:paraId="2A1261FD" w14:textId="77777777" w:rsidTr="003043E1">
        <w:tc>
          <w:tcPr>
            <w:tcW w:w="1284" w:type="dxa"/>
          </w:tcPr>
          <w:p w14:paraId="5126DCFC" w14:textId="53BEB826" w:rsidR="002467B3" w:rsidRPr="00F54259" w:rsidRDefault="002467B3" w:rsidP="003043E1">
            <w:pPr>
              <w:rPr>
                <w:sz w:val="16"/>
              </w:rPr>
            </w:pPr>
          </w:p>
        </w:tc>
        <w:tc>
          <w:tcPr>
            <w:tcW w:w="3961" w:type="dxa"/>
            <w:gridSpan w:val="3"/>
          </w:tcPr>
          <w:p w14:paraId="5AF894C6" w14:textId="77777777" w:rsidR="002467B3" w:rsidRPr="00F54259" w:rsidRDefault="002467B3" w:rsidP="003043E1">
            <w:pPr>
              <w:rPr>
                <w:sz w:val="16"/>
              </w:rPr>
            </w:pPr>
            <w:r w:rsidRPr="00F54259">
              <w:rPr>
                <w:sz w:val="16"/>
              </w:rPr>
              <w:t>Potential during charge (mV)</w:t>
            </w:r>
          </w:p>
        </w:tc>
        <w:tc>
          <w:tcPr>
            <w:tcW w:w="3742" w:type="dxa"/>
            <w:gridSpan w:val="3"/>
          </w:tcPr>
          <w:p w14:paraId="0D7058FC" w14:textId="77777777" w:rsidR="002467B3" w:rsidRPr="00F54259" w:rsidRDefault="002467B3" w:rsidP="003043E1">
            <w:pPr>
              <w:rPr>
                <w:sz w:val="16"/>
              </w:rPr>
            </w:pPr>
            <w:r w:rsidRPr="00F54259">
              <w:rPr>
                <w:sz w:val="16"/>
              </w:rPr>
              <w:t>Potential during discharge (mV)</w:t>
            </w:r>
          </w:p>
        </w:tc>
      </w:tr>
      <w:tr w:rsidR="002467B3" w14:paraId="4283251D" w14:textId="77777777" w:rsidTr="003043E1">
        <w:tc>
          <w:tcPr>
            <w:tcW w:w="1284" w:type="dxa"/>
          </w:tcPr>
          <w:p w14:paraId="1E45E15B" w14:textId="77777777" w:rsidR="002467B3" w:rsidRPr="00F54259" w:rsidRDefault="002467B3" w:rsidP="003043E1">
            <w:pPr>
              <w:rPr>
                <w:sz w:val="16"/>
              </w:rPr>
            </w:pPr>
            <w:r w:rsidRPr="00F54259">
              <w:rPr>
                <w:sz w:val="16"/>
              </w:rPr>
              <w:t xml:space="preserve">Current Density (mA </w:t>
            </w:r>
            <w:proofErr w:type="gramStart"/>
            <w:r w:rsidRPr="00F54259">
              <w:rPr>
                <w:sz w:val="16"/>
              </w:rPr>
              <w:t>cm</w:t>
            </w:r>
            <w:r w:rsidRPr="00F54259">
              <w:rPr>
                <w:sz w:val="16"/>
                <w:vertAlign w:val="superscript"/>
              </w:rPr>
              <w:t>-2</w:t>
            </w:r>
            <w:proofErr w:type="gramEnd"/>
            <w:r w:rsidRPr="00F54259">
              <w:rPr>
                <w:sz w:val="16"/>
              </w:rPr>
              <w:t>)</w:t>
            </w:r>
          </w:p>
        </w:tc>
        <w:tc>
          <w:tcPr>
            <w:tcW w:w="1283" w:type="dxa"/>
          </w:tcPr>
          <w:p w14:paraId="79E32D9B" w14:textId="77777777" w:rsidR="002467B3" w:rsidRPr="00F54259" w:rsidRDefault="002467B3" w:rsidP="003043E1">
            <w:pPr>
              <w:rPr>
                <w:sz w:val="16"/>
              </w:rPr>
            </w:pPr>
            <w:proofErr w:type="spellStart"/>
            <w:r w:rsidRPr="00F54259">
              <w:rPr>
                <w:sz w:val="16"/>
              </w:rPr>
              <w:t>Donnan</w:t>
            </w:r>
            <w:proofErr w:type="spellEnd"/>
            <w:r w:rsidRPr="00F54259">
              <w:rPr>
                <w:sz w:val="16"/>
              </w:rPr>
              <w:t xml:space="preserve"> (</w:t>
            </w:r>
            <w:proofErr w:type="spellStart"/>
            <w:r w:rsidRPr="00F54259">
              <w:rPr>
                <w:sz w:val="16"/>
              </w:rPr>
              <w:t>φ</w:t>
            </w:r>
            <w:r w:rsidRPr="00F54259">
              <w:rPr>
                <w:sz w:val="16"/>
                <w:vertAlign w:val="subscript"/>
              </w:rPr>
              <w:t>D</w:t>
            </w:r>
            <w:proofErr w:type="spellEnd"/>
            <w:r w:rsidRPr="00F54259">
              <w:rPr>
                <w:sz w:val="16"/>
              </w:rPr>
              <w:t>)</w:t>
            </w:r>
          </w:p>
        </w:tc>
        <w:tc>
          <w:tcPr>
            <w:tcW w:w="1284" w:type="dxa"/>
          </w:tcPr>
          <w:p w14:paraId="1B599370" w14:textId="214B5E2C" w:rsidR="002467B3" w:rsidRPr="00F54259" w:rsidRDefault="002467B3" w:rsidP="003043E1">
            <w:pPr>
              <w:rPr>
                <w:sz w:val="16"/>
              </w:rPr>
            </w:pPr>
            <w:r w:rsidRPr="00F54259">
              <w:rPr>
                <w:sz w:val="16"/>
              </w:rPr>
              <w:t>Conductivity (</w:t>
            </w:r>
            <w:proofErr w:type="spellStart"/>
            <w:r w:rsidRPr="00F54259">
              <w:rPr>
                <w:sz w:val="16"/>
              </w:rPr>
              <w:t>φ</w:t>
            </w:r>
            <w:r w:rsidRPr="00F54259">
              <w:rPr>
                <w:sz w:val="16"/>
                <w:vertAlign w:val="subscript"/>
              </w:rPr>
              <w:t>C</w:t>
            </w:r>
            <w:proofErr w:type="spellEnd"/>
            <w:r w:rsidRPr="00F54259">
              <w:rPr>
                <w:sz w:val="16"/>
              </w:rPr>
              <w:t>)</w:t>
            </w:r>
          </w:p>
        </w:tc>
        <w:tc>
          <w:tcPr>
            <w:tcW w:w="1394" w:type="dxa"/>
          </w:tcPr>
          <w:p w14:paraId="5679FA8A" w14:textId="77777777" w:rsidR="002467B3" w:rsidRPr="00F54259" w:rsidRDefault="002467B3" w:rsidP="003043E1">
            <w:pPr>
              <w:rPr>
                <w:sz w:val="16"/>
              </w:rPr>
            </w:pPr>
            <w:r w:rsidRPr="00F54259">
              <w:rPr>
                <w:sz w:val="16"/>
              </w:rPr>
              <w:t>Ratio (</w:t>
            </w:r>
            <w:proofErr w:type="spellStart"/>
            <w:r w:rsidRPr="00F54259">
              <w:rPr>
                <w:sz w:val="16"/>
              </w:rPr>
              <w:t>φ</w:t>
            </w:r>
            <w:r w:rsidRPr="00F54259">
              <w:rPr>
                <w:sz w:val="16"/>
                <w:vertAlign w:val="subscript"/>
              </w:rPr>
              <w:t>C</w:t>
            </w:r>
            <w:proofErr w:type="spellEnd"/>
            <w:r w:rsidRPr="00F54259">
              <w:rPr>
                <w:sz w:val="16"/>
              </w:rPr>
              <w:t>/</w:t>
            </w:r>
            <w:proofErr w:type="spellStart"/>
            <w:r w:rsidRPr="00F54259">
              <w:rPr>
                <w:sz w:val="16"/>
              </w:rPr>
              <w:t>φ</w:t>
            </w:r>
            <w:r w:rsidRPr="00F54259">
              <w:rPr>
                <w:sz w:val="16"/>
                <w:vertAlign w:val="subscript"/>
              </w:rPr>
              <w:t>D</w:t>
            </w:r>
            <w:proofErr w:type="spellEnd"/>
            <w:r w:rsidRPr="00F54259">
              <w:rPr>
                <w:sz w:val="16"/>
              </w:rPr>
              <w:t xml:space="preserve">) </w:t>
            </w:r>
          </w:p>
        </w:tc>
        <w:tc>
          <w:tcPr>
            <w:tcW w:w="1174" w:type="dxa"/>
          </w:tcPr>
          <w:p w14:paraId="208D6B95" w14:textId="77777777" w:rsidR="002467B3" w:rsidRPr="00F54259" w:rsidRDefault="002467B3" w:rsidP="003043E1">
            <w:pPr>
              <w:rPr>
                <w:sz w:val="16"/>
              </w:rPr>
            </w:pPr>
            <w:proofErr w:type="spellStart"/>
            <w:r w:rsidRPr="00F54259">
              <w:rPr>
                <w:sz w:val="16"/>
              </w:rPr>
              <w:t>Donnan</w:t>
            </w:r>
            <w:proofErr w:type="spellEnd"/>
            <w:r w:rsidRPr="00F54259">
              <w:rPr>
                <w:sz w:val="16"/>
              </w:rPr>
              <w:t xml:space="preserve"> (</w:t>
            </w:r>
            <w:proofErr w:type="spellStart"/>
            <w:r w:rsidRPr="00F54259">
              <w:rPr>
                <w:sz w:val="16"/>
              </w:rPr>
              <w:t>φ</w:t>
            </w:r>
            <w:r w:rsidRPr="00F54259">
              <w:rPr>
                <w:sz w:val="16"/>
                <w:vertAlign w:val="subscript"/>
              </w:rPr>
              <w:t>D</w:t>
            </w:r>
            <w:proofErr w:type="spellEnd"/>
            <w:r w:rsidRPr="00F54259">
              <w:rPr>
                <w:sz w:val="16"/>
              </w:rPr>
              <w:t>)</w:t>
            </w:r>
          </w:p>
        </w:tc>
        <w:tc>
          <w:tcPr>
            <w:tcW w:w="1284" w:type="dxa"/>
          </w:tcPr>
          <w:p w14:paraId="6C64F8BC" w14:textId="77777777" w:rsidR="002467B3" w:rsidRPr="00F54259" w:rsidRDefault="002467B3" w:rsidP="003043E1">
            <w:pPr>
              <w:rPr>
                <w:sz w:val="16"/>
              </w:rPr>
            </w:pPr>
            <w:r w:rsidRPr="00F54259">
              <w:rPr>
                <w:sz w:val="16"/>
              </w:rPr>
              <w:t>Conductivity (</w:t>
            </w:r>
            <w:proofErr w:type="spellStart"/>
            <w:r w:rsidRPr="00F54259">
              <w:rPr>
                <w:sz w:val="16"/>
              </w:rPr>
              <w:t>φ</w:t>
            </w:r>
            <w:r w:rsidRPr="00F54259">
              <w:rPr>
                <w:sz w:val="16"/>
                <w:vertAlign w:val="subscript"/>
              </w:rPr>
              <w:t>C</w:t>
            </w:r>
            <w:proofErr w:type="spellEnd"/>
            <w:r w:rsidRPr="00F54259">
              <w:rPr>
                <w:sz w:val="16"/>
              </w:rPr>
              <w:t>)</w:t>
            </w:r>
          </w:p>
        </w:tc>
        <w:tc>
          <w:tcPr>
            <w:tcW w:w="1284" w:type="dxa"/>
          </w:tcPr>
          <w:p w14:paraId="78A73AAE" w14:textId="33333EA9" w:rsidR="002467B3" w:rsidRPr="00F54259" w:rsidRDefault="002467B3" w:rsidP="003043E1">
            <w:pPr>
              <w:rPr>
                <w:sz w:val="16"/>
              </w:rPr>
            </w:pPr>
            <w:r w:rsidRPr="00F54259">
              <w:rPr>
                <w:sz w:val="16"/>
              </w:rPr>
              <w:t>Ratio (</w:t>
            </w:r>
            <w:proofErr w:type="spellStart"/>
            <w:r w:rsidRPr="00F54259">
              <w:rPr>
                <w:sz w:val="16"/>
              </w:rPr>
              <w:t>φ</w:t>
            </w:r>
            <w:r w:rsidRPr="00F54259">
              <w:rPr>
                <w:sz w:val="16"/>
                <w:vertAlign w:val="subscript"/>
              </w:rPr>
              <w:t>C</w:t>
            </w:r>
            <w:proofErr w:type="spellEnd"/>
            <w:r w:rsidRPr="00F54259">
              <w:rPr>
                <w:sz w:val="16"/>
              </w:rPr>
              <w:t>/</w:t>
            </w:r>
            <w:proofErr w:type="spellStart"/>
            <w:r w:rsidRPr="00F54259">
              <w:rPr>
                <w:sz w:val="16"/>
              </w:rPr>
              <w:t>φ</w:t>
            </w:r>
            <w:r w:rsidRPr="00F54259">
              <w:rPr>
                <w:sz w:val="16"/>
                <w:vertAlign w:val="subscript"/>
              </w:rPr>
              <w:t>D</w:t>
            </w:r>
            <w:proofErr w:type="spellEnd"/>
            <w:r w:rsidRPr="00F54259">
              <w:rPr>
                <w:sz w:val="16"/>
              </w:rPr>
              <w:t>)</w:t>
            </w:r>
          </w:p>
        </w:tc>
      </w:tr>
      <w:tr w:rsidR="002467B3" w14:paraId="19D61BA9" w14:textId="77777777" w:rsidTr="003043E1">
        <w:tc>
          <w:tcPr>
            <w:tcW w:w="1284" w:type="dxa"/>
          </w:tcPr>
          <w:p w14:paraId="3C33A5C6" w14:textId="77777777" w:rsidR="002467B3" w:rsidRPr="00F54259" w:rsidRDefault="002467B3" w:rsidP="003043E1">
            <w:pPr>
              <w:rPr>
                <w:sz w:val="16"/>
              </w:rPr>
            </w:pPr>
            <w:r w:rsidRPr="00F54259">
              <w:rPr>
                <w:sz w:val="16"/>
              </w:rPr>
              <w:t>10</w:t>
            </w:r>
          </w:p>
        </w:tc>
        <w:tc>
          <w:tcPr>
            <w:tcW w:w="1283" w:type="dxa"/>
          </w:tcPr>
          <w:p w14:paraId="246B6769" w14:textId="77777777" w:rsidR="002467B3" w:rsidRPr="00F54259" w:rsidRDefault="002467B3" w:rsidP="003043E1">
            <w:pPr>
              <w:rPr>
                <w:sz w:val="16"/>
              </w:rPr>
            </w:pPr>
            <w:r w:rsidRPr="00F54259">
              <w:rPr>
                <w:sz w:val="16"/>
              </w:rPr>
              <w:t>0.0149</w:t>
            </w:r>
          </w:p>
        </w:tc>
        <w:tc>
          <w:tcPr>
            <w:tcW w:w="1284" w:type="dxa"/>
          </w:tcPr>
          <w:p w14:paraId="476AEFC0" w14:textId="2EEF87FF" w:rsidR="002467B3" w:rsidRPr="00F54259" w:rsidRDefault="002467B3" w:rsidP="003043E1">
            <w:pPr>
              <w:rPr>
                <w:sz w:val="16"/>
              </w:rPr>
            </w:pPr>
            <w:r w:rsidRPr="00F54259">
              <w:rPr>
                <w:sz w:val="16"/>
              </w:rPr>
              <w:t>1.48</w:t>
            </w:r>
          </w:p>
        </w:tc>
        <w:tc>
          <w:tcPr>
            <w:tcW w:w="1394" w:type="dxa"/>
          </w:tcPr>
          <w:p w14:paraId="6C7C72F6" w14:textId="77777777" w:rsidR="002467B3" w:rsidRPr="00F54259" w:rsidRDefault="002467B3" w:rsidP="003043E1">
            <w:pPr>
              <w:rPr>
                <w:sz w:val="16"/>
              </w:rPr>
            </w:pPr>
            <w:r w:rsidRPr="00F54259">
              <w:rPr>
                <w:sz w:val="16"/>
              </w:rPr>
              <w:t>84</w:t>
            </w:r>
          </w:p>
        </w:tc>
        <w:tc>
          <w:tcPr>
            <w:tcW w:w="1174" w:type="dxa"/>
          </w:tcPr>
          <w:p w14:paraId="7D533BE1" w14:textId="77777777" w:rsidR="002467B3" w:rsidRPr="00F54259" w:rsidRDefault="002467B3" w:rsidP="003043E1">
            <w:pPr>
              <w:rPr>
                <w:sz w:val="16"/>
              </w:rPr>
            </w:pPr>
            <w:r w:rsidRPr="00F54259">
              <w:rPr>
                <w:sz w:val="16"/>
              </w:rPr>
              <w:t>0.0230</w:t>
            </w:r>
          </w:p>
        </w:tc>
        <w:tc>
          <w:tcPr>
            <w:tcW w:w="1284" w:type="dxa"/>
          </w:tcPr>
          <w:p w14:paraId="7D2D11F5" w14:textId="77777777" w:rsidR="002467B3" w:rsidRPr="00F54259" w:rsidRDefault="002467B3" w:rsidP="003043E1">
            <w:pPr>
              <w:rPr>
                <w:sz w:val="16"/>
              </w:rPr>
            </w:pPr>
            <w:r w:rsidRPr="00F54259">
              <w:rPr>
                <w:sz w:val="16"/>
              </w:rPr>
              <w:t>2.04</w:t>
            </w:r>
          </w:p>
        </w:tc>
        <w:tc>
          <w:tcPr>
            <w:tcW w:w="1284" w:type="dxa"/>
          </w:tcPr>
          <w:p w14:paraId="4516E182" w14:textId="1DF796F9" w:rsidR="002467B3" w:rsidRPr="00F54259" w:rsidRDefault="002467B3" w:rsidP="003043E1">
            <w:pPr>
              <w:rPr>
                <w:sz w:val="16"/>
              </w:rPr>
            </w:pPr>
            <w:r w:rsidRPr="00F54259">
              <w:rPr>
                <w:sz w:val="16"/>
              </w:rPr>
              <w:t>89</w:t>
            </w:r>
          </w:p>
        </w:tc>
      </w:tr>
      <w:tr w:rsidR="002467B3" w14:paraId="5592AF71" w14:textId="77777777" w:rsidTr="003043E1">
        <w:tc>
          <w:tcPr>
            <w:tcW w:w="1284" w:type="dxa"/>
          </w:tcPr>
          <w:p w14:paraId="45EFD74B" w14:textId="222AB439" w:rsidR="002467B3" w:rsidRPr="00F54259" w:rsidRDefault="002467B3" w:rsidP="003043E1">
            <w:pPr>
              <w:rPr>
                <w:sz w:val="16"/>
              </w:rPr>
            </w:pPr>
            <w:r w:rsidRPr="00F54259">
              <w:rPr>
                <w:sz w:val="16"/>
              </w:rPr>
              <w:t>20</w:t>
            </w:r>
          </w:p>
        </w:tc>
        <w:tc>
          <w:tcPr>
            <w:tcW w:w="1283" w:type="dxa"/>
          </w:tcPr>
          <w:p w14:paraId="1D233B3B" w14:textId="77777777" w:rsidR="002467B3" w:rsidRPr="00F54259" w:rsidRDefault="002467B3" w:rsidP="003043E1">
            <w:pPr>
              <w:rPr>
                <w:sz w:val="16"/>
              </w:rPr>
            </w:pPr>
            <w:r w:rsidRPr="00F54259">
              <w:rPr>
                <w:sz w:val="16"/>
              </w:rPr>
              <w:t>0.0487</w:t>
            </w:r>
          </w:p>
        </w:tc>
        <w:tc>
          <w:tcPr>
            <w:tcW w:w="1284" w:type="dxa"/>
          </w:tcPr>
          <w:p w14:paraId="6BA3F7E2" w14:textId="77777777" w:rsidR="002467B3" w:rsidRPr="00F54259" w:rsidRDefault="002467B3" w:rsidP="003043E1">
            <w:pPr>
              <w:rPr>
                <w:sz w:val="16"/>
              </w:rPr>
            </w:pPr>
            <w:r w:rsidRPr="00F54259">
              <w:rPr>
                <w:sz w:val="16"/>
              </w:rPr>
              <w:t>3.99</w:t>
            </w:r>
          </w:p>
        </w:tc>
        <w:tc>
          <w:tcPr>
            <w:tcW w:w="1394" w:type="dxa"/>
          </w:tcPr>
          <w:p w14:paraId="0C6994D0" w14:textId="77777777" w:rsidR="002467B3" w:rsidRPr="00F54259" w:rsidRDefault="002467B3" w:rsidP="003043E1">
            <w:pPr>
              <w:rPr>
                <w:sz w:val="16"/>
              </w:rPr>
            </w:pPr>
            <w:r w:rsidRPr="00F54259">
              <w:rPr>
                <w:sz w:val="16"/>
              </w:rPr>
              <w:t>82</w:t>
            </w:r>
          </w:p>
        </w:tc>
        <w:tc>
          <w:tcPr>
            <w:tcW w:w="1174" w:type="dxa"/>
          </w:tcPr>
          <w:p w14:paraId="497E9ED8" w14:textId="77777777" w:rsidR="002467B3" w:rsidRPr="00F54259" w:rsidRDefault="002467B3" w:rsidP="003043E1">
            <w:pPr>
              <w:rPr>
                <w:sz w:val="16"/>
              </w:rPr>
            </w:pPr>
            <w:r w:rsidRPr="00F54259">
              <w:rPr>
                <w:sz w:val="16"/>
              </w:rPr>
              <w:t>0.0473</w:t>
            </w:r>
          </w:p>
        </w:tc>
        <w:tc>
          <w:tcPr>
            <w:tcW w:w="1284" w:type="dxa"/>
          </w:tcPr>
          <w:p w14:paraId="19A08F8D" w14:textId="77777777" w:rsidR="002467B3" w:rsidRPr="00F54259" w:rsidRDefault="002467B3" w:rsidP="003043E1">
            <w:pPr>
              <w:rPr>
                <w:sz w:val="16"/>
              </w:rPr>
            </w:pPr>
            <w:r w:rsidRPr="00F54259">
              <w:rPr>
                <w:sz w:val="16"/>
              </w:rPr>
              <w:t>4.02</w:t>
            </w:r>
          </w:p>
        </w:tc>
        <w:tc>
          <w:tcPr>
            <w:tcW w:w="1284" w:type="dxa"/>
          </w:tcPr>
          <w:p w14:paraId="3FAFC7D9" w14:textId="77777777" w:rsidR="002467B3" w:rsidRPr="00F54259" w:rsidRDefault="002467B3" w:rsidP="003043E1">
            <w:pPr>
              <w:rPr>
                <w:sz w:val="16"/>
              </w:rPr>
            </w:pPr>
            <w:r w:rsidRPr="00F54259">
              <w:rPr>
                <w:sz w:val="16"/>
              </w:rPr>
              <w:t>85</w:t>
            </w:r>
          </w:p>
        </w:tc>
      </w:tr>
      <w:tr w:rsidR="002467B3" w14:paraId="3DED2528" w14:textId="77777777" w:rsidTr="003043E1">
        <w:tc>
          <w:tcPr>
            <w:tcW w:w="1284" w:type="dxa"/>
          </w:tcPr>
          <w:p w14:paraId="77615332" w14:textId="77777777" w:rsidR="002467B3" w:rsidRPr="00F54259" w:rsidRDefault="002467B3" w:rsidP="003043E1">
            <w:pPr>
              <w:rPr>
                <w:sz w:val="16"/>
              </w:rPr>
            </w:pPr>
            <w:r w:rsidRPr="00F54259">
              <w:rPr>
                <w:sz w:val="16"/>
              </w:rPr>
              <w:t>30</w:t>
            </w:r>
          </w:p>
        </w:tc>
        <w:tc>
          <w:tcPr>
            <w:tcW w:w="1283" w:type="dxa"/>
          </w:tcPr>
          <w:p w14:paraId="6BC19A80" w14:textId="77777777" w:rsidR="002467B3" w:rsidRPr="00F54259" w:rsidRDefault="002467B3" w:rsidP="003043E1">
            <w:pPr>
              <w:rPr>
                <w:sz w:val="16"/>
              </w:rPr>
            </w:pPr>
            <w:r w:rsidRPr="00F54259">
              <w:rPr>
                <w:sz w:val="16"/>
              </w:rPr>
              <w:t>0.0753</w:t>
            </w:r>
          </w:p>
        </w:tc>
        <w:tc>
          <w:tcPr>
            <w:tcW w:w="1284" w:type="dxa"/>
          </w:tcPr>
          <w:p w14:paraId="7D510BB8" w14:textId="644CCB50" w:rsidR="002467B3" w:rsidRPr="00F54259" w:rsidRDefault="002467B3" w:rsidP="003043E1">
            <w:pPr>
              <w:rPr>
                <w:sz w:val="16"/>
              </w:rPr>
            </w:pPr>
            <w:r w:rsidRPr="00F54259">
              <w:rPr>
                <w:sz w:val="16"/>
              </w:rPr>
              <w:t>5.89</w:t>
            </w:r>
          </w:p>
        </w:tc>
        <w:tc>
          <w:tcPr>
            <w:tcW w:w="1394" w:type="dxa"/>
          </w:tcPr>
          <w:p w14:paraId="293B8F5A" w14:textId="77777777" w:rsidR="002467B3" w:rsidRPr="00F54259" w:rsidRDefault="002467B3" w:rsidP="003043E1">
            <w:pPr>
              <w:rPr>
                <w:sz w:val="16"/>
              </w:rPr>
            </w:pPr>
            <w:r w:rsidRPr="00F54259">
              <w:rPr>
                <w:sz w:val="16"/>
              </w:rPr>
              <w:t>78</w:t>
            </w:r>
          </w:p>
        </w:tc>
        <w:tc>
          <w:tcPr>
            <w:tcW w:w="1174" w:type="dxa"/>
          </w:tcPr>
          <w:p w14:paraId="6CF72CC2" w14:textId="77777777" w:rsidR="002467B3" w:rsidRPr="00F54259" w:rsidRDefault="002467B3" w:rsidP="003043E1">
            <w:pPr>
              <w:rPr>
                <w:sz w:val="16"/>
              </w:rPr>
            </w:pPr>
            <w:r w:rsidRPr="00F54259">
              <w:rPr>
                <w:sz w:val="16"/>
              </w:rPr>
              <w:t>0.0728</w:t>
            </w:r>
          </w:p>
        </w:tc>
        <w:tc>
          <w:tcPr>
            <w:tcW w:w="1284" w:type="dxa"/>
          </w:tcPr>
          <w:p w14:paraId="617D101A" w14:textId="77777777" w:rsidR="002467B3" w:rsidRPr="00F54259" w:rsidRDefault="002467B3" w:rsidP="003043E1">
            <w:pPr>
              <w:rPr>
                <w:sz w:val="16"/>
              </w:rPr>
            </w:pPr>
            <w:r w:rsidRPr="00F54259">
              <w:rPr>
                <w:sz w:val="16"/>
              </w:rPr>
              <w:t>5.94</w:t>
            </w:r>
          </w:p>
        </w:tc>
        <w:tc>
          <w:tcPr>
            <w:tcW w:w="1284" w:type="dxa"/>
          </w:tcPr>
          <w:p w14:paraId="15DF9894" w14:textId="77777777" w:rsidR="002467B3" w:rsidRPr="00F54259" w:rsidRDefault="002467B3" w:rsidP="003043E1">
            <w:pPr>
              <w:rPr>
                <w:sz w:val="16"/>
              </w:rPr>
            </w:pPr>
            <w:r w:rsidRPr="00F54259">
              <w:rPr>
                <w:sz w:val="16"/>
              </w:rPr>
              <w:t>82</w:t>
            </w:r>
          </w:p>
        </w:tc>
      </w:tr>
      <w:tr w:rsidR="002467B3" w14:paraId="57B4AE45" w14:textId="77777777" w:rsidTr="003043E1">
        <w:tc>
          <w:tcPr>
            <w:tcW w:w="1284" w:type="dxa"/>
          </w:tcPr>
          <w:p w14:paraId="4DB73CA2" w14:textId="77777777" w:rsidR="002467B3" w:rsidRPr="00F54259" w:rsidRDefault="002467B3" w:rsidP="003043E1">
            <w:pPr>
              <w:rPr>
                <w:sz w:val="16"/>
              </w:rPr>
            </w:pPr>
            <w:r w:rsidRPr="00F54259">
              <w:rPr>
                <w:sz w:val="16"/>
              </w:rPr>
              <w:t>50</w:t>
            </w:r>
          </w:p>
        </w:tc>
        <w:tc>
          <w:tcPr>
            <w:tcW w:w="1283" w:type="dxa"/>
          </w:tcPr>
          <w:p w14:paraId="099DE92C" w14:textId="77777777" w:rsidR="002467B3" w:rsidRPr="00F54259" w:rsidRDefault="002467B3" w:rsidP="003043E1">
            <w:pPr>
              <w:rPr>
                <w:sz w:val="16"/>
              </w:rPr>
            </w:pPr>
            <w:r w:rsidRPr="00F54259">
              <w:rPr>
                <w:sz w:val="16"/>
              </w:rPr>
              <w:t>0.131</w:t>
            </w:r>
          </w:p>
        </w:tc>
        <w:tc>
          <w:tcPr>
            <w:tcW w:w="1284" w:type="dxa"/>
          </w:tcPr>
          <w:p w14:paraId="0A06FA0E" w14:textId="6B1961E4" w:rsidR="002467B3" w:rsidRPr="00F54259" w:rsidRDefault="002467B3" w:rsidP="003043E1">
            <w:pPr>
              <w:rPr>
                <w:sz w:val="16"/>
              </w:rPr>
            </w:pPr>
            <w:r w:rsidRPr="00F54259">
              <w:rPr>
                <w:sz w:val="16"/>
              </w:rPr>
              <w:t>9.34</w:t>
            </w:r>
          </w:p>
        </w:tc>
        <w:tc>
          <w:tcPr>
            <w:tcW w:w="1394" w:type="dxa"/>
          </w:tcPr>
          <w:p w14:paraId="48B39FFC" w14:textId="77777777" w:rsidR="002467B3" w:rsidRPr="00F54259" w:rsidRDefault="002467B3" w:rsidP="003043E1">
            <w:pPr>
              <w:rPr>
                <w:sz w:val="16"/>
              </w:rPr>
            </w:pPr>
            <w:r w:rsidRPr="00F54259">
              <w:rPr>
                <w:sz w:val="16"/>
              </w:rPr>
              <w:t>71</w:t>
            </w:r>
          </w:p>
        </w:tc>
        <w:tc>
          <w:tcPr>
            <w:tcW w:w="1174" w:type="dxa"/>
          </w:tcPr>
          <w:p w14:paraId="2E0D6987" w14:textId="77777777" w:rsidR="002467B3" w:rsidRPr="00F54259" w:rsidRDefault="002467B3" w:rsidP="003043E1">
            <w:pPr>
              <w:rPr>
                <w:sz w:val="16"/>
              </w:rPr>
            </w:pPr>
            <w:r w:rsidRPr="00F54259">
              <w:rPr>
                <w:sz w:val="16"/>
              </w:rPr>
              <w:t>0.134</w:t>
            </w:r>
          </w:p>
        </w:tc>
        <w:tc>
          <w:tcPr>
            <w:tcW w:w="1284" w:type="dxa"/>
          </w:tcPr>
          <w:p w14:paraId="539637DC" w14:textId="77777777" w:rsidR="002467B3" w:rsidRPr="00F54259" w:rsidRDefault="002467B3" w:rsidP="003043E1">
            <w:pPr>
              <w:rPr>
                <w:sz w:val="16"/>
              </w:rPr>
            </w:pPr>
            <w:r w:rsidRPr="00F54259">
              <w:rPr>
                <w:sz w:val="16"/>
              </w:rPr>
              <w:t>9.79</w:t>
            </w:r>
          </w:p>
        </w:tc>
        <w:tc>
          <w:tcPr>
            <w:tcW w:w="1284" w:type="dxa"/>
          </w:tcPr>
          <w:p w14:paraId="44E9C844" w14:textId="77777777" w:rsidR="002467B3" w:rsidRPr="00F54259" w:rsidRDefault="002467B3" w:rsidP="003043E1">
            <w:pPr>
              <w:keepNext/>
              <w:rPr>
                <w:sz w:val="16"/>
              </w:rPr>
            </w:pPr>
            <w:r w:rsidRPr="00F54259">
              <w:rPr>
                <w:sz w:val="16"/>
              </w:rPr>
              <w:t>73</w:t>
            </w:r>
          </w:p>
        </w:tc>
      </w:tr>
    </w:tbl>
    <w:p w14:paraId="498E778A" w14:textId="43EAF039" w:rsidR="002467B3" w:rsidRDefault="005F17E0" w:rsidP="002467B3">
      <w:pPr>
        <w:pStyle w:val="Els-1storder-head"/>
        <w:widowControl/>
        <w:numPr>
          <w:ilvl w:val="0"/>
          <w:numId w:val="8"/>
        </w:numPr>
      </w:pPr>
      <w:r>
        <w:rPr>
          <w:noProof/>
          <w:lang w:val="en-GB"/>
        </w:rPr>
        <mc:AlternateContent>
          <mc:Choice Requires="wpg">
            <w:drawing>
              <wp:anchor distT="0" distB="0" distL="114300" distR="114300" simplePos="0" relativeHeight="251655168" behindDoc="0" locked="0" layoutInCell="1" allowOverlap="1" wp14:anchorId="4ADBDD7C" wp14:editId="28A8A37F">
                <wp:simplePos x="0" y="0"/>
                <wp:positionH relativeFrom="margin">
                  <wp:align>left</wp:align>
                </wp:positionH>
                <wp:positionV relativeFrom="margin">
                  <wp:align>top</wp:align>
                </wp:positionV>
                <wp:extent cx="5928360" cy="2368550"/>
                <wp:effectExtent l="0" t="0" r="0" b="12700"/>
                <wp:wrapTopAndBottom/>
                <wp:docPr id="2" name="Group 2"/>
                <wp:cNvGraphicFramePr/>
                <a:graphic xmlns:a="http://schemas.openxmlformats.org/drawingml/2006/main">
                  <a:graphicData uri="http://schemas.microsoft.com/office/word/2010/wordprocessingGroup">
                    <wpg:wgp>
                      <wpg:cNvGrpSpPr/>
                      <wpg:grpSpPr>
                        <a:xfrm>
                          <a:off x="0" y="0"/>
                          <a:ext cx="5928360" cy="2368550"/>
                          <a:chOff x="0" y="0"/>
                          <a:chExt cx="5928360" cy="2375535"/>
                        </a:xfrm>
                      </wpg:grpSpPr>
                      <wps:wsp>
                        <wps:cNvPr id="16" name="Text Box 16"/>
                        <wps:cNvSpPr txBox="1"/>
                        <wps:spPr>
                          <a:xfrm>
                            <a:off x="0" y="0"/>
                            <a:ext cx="5928360" cy="2375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5398E" w14:textId="77777777" w:rsidR="005F17E0" w:rsidRDefault="005F17E0" w:rsidP="002467B3">
                              <w:pPr>
                                <w:pStyle w:val="Els-caption"/>
                                <w:spacing w:before="0" w:after="0" w:line="240" w:lineRule="atLeast"/>
                              </w:pPr>
                              <w:r>
                                <w:rPr>
                                  <w:noProof/>
                                  <w:lang w:val="en-GB"/>
                                </w:rPr>
                                <w:drawing>
                                  <wp:inline distT="0" distB="0" distL="0" distR="0" wp14:anchorId="23EC63F8" wp14:editId="5D7BBF5E">
                                    <wp:extent cx="2824223" cy="1995510"/>
                                    <wp:effectExtent l="0" t="0" r="0" b="508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rotWithShape="1">
                                            <a:blip r:embed="rId12" cstate="screen">
                                              <a:extLst>
                                                <a:ext uri="{28A0092B-C50C-407E-A947-70E740481C1C}">
                                                  <a14:useLocalDpi xmlns:a14="http://schemas.microsoft.com/office/drawing/2010/main"/>
                                                </a:ext>
                                              </a:extLst>
                                            </a:blip>
                                            <a:srcRect l="-1"/>
                                            <a:stretch/>
                                          </pic:blipFill>
                                          <pic:spPr bwMode="auto">
                                            <a:xfrm>
                                              <a:off x="0" y="0"/>
                                              <a:ext cx="2829274" cy="19990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noProof/>
                                  <w:lang w:val="en-GB"/>
                                </w:rPr>
                                <w:drawing>
                                  <wp:inline distT="0" distB="0" distL="0" distR="0" wp14:anchorId="7C53D8F6" wp14:editId="42DCBFA5">
                                    <wp:extent cx="2845098" cy="2010659"/>
                                    <wp:effectExtent l="0" t="0" r="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847508" cy="2012362"/>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Pr="00CB2AAA">
                                <w:t xml:space="preserve"> </w:t>
                              </w:r>
                              <w:bookmarkStart w:id="14" w:name="_Ref44524617"/>
                            </w:p>
                            <w:p w14:paraId="25CD9DEF" w14:textId="5AE260D8" w:rsidR="005F17E0" w:rsidRDefault="005F17E0" w:rsidP="002467B3">
                              <w:pPr>
                                <w:pStyle w:val="Els-caption"/>
                                <w:spacing w:before="0" w:after="0" w:line="240" w:lineRule="atLeast"/>
                                <w:rPr>
                                  <w:noProof/>
                                </w:rPr>
                              </w:pPr>
                              <w:bookmarkStart w:id="15" w:name="_Ref51087419"/>
                              <w:bookmarkStart w:id="16" w:name="_Ref51087412"/>
                              <w:r>
                                <w:t xml:space="preserve">Figure </w:t>
                              </w:r>
                              <w:fldSimple w:instr=" SEQ Figure \* ARABIC ">
                                <w:r w:rsidR="00E800B1">
                                  <w:rPr>
                                    <w:noProof/>
                                  </w:rPr>
                                  <w:t>3</w:t>
                                </w:r>
                              </w:fldSimple>
                              <w:bookmarkEnd w:id="14"/>
                              <w:bookmarkEnd w:id="15"/>
                              <w:r>
                                <w:t>: Simulated concentration profiles for each species over the width of the cell during charge (a) and during discharge (b) with an applied current density of 50 mA cm</w:t>
                              </w:r>
                              <w:r>
                                <w:rPr>
                                  <w:vertAlign w:val="superscript"/>
                                </w:rPr>
                                <w:t>-2</w:t>
                              </w:r>
                              <w:r>
                                <w:rPr>
                                  <w:noProof/>
                                </w:rPr>
                                <w:t>. A spike/trough in each of the species is seen in the membrane.</w:t>
                              </w:r>
                              <w:bookmarkEnd w:id="16"/>
                            </w:p>
                            <w:p w14:paraId="5C309527" w14:textId="77777777" w:rsidR="005F17E0" w:rsidRDefault="005F17E0" w:rsidP="002467B3"/>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492369" y="140677"/>
                            <a:ext cx="359409" cy="155574"/>
                          </a:xfrm>
                          <a:prstGeom prst="rect">
                            <a:avLst/>
                          </a:prstGeom>
                          <a:noFill/>
                          <a:ln w="9525">
                            <a:noFill/>
                            <a:miter lim="800000"/>
                            <a:headEnd/>
                            <a:tailEnd/>
                          </a:ln>
                        </wps:spPr>
                        <wps:txbx>
                          <w:txbxContent>
                            <w:p w14:paraId="10F8812B" w14:textId="77777777" w:rsidR="005F17E0" w:rsidRDefault="005F17E0" w:rsidP="002467B3">
                              <w:r>
                                <w:t>(a)</w:t>
                              </w:r>
                            </w:p>
                          </w:txbxContent>
                        </wps:txbx>
                        <wps:bodyPr rot="0" vert="horz" wrap="square" lIns="91440" tIns="0" rIns="91440" bIns="0" anchor="t" anchorCtr="0">
                          <a:noAutofit/>
                        </wps:bodyPr>
                      </wps:wsp>
                      <wps:wsp>
                        <wps:cNvPr id="35" name="Text Box 2"/>
                        <wps:cNvSpPr txBox="1">
                          <a:spLocks noChangeArrowheads="1"/>
                        </wps:cNvSpPr>
                        <wps:spPr bwMode="auto">
                          <a:xfrm>
                            <a:off x="5310553" y="119576"/>
                            <a:ext cx="359409" cy="155574"/>
                          </a:xfrm>
                          <a:prstGeom prst="rect">
                            <a:avLst/>
                          </a:prstGeom>
                          <a:noFill/>
                          <a:ln w="9525">
                            <a:noFill/>
                            <a:miter lim="800000"/>
                            <a:headEnd/>
                            <a:tailEnd/>
                          </a:ln>
                        </wps:spPr>
                        <wps:txbx>
                          <w:txbxContent>
                            <w:p w14:paraId="50257E8A" w14:textId="77777777" w:rsidR="005F17E0" w:rsidRDefault="005F17E0" w:rsidP="002467B3">
                              <w:r>
                                <w:t>(b)</w:t>
                              </w:r>
                            </w:p>
                          </w:txbxContent>
                        </wps:txbx>
                        <wps:bodyPr rot="0" vert="horz" wrap="square" lIns="9144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DBDD7C" id="Group 2" o:spid="_x0000_s1035" style="position:absolute;left:0;text-align:left;margin-left:0;margin-top:0;width:466.8pt;height:186.5pt;z-index:251655168;mso-position-horizontal:left;mso-position-horizontal-relative:margin;mso-position-vertical:top;mso-position-vertical-relative:margin;mso-width-relative:margin;mso-height-relative:margin" coordsize="59283,2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">
                <v:shape id="Text Box 16" o:spid="_x0000_s1036" type="#_x0000_t202" style="position:absolute;width:59283;height:2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" filled="f" stroked="f" strokeweight=".5pt">
                  <v:textbox inset=",0,,0">
                    <w:txbxContent>
                      <w:p w14:paraId="0695398E" w14:textId="77777777" w:rsidR="005F17E0" w:rsidRDefault="005F17E0" w:rsidP="002467B3">
                        <w:pPr>
                          <w:pStyle w:val="Els-caption"/>
                          <w:spacing w:before="0" w:after="0" w:line="240" w:lineRule="atLeast"/>
                        </w:pPr>
                        <w:r>
                          <w:rPr>
                            <w:noProof/>
                            <w:lang w:val="en-GB"/>
                          </w:rPr>
                          <w:drawing>
                            <wp:inline distT="0" distB="0" distL="0" distR="0" wp14:anchorId="23EC63F8" wp14:editId="5D7BBF5E">
                              <wp:extent cx="2824223" cy="1995510"/>
                              <wp:effectExtent l="0" t="0" r="0" b="508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rotWithShape="1">
                                      <a:blip r:embed="rId12" cstate="screen">
                                        <a:extLst>
                                          <a:ext uri="{28A0092B-C50C-407E-A947-70E740481C1C}">
                                            <a14:useLocalDpi xmlns:a14="http://schemas.microsoft.com/office/drawing/2010/main"/>
                                          </a:ext>
                                        </a:extLst>
                                      </a:blip>
                                      <a:srcRect l="-1"/>
                                      <a:stretch/>
                                    </pic:blipFill>
                                    <pic:spPr bwMode="auto">
                                      <a:xfrm>
                                        <a:off x="0" y="0"/>
                                        <a:ext cx="2829274" cy="19990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noProof/>
                            <w:lang w:val="en-GB"/>
                          </w:rPr>
                          <w:drawing>
                            <wp:inline distT="0" distB="0" distL="0" distR="0" wp14:anchorId="7C53D8F6" wp14:editId="42DCBFA5">
                              <wp:extent cx="2845098" cy="2010659"/>
                              <wp:effectExtent l="0" t="0" r="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847508" cy="2012362"/>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Pr="00CB2AAA">
                          <w:t xml:space="preserve"> </w:t>
                        </w:r>
                        <w:bookmarkStart w:id="17" w:name="_Ref44524617"/>
                      </w:p>
                      <w:p w14:paraId="25CD9DEF" w14:textId="5AE260D8" w:rsidR="005F17E0" w:rsidRDefault="005F17E0" w:rsidP="002467B3">
                        <w:pPr>
                          <w:pStyle w:val="Els-caption"/>
                          <w:spacing w:before="0" w:after="0" w:line="240" w:lineRule="atLeast"/>
                          <w:rPr>
                            <w:noProof/>
                          </w:rPr>
                        </w:pPr>
                        <w:bookmarkStart w:id="18" w:name="_Ref51087419"/>
                        <w:bookmarkStart w:id="19" w:name="_Ref51087412"/>
                        <w:r>
                          <w:t xml:space="preserve">Figure </w:t>
                        </w:r>
                        <w:fldSimple w:instr=" SEQ Figure \* ARABIC ">
                          <w:r w:rsidR="00E800B1">
                            <w:rPr>
                              <w:noProof/>
                            </w:rPr>
                            <w:t>3</w:t>
                          </w:r>
                        </w:fldSimple>
                        <w:bookmarkEnd w:id="17"/>
                        <w:bookmarkEnd w:id="18"/>
                        <w:r>
                          <w:t>: Simulated concentration profiles for each species over the width of the cell during charge (a) and during discharge (b) with an applied current density of 50 mA cm</w:t>
                        </w:r>
                        <w:r>
                          <w:rPr>
                            <w:vertAlign w:val="superscript"/>
                          </w:rPr>
                          <w:t>-2</w:t>
                        </w:r>
                        <w:r>
                          <w:rPr>
                            <w:noProof/>
                          </w:rPr>
                          <w:t>. A spike/trough in each of the species is seen in the membrane.</w:t>
                        </w:r>
                        <w:bookmarkEnd w:id="19"/>
                      </w:p>
                      <w:p w14:paraId="5C309527" w14:textId="77777777" w:rsidR="005F17E0" w:rsidRDefault="005F17E0" w:rsidP="002467B3"/>
                    </w:txbxContent>
                  </v:textbox>
                </v:shape>
                <v:shape id="Text Box 2" o:spid="_x0000_s1037" type="#_x0000_t202" style="position:absolute;left:4923;top:1406;width:359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" filled="f" stroked="f">
                  <v:textbox inset=",0,,0">
                    <w:txbxContent>
                      <w:p w14:paraId="10F8812B" w14:textId="77777777" w:rsidR="005F17E0" w:rsidRDefault="005F17E0" w:rsidP="002467B3">
                        <w:r>
                          <w:t>(a)</w:t>
                        </w:r>
                      </w:p>
                    </w:txbxContent>
                  </v:textbox>
                </v:shape>
                <v:shape id="Text Box 2" o:spid="_x0000_s1038" type="#_x0000_t202" style="position:absolute;left:53105;top:1195;width:359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wOxAAAANsAAAAPAAAAZHJzL2Rvd25yZXYueG1sRI9Ba8JA&#10;FITvBf/D8gRvdRNLS0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BWE3A7EAAAA2wAAAA8A&#10;AAAAAAAAAAAAAAAABwIAAGRycy9kb3ducmV2LnhtbFBLBQYAAAAAAwADALcAAAD4AgAAAAA=&#10;" filled="f" stroked="f">
                  <v:textbox inset=",0,,0">
                    <w:txbxContent>
                      <w:p w14:paraId="50257E8A" w14:textId="77777777" w:rsidR="005F17E0" w:rsidRDefault="005F17E0" w:rsidP="002467B3">
                        <w:r>
                          <w:t>(b)</w:t>
                        </w:r>
                      </w:p>
                    </w:txbxContent>
                  </v:textbox>
                </v:shape>
                <w10:wrap type="topAndBottom" anchorx="margin" anchory="margin"/>
              </v:group>
            </w:pict>
          </mc:Fallback>
        </mc:AlternateContent>
      </w:r>
      <w:r w:rsidR="002467B3">
        <w:t>Conclusions and further work</w:t>
      </w:r>
    </w:p>
    <w:p w14:paraId="798CC73D" w14:textId="322B34E8" w:rsidR="002467B3" w:rsidRPr="00E734FD" w:rsidRDefault="002467B3" w:rsidP="002467B3">
      <w:pPr>
        <w:pStyle w:val="Els-body-text"/>
        <w:ind w:right="-28"/>
        <w:rPr>
          <w:lang w:val="en-GB"/>
        </w:rPr>
      </w:pPr>
      <w:r w:rsidRPr="00E734FD">
        <w:rPr>
          <w:lang w:val="en-GB"/>
        </w:rPr>
        <w:t xml:space="preserve">This study presents a transient 2-D model, which simulates the operation of the divided SLFB for the first time. The model simulates the </w:t>
      </w:r>
      <w:r>
        <w:rPr>
          <w:lang w:val="en-GB"/>
        </w:rPr>
        <w:t>electrode</w:t>
      </w:r>
      <w:r w:rsidRPr="00E734FD">
        <w:rPr>
          <w:lang w:val="en-GB"/>
        </w:rPr>
        <w:t xml:space="preserve"> reactions and predicts the concentration of all ion</w:t>
      </w:r>
      <w:r>
        <w:rPr>
          <w:lang w:val="en-GB"/>
        </w:rPr>
        <w:t>ic species</w:t>
      </w:r>
      <w:r w:rsidRPr="00E734FD">
        <w:rPr>
          <w:lang w:val="en-GB"/>
        </w:rPr>
        <w:t xml:space="preserve"> in the electrolyte and the membrane. Using an improved method for modelling ionic mobility, novel in its application to the SLFB, the model </w:t>
      </w:r>
      <w:r>
        <w:rPr>
          <w:lang w:val="en-GB"/>
        </w:rPr>
        <w:t>can</w:t>
      </w:r>
      <w:r w:rsidRPr="00E734FD">
        <w:rPr>
          <w:lang w:val="en-GB"/>
        </w:rPr>
        <w:t xml:space="preserve"> predict the potential drop due to the change in concentration between electrolyte and membrane domains</w:t>
      </w:r>
      <w:r w:rsidR="007C36A5">
        <w:rPr>
          <w:lang w:val="en-GB"/>
        </w:rPr>
        <w:t>.</w:t>
      </w:r>
      <w:r w:rsidRPr="00E734FD">
        <w:rPr>
          <w:lang w:val="en-GB"/>
        </w:rPr>
        <w:t xml:space="preserve"> </w:t>
      </w:r>
      <w:r w:rsidR="007C36A5">
        <w:rPr>
          <w:lang w:val="en-GB"/>
        </w:rPr>
        <w:t>However, it</w:t>
      </w:r>
      <w:r w:rsidRPr="00E734FD">
        <w:rPr>
          <w:lang w:val="en-GB"/>
        </w:rPr>
        <w:t xml:space="preserve"> shows the resistance to </w:t>
      </w:r>
      <w:r w:rsidR="007C36A5">
        <w:rPr>
          <w:lang w:val="en-GB"/>
        </w:rPr>
        <w:t>ion</w:t>
      </w:r>
      <w:r w:rsidRPr="00E734FD">
        <w:rPr>
          <w:lang w:val="en-GB"/>
        </w:rPr>
        <w:t xml:space="preserve"> movement </w:t>
      </w:r>
      <w:r w:rsidR="007C36A5">
        <w:rPr>
          <w:lang w:val="en-GB"/>
        </w:rPr>
        <w:t>i</w:t>
      </w:r>
      <w:r w:rsidRPr="00E734FD">
        <w:rPr>
          <w:lang w:val="en-GB"/>
        </w:rPr>
        <w:t xml:space="preserve">n the membrane still contributes to </w:t>
      </w:r>
      <w:proofErr w:type="gramStart"/>
      <w:r w:rsidRPr="00E734FD">
        <w:rPr>
          <w:lang w:val="en-GB"/>
        </w:rPr>
        <w:t>the majority of</w:t>
      </w:r>
      <w:proofErr w:type="gramEnd"/>
      <w:r w:rsidRPr="00E734FD">
        <w:rPr>
          <w:lang w:val="en-GB"/>
        </w:rPr>
        <w:t xml:space="preserve"> the potential drop across the membrane</w:t>
      </w:r>
      <w:r w:rsidR="007C36A5" w:rsidRPr="007C36A5">
        <w:rPr>
          <w:lang w:val="en-GB"/>
        </w:rPr>
        <w:t xml:space="preserve"> </w:t>
      </w:r>
      <w:r w:rsidR="007C36A5" w:rsidRPr="00E734FD">
        <w:rPr>
          <w:lang w:val="en-GB"/>
        </w:rPr>
        <w:t>over the operating range of the SLFB</w:t>
      </w:r>
      <w:r w:rsidRPr="00E734FD">
        <w:rPr>
          <w:lang w:val="en-GB"/>
        </w:rPr>
        <w:t>.</w:t>
      </w:r>
    </w:p>
    <w:p w14:paraId="28C474C2" w14:textId="248F5C21" w:rsidR="002467B3" w:rsidRPr="00E734FD" w:rsidRDefault="005F17E0" w:rsidP="002467B3">
      <w:pPr>
        <w:pStyle w:val="Els-body-text"/>
        <w:ind w:right="-28"/>
        <w:rPr>
          <w:lang w:val="en-GB"/>
        </w:rPr>
      </w:pPr>
      <w:r>
        <w:rPr>
          <w:noProof/>
        </w:rPr>
        <mc:AlternateContent>
          <mc:Choice Requires="wpg">
            <w:drawing>
              <wp:anchor distT="0" distB="0" distL="114300" distR="114300" simplePos="0" relativeHeight="251661312" behindDoc="0" locked="0" layoutInCell="1" allowOverlap="1" wp14:anchorId="6DD8FE99" wp14:editId="689514B4">
                <wp:simplePos x="0" y="0"/>
                <wp:positionH relativeFrom="page">
                  <wp:align>center</wp:align>
                </wp:positionH>
                <wp:positionV relativeFrom="paragraph">
                  <wp:posOffset>855980</wp:posOffset>
                </wp:positionV>
                <wp:extent cx="5922010" cy="200406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5922010" cy="2004060"/>
                          <a:chOff x="0" y="0"/>
                          <a:chExt cx="5922010" cy="2004060"/>
                        </a:xfrm>
                        <a:noFill/>
                      </wpg:grpSpPr>
                      <wps:wsp>
                        <wps:cNvPr id="1" name="Text Box 2"/>
                        <wps:cNvSpPr txBox="1">
                          <a:spLocks noChangeArrowheads="1"/>
                        </wps:cNvSpPr>
                        <wps:spPr bwMode="auto">
                          <a:xfrm>
                            <a:off x="0" y="0"/>
                            <a:ext cx="5922010" cy="2004060"/>
                          </a:xfrm>
                          <a:prstGeom prst="rect">
                            <a:avLst/>
                          </a:prstGeom>
                          <a:grpFill/>
                          <a:ln w="9525">
                            <a:noFill/>
                            <a:miter lim="800000"/>
                            <a:headEnd/>
                            <a:tailEnd/>
                          </a:ln>
                        </wps:spPr>
                        <wps:txbx>
                          <w:txbxContent>
                            <w:p w14:paraId="104FDF12" w14:textId="77777777" w:rsidR="005F17E0" w:rsidRDefault="005F17E0" w:rsidP="002467B3">
                              <w:pPr>
                                <w:pStyle w:val="Els-caption"/>
                                <w:spacing w:before="0" w:after="0" w:line="240" w:lineRule="atLeast"/>
                                <w:jc w:val="center"/>
                              </w:pPr>
                              <w:bookmarkStart w:id="20" w:name="_Ref44529456"/>
                              <w:r>
                                <w:rPr>
                                  <w:noProof/>
                                  <w:lang w:val="en-GB"/>
                                </w:rPr>
                                <w:drawing>
                                  <wp:inline distT="0" distB="0" distL="0" distR="0" wp14:anchorId="5E37B738" wp14:editId="012CC879">
                                    <wp:extent cx="2607040" cy="1845086"/>
                                    <wp:effectExtent l="0" t="0" r="3175" b="317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614266" cy="185020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noProof/>
                                  <w:lang w:val="en-GB"/>
                                </w:rPr>
                                <w:drawing>
                                  <wp:inline distT="0" distB="0" distL="0" distR="0" wp14:anchorId="4253FE25" wp14:editId="7D8DECC1">
                                    <wp:extent cx="2619590" cy="1843598"/>
                                    <wp:effectExtent l="0" t="0" r="0" b="444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622463" cy="184562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32D5CA6" w14:textId="5DE8E1C9" w:rsidR="005F17E0" w:rsidRDefault="005F17E0" w:rsidP="002467B3">
                              <w:pPr>
                                <w:pStyle w:val="Els-caption"/>
                                <w:spacing w:before="0" w:after="0" w:line="240" w:lineRule="atLeast"/>
                                <w:jc w:val="center"/>
                              </w:pPr>
                              <w:bookmarkStart w:id="21" w:name="_Ref63953053"/>
                              <w:r>
                                <w:t xml:space="preserve">Figure </w:t>
                              </w:r>
                              <w:fldSimple w:instr=" SEQ Figure \* ARABIC ">
                                <w:r w:rsidR="00E800B1">
                                  <w:rPr>
                                    <w:noProof/>
                                  </w:rPr>
                                  <w:t>4</w:t>
                                </w:r>
                              </w:fldSimple>
                              <w:bookmarkEnd w:id="20"/>
                              <w:bookmarkEnd w:id="21"/>
                              <w:r>
                                <w:t>: Electrolyte potential distribution across the midpoint of the cell during charge (a) and discharge (b).</w:t>
                              </w:r>
                            </w:p>
                            <w:p w14:paraId="5E484576" w14:textId="77777777" w:rsidR="005F17E0" w:rsidRDefault="005F17E0" w:rsidP="002467B3"/>
                          </w:txbxContent>
                        </wps:txbx>
                        <wps:bodyPr rot="0" vert="horz" wrap="square" lIns="91440" tIns="0" rIns="91440" bIns="0" anchor="t" anchorCtr="0">
                          <a:noAutofit/>
                        </wps:bodyPr>
                      </wps:wsp>
                      <wps:wsp>
                        <wps:cNvPr id="37" name="Text Box 2"/>
                        <wps:cNvSpPr txBox="1">
                          <a:spLocks noChangeArrowheads="1"/>
                        </wps:cNvSpPr>
                        <wps:spPr bwMode="auto">
                          <a:xfrm>
                            <a:off x="2476500" y="6350"/>
                            <a:ext cx="359410" cy="246380"/>
                          </a:xfrm>
                          <a:prstGeom prst="rect">
                            <a:avLst/>
                          </a:prstGeom>
                          <a:grpFill/>
                          <a:ln w="9525">
                            <a:noFill/>
                            <a:miter lim="800000"/>
                            <a:headEnd/>
                            <a:tailEnd/>
                          </a:ln>
                        </wps:spPr>
                        <wps:txbx>
                          <w:txbxContent>
                            <w:p w14:paraId="44F7926C" w14:textId="77777777" w:rsidR="005F17E0" w:rsidRDefault="005F17E0" w:rsidP="002467B3">
                              <w:r>
                                <w:t>(a)</w:t>
                              </w:r>
                            </w:p>
                          </w:txbxContent>
                        </wps:txbx>
                        <wps:bodyPr rot="0" vert="horz" wrap="square" lIns="91440" tIns="45720" rIns="91440" bIns="45720" anchor="t" anchorCtr="0">
                          <a:spAutoFit/>
                        </wps:bodyPr>
                      </wps:wsp>
                      <wps:wsp>
                        <wps:cNvPr id="36" name="Text Box 2"/>
                        <wps:cNvSpPr txBox="1">
                          <a:spLocks noChangeArrowheads="1"/>
                        </wps:cNvSpPr>
                        <wps:spPr bwMode="auto">
                          <a:xfrm>
                            <a:off x="5168900" y="19050"/>
                            <a:ext cx="359410" cy="246380"/>
                          </a:xfrm>
                          <a:prstGeom prst="rect">
                            <a:avLst/>
                          </a:prstGeom>
                          <a:grpFill/>
                          <a:ln w="9525">
                            <a:noFill/>
                            <a:miter lim="800000"/>
                            <a:headEnd/>
                            <a:tailEnd/>
                          </a:ln>
                        </wps:spPr>
                        <wps:txbx>
                          <w:txbxContent>
                            <w:p w14:paraId="1F263130" w14:textId="77777777" w:rsidR="005F17E0" w:rsidRDefault="005F17E0" w:rsidP="002467B3">
                              <w:r>
                                <w:t>(b)</w:t>
                              </w:r>
                            </w:p>
                          </w:txbxContent>
                        </wps:txbx>
                        <wps:bodyPr rot="0" vert="horz" wrap="square" lIns="91440" tIns="45720" rIns="91440" bIns="45720" anchor="t" anchorCtr="0">
                          <a:spAutoFit/>
                        </wps:bodyPr>
                      </wps:wsp>
                    </wpg:wgp>
                  </a:graphicData>
                </a:graphic>
              </wp:anchor>
            </w:drawing>
          </mc:Choice>
          <mc:Fallback>
            <w:pict>
              <v:group w14:anchorId="6DD8FE99" id="Group 4" o:spid="_x0000_s1039" style="position:absolute;left:0;text-align:left;margin-left:0;margin-top:67.4pt;width:466.3pt;height:157.8pt;z-index:251661312;mso-position-horizontal:center;mso-position-horizontal-relative:page" coordsize="59220,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">
                <v:shape id="Text Box 2" o:spid="_x0000_s1040" type="#_x0000_t202" style="position:absolute;width:59220;height:2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" filled="f" stroked="f">
                  <v:textbox inset=",0,,0">
                    <w:txbxContent>
                      <w:p w14:paraId="104FDF12" w14:textId="77777777" w:rsidR="005F17E0" w:rsidRDefault="005F17E0" w:rsidP="002467B3">
                        <w:pPr>
                          <w:pStyle w:val="Els-caption"/>
                          <w:spacing w:before="0" w:after="0" w:line="240" w:lineRule="atLeast"/>
                          <w:jc w:val="center"/>
                        </w:pPr>
                        <w:bookmarkStart w:id="22" w:name="_Ref44529456"/>
                        <w:r>
                          <w:rPr>
                            <w:noProof/>
                            <w:lang w:val="en-GB"/>
                          </w:rPr>
                          <w:drawing>
                            <wp:inline distT="0" distB="0" distL="0" distR="0" wp14:anchorId="5E37B738" wp14:editId="012CC879">
                              <wp:extent cx="2607040" cy="1845086"/>
                              <wp:effectExtent l="0" t="0" r="3175" b="317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614266" cy="185020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noProof/>
                            <w:lang w:val="en-GB"/>
                          </w:rPr>
                          <w:drawing>
                            <wp:inline distT="0" distB="0" distL="0" distR="0" wp14:anchorId="4253FE25" wp14:editId="7D8DECC1">
                              <wp:extent cx="2619590" cy="1843598"/>
                              <wp:effectExtent l="0" t="0" r="0" b="444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622463" cy="184562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32D5CA6" w14:textId="5DE8E1C9" w:rsidR="005F17E0" w:rsidRDefault="005F17E0" w:rsidP="002467B3">
                        <w:pPr>
                          <w:pStyle w:val="Els-caption"/>
                          <w:spacing w:before="0" w:after="0" w:line="240" w:lineRule="atLeast"/>
                          <w:jc w:val="center"/>
                        </w:pPr>
                        <w:bookmarkStart w:id="23" w:name="_Ref63953053"/>
                        <w:r>
                          <w:t xml:space="preserve">Figure </w:t>
                        </w:r>
                        <w:fldSimple w:instr=" SEQ Figure \* ARABIC ">
                          <w:r w:rsidR="00E800B1">
                            <w:rPr>
                              <w:noProof/>
                            </w:rPr>
                            <w:t>4</w:t>
                          </w:r>
                        </w:fldSimple>
                        <w:bookmarkEnd w:id="22"/>
                        <w:bookmarkEnd w:id="23"/>
                        <w:r>
                          <w:t>: Electrolyte potential distribution across the midpoint of the cell during charge (a) and discharge (b).</w:t>
                        </w:r>
                      </w:p>
                      <w:p w14:paraId="5E484576" w14:textId="77777777" w:rsidR="005F17E0" w:rsidRDefault="005F17E0" w:rsidP="002467B3"/>
                    </w:txbxContent>
                  </v:textbox>
                </v:shape>
                <v:shape id="Text Box 2" o:spid="_x0000_s1041" type="#_x0000_t202" style="position:absolute;left:24765;top:63;width:359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44F7926C" w14:textId="77777777" w:rsidR="005F17E0" w:rsidRDefault="005F17E0" w:rsidP="002467B3">
                        <w:r>
                          <w:t>(a)</w:t>
                        </w:r>
                      </w:p>
                    </w:txbxContent>
                  </v:textbox>
                </v:shape>
                <v:shape id="Text Box 2" o:spid="_x0000_s1042" type="#_x0000_t202" style="position:absolute;left:51689;top:190;width:359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1F263130" w14:textId="77777777" w:rsidR="005F17E0" w:rsidRDefault="005F17E0" w:rsidP="002467B3">
                        <w:r>
                          <w:t>(b)</w:t>
                        </w:r>
                      </w:p>
                    </w:txbxContent>
                  </v:textbox>
                </v:shape>
                <w10:wrap type="topAndBottom" anchorx="page"/>
              </v:group>
            </w:pict>
          </mc:Fallback>
        </mc:AlternateContent>
      </w:r>
      <w:r w:rsidR="002467B3" w:rsidRPr="00E734FD">
        <w:rPr>
          <w:lang w:val="en-GB"/>
        </w:rPr>
        <w:t>This study has set the basis allowing for further development of this model with the inclusion of electrode specific additives, which could lead to an in</w:t>
      </w:r>
      <w:r w:rsidR="002467B3">
        <w:rPr>
          <w:lang w:val="en-GB"/>
        </w:rPr>
        <w:t>-</w:t>
      </w:r>
      <w:r w:rsidR="002467B3" w:rsidRPr="00E734FD">
        <w:rPr>
          <w:lang w:val="en-GB"/>
        </w:rPr>
        <w:t xml:space="preserve">depth study considering optimised membrane parameters such as anionic/cationic selection, concentration of the fixed charge within the membrane, porosity and tortuosity of the fixed matrix and dimensions of the membrane and cell. In short, it provides a predictive tool for the electrochemical voltage behaviour when incorporating membranes and additives into the SLFB. </w:t>
      </w:r>
    </w:p>
    <w:p w14:paraId="13C00B39" w14:textId="77777777" w:rsidR="002467B3" w:rsidRDefault="002467B3" w:rsidP="002467B3">
      <w:pPr>
        <w:pStyle w:val="Els-acknowledgement"/>
        <w:spacing w:before="240" w:line="240" w:lineRule="exact"/>
      </w:pPr>
      <w:r>
        <w:lastRenderedPageBreak/>
        <w:t>Acknowledgements</w:t>
      </w:r>
    </w:p>
    <w:p w14:paraId="497B4DE4" w14:textId="3BFF41A2" w:rsidR="002467B3" w:rsidRPr="009C27C3" w:rsidRDefault="002467B3" w:rsidP="002467B3">
      <w:pPr>
        <w:pStyle w:val="Els-body-text"/>
      </w:pPr>
      <w:r>
        <w:t xml:space="preserve">The authors acknowledge the use of the IRIDIS High Performance Computing Facility in the completion of this work. The authors also thank the Engineering and Physical Sciences Research Council (EPSRC) for their financial support through the Centre for Doctoral Training in Energy Storage and its Applications grant </w:t>
      </w:r>
      <w:hyperlink r:id="rId16" w:anchor="GS1" w:history="1">
        <w:r w:rsidRPr="002B0709">
          <w:rPr>
            <w:rStyle w:val="Hyperlink"/>
          </w:rPr>
          <w:t>EP/L016818/1</w:t>
        </w:r>
      </w:hyperlink>
      <w:r>
        <w:t xml:space="preserve">. </w:t>
      </w:r>
    </w:p>
    <w:p w14:paraId="1A6808E9" w14:textId="4616DC3E" w:rsidR="002467B3" w:rsidRDefault="002467B3" w:rsidP="002467B3">
      <w:pPr>
        <w:pStyle w:val="Els-reference-head"/>
        <w:spacing w:before="240" w:after="240" w:line="240" w:lineRule="exact"/>
      </w:pPr>
      <w:r>
        <w:t>References</w:t>
      </w:r>
    </w:p>
    <w:p w14:paraId="5457A98A" w14:textId="1B1DB36F" w:rsidR="005F17E0" w:rsidRPr="005F17E0" w:rsidRDefault="002467B3" w:rsidP="005F17E0">
      <w:pPr>
        <w:pStyle w:val="EndNoteBibliography"/>
      </w:pPr>
      <w:r w:rsidRPr="00CF2228">
        <w:rPr>
          <w:szCs w:val="16"/>
        </w:rPr>
        <w:fldChar w:fldCharType="begin"/>
      </w:r>
      <w:r w:rsidRPr="00CF2228">
        <w:rPr>
          <w:szCs w:val="16"/>
        </w:rPr>
        <w:instrText xml:space="preserve"> ADDIN EN.REFLIST </w:instrText>
      </w:r>
      <w:r w:rsidRPr="00CF2228">
        <w:rPr>
          <w:szCs w:val="16"/>
        </w:rPr>
        <w:fldChar w:fldCharType="separate"/>
      </w:r>
      <w:r w:rsidR="005F17E0" w:rsidRPr="005F17E0">
        <w:t xml:space="preserve">[1]  M. Krishna, E.J. Fraser, R.G.A. Wills and F.C. Walsh (2018) Developments in soluble lead flow batteries and remaining challenges: An illustrated review, </w:t>
      </w:r>
      <w:r w:rsidR="005F17E0" w:rsidRPr="005F17E0">
        <w:rPr>
          <w:i/>
        </w:rPr>
        <w:t>Journal of Energy Storage,</w:t>
      </w:r>
      <w:r w:rsidR="005F17E0" w:rsidRPr="005F17E0">
        <w:t xml:space="preserve"> </w:t>
      </w:r>
      <w:r w:rsidR="005F17E0" w:rsidRPr="005F17E0">
        <w:rPr>
          <w:b/>
        </w:rPr>
        <w:t>15</w:t>
      </w:r>
      <w:r w:rsidR="005F17E0" w:rsidRPr="005F17E0">
        <w:t>, pp. 69-90, 10.1016/j.est.2017.10.020</w:t>
      </w:r>
    </w:p>
    <w:p w14:paraId="12E6692F" w14:textId="77777777" w:rsidR="005F17E0" w:rsidRPr="005F17E0" w:rsidRDefault="005F17E0" w:rsidP="005F17E0">
      <w:pPr>
        <w:pStyle w:val="EndNoteBibliography"/>
      </w:pPr>
      <w:r w:rsidRPr="005F17E0">
        <w:t xml:space="preserve">[2]  M. Krishna, R. Wills, A. Shah, D. Hall and J. Collins (2018) The separator-divided soluble lead flow battery, </w:t>
      </w:r>
      <w:r w:rsidRPr="005F17E0">
        <w:rPr>
          <w:i/>
        </w:rPr>
        <w:t>Journal of Applied Electrochemistry,</w:t>
      </w:r>
      <w:r w:rsidRPr="005F17E0">
        <w:t xml:space="preserve"> </w:t>
      </w:r>
      <w:r w:rsidRPr="005F17E0">
        <w:rPr>
          <w:b/>
        </w:rPr>
        <w:t>48</w:t>
      </w:r>
      <w:r w:rsidRPr="005F17E0">
        <w:t xml:space="preserve"> (9), pp. 1031-1041, </w:t>
      </w:r>
    </w:p>
    <w:p w14:paraId="6B764188" w14:textId="150A8431" w:rsidR="005F17E0" w:rsidRPr="005F17E0" w:rsidRDefault="005F17E0" w:rsidP="005F17E0">
      <w:pPr>
        <w:pStyle w:val="EndNoteBibliography"/>
      </w:pPr>
      <w:r w:rsidRPr="005F17E0">
        <w:t xml:space="preserve">[3]  A.A. Shah, X. Li, R.G. Wills and F.C. Walsh (2010) A mathematical model for the soluble lead-acid flow battery, </w:t>
      </w:r>
      <w:r w:rsidRPr="005F17E0">
        <w:rPr>
          <w:i/>
        </w:rPr>
        <w:t>Journal of The Electrochemical Society,</w:t>
      </w:r>
      <w:r w:rsidRPr="005F17E0">
        <w:t xml:space="preserve"> </w:t>
      </w:r>
      <w:r w:rsidRPr="005F17E0">
        <w:rPr>
          <w:b/>
        </w:rPr>
        <w:t>157</w:t>
      </w:r>
      <w:r w:rsidRPr="005F17E0">
        <w:t xml:space="preserve"> (5), pp. A589-A599, 10.1149/1.3328520</w:t>
      </w:r>
    </w:p>
    <w:p w14:paraId="453C1DFB" w14:textId="764D3B0C" w:rsidR="005F17E0" w:rsidRPr="005F17E0" w:rsidRDefault="005F17E0" w:rsidP="005F17E0">
      <w:pPr>
        <w:pStyle w:val="EndNoteBibliography"/>
      </w:pPr>
      <w:r w:rsidRPr="005F17E0">
        <w:t xml:space="preserve">[4]  M.N. Nandanwar and S. Kumar (2014) Modelling of Effect of Non-Uniform Current Density on the Performance of Soluble Lead Redox Flow Batteries, </w:t>
      </w:r>
      <w:r w:rsidRPr="005F17E0">
        <w:rPr>
          <w:i/>
        </w:rPr>
        <w:t>Journal of The Electrochemical Society,</w:t>
      </w:r>
      <w:r w:rsidRPr="005F17E0">
        <w:t xml:space="preserve"> </w:t>
      </w:r>
      <w:r w:rsidRPr="005F17E0">
        <w:rPr>
          <w:b/>
        </w:rPr>
        <w:t>161</w:t>
      </w:r>
      <w:r w:rsidRPr="005F17E0">
        <w:t xml:space="preserve"> (10), pp. A1602-A1610, 10.1149/2.0281410jes</w:t>
      </w:r>
    </w:p>
    <w:p w14:paraId="5BAB6C36" w14:textId="4866A331" w:rsidR="005F17E0" w:rsidRPr="005F17E0" w:rsidRDefault="005F17E0" w:rsidP="005F17E0">
      <w:pPr>
        <w:pStyle w:val="EndNoteBibliography"/>
      </w:pPr>
      <w:r w:rsidRPr="005F17E0">
        <w:t xml:space="preserve">[5]  M. Nandanwar and S. Kumar (2016) Charge coup de fouet phenomenon in soluble lead redox flow battery, </w:t>
      </w:r>
      <w:r w:rsidRPr="005F17E0">
        <w:rPr>
          <w:i/>
        </w:rPr>
        <w:t>Chemical Engineering Science,</w:t>
      </w:r>
      <w:r w:rsidRPr="005F17E0">
        <w:t xml:space="preserve"> </w:t>
      </w:r>
      <w:r w:rsidRPr="005F17E0">
        <w:rPr>
          <w:b/>
        </w:rPr>
        <w:t>154</w:t>
      </w:r>
      <w:r w:rsidRPr="005F17E0">
        <w:t>, pp. 61-71, 10.1016/j.ces.2016.07.001</w:t>
      </w:r>
    </w:p>
    <w:p w14:paraId="5EA974CE" w14:textId="77777777" w:rsidR="005F17E0" w:rsidRPr="005F17E0" w:rsidRDefault="005F17E0" w:rsidP="005F17E0">
      <w:pPr>
        <w:pStyle w:val="EndNoteBibliography"/>
      </w:pPr>
      <w:r w:rsidRPr="005F17E0">
        <w:t xml:space="preserve">[6]  M. Nandanwar and S. Kumar (2019) A modelling and simulation study of soluble lead redox flow battery: Effect of presence of free convection on the battery characteristics, </w:t>
      </w:r>
      <w:r w:rsidRPr="005F17E0">
        <w:rPr>
          <w:i/>
        </w:rPr>
        <w:t>Journal of Power Sources,</w:t>
      </w:r>
      <w:r w:rsidRPr="005F17E0">
        <w:t xml:space="preserve"> </w:t>
      </w:r>
      <w:r w:rsidRPr="005F17E0">
        <w:rPr>
          <w:b/>
        </w:rPr>
        <w:t>412</w:t>
      </w:r>
      <w:r w:rsidRPr="005F17E0">
        <w:t>, pp. 536-544, 10.1016/j.jpowsour.2018.11.070</w:t>
      </w:r>
    </w:p>
    <w:p w14:paraId="5C97D2FA" w14:textId="77777777" w:rsidR="005F17E0" w:rsidRPr="005F17E0" w:rsidRDefault="005F17E0" w:rsidP="005F17E0">
      <w:pPr>
        <w:pStyle w:val="EndNoteBibliography"/>
      </w:pPr>
      <w:r w:rsidRPr="005F17E0">
        <w:t xml:space="preserve">[7]  M.N. Nandanwar, K.S. Kumar, S. Srinivas and D. Dinesh (2020) Pump-less, free-convection-driven redox flow batteries: Modelling, simulation, and experimental demonstration for the soluble lead redox flow battery, </w:t>
      </w:r>
      <w:r w:rsidRPr="005F17E0">
        <w:rPr>
          <w:i/>
        </w:rPr>
        <w:t>Journal of Power Sources,</w:t>
      </w:r>
      <w:r w:rsidRPr="005F17E0">
        <w:t xml:space="preserve"> </w:t>
      </w:r>
      <w:r w:rsidRPr="005F17E0">
        <w:rPr>
          <w:b/>
        </w:rPr>
        <w:t>454</w:t>
      </w:r>
      <w:r w:rsidRPr="005F17E0">
        <w:t xml:space="preserve">, p. 227918, </w:t>
      </w:r>
    </w:p>
    <w:p w14:paraId="65821DA1" w14:textId="77777777" w:rsidR="005F17E0" w:rsidRPr="005F17E0" w:rsidRDefault="005F17E0" w:rsidP="005F17E0">
      <w:pPr>
        <w:pStyle w:val="EndNoteBibliography"/>
      </w:pPr>
      <w:r w:rsidRPr="005F17E0">
        <w:t xml:space="preserve">[8]  A. Oury, A. Kirchev and Y. Bultel (2014) A numerical model for a soluble lead-acid flow battery comprising a three-dimensional honeycomb-shaped positive electrode, </w:t>
      </w:r>
      <w:r w:rsidRPr="005F17E0">
        <w:rPr>
          <w:i/>
        </w:rPr>
        <w:t>Journal of Power Sources,</w:t>
      </w:r>
      <w:r w:rsidRPr="005F17E0">
        <w:t xml:space="preserve"> </w:t>
      </w:r>
      <w:r w:rsidRPr="005F17E0">
        <w:rPr>
          <w:b/>
        </w:rPr>
        <w:t>246</w:t>
      </w:r>
      <w:r w:rsidRPr="005F17E0">
        <w:t>, pp. 703-718, 10.1016/j.jpowsour.2013.07.101</w:t>
      </w:r>
    </w:p>
    <w:p w14:paraId="6FB6CBFE" w14:textId="4A85C3D6" w:rsidR="005F17E0" w:rsidRPr="005F17E0" w:rsidRDefault="005F17E0" w:rsidP="005F17E0">
      <w:pPr>
        <w:pStyle w:val="EndNoteBibliography"/>
      </w:pPr>
      <w:r w:rsidRPr="005F17E0">
        <w:t xml:space="preserve">[9]  A. Hazza, D. Pletcher and R. Wills (2005) A novel flow battery: A lead acid battery based on an electrolyte with soluble lead(II) Part IV. The influence of additives, </w:t>
      </w:r>
      <w:r w:rsidRPr="005F17E0">
        <w:rPr>
          <w:i/>
        </w:rPr>
        <w:t>Journal of Power Sources,</w:t>
      </w:r>
      <w:r w:rsidRPr="005F17E0">
        <w:t xml:space="preserve"> </w:t>
      </w:r>
      <w:r w:rsidRPr="005F17E0">
        <w:rPr>
          <w:b/>
        </w:rPr>
        <w:t>149</w:t>
      </w:r>
      <w:r w:rsidRPr="005F17E0">
        <w:t xml:space="preserve"> (0), pp. 103-111, </w:t>
      </w:r>
      <w:hyperlink r:id="rId17" w:history="1">
        <w:r w:rsidRPr="005F17E0">
          <w:rPr>
            <w:rStyle w:val="Hyperlink"/>
          </w:rPr>
          <w:t>http://dx.doi.org/10.1016/j.jpowsour.2005.01.049</w:t>
        </w:r>
      </w:hyperlink>
    </w:p>
    <w:p w14:paraId="2C066724" w14:textId="77777777" w:rsidR="005F17E0" w:rsidRPr="005F17E0" w:rsidRDefault="005F17E0" w:rsidP="005F17E0">
      <w:pPr>
        <w:pStyle w:val="EndNoteBibliography"/>
      </w:pPr>
      <w:r w:rsidRPr="005F17E0">
        <w:t>[10]  J. Collins, X. Li, D. Pletcher, R. Tangirala, D. Stratton-Campbell, F.C. Walsh</w:t>
      </w:r>
      <w:r w:rsidRPr="005F17E0">
        <w:rPr>
          <w:i/>
        </w:rPr>
        <w:t>, et al.</w:t>
      </w:r>
      <w:r w:rsidRPr="005F17E0">
        <w:t xml:space="preserve"> (2010) A novel flow battery: A lead acid battery based on an electrolyte with soluble lead (II). Part IX: Electrode and electrolyte conditioning with hydrogen peroxide, </w:t>
      </w:r>
      <w:r w:rsidRPr="005F17E0">
        <w:rPr>
          <w:i/>
        </w:rPr>
        <w:t>Journal of Power Sources,</w:t>
      </w:r>
      <w:r w:rsidRPr="005F17E0">
        <w:t xml:space="preserve"> </w:t>
      </w:r>
      <w:r w:rsidRPr="005F17E0">
        <w:rPr>
          <w:b/>
        </w:rPr>
        <w:t>195</w:t>
      </w:r>
      <w:r w:rsidRPr="005F17E0">
        <w:t xml:space="preserve"> (9), pp. 2975-2978, </w:t>
      </w:r>
    </w:p>
    <w:p w14:paraId="3247810A" w14:textId="77777777" w:rsidR="005F17E0" w:rsidRPr="005F17E0" w:rsidRDefault="005F17E0" w:rsidP="005F17E0">
      <w:pPr>
        <w:pStyle w:val="EndNoteBibliography"/>
      </w:pPr>
      <w:r w:rsidRPr="005F17E0">
        <w:t xml:space="preserve">[11]  M. Lanfranconi and H.-J. Lilienhof (2019) All-lead-flow-batteries as promising candidates for energy storage solutions, </w:t>
      </w:r>
      <w:r w:rsidRPr="005F17E0">
        <w:rPr>
          <w:i/>
        </w:rPr>
        <w:t>Journal of Sustainable Development of Energy, Water and Environment Systems,</w:t>
      </w:r>
      <w:r w:rsidRPr="005F17E0">
        <w:t xml:space="preserve"> </w:t>
      </w:r>
      <w:r w:rsidRPr="005F17E0">
        <w:rPr>
          <w:b/>
        </w:rPr>
        <w:t>7</w:t>
      </w:r>
      <w:r w:rsidRPr="005F17E0">
        <w:t xml:space="preserve"> (2), pp. 343-354, </w:t>
      </w:r>
    </w:p>
    <w:p w14:paraId="79888C2F" w14:textId="77777777" w:rsidR="005F17E0" w:rsidRPr="005F17E0" w:rsidRDefault="005F17E0" w:rsidP="005F17E0">
      <w:pPr>
        <w:pStyle w:val="EndNoteBibliography"/>
      </w:pPr>
      <w:r w:rsidRPr="005F17E0">
        <w:t xml:space="preserve">[12]  K. Knehr, E. Agar, C. Dennison, A. Kalidindi and E. Kumbur (2012) A transient vanadium flow battery model incorporating vanadium crossover and water transport through the membrane, </w:t>
      </w:r>
      <w:r w:rsidRPr="005F17E0">
        <w:rPr>
          <w:i/>
        </w:rPr>
        <w:t>Journal of The Electrochemical Society,</w:t>
      </w:r>
      <w:r w:rsidRPr="005F17E0">
        <w:t xml:space="preserve"> </w:t>
      </w:r>
      <w:r w:rsidRPr="005F17E0">
        <w:rPr>
          <w:b/>
        </w:rPr>
        <w:t>159</w:t>
      </w:r>
      <w:r w:rsidRPr="005F17E0">
        <w:t xml:space="preserve"> (9), p. A1446, </w:t>
      </w:r>
    </w:p>
    <w:p w14:paraId="017B6393" w14:textId="77777777" w:rsidR="005F17E0" w:rsidRPr="005F17E0" w:rsidRDefault="005F17E0" w:rsidP="005F17E0">
      <w:pPr>
        <w:pStyle w:val="EndNoteBibliography"/>
      </w:pPr>
      <w:r w:rsidRPr="005F17E0">
        <w:t xml:space="preserve">[13]  E.J. Fraser, K.K.J. Ranga Dinesh and R.G.A. Wills (2020) Development of a two-dimensional, moving mesh treatment for modelling the reaction chamber of the soluble lead flow battery as a function of state of charge for Pb and PbO2 deposition and dissolution, </w:t>
      </w:r>
      <w:r w:rsidRPr="005F17E0">
        <w:rPr>
          <w:i/>
        </w:rPr>
        <w:t>Journal of Energy Storage,</w:t>
      </w:r>
      <w:r w:rsidRPr="005F17E0">
        <w:t xml:space="preserve"> </w:t>
      </w:r>
      <w:r w:rsidRPr="005F17E0">
        <w:rPr>
          <w:b/>
        </w:rPr>
        <w:t>31</w:t>
      </w:r>
      <w:r w:rsidRPr="005F17E0">
        <w:t xml:space="preserve">, p. 101484, </w:t>
      </w:r>
    </w:p>
    <w:p w14:paraId="41C132CD" w14:textId="77777777" w:rsidR="005F17E0" w:rsidRPr="005F17E0" w:rsidRDefault="005F17E0" w:rsidP="005F17E0">
      <w:pPr>
        <w:pStyle w:val="EndNoteBibliography"/>
      </w:pPr>
      <w:r w:rsidRPr="005F17E0">
        <w:t xml:space="preserve">[14]  K. Knehr and E. Kumbur (2011) Open circuit voltage of vanadium redox flow batteries: Discrepancy between models and experiments, </w:t>
      </w:r>
      <w:r w:rsidRPr="005F17E0">
        <w:rPr>
          <w:i/>
        </w:rPr>
        <w:t>Electrochemistry Communications,</w:t>
      </w:r>
      <w:r w:rsidRPr="005F17E0">
        <w:t xml:space="preserve"> </w:t>
      </w:r>
      <w:r w:rsidRPr="005F17E0">
        <w:rPr>
          <w:b/>
        </w:rPr>
        <w:t>13</w:t>
      </w:r>
      <w:r w:rsidRPr="005F17E0">
        <w:t xml:space="preserve"> (4), pp. 342-345, </w:t>
      </w:r>
    </w:p>
    <w:p w14:paraId="3CC122C3" w14:textId="77777777" w:rsidR="005F17E0" w:rsidRPr="005F17E0" w:rsidRDefault="005F17E0" w:rsidP="005F17E0">
      <w:pPr>
        <w:pStyle w:val="EndNoteBibliography"/>
      </w:pPr>
      <w:r w:rsidRPr="005F17E0">
        <w:t xml:space="preserve">[15]  M. Krishna, L. Wallis, R. Wills, D. Hall and A. Shah (2017) Measurement of key electrolyte properties for improved performance of the soluble lead flow battery, </w:t>
      </w:r>
      <w:r w:rsidRPr="005F17E0">
        <w:rPr>
          <w:i/>
        </w:rPr>
        <w:t>International Journal of Hydrogen Energy,</w:t>
      </w:r>
      <w:r w:rsidRPr="005F17E0">
        <w:t xml:space="preserve"> </w:t>
      </w:r>
      <w:r w:rsidRPr="005F17E0">
        <w:rPr>
          <w:b/>
        </w:rPr>
        <w:t>42</w:t>
      </w:r>
      <w:r w:rsidRPr="005F17E0">
        <w:t xml:space="preserve"> (29), pp. 18491-18498, 10.1016/j.ijhydene.2017.05.004</w:t>
      </w:r>
    </w:p>
    <w:p w14:paraId="1B163FED" w14:textId="481FEB14" w:rsidR="004F31DA" w:rsidRDefault="002467B3" w:rsidP="00783958">
      <w:pPr>
        <w:widowControl/>
        <w:pBdr>
          <w:top w:val="nil"/>
          <w:left w:val="nil"/>
          <w:bottom w:val="nil"/>
          <w:right w:val="nil"/>
          <w:between w:val="nil"/>
        </w:pBdr>
        <w:tabs>
          <w:tab w:val="left" w:pos="1980"/>
        </w:tabs>
        <w:spacing w:line="200" w:lineRule="auto"/>
        <w:ind w:left="240" w:hanging="240"/>
        <w:jc w:val="both"/>
      </w:pPr>
      <w:r w:rsidRPr="00CF2228">
        <w:rPr>
          <w:szCs w:val="16"/>
        </w:rPr>
        <w:fldChar w:fldCharType="end"/>
      </w:r>
    </w:p>
    <w:sectPr w:rsidR="004F31DA">
      <w:headerReference w:type="even" r:id="rId18"/>
      <w:headerReference w:type="default" r:id="rId19"/>
      <w:headerReference w:type="first" r:id="rId20"/>
      <w:footerReference w:type="first" r:id="rId21"/>
      <w:pgSz w:w="10886" w:h="14855"/>
      <w:pgMar w:top="907" w:right="794" w:bottom="1253" w:left="737" w:header="907" w:footer="9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E471" w14:textId="77777777" w:rsidR="005F17E0" w:rsidRDefault="005F17E0">
      <w:r>
        <w:separator/>
      </w:r>
    </w:p>
  </w:endnote>
  <w:endnote w:type="continuationSeparator" w:id="0">
    <w:p w14:paraId="765C717E" w14:textId="77777777" w:rsidR="005F17E0" w:rsidRDefault="005F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27E0" w14:textId="0DBB0E77" w:rsidR="005F17E0" w:rsidRDefault="005F17E0">
    <w:pPr>
      <w:widowControl/>
      <w:pBdr>
        <w:top w:val="nil"/>
        <w:left w:val="nil"/>
        <w:bottom w:val="single" w:sz="4" w:space="10" w:color="000000"/>
        <w:right w:val="nil"/>
        <w:between w:val="nil"/>
      </w:pBdr>
      <w:spacing w:after="200" w:line="200" w:lineRule="auto"/>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CB8C" w14:textId="77777777" w:rsidR="005F17E0" w:rsidRDefault="005F17E0">
      <w:r>
        <w:separator/>
      </w:r>
    </w:p>
  </w:footnote>
  <w:footnote w:type="continuationSeparator" w:id="0">
    <w:p w14:paraId="6B3399C7" w14:textId="77777777" w:rsidR="005F17E0" w:rsidRDefault="005F17E0">
      <w:r>
        <w:continuationSeparator/>
      </w:r>
    </w:p>
  </w:footnote>
  <w:footnote w:id="1">
    <w:p w14:paraId="69E59F34" w14:textId="78206470" w:rsidR="005F17E0" w:rsidRDefault="005F17E0">
      <w:pPr>
        <w:keepLines/>
        <w:pBdr>
          <w:top w:val="nil"/>
          <w:left w:val="nil"/>
          <w:bottom w:val="nil"/>
          <w:right w:val="nil"/>
          <w:between w:val="nil"/>
        </w:pBdr>
        <w:spacing w:line="200" w:lineRule="auto"/>
        <w:ind w:firstLine="120"/>
        <w:jc w:val="both"/>
        <w:rPr>
          <w:rFonts w:eastAsia="Times New Roman"/>
          <w:color w:val="000000"/>
          <w:sz w:val="16"/>
          <w:szCs w:val="16"/>
        </w:rPr>
      </w:pPr>
      <w:r>
        <w:rPr>
          <w:rStyle w:val="FootnoteReference"/>
        </w:rPr>
        <w:footnoteRef/>
      </w:r>
      <w:r>
        <w:rPr>
          <w:rFonts w:eastAsia="Times New Roman"/>
          <w:color w:val="000000"/>
          <w:sz w:val="16"/>
          <w:szCs w:val="16"/>
        </w:rPr>
        <w:t xml:space="preserve"> Corresponding author. Tel.:</w:t>
      </w:r>
      <w:r w:rsidRPr="002467B3">
        <w:t xml:space="preserve"> </w:t>
      </w:r>
      <w:r w:rsidRPr="002467B3">
        <w:rPr>
          <w:sz w:val="16"/>
          <w:szCs w:val="16"/>
        </w:rPr>
        <w:t>023 8059</w:t>
      </w:r>
      <w:r w:rsidRPr="002467B3">
        <w:rPr>
          <w:rFonts w:eastAsia="Times New Roman"/>
          <w:color w:val="000000"/>
          <w:sz w:val="16"/>
          <w:szCs w:val="16"/>
        </w:rPr>
        <w:t>7615</w:t>
      </w:r>
      <w:r>
        <w:rPr>
          <w:rFonts w:eastAsia="Times New Roman"/>
          <w:color w:val="000000"/>
          <w:sz w:val="16"/>
          <w:szCs w:val="16"/>
        </w:rPr>
        <w:t xml:space="preserve"> </w:t>
      </w:r>
    </w:p>
    <w:p w14:paraId="29197990" w14:textId="4EB90D08" w:rsidR="005F17E0" w:rsidRDefault="005F17E0">
      <w:pPr>
        <w:keepLines/>
        <w:pBdr>
          <w:top w:val="nil"/>
          <w:left w:val="nil"/>
          <w:bottom w:val="nil"/>
          <w:right w:val="nil"/>
          <w:between w:val="nil"/>
        </w:pBdr>
        <w:spacing w:line="200" w:lineRule="auto"/>
        <w:ind w:firstLine="240"/>
        <w:jc w:val="both"/>
        <w:rPr>
          <w:rFonts w:eastAsia="Times New Roman"/>
          <w:color w:val="000000"/>
          <w:sz w:val="16"/>
          <w:szCs w:val="16"/>
        </w:rPr>
      </w:pPr>
      <w:r>
        <w:rPr>
          <w:rFonts w:eastAsia="Times New Roman"/>
          <w:i/>
          <w:color w:val="000000"/>
          <w:sz w:val="16"/>
          <w:szCs w:val="16"/>
        </w:rPr>
        <w:t>E-mail address:</w:t>
      </w:r>
      <w:r>
        <w:rPr>
          <w:rFonts w:eastAsia="Times New Roman"/>
          <w:color w:val="000000"/>
          <w:sz w:val="16"/>
          <w:szCs w:val="16"/>
        </w:rPr>
        <w:t xml:space="preserve"> rgaw@soton.ac.uk</w:t>
      </w:r>
    </w:p>
    <w:p w14:paraId="515963D3" w14:textId="77777777" w:rsidR="005F17E0" w:rsidRDefault="005F17E0">
      <w:pPr>
        <w:keepLines/>
        <w:pBdr>
          <w:top w:val="nil"/>
          <w:left w:val="nil"/>
          <w:bottom w:val="nil"/>
          <w:right w:val="nil"/>
          <w:between w:val="nil"/>
        </w:pBdr>
        <w:spacing w:line="200" w:lineRule="auto"/>
        <w:ind w:firstLine="240"/>
        <w:jc w:val="both"/>
        <w:rPr>
          <w:rFonts w:eastAsia="Times New Roman"/>
          <w:color w:val="000000"/>
          <w:sz w:val="16"/>
          <w:szCs w:val="16"/>
        </w:rPr>
      </w:pPr>
      <w:bookmarkStart w:id="1" w:name="_heading=h.30j0zll" w:colFirst="0" w:colLast="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1BC7" w14:textId="77777777" w:rsidR="005F17E0" w:rsidRDefault="005F17E0">
    <w:pPr>
      <w:widowControl/>
      <w:pBdr>
        <w:top w:val="nil"/>
        <w:left w:val="nil"/>
        <w:bottom w:val="nil"/>
        <w:right w:val="nil"/>
        <w:between w:val="nil"/>
      </w:pBdr>
      <w:spacing w:after="240" w:line="20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PAGE</w:instrText>
    </w:r>
    <w:r>
      <w:rPr>
        <w:rFonts w:eastAsia="Times New Roman"/>
        <w:color w:val="000000"/>
        <w:sz w:val="16"/>
        <w:szCs w:val="16"/>
      </w:rPr>
      <w:fldChar w:fldCharType="end"/>
    </w:r>
    <w:r>
      <w:rPr>
        <w:rFonts w:eastAsia="Times New Roman"/>
        <w:i/>
        <w:color w:val="000000"/>
        <w:sz w:val="16"/>
        <w:szCs w:val="16"/>
      </w:rPr>
      <w:tab/>
      <w:t>/ Energy Reports 00 (2017)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CABD" w14:textId="5C2693FD" w:rsidR="005F17E0" w:rsidRDefault="005F17E0">
    <w:pPr>
      <w:widowControl/>
      <w:pBdr>
        <w:top w:val="nil"/>
        <w:left w:val="nil"/>
        <w:bottom w:val="nil"/>
        <w:right w:val="nil"/>
        <w:between w:val="nil"/>
      </w:pBdr>
      <w:spacing w:after="240" w:line="259" w:lineRule="auto"/>
      <w:jc w:val="right"/>
      <w:rPr>
        <w:rFonts w:eastAsia="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CBF2" w14:textId="77777777" w:rsidR="005F17E0" w:rsidRDefault="005F17E0">
    <w:pPr>
      <w:widowControl/>
      <w:pBdr>
        <w:top w:val="nil"/>
        <w:left w:val="nil"/>
        <w:bottom w:val="nil"/>
        <w:right w:val="nil"/>
        <w:between w:val="nil"/>
      </w:pBdr>
      <w:spacing w:after="240" w:line="259" w:lineRule="auto"/>
      <w:rPr>
        <w:rFonts w:eastAsia="Times New Roman"/>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1A6"/>
    <w:multiLevelType w:val="multilevel"/>
    <w:tmpl w:val="8DA8EFE4"/>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B7175DD"/>
    <w:multiLevelType w:val="multilevel"/>
    <w:tmpl w:val="CDFAAA46"/>
    <w:lvl w:ilvl="0">
      <w:start w:val="1"/>
      <w:numFmt w:val="bullet"/>
      <w:pStyle w:val="Els-1storder-head"/>
      <w:lvlText w:val="●"/>
      <w:lvlJc w:val="left"/>
      <w:pPr>
        <w:ind w:left="240" w:hanging="240"/>
      </w:pPr>
      <w:rPr>
        <w:rFonts w:ascii="Noto Sans Symbols" w:eastAsia="Noto Sans Symbols" w:hAnsi="Noto Sans Symbols" w:cs="Noto Sans Symbols"/>
      </w:rPr>
    </w:lvl>
    <w:lvl w:ilvl="1">
      <w:start w:val="1"/>
      <w:numFmt w:val="bullet"/>
      <w:pStyle w:val="Els-2ndorder-head"/>
      <w:lvlText w:val="○"/>
      <w:lvlJc w:val="left"/>
      <w:pPr>
        <w:ind w:left="480" w:hanging="240"/>
      </w:pPr>
      <w:rPr>
        <w:rFonts w:ascii="Times New Roman" w:eastAsia="Times New Roman" w:hAnsi="Times New Roman" w:cs="Times New Roman"/>
        <w:sz w:val="28"/>
        <w:szCs w:val="28"/>
      </w:rPr>
    </w:lvl>
    <w:lvl w:ilvl="2">
      <w:start w:val="1"/>
      <w:numFmt w:val="bullet"/>
      <w:pStyle w:val="Els-3rdorder-head"/>
      <w:lvlText w:val="–"/>
      <w:lvlJc w:val="left"/>
      <w:pPr>
        <w:ind w:left="720" w:hanging="240"/>
      </w:pPr>
      <w:rPr>
        <w:rFonts w:ascii="Times New Roman" w:eastAsia="Times New Roman" w:hAnsi="Times New Roman" w:cs="Times New Roman"/>
      </w:rPr>
    </w:lvl>
    <w:lvl w:ilvl="3">
      <w:start w:val="1"/>
      <w:numFmt w:val="decimal"/>
      <w:pStyle w:val="Els-4thorder-head"/>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abstractNum w:abstractNumId="3" w15:restartNumberingAfterBreak="0">
    <w:nsid w:val="3B597D7A"/>
    <w:multiLevelType w:val="multilevel"/>
    <w:tmpl w:val="26A61AAE"/>
    <w:lvl w:ilvl="0">
      <w:start w:val="5"/>
      <w:numFmt w:val="bullet"/>
      <w:lvlText w:val="⮚"/>
      <w:lvlJc w:val="left"/>
      <w:pPr>
        <w:ind w:left="720" w:hanging="360"/>
      </w:pPr>
      <w:rPr>
        <w:rFonts w:ascii="Noto Sans Symbols" w:eastAsia="Noto Sans Symbols" w:hAnsi="Noto Sans Symbols" w:cs="Noto Sans Symbols"/>
      </w:rPr>
    </w:lvl>
    <w:lvl w:ilvl="1">
      <w:start w:val="1"/>
      <w:numFmt w:val="bullet"/>
      <w:pStyle w:val="Els-appendixsubhea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87132"/>
    <w:multiLevelType w:val="multilevel"/>
    <w:tmpl w:val="AD541B1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5"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61777069"/>
    <w:multiLevelType w:val="multilevel"/>
    <w:tmpl w:val="75E8A5EE"/>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2502FE9"/>
    <w:multiLevelType w:val="multilevel"/>
    <w:tmpl w:val="86DC1EDE"/>
    <w:lvl w:ilvl="0">
      <w:start w:val="1"/>
      <w:numFmt w:val="bullet"/>
      <w:pStyle w:val="Els-bullet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94752A"/>
    <w:multiLevelType w:val="multilevel"/>
    <w:tmpl w:val="17A8EC28"/>
    <w:lvl w:ilvl="0">
      <w:start w:val="1"/>
      <w:numFmt w:val="bullet"/>
      <w:pStyle w:val="Els-appendixhead"/>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9" w15:restartNumberingAfterBreak="0">
    <w:nsid w:val="7FD5634C"/>
    <w:multiLevelType w:val="hybridMultilevel"/>
    <w:tmpl w:val="2B2A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NDY0sjAyMDIwtTRX0lEKTi0uzszPAykwqQUAQcMZ+iwAAAA="/>
    <w:docVar w:name="EN.InstantFormat" w:val="&lt;ENInstantFormat&gt;&lt;Enabled&gt;1&lt;/Enabled&gt;&lt;ScanUnformatted&gt;1&lt;/ScanUnformatted&gt;&lt;ScanChanges&gt;1&lt;/ScanChanges&gt;&lt;Suspended&gt;0&lt;/Suspended&gt;&lt;/ENInstantFormat&gt;"/>
    <w:docVar w:name="EN.Layout" w:val="&lt;ENLayout&gt;&lt;Style&gt;IEEE Thesi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vfd0xvz92p9cedzr4pv9au5p9safsedrar&quot;&gt;My EndNote Library-Saved&lt;record-ids&gt;&lt;item&gt;232&lt;/item&gt;&lt;item&gt;263&lt;/item&gt;&lt;item&gt;278&lt;/item&gt;&lt;item&gt;291&lt;/item&gt;&lt;item&gt;315&lt;/item&gt;&lt;item&gt;321&lt;/item&gt;&lt;item&gt;322&lt;/item&gt;&lt;item&gt;364&lt;/item&gt;&lt;item&gt;367&lt;/item&gt;&lt;item&gt;368&lt;/item&gt;&lt;item&gt;416&lt;/item&gt;&lt;item&gt;417&lt;/item&gt;&lt;item&gt;421&lt;/item&gt;&lt;item&gt;451&lt;/item&gt;&lt;item&gt;452&lt;/item&gt;&lt;/record-ids&gt;&lt;/item&gt;&lt;/Libraries&gt;"/>
  </w:docVars>
  <w:rsids>
    <w:rsidRoot w:val="004F31DA"/>
    <w:rsid w:val="00080486"/>
    <w:rsid w:val="000C3AA4"/>
    <w:rsid w:val="00126426"/>
    <w:rsid w:val="00151CA7"/>
    <w:rsid w:val="002467B3"/>
    <w:rsid w:val="003043E1"/>
    <w:rsid w:val="00344502"/>
    <w:rsid w:val="003B07AE"/>
    <w:rsid w:val="003D6521"/>
    <w:rsid w:val="004F31DA"/>
    <w:rsid w:val="005F17E0"/>
    <w:rsid w:val="006168E2"/>
    <w:rsid w:val="00704765"/>
    <w:rsid w:val="00783958"/>
    <w:rsid w:val="007C36A5"/>
    <w:rsid w:val="009D5B4B"/>
    <w:rsid w:val="00C722F8"/>
    <w:rsid w:val="00D03150"/>
    <w:rsid w:val="00E800B1"/>
    <w:rsid w:val="00EA5224"/>
    <w:rsid w:val="00F0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14:docId w14:val="5D404499"/>
  <w14:defaultImageDpi w14:val="32767"/>
  <w15:docId w15:val="{15819BCB-7714-4601-82C0-502F3354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36"/>
    <w:rPr>
      <w:rFonts w:eastAsia="SimSun"/>
    </w:rPr>
  </w:style>
  <w:style w:type="paragraph" w:styleId="Heading1">
    <w:name w:val="heading 1"/>
    <w:basedOn w:val="Normal"/>
    <w:next w:val="Normal"/>
    <w:link w:val="Heading1Char"/>
    <w:qFormat/>
    <w:rsid w:val="004F5036"/>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F5036"/>
    <w:rPr>
      <w:rFonts w:ascii="Times New Roman" w:eastAsia="SimSun" w:hAnsi="Times New Roman" w:cs="Times New Roman"/>
      <w:b/>
      <w:bCs/>
      <w:sz w:val="20"/>
      <w:szCs w:val="20"/>
    </w:rPr>
  </w:style>
  <w:style w:type="paragraph" w:customStyle="1" w:styleId="Els-1storder-head">
    <w:name w:val="Els-1storder-head"/>
    <w:next w:val="Els-body-text"/>
    <w:rsid w:val="004F5036"/>
    <w:pPr>
      <w:keepNext/>
      <w:numPr>
        <w:numId w:val="1"/>
      </w:numPr>
      <w:suppressAutoHyphens/>
      <w:spacing w:before="240" w:after="240" w:line="240" w:lineRule="exact"/>
    </w:pPr>
    <w:rPr>
      <w:rFonts w:eastAsia="SimSun"/>
      <w:b/>
    </w:rPr>
  </w:style>
  <w:style w:type="paragraph" w:customStyle="1" w:styleId="Els-2ndorder-head">
    <w:name w:val="Els-2ndorder-head"/>
    <w:next w:val="Els-body-text"/>
    <w:rsid w:val="004F5036"/>
    <w:pPr>
      <w:keepNext/>
      <w:numPr>
        <w:ilvl w:val="1"/>
        <w:numId w:val="1"/>
      </w:numPr>
      <w:suppressAutoHyphens/>
      <w:spacing w:before="240" w:after="240" w:line="240" w:lineRule="exact"/>
    </w:pPr>
    <w:rPr>
      <w:rFonts w:eastAsia="SimSun"/>
      <w:i/>
    </w:rPr>
  </w:style>
  <w:style w:type="paragraph" w:customStyle="1" w:styleId="Els-3rdorder-head">
    <w:name w:val="Els-3rdorder-head"/>
    <w:next w:val="Els-body-text"/>
    <w:rsid w:val="004F5036"/>
    <w:pPr>
      <w:keepNext/>
      <w:numPr>
        <w:ilvl w:val="2"/>
        <w:numId w:val="1"/>
      </w:numPr>
      <w:suppressAutoHyphens/>
      <w:spacing w:before="240" w:line="240" w:lineRule="exact"/>
    </w:pPr>
    <w:rPr>
      <w:rFonts w:eastAsia="SimSun"/>
      <w:i/>
    </w:rPr>
  </w:style>
  <w:style w:type="paragraph" w:customStyle="1" w:styleId="Els-4thorder-head">
    <w:name w:val="Els-4thorder-head"/>
    <w:next w:val="Els-body-text"/>
    <w:rsid w:val="004F5036"/>
    <w:pPr>
      <w:keepNext/>
      <w:numPr>
        <w:ilvl w:val="3"/>
        <w:numId w:val="1"/>
      </w:numPr>
      <w:suppressAutoHyphens/>
      <w:spacing w:before="240" w:line="240" w:lineRule="exact"/>
    </w:pPr>
    <w:rPr>
      <w:rFonts w:eastAsia="SimSun"/>
      <w:i/>
    </w:rPr>
  </w:style>
  <w:style w:type="paragraph" w:customStyle="1" w:styleId="Els-Abstract-head">
    <w:name w:val="Els-Abstract-head"/>
    <w:next w:val="Normal"/>
    <w:rsid w:val="004F5036"/>
    <w:pPr>
      <w:keepNext/>
      <w:pBdr>
        <w:top w:val="single" w:sz="4" w:space="10" w:color="auto"/>
      </w:pBdr>
      <w:suppressAutoHyphens/>
      <w:spacing w:after="220" w:line="220" w:lineRule="exact"/>
    </w:pPr>
    <w:rPr>
      <w:rFonts w:eastAsia="SimSun"/>
      <w:b/>
      <w:sz w:val="18"/>
    </w:rPr>
  </w:style>
  <w:style w:type="paragraph" w:customStyle="1" w:styleId="Els-Abstract-text">
    <w:name w:val="Els-Abstract-text"/>
    <w:next w:val="Normal"/>
    <w:rsid w:val="004F5036"/>
    <w:pPr>
      <w:spacing w:line="220" w:lineRule="exact"/>
      <w:jc w:val="both"/>
    </w:pPr>
    <w:rPr>
      <w:rFonts w:eastAsia="SimSun"/>
      <w:sz w:val="18"/>
    </w:rPr>
  </w:style>
  <w:style w:type="paragraph" w:customStyle="1" w:styleId="Els-acknowledgement">
    <w:name w:val="Els-acknowledgement"/>
    <w:next w:val="Normal"/>
    <w:rsid w:val="004F5036"/>
    <w:pPr>
      <w:keepNext/>
      <w:spacing w:before="480" w:after="240" w:line="220" w:lineRule="exact"/>
    </w:pPr>
    <w:rPr>
      <w:rFonts w:eastAsia="SimSun"/>
      <w:b/>
    </w:rPr>
  </w:style>
  <w:style w:type="paragraph" w:customStyle="1" w:styleId="Els-Affiliation">
    <w:name w:val="Els-Affiliation"/>
    <w:next w:val="Els-Abstract-head"/>
    <w:rsid w:val="004F5036"/>
    <w:pPr>
      <w:suppressAutoHyphens/>
      <w:spacing w:line="200" w:lineRule="exact"/>
      <w:jc w:val="center"/>
    </w:pPr>
    <w:rPr>
      <w:rFonts w:eastAsia="SimSun"/>
      <w:i/>
      <w:noProof/>
      <w:sz w:val="16"/>
    </w:rPr>
  </w:style>
  <w:style w:type="paragraph" w:customStyle="1" w:styleId="Els-appendixhead">
    <w:name w:val="Els-appendixhead"/>
    <w:next w:val="Normal"/>
    <w:rsid w:val="004F5036"/>
    <w:pPr>
      <w:numPr>
        <w:numId w:val="2"/>
      </w:numPr>
      <w:spacing w:before="480" w:after="240" w:line="220" w:lineRule="exact"/>
    </w:pPr>
    <w:rPr>
      <w:rFonts w:eastAsia="SimSun"/>
      <w:b/>
    </w:rPr>
  </w:style>
  <w:style w:type="paragraph" w:customStyle="1" w:styleId="Els-appendixsubhead">
    <w:name w:val="Els-appendixsubhead"/>
    <w:next w:val="Normal"/>
    <w:rsid w:val="004F5036"/>
    <w:pPr>
      <w:numPr>
        <w:ilvl w:val="1"/>
        <w:numId w:val="3"/>
      </w:numPr>
      <w:spacing w:before="240" w:after="240" w:line="220" w:lineRule="exact"/>
    </w:pPr>
    <w:rPr>
      <w:rFonts w:eastAsia="SimSun"/>
      <w:i/>
    </w:rPr>
  </w:style>
  <w:style w:type="paragraph" w:customStyle="1" w:styleId="Els-Author">
    <w:name w:val="Els-Author"/>
    <w:next w:val="Normal"/>
    <w:rsid w:val="004F5036"/>
    <w:pPr>
      <w:keepNext/>
      <w:suppressAutoHyphens/>
      <w:spacing w:line="300" w:lineRule="exact"/>
      <w:jc w:val="center"/>
    </w:pPr>
    <w:rPr>
      <w:rFonts w:eastAsia="SimSun"/>
      <w:noProof/>
      <w:sz w:val="26"/>
    </w:rPr>
  </w:style>
  <w:style w:type="paragraph" w:customStyle="1" w:styleId="Els-body-text">
    <w:name w:val="Els-body-text"/>
    <w:qFormat/>
    <w:rsid w:val="004F5036"/>
    <w:pPr>
      <w:spacing w:line="240" w:lineRule="exact"/>
      <w:ind w:firstLine="238"/>
      <w:jc w:val="both"/>
    </w:pPr>
    <w:rPr>
      <w:rFonts w:eastAsia="SimSun"/>
    </w:rPr>
  </w:style>
  <w:style w:type="paragraph" w:customStyle="1" w:styleId="Els-bulletlist">
    <w:name w:val="Els-bulletlist"/>
    <w:basedOn w:val="Els-body-text"/>
    <w:rsid w:val="004F5036"/>
    <w:pPr>
      <w:numPr>
        <w:numId w:val="4"/>
      </w:numPr>
      <w:tabs>
        <w:tab w:val="left" w:pos="240"/>
      </w:tabs>
      <w:jc w:val="left"/>
    </w:pPr>
  </w:style>
  <w:style w:type="paragraph" w:customStyle="1" w:styleId="Els-caption">
    <w:name w:val="Els-caption"/>
    <w:link w:val="Els-captionChar"/>
    <w:qFormat/>
    <w:rsid w:val="004F5036"/>
    <w:pPr>
      <w:keepLines/>
      <w:spacing w:before="200" w:after="240" w:line="200" w:lineRule="exact"/>
    </w:pPr>
    <w:rPr>
      <w:rFonts w:eastAsia="SimSun"/>
      <w:sz w:val="16"/>
    </w:rPr>
  </w:style>
  <w:style w:type="paragraph" w:customStyle="1" w:styleId="Els-equation">
    <w:name w:val="Els-equation"/>
    <w:next w:val="Normal"/>
    <w:rsid w:val="004F5036"/>
    <w:pPr>
      <w:tabs>
        <w:tab w:val="right" w:pos="4320"/>
        <w:tab w:val="right" w:pos="9120"/>
      </w:tabs>
      <w:spacing w:before="240" w:after="240"/>
      <w:ind w:left="482"/>
    </w:pPr>
    <w:rPr>
      <w:rFonts w:eastAsia="SimSun"/>
      <w:i/>
      <w:noProof/>
    </w:rPr>
  </w:style>
  <w:style w:type="paragraph" w:customStyle="1" w:styleId="Els-footnote">
    <w:name w:val="Els-footnote"/>
    <w:rsid w:val="004F5036"/>
    <w:pPr>
      <w:keepLines/>
      <w:spacing w:line="200" w:lineRule="exact"/>
      <w:ind w:firstLine="245"/>
      <w:jc w:val="both"/>
    </w:pPr>
    <w:rPr>
      <w:rFonts w:eastAsia="SimSun"/>
      <w:sz w:val="16"/>
    </w:rPr>
  </w:style>
  <w:style w:type="paragraph" w:customStyle="1" w:styleId="Els-keywords">
    <w:name w:val="Els-keywords"/>
    <w:next w:val="Normal"/>
    <w:rsid w:val="004F5036"/>
    <w:pPr>
      <w:pBdr>
        <w:bottom w:val="single" w:sz="4" w:space="10" w:color="auto"/>
      </w:pBdr>
      <w:spacing w:after="200" w:line="200" w:lineRule="exact"/>
    </w:pPr>
    <w:rPr>
      <w:rFonts w:eastAsia="SimSun"/>
      <w:noProof/>
      <w:sz w:val="16"/>
    </w:rPr>
  </w:style>
  <w:style w:type="paragraph" w:customStyle="1" w:styleId="Els-reference-head">
    <w:name w:val="Els-reference-head"/>
    <w:next w:val="Normal"/>
    <w:rsid w:val="004F5036"/>
    <w:pPr>
      <w:keepNext/>
      <w:spacing w:before="480" w:after="200" w:line="220" w:lineRule="exact"/>
    </w:pPr>
    <w:rPr>
      <w:rFonts w:eastAsia="SimSun"/>
      <w:b/>
    </w:rPr>
  </w:style>
  <w:style w:type="paragraph" w:customStyle="1" w:styleId="Els-table-text">
    <w:name w:val="Els-table-text"/>
    <w:rsid w:val="004F5036"/>
    <w:pPr>
      <w:spacing w:after="80" w:line="200" w:lineRule="exact"/>
    </w:pPr>
    <w:rPr>
      <w:rFonts w:eastAsia="SimSun"/>
      <w:sz w:val="16"/>
    </w:rPr>
  </w:style>
  <w:style w:type="paragraph" w:customStyle="1" w:styleId="Els-Title">
    <w:name w:val="Els-Title"/>
    <w:next w:val="Els-Author"/>
    <w:autoRedefine/>
    <w:rsid w:val="004F5036"/>
    <w:pPr>
      <w:suppressAutoHyphens/>
      <w:spacing w:after="240" w:line="400" w:lineRule="exact"/>
      <w:jc w:val="center"/>
    </w:pPr>
    <w:rPr>
      <w:rFonts w:eastAsia="SimSun"/>
      <w:sz w:val="34"/>
    </w:rPr>
  </w:style>
  <w:style w:type="paragraph" w:styleId="Header">
    <w:name w:val="header"/>
    <w:link w:val="HeaderChar"/>
    <w:semiHidden/>
    <w:rsid w:val="004F5036"/>
    <w:pPr>
      <w:tabs>
        <w:tab w:val="center" w:pos="4706"/>
        <w:tab w:val="right" w:pos="9356"/>
      </w:tabs>
      <w:spacing w:before="100" w:beforeAutospacing="1" w:after="240" w:line="200" w:lineRule="atLeast"/>
    </w:pPr>
    <w:rPr>
      <w:rFonts w:eastAsia="SimSun"/>
      <w:i/>
      <w:noProof/>
      <w:sz w:val="16"/>
    </w:rPr>
  </w:style>
  <w:style w:type="character" w:customStyle="1" w:styleId="HeaderChar">
    <w:name w:val="Header Char"/>
    <w:basedOn w:val="DefaultParagraphFont"/>
    <w:link w:val="Header"/>
    <w:semiHidden/>
    <w:rsid w:val="004F5036"/>
    <w:rPr>
      <w:rFonts w:ascii="Times New Roman" w:eastAsia="SimSun" w:hAnsi="Times New Roman" w:cs="Times New Roman"/>
      <w:i/>
      <w:noProof/>
      <w:sz w:val="16"/>
      <w:szCs w:val="20"/>
      <w:lang w:val="en-US"/>
    </w:rPr>
  </w:style>
  <w:style w:type="paragraph" w:styleId="Footer">
    <w:name w:val="footer"/>
    <w:basedOn w:val="Header"/>
    <w:link w:val="FooterChar"/>
    <w:semiHidden/>
    <w:rsid w:val="004F5036"/>
    <w:pPr>
      <w:tabs>
        <w:tab w:val="right" w:pos="10080"/>
      </w:tabs>
    </w:pPr>
    <w:rPr>
      <w:i w:val="0"/>
    </w:rPr>
  </w:style>
  <w:style w:type="character" w:customStyle="1" w:styleId="FooterChar">
    <w:name w:val="Footer Char"/>
    <w:basedOn w:val="DefaultParagraphFont"/>
    <w:link w:val="Footer"/>
    <w:semiHidden/>
    <w:rsid w:val="004F5036"/>
    <w:rPr>
      <w:rFonts w:ascii="Times New Roman" w:eastAsia="SimSun" w:hAnsi="Times New Roman" w:cs="Times New Roman"/>
      <w:noProof/>
      <w:sz w:val="16"/>
      <w:szCs w:val="20"/>
      <w:lang w:val="en-US"/>
    </w:rPr>
  </w:style>
  <w:style w:type="character" w:styleId="FootnoteReference">
    <w:name w:val="footnote reference"/>
    <w:semiHidden/>
    <w:rsid w:val="004F5036"/>
    <w:rPr>
      <w:vertAlign w:val="superscript"/>
    </w:rPr>
  </w:style>
  <w:style w:type="paragraph" w:styleId="FootnoteText">
    <w:name w:val="footnote text"/>
    <w:basedOn w:val="Normal"/>
    <w:link w:val="FootnoteTextChar"/>
    <w:semiHidden/>
    <w:rsid w:val="004F5036"/>
    <w:rPr>
      <w:rFonts w:ascii="Univers" w:hAnsi="Univers"/>
    </w:rPr>
  </w:style>
  <w:style w:type="character" w:customStyle="1" w:styleId="FootnoteTextChar">
    <w:name w:val="Footnote Text Char"/>
    <w:basedOn w:val="DefaultParagraphFont"/>
    <w:link w:val="FootnoteText"/>
    <w:semiHidden/>
    <w:rsid w:val="004F5036"/>
    <w:rPr>
      <w:rFonts w:ascii="Univers" w:eastAsia="SimSun" w:hAnsi="Univers" w:cs="Times New Roman"/>
      <w:sz w:val="20"/>
      <w:szCs w:val="20"/>
    </w:rPr>
  </w:style>
  <w:style w:type="character" w:styleId="Hyperlink">
    <w:name w:val="Hyperlink"/>
    <w:semiHidden/>
    <w:rsid w:val="004F5036"/>
    <w:rPr>
      <w:color w:val="auto"/>
      <w:sz w:val="16"/>
      <w:u w:val="none"/>
    </w:rPr>
  </w:style>
  <w:style w:type="character" w:styleId="PageNumber">
    <w:name w:val="page number"/>
    <w:semiHidden/>
    <w:rsid w:val="004F5036"/>
    <w:rPr>
      <w:sz w:val="16"/>
    </w:rPr>
  </w:style>
  <w:style w:type="paragraph" w:customStyle="1" w:styleId="DocHead">
    <w:name w:val="DocHead"/>
    <w:rsid w:val="004F5036"/>
    <w:pPr>
      <w:spacing w:before="240" w:after="240"/>
      <w:jc w:val="center"/>
    </w:pPr>
    <w:rPr>
      <w:rFonts w:eastAsia="SimSun"/>
      <w:sz w:val="24"/>
    </w:rPr>
  </w:style>
  <w:style w:type="paragraph" w:styleId="CommentText">
    <w:name w:val="annotation text"/>
    <w:basedOn w:val="Normal"/>
    <w:link w:val="CommentTextChar"/>
    <w:semiHidden/>
    <w:unhideWhenUsed/>
    <w:rsid w:val="004F5036"/>
  </w:style>
  <w:style w:type="character" w:customStyle="1" w:styleId="CommentTextChar">
    <w:name w:val="Comment Text Char"/>
    <w:basedOn w:val="DefaultParagraphFont"/>
    <w:link w:val="CommentText"/>
    <w:semiHidden/>
    <w:rsid w:val="004F5036"/>
    <w:rPr>
      <w:rFonts w:ascii="Times New Roman" w:eastAsia="SimSun" w:hAnsi="Times New Roman" w:cs="Times New Roman"/>
      <w:sz w:val="20"/>
      <w:szCs w:val="20"/>
    </w:rPr>
  </w:style>
  <w:style w:type="paragraph" w:styleId="BodyTextIndent">
    <w:name w:val="Body Text Indent"/>
    <w:basedOn w:val="Normal"/>
    <w:link w:val="BodyTextIndentChar"/>
    <w:semiHidden/>
    <w:rsid w:val="004F5036"/>
    <w:pPr>
      <w:widowControl/>
      <w:suppressAutoHyphens/>
      <w:ind w:firstLine="360"/>
      <w:jc w:val="both"/>
    </w:pPr>
    <w:rPr>
      <w:rFonts w:eastAsia="Times New Roman"/>
      <w:kern w:val="14"/>
    </w:rPr>
  </w:style>
  <w:style w:type="character" w:customStyle="1" w:styleId="BodyTextIndentChar">
    <w:name w:val="Body Text Indent Char"/>
    <w:basedOn w:val="DefaultParagraphFont"/>
    <w:link w:val="BodyTextIndent"/>
    <w:semiHidden/>
    <w:rsid w:val="004F5036"/>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al"/>
    <w:qFormat/>
    <w:rsid w:val="004F5036"/>
    <w:pPr>
      <w:widowControl/>
      <w:ind w:left="720"/>
    </w:pPr>
    <w:rPr>
      <w:rFonts w:ascii="Arial" w:eastAsia="Batang" w:hAnsi="Arial"/>
      <w:sz w:val="22"/>
      <w:szCs w:val="24"/>
      <w:lang w:eastAsia="ko-KR"/>
    </w:rPr>
  </w:style>
  <w:style w:type="paragraph" w:styleId="BodyTextIndent2">
    <w:name w:val="Body Text Indent 2"/>
    <w:basedOn w:val="Normal"/>
    <w:link w:val="BodyTextIndent2Char"/>
    <w:semiHidden/>
    <w:rsid w:val="004F5036"/>
    <w:pPr>
      <w:ind w:firstLine="240"/>
    </w:pPr>
  </w:style>
  <w:style w:type="character" w:customStyle="1" w:styleId="BodyTextIndent2Char">
    <w:name w:val="Body Text Indent 2 Char"/>
    <w:basedOn w:val="DefaultParagraphFont"/>
    <w:link w:val="BodyTextIndent2"/>
    <w:semiHidden/>
    <w:rsid w:val="004F5036"/>
    <w:rPr>
      <w:rFonts w:ascii="Times New Roman" w:eastAsia="SimSun" w:hAnsi="Times New Roman" w:cs="Times New Roman"/>
      <w:sz w:val="20"/>
      <w:szCs w:val="20"/>
    </w:rPr>
  </w:style>
  <w:style w:type="paragraph" w:styleId="ListParagraph">
    <w:name w:val="List Paragraph"/>
    <w:basedOn w:val="Normal"/>
    <w:uiPriority w:val="34"/>
    <w:qFormat/>
    <w:rsid w:val="004F503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rsid w:val="002467B3"/>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467B3"/>
    <w:rPr>
      <w:noProof/>
      <w:sz w:val="16"/>
      <w:lang w:eastAsia="en-US"/>
    </w:rPr>
  </w:style>
  <w:style w:type="character" w:customStyle="1" w:styleId="EndNoteBibliographyChar">
    <w:name w:val="EndNote Bibliography Char"/>
    <w:basedOn w:val="DefaultParagraphFont"/>
    <w:link w:val="EndNoteBibliography"/>
    <w:rsid w:val="002467B3"/>
    <w:rPr>
      <w:rFonts w:eastAsia="SimSun"/>
      <w:noProof/>
      <w:sz w:val="16"/>
      <w:lang w:eastAsia="en-US"/>
    </w:rPr>
  </w:style>
  <w:style w:type="table" w:customStyle="1" w:styleId="EGYR">
    <w:name w:val="EGYR"/>
    <w:basedOn w:val="TableNormal"/>
    <w:uiPriority w:val="99"/>
    <w:rsid w:val="002467B3"/>
    <w:pPr>
      <w:widowControl/>
    </w:pPr>
    <w:rPr>
      <w:rFonts w:asciiTheme="minorHAnsi" w:eastAsiaTheme="minorHAnsi" w:hAnsiTheme="minorHAnsi" w:cstheme="minorBidi"/>
      <w:sz w:val="22"/>
      <w:szCs w:val="22"/>
      <w:lang w:val="en-GB" w:eastAsia="en-US"/>
    </w:rPr>
    <w:tblPr/>
  </w:style>
  <w:style w:type="paragraph" w:styleId="BalloonText">
    <w:name w:val="Balloon Text"/>
    <w:basedOn w:val="Normal"/>
    <w:link w:val="BalloonTextChar"/>
    <w:uiPriority w:val="99"/>
    <w:semiHidden/>
    <w:unhideWhenUsed/>
    <w:rsid w:val="000C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A4"/>
    <w:rPr>
      <w:rFonts w:ascii="Segoe UI" w:eastAsia="SimSun" w:hAnsi="Segoe UI" w:cs="Segoe UI"/>
      <w:sz w:val="18"/>
      <w:szCs w:val="18"/>
    </w:rPr>
  </w:style>
  <w:style w:type="paragraph" w:customStyle="1" w:styleId="EndNoteBibliographyTitle">
    <w:name w:val="EndNote Bibliography Title"/>
    <w:basedOn w:val="Normal"/>
    <w:link w:val="EndNoteBibliographyTitleChar"/>
    <w:rsid w:val="000C3AA4"/>
    <w:pPr>
      <w:jc w:val="center"/>
    </w:pPr>
    <w:rPr>
      <w:noProof/>
      <w:sz w:val="16"/>
      <w:lang w:val="en-GB"/>
    </w:rPr>
  </w:style>
  <w:style w:type="character" w:customStyle="1" w:styleId="Els-captionChar">
    <w:name w:val="Els-caption Char"/>
    <w:basedOn w:val="DefaultParagraphFont"/>
    <w:link w:val="Els-caption"/>
    <w:rsid w:val="000C3AA4"/>
    <w:rPr>
      <w:rFonts w:eastAsia="SimSun"/>
      <w:sz w:val="16"/>
    </w:rPr>
  </w:style>
  <w:style w:type="character" w:customStyle="1" w:styleId="EndNoteBibliographyTitleChar">
    <w:name w:val="EndNote Bibliography Title Char"/>
    <w:basedOn w:val="Els-captionChar"/>
    <w:link w:val="EndNoteBibliographyTitle"/>
    <w:rsid w:val="000C3AA4"/>
    <w:rPr>
      <w:rFonts w:eastAsia="SimSun"/>
      <w:noProof/>
      <w:sz w:val="16"/>
      <w:lang w:val="en-GB"/>
    </w:rPr>
  </w:style>
  <w:style w:type="character" w:styleId="UnresolvedMention">
    <w:name w:val="Unresolved Mention"/>
    <w:basedOn w:val="DefaultParagraphFont"/>
    <w:uiPriority w:val="99"/>
    <w:semiHidden/>
    <w:unhideWhenUsed/>
    <w:rsid w:val="005F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yperlink" Target="http://dx.doi.org/10.1016/j.jpowsour.2005.01.049" TargetMode="External"/><Relationship Id="rId2" Type="http://schemas.openxmlformats.org/officeDocument/2006/relationships/customXml" Target="../customXml/item2.xml"/><Relationship Id="rId16" Type="http://schemas.openxmlformats.org/officeDocument/2006/relationships/hyperlink" Target="https://www.sciencedirect.com/science/article/pii/S235248472030188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iNcsChi/QeYoZW5HVloyna/A==">AMUW2mXTQMndB+uxzLnwELmyvFbXwosMkz1QeZdq9b3005wm+nIjRagU6qEbGAmpHAeyQRuek+83UBnTbZiZnV8bxUPQgLZ/2GdIHcvRHv6dQG9cRFl2sKjahGNQeqEd6re7/LFysl2n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4FD8FA-C026-423F-AB5F-43391007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Adam (ELS-LOW)</dc:creator>
  <cp:keywords/>
  <dc:description/>
  <cp:lastModifiedBy>Ewan Fraser</cp:lastModifiedBy>
  <cp:revision>2</cp:revision>
  <cp:lastPrinted>2021-02-11T17:44:00Z</cp:lastPrinted>
  <dcterms:created xsi:type="dcterms:W3CDTF">2021-04-30T18:35:00Z</dcterms:created>
  <dcterms:modified xsi:type="dcterms:W3CDTF">2021-04-30T18:35:00Z</dcterms:modified>
</cp:coreProperties>
</file>