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5CCA1" w14:textId="17F4ECA8" w:rsidR="00EC5FE4" w:rsidRPr="00AB729D" w:rsidRDefault="001F21FE" w:rsidP="00C4120C">
      <w:pPr>
        <w:pStyle w:val="ListParagraph"/>
        <w:numPr>
          <w:ilvl w:val="0"/>
          <w:numId w:val="14"/>
        </w:numPr>
        <w:rPr>
          <w:rFonts w:ascii="Times New Roman" w:hAnsi="Times New Roman"/>
          <w:b/>
          <w:sz w:val="24"/>
          <w:szCs w:val="24"/>
        </w:rPr>
      </w:pPr>
      <w:bookmarkStart w:id="0" w:name="_Toc474489288"/>
      <w:r w:rsidRPr="00AB729D">
        <w:rPr>
          <w:rFonts w:ascii="Times New Roman" w:hAnsi="Times New Roman"/>
          <w:b/>
          <w:sz w:val="24"/>
          <w:szCs w:val="24"/>
        </w:rPr>
        <w:t>Introduction</w:t>
      </w:r>
      <w:bookmarkEnd w:id="0"/>
    </w:p>
    <w:p w14:paraId="5A384408" w14:textId="0CB9057F" w:rsidR="008000CD" w:rsidRPr="00AB729D" w:rsidRDefault="008000CD" w:rsidP="003D3EBA">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Equities are said to be “mispriced” when deviations exist between </w:t>
      </w:r>
      <w:r w:rsidR="003D3EBA" w:rsidRPr="00AB729D">
        <w:rPr>
          <w:rFonts w:ascii="Times New Roman" w:eastAsiaTheme="minorHAnsi" w:hAnsi="Times New Roman"/>
          <w:sz w:val="24"/>
          <w:szCs w:val="24"/>
        </w:rPr>
        <w:t xml:space="preserve">a </w:t>
      </w:r>
      <w:r w:rsidRPr="00AB729D">
        <w:rPr>
          <w:rFonts w:ascii="Times New Roman" w:eastAsiaTheme="minorHAnsi" w:hAnsi="Times New Roman"/>
          <w:sz w:val="24"/>
          <w:szCs w:val="24"/>
        </w:rPr>
        <w:t>firm</w:t>
      </w:r>
      <w:r w:rsidR="009F740A"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s stock price and its intrinsic value (the </w:t>
      </w:r>
      <w:r w:rsidR="003D3EBA" w:rsidRPr="00AB729D">
        <w:rPr>
          <w:rFonts w:ascii="Times New Roman" w:eastAsiaTheme="minorHAnsi" w:hAnsi="Times New Roman"/>
          <w:sz w:val="24"/>
          <w:szCs w:val="24"/>
        </w:rPr>
        <w:t xml:space="preserve">intrinsic value is defined as the </w:t>
      </w:r>
      <w:r w:rsidRPr="00AB729D">
        <w:rPr>
          <w:rFonts w:ascii="Times New Roman" w:eastAsiaTheme="minorHAnsi" w:hAnsi="Times New Roman"/>
          <w:sz w:val="24"/>
          <w:szCs w:val="24"/>
        </w:rPr>
        <w:t>present value of the future cash flows generated by the firm</w:t>
      </w:r>
      <w:r w:rsidR="003D3EBA" w:rsidRPr="00AB729D">
        <w:rPr>
          <w:rFonts w:ascii="Times New Roman" w:eastAsiaTheme="minorHAnsi" w:hAnsi="Times New Roman"/>
          <w:sz w:val="24"/>
          <w:szCs w:val="24"/>
        </w:rPr>
        <w:t xml:space="preserve"> on a per share basis</w:t>
      </w:r>
      <w:r w:rsidRPr="00AB729D">
        <w:rPr>
          <w:rFonts w:ascii="Times New Roman" w:eastAsiaTheme="minorHAnsi" w:hAnsi="Times New Roman"/>
          <w:sz w:val="24"/>
          <w:szCs w:val="24"/>
        </w:rPr>
        <w:t xml:space="preserve">). </w:t>
      </w:r>
      <w:r w:rsidR="003D3EBA" w:rsidRPr="00AB729D">
        <w:rPr>
          <w:rFonts w:ascii="Times New Roman" w:eastAsiaTheme="minorHAnsi" w:hAnsi="Times New Roman"/>
          <w:sz w:val="24"/>
          <w:szCs w:val="24"/>
        </w:rPr>
        <w:t xml:space="preserve">The adverse consequences of equity mispricing for investors and corporations are well documented in the literature </w:t>
      </w:r>
      <w:r w:rsidRPr="00AB729D">
        <w:rPr>
          <w:rFonts w:ascii="Times New Roman" w:eastAsiaTheme="minorHAnsi" w:hAnsi="Times New Roman"/>
          <w:sz w:val="24"/>
          <w:szCs w:val="24"/>
        </w:rPr>
        <w:t>(</w:t>
      </w:r>
      <w:proofErr w:type="spellStart"/>
      <w:r w:rsidR="003D3EBA" w:rsidRPr="00AB729D">
        <w:rPr>
          <w:rFonts w:ascii="Times New Roman" w:eastAsiaTheme="minorHAnsi" w:hAnsi="Times New Roman"/>
          <w:sz w:val="24"/>
          <w:szCs w:val="24"/>
        </w:rPr>
        <w:t>Chirinko</w:t>
      </w:r>
      <w:proofErr w:type="spellEnd"/>
      <w:r w:rsidR="003D3EBA" w:rsidRPr="00AB729D">
        <w:rPr>
          <w:rFonts w:ascii="Times New Roman" w:eastAsiaTheme="minorHAnsi" w:hAnsi="Times New Roman"/>
          <w:sz w:val="24"/>
          <w:szCs w:val="24"/>
        </w:rPr>
        <w:t xml:space="preserve"> and Schaller, 2001; Baker et al., 2003; Shleifer and </w:t>
      </w:r>
      <w:proofErr w:type="spellStart"/>
      <w:r w:rsidR="003D3EBA" w:rsidRPr="00AB729D">
        <w:rPr>
          <w:rFonts w:ascii="Times New Roman" w:eastAsiaTheme="minorHAnsi" w:hAnsi="Times New Roman"/>
          <w:sz w:val="24"/>
          <w:szCs w:val="24"/>
        </w:rPr>
        <w:t>Vishny</w:t>
      </w:r>
      <w:proofErr w:type="spellEnd"/>
      <w:r w:rsidR="003D3EBA" w:rsidRPr="00AB729D">
        <w:rPr>
          <w:rFonts w:ascii="Times New Roman" w:eastAsiaTheme="minorHAnsi" w:hAnsi="Times New Roman"/>
          <w:sz w:val="24"/>
          <w:szCs w:val="24"/>
        </w:rPr>
        <w:t>, 2003; Rhodes-</w:t>
      </w:r>
      <w:proofErr w:type="spellStart"/>
      <w:r w:rsidR="003D3EBA" w:rsidRPr="00AB729D">
        <w:rPr>
          <w:rFonts w:ascii="Times New Roman" w:eastAsiaTheme="minorHAnsi" w:hAnsi="Times New Roman"/>
          <w:sz w:val="24"/>
          <w:szCs w:val="24"/>
        </w:rPr>
        <w:t>Kropf</w:t>
      </w:r>
      <w:proofErr w:type="spellEnd"/>
      <w:r w:rsidR="003D3EBA" w:rsidRPr="00AB729D">
        <w:rPr>
          <w:rFonts w:ascii="Times New Roman" w:eastAsiaTheme="minorHAnsi" w:hAnsi="Times New Roman"/>
          <w:sz w:val="24"/>
          <w:szCs w:val="24"/>
        </w:rPr>
        <w:t xml:space="preserve"> and Viswanathan, 2004; Rhodes-</w:t>
      </w:r>
      <w:proofErr w:type="spellStart"/>
      <w:r w:rsidR="003D3EBA" w:rsidRPr="00AB729D">
        <w:rPr>
          <w:rFonts w:ascii="Times New Roman" w:eastAsiaTheme="minorHAnsi" w:hAnsi="Times New Roman"/>
          <w:sz w:val="24"/>
          <w:szCs w:val="24"/>
        </w:rPr>
        <w:t>Kropf</w:t>
      </w:r>
      <w:proofErr w:type="spellEnd"/>
      <w:r w:rsidR="003D3EBA" w:rsidRPr="00AB729D">
        <w:rPr>
          <w:rFonts w:ascii="Times New Roman" w:eastAsiaTheme="minorHAnsi" w:hAnsi="Times New Roman"/>
          <w:sz w:val="24"/>
          <w:szCs w:val="24"/>
        </w:rPr>
        <w:t xml:space="preserve"> et al., 2005; Polk and Sapienza, 2009; and, </w:t>
      </w:r>
      <w:proofErr w:type="spellStart"/>
      <w:r w:rsidR="003D3EBA" w:rsidRPr="00AB729D">
        <w:rPr>
          <w:rFonts w:ascii="Times New Roman" w:eastAsiaTheme="minorHAnsi" w:hAnsi="Times New Roman"/>
          <w:sz w:val="24"/>
          <w:szCs w:val="24"/>
        </w:rPr>
        <w:t>Campello</w:t>
      </w:r>
      <w:proofErr w:type="spellEnd"/>
      <w:r w:rsidR="003D3EBA" w:rsidRPr="00AB729D">
        <w:rPr>
          <w:rFonts w:ascii="Times New Roman" w:eastAsiaTheme="minorHAnsi" w:hAnsi="Times New Roman"/>
          <w:sz w:val="24"/>
          <w:szCs w:val="24"/>
        </w:rPr>
        <w:t xml:space="preserve"> and Graham, 2013</w:t>
      </w:r>
      <w:r w:rsidRPr="00AB729D">
        <w:rPr>
          <w:rFonts w:ascii="Times New Roman" w:eastAsiaTheme="minorHAnsi" w:hAnsi="Times New Roman"/>
          <w:sz w:val="24"/>
          <w:szCs w:val="24"/>
        </w:rPr>
        <w:t>).</w:t>
      </w:r>
    </w:p>
    <w:p w14:paraId="3B96D760" w14:textId="34393FC6" w:rsidR="008000CD" w:rsidRPr="00AB729D" w:rsidRDefault="00FB2FA5" w:rsidP="008000CD">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The causes of equity mispricing are diverse and include investor sentiment (Baker and </w:t>
      </w:r>
      <w:proofErr w:type="spellStart"/>
      <w:r w:rsidRPr="00AB729D">
        <w:rPr>
          <w:rFonts w:ascii="Times New Roman" w:eastAsiaTheme="minorHAnsi" w:hAnsi="Times New Roman"/>
          <w:sz w:val="24"/>
          <w:szCs w:val="24"/>
        </w:rPr>
        <w:t>Wurgler</w:t>
      </w:r>
      <w:proofErr w:type="spellEnd"/>
      <w:r w:rsidRPr="00AB729D">
        <w:rPr>
          <w:rFonts w:ascii="Times New Roman" w:eastAsiaTheme="minorHAnsi" w:hAnsi="Times New Roman"/>
          <w:sz w:val="24"/>
          <w:szCs w:val="24"/>
        </w:rPr>
        <w:t>, 2006) and investors' behavioral biases (</w:t>
      </w:r>
      <w:proofErr w:type="spellStart"/>
      <w:r w:rsidRPr="00AB729D">
        <w:rPr>
          <w:rFonts w:ascii="Times New Roman" w:eastAsiaTheme="minorHAnsi" w:hAnsi="Times New Roman"/>
          <w:sz w:val="24"/>
          <w:szCs w:val="24"/>
        </w:rPr>
        <w:t>Barberis</w:t>
      </w:r>
      <w:proofErr w:type="spellEnd"/>
      <w:r w:rsidRPr="00AB729D">
        <w:rPr>
          <w:rFonts w:ascii="Times New Roman" w:eastAsiaTheme="minorHAnsi" w:hAnsi="Times New Roman"/>
          <w:sz w:val="24"/>
          <w:szCs w:val="24"/>
        </w:rPr>
        <w:t xml:space="preserve"> et al., 1998; and, Daniel et al., 1998), among others. This study adds to the literature by considering how institutional investors invest on the basis of firm mispricing. Institutional investors are the dominant group of investors having raised their ownership of US-listed corporations from 7-8% in 1950 to about 67% by 2010 (Blume and </w:t>
      </w:r>
      <w:proofErr w:type="spellStart"/>
      <w:r w:rsidRPr="00AB729D">
        <w:rPr>
          <w:rFonts w:ascii="Times New Roman" w:eastAsiaTheme="minorHAnsi" w:hAnsi="Times New Roman"/>
          <w:sz w:val="24"/>
          <w:szCs w:val="24"/>
        </w:rPr>
        <w:t>Keim</w:t>
      </w:r>
      <w:proofErr w:type="spellEnd"/>
      <w:r w:rsidRPr="00AB729D">
        <w:rPr>
          <w:rFonts w:ascii="Times New Roman" w:eastAsiaTheme="minorHAnsi" w:hAnsi="Times New Roman"/>
          <w:sz w:val="24"/>
          <w:szCs w:val="24"/>
        </w:rPr>
        <w:t xml:space="preserve">, 2012), and it is essential to </w:t>
      </w:r>
      <w:r w:rsidR="0076787C" w:rsidRPr="00AB729D">
        <w:rPr>
          <w:rFonts w:ascii="Times New Roman" w:eastAsiaTheme="minorHAnsi" w:hAnsi="Times New Roman"/>
          <w:sz w:val="24"/>
          <w:szCs w:val="24"/>
        </w:rPr>
        <w:t>assess</w:t>
      </w:r>
      <w:r w:rsidRPr="00AB729D">
        <w:rPr>
          <w:rFonts w:ascii="Times New Roman" w:eastAsiaTheme="minorHAnsi" w:hAnsi="Times New Roman"/>
          <w:sz w:val="24"/>
          <w:szCs w:val="24"/>
        </w:rPr>
        <w:t xml:space="preserve"> how their growing influence is contributing to equity pricing. Several dimensions of institutional investors are examined in this paper</w:t>
      </w:r>
      <w:r w:rsidR="0084796A"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including their equity ownership proportion and stability</w:t>
      </w:r>
      <w:r w:rsidR="00B3414D"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as well as their investment horizon.</w:t>
      </w:r>
    </w:p>
    <w:p w14:paraId="1F71C5A2" w14:textId="13506E64" w:rsidR="005375FA" w:rsidRPr="00AB729D" w:rsidRDefault="00B3414D" w:rsidP="007D544A">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Institutional investors can influence their investee firms via two channels. The first channel is through direct monitoring following acquisitions of large blocks of shares. Indirect monitoring is the second channel. In this case, institutional investors can punish or reward firms by their trading behavior (</w:t>
      </w:r>
      <w:proofErr w:type="spellStart"/>
      <w:r w:rsidRPr="00AB729D">
        <w:rPr>
          <w:rFonts w:ascii="Times New Roman" w:eastAsiaTheme="minorHAnsi" w:hAnsi="Times New Roman"/>
          <w:sz w:val="24"/>
          <w:szCs w:val="24"/>
        </w:rPr>
        <w:t>Parrino</w:t>
      </w:r>
      <w:proofErr w:type="spellEnd"/>
      <w:r w:rsidRPr="00AB729D">
        <w:rPr>
          <w:rFonts w:ascii="Times New Roman" w:eastAsiaTheme="minorHAnsi" w:hAnsi="Times New Roman"/>
          <w:sz w:val="24"/>
          <w:szCs w:val="24"/>
        </w:rPr>
        <w:t xml:space="preserve"> et al., 2003) ― selling a firm’s stock puts downward pressure on the stock price, and thus disciplines management through loss of firm value. As a result, we would expect</w:t>
      </w:r>
      <w:r w:rsidR="009436BA" w:rsidRPr="00AB729D">
        <w:rPr>
          <w:rFonts w:ascii="Times New Roman" w:eastAsiaTheme="minorHAnsi" w:hAnsi="Times New Roman"/>
          <w:sz w:val="24"/>
          <w:szCs w:val="24"/>
        </w:rPr>
        <w:t xml:space="preserve"> </w:t>
      </w:r>
      <w:r w:rsidRPr="00AB729D">
        <w:rPr>
          <w:rFonts w:ascii="Times New Roman" w:eastAsiaTheme="minorHAnsi" w:hAnsi="Times New Roman"/>
          <w:sz w:val="24"/>
          <w:szCs w:val="24"/>
        </w:rPr>
        <w:t>a direct link between institutional ownership and the actions taken at their investee firms, which would reflect on the firm's equity pricing.</w:t>
      </w:r>
    </w:p>
    <w:p w14:paraId="0C10D0D3" w14:textId="1653AEA8" w:rsidR="008000CD" w:rsidRPr="00AB729D" w:rsidRDefault="00A67607" w:rsidP="00652F08">
      <w:pPr>
        <w:spacing w:line="480" w:lineRule="auto"/>
        <w:ind w:firstLine="720"/>
        <w:rPr>
          <w:rFonts w:ascii="Times New Roman" w:eastAsiaTheme="minorHAnsi" w:hAnsi="Times New Roman"/>
          <w:sz w:val="24"/>
          <w:szCs w:val="24"/>
        </w:rPr>
      </w:pPr>
      <w:proofErr w:type="spellStart"/>
      <w:r w:rsidRPr="00AB729D">
        <w:rPr>
          <w:rFonts w:ascii="Times New Roman" w:eastAsiaTheme="minorHAnsi" w:hAnsi="Times New Roman"/>
          <w:sz w:val="24"/>
          <w:szCs w:val="24"/>
        </w:rPr>
        <w:lastRenderedPageBreak/>
        <w:t>Bushee</w:t>
      </w:r>
      <w:proofErr w:type="spellEnd"/>
      <w:r w:rsidRPr="00AB729D">
        <w:rPr>
          <w:rFonts w:ascii="Times New Roman" w:eastAsiaTheme="minorHAnsi" w:hAnsi="Times New Roman"/>
          <w:sz w:val="24"/>
          <w:szCs w:val="24"/>
        </w:rPr>
        <w:t xml:space="preserve"> (1998, 2001) and </w:t>
      </w:r>
      <w:proofErr w:type="spellStart"/>
      <w:r w:rsidRPr="00AB729D">
        <w:rPr>
          <w:rFonts w:ascii="Times New Roman" w:eastAsiaTheme="minorHAnsi" w:hAnsi="Times New Roman"/>
          <w:sz w:val="24"/>
          <w:szCs w:val="24"/>
        </w:rPr>
        <w:t>Bushee</w:t>
      </w:r>
      <w:proofErr w:type="spellEnd"/>
      <w:r w:rsidRPr="00AB729D">
        <w:rPr>
          <w:rFonts w:ascii="Times New Roman" w:eastAsiaTheme="minorHAnsi" w:hAnsi="Times New Roman"/>
          <w:sz w:val="24"/>
          <w:szCs w:val="24"/>
        </w:rPr>
        <w:t xml:space="preserve"> and Noe (2000) classify institutional investors into the following groups, i.e., dedicated, transient</w:t>
      </w:r>
      <w:r w:rsidR="00434199"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and quasi-indexers investors. “Dedicated” institutional investors tend to adopt a long-term investment horizon by holding large, stable holdings in a </w:t>
      </w:r>
      <w:r w:rsidR="00434199" w:rsidRPr="00AB729D">
        <w:rPr>
          <w:rFonts w:ascii="Times New Roman" w:eastAsiaTheme="minorHAnsi" w:hAnsi="Times New Roman"/>
          <w:sz w:val="24"/>
          <w:szCs w:val="24"/>
        </w:rPr>
        <w:t xml:space="preserve">relatively </w:t>
      </w:r>
      <w:r w:rsidRPr="00AB729D">
        <w:rPr>
          <w:rFonts w:ascii="Times New Roman" w:eastAsiaTheme="minorHAnsi" w:hAnsi="Times New Roman"/>
          <w:sz w:val="24"/>
          <w:szCs w:val="24"/>
        </w:rPr>
        <w:t xml:space="preserve">small number of firms. Conversely, “Transient” investors trade aggressively (i.e., their equity portfolios exhibit high levels of turnover), their portfolios are </w:t>
      </w:r>
      <w:r w:rsidR="00434199" w:rsidRPr="00AB729D">
        <w:rPr>
          <w:rFonts w:ascii="Times New Roman" w:eastAsiaTheme="minorHAnsi" w:hAnsi="Times New Roman"/>
          <w:sz w:val="24"/>
          <w:szCs w:val="24"/>
        </w:rPr>
        <w:t xml:space="preserve">more </w:t>
      </w:r>
      <w:r w:rsidRPr="00AB729D">
        <w:rPr>
          <w:rFonts w:ascii="Times New Roman" w:eastAsiaTheme="minorHAnsi" w:hAnsi="Times New Roman"/>
          <w:sz w:val="24"/>
          <w:szCs w:val="24"/>
        </w:rPr>
        <w:t>diversified, and they are focused on short-term</w:t>
      </w:r>
      <w:r w:rsidR="00434199" w:rsidRPr="00AB729D">
        <w:rPr>
          <w:rFonts w:ascii="Times New Roman" w:eastAsiaTheme="minorHAnsi" w:hAnsi="Times New Roman"/>
          <w:sz w:val="24"/>
          <w:szCs w:val="24"/>
        </w:rPr>
        <w:t xml:space="preserve"> returns</w:t>
      </w:r>
      <w:r w:rsidRPr="00AB729D">
        <w:rPr>
          <w:rFonts w:ascii="Times New Roman" w:eastAsiaTheme="minorHAnsi" w:hAnsi="Times New Roman"/>
          <w:sz w:val="24"/>
          <w:szCs w:val="24"/>
        </w:rPr>
        <w:t>. “Quasi-indexer” institutions hold large, diversified portfolios and trade very infrequently</w:t>
      </w:r>
      <w:r w:rsidR="004615F8"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w:t>
      </w:r>
      <w:r w:rsidR="004615F8" w:rsidRPr="00AB729D">
        <w:rPr>
          <w:rFonts w:ascii="Times New Roman" w:eastAsiaTheme="minorHAnsi" w:hAnsi="Times New Roman"/>
          <w:sz w:val="24"/>
          <w:szCs w:val="24"/>
        </w:rPr>
        <w:t>they</w:t>
      </w:r>
      <w:r w:rsidRPr="00AB729D">
        <w:rPr>
          <w:rFonts w:ascii="Times New Roman" w:eastAsiaTheme="minorHAnsi" w:hAnsi="Times New Roman"/>
          <w:sz w:val="24"/>
          <w:szCs w:val="24"/>
        </w:rPr>
        <w:t xml:space="preserve"> tend to be passive investors pursuing </w:t>
      </w:r>
      <w:r w:rsidR="004615F8" w:rsidRPr="00AB729D">
        <w:rPr>
          <w:rFonts w:ascii="Times New Roman" w:eastAsiaTheme="minorHAnsi" w:hAnsi="Times New Roman"/>
          <w:sz w:val="24"/>
          <w:szCs w:val="24"/>
        </w:rPr>
        <w:t xml:space="preserve">primarily a </w:t>
      </w:r>
      <w:r w:rsidRPr="00AB729D">
        <w:rPr>
          <w:rFonts w:ascii="Times New Roman" w:eastAsiaTheme="minorHAnsi" w:hAnsi="Times New Roman"/>
          <w:sz w:val="24"/>
          <w:szCs w:val="24"/>
        </w:rPr>
        <w:t xml:space="preserve">buy-and-hold investment </w:t>
      </w:r>
      <w:r w:rsidR="004615F8" w:rsidRPr="00AB729D">
        <w:rPr>
          <w:rFonts w:ascii="Times New Roman" w:eastAsiaTheme="minorHAnsi" w:hAnsi="Times New Roman"/>
          <w:sz w:val="24"/>
          <w:szCs w:val="24"/>
        </w:rPr>
        <w:t>strategy</w:t>
      </w:r>
      <w:r w:rsidRPr="00AB729D">
        <w:rPr>
          <w:rFonts w:ascii="Times New Roman" w:eastAsiaTheme="minorHAnsi" w:hAnsi="Times New Roman"/>
          <w:sz w:val="24"/>
          <w:szCs w:val="24"/>
        </w:rPr>
        <w:t xml:space="preserve">. Given their different investment </w:t>
      </w:r>
      <w:r w:rsidR="00434199" w:rsidRPr="00AB729D">
        <w:rPr>
          <w:rFonts w:ascii="Times New Roman" w:eastAsiaTheme="minorHAnsi" w:hAnsi="Times New Roman"/>
          <w:sz w:val="24"/>
          <w:szCs w:val="24"/>
        </w:rPr>
        <w:t>strategies</w:t>
      </w:r>
      <w:r w:rsidRPr="00AB729D">
        <w:rPr>
          <w:rFonts w:ascii="Times New Roman" w:eastAsiaTheme="minorHAnsi" w:hAnsi="Times New Roman"/>
          <w:sz w:val="24"/>
          <w:szCs w:val="24"/>
        </w:rPr>
        <w:t xml:space="preserve">, we examine the extent of equity mispricing in their portfolios. For example, if dedicated institutional investors favor a relationship approach to investing, we test whether they are associated with less mispriced stocks. </w:t>
      </w:r>
      <w:r w:rsidR="00434199" w:rsidRPr="00AB729D">
        <w:rPr>
          <w:rFonts w:ascii="Times New Roman" w:eastAsiaTheme="minorHAnsi" w:hAnsi="Times New Roman"/>
          <w:sz w:val="24"/>
          <w:szCs w:val="24"/>
        </w:rPr>
        <w:t>Since transient investors are actively seeking short-term returns</w:t>
      </w:r>
      <w:r w:rsidRPr="00AB729D">
        <w:rPr>
          <w:rFonts w:ascii="Times New Roman" w:eastAsiaTheme="minorHAnsi" w:hAnsi="Times New Roman"/>
          <w:sz w:val="24"/>
          <w:szCs w:val="24"/>
        </w:rPr>
        <w:t xml:space="preserve">, </w:t>
      </w:r>
      <w:r w:rsidR="007E2620" w:rsidRPr="00AB729D">
        <w:rPr>
          <w:rFonts w:ascii="Times New Roman" w:eastAsiaTheme="minorHAnsi" w:hAnsi="Times New Roman"/>
          <w:sz w:val="24"/>
          <w:szCs w:val="24"/>
        </w:rPr>
        <w:t>we test whether they are</w:t>
      </w:r>
      <w:r w:rsidRPr="00AB729D">
        <w:rPr>
          <w:rFonts w:ascii="Times New Roman" w:eastAsiaTheme="minorHAnsi" w:hAnsi="Times New Roman"/>
          <w:sz w:val="24"/>
          <w:szCs w:val="24"/>
        </w:rPr>
        <w:t xml:space="preserve"> associated with more mispriced stocks.</w:t>
      </w:r>
    </w:p>
    <w:p w14:paraId="7C27D490" w14:textId="5D3A9F11" w:rsidR="008000CD" w:rsidRPr="00AB729D" w:rsidRDefault="005013FB" w:rsidP="008000CD">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We use two methods to assess equity mispricing. The first one follows Rhodes-</w:t>
      </w:r>
      <w:proofErr w:type="spellStart"/>
      <w:r w:rsidRPr="00AB729D">
        <w:rPr>
          <w:rFonts w:ascii="Times New Roman" w:eastAsiaTheme="minorHAnsi" w:hAnsi="Times New Roman"/>
          <w:sz w:val="24"/>
          <w:szCs w:val="24"/>
        </w:rPr>
        <w:t>Kropf</w:t>
      </w:r>
      <w:proofErr w:type="spellEnd"/>
      <w:r w:rsidRPr="00AB729D">
        <w:rPr>
          <w:rFonts w:ascii="Times New Roman" w:eastAsiaTheme="minorHAnsi" w:hAnsi="Times New Roman"/>
          <w:sz w:val="24"/>
          <w:szCs w:val="24"/>
        </w:rPr>
        <w:t xml:space="preserve"> et al. (2005), a widely used method in the literature on equity mispricing (for instance, Lin et al. 2010; </w:t>
      </w:r>
      <w:proofErr w:type="spellStart"/>
      <w:r w:rsidRPr="00AB729D">
        <w:rPr>
          <w:rFonts w:ascii="Times New Roman" w:eastAsiaTheme="minorHAnsi" w:hAnsi="Times New Roman"/>
          <w:sz w:val="24"/>
          <w:szCs w:val="24"/>
        </w:rPr>
        <w:t>Bonaimé</w:t>
      </w:r>
      <w:proofErr w:type="spellEnd"/>
      <w:r w:rsidRPr="00AB729D">
        <w:rPr>
          <w:rFonts w:ascii="Times New Roman" w:eastAsiaTheme="minorHAnsi" w:hAnsi="Times New Roman"/>
          <w:sz w:val="24"/>
          <w:szCs w:val="24"/>
        </w:rPr>
        <w:t xml:space="preserve"> et al., 2014). Under this model, mispricing (denoted by EXVRK) represents the difference between a firm’s market and fundamental values. The second method to compute equity mispricing, i.e., EXVIA, i.e., the natural log of the ratio between a firm’s capital and its imputed value. The sample includes all U.S. publicly listed firms held by institutional investors from 1981 to 2012. There are 82,037 firm-year observations based on 11,461 firms. </w:t>
      </w:r>
      <w:r w:rsidR="00300D31" w:rsidRPr="00AB729D">
        <w:rPr>
          <w:rFonts w:ascii="Times New Roman" w:eastAsiaTheme="minorHAnsi" w:hAnsi="Times New Roman"/>
          <w:sz w:val="24"/>
          <w:szCs w:val="24"/>
        </w:rPr>
        <w:t xml:space="preserve">Our analysis reveals several interesting </w:t>
      </w:r>
      <w:r w:rsidR="00254383" w:rsidRPr="00AB729D">
        <w:rPr>
          <w:rFonts w:ascii="Times New Roman" w:eastAsiaTheme="minorHAnsi" w:hAnsi="Times New Roman"/>
          <w:sz w:val="24"/>
          <w:szCs w:val="24"/>
        </w:rPr>
        <w:t xml:space="preserve">findings. First, the higher the proportion of equity ownership by institutional investors in a firm, the lower the </w:t>
      </w:r>
      <w:r w:rsidR="00300D31" w:rsidRPr="00AB729D">
        <w:rPr>
          <w:rFonts w:ascii="Times New Roman" w:eastAsiaTheme="minorHAnsi" w:hAnsi="Times New Roman"/>
          <w:sz w:val="24"/>
          <w:szCs w:val="24"/>
        </w:rPr>
        <w:t>extent of</w:t>
      </w:r>
      <w:r w:rsidR="00254383" w:rsidRPr="00AB729D">
        <w:rPr>
          <w:rFonts w:ascii="Times New Roman" w:eastAsiaTheme="minorHAnsi" w:hAnsi="Times New Roman"/>
          <w:sz w:val="24"/>
          <w:szCs w:val="24"/>
        </w:rPr>
        <w:t xml:space="preserve"> equity mispricing. Second, volatility in institutional equity ownership is positively related to investee firm's measures of equity mispricing. Third, </w:t>
      </w:r>
      <w:r w:rsidR="00C34E73" w:rsidRPr="00AB729D">
        <w:rPr>
          <w:rFonts w:ascii="Times New Roman" w:eastAsiaTheme="minorHAnsi" w:hAnsi="Times New Roman"/>
          <w:sz w:val="24"/>
          <w:szCs w:val="24"/>
        </w:rPr>
        <w:t xml:space="preserve">institutional </w:t>
      </w:r>
      <w:r w:rsidR="00254383" w:rsidRPr="00AB729D">
        <w:rPr>
          <w:rFonts w:ascii="Times New Roman" w:eastAsiaTheme="minorHAnsi" w:hAnsi="Times New Roman"/>
          <w:sz w:val="24"/>
          <w:szCs w:val="24"/>
        </w:rPr>
        <w:t xml:space="preserve">ownership by dedicated and quasi-indexers are inversely </w:t>
      </w:r>
      <w:r w:rsidR="00254383" w:rsidRPr="00AB729D">
        <w:rPr>
          <w:rFonts w:ascii="Times New Roman" w:eastAsiaTheme="minorHAnsi" w:hAnsi="Times New Roman"/>
          <w:sz w:val="24"/>
          <w:szCs w:val="24"/>
        </w:rPr>
        <w:lastRenderedPageBreak/>
        <w:t>associated with investee firm's measures of mispricing. Lastly, ownership by transient institutional investors is associated with higher investee firm's equity mispricing.</w:t>
      </w:r>
    </w:p>
    <w:p w14:paraId="156EE528" w14:textId="603EC58E" w:rsidR="00F501E0" w:rsidRPr="00AB729D" w:rsidRDefault="00F501E0" w:rsidP="008000CD">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We make several contributions to the literature. First, we contribute to the factors that explain equity mispricing. Second, we augment the literature on the effects of institutional ownership by considering both the volatility in their shareholdings and the variability in the types of institutional investors. Third, we contribute to the stock market efficiency literature by documenting the linkage between equity mispricing and institutional ownership stability.</w:t>
      </w:r>
    </w:p>
    <w:p w14:paraId="632DBE90" w14:textId="67F93CB0" w:rsidR="00F501E0" w:rsidRPr="00AB729D" w:rsidRDefault="00F501E0" w:rsidP="008000CD">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To the best of our knowledge, we are the first to document the effects of institutional ownership stability on equity mispricing. Our study contributes to understanding the forces of institutional ownership on equity mispricing and renders the stock market more efficient. We posit our study as an extension to Lin et al. (2010) in the sense that the actions and involvement of institutional investors help to bridge the gap between artificial and true values of equity.</w:t>
      </w:r>
      <w:r w:rsidR="00365716" w:rsidRPr="00AB729D">
        <w:t xml:space="preserve"> </w:t>
      </w:r>
      <w:r w:rsidR="00365716" w:rsidRPr="00AB729D">
        <w:rPr>
          <w:rFonts w:ascii="Times New Roman" w:eastAsiaTheme="minorHAnsi" w:hAnsi="Times New Roman"/>
          <w:sz w:val="24"/>
          <w:szCs w:val="24"/>
        </w:rPr>
        <w:t>The benefits to institutional investors are that by contributing to making stock prices more accurate, they preclude themselves from being caught by a bubble. Many institutional investors manage others' money and therefore are tasked to invest their investors' money responsibly and prudently.</w:t>
      </w:r>
    </w:p>
    <w:p w14:paraId="1F129512" w14:textId="2450641D" w:rsidR="008000CD" w:rsidRPr="00AB729D" w:rsidRDefault="00D02948" w:rsidP="007D544A">
      <w:pPr>
        <w:spacing w:line="480" w:lineRule="auto"/>
        <w:ind w:firstLine="720"/>
        <w:rPr>
          <w:rFonts w:ascii="Times New Roman" w:eastAsiaTheme="minorHAnsi" w:hAnsi="Times New Roman"/>
          <w:sz w:val="24"/>
          <w:szCs w:val="24"/>
        </w:rPr>
      </w:pPr>
      <w:r w:rsidRPr="00AB729D">
        <w:t xml:space="preserve"> </w:t>
      </w:r>
      <w:r w:rsidRPr="00AB729D">
        <w:rPr>
          <w:rFonts w:ascii="Times New Roman" w:eastAsiaTheme="minorHAnsi" w:hAnsi="Times New Roman"/>
          <w:sz w:val="24"/>
          <w:szCs w:val="24"/>
        </w:rPr>
        <w:t xml:space="preserve">The remainder of the paper is structured as follows: </w:t>
      </w:r>
      <w:r w:rsidR="009F740A" w:rsidRPr="00AB729D">
        <w:rPr>
          <w:rFonts w:ascii="Times New Roman" w:eastAsiaTheme="minorHAnsi" w:hAnsi="Times New Roman"/>
          <w:sz w:val="24"/>
          <w:szCs w:val="24"/>
        </w:rPr>
        <w:t xml:space="preserve">The following section </w:t>
      </w:r>
      <w:r w:rsidR="00822165" w:rsidRPr="00AB729D">
        <w:rPr>
          <w:rFonts w:ascii="Times New Roman" w:eastAsiaTheme="minorHAnsi" w:hAnsi="Times New Roman"/>
          <w:sz w:val="24"/>
          <w:szCs w:val="24"/>
        </w:rPr>
        <w:t>presents a brief review of the related literature</w:t>
      </w:r>
      <w:r w:rsidRPr="00AB729D">
        <w:rPr>
          <w:rFonts w:ascii="Times New Roman" w:eastAsiaTheme="minorHAnsi" w:hAnsi="Times New Roman"/>
          <w:sz w:val="24"/>
          <w:szCs w:val="24"/>
        </w:rPr>
        <w:t>. Data and methods are presented in Sections 3 and 4, respectively. Results are presented and discussed in Section 5; and, the final section concludes the paper.</w:t>
      </w:r>
    </w:p>
    <w:p w14:paraId="737397B6" w14:textId="77777777" w:rsidR="008000CD" w:rsidRPr="00AB729D" w:rsidRDefault="008000CD" w:rsidP="00EC5FE4"/>
    <w:p w14:paraId="03DF996B" w14:textId="6EB4EA72" w:rsidR="00CD44A5" w:rsidRPr="00AB729D" w:rsidRDefault="00F13217" w:rsidP="00C4120C">
      <w:pPr>
        <w:pStyle w:val="ListParagraph"/>
        <w:numPr>
          <w:ilvl w:val="0"/>
          <w:numId w:val="14"/>
        </w:numPr>
        <w:rPr>
          <w:rFonts w:ascii="Times New Roman" w:eastAsiaTheme="minorHAnsi" w:hAnsi="Times New Roman"/>
          <w:b/>
          <w:bCs/>
          <w:sz w:val="24"/>
          <w:szCs w:val="24"/>
        </w:rPr>
      </w:pPr>
      <w:r w:rsidRPr="00AB729D">
        <w:rPr>
          <w:rFonts w:ascii="Times New Roman" w:eastAsiaTheme="minorHAnsi" w:hAnsi="Times New Roman"/>
          <w:b/>
          <w:bCs/>
          <w:sz w:val="24"/>
          <w:szCs w:val="24"/>
        </w:rPr>
        <w:t xml:space="preserve"> </w:t>
      </w:r>
      <w:bookmarkStart w:id="1" w:name="_Toc474489289"/>
      <w:r w:rsidR="00CD44A5" w:rsidRPr="00AB729D">
        <w:rPr>
          <w:rFonts w:ascii="Times New Roman" w:eastAsiaTheme="minorHAnsi" w:hAnsi="Times New Roman"/>
          <w:b/>
          <w:bCs/>
          <w:sz w:val="24"/>
          <w:szCs w:val="24"/>
        </w:rPr>
        <w:t xml:space="preserve">Literature Review </w:t>
      </w:r>
      <w:bookmarkEnd w:id="1"/>
    </w:p>
    <w:p w14:paraId="41D467CA" w14:textId="56B73328" w:rsidR="007E091D" w:rsidRPr="00AB729D" w:rsidRDefault="00600CB7" w:rsidP="00305399">
      <w:pPr>
        <w:spacing w:line="480" w:lineRule="auto"/>
        <w:ind w:firstLine="720"/>
        <w:rPr>
          <w:rFonts w:ascii="Times New Roman" w:eastAsiaTheme="minorHAnsi" w:hAnsi="Times New Roman"/>
          <w:sz w:val="24"/>
          <w:szCs w:val="24"/>
        </w:rPr>
      </w:pPr>
      <w:r w:rsidRPr="00AB729D">
        <w:lastRenderedPageBreak/>
        <w:t xml:space="preserve"> </w:t>
      </w:r>
      <w:r w:rsidRPr="00AB729D">
        <w:rPr>
          <w:rFonts w:ascii="Times New Roman" w:eastAsiaTheme="minorHAnsi" w:hAnsi="Times New Roman"/>
          <w:sz w:val="24"/>
          <w:szCs w:val="24"/>
        </w:rPr>
        <w:t xml:space="preserve">Studies that consider the effects of institutional ownership on equity mispricing (for example, </w:t>
      </w:r>
      <w:proofErr w:type="spellStart"/>
      <w:r w:rsidRPr="00AB729D">
        <w:rPr>
          <w:rFonts w:ascii="Times New Roman" w:eastAsiaTheme="minorHAnsi" w:hAnsi="Times New Roman"/>
          <w:sz w:val="24"/>
          <w:szCs w:val="24"/>
        </w:rPr>
        <w:t>Sias</w:t>
      </w:r>
      <w:proofErr w:type="spellEnd"/>
      <w:r w:rsidRPr="00AB729D">
        <w:rPr>
          <w:rFonts w:ascii="Times New Roman" w:eastAsiaTheme="minorHAnsi" w:hAnsi="Times New Roman"/>
          <w:sz w:val="24"/>
          <w:szCs w:val="24"/>
        </w:rPr>
        <w:t xml:space="preserve"> and Starks (1997) on the price adjustment process; </w:t>
      </w:r>
      <w:proofErr w:type="spellStart"/>
      <w:r w:rsidRPr="00AB729D">
        <w:rPr>
          <w:rFonts w:ascii="Times New Roman" w:eastAsiaTheme="minorHAnsi" w:hAnsi="Times New Roman"/>
          <w:sz w:val="24"/>
          <w:szCs w:val="24"/>
        </w:rPr>
        <w:t>Bartov</w:t>
      </w:r>
      <w:proofErr w:type="spellEnd"/>
      <w:r w:rsidRPr="00AB729D">
        <w:rPr>
          <w:rFonts w:ascii="Times New Roman" w:eastAsiaTheme="minorHAnsi" w:hAnsi="Times New Roman"/>
          <w:sz w:val="24"/>
          <w:szCs w:val="24"/>
        </w:rPr>
        <w:t xml:space="preserve"> et al. (2000) on mispricing following earnings announcement; Collins et al. (2003) on mispricing and accruals) focus </w:t>
      </w:r>
      <w:r w:rsidR="00871C39" w:rsidRPr="00AB729D">
        <w:rPr>
          <w:rFonts w:ascii="Times New Roman" w:eastAsiaTheme="minorHAnsi" w:hAnsi="Times New Roman"/>
          <w:sz w:val="24"/>
          <w:szCs w:val="24"/>
        </w:rPr>
        <w:t xml:space="preserve">primarily </w:t>
      </w:r>
      <w:r w:rsidRPr="00AB729D">
        <w:rPr>
          <w:rFonts w:ascii="Times New Roman" w:eastAsiaTheme="minorHAnsi" w:hAnsi="Times New Roman"/>
          <w:sz w:val="24"/>
          <w:szCs w:val="24"/>
        </w:rPr>
        <w:t>on the proportion of the share ownership by institutional investors rather than the stability and persistence of institutional investors’ equity ownership.</w:t>
      </w:r>
    </w:p>
    <w:p w14:paraId="2371E0EF" w14:textId="1E8202A8" w:rsidR="00AA372C" w:rsidRPr="00AB729D" w:rsidRDefault="00871C39" w:rsidP="00AA372C">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Certain</w:t>
      </w:r>
      <w:r w:rsidR="00257DF7" w:rsidRPr="00AB729D">
        <w:rPr>
          <w:rFonts w:ascii="Times New Roman" w:eastAsiaTheme="minorHAnsi" w:hAnsi="Times New Roman"/>
          <w:sz w:val="24"/>
          <w:szCs w:val="24"/>
        </w:rPr>
        <w:t xml:space="preserve"> studies document the superior trading ability of institutional investors relative to individual investors </w:t>
      </w:r>
      <w:r w:rsidRPr="00AB729D">
        <w:rPr>
          <w:rFonts w:ascii="Times New Roman" w:eastAsiaTheme="minorHAnsi" w:hAnsi="Times New Roman"/>
          <w:sz w:val="24"/>
          <w:szCs w:val="24"/>
        </w:rPr>
        <w:t>and their</w:t>
      </w:r>
      <w:r w:rsidR="00257DF7" w:rsidRPr="00AB729D">
        <w:rPr>
          <w:rFonts w:ascii="Times New Roman" w:eastAsiaTheme="minorHAnsi" w:hAnsi="Times New Roman"/>
          <w:sz w:val="24"/>
          <w:szCs w:val="24"/>
        </w:rPr>
        <w:t xml:space="preserve"> contributions to stock pricing efficiency. Cohen et al. (2002) compare and contrast institutional investors’ trades </w:t>
      </w:r>
      <w:r w:rsidRPr="00AB729D">
        <w:rPr>
          <w:rFonts w:ascii="Times New Roman" w:eastAsiaTheme="minorHAnsi" w:hAnsi="Times New Roman"/>
          <w:sz w:val="24"/>
          <w:szCs w:val="24"/>
        </w:rPr>
        <w:t>(</w:t>
      </w:r>
      <w:r w:rsidR="00257DF7" w:rsidRPr="00AB729D">
        <w:rPr>
          <w:rFonts w:ascii="Times New Roman" w:eastAsiaTheme="minorHAnsi" w:hAnsi="Times New Roman"/>
          <w:sz w:val="24"/>
          <w:szCs w:val="24"/>
        </w:rPr>
        <w:t>in response to cash flow-related news</w:t>
      </w:r>
      <w:r w:rsidRPr="00AB729D">
        <w:rPr>
          <w:rFonts w:ascii="Times New Roman" w:eastAsiaTheme="minorHAnsi" w:hAnsi="Times New Roman"/>
          <w:sz w:val="24"/>
          <w:szCs w:val="24"/>
        </w:rPr>
        <w:t>)</w:t>
      </w:r>
      <w:r w:rsidR="00257DF7" w:rsidRPr="00AB729D">
        <w:rPr>
          <w:rFonts w:ascii="Times New Roman" w:eastAsiaTheme="minorHAnsi" w:hAnsi="Times New Roman"/>
          <w:sz w:val="24"/>
          <w:szCs w:val="24"/>
        </w:rPr>
        <w:t xml:space="preserve"> </w:t>
      </w:r>
      <w:r w:rsidRPr="00AB729D">
        <w:rPr>
          <w:rFonts w:ascii="Times New Roman" w:eastAsiaTheme="minorHAnsi" w:hAnsi="Times New Roman"/>
          <w:sz w:val="24"/>
          <w:szCs w:val="24"/>
        </w:rPr>
        <w:t xml:space="preserve">relative to </w:t>
      </w:r>
      <w:r w:rsidR="00257DF7" w:rsidRPr="00AB729D">
        <w:rPr>
          <w:rFonts w:ascii="Times New Roman" w:eastAsiaTheme="minorHAnsi" w:hAnsi="Times New Roman"/>
          <w:sz w:val="24"/>
          <w:szCs w:val="24"/>
        </w:rPr>
        <w:t>those of private individuals. They find that institutions buy (sell) shares from (to) individual investors following positive (negative) cash flow news. Conversely, share price increases (decreases) that are not accompanied by positive (negative) cash flow news prompt institutional investors to sell (buy) the shares to (from) the individuals. Institutional investors trade stocks with individuals rather than among themselves since, as a class of investors, they share the same information</w:t>
      </w:r>
      <w:r w:rsidRPr="00AB729D">
        <w:rPr>
          <w:rFonts w:ascii="Times New Roman" w:eastAsiaTheme="minorHAnsi" w:hAnsi="Times New Roman"/>
          <w:sz w:val="24"/>
          <w:szCs w:val="24"/>
        </w:rPr>
        <w:t xml:space="preserve">; and their </w:t>
      </w:r>
      <w:r w:rsidR="00257DF7" w:rsidRPr="00AB729D">
        <w:rPr>
          <w:rFonts w:ascii="Times New Roman" w:eastAsiaTheme="minorHAnsi" w:hAnsi="Times New Roman"/>
          <w:sz w:val="24"/>
          <w:szCs w:val="24"/>
        </w:rPr>
        <w:t>actions cause a stock price to align more closely to its intrinsic value.</w:t>
      </w:r>
    </w:p>
    <w:p w14:paraId="7EC58BB0" w14:textId="6A314A0E" w:rsidR="008000CD" w:rsidRPr="00AB729D" w:rsidRDefault="00300D31" w:rsidP="00AD72BE">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Barber and Odean (2008) </w:t>
      </w:r>
      <w:r w:rsidR="00257DF7" w:rsidRPr="00AB729D">
        <w:rPr>
          <w:rFonts w:ascii="Times New Roman" w:eastAsiaTheme="minorHAnsi" w:hAnsi="Times New Roman"/>
          <w:sz w:val="24"/>
          <w:szCs w:val="24"/>
        </w:rPr>
        <w:t xml:space="preserve">compares and contrasts the investment patterns of institutional investors relative to individual investors. </w:t>
      </w:r>
      <w:r w:rsidRPr="00AB729D">
        <w:rPr>
          <w:rFonts w:ascii="Times New Roman" w:eastAsiaTheme="minorHAnsi" w:hAnsi="Times New Roman"/>
          <w:sz w:val="24"/>
          <w:szCs w:val="24"/>
        </w:rPr>
        <w:t xml:space="preserve">Their findings </w:t>
      </w:r>
      <w:r w:rsidR="00257DF7" w:rsidRPr="00AB729D">
        <w:rPr>
          <w:rFonts w:ascii="Times New Roman" w:eastAsiaTheme="minorHAnsi" w:hAnsi="Times New Roman"/>
          <w:sz w:val="24"/>
          <w:szCs w:val="24"/>
        </w:rPr>
        <w:t xml:space="preserve">suggest that the trading behaviors of the two differ </w:t>
      </w:r>
      <w:r w:rsidR="00760F6D" w:rsidRPr="00AB729D">
        <w:rPr>
          <w:rFonts w:ascii="Times New Roman" w:eastAsiaTheme="minorHAnsi" w:hAnsi="Times New Roman"/>
          <w:sz w:val="24"/>
          <w:szCs w:val="24"/>
        </w:rPr>
        <w:t xml:space="preserve">and </w:t>
      </w:r>
      <w:r w:rsidR="00257DF7" w:rsidRPr="00AB729D">
        <w:rPr>
          <w:rFonts w:ascii="Times New Roman" w:eastAsiaTheme="minorHAnsi" w:hAnsi="Times New Roman"/>
          <w:sz w:val="24"/>
          <w:szCs w:val="24"/>
        </w:rPr>
        <w:t xml:space="preserve">institutional investors, on average, hold more </w:t>
      </w:r>
      <w:r w:rsidR="00760F6D" w:rsidRPr="00AB729D">
        <w:rPr>
          <w:rFonts w:ascii="Times New Roman" w:eastAsiaTheme="minorHAnsi" w:hAnsi="Times New Roman"/>
          <w:sz w:val="24"/>
          <w:szCs w:val="24"/>
        </w:rPr>
        <w:t xml:space="preserve">substantial ownership </w:t>
      </w:r>
      <w:r w:rsidR="00257DF7" w:rsidRPr="00AB729D">
        <w:rPr>
          <w:rFonts w:ascii="Times New Roman" w:eastAsiaTheme="minorHAnsi" w:hAnsi="Times New Roman"/>
          <w:sz w:val="24"/>
          <w:szCs w:val="24"/>
        </w:rPr>
        <w:t xml:space="preserve">than individual investors, and they are more sophisticated in acquiring and processing investment-related information. The authors find that individuals display attention-based buying behavior when stocks are in the news, while institutional investors do not exhibit </w:t>
      </w:r>
      <w:r w:rsidR="00760F6D" w:rsidRPr="00AB729D">
        <w:rPr>
          <w:rFonts w:ascii="Times New Roman" w:eastAsiaTheme="minorHAnsi" w:hAnsi="Times New Roman"/>
          <w:sz w:val="24"/>
          <w:szCs w:val="24"/>
        </w:rPr>
        <w:t xml:space="preserve">such </w:t>
      </w:r>
      <w:r w:rsidR="00257DF7" w:rsidRPr="00AB729D">
        <w:rPr>
          <w:rFonts w:ascii="Times New Roman" w:eastAsiaTheme="minorHAnsi" w:hAnsi="Times New Roman"/>
          <w:sz w:val="24"/>
          <w:szCs w:val="24"/>
        </w:rPr>
        <w:t xml:space="preserve">behavior. Individual investors’ propensity to trade on attention-grabbing news leads to higher volatility in stock prices. Conversely, institutional investors trade less on such news, and therefore their </w:t>
      </w:r>
      <w:r w:rsidR="00257DF7" w:rsidRPr="00AB729D">
        <w:rPr>
          <w:rFonts w:ascii="Times New Roman" w:eastAsiaTheme="minorHAnsi" w:hAnsi="Times New Roman"/>
          <w:sz w:val="24"/>
          <w:szCs w:val="24"/>
        </w:rPr>
        <w:lastRenderedPageBreak/>
        <w:t>trading pattern counteracts the volatility induced by the individual investors’ trades. This conjecture is backed up by Boehmer and Kelley (2009)</w:t>
      </w:r>
      <w:r w:rsidR="00760F6D" w:rsidRPr="00AB729D">
        <w:rPr>
          <w:rFonts w:ascii="Times New Roman" w:eastAsiaTheme="minorHAnsi" w:hAnsi="Times New Roman"/>
          <w:sz w:val="24"/>
          <w:szCs w:val="24"/>
        </w:rPr>
        <w:t>,</w:t>
      </w:r>
      <w:r w:rsidR="00257DF7" w:rsidRPr="00AB729D">
        <w:rPr>
          <w:rFonts w:ascii="Times New Roman" w:eastAsiaTheme="minorHAnsi" w:hAnsi="Times New Roman"/>
          <w:sz w:val="24"/>
          <w:szCs w:val="24"/>
        </w:rPr>
        <w:t xml:space="preserve"> who show that stocks with higher institutional ownership are priced more efficiently.</w:t>
      </w:r>
    </w:p>
    <w:p w14:paraId="48FA62FB" w14:textId="4354CA52" w:rsidR="005E1234" w:rsidRPr="00AB729D" w:rsidRDefault="00760F6D" w:rsidP="00AD72BE">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Prior </w:t>
      </w:r>
      <w:r w:rsidR="005E1234" w:rsidRPr="00AB729D">
        <w:rPr>
          <w:rFonts w:ascii="Times New Roman" w:eastAsiaTheme="minorHAnsi" w:hAnsi="Times New Roman"/>
          <w:sz w:val="24"/>
          <w:szCs w:val="24"/>
        </w:rPr>
        <w:t>literature demonstrate</w:t>
      </w:r>
      <w:r w:rsidRPr="00AB729D">
        <w:rPr>
          <w:rFonts w:ascii="Times New Roman" w:eastAsiaTheme="minorHAnsi" w:hAnsi="Times New Roman"/>
          <w:sz w:val="24"/>
          <w:szCs w:val="24"/>
        </w:rPr>
        <w:t>s</w:t>
      </w:r>
      <w:r w:rsidR="005E1234" w:rsidRPr="00AB729D">
        <w:rPr>
          <w:rFonts w:ascii="Times New Roman" w:eastAsiaTheme="minorHAnsi" w:hAnsi="Times New Roman"/>
          <w:sz w:val="24"/>
          <w:szCs w:val="24"/>
        </w:rPr>
        <w:t xml:space="preserve"> that the presence of institutional investors plays a significant role in the overall </w:t>
      </w:r>
      <w:r w:rsidR="00217C6C" w:rsidRPr="00AB729D">
        <w:rPr>
          <w:rFonts w:ascii="Times New Roman" w:eastAsiaTheme="minorHAnsi" w:hAnsi="Times New Roman"/>
          <w:sz w:val="24"/>
          <w:szCs w:val="24"/>
        </w:rPr>
        <w:t xml:space="preserve">future </w:t>
      </w:r>
      <w:r w:rsidR="005E1234" w:rsidRPr="00AB729D">
        <w:rPr>
          <w:rFonts w:ascii="Times New Roman" w:eastAsiaTheme="minorHAnsi" w:hAnsi="Times New Roman"/>
          <w:sz w:val="24"/>
          <w:szCs w:val="24"/>
        </w:rPr>
        <w:t xml:space="preserve">pricing of securities. Gompers and </w:t>
      </w:r>
      <w:proofErr w:type="spellStart"/>
      <w:r w:rsidR="005E1234" w:rsidRPr="00AB729D">
        <w:rPr>
          <w:rFonts w:ascii="Times New Roman" w:eastAsiaTheme="minorHAnsi" w:hAnsi="Times New Roman"/>
          <w:sz w:val="24"/>
          <w:szCs w:val="24"/>
        </w:rPr>
        <w:t>Metrick</w:t>
      </w:r>
      <w:proofErr w:type="spellEnd"/>
      <w:r w:rsidR="005E1234" w:rsidRPr="00AB729D">
        <w:rPr>
          <w:rFonts w:ascii="Times New Roman" w:eastAsiaTheme="minorHAnsi" w:hAnsi="Times New Roman"/>
          <w:sz w:val="24"/>
          <w:szCs w:val="24"/>
        </w:rPr>
        <w:t xml:space="preserve"> (2001) assert that there is a positive relation between institutional ownership and future stock returns. They find that “large” institutional investors doubled their </w:t>
      </w:r>
      <w:r w:rsidRPr="00AB729D">
        <w:rPr>
          <w:rFonts w:ascii="Times New Roman" w:eastAsiaTheme="minorHAnsi" w:hAnsi="Times New Roman"/>
          <w:sz w:val="24"/>
          <w:szCs w:val="24"/>
        </w:rPr>
        <w:t>share ownership between</w:t>
      </w:r>
      <w:r w:rsidR="005E1234" w:rsidRPr="00AB729D">
        <w:rPr>
          <w:rFonts w:ascii="Times New Roman" w:eastAsiaTheme="minorHAnsi" w:hAnsi="Times New Roman"/>
          <w:sz w:val="24"/>
          <w:szCs w:val="24"/>
        </w:rPr>
        <w:t xml:space="preserve"> 1980 </w:t>
      </w:r>
      <w:r w:rsidRPr="00AB729D">
        <w:rPr>
          <w:rFonts w:ascii="Times New Roman" w:eastAsiaTheme="minorHAnsi" w:hAnsi="Times New Roman"/>
          <w:sz w:val="24"/>
          <w:szCs w:val="24"/>
        </w:rPr>
        <w:t xml:space="preserve">and </w:t>
      </w:r>
      <w:r w:rsidR="005E1234" w:rsidRPr="00AB729D">
        <w:rPr>
          <w:rFonts w:ascii="Times New Roman" w:eastAsiaTheme="minorHAnsi" w:hAnsi="Times New Roman"/>
          <w:sz w:val="24"/>
          <w:szCs w:val="24"/>
        </w:rPr>
        <w:t>1996</w:t>
      </w:r>
      <w:r w:rsidRPr="00AB729D">
        <w:rPr>
          <w:rFonts w:ascii="Times New Roman" w:eastAsiaTheme="minorHAnsi" w:hAnsi="Times New Roman"/>
          <w:sz w:val="24"/>
          <w:szCs w:val="24"/>
        </w:rPr>
        <w:t>,</w:t>
      </w:r>
      <w:r w:rsidR="005E1234" w:rsidRPr="00AB729D">
        <w:rPr>
          <w:rFonts w:ascii="Times New Roman" w:eastAsiaTheme="minorHAnsi" w:hAnsi="Times New Roman"/>
          <w:sz w:val="24"/>
          <w:szCs w:val="24"/>
        </w:rPr>
        <w:t xml:space="preserve"> and show that their </w:t>
      </w:r>
      <w:r w:rsidRPr="00AB729D">
        <w:rPr>
          <w:rFonts w:ascii="Times New Roman" w:eastAsiaTheme="minorHAnsi" w:hAnsi="Times New Roman"/>
          <w:sz w:val="24"/>
          <w:szCs w:val="24"/>
        </w:rPr>
        <w:t>involvement accounts</w:t>
      </w:r>
      <w:r w:rsidR="005E1234" w:rsidRPr="00AB729D">
        <w:rPr>
          <w:rFonts w:ascii="Times New Roman" w:eastAsiaTheme="minorHAnsi" w:hAnsi="Times New Roman"/>
          <w:sz w:val="24"/>
          <w:szCs w:val="24"/>
        </w:rPr>
        <w:t xml:space="preserve"> for </w:t>
      </w:r>
      <w:r w:rsidRPr="00AB729D">
        <w:rPr>
          <w:rFonts w:ascii="Times New Roman" w:eastAsiaTheme="minorHAnsi" w:hAnsi="Times New Roman"/>
          <w:sz w:val="24"/>
          <w:szCs w:val="24"/>
        </w:rPr>
        <w:t>approximately</w:t>
      </w:r>
      <w:r w:rsidR="005E1234" w:rsidRPr="00AB729D">
        <w:rPr>
          <w:rFonts w:ascii="Times New Roman" w:eastAsiaTheme="minorHAnsi" w:hAnsi="Times New Roman"/>
          <w:sz w:val="24"/>
          <w:szCs w:val="24"/>
        </w:rPr>
        <w:t xml:space="preserve"> </w:t>
      </w:r>
      <w:r w:rsidRPr="00AB729D">
        <w:rPr>
          <w:rFonts w:ascii="Times New Roman" w:eastAsiaTheme="minorHAnsi" w:hAnsi="Times New Roman"/>
          <w:sz w:val="24"/>
          <w:szCs w:val="24"/>
        </w:rPr>
        <w:t>half the</w:t>
      </w:r>
      <w:r w:rsidR="005E1234" w:rsidRPr="00AB729D">
        <w:rPr>
          <w:rFonts w:ascii="Times New Roman" w:eastAsiaTheme="minorHAnsi" w:hAnsi="Times New Roman"/>
          <w:sz w:val="24"/>
          <w:szCs w:val="24"/>
        </w:rPr>
        <w:t xml:space="preserve"> increase in the stock price of large firms. </w:t>
      </w:r>
      <w:r w:rsidR="002A5037" w:rsidRPr="00AB729D">
        <w:rPr>
          <w:rFonts w:ascii="Times New Roman" w:eastAsiaTheme="minorHAnsi" w:hAnsi="Times New Roman"/>
          <w:sz w:val="24"/>
          <w:szCs w:val="24"/>
        </w:rPr>
        <w:t xml:space="preserve">They define “large” institutional investors as a category including all managers with at least $100 million under management. </w:t>
      </w:r>
      <w:r w:rsidR="005E1234" w:rsidRPr="00AB729D">
        <w:rPr>
          <w:rFonts w:ascii="Times New Roman" w:eastAsiaTheme="minorHAnsi" w:hAnsi="Times New Roman"/>
          <w:sz w:val="24"/>
          <w:szCs w:val="24"/>
        </w:rPr>
        <w:t xml:space="preserve">Yan and Zhang (2009) later show that the findings in Gompers and </w:t>
      </w:r>
      <w:proofErr w:type="spellStart"/>
      <w:r w:rsidR="005E1234" w:rsidRPr="00AB729D">
        <w:rPr>
          <w:rFonts w:ascii="Times New Roman" w:eastAsiaTheme="minorHAnsi" w:hAnsi="Times New Roman"/>
          <w:sz w:val="24"/>
          <w:szCs w:val="24"/>
        </w:rPr>
        <w:t>Metrick</w:t>
      </w:r>
      <w:proofErr w:type="spellEnd"/>
      <w:r w:rsidR="005E1234" w:rsidRPr="00AB729D">
        <w:rPr>
          <w:rFonts w:ascii="Times New Roman" w:eastAsiaTheme="minorHAnsi" w:hAnsi="Times New Roman"/>
          <w:sz w:val="24"/>
          <w:szCs w:val="24"/>
        </w:rPr>
        <w:t xml:space="preserve"> (2001) are driven by short-term institutions</w:t>
      </w:r>
      <w:r w:rsidR="002A5037" w:rsidRPr="00AB729D">
        <w:rPr>
          <w:rFonts w:ascii="Times New Roman" w:eastAsiaTheme="minorHAnsi" w:hAnsi="Times New Roman"/>
          <w:sz w:val="24"/>
          <w:szCs w:val="24"/>
        </w:rPr>
        <w:t>, i.e., institutions that trade more actively</w:t>
      </w:r>
      <w:r w:rsidR="005E1234" w:rsidRPr="00AB729D">
        <w:rPr>
          <w:rFonts w:ascii="Times New Roman" w:eastAsiaTheme="minorHAnsi" w:hAnsi="Times New Roman"/>
          <w:sz w:val="24"/>
          <w:szCs w:val="24"/>
        </w:rPr>
        <w:t xml:space="preserve">. Given these findings, we believe that differentiating between institutional investors based on their investment horizons will shed further light on the group’s impact on equity </w:t>
      </w:r>
      <w:r w:rsidR="00EC170E" w:rsidRPr="00AB729D">
        <w:rPr>
          <w:rFonts w:ascii="Times New Roman" w:eastAsiaTheme="minorHAnsi" w:hAnsi="Times New Roman"/>
          <w:sz w:val="24"/>
          <w:szCs w:val="24"/>
        </w:rPr>
        <w:t>pricing</w:t>
      </w:r>
      <w:r w:rsidR="005E1234" w:rsidRPr="00AB729D">
        <w:rPr>
          <w:rFonts w:ascii="Times New Roman" w:eastAsiaTheme="minorHAnsi" w:hAnsi="Times New Roman"/>
          <w:sz w:val="24"/>
          <w:szCs w:val="24"/>
        </w:rPr>
        <w:t>.</w:t>
      </w:r>
    </w:p>
    <w:p w14:paraId="14BD6690" w14:textId="195066A7" w:rsidR="00217C6C" w:rsidRPr="00AB729D" w:rsidRDefault="00217C6C" w:rsidP="00AD72BE">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Chakrabarty et al.</w:t>
      </w:r>
      <w:r w:rsidR="00EC170E" w:rsidRPr="00AB729D">
        <w:rPr>
          <w:rFonts w:ascii="Times New Roman" w:eastAsiaTheme="minorHAnsi" w:hAnsi="Times New Roman"/>
          <w:sz w:val="24"/>
          <w:szCs w:val="24"/>
        </w:rPr>
        <w:t>’s</w:t>
      </w:r>
      <w:r w:rsidRPr="00AB729D">
        <w:rPr>
          <w:rFonts w:ascii="Times New Roman" w:eastAsiaTheme="minorHAnsi" w:hAnsi="Times New Roman"/>
          <w:sz w:val="24"/>
          <w:szCs w:val="24"/>
        </w:rPr>
        <w:t xml:space="preserve"> (2017) study of daily institutional trades document</w:t>
      </w:r>
      <w:r w:rsidR="007642C6" w:rsidRPr="00AB729D">
        <w:rPr>
          <w:rFonts w:ascii="Times New Roman" w:eastAsiaTheme="minorHAnsi" w:hAnsi="Times New Roman"/>
          <w:sz w:val="24"/>
          <w:szCs w:val="24"/>
        </w:rPr>
        <w:t>s</w:t>
      </w:r>
      <w:r w:rsidRPr="00AB729D">
        <w:rPr>
          <w:rFonts w:ascii="Times New Roman" w:eastAsiaTheme="minorHAnsi" w:hAnsi="Times New Roman"/>
          <w:sz w:val="24"/>
          <w:szCs w:val="24"/>
        </w:rPr>
        <w:t xml:space="preserve"> that </w:t>
      </w:r>
      <w:r w:rsidR="00EC170E" w:rsidRPr="00AB729D">
        <w:rPr>
          <w:rFonts w:ascii="Times New Roman" w:eastAsiaTheme="minorHAnsi" w:hAnsi="Times New Roman"/>
          <w:sz w:val="24"/>
          <w:szCs w:val="24"/>
        </w:rPr>
        <w:t>many</w:t>
      </w:r>
      <w:r w:rsidRPr="00AB729D">
        <w:rPr>
          <w:rFonts w:ascii="Times New Roman" w:eastAsiaTheme="minorHAnsi" w:hAnsi="Times New Roman"/>
          <w:sz w:val="24"/>
          <w:szCs w:val="24"/>
        </w:rPr>
        <w:t xml:space="preserve"> </w:t>
      </w:r>
      <w:r w:rsidR="00EC170E" w:rsidRPr="00AB729D">
        <w:rPr>
          <w:rFonts w:ascii="Times New Roman" w:eastAsiaTheme="minorHAnsi" w:hAnsi="Times New Roman"/>
          <w:sz w:val="24"/>
          <w:szCs w:val="24"/>
        </w:rPr>
        <w:t xml:space="preserve">such trades by </w:t>
      </w:r>
      <w:r w:rsidRPr="00AB729D">
        <w:rPr>
          <w:rFonts w:ascii="Times New Roman" w:eastAsiaTheme="minorHAnsi" w:hAnsi="Times New Roman"/>
          <w:sz w:val="24"/>
          <w:szCs w:val="24"/>
        </w:rPr>
        <w:t>short-term institutional</w:t>
      </w:r>
      <w:r w:rsidR="00EC170E" w:rsidRPr="00AB729D">
        <w:rPr>
          <w:rFonts w:ascii="Times New Roman" w:eastAsiaTheme="minorHAnsi" w:hAnsi="Times New Roman"/>
          <w:sz w:val="24"/>
          <w:szCs w:val="24"/>
        </w:rPr>
        <w:t xml:space="preserve"> investors, in particular,</w:t>
      </w:r>
      <w:r w:rsidRPr="00AB729D">
        <w:rPr>
          <w:rFonts w:ascii="Times New Roman" w:eastAsiaTheme="minorHAnsi" w:hAnsi="Times New Roman"/>
          <w:sz w:val="24"/>
          <w:szCs w:val="24"/>
        </w:rPr>
        <w:t xml:space="preserve"> </w:t>
      </w:r>
      <w:r w:rsidR="00EC170E" w:rsidRPr="00AB729D">
        <w:rPr>
          <w:rFonts w:ascii="Times New Roman" w:eastAsiaTheme="minorHAnsi" w:hAnsi="Times New Roman"/>
          <w:sz w:val="24"/>
          <w:szCs w:val="24"/>
        </w:rPr>
        <w:t xml:space="preserve">tend to </w:t>
      </w:r>
      <w:r w:rsidRPr="00AB729D">
        <w:rPr>
          <w:rFonts w:ascii="Times New Roman" w:eastAsiaTheme="minorHAnsi" w:hAnsi="Times New Roman"/>
          <w:sz w:val="24"/>
          <w:szCs w:val="24"/>
        </w:rPr>
        <w:t>lose money. They find that over 23% of round-trip trades</w:t>
      </w:r>
      <w:r w:rsidR="00E955BE" w:rsidRPr="00AB729D">
        <w:rPr>
          <w:rFonts w:ascii="Times New Roman" w:eastAsiaTheme="minorHAnsi" w:hAnsi="Times New Roman"/>
          <w:sz w:val="24"/>
          <w:szCs w:val="24"/>
        </w:rPr>
        <w:t xml:space="preserve"> held for less than three months lose an average of 3.91% in value. </w:t>
      </w:r>
      <w:r w:rsidR="007642C6" w:rsidRPr="00AB729D">
        <w:rPr>
          <w:rFonts w:ascii="Times New Roman" w:eastAsiaTheme="minorHAnsi" w:hAnsi="Times New Roman"/>
          <w:sz w:val="24"/>
          <w:szCs w:val="24"/>
        </w:rPr>
        <w:t>T</w:t>
      </w:r>
      <w:r w:rsidR="00E955BE" w:rsidRPr="00AB729D">
        <w:rPr>
          <w:rFonts w:ascii="Times New Roman" w:eastAsiaTheme="minorHAnsi" w:hAnsi="Times New Roman"/>
          <w:sz w:val="24"/>
          <w:szCs w:val="24"/>
        </w:rPr>
        <w:t xml:space="preserve">he negative returns do not appear to be due to loss-cutting based on </w:t>
      </w:r>
      <w:r w:rsidR="007642C6" w:rsidRPr="00AB729D">
        <w:rPr>
          <w:rFonts w:ascii="Times New Roman" w:eastAsiaTheme="minorHAnsi" w:hAnsi="Times New Roman"/>
          <w:sz w:val="24"/>
          <w:szCs w:val="24"/>
        </w:rPr>
        <w:t xml:space="preserve">the arrival of </w:t>
      </w:r>
      <w:r w:rsidR="00E955BE" w:rsidRPr="00AB729D">
        <w:rPr>
          <w:rFonts w:ascii="Times New Roman" w:eastAsiaTheme="minorHAnsi" w:hAnsi="Times New Roman"/>
          <w:sz w:val="24"/>
          <w:szCs w:val="24"/>
        </w:rPr>
        <w:t xml:space="preserve">new information. </w:t>
      </w:r>
      <w:r w:rsidR="007642C6" w:rsidRPr="00AB729D">
        <w:rPr>
          <w:rFonts w:ascii="Times New Roman" w:eastAsiaTheme="minorHAnsi" w:hAnsi="Times New Roman"/>
          <w:sz w:val="24"/>
          <w:szCs w:val="24"/>
        </w:rPr>
        <w:t>Their results suggest that institutional investors that trade often and are characterized by higher variability in their shareholdings would be associated with more significant stock mispricing.</w:t>
      </w:r>
    </w:p>
    <w:p w14:paraId="326A2E57" w14:textId="5E11E9C2" w:rsidR="00E579A8" w:rsidRPr="00AB729D" w:rsidRDefault="00300D31" w:rsidP="00B230CA">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We </w:t>
      </w:r>
      <w:r w:rsidR="007642C6" w:rsidRPr="00AB729D">
        <w:rPr>
          <w:rFonts w:ascii="Times New Roman" w:eastAsiaTheme="minorHAnsi" w:hAnsi="Times New Roman"/>
          <w:sz w:val="24"/>
          <w:szCs w:val="24"/>
        </w:rPr>
        <w:t xml:space="preserve">observe </w:t>
      </w:r>
      <w:r w:rsidRPr="00AB729D">
        <w:rPr>
          <w:rFonts w:ascii="Times New Roman" w:eastAsiaTheme="minorHAnsi" w:hAnsi="Times New Roman"/>
          <w:sz w:val="24"/>
          <w:szCs w:val="24"/>
        </w:rPr>
        <w:t xml:space="preserve">that the </w:t>
      </w:r>
      <w:r w:rsidR="00802D67" w:rsidRPr="00AB729D">
        <w:rPr>
          <w:rFonts w:ascii="Times New Roman" w:eastAsiaTheme="minorHAnsi" w:hAnsi="Times New Roman"/>
          <w:sz w:val="24"/>
          <w:szCs w:val="24"/>
        </w:rPr>
        <w:t xml:space="preserve">findings that institutional investors’ trades push equity prices closer to their intrinsic values are </w:t>
      </w:r>
      <w:r w:rsidR="007642C6" w:rsidRPr="00AB729D">
        <w:rPr>
          <w:rFonts w:ascii="Times New Roman" w:eastAsiaTheme="minorHAnsi" w:hAnsi="Times New Roman"/>
          <w:sz w:val="24"/>
          <w:szCs w:val="24"/>
        </w:rPr>
        <w:t xml:space="preserve">based predominantly on </w:t>
      </w:r>
      <w:r w:rsidR="00802D67" w:rsidRPr="00AB729D">
        <w:rPr>
          <w:rFonts w:ascii="Times New Roman" w:eastAsiaTheme="minorHAnsi" w:hAnsi="Times New Roman"/>
          <w:sz w:val="24"/>
          <w:szCs w:val="24"/>
        </w:rPr>
        <w:t xml:space="preserve">treating institutional investors as a homogenous class. </w:t>
      </w:r>
      <w:r w:rsidR="007642C6" w:rsidRPr="00AB729D">
        <w:rPr>
          <w:rFonts w:ascii="Times New Roman" w:eastAsiaTheme="minorHAnsi" w:hAnsi="Times New Roman"/>
          <w:sz w:val="24"/>
          <w:szCs w:val="24"/>
        </w:rPr>
        <w:t>A</w:t>
      </w:r>
      <w:r w:rsidR="00802D67" w:rsidRPr="00AB729D">
        <w:rPr>
          <w:rFonts w:ascii="Times New Roman" w:eastAsiaTheme="minorHAnsi" w:hAnsi="Times New Roman"/>
          <w:sz w:val="24"/>
          <w:szCs w:val="24"/>
        </w:rPr>
        <w:t xml:space="preserve">ccounting for the heterogeneity that exists among institutional investors </w:t>
      </w:r>
      <w:r w:rsidR="007642C6" w:rsidRPr="00AB729D">
        <w:rPr>
          <w:rFonts w:ascii="Times New Roman" w:eastAsiaTheme="minorHAnsi" w:hAnsi="Times New Roman"/>
          <w:sz w:val="24"/>
          <w:szCs w:val="24"/>
        </w:rPr>
        <w:lastRenderedPageBreak/>
        <w:t xml:space="preserve">would </w:t>
      </w:r>
      <w:r w:rsidR="00802D67" w:rsidRPr="00AB729D">
        <w:rPr>
          <w:rFonts w:ascii="Times New Roman" w:eastAsiaTheme="minorHAnsi" w:hAnsi="Times New Roman"/>
          <w:sz w:val="24"/>
          <w:szCs w:val="24"/>
        </w:rPr>
        <w:t xml:space="preserve">cause the findings to differ. Institutional investors tend to vary on various characteristics. For a start, there are both long-term and short-term oriented investors. Long-term investors are more inclined to work with management to create value </w:t>
      </w:r>
      <w:r w:rsidRPr="00AB729D">
        <w:rPr>
          <w:rFonts w:ascii="Times New Roman" w:eastAsiaTheme="minorHAnsi" w:hAnsi="Times New Roman"/>
          <w:sz w:val="24"/>
          <w:szCs w:val="24"/>
        </w:rPr>
        <w:t>through closer</w:t>
      </w:r>
      <w:r w:rsidR="00802D67" w:rsidRPr="00AB729D">
        <w:rPr>
          <w:rFonts w:ascii="Times New Roman" w:eastAsiaTheme="minorHAnsi" w:hAnsi="Times New Roman"/>
          <w:sz w:val="24"/>
          <w:szCs w:val="24"/>
        </w:rPr>
        <w:t xml:space="preserve"> monitoring (Chen et al., </w:t>
      </w:r>
      <w:r w:rsidR="00CD0520" w:rsidRPr="00AB729D">
        <w:rPr>
          <w:rFonts w:ascii="Times New Roman" w:eastAsiaTheme="minorHAnsi" w:hAnsi="Times New Roman"/>
          <w:sz w:val="24"/>
          <w:szCs w:val="24"/>
        </w:rPr>
        <w:t>2007</w:t>
      </w:r>
      <w:r w:rsidR="00802D67" w:rsidRPr="00AB729D">
        <w:rPr>
          <w:rFonts w:ascii="Times New Roman" w:eastAsiaTheme="minorHAnsi" w:hAnsi="Times New Roman"/>
          <w:sz w:val="24"/>
          <w:szCs w:val="24"/>
        </w:rPr>
        <w:t xml:space="preserve">).  Short-term investors are less likely to perform such tasks, i.e., engaging with investee firm’s management to create wealth in the long run (Yan and Zhang, 2009). </w:t>
      </w:r>
      <w:r w:rsidR="007642C6" w:rsidRPr="00AB729D">
        <w:rPr>
          <w:rFonts w:ascii="Times New Roman" w:eastAsiaTheme="minorHAnsi" w:hAnsi="Times New Roman"/>
          <w:sz w:val="24"/>
          <w:szCs w:val="24"/>
        </w:rPr>
        <w:t>Consequently</w:t>
      </w:r>
      <w:r w:rsidR="00802D67" w:rsidRPr="00AB729D">
        <w:rPr>
          <w:rFonts w:ascii="Times New Roman" w:eastAsiaTheme="minorHAnsi" w:hAnsi="Times New Roman"/>
          <w:sz w:val="24"/>
          <w:szCs w:val="24"/>
        </w:rPr>
        <w:t xml:space="preserve">, the way </w:t>
      </w:r>
      <w:r w:rsidR="007642C6" w:rsidRPr="00AB729D">
        <w:rPr>
          <w:rFonts w:ascii="Times New Roman" w:eastAsiaTheme="minorHAnsi" w:hAnsi="Times New Roman"/>
          <w:sz w:val="24"/>
          <w:szCs w:val="24"/>
        </w:rPr>
        <w:t xml:space="preserve">institutional investors’ </w:t>
      </w:r>
      <w:r w:rsidR="00802D67" w:rsidRPr="00AB729D">
        <w:rPr>
          <w:rFonts w:ascii="Times New Roman" w:eastAsiaTheme="minorHAnsi" w:hAnsi="Times New Roman"/>
          <w:sz w:val="24"/>
          <w:szCs w:val="24"/>
        </w:rPr>
        <w:t xml:space="preserve">select their equity portfolios differ based on </w:t>
      </w:r>
      <w:r w:rsidR="007642C6" w:rsidRPr="00AB729D">
        <w:rPr>
          <w:rFonts w:ascii="Times New Roman" w:eastAsiaTheme="minorHAnsi" w:hAnsi="Times New Roman"/>
          <w:sz w:val="24"/>
          <w:szCs w:val="24"/>
        </w:rPr>
        <w:t xml:space="preserve">their </w:t>
      </w:r>
      <w:r w:rsidR="00802D67" w:rsidRPr="00AB729D">
        <w:rPr>
          <w:rFonts w:ascii="Times New Roman" w:eastAsiaTheme="minorHAnsi" w:hAnsi="Times New Roman"/>
          <w:sz w:val="24"/>
          <w:szCs w:val="24"/>
        </w:rPr>
        <w:t>investment objectives and horizons.</w:t>
      </w:r>
    </w:p>
    <w:p w14:paraId="23F0F3C8" w14:textId="6918FB6F" w:rsidR="00B230CA" w:rsidRPr="00AB729D" w:rsidRDefault="00E579A8" w:rsidP="00B230CA">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To ascertain the effects of different types of institutional investors on equity mispricing, we use the classification of </w:t>
      </w:r>
      <w:proofErr w:type="spellStart"/>
      <w:r w:rsidRPr="00AB729D">
        <w:rPr>
          <w:rFonts w:ascii="Times New Roman" w:eastAsiaTheme="minorHAnsi" w:hAnsi="Times New Roman"/>
          <w:sz w:val="24"/>
          <w:szCs w:val="24"/>
        </w:rPr>
        <w:t>Bushee</w:t>
      </w:r>
      <w:proofErr w:type="spellEnd"/>
      <w:r w:rsidRPr="00AB729D">
        <w:rPr>
          <w:rFonts w:ascii="Times New Roman" w:eastAsiaTheme="minorHAnsi" w:hAnsi="Times New Roman"/>
          <w:sz w:val="24"/>
          <w:szCs w:val="24"/>
        </w:rPr>
        <w:t xml:space="preserve"> (1998, </w:t>
      </w:r>
      <w:r w:rsidR="00191E28" w:rsidRPr="00AB729D">
        <w:rPr>
          <w:rFonts w:ascii="Times New Roman" w:eastAsiaTheme="minorHAnsi" w:hAnsi="Times New Roman"/>
          <w:sz w:val="24"/>
          <w:szCs w:val="24"/>
        </w:rPr>
        <w:t>2001</w:t>
      </w:r>
      <w:r w:rsidRPr="00AB729D">
        <w:rPr>
          <w:rFonts w:ascii="Times New Roman" w:eastAsiaTheme="minorHAnsi" w:hAnsi="Times New Roman"/>
          <w:sz w:val="24"/>
          <w:szCs w:val="24"/>
        </w:rPr>
        <w:t xml:space="preserve">) and </w:t>
      </w:r>
      <w:proofErr w:type="spellStart"/>
      <w:r w:rsidRPr="00AB729D">
        <w:rPr>
          <w:rFonts w:ascii="Times New Roman" w:eastAsiaTheme="minorHAnsi" w:hAnsi="Times New Roman"/>
          <w:sz w:val="24"/>
          <w:szCs w:val="24"/>
        </w:rPr>
        <w:t>Bushee</w:t>
      </w:r>
      <w:proofErr w:type="spellEnd"/>
      <w:r w:rsidRPr="00AB729D">
        <w:rPr>
          <w:rFonts w:ascii="Times New Roman" w:eastAsiaTheme="minorHAnsi" w:hAnsi="Times New Roman"/>
          <w:sz w:val="24"/>
          <w:szCs w:val="24"/>
        </w:rPr>
        <w:t xml:space="preserve"> and Noe (2000) and group institutional investors into either dedicated</w:t>
      </w:r>
      <w:r w:rsidR="00300D31"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transient</w:t>
      </w:r>
      <w:r w:rsidR="00300D31"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or quasi-indexer. </w:t>
      </w:r>
      <w:r w:rsidR="002A5037" w:rsidRPr="00AB729D">
        <w:rPr>
          <w:rFonts w:ascii="Times New Roman" w:eastAsiaTheme="minorHAnsi" w:hAnsi="Times New Roman"/>
          <w:sz w:val="24"/>
          <w:szCs w:val="24"/>
        </w:rPr>
        <w:t>T</w:t>
      </w:r>
      <w:r w:rsidRPr="00AB729D">
        <w:rPr>
          <w:rFonts w:ascii="Times New Roman" w:eastAsiaTheme="minorHAnsi" w:hAnsi="Times New Roman"/>
          <w:sz w:val="24"/>
          <w:szCs w:val="24"/>
        </w:rPr>
        <w:t xml:space="preserve">ransient investors trade aggressively in search </w:t>
      </w:r>
      <w:r w:rsidR="007642C6" w:rsidRPr="00AB729D">
        <w:rPr>
          <w:rFonts w:ascii="Times New Roman" w:eastAsiaTheme="minorHAnsi" w:hAnsi="Times New Roman"/>
          <w:sz w:val="24"/>
          <w:szCs w:val="24"/>
        </w:rPr>
        <w:t xml:space="preserve">of </w:t>
      </w:r>
      <w:r w:rsidRPr="00AB729D">
        <w:rPr>
          <w:rFonts w:ascii="Times New Roman" w:eastAsiaTheme="minorHAnsi" w:hAnsi="Times New Roman"/>
          <w:sz w:val="24"/>
          <w:szCs w:val="24"/>
        </w:rPr>
        <w:t>short-term profits</w:t>
      </w:r>
      <w:r w:rsidR="007642C6" w:rsidRPr="00AB729D">
        <w:rPr>
          <w:rFonts w:ascii="Times New Roman" w:eastAsiaTheme="minorHAnsi" w:hAnsi="Times New Roman"/>
          <w:sz w:val="24"/>
          <w:szCs w:val="24"/>
        </w:rPr>
        <w:t>. Simultaneously, dedicated and quasi-indexing institutions have a long</w:t>
      </w:r>
      <w:r w:rsidR="00640370" w:rsidRPr="00AB729D">
        <w:rPr>
          <w:rFonts w:ascii="Times New Roman" w:eastAsiaTheme="minorHAnsi" w:hAnsi="Times New Roman"/>
          <w:sz w:val="24"/>
          <w:szCs w:val="24"/>
        </w:rPr>
        <w:t>er</w:t>
      </w:r>
      <w:r w:rsidR="007642C6" w:rsidRPr="00AB729D">
        <w:rPr>
          <w:rFonts w:ascii="Times New Roman" w:eastAsiaTheme="minorHAnsi" w:hAnsi="Times New Roman"/>
          <w:sz w:val="24"/>
          <w:szCs w:val="24"/>
        </w:rPr>
        <w:t xml:space="preserve"> investment horizon and do not actively transact shares for short-term gains.</w:t>
      </w:r>
      <w:r w:rsidRPr="00AB729D">
        <w:rPr>
          <w:rFonts w:ascii="Times New Roman" w:eastAsiaTheme="minorHAnsi" w:hAnsi="Times New Roman"/>
          <w:sz w:val="24"/>
          <w:szCs w:val="24"/>
        </w:rPr>
        <w:t xml:space="preserve"> The analysis of the effects of institutional investors on equity mispricing per this classification is essential</w:t>
      </w:r>
      <w:r w:rsidR="00300D31"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w:t>
      </w:r>
      <w:proofErr w:type="spellStart"/>
      <w:r w:rsidRPr="00AB729D">
        <w:rPr>
          <w:rFonts w:ascii="Times New Roman" w:eastAsiaTheme="minorHAnsi" w:hAnsi="Times New Roman"/>
          <w:sz w:val="24"/>
          <w:szCs w:val="24"/>
        </w:rPr>
        <w:t>Ke</w:t>
      </w:r>
      <w:proofErr w:type="spellEnd"/>
      <w:r w:rsidRPr="00AB729D">
        <w:rPr>
          <w:rFonts w:ascii="Times New Roman" w:eastAsiaTheme="minorHAnsi" w:hAnsi="Times New Roman"/>
          <w:sz w:val="24"/>
          <w:szCs w:val="24"/>
        </w:rPr>
        <w:t xml:space="preserve"> and </w:t>
      </w:r>
      <w:proofErr w:type="spellStart"/>
      <w:r w:rsidRPr="00AB729D">
        <w:rPr>
          <w:rFonts w:ascii="Times New Roman" w:eastAsiaTheme="minorHAnsi" w:hAnsi="Times New Roman"/>
          <w:sz w:val="24"/>
          <w:szCs w:val="24"/>
        </w:rPr>
        <w:t>Petroni</w:t>
      </w:r>
      <w:proofErr w:type="spellEnd"/>
      <w:r w:rsidRPr="00AB729D">
        <w:rPr>
          <w:rFonts w:ascii="Times New Roman" w:eastAsiaTheme="minorHAnsi" w:hAnsi="Times New Roman"/>
          <w:sz w:val="24"/>
          <w:szCs w:val="24"/>
        </w:rPr>
        <w:t xml:space="preserve"> (2004) describe how the actions of transient institutional investors' ability to predict a break in a string of consecutive earnings increases can improve stock pricing. </w:t>
      </w:r>
      <w:proofErr w:type="spellStart"/>
      <w:r w:rsidRPr="00AB729D">
        <w:rPr>
          <w:rFonts w:ascii="Times New Roman" w:eastAsiaTheme="minorHAnsi" w:hAnsi="Times New Roman"/>
          <w:sz w:val="24"/>
          <w:szCs w:val="24"/>
        </w:rPr>
        <w:t>Cremers</w:t>
      </w:r>
      <w:proofErr w:type="spellEnd"/>
      <w:r w:rsidRPr="00AB729D">
        <w:rPr>
          <w:rFonts w:ascii="Times New Roman" w:eastAsiaTheme="minorHAnsi" w:hAnsi="Times New Roman"/>
          <w:sz w:val="24"/>
          <w:szCs w:val="24"/>
        </w:rPr>
        <w:t xml:space="preserve"> and Pareek (2011) find that both momentum returns and subsequent returns reversal are stronger for stocks with greater proportions of short-term institutional investors. </w:t>
      </w:r>
      <w:proofErr w:type="spellStart"/>
      <w:r w:rsidRPr="00AB729D">
        <w:rPr>
          <w:rFonts w:ascii="Times New Roman" w:eastAsiaTheme="minorHAnsi" w:hAnsi="Times New Roman"/>
          <w:sz w:val="24"/>
          <w:szCs w:val="24"/>
        </w:rPr>
        <w:t>Derrien</w:t>
      </w:r>
      <w:proofErr w:type="spellEnd"/>
      <w:r w:rsidRPr="00AB729D">
        <w:rPr>
          <w:rFonts w:ascii="Times New Roman" w:eastAsiaTheme="minorHAnsi" w:hAnsi="Times New Roman"/>
          <w:sz w:val="24"/>
          <w:szCs w:val="24"/>
        </w:rPr>
        <w:t xml:space="preserve"> et al. (2013) find that longer investor horizons attenuate the effect of stock mispricing on corporate policies. </w:t>
      </w:r>
    </w:p>
    <w:p w14:paraId="3F42CAA2" w14:textId="7E72C011" w:rsidR="002B429B" w:rsidRPr="00AB729D" w:rsidRDefault="00D53A6F" w:rsidP="00F3219E">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Besides the heterogeneity among institutional investors, another factor </w:t>
      </w:r>
      <w:r w:rsidR="008A0E65" w:rsidRPr="00AB729D">
        <w:rPr>
          <w:rFonts w:ascii="Times New Roman" w:eastAsiaTheme="minorHAnsi" w:hAnsi="Times New Roman"/>
          <w:sz w:val="24"/>
          <w:szCs w:val="24"/>
        </w:rPr>
        <w:t>affecting firm</w:t>
      </w:r>
      <w:r w:rsidRPr="00AB729D">
        <w:rPr>
          <w:rFonts w:ascii="Times New Roman" w:eastAsiaTheme="minorHAnsi" w:hAnsi="Times New Roman"/>
          <w:sz w:val="24"/>
          <w:szCs w:val="24"/>
        </w:rPr>
        <w:t xml:space="preserve"> valuation is the volatility in their equity shareholdings. For example, </w:t>
      </w:r>
      <w:proofErr w:type="spellStart"/>
      <w:r w:rsidRPr="00AB729D">
        <w:rPr>
          <w:rFonts w:ascii="Times New Roman" w:eastAsiaTheme="minorHAnsi" w:hAnsi="Times New Roman"/>
          <w:sz w:val="24"/>
          <w:szCs w:val="24"/>
        </w:rPr>
        <w:t>Elyasiani</w:t>
      </w:r>
      <w:proofErr w:type="spellEnd"/>
      <w:r w:rsidRPr="00AB729D">
        <w:rPr>
          <w:rFonts w:ascii="Times New Roman" w:eastAsiaTheme="minorHAnsi" w:hAnsi="Times New Roman"/>
          <w:sz w:val="24"/>
          <w:szCs w:val="24"/>
        </w:rPr>
        <w:t xml:space="preserve"> and Jia (2008) show that institutional ownership stability positively affects banks’ performance. </w:t>
      </w:r>
      <w:proofErr w:type="spellStart"/>
      <w:r w:rsidRPr="00AB729D">
        <w:rPr>
          <w:rFonts w:ascii="Times New Roman" w:eastAsiaTheme="minorHAnsi" w:hAnsi="Times New Roman"/>
          <w:sz w:val="24"/>
          <w:szCs w:val="24"/>
        </w:rPr>
        <w:t>Elyasiani</w:t>
      </w:r>
      <w:proofErr w:type="spellEnd"/>
      <w:r w:rsidRPr="00AB729D">
        <w:rPr>
          <w:rFonts w:ascii="Times New Roman" w:eastAsiaTheme="minorHAnsi" w:hAnsi="Times New Roman"/>
          <w:sz w:val="24"/>
          <w:szCs w:val="24"/>
        </w:rPr>
        <w:t xml:space="preserve"> et al. (2010) document that institutional ownership stability leads to lower </w:t>
      </w:r>
      <w:r w:rsidR="00974E83" w:rsidRPr="00AB729D">
        <w:rPr>
          <w:rFonts w:ascii="Times New Roman" w:eastAsiaTheme="minorHAnsi" w:hAnsi="Times New Roman"/>
          <w:sz w:val="24"/>
          <w:szCs w:val="24"/>
        </w:rPr>
        <w:t xml:space="preserve">debt </w:t>
      </w:r>
      <w:r w:rsidRPr="00AB729D">
        <w:rPr>
          <w:rFonts w:ascii="Times New Roman" w:eastAsiaTheme="minorHAnsi" w:hAnsi="Times New Roman"/>
          <w:sz w:val="24"/>
          <w:szCs w:val="24"/>
        </w:rPr>
        <w:t xml:space="preserve">costs. Jafarinejad et al. </w:t>
      </w:r>
      <w:r w:rsidRPr="00AB729D">
        <w:rPr>
          <w:rFonts w:ascii="Times New Roman" w:eastAsiaTheme="minorHAnsi" w:hAnsi="Times New Roman"/>
          <w:sz w:val="24"/>
          <w:szCs w:val="24"/>
        </w:rPr>
        <w:lastRenderedPageBreak/>
        <w:t>(2015) find that the presence of long-term stable institutional investors enhances the value of diversified firms. Sakaki et al. (2017) show that firms held by more stable institutional investors experience lower real activities manipulations. Jory et al. (2017) find a positive association between institutional ownership pe</w:t>
      </w:r>
      <w:r w:rsidR="00E579A8" w:rsidRPr="00AB729D">
        <w:rPr>
          <w:rFonts w:ascii="Times New Roman" w:eastAsiaTheme="minorHAnsi" w:hAnsi="Times New Roman"/>
          <w:sz w:val="24"/>
          <w:szCs w:val="24"/>
        </w:rPr>
        <w:t xml:space="preserve">rsistence and dividend payout. </w:t>
      </w:r>
      <w:r w:rsidRPr="00AB729D">
        <w:rPr>
          <w:rFonts w:ascii="Times New Roman" w:eastAsiaTheme="minorHAnsi" w:hAnsi="Times New Roman"/>
          <w:sz w:val="24"/>
          <w:szCs w:val="24"/>
        </w:rPr>
        <w:t xml:space="preserve">While the literature on institutional ownership stability is still nascent, the evidence so far suggests that the stability of institutional shareholdings is an economically important factor in the study of firm valuation. </w:t>
      </w:r>
      <w:r w:rsidR="007642C6" w:rsidRPr="00AB729D">
        <w:rPr>
          <w:rFonts w:ascii="Times New Roman" w:eastAsiaTheme="minorHAnsi" w:hAnsi="Times New Roman"/>
          <w:sz w:val="24"/>
          <w:szCs w:val="24"/>
        </w:rPr>
        <w:t>This paper</w:t>
      </w:r>
      <w:r w:rsidRPr="00AB729D">
        <w:rPr>
          <w:rFonts w:ascii="Times New Roman" w:eastAsiaTheme="minorHAnsi" w:hAnsi="Times New Roman"/>
          <w:sz w:val="24"/>
          <w:szCs w:val="24"/>
        </w:rPr>
        <w:t xml:space="preserve"> </w:t>
      </w:r>
      <w:r w:rsidR="00974E83" w:rsidRPr="00AB729D">
        <w:rPr>
          <w:rFonts w:ascii="Times New Roman" w:eastAsiaTheme="minorHAnsi" w:hAnsi="Times New Roman"/>
          <w:sz w:val="24"/>
          <w:szCs w:val="24"/>
        </w:rPr>
        <w:t>extend</w:t>
      </w:r>
      <w:r w:rsidR="007642C6" w:rsidRPr="00AB729D">
        <w:rPr>
          <w:rFonts w:ascii="Times New Roman" w:eastAsiaTheme="minorHAnsi" w:hAnsi="Times New Roman"/>
          <w:sz w:val="24"/>
          <w:szCs w:val="24"/>
        </w:rPr>
        <w:t>s</w:t>
      </w:r>
      <w:r w:rsidR="00974E83" w:rsidRPr="00AB729D">
        <w:rPr>
          <w:rFonts w:ascii="Times New Roman" w:eastAsiaTheme="minorHAnsi" w:hAnsi="Times New Roman"/>
          <w:sz w:val="24"/>
          <w:szCs w:val="24"/>
        </w:rPr>
        <w:t xml:space="preserve"> the literature by </w:t>
      </w:r>
      <w:r w:rsidRPr="00AB729D">
        <w:rPr>
          <w:rFonts w:ascii="Times New Roman" w:eastAsiaTheme="minorHAnsi" w:hAnsi="Times New Roman"/>
          <w:sz w:val="24"/>
          <w:szCs w:val="24"/>
        </w:rPr>
        <w:t>study</w:t>
      </w:r>
      <w:r w:rsidR="00974E83" w:rsidRPr="00AB729D">
        <w:rPr>
          <w:rFonts w:ascii="Times New Roman" w:eastAsiaTheme="minorHAnsi" w:hAnsi="Times New Roman"/>
          <w:sz w:val="24"/>
          <w:szCs w:val="24"/>
        </w:rPr>
        <w:t>ing</w:t>
      </w:r>
      <w:r w:rsidRPr="00AB729D">
        <w:rPr>
          <w:rFonts w:ascii="Times New Roman" w:eastAsiaTheme="minorHAnsi" w:hAnsi="Times New Roman"/>
          <w:sz w:val="24"/>
          <w:szCs w:val="24"/>
        </w:rPr>
        <w:t xml:space="preserve"> how institutional invertors’ ownership stability affects equity mispricing at investee firms.</w:t>
      </w:r>
      <w:r w:rsidR="00F3219E" w:rsidRPr="00AB729D">
        <w:rPr>
          <w:rFonts w:ascii="Times New Roman" w:eastAsiaTheme="minorHAnsi" w:hAnsi="Times New Roman"/>
          <w:sz w:val="24"/>
          <w:szCs w:val="24"/>
        </w:rPr>
        <w:t xml:space="preserve"> </w:t>
      </w:r>
    </w:p>
    <w:p w14:paraId="7F42E596" w14:textId="77777777" w:rsidR="00C4120C" w:rsidRPr="00AB729D" w:rsidRDefault="00C4120C" w:rsidP="00C4120C">
      <w:pPr>
        <w:spacing w:line="480" w:lineRule="auto"/>
        <w:rPr>
          <w:rFonts w:ascii="Times New Roman" w:eastAsiaTheme="minorHAnsi" w:hAnsi="Times New Roman"/>
          <w:sz w:val="24"/>
          <w:szCs w:val="24"/>
        </w:rPr>
      </w:pPr>
    </w:p>
    <w:p w14:paraId="12BE98DD" w14:textId="68E3C9C3" w:rsidR="00CD44A5" w:rsidRPr="00AB729D" w:rsidRDefault="00CD44A5" w:rsidP="00C4120C">
      <w:pPr>
        <w:pStyle w:val="ListParagraph"/>
        <w:numPr>
          <w:ilvl w:val="0"/>
          <w:numId w:val="14"/>
        </w:numPr>
        <w:rPr>
          <w:rFonts w:ascii="Times New Roman" w:hAnsi="Times New Roman"/>
          <w:b/>
          <w:sz w:val="24"/>
          <w:szCs w:val="24"/>
        </w:rPr>
      </w:pPr>
      <w:bookmarkStart w:id="2" w:name="_Toc474489290"/>
      <w:r w:rsidRPr="00AB729D">
        <w:rPr>
          <w:rFonts w:ascii="Times New Roman" w:hAnsi="Times New Roman"/>
          <w:b/>
          <w:sz w:val="24"/>
          <w:szCs w:val="24"/>
        </w:rPr>
        <w:t>Data Source and Sample Selection</w:t>
      </w:r>
      <w:bookmarkEnd w:id="2"/>
    </w:p>
    <w:p w14:paraId="1F037E91" w14:textId="3EA175B2" w:rsidR="004F1955" w:rsidRPr="00AB729D" w:rsidRDefault="008000CD" w:rsidP="004C34FA">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Information on institutional ownership is obtained from </w:t>
      </w:r>
      <w:r w:rsidR="004B7DF8" w:rsidRPr="00AB729D">
        <w:rPr>
          <w:rFonts w:ascii="Times New Roman" w:eastAsiaTheme="minorHAnsi" w:hAnsi="Times New Roman"/>
          <w:sz w:val="24"/>
          <w:szCs w:val="24"/>
        </w:rPr>
        <w:t xml:space="preserve">the </w:t>
      </w:r>
      <w:r w:rsidRPr="00AB729D">
        <w:rPr>
          <w:rFonts w:ascii="Times New Roman" w:eastAsiaTheme="minorHAnsi" w:hAnsi="Times New Roman"/>
          <w:sz w:val="24"/>
          <w:szCs w:val="24"/>
        </w:rPr>
        <w:t xml:space="preserve">Thomson-Reuters Institutional Holdings (13F) database (formerly known as CDA spectrum). The shareholdings data come from Form 13F filed by institutional managers—with $100 million or more in assets under management—with the U.S. Securities and Exchange Commission (SEC). </w:t>
      </w:r>
      <w:r w:rsidR="004351AB" w:rsidRPr="00AB729D">
        <w:rPr>
          <w:rFonts w:ascii="Times New Roman" w:eastAsiaTheme="minorHAnsi" w:hAnsi="Times New Roman"/>
          <w:sz w:val="24"/>
          <w:szCs w:val="24"/>
        </w:rPr>
        <w:t xml:space="preserve">We </w:t>
      </w:r>
      <w:r w:rsidRPr="00AB729D">
        <w:rPr>
          <w:rFonts w:ascii="Times New Roman" w:eastAsiaTheme="minorHAnsi" w:hAnsi="Times New Roman"/>
          <w:sz w:val="24"/>
          <w:szCs w:val="24"/>
        </w:rPr>
        <w:t>obtain</w:t>
      </w:r>
      <w:r w:rsidR="00300D31" w:rsidRPr="00AB729D">
        <w:rPr>
          <w:rFonts w:ascii="Times New Roman" w:eastAsiaTheme="minorHAnsi" w:hAnsi="Times New Roman"/>
          <w:sz w:val="24"/>
          <w:szCs w:val="24"/>
        </w:rPr>
        <w:t>ed</w:t>
      </w:r>
      <w:r w:rsidRPr="00AB729D">
        <w:rPr>
          <w:rFonts w:ascii="Times New Roman" w:eastAsiaTheme="minorHAnsi" w:hAnsi="Times New Roman"/>
          <w:sz w:val="24"/>
          <w:szCs w:val="24"/>
        </w:rPr>
        <w:t xml:space="preserve"> annual financial and accounting data to estimate mispricing variables from the </w:t>
      </w:r>
      <w:proofErr w:type="spellStart"/>
      <w:r w:rsidRPr="00AB729D">
        <w:rPr>
          <w:rFonts w:ascii="Times New Roman" w:eastAsiaTheme="minorHAnsi" w:hAnsi="Times New Roman"/>
          <w:sz w:val="24"/>
          <w:szCs w:val="24"/>
        </w:rPr>
        <w:t>Compustat</w:t>
      </w:r>
      <w:proofErr w:type="spellEnd"/>
      <w:r w:rsidRPr="00AB729D">
        <w:rPr>
          <w:rFonts w:ascii="Times New Roman" w:eastAsiaTheme="minorHAnsi" w:hAnsi="Times New Roman"/>
          <w:sz w:val="24"/>
          <w:szCs w:val="24"/>
        </w:rPr>
        <w:t xml:space="preserve"> Database. To classify institutional investors based on their investment horizon, </w:t>
      </w:r>
      <w:r w:rsidR="002E731F" w:rsidRPr="00AB729D">
        <w:rPr>
          <w:rFonts w:ascii="Times New Roman" w:eastAsiaTheme="minorHAnsi" w:hAnsi="Times New Roman"/>
          <w:sz w:val="24"/>
          <w:szCs w:val="24"/>
        </w:rPr>
        <w:t>we</w:t>
      </w:r>
      <w:r w:rsidRPr="00AB729D">
        <w:rPr>
          <w:rFonts w:ascii="Times New Roman" w:eastAsiaTheme="minorHAnsi" w:hAnsi="Times New Roman"/>
          <w:sz w:val="24"/>
          <w:szCs w:val="24"/>
        </w:rPr>
        <w:t xml:space="preserve"> </w:t>
      </w:r>
      <w:r w:rsidR="004B7DF8" w:rsidRPr="00AB729D">
        <w:rPr>
          <w:rFonts w:ascii="Times New Roman" w:eastAsiaTheme="minorHAnsi" w:hAnsi="Times New Roman"/>
          <w:sz w:val="24"/>
          <w:szCs w:val="24"/>
        </w:rPr>
        <w:t>obtained</w:t>
      </w:r>
      <w:r w:rsidR="001C20CD" w:rsidRPr="00AB729D">
        <w:rPr>
          <w:rFonts w:ascii="Times New Roman" w:eastAsiaTheme="minorHAnsi" w:hAnsi="Times New Roman"/>
          <w:sz w:val="24"/>
          <w:szCs w:val="24"/>
        </w:rPr>
        <w:t xml:space="preserve"> data</w:t>
      </w:r>
      <w:r w:rsidR="004B7DF8" w:rsidRPr="00AB729D">
        <w:rPr>
          <w:rFonts w:ascii="Times New Roman" w:eastAsiaTheme="minorHAnsi" w:hAnsi="Times New Roman"/>
          <w:sz w:val="24"/>
          <w:szCs w:val="24"/>
        </w:rPr>
        <w:t xml:space="preserve"> </w:t>
      </w:r>
      <w:r w:rsidR="004F1955" w:rsidRPr="00AB729D">
        <w:rPr>
          <w:rFonts w:ascii="Times New Roman" w:eastAsiaTheme="minorHAnsi" w:hAnsi="Times New Roman"/>
          <w:sz w:val="24"/>
          <w:szCs w:val="24"/>
        </w:rPr>
        <w:t xml:space="preserve">on </w:t>
      </w:r>
      <w:r w:rsidR="004B7DF8" w:rsidRPr="00AB729D">
        <w:rPr>
          <w:rFonts w:ascii="Times New Roman" w:eastAsiaTheme="minorHAnsi" w:hAnsi="Times New Roman"/>
          <w:sz w:val="24"/>
          <w:szCs w:val="24"/>
        </w:rPr>
        <w:t>trading frequency</w:t>
      </w:r>
      <w:r w:rsidR="001C20CD" w:rsidRPr="00AB729D">
        <w:rPr>
          <w:rFonts w:ascii="Times New Roman" w:eastAsiaTheme="minorHAnsi" w:hAnsi="Times New Roman"/>
          <w:sz w:val="24"/>
          <w:szCs w:val="24"/>
        </w:rPr>
        <w:t xml:space="preserve"> from </w:t>
      </w:r>
      <w:r w:rsidR="004F1955" w:rsidRPr="00AB729D">
        <w:rPr>
          <w:rFonts w:ascii="Times New Roman" w:eastAsiaTheme="minorHAnsi" w:hAnsi="Times New Roman"/>
          <w:sz w:val="24"/>
          <w:szCs w:val="24"/>
        </w:rPr>
        <w:t xml:space="preserve">Professor </w:t>
      </w:r>
      <w:proofErr w:type="spellStart"/>
      <w:r w:rsidR="001C20CD" w:rsidRPr="00AB729D">
        <w:rPr>
          <w:rFonts w:ascii="Times New Roman" w:eastAsiaTheme="minorHAnsi" w:hAnsi="Times New Roman"/>
          <w:sz w:val="24"/>
          <w:szCs w:val="24"/>
        </w:rPr>
        <w:t>Bushee</w:t>
      </w:r>
      <w:proofErr w:type="spellEnd"/>
      <w:r w:rsidR="001C20CD" w:rsidRPr="00AB729D">
        <w:rPr>
          <w:rFonts w:ascii="Times New Roman" w:eastAsiaTheme="minorHAnsi" w:hAnsi="Times New Roman"/>
          <w:sz w:val="24"/>
          <w:szCs w:val="24"/>
        </w:rPr>
        <w:t xml:space="preserve"> website</w:t>
      </w:r>
      <w:r w:rsidR="001C20CD" w:rsidRPr="00AB729D">
        <w:rPr>
          <w:rStyle w:val="FootnoteReference"/>
          <w:rFonts w:ascii="Times New Roman" w:eastAsiaTheme="minorHAnsi" w:hAnsi="Times New Roman"/>
          <w:sz w:val="24"/>
          <w:szCs w:val="24"/>
        </w:rPr>
        <w:footnoteReference w:id="1"/>
      </w:r>
      <w:r w:rsidR="002E731F" w:rsidRPr="00AB729D">
        <w:rPr>
          <w:rFonts w:ascii="Times New Roman" w:eastAsiaTheme="minorHAnsi" w:hAnsi="Times New Roman"/>
          <w:sz w:val="24"/>
          <w:szCs w:val="24"/>
        </w:rPr>
        <w:t xml:space="preserve"> and trading volume from </w:t>
      </w:r>
      <w:r w:rsidR="004351AB" w:rsidRPr="00AB729D">
        <w:rPr>
          <w:rFonts w:ascii="Times New Roman" w:eastAsiaTheme="minorHAnsi" w:hAnsi="Times New Roman"/>
          <w:sz w:val="24"/>
          <w:szCs w:val="24"/>
        </w:rPr>
        <w:t>the University of Chicago’s Center for Research in Security Prices (CRSP) database</w:t>
      </w:r>
      <w:r w:rsidR="002E731F" w:rsidRPr="00AB729D">
        <w:rPr>
          <w:rFonts w:ascii="Times New Roman" w:eastAsiaTheme="minorHAnsi" w:hAnsi="Times New Roman"/>
          <w:sz w:val="24"/>
          <w:szCs w:val="24"/>
        </w:rPr>
        <w:t xml:space="preserve">. </w:t>
      </w:r>
    </w:p>
    <w:p w14:paraId="3B4F00D0" w14:textId="7B4E5A6B" w:rsidR="004F1955" w:rsidRPr="00AB729D" w:rsidRDefault="004F1955" w:rsidP="004C34FA">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The</w:t>
      </w:r>
      <w:r w:rsidR="008000CD" w:rsidRPr="00AB729D">
        <w:rPr>
          <w:rFonts w:ascii="Times New Roman" w:eastAsiaTheme="minorHAnsi" w:hAnsi="Times New Roman"/>
          <w:sz w:val="24"/>
          <w:szCs w:val="24"/>
        </w:rPr>
        <w:t xml:space="preserve"> sample includes all </w:t>
      </w:r>
      <w:r w:rsidR="005013FB" w:rsidRPr="00AB729D">
        <w:rPr>
          <w:rFonts w:ascii="Times New Roman" w:eastAsiaTheme="minorHAnsi" w:hAnsi="Times New Roman"/>
          <w:sz w:val="24"/>
          <w:szCs w:val="24"/>
        </w:rPr>
        <w:t xml:space="preserve">U.S. publicly listed </w:t>
      </w:r>
      <w:r w:rsidR="008000CD" w:rsidRPr="00AB729D">
        <w:rPr>
          <w:rFonts w:ascii="Times New Roman" w:eastAsiaTheme="minorHAnsi" w:hAnsi="Times New Roman"/>
          <w:sz w:val="24"/>
          <w:szCs w:val="24"/>
        </w:rPr>
        <w:t xml:space="preserve">firms held by institutional investors from 1981 to 2012. </w:t>
      </w:r>
      <w:r w:rsidR="004351AB" w:rsidRPr="00AB729D">
        <w:rPr>
          <w:rFonts w:ascii="Times New Roman" w:eastAsiaTheme="minorHAnsi" w:hAnsi="Times New Roman"/>
          <w:sz w:val="24"/>
          <w:szCs w:val="24"/>
        </w:rPr>
        <w:t xml:space="preserve">There are </w:t>
      </w:r>
      <w:r w:rsidR="008000CD" w:rsidRPr="00AB729D">
        <w:rPr>
          <w:rFonts w:ascii="Times New Roman" w:eastAsiaTheme="minorHAnsi" w:hAnsi="Times New Roman"/>
          <w:sz w:val="24"/>
          <w:szCs w:val="24"/>
        </w:rPr>
        <w:t xml:space="preserve">82,037 firm-year observations </w:t>
      </w:r>
      <w:r w:rsidR="004351AB" w:rsidRPr="00AB729D">
        <w:rPr>
          <w:rFonts w:ascii="Times New Roman" w:eastAsiaTheme="minorHAnsi" w:hAnsi="Times New Roman"/>
          <w:sz w:val="24"/>
          <w:szCs w:val="24"/>
        </w:rPr>
        <w:t xml:space="preserve">based on </w:t>
      </w:r>
      <w:r w:rsidR="008000CD" w:rsidRPr="00AB729D">
        <w:rPr>
          <w:rFonts w:ascii="Times New Roman" w:eastAsiaTheme="minorHAnsi" w:hAnsi="Times New Roman"/>
          <w:sz w:val="24"/>
          <w:szCs w:val="24"/>
        </w:rPr>
        <w:t xml:space="preserve">11,461 firms, as shown in panel A of Table </w:t>
      </w:r>
      <w:r w:rsidR="004C34FA" w:rsidRPr="00AB729D">
        <w:rPr>
          <w:rFonts w:ascii="Times New Roman" w:eastAsiaTheme="minorHAnsi" w:hAnsi="Times New Roman"/>
          <w:sz w:val="24"/>
          <w:szCs w:val="24"/>
        </w:rPr>
        <w:t>1</w:t>
      </w:r>
      <w:r w:rsidR="008000CD" w:rsidRPr="00AB729D">
        <w:rPr>
          <w:rFonts w:ascii="Times New Roman" w:eastAsiaTheme="minorHAnsi" w:hAnsi="Times New Roman"/>
          <w:sz w:val="24"/>
          <w:szCs w:val="24"/>
        </w:rPr>
        <w:t xml:space="preserve">. Panel B </w:t>
      </w:r>
      <w:r w:rsidR="004351AB" w:rsidRPr="00AB729D">
        <w:rPr>
          <w:rFonts w:ascii="Times New Roman" w:eastAsiaTheme="minorHAnsi" w:hAnsi="Times New Roman"/>
          <w:sz w:val="24"/>
          <w:szCs w:val="24"/>
        </w:rPr>
        <w:t xml:space="preserve">of Table 1 </w:t>
      </w:r>
      <w:r w:rsidR="008000CD" w:rsidRPr="00AB729D">
        <w:rPr>
          <w:rFonts w:ascii="Times New Roman" w:eastAsiaTheme="minorHAnsi" w:hAnsi="Times New Roman"/>
          <w:sz w:val="24"/>
          <w:szCs w:val="24"/>
        </w:rPr>
        <w:t xml:space="preserve">presents the sample distribution by industry based on </w:t>
      </w:r>
      <w:r w:rsidRPr="00AB729D">
        <w:rPr>
          <w:rFonts w:ascii="Times New Roman" w:eastAsiaTheme="minorHAnsi" w:hAnsi="Times New Roman"/>
          <w:sz w:val="24"/>
          <w:szCs w:val="24"/>
        </w:rPr>
        <w:t xml:space="preserve">the </w:t>
      </w:r>
      <w:proofErr w:type="spellStart"/>
      <w:r w:rsidR="008000CD" w:rsidRPr="00AB729D">
        <w:rPr>
          <w:rFonts w:ascii="Times New Roman" w:eastAsiaTheme="minorHAnsi" w:hAnsi="Times New Roman"/>
          <w:sz w:val="24"/>
          <w:szCs w:val="24"/>
        </w:rPr>
        <w:t>Fama</w:t>
      </w:r>
      <w:proofErr w:type="spellEnd"/>
      <w:r w:rsidR="008000CD" w:rsidRPr="00AB729D">
        <w:rPr>
          <w:rFonts w:ascii="Times New Roman" w:eastAsiaTheme="minorHAnsi" w:hAnsi="Times New Roman"/>
          <w:sz w:val="24"/>
          <w:szCs w:val="24"/>
        </w:rPr>
        <w:t xml:space="preserve"> </w:t>
      </w:r>
      <w:r w:rsidR="008000CD" w:rsidRPr="00AB729D">
        <w:rPr>
          <w:rFonts w:ascii="Times New Roman" w:eastAsiaTheme="minorHAnsi" w:hAnsi="Times New Roman"/>
          <w:sz w:val="24"/>
          <w:szCs w:val="24"/>
        </w:rPr>
        <w:lastRenderedPageBreak/>
        <w:t xml:space="preserve">and French 12-sector industry classification. </w:t>
      </w:r>
      <w:r w:rsidRPr="00AB729D">
        <w:rPr>
          <w:rFonts w:ascii="Times New Roman" w:eastAsiaTheme="minorHAnsi" w:hAnsi="Times New Roman"/>
          <w:sz w:val="24"/>
          <w:szCs w:val="24"/>
        </w:rPr>
        <w:t xml:space="preserve">The </w:t>
      </w:r>
      <w:r w:rsidR="00967D99" w:rsidRPr="00AB729D">
        <w:rPr>
          <w:rFonts w:ascii="Times New Roman" w:eastAsiaTheme="minorHAnsi" w:hAnsi="Times New Roman"/>
          <w:sz w:val="24"/>
          <w:szCs w:val="24"/>
        </w:rPr>
        <w:t>main industries are</w:t>
      </w:r>
      <w:r w:rsidRPr="00AB729D">
        <w:rPr>
          <w:rFonts w:ascii="Times New Roman" w:eastAsiaTheme="minorHAnsi" w:hAnsi="Times New Roman"/>
          <w:sz w:val="24"/>
          <w:szCs w:val="24"/>
        </w:rPr>
        <w:t>: Business Equipment (22.24%), Others</w:t>
      </w:r>
      <w:r w:rsidRPr="00AB729D">
        <w:rPr>
          <w:rStyle w:val="FootnoteReference"/>
          <w:rFonts w:ascii="Times New Roman" w:eastAsiaTheme="minorHAnsi" w:hAnsi="Times New Roman"/>
          <w:sz w:val="24"/>
          <w:szCs w:val="24"/>
        </w:rPr>
        <w:footnoteReference w:id="2"/>
      </w:r>
      <w:r w:rsidRPr="00AB729D">
        <w:rPr>
          <w:rFonts w:ascii="Times New Roman" w:eastAsiaTheme="minorHAnsi" w:hAnsi="Times New Roman"/>
          <w:sz w:val="24"/>
          <w:szCs w:val="24"/>
        </w:rPr>
        <w:t xml:space="preserve"> (16.02%), Manufacturing (15.96%), Wholesale, Retail, and Some Services (12.78%). The least represent</w:t>
      </w:r>
      <w:r w:rsidR="00967D99" w:rsidRPr="00AB729D">
        <w:rPr>
          <w:rFonts w:ascii="Times New Roman" w:eastAsiaTheme="minorHAnsi" w:hAnsi="Times New Roman"/>
          <w:sz w:val="24"/>
          <w:szCs w:val="24"/>
        </w:rPr>
        <w:t>ed</w:t>
      </w:r>
      <w:r w:rsidRPr="00AB729D">
        <w:rPr>
          <w:rFonts w:ascii="Times New Roman" w:eastAsiaTheme="minorHAnsi" w:hAnsi="Times New Roman"/>
          <w:sz w:val="24"/>
          <w:szCs w:val="24"/>
        </w:rPr>
        <w:t xml:space="preserve"> industry is Chemical (2.99%).</w:t>
      </w:r>
    </w:p>
    <w:p w14:paraId="2723373B" w14:textId="7BCF941F" w:rsidR="004C34FA" w:rsidRPr="00AB729D" w:rsidRDefault="004F1955" w:rsidP="004C34FA">
      <w:pPr>
        <w:spacing w:line="480" w:lineRule="auto"/>
        <w:ind w:firstLine="720"/>
        <w:jc w:val="center"/>
        <w:rPr>
          <w:rFonts w:ascii="Times New Roman" w:eastAsiaTheme="minorHAnsi" w:hAnsi="Times New Roman"/>
          <w:sz w:val="24"/>
          <w:szCs w:val="24"/>
        </w:rPr>
      </w:pPr>
      <w:r w:rsidRPr="00AB729D" w:rsidDel="004F1955">
        <w:rPr>
          <w:rFonts w:ascii="Times New Roman" w:eastAsiaTheme="minorHAnsi" w:hAnsi="Times New Roman"/>
          <w:sz w:val="24"/>
          <w:szCs w:val="24"/>
        </w:rPr>
        <w:t xml:space="preserve"> </w:t>
      </w:r>
      <w:r w:rsidR="004C34FA" w:rsidRPr="00AB729D">
        <w:rPr>
          <w:rFonts w:ascii="Times New Roman" w:eastAsiaTheme="minorHAnsi" w:hAnsi="Times New Roman"/>
          <w:sz w:val="24"/>
          <w:szCs w:val="24"/>
        </w:rPr>
        <w:t>[INSERT TABLE 1 ABOUT HERE]</w:t>
      </w:r>
    </w:p>
    <w:p w14:paraId="740F7047" w14:textId="13AD51E1" w:rsidR="00CD44A5" w:rsidRPr="00AB729D" w:rsidRDefault="00CD44A5" w:rsidP="00C4120C">
      <w:pPr>
        <w:pStyle w:val="ListParagraph"/>
        <w:numPr>
          <w:ilvl w:val="0"/>
          <w:numId w:val="14"/>
        </w:numPr>
        <w:rPr>
          <w:rFonts w:ascii="Times New Roman" w:hAnsi="Times New Roman"/>
          <w:b/>
          <w:sz w:val="24"/>
          <w:szCs w:val="24"/>
        </w:rPr>
      </w:pPr>
      <w:bookmarkStart w:id="3" w:name="_Toc474489291"/>
      <w:r w:rsidRPr="00AB729D">
        <w:rPr>
          <w:rFonts w:ascii="Times New Roman" w:hAnsi="Times New Roman"/>
          <w:b/>
          <w:sz w:val="24"/>
          <w:szCs w:val="24"/>
        </w:rPr>
        <w:t>Methodology</w:t>
      </w:r>
      <w:bookmarkEnd w:id="3"/>
    </w:p>
    <w:p w14:paraId="0F534A1C" w14:textId="1C689970" w:rsidR="008000CD" w:rsidRPr="00AB729D" w:rsidRDefault="00CD44A5" w:rsidP="00C4120C">
      <w:pPr>
        <w:pStyle w:val="ListParagraph"/>
        <w:numPr>
          <w:ilvl w:val="1"/>
          <w:numId w:val="14"/>
        </w:numPr>
        <w:rPr>
          <w:rFonts w:ascii="Times New Roman" w:hAnsi="Times New Roman"/>
          <w:b/>
          <w:bCs/>
          <w:sz w:val="24"/>
          <w:szCs w:val="24"/>
        </w:rPr>
      </w:pPr>
      <w:bookmarkStart w:id="4" w:name="_Toc474489292"/>
      <w:r w:rsidRPr="00AB729D">
        <w:rPr>
          <w:rFonts w:ascii="Times New Roman" w:hAnsi="Times New Roman"/>
          <w:b/>
          <w:bCs/>
          <w:sz w:val="24"/>
          <w:szCs w:val="24"/>
        </w:rPr>
        <w:t>Measures of Institutional Investors</w:t>
      </w:r>
      <w:bookmarkEnd w:id="4"/>
      <w:r w:rsidR="004F1955" w:rsidRPr="00AB729D">
        <w:rPr>
          <w:rFonts w:ascii="Times New Roman" w:hAnsi="Times New Roman"/>
          <w:b/>
          <w:bCs/>
          <w:sz w:val="24"/>
          <w:szCs w:val="24"/>
        </w:rPr>
        <w:t>’ Ownership</w:t>
      </w:r>
    </w:p>
    <w:p w14:paraId="61F64EE8" w14:textId="6910E3D9" w:rsidR="004F1955" w:rsidRPr="00AB729D" w:rsidRDefault="004F1955" w:rsidP="004F1955">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To measure institutional ownership volatility, we follow </w:t>
      </w:r>
      <w:proofErr w:type="spellStart"/>
      <w:r w:rsidRPr="00AB729D">
        <w:rPr>
          <w:rFonts w:ascii="Times New Roman" w:eastAsiaTheme="minorHAnsi" w:hAnsi="Times New Roman"/>
          <w:sz w:val="24"/>
          <w:szCs w:val="24"/>
        </w:rPr>
        <w:t>Elyasiani</w:t>
      </w:r>
      <w:proofErr w:type="spellEnd"/>
      <w:r w:rsidRPr="00AB729D">
        <w:rPr>
          <w:rFonts w:ascii="Times New Roman" w:eastAsiaTheme="minorHAnsi" w:hAnsi="Times New Roman"/>
          <w:sz w:val="24"/>
          <w:szCs w:val="24"/>
        </w:rPr>
        <w:t xml:space="preserve"> et al. (2010) and use the variable </w:t>
      </w:r>
      <w:r w:rsidR="008000CD" w:rsidRPr="00AB729D">
        <w:rPr>
          <w:rFonts w:ascii="Times New Roman" w:eastAsiaTheme="minorHAnsi" w:hAnsi="Times New Roman"/>
          <w:sz w:val="24"/>
          <w:szCs w:val="24"/>
        </w:rPr>
        <w:t>(</w:t>
      </w:r>
      <m:oMath>
        <m:sSub>
          <m:sSubPr>
            <m:ctrlPr>
              <w:rPr>
                <w:rFonts w:ascii="Cambria Math" w:eastAsiaTheme="minorHAnsi" w:hAnsi="Times New Roman"/>
                <w:sz w:val="24"/>
                <w:szCs w:val="24"/>
              </w:rPr>
            </m:ctrlPr>
          </m:sSubPr>
          <m:e>
            <m:r>
              <w:rPr>
                <w:rFonts w:ascii="Cambria Math" w:eastAsiaTheme="minorHAnsi" w:hAnsi="Cambria Math"/>
                <w:sz w:val="24"/>
                <w:szCs w:val="24"/>
              </w:rPr>
              <m:t>IOV</m:t>
            </m:r>
          </m:e>
          <m:sub>
            <m:r>
              <w:rPr>
                <w:rFonts w:ascii="Cambria Math" w:eastAsiaTheme="minorHAnsi" w:hAnsi="Cambria Math"/>
                <w:sz w:val="24"/>
                <w:szCs w:val="24"/>
              </w:rPr>
              <m:t>i</m:t>
            </m:r>
          </m:sub>
        </m:sSub>
      </m:oMath>
      <w:r w:rsidR="008000CD" w:rsidRPr="00AB729D">
        <w:rPr>
          <w:rFonts w:ascii="Times New Roman" w:eastAsiaTheme="minorHAnsi" w:hAnsi="Times New Roman"/>
          <w:sz w:val="24"/>
          <w:szCs w:val="24"/>
        </w:rPr>
        <w:t>)</w:t>
      </w:r>
      <w:r w:rsidRPr="00AB729D">
        <w:rPr>
          <w:rFonts w:ascii="Times New Roman" w:eastAsiaTheme="minorHAnsi" w:hAnsi="Times New Roman"/>
          <w:sz w:val="24"/>
          <w:szCs w:val="24"/>
        </w:rPr>
        <w:t>,</w:t>
      </w:r>
      <w:r w:rsidR="008000CD" w:rsidRPr="00AB729D">
        <w:rPr>
          <w:rFonts w:ascii="Times New Roman" w:eastAsiaTheme="minorHAnsi" w:hAnsi="Times New Roman"/>
          <w:sz w:val="24"/>
          <w:szCs w:val="24"/>
        </w:rPr>
        <w:t xml:space="preserve"> which is the average standard deviation of institutional shareholding proportions across all investors </w:t>
      </w:r>
      <w:r w:rsidR="008000CD" w:rsidRPr="00AB729D">
        <w:rPr>
          <w:rFonts w:ascii="Times New Roman" w:eastAsiaTheme="minorHAnsi" w:hAnsi="Times New Roman"/>
          <w:i/>
          <w:sz w:val="24"/>
          <w:szCs w:val="24"/>
        </w:rPr>
        <w:t>j</w:t>
      </w:r>
      <w:r w:rsidR="008000CD" w:rsidRPr="00AB729D">
        <w:rPr>
          <w:rFonts w:ascii="Times New Roman" w:eastAsiaTheme="minorHAnsi" w:hAnsi="Times New Roman"/>
          <w:sz w:val="24"/>
          <w:szCs w:val="24"/>
        </w:rPr>
        <w:t xml:space="preserve"> in firm </w:t>
      </w:r>
      <w:r w:rsidR="008000CD" w:rsidRPr="00AB729D">
        <w:rPr>
          <w:rFonts w:ascii="Times New Roman" w:eastAsiaTheme="minorHAnsi" w:hAnsi="Times New Roman"/>
          <w:i/>
          <w:sz w:val="24"/>
          <w:szCs w:val="24"/>
        </w:rPr>
        <w:t>i</w:t>
      </w:r>
      <w:r w:rsidR="008000CD" w:rsidRPr="00AB729D">
        <w:rPr>
          <w:rFonts w:ascii="Times New Roman" w:eastAsiaTheme="minorHAnsi" w:hAnsi="Times New Roman"/>
          <w:sz w:val="24"/>
          <w:szCs w:val="24"/>
        </w:rPr>
        <w:t xml:space="preserve"> over a five-year period including the sample year and the four years preceding (i.e.,</w:t>
      </w:r>
      <w:r w:rsidRPr="00AB729D">
        <w:rPr>
          <w:rFonts w:ascii="Times New Roman" w:eastAsiaTheme="minorHAnsi" w:hAnsi="Times New Roman"/>
          <w:sz w:val="24"/>
          <w:szCs w:val="24"/>
        </w:rPr>
        <w:t xml:space="preserve"> </w:t>
      </w:r>
      <w:r w:rsidR="008000CD" w:rsidRPr="00AB729D">
        <w:rPr>
          <w:rFonts w:ascii="Times New Roman" w:eastAsiaTheme="minorHAnsi" w:hAnsi="Times New Roman"/>
          <w:sz w:val="24"/>
          <w:szCs w:val="24"/>
        </w:rPr>
        <w:t xml:space="preserve">20 quarters). </w:t>
      </w:r>
    </w:p>
    <w:p w14:paraId="2D3A0965" w14:textId="77777777" w:rsidR="008000CD" w:rsidRPr="00AB729D" w:rsidRDefault="00476E5F" w:rsidP="00753C75">
      <w:pPr>
        <w:spacing w:line="480" w:lineRule="auto"/>
        <w:rPr>
          <w:rFonts w:ascii="Times New Roman" w:eastAsiaTheme="minorHAnsi" w:hAnsi="Times New Roman"/>
          <w:sz w:val="24"/>
          <w:szCs w:val="24"/>
        </w:rPr>
      </w:pPr>
      <m:oMath>
        <m:sSub>
          <m:sSubPr>
            <m:ctrlPr>
              <w:rPr>
                <w:rFonts w:ascii="Cambria Math" w:eastAsiaTheme="minorHAnsi" w:hAnsi="Times New Roman"/>
                <w:sz w:val="24"/>
                <w:szCs w:val="24"/>
              </w:rPr>
            </m:ctrlPr>
          </m:sSubPr>
          <m:e>
            <m:r>
              <w:rPr>
                <w:rFonts w:ascii="Cambria Math" w:eastAsiaTheme="minorHAnsi" w:hAnsi="Cambria Math"/>
                <w:sz w:val="24"/>
                <w:szCs w:val="24"/>
              </w:rPr>
              <m:t>IOV</m:t>
            </m:r>
          </m:e>
          <m:sub>
            <m:r>
              <w:rPr>
                <w:rFonts w:ascii="Cambria Math" w:eastAsiaTheme="minorHAnsi" w:hAnsi="Cambria Math"/>
                <w:sz w:val="24"/>
                <w:szCs w:val="24"/>
              </w:rPr>
              <m:t>i</m:t>
            </m:r>
          </m:sub>
        </m:sSub>
      </m:oMath>
      <w:r w:rsidR="008000CD" w:rsidRPr="00AB729D">
        <w:rPr>
          <w:rFonts w:ascii="Times New Roman" w:eastAsiaTheme="minorHAnsi" w:hAnsi="Times New Roman"/>
          <w:sz w:val="24"/>
          <w:szCs w:val="24"/>
        </w:rPr>
        <w:t xml:space="preserve"> = </w:t>
      </w:r>
      <m:oMath>
        <m:sSubSup>
          <m:sSubSupPr>
            <m:ctrlPr>
              <w:rPr>
                <w:rFonts w:ascii="Cambria Math" w:eastAsiaTheme="minorHAnsi" w:hAnsi="Cambria Math"/>
                <w:sz w:val="24"/>
                <w:szCs w:val="24"/>
              </w:rPr>
            </m:ctrlPr>
          </m:sSubSupPr>
          <m:e>
            <m:r>
              <m:rPr>
                <m:sty m:val="p"/>
              </m:rPr>
              <w:rPr>
                <w:rFonts w:ascii="Cambria Math" w:eastAsiaTheme="minorHAnsi" w:hAnsi="Cambria Math"/>
                <w:sz w:val="24"/>
                <w:szCs w:val="24"/>
              </w:rPr>
              <m:t>Ʃ</m:t>
            </m:r>
          </m:e>
          <m:sub>
            <m:r>
              <w:rPr>
                <w:rFonts w:ascii="Cambria Math" w:eastAsiaTheme="minorHAnsi" w:hAnsi="Cambria Math"/>
                <w:sz w:val="24"/>
                <w:szCs w:val="24"/>
              </w:rPr>
              <m:t>j</m:t>
            </m:r>
            <m:r>
              <m:rPr>
                <m:sty m:val="p"/>
              </m:rPr>
              <w:rPr>
                <w:rFonts w:ascii="Cambria Math" w:eastAsiaTheme="minorHAnsi" w:hAnsi="Cambria Math"/>
                <w:sz w:val="24"/>
                <w:szCs w:val="24"/>
              </w:rPr>
              <m:t>=1</m:t>
            </m:r>
          </m:sub>
          <m:sup>
            <m:sSub>
              <m:sSubPr>
                <m:ctrlPr>
                  <w:rPr>
                    <w:rFonts w:ascii="Cambria Math" w:eastAsiaTheme="minorHAnsi" w:hAnsi="Cambria Math"/>
                    <w:sz w:val="24"/>
                    <w:szCs w:val="24"/>
                  </w:rPr>
                </m:ctrlPr>
              </m:sSubPr>
              <m:e>
                <m:r>
                  <w:rPr>
                    <w:rFonts w:ascii="Cambria Math" w:eastAsiaTheme="minorHAnsi" w:hAnsi="Cambria Math"/>
                    <w:sz w:val="24"/>
                    <w:szCs w:val="24"/>
                  </w:rPr>
                  <m:t>j</m:t>
                </m:r>
              </m:e>
              <m:sub>
                <m:r>
                  <w:rPr>
                    <w:rFonts w:ascii="Cambria Math" w:eastAsiaTheme="minorHAnsi" w:hAnsi="Cambria Math"/>
                    <w:sz w:val="24"/>
                    <w:szCs w:val="24"/>
                  </w:rPr>
                  <m:t>i</m:t>
                </m:r>
              </m:sub>
            </m:sSub>
          </m:sup>
        </m:sSubSup>
      </m:oMath>
      <w:r w:rsidR="008000CD" w:rsidRPr="00AB729D">
        <w:rPr>
          <w:rFonts w:ascii="Times New Roman" w:eastAsiaTheme="minorHAnsi" w:hAnsi="Times New Roman"/>
          <w:sz w:val="24"/>
          <w:szCs w:val="24"/>
        </w:rPr>
        <w:t>Std (</w:t>
      </w:r>
      <m:oMath>
        <m:sSubSup>
          <m:sSubSupPr>
            <m:ctrlPr>
              <w:rPr>
                <w:rFonts w:ascii="Cambria Math" w:eastAsiaTheme="minorHAnsi" w:hAnsi="Times New Roman"/>
                <w:sz w:val="24"/>
                <w:szCs w:val="24"/>
              </w:rPr>
            </m:ctrlPr>
          </m:sSubSupPr>
          <m:e>
            <m:r>
              <w:rPr>
                <w:rFonts w:ascii="Cambria Math" w:eastAsiaTheme="minorHAnsi" w:hAnsi="Cambria Math"/>
                <w:sz w:val="24"/>
                <w:szCs w:val="24"/>
              </w:rPr>
              <m:t>p</m:t>
            </m:r>
          </m:e>
          <m:sub>
            <m:r>
              <w:rPr>
                <w:rFonts w:ascii="Cambria Math" w:eastAsiaTheme="minorHAnsi" w:hAnsi="Cambria Math"/>
                <w:sz w:val="24"/>
                <w:szCs w:val="24"/>
              </w:rPr>
              <m:t>i</m:t>
            </m:r>
            <m:r>
              <m:rPr>
                <m:sty m:val="p"/>
              </m:rPr>
              <w:rPr>
                <w:rFonts w:ascii="Cambria Math" w:eastAsiaTheme="minorHAnsi" w:hAnsi="Times New Roman"/>
                <w:sz w:val="24"/>
                <w:szCs w:val="24"/>
              </w:rPr>
              <m:t>,</m:t>
            </m:r>
            <m:r>
              <w:rPr>
                <w:rFonts w:ascii="Cambria Math" w:eastAsiaTheme="minorHAnsi" w:hAnsi="Cambria Math"/>
                <w:sz w:val="24"/>
                <w:szCs w:val="24"/>
              </w:rPr>
              <m:t>t</m:t>
            </m:r>
          </m:sub>
          <m:sup>
            <m:r>
              <w:rPr>
                <w:rFonts w:ascii="Cambria Math" w:eastAsiaTheme="minorHAnsi" w:hAnsi="Cambria Math"/>
                <w:sz w:val="24"/>
                <w:szCs w:val="24"/>
              </w:rPr>
              <m:t>j</m:t>
            </m:r>
          </m:sup>
        </m:sSubSup>
      </m:oMath>
      <w:r w:rsidR="008000CD" w:rsidRPr="00AB729D">
        <w:rPr>
          <w:rFonts w:ascii="Times New Roman" w:eastAsiaTheme="minorHAnsi" w:hAnsi="Times New Roman"/>
          <w:sz w:val="24"/>
          <w:szCs w:val="24"/>
        </w:rPr>
        <w:t xml:space="preserve">) / </w:t>
      </w:r>
      <m:oMath>
        <m:sSub>
          <m:sSubPr>
            <m:ctrlPr>
              <w:rPr>
                <w:rFonts w:ascii="Cambria Math" w:eastAsiaTheme="minorHAnsi" w:hAnsi="Cambria Math"/>
                <w:sz w:val="24"/>
                <w:szCs w:val="24"/>
              </w:rPr>
            </m:ctrlPr>
          </m:sSubPr>
          <m:e>
            <m:r>
              <w:rPr>
                <w:rFonts w:ascii="Cambria Math" w:eastAsiaTheme="minorHAnsi" w:hAnsi="Cambria Math"/>
                <w:sz w:val="24"/>
                <w:szCs w:val="24"/>
              </w:rPr>
              <m:t>J</m:t>
            </m:r>
          </m:e>
          <m:sub>
            <m:r>
              <w:rPr>
                <w:rFonts w:ascii="Cambria Math" w:eastAsiaTheme="minorHAnsi" w:hAnsi="Cambria Math"/>
                <w:sz w:val="24"/>
                <w:szCs w:val="24"/>
              </w:rPr>
              <m:t>i</m:t>
            </m:r>
          </m:sub>
        </m:sSub>
      </m:oMath>
      <w:r w:rsidR="008000CD" w:rsidRPr="00AB729D">
        <w:rPr>
          <w:rFonts w:ascii="Times New Roman" w:eastAsiaTheme="minorHAnsi" w:hAnsi="Times New Roman"/>
          <w:sz w:val="24"/>
          <w:szCs w:val="24"/>
        </w:rPr>
        <w:t xml:space="preserve">                                                                                                               (1)</w:t>
      </w:r>
    </w:p>
    <w:p w14:paraId="268726B5" w14:textId="07EFABDE" w:rsidR="008000CD" w:rsidRPr="00AB729D" w:rsidRDefault="004F1955" w:rsidP="004F1955">
      <w:pPr>
        <w:spacing w:line="480" w:lineRule="auto"/>
        <w:rPr>
          <w:rFonts w:ascii="Times New Roman" w:eastAsiaTheme="minorHAnsi" w:hAnsi="Times New Roman"/>
          <w:sz w:val="24"/>
          <w:szCs w:val="24"/>
        </w:rPr>
      </w:pPr>
      <w:r w:rsidRPr="00AB729D">
        <w:rPr>
          <w:rFonts w:ascii="Times New Roman" w:eastAsiaTheme="minorHAnsi" w:hAnsi="Times New Roman"/>
          <w:sz w:val="24"/>
          <w:szCs w:val="24"/>
        </w:rPr>
        <w:t>w</w:t>
      </w:r>
      <w:r w:rsidR="008000CD" w:rsidRPr="00AB729D">
        <w:rPr>
          <w:rFonts w:ascii="Times New Roman" w:eastAsiaTheme="minorHAnsi" w:hAnsi="Times New Roman"/>
          <w:sz w:val="24"/>
          <w:szCs w:val="24"/>
        </w:rPr>
        <w:t xml:space="preserve">here </w:t>
      </w:r>
      <m:oMath>
        <m:sSubSup>
          <m:sSubSupPr>
            <m:ctrlPr>
              <w:rPr>
                <w:rFonts w:ascii="Cambria Math" w:eastAsiaTheme="minorHAnsi" w:hAnsi="Times New Roman"/>
                <w:sz w:val="24"/>
                <w:szCs w:val="24"/>
              </w:rPr>
            </m:ctrlPr>
          </m:sSubSupPr>
          <m:e>
            <m:r>
              <w:rPr>
                <w:rFonts w:ascii="Cambria Math" w:eastAsiaTheme="minorHAnsi" w:hAnsi="Cambria Math"/>
                <w:sz w:val="24"/>
                <w:szCs w:val="24"/>
              </w:rPr>
              <m:t>p</m:t>
            </m:r>
          </m:e>
          <m:sub>
            <m:r>
              <w:rPr>
                <w:rFonts w:ascii="Cambria Math" w:eastAsiaTheme="minorHAnsi" w:hAnsi="Cambria Math"/>
                <w:sz w:val="24"/>
                <w:szCs w:val="24"/>
              </w:rPr>
              <m:t>i</m:t>
            </m:r>
            <m:r>
              <m:rPr>
                <m:sty m:val="p"/>
              </m:rPr>
              <w:rPr>
                <w:rFonts w:ascii="Cambria Math" w:eastAsiaTheme="minorHAnsi" w:hAnsi="Times New Roman"/>
                <w:sz w:val="24"/>
                <w:szCs w:val="24"/>
              </w:rPr>
              <m:t>,</m:t>
            </m:r>
            <m:r>
              <w:rPr>
                <w:rFonts w:ascii="Cambria Math" w:eastAsiaTheme="minorHAnsi" w:hAnsi="Cambria Math"/>
                <w:sz w:val="24"/>
                <w:szCs w:val="24"/>
              </w:rPr>
              <m:t>t</m:t>
            </m:r>
          </m:sub>
          <m:sup>
            <m:r>
              <w:rPr>
                <w:rFonts w:ascii="Cambria Math" w:eastAsiaTheme="minorHAnsi" w:hAnsi="Cambria Math"/>
                <w:sz w:val="24"/>
                <w:szCs w:val="24"/>
              </w:rPr>
              <m:t>j</m:t>
            </m:r>
          </m:sup>
        </m:sSubSup>
      </m:oMath>
      <w:r w:rsidR="008000CD" w:rsidRPr="00AB729D">
        <w:rPr>
          <w:rFonts w:ascii="Times New Roman" w:eastAsiaTheme="minorHAnsi" w:hAnsi="Times New Roman"/>
          <w:sz w:val="24"/>
          <w:szCs w:val="24"/>
        </w:rPr>
        <w:t xml:space="preserve"> is the proportion of firm </w:t>
      </w:r>
      <w:r w:rsidR="008000CD" w:rsidRPr="00AB729D">
        <w:rPr>
          <w:rFonts w:ascii="Times New Roman" w:eastAsiaTheme="minorHAnsi" w:hAnsi="Times New Roman"/>
          <w:i/>
          <w:sz w:val="24"/>
          <w:szCs w:val="24"/>
        </w:rPr>
        <w:t>i</w:t>
      </w:r>
      <w:r w:rsidR="008000CD" w:rsidRPr="00AB729D">
        <w:rPr>
          <w:rFonts w:ascii="Times New Roman" w:eastAsiaTheme="minorHAnsi" w:hAnsi="Times New Roman"/>
          <w:sz w:val="24"/>
          <w:szCs w:val="24"/>
        </w:rPr>
        <w:t xml:space="preserve"> held by investor </w:t>
      </w:r>
      <w:r w:rsidR="008000CD" w:rsidRPr="00AB729D">
        <w:rPr>
          <w:rFonts w:ascii="Times New Roman" w:eastAsiaTheme="minorHAnsi" w:hAnsi="Times New Roman"/>
          <w:i/>
          <w:sz w:val="24"/>
          <w:szCs w:val="24"/>
        </w:rPr>
        <w:t>j</w:t>
      </w:r>
      <w:r w:rsidR="008000CD" w:rsidRPr="00AB729D">
        <w:rPr>
          <w:rFonts w:ascii="Times New Roman" w:eastAsiaTheme="minorHAnsi" w:hAnsi="Times New Roman"/>
          <w:sz w:val="24"/>
          <w:szCs w:val="24"/>
        </w:rPr>
        <w:t xml:space="preserve"> </w:t>
      </w:r>
      <w:r w:rsidR="00232C95" w:rsidRPr="00AB729D">
        <w:rPr>
          <w:rFonts w:ascii="Times New Roman" w:eastAsiaTheme="minorHAnsi" w:hAnsi="Times New Roman"/>
          <w:sz w:val="24"/>
          <w:szCs w:val="24"/>
        </w:rPr>
        <w:t xml:space="preserve">in </w:t>
      </w:r>
      <w:r w:rsidR="008000CD" w:rsidRPr="00AB729D">
        <w:rPr>
          <w:rFonts w:ascii="Times New Roman" w:eastAsiaTheme="minorHAnsi" w:hAnsi="Times New Roman"/>
          <w:sz w:val="24"/>
          <w:szCs w:val="24"/>
        </w:rPr>
        <w:t xml:space="preserve">quarter </w:t>
      </w:r>
      <w:r w:rsidR="008000CD" w:rsidRPr="00AB729D">
        <w:rPr>
          <w:rFonts w:ascii="Times New Roman" w:eastAsiaTheme="minorHAnsi" w:hAnsi="Times New Roman"/>
          <w:i/>
          <w:sz w:val="24"/>
          <w:szCs w:val="24"/>
        </w:rPr>
        <w:t>t</w:t>
      </w:r>
      <w:r w:rsidR="008000CD" w:rsidRPr="00AB729D">
        <w:rPr>
          <w:rFonts w:ascii="Times New Roman" w:eastAsiaTheme="minorHAnsi" w:hAnsi="Times New Roman"/>
          <w:sz w:val="24"/>
          <w:szCs w:val="24"/>
        </w:rPr>
        <w:t xml:space="preserve"> (</w:t>
      </w:r>
      <w:r w:rsidR="008000CD" w:rsidRPr="00AB729D">
        <w:rPr>
          <w:rFonts w:ascii="Times New Roman" w:eastAsiaTheme="minorHAnsi" w:hAnsi="Times New Roman"/>
          <w:i/>
          <w:sz w:val="24"/>
          <w:szCs w:val="24"/>
        </w:rPr>
        <w:t>t</w:t>
      </w:r>
      <w:r w:rsidR="00232C95" w:rsidRPr="00AB729D">
        <w:rPr>
          <w:rFonts w:ascii="Times New Roman" w:eastAsiaTheme="minorHAnsi" w:hAnsi="Times New Roman"/>
          <w:i/>
          <w:sz w:val="24"/>
          <w:szCs w:val="24"/>
        </w:rPr>
        <w:t xml:space="preserve"> </w:t>
      </w:r>
      <w:r w:rsidR="008000CD" w:rsidRPr="00AB729D">
        <w:rPr>
          <w:rFonts w:ascii="Times New Roman" w:eastAsiaTheme="minorHAnsi" w:hAnsi="Times New Roman"/>
          <w:sz w:val="24"/>
          <w:szCs w:val="24"/>
        </w:rPr>
        <w:t>=</w:t>
      </w:r>
      <w:r w:rsidR="00232C95" w:rsidRPr="00AB729D">
        <w:rPr>
          <w:rFonts w:ascii="Times New Roman" w:eastAsiaTheme="minorHAnsi" w:hAnsi="Times New Roman"/>
          <w:sz w:val="24"/>
          <w:szCs w:val="24"/>
        </w:rPr>
        <w:t xml:space="preserve"> </w:t>
      </w:r>
      <w:r w:rsidR="008000CD" w:rsidRPr="00AB729D">
        <w:rPr>
          <w:rFonts w:ascii="Times New Roman" w:eastAsiaTheme="minorHAnsi" w:hAnsi="Times New Roman"/>
          <w:sz w:val="24"/>
          <w:szCs w:val="24"/>
        </w:rPr>
        <w:t xml:space="preserve">1, 2,…, 20), and </w:t>
      </w:r>
      <m:oMath>
        <m:sSub>
          <m:sSubPr>
            <m:ctrlPr>
              <w:rPr>
                <w:rFonts w:ascii="Cambria Math" w:eastAsiaTheme="minorHAnsi" w:hAnsi="Times New Roman"/>
                <w:sz w:val="24"/>
                <w:szCs w:val="24"/>
              </w:rPr>
            </m:ctrlPr>
          </m:sSubPr>
          <m:e>
            <m:r>
              <w:rPr>
                <w:rFonts w:ascii="Cambria Math" w:eastAsiaTheme="minorHAnsi" w:hAnsi="Cambria Math"/>
                <w:sz w:val="24"/>
                <w:szCs w:val="24"/>
              </w:rPr>
              <m:t>J</m:t>
            </m:r>
          </m:e>
          <m:sub>
            <m:r>
              <w:rPr>
                <w:rFonts w:ascii="Cambria Math" w:eastAsiaTheme="minorHAnsi" w:hAnsi="Cambria Math"/>
                <w:sz w:val="24"/>
                <w:szCs w:val="24"/>
              </w:rPr>
              <m:t>i</m:t>
            </m:r>
          </m:sub>
        </m:sSub>
      </m:oMath>
      <w:r w:rsidR="008000CD" w:rsidRPr="00AB729D">
        <w:rPr>
          <w:rFonts w:ascii="Times New Roman" w:eastAsiaTheme="minorHAnsi" w:hAnsi="Times New Roman"/>
          <w:sz w:val="24"/>
          <w:szCs w:val="24"/>
        </w:rPr>
        <w:t xml:space="preserve"> is the number of institutional owners in firm </w:t>
      </w:r>
      <w:r w:rsidR="008000CD" w:rsidRPr="00AB729D">
        <w:rPr>
          <w:rFonts w:ascii="Times New Roman" w:eastAsiaTheme="minorHAnsi" w:hAnsi="Times New Roman"/>
          <w:i/>
          <w:sz w:val="24"/>
          <w:szCs w:val="24"/>
        </w:rPr>
        <w:t>i</w:t>
      </w:r>
      <w:r w:rsidR="008000CD" w:rsidRPr="00AB729D">
        <w:rPr>
          <w:rFonts w:ascii="Times New Roman" w:eastAsiaTheme="minorHAnsi" w:hAnsi="Times New Roman"/>
          <w:sz w:val="24"/>
          <w:szCs w:val="24"/>
        </w:rPr>
        <w:t xml:space="preserve">. The higher the ownership volatility, the lower is the institutional ownership stability and vice versa. </w:t>
      </w:r>
      <w:r w:rsidRPr="00AB729D">
        <w:rPr>
          <w:rFonts w:ascii="Times New Roman" w:eastAsiaTheme="minorHAnsi" w:hAnsi="Times New Roman"/>
          <w:sz w:val="24"/>
          <w:szCs w:val="24"/>
        </w:rPr>
        <w:t>Therefore</w:t>
      </w:r>
      <w:r w:rsidR="008000CD" w:rsidRPr="00AB729D">
        <w:rPr>
          <w:rFonts w:ascii="Times New Roman" w:eastAsiaTheme="minorHAnsi" w:hAnsi="Times New Roman"/>
          <w:sz w:val="24"/>
          <w:szCs w:val="24"/>
        </w:rPr>
        <w:t xml:space="preserve">, lower </w:t>
      </w:r>
      <w:r w:rsidR="008000CD" w:rsidRPr="00AB729D">
        <w:rPr>
          <w:rFonts w:ascii="Times New Roman" w:eastAsiaTheme="minorHAnsi" w:hAnsi="Times New Roman"/>
          <w:i/>
          <w:sz w:val="24"/>
          <w:szCs w:val="24"/>
        </w:rPr>
        <w:t>IOV</w:t>
      </w:r>
      <w:r w:rsidR="008000CD" w:rsidRPr="00AB729D">
        <w:rPr>
          <w:rFonts w:ascii="Times New Roman" w:eastAsiaTheme="minorHAnsi" w:hAnsi="Times New Roman"/>
          <w:sz w:val="24"/>
          <w:szCs w:val="24"/>
        </w:rPr>
        <w:t xml:space="preserve"> is associated with higher institutional ownership stability.</w:t>
      </w:r>
    </w:p>
    <w:p w14:paraId="29E4BE61" w14:textId="10A113D5" w:rsidR="008000CD" w:rsidRPr="00AB729D" w:rsidRDefault="008000CD" w:rsidP="008000CD">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To control for the effect of institutional ownership on equity mispricing, </w:t>
      </w:r>
      <w:r w:rsidR="00ED4609" w:rsidRPr="00AB729D">
        <w:rPr>
          <w:rFonts w:ascii="Times New Roman" w:eastAsiaTheme="minorHAnsi" w:hAnsi="Times New Roman"/>
          <w:sz w:val="24"/>
          <w:szCs w:val="24"/>
        </w:rPr>
        <w:t xml:space="preserve">we </w:t>
      </w:r>
      <w:r w:rsidRPr="00AB729D">
        <w:rPr>
          <w:rFonts w:ascii="Times New Roman" w:eastAsiaTheme="minorHAnsi" w:hAnsi="Times New Roman"/>
          <w:sz w:val="24"/>
          <w:szCs w:val="24"/>
        </w:rPr>
        <w:t>consider the aggregate ownership proportion (</w:t>
      </w:r>
      <w:r w:rsidR="00EC6CAE" w:rsidRPr="00AB729D">
        <w:rPr>
          <w:rFonts w:ascii="Times New Roman" w:eastAsiaTheme="minorHAnsi" w:hAnsi="Times New Roman"/>
          <w:sz w:val="24"/>
          <w:szCs w:val="24"/>
        </w:rPr>
        <w:t xml:space="preserve">following </w:t>
      </w:r>
      <w:proofErr w:type="spellStart"/>
      <w:r w:rsidRPr="00AB729D">
        <w:rPr>
          <w:rFonts w:ascii="Times New Roman" w:eastAsiaTheme="minorHAnsi" w:hAnsi="Times New Roman"/>
          <w:sz w:val="24"/>
          <w:szCs w:val="24"/>
        </w:rPr>
        <w:t>Elyasiani</w:t>
      </w:r>
      <w:proofErr w:type="spellEnd"/>
      <w:r w:rsidRPr="00AB729D">
        <w:rPr>
          <w:rFonts w:ascii="Times New Roman" w:eastAsiaTheme="minorHAnsi" w:hAnsi="Times New Roman"/>
          <w:sz w:val="24"/>
          <w:szCs w:val="24"/>
        </w:rPr>
        <w:t xml:space="preserve"> et al.</w:t>
      </w:r>
      <w:r w:rsidR="00ED4609" w:rsidRPr="00AB729D">
        <w:rPr>
          <w:rFonts w:ascii="Times New Roman" w:eastAsiaTheme="minorHAnsi" w:hAnsi="Times New Roman"/>
          <w:sz w:val="24"/>
          <w:szCs w:val="24"/>
        </w:rPr>
        <w:t xml:space="preserve">, </w:t>
      </w:r>
      <w:r w:rsidRPr="00AB729D">
        <w:rPr>
          <w:rFonts w:ascii="Times New Roman" w:eastAsiaTheme="minorHAnsi" w:hAnsi="Times New Roman"/>
          <w:sz w:val="24"/>
          <w:szCs w:val="24"/>
        </w:rPr>
        <w:t>2010)</w:t>
      </w:r>
      <w:r w:rsidR="00EC6CAE" w:rsidRPr="00AB729D">
        <w:rPr>
          <w:rFonts w:ascii="Times New Roman" w:eastAsiaTheme="minorHAnsi" w:hAnsi="Times New Roman"/>
          <w:sz w:val="24"/>
          <w:szCs w:val="24"/>
        </w:rPr>
        <w:t>,</w:t>
      </w:r>
      <w:r w:rsidRPr="00AB729D">
        <w:rPr>
          <w:rFonts w:ascii="Times New Roman" w:eastAsiaTheme="minorHAnsi" w:hAnsi="Times New Roman"/>
          <w:sz w:val="24"/>
          <w:szCs w:val="24"/>
        </w:rPr>
        <w:t xml:space="preserve"> </w:t>
      </w:r>
      <w:r w:rsidR="004B7DF8" w:rsidRPr="00AB729D">
        <w:rPr>
          <w:rFonts w:ascii="Times New Roman" w:eastAsiaTheme="minorHAnsi" w:hAnsi="Times New Roman"/>
          <w:sz w:val="24"/>
          <w:szCs w:val="24"/>
        </w:rPr>
        <w:t>which</w:t>
      </w:r>
      <w:r w:rsidRPr="00AB729D">
        <w:rPr>
          <w:rFonts w:ascii="Times New Roman" w:eastAsiaTheme="minorHAnsi" w:hAnsi="Times New Roman"/>
          <w:sz w:val="24"/>
          <w:szCs w:val="24"/>
        </w:rPr>
        <w:t xml:space="preserve"> is computed over a five-year period</w:t>
      </w:r>
      <w:r w:rsidR="00ED4609" w:rsidRPr="00AB729D">
        <w:rPr>
          <w:rFonts w:ascii="Times New Roman" w:eastAsiaTheme="minorHAnsi" w:hAnsi="Times New Roman"/>
          <w:sz w:val="24"/>
          <w:szCs w:val="24"/>
        </w:rPr>
        <w:t xml:space="preserve"> (i.e., 20 quarters)</w:t>
      </w:r>
      <w:r w:rsidRPr="00AB729D">
        <w:rPr>
          <w:rFonts w:ascii="Times New Roman" w:eastAsiaTheme="minorHAnsi" w:hAnsi="Times New Roman"/>
          <w:sz w:val="24"/>
          <w:szCs w:val="24"/>
        </w:rPr>
        <w:t xml:space="preserve"> as</w:t>
      </w:r>
      <w:r w:rsidR="00EC6CAE" w:rsidRPr="00AB729D">
        <w:rPr>
          <w:rFonts w:ascii="Times New Roman" w:eastAsiaTheme="minorHAnsi" w:hAnsi="Times New Roman"/>
          <w:sz w:val="24"/>
          <w:szCs w:val="24"/>
        </w:rPr>
        <w:t xml:space="preserve"> follows</w:t>
      </w:r>
      <w:r w:rsidRPr="00AB729D">
        <w:rPr>
          <w:rFonts w:ascii="Times New Roman" w:eastAsiaTheme="minorHAnsi" w:hAnsi="Times New Roman"/>
          <w:sz w:val="24"/>
          <w:szCs w:val="24"/>
        </w:rPr>
        <w:t>:</w:t>
      </w:r>
    </w:p>
    <w:p w14:paraId="476853CC" w14:textId="77777777" w:rsidR="008000CD" w:rsidRPr="00AB729D" w:rsidRDefault="00476E5F" w:rsidP="00D86139">
      <w:pPr>
        <w:spacing w:line="480" w:lineRule="auto"/>
        <w:rPr>
          <w:rFonts w:ascii="Times New Roman" w:eastAsiaTheme="minorHAnsi" w:hAnsi="Times New Roman"/>
          <w:sz w:val="24"/>
          <w:szCs w:val="24"/>
        </w:rPr>
      </w:pPr>
      <m:oMath>
        <m:sSub>
          <m:sSubPr>
            <m:ctrlPr>
              <w:rPr>
                <w:rFonts w:ascii="Cambria Math" w:eastAsiaTheme="minorHAnsi" w:hAnsi="Times New Roman"/>
                <w:sz w:val="24"/>
                <w:szCs w:val="24"/>
              </w:rPr>
            </m:ctrlPr>
          </m:sSubPr>
          <m:e>
            <m:r>
              <w:rPr>
                <w:rFonts w:ascii="Cambria Math" w:eastAsiaTheme="minorHAnsi" w:hAnsi="Cambria Math"/>
                <w:sz w:val="24"/>
                <w:szCs w:val="24"/>
              </w:rPr>
              <m:t>PROP</m:t>
            </m:r>
          </m:e>
          <m:sub>
            <m:r>
              <w:rPr>
                <w:rFonts w:ascii="Cambria Math" w:eastAsiaTheme="minorHAnsi" w:hAnsi="Cambria Math"/>
                <w:sz w:val="24"/>
                <w:szCs w:val="24"/>
              </w:rPr>
              <m:t>i</m:t>
            </m:r>
          </m:sub>
        </m:sSub>
      </m:oMath>
      <w:r w:rsidR="008000CD" w:rsidRPr="00AB729D">
        <w:rPr>
          <w:rFonts w:ascii="Times New Roman" w:eastAsiaTheme="minorHAnsi" w:hAnsi="Times New Roman"/>
          <w:sz w:val="24"/>
          <w:szCs w:val="24"/>
        </w:rPr>
        <w:t xml:space="preserve"> = ( </w:t>
      </w:r>
      <m:oMath>
        <m:sSubSup>
          <m:sSubSupPr>
            <m:ctrlPr>
              <w:rPr>
                <w:rFonts w:ascii="Cambria Math" w:eastAsiaTheme="minorHAnsi" w:hAnsi="Cambria Math"/>
                <w:sz w:val="24"/>
                <w:szCs w:val="24"/>
              </w:rPr>
            </m:ctrlPr>
          </m:sSubSupPr>
          <m:e>
            <m:r>
              <m:rPr>
                <m:sty m:val="p"/>
              </m:rPr>
              <w:rPr>
                <w:rFonts w:ascii="Cambria Math" w:eastAsiaTheme="minorHAnsi" w:hAnsi="Cambria Math"/>
                <w:sz w:val="24"/>
                <w:szCs w:val="24"/>
              </w:rPr>
              <m:t>Ʃ</m:t>
            </m:r>
          </m:e>
          <m:sub>
            <m:r>
              <w:rPr>
                <w:rFonts w:ascii="Cambria Math" w:eastAsiaTheme="minorHAnsi" w:hAnsi="Cambria Math"/>
                <w:sz w:val="24"/>
                <w:szCs w:val="24"/>
              </w:rPr>
              <m:t>t</m:t>
            </m:r>
            <m:r>
              <m:rPr>
                <m:sty m:val="p"/>
              </m:rPr>
              <w:rPr>
                <w:rFonts w:ascii="Cambria Math" w:eastAsiaTheme="minorHAnsi" w:hAnsi="Cambria Math"/>
                <w:sz w:val="24"/>
                <w:szCs w:val="24"/>
              </w:rPr>
              <m:t>=1</m:t>
            </m:r>
          </m:sub>
          <m:sup>
            <m:r>
              <m:rPr>
                <m:sty m:val="p"/>
              </m:rPr>
              <w:rPr>
                <w:rFonts w:ascii="Cambria Math" w:eastAsiaTheme="minorHAnsi" w:hAnsi="Cambria Math"/>
                <w:sz w:val="24"/>
                <w:szCs w:val="24"/>
              </w:rPr>
              <m:t>20</m:t>
            </m:r>
          </m:sup>
        </m:sSubSup>
        <m:sSubSup>
          <m:sSubSupPr>
            <m:ctrlPr>
              <w:rPr>
                <w:rFonts w:ascii="Cambria Math" w:eastAsiaTheme="minorHAnsi" w:hAnsi="Cambria Math"/>
                <w:sz w:val="24"/>
                <w:szCs w:val="24"/>
              </w:rPr>
            </m:ctrlPr>
          </m:sSubSupPr>
          <m:e>
            <m:r>
              <m:rPr>
                <m:sty m:val="p"/>
              </m:rPr>
              <w:rPr>
                <w:rFonts w:ascii="Cambria Math" w:eastAsiaTheme="minorHAnsi" w:hAnsi="Cambria Math"/>
                <w:sz w:val="24"/>
                <w:szCs w:val="24"/>
              </w:rPr>
              <m:t>Ʃ</m:t>
            </m:r>
          </m:e>
          <m:sub>
            <m:r>
              <w:rPr>
                <w:rFonts w:ascii="Cambria Math" w:eastAsiaTheme="minorHAnsi" w:hAnsi="Cambria Math"/>
                <w:sz w:val="24"/>
                <w:szCs w:val="24"/>
              </w:rPr>
              <m:t>j</m:t>
            </m:r>
            <m:r>
              <m:rPr>
                <m:sty m:val="p"/>
              </m:rPr>
              <w:rPr>
                <w:rFonts w:ascii="Cambria Math" w:eastAsiaTheme="minorHAnsi" w:hAnsi="Cambria Math"/>
                <w:sz w:val="24"/>
                <w:szCs w:val="24"/>
              </w:rPr>
              <m:t>=1</m:t>
            </m:r>
          </m:sub>
          <m:sup>
            <m:sSub>
              <m:sSubPr>
                <m:ctrlPr>
                  <w:rPr>
                    <w:rFonts w:ascii="Cambria Math" w:eastAsiaTheme="minorHAnsi" w:hAnsi="Cambria Math"/>
                    <w:sz w:val="24"/>
                    <w:szCs w:val="24"/>
                  </w:rPr>
                </m:ctrlPr>
              </m:sSubPr>
              <m:e>
                <m:r>
                  <w:rPr>
                    <w:rFonts w:ascii="Cambria Math" w:eastAsiaTheme="minorHAnsi" w:hAnsi="Cambria Math"/>
                    <w:sz w:val="24"/>
                    <w:szCs w:val="24"/>
                  </w:rPr>
                  <m:t>j</m:t>
                </m:r>
              </m:e>
              <m:sub>
                <m:r>
                  <w:rPr>
                    <w:rFonts w:ascii="Cambria Math" w:eastAsiaTheme="minorHAnsi" w:hAnsi="Cambria Math"/>
                    <w:sz w:val="24"/>
                    <w:szCs w:val="24"/>
                  </w:rPr>
                  <m:t>i</m:t>
                </m:r>
              </m:sub>
            </m:sSub>
          </m:sup>
        </m:sSubSup>
        <m:sSubSup>
          <m:sSubSupPr>
            <m:ctrlPr>
              <w:rPr>
                <w:rFonts w:ascii="Cambria Math" w:eastAsiaTheme="minorHAnsi" w:hAnsi="Times New Roman"/>
                <w:sz w:val="24"/>
                <w:szCs w:val="24"/>
              </w:rPr>
            </m:ctrlPr>
          </m:sSubSupPr>
          <m:e>
            <m:r>
              <w:rPr>
                <w:rFonts w:ascii="Cambria Math" w:eastAsiaTheme="minorHAnsi" w:hAnsi="Cambria Math"/>
                <w:sz w:val="24"/>
                <w:szCs w:val="24"/>
              </w:rPr>
              <m:t>p</m:t>
            </m:r>
          </m:e>
          <m:sub>
            <m:r>
              <w:rPr>
                <w:rFonts w:ascii="Cambria Math" w:eastAsiaTheme="minorHAnsi" w:hAnsi="Cambria Math"/>
                <w:sz w:val="24"/>
                <w:szCs w:val="24"/>
              </w:rPr>
              <m:t>i</m:t>
            </m:r>
            <m:r>
              <m:rPr>
                <m:sty m:val="p"/>
              </m:rPr>
              <w:rPr>
                <w:rFonts w:ascii="Cambria Math" w:eastAsiaTheme="minorHAnsi" w:hAnsi="Times New Roman"/>
                <w:sz w:val="24"/>
                <w:szCs w:val="24"/>
              </w:rPr>
              <m:t>,</m:t>
            </m:r>
            <m:r>
              <w:rPr>
                <w:rFonts w:ascii="Cambria Math" w:eastAsiaTheme="minorHAnsi" w:hAnsi="Cambria Math"/>
                <w:sz w:val="24"/>
                <w:szCs w:val="24"/>
              </w:rPr>
              <m:t>t</m:t>
            </m:r>
          </m:sub>
          <m:sup>
            <m:r>
              <w:rPr>
                <w:rFonts w:ascii="Cambria Math" w:eastAsiaTheme="minorHAnsi" w:hAnsi="Cambria Math"/>
                <w:sz w:val="24"/>
                <w:szCs w:val="24"/>
              </w:rPr>
              <m:t>j</m:t>
            </m:r>
          </m:sup>
        </m:sSubSup>
      </m:oMath>
      <w:r w:rsidR="008000CD" w:rsidRPr="00AB729D">
        <w:rPr>
          <w:rFonts w:ascii="Times New Roman" w:eastAsiaTheme="minorHAnsi" w:hAnsi="Times New Roman"/>
          <w:sz w:val="24"/>
          <w:szCs w:val="24"/>
        </w:rPr>
        <w:t xml:space="preserve">) / 20                                                                            </w:t>
      </w:r>
      <w:r w:rsidR="00753C75" w:rsidRPr="00AB729D">
        <w:rPr>
          <w:rFonts w:ascii="Times New Roman" w:eastAsiaTheme="minorHAnsi" w:hAnsi="Times New Roman"/>
          <w:sz w:val="24"/>
          <w:szCs w:val="24"/>
        </w:rPr>
        <w:t xml:space="preserve">                  </w:t>
      </w:r>
      <w:r w:rsidR="00D86139" w:rsidRPr="00AB729D">
        <w:rPr>
          <w:rFonts w:ascii="Times New Roman" w:eastAsiaTheme="minorHAnsi" w:hAnsi="Times New Roman"/>
          <w:sz w:val="24"/>
          <w:szCs w:val="24"/>
        </w:rPr>
        <w:t xml:space="preserve">           </w:t>
      </w:r>
      <w:r w:rsidR="001C20CD" w:rsidRPr="00AB729D">
        <w:rPr>
          <w:rFonts w:ascii="Times New Roman" w:eastAsiaTheme="minorHAnsi" w:hAnsi="Times New Roman"/>
          <w:sz w:val="24"/>
          <w:szCs w:val="24"/>
        </w:rPr>
        <w:t>(2</w:t>
      </w:r>
      <w:r w:rsidR="008000CD" w:rsidRPr="00AB729D">
        <w:rPr>
          <w:rFonts w:ascii="Times New Roman" w:eastAsiaTheme="minorHAnsi" w:hAnsi="Times New Roman"/>
          <w:sz w:val="24"/>
          <w:szCs w:val="24"/>
        </w:rPr>
        <w:t>)</w:t>
      </w:r>
    </w:p>
    <w:p w14:paraId="08639AAB" w14:textId="0E827DFE" w:rsidR="008000CD" w:rsidRPr="00AB729D" w:rsidRDefault="00EC6CAE" w:rsidP="00305399">
      <w:pPr>
        <w:spacing w:line="480" w:lineRule="auto"/>
        <w:rPr>
          <w:rFonts w:ascii="Times New Roman" w:eastAsiaTheme="minorHAnsi" w:hAnsi="Times New Roman"/>
          <w:sz w:val="24"/>
          <w:szCs w:val="24"/>
        </w:rPr>
      </w:pPr>
      <w:r w:rsidRPr="00AB729D">
        <w:rPr>
          <w:rFonts w:ascii="Times New Roman" w:eastAsiaTheme="minorHAnsi" w:hAnsi="Times New Roman"/>
          <w:sz w:val="24"/>
          <w:szCs w:val="24"/>
        </w:rPr>
        <w:lastRenderedPageBreak/>
        <w:t>w</w:t>
      </w:r>
      <w:r w:rsidR="008000CD" w:rsidRPr="00AB729D">
        <w:rPr>
          <w:rFonts w:ascii="Times New Roman" w:eastAsiaTheme="minorHAnsi" w:hAnsi="Times New Roman"/>
          <w:sz w:val="24"/>
          <w:szCs w:val="24"/>
        </w:rPr>
        <w:t xml:space="preserve">here </w:t>
      </w:r>
      <m:oMath>
        <m:sSubSup>
          <m:sSubSupPr>
            <m:ctrlPr>
              <w:rPr>
                <w:rFonts w:ascii="Cambria Math" w:eastAsiaTheme="minorHAnsi" w:hAnsi="Times New Roman"/>
                <w:sz w:val="24"/>
                <w:szCs w:val="24"/>
              </w:rPr>
            </m:ctrlPr>
          </m:sSubSupPr>
          <m:e>
            <m:r>
              <w:rPr>
                <w:rFonts w:ascii="Cambria Math" w:eastAsiaTheme="minorHAnsi" w:hAnsi="Cambria Math"/>
                <w:sz w:val="24"/>
                <w:szCs w:val="24"/>
              </w:rPr>
              <m:t>p</m:t>
            </m:r>
          </m:e>
          <m:sub>
            <m:r>
              <w:rPr>
                <w:rFonts w:ascii="Cambria Math" w:eastAsiaTheme="minorHAnsi" w:hAnsi="Cambria Math"/>
                <w:sz w:val="24"/>
                <w:szCs w:val="24"/>
              </w:rPr>
              <m:t>i</m:t>
            </m:r>
            <m:r>
              <m:rPr>
                <m:sty m:val="p"/>
              </m:rPr>
              <w:rPr>
                <w:rFonts w:ascii="Cambria Math" w:eastAsiaTheme="minorHAnsi" w:hAnsi="Times New Roman"/>
                <w:sz w:val="24"/>
                <w:szCs w:val="24"/>
              </w:rPr>
              <m:t>,</m:t>
            </m:r>
            <m:r>
              <w:rPr>
                <w:rFonts w:ascii="Cambria Math" w:eastAsiaTheme="minorHAnsi" w:hAnsi="Cambria Math"/>
                <w:sz w:val="24"/>
                <w:szCs w:val="24"/>
              </w:rPr>
              <m:t>t</m:t>
            </m:r>
          </m:sub>
          <m:sup>
            <m:r>
              <w:rPr>
                <w:rFonts w:ascii="Cambria Math" w:eastAsiaTheme="minorHAnsi" w:hAnsi="Cambria Math"/>
                <w:sz w:val="24"/>
                <w:szCs w:val="24"/>
              </w:rPr>
              <m:t>j</m:t>
            </m:r>
          </m:sup>
        </m:sSubSup>
      </m:oMath>
      <w:r w:rsidR="008000CD" w:rsidRPr="00AB729D">
        <w:rPr>
          <w:rFonts w:ascii="Times New Roman" w:eastAsiaTheme="minorHAnsi" w:hAnsi="Times New Roman"/>
          <w:sz w:val="24"/>
          <w:szCs w:val="24"/>
        </w:rPr>
        <w:t xml:space="preserve"> is the proportion of firm </w:t>
      </w:r>
      <w:r w:rsidR="008000CD" w:rsidRPr="00AB729D">
        <w:rPr>
          <w:rFonts w:ascii="Times New Roman" w:eastAsiaTheme="minorHAnsi" w:hAnsi="Times New Roman"/>
          <w:i/>
          <w:sz w:val="24"/>
          <w:szCs w:val="24"/>
        </w:rPr>
        <w:t>i</w:t>
      </w:r>
      <w:r w:rsidR="008000CD" w:rsidRPr="00AB729D">
        <w:rPr>
          <w:rFonts w:ascii="Times New Roman" w:eastAsiaTheme="minorHAnsi" w:hAnsi="Times New Roman"/>
          <w:sz w:val="24"/>
          <w:szCs w:val="24"/>
        </w:rPr>
        <w:t xml:space="preserve"> held by investor </w:t>
      </w:r>
      <w:r w:rsidR="008000CD" w:rsidRPr="00AB729D">
        <w:rPr>
          <w:rFonts w:ascii="Times New Roman" w:eastAsiaTheme="minorHAnsi" w:hAnsi="Times New Roman"/>
          <w:i/>
          <w:sz w:val="24"/>
          <w:szCs w:val="24"/>
        </w:rPr>
        <w:t>j</w:t>
      </w:r>
      <w:r w:rsidR="008000CD" w:rsidRPr="00AB729D">
        <w:rPr>
          <w:rFonts w:ascii="Times New Roman" w:eastAsiaTheme="minorHAnsi" w:hAnsi="Times New Roman"/>
          <w:sz w:val="24"/>
          <w:szCs w:val="24"/>
        </w:rPr>
        <w:t xml:space="preserve"> </w:t>
      </w:r>
      <w:r w:rsidR="00232C95" w:rsidRPr="00AB729D">
        <w:rPr>
          <w:rFonts w:ascii="Times New Roman" w:eastAsiaTheme="minorHAnsi" w:hAnsi="Times New Roman"/>
          <w:sz w:val="24"/>
          <w:szCs w:val="24"/>
        </w:rPr>
        <w:t xml:space="preserve">in </w:t>
      </w:r>
      <w:r w:rsidR="008000CD" w:rsidRPr="00AB729D">
        <w:rPr>
          <w:rFonts w:ascii="Times New Roman" w:eastAsiaTheme="minorHAnsi" w:hAnsi="Times New Roman"/>
          <w:sz w:val="24"/>
          <w:szCs w:val="24"/>
        </w:rPr>
        <w:t xml:space="preserve">quarter </w:t>
      </w:r>
      <w:r w:rsidR="008000CD" w:rsidRPr="00AB729D">
        <w:rPr>
          <w:rFonts w:ascii="Times New Roman" w:eastAsiaTheme="minorHAnsi" w:hAnsi="Times New Roman"/>
          <w:i/>
          <w:sz w:val="24"/>
          <w:szCs w:val="24"/>
        </w:rPr>
        <w:t>t</w:t>
      </w:r>
      <w:r w:rsidR="008000CD" w:rsidRPr="00AB729D">
        <w:rPr>
          <w:rFonts w:ascii="Times New Roman" w:eastAsiaTheme="minorHAnsi" w:hAnsi="Times New Roman"/>
          <w:sz w:val="24"/>
          <w:szCs w:val="24"/>
        </w:rPr>
        <w:t xml:space="preserve"> (t</w:t>
      </w:r>
      <w:r w:rsidR="00232C95" w:rsidRPr="00AB729D">
        <w:rPr>
          <w:rFonts w:ascii="Times New Roman" w:eastAsiaTheme="minorHAnsi" w:hAnsi="Times New Roman"/>
          <w:sz w:val="24"/>
          <w:szCs w:val="24"/>
        </w:rPr>
        <w:t xml:space="preserve"> </w:t>
      </w:r>
      <w:r w:rsidR="008000CD" w:rsidRPr="00AB729D">
        <w:rPr>
          <w:rFonts w:ascii="Times New Roman" w:eastAsiaTheme="minorHAnsi" w:hAnsi="Times New Roman"/>
          <w:sz w:val="24"/>
          <w:szCs w:val="24"/>
        </w:rPr>
        <w:t>=</w:t>
      </w:r>
      <w:r w:rsidR="00232C95" w:rsidRPr="00AB729D">
        <w:rPr>
          <w:rFonts w:ascii="Times New Roman" w:eastAsiaTheme="minorHAnsi" w:hAnsi="Times New Roman"/>
          <w:sz w:val="24"/>
          <w:szCs w:val="24"/>
        </w:rPr>
        <w:t xml:space="preserve"> </w:t>
      </w:r>
      <w:r w:rsidR="008000CD" w:rsidRPr="00AB729D">
        <w:rPr>
          <w:rFonts w:ascii="Times New Roman" w:eastAsiaTheme="minorHAnsi" w:hAnsi="Times New Roman"/>
          <w:sz w:val="24"/>
          <w:szCs w:val="24"/>
        </w:rPr>
        <w:t>1, 2,…, 20).</w:t>
      </w:r>
    </w:p>
    <w:p w14:paraId="5455B317" w14:textId="6A638F61" w:rsidR="00CD44A5" w:rsidRPr="00AB729D" w:rsidRDefault="00B50516" w:rsidP="00C4120C">
      <w:pPr>
        <w:pStyle w:val="ListParagraph"/>
        <w:numPr>
          <w:ilvl w:val="1"/>
          <w:numId w:val="14"/>
        </w:numPr>
        <w:rPr>
          <w:rFonts w:ascii="Times New Roman" w:hAnsi="Times New Roman"/>
          <w:b/>
          <w:bCs/>
          <w:sz w:val="24"/>
          <w:szCs w:val="24"/>
        </w:rPr>
      </w:pPr>
      <w:bookmarkStart w:id="5" w:name="_Toc474489294"/>
      <w:r w:rsidRPr="00AB729D">
        <w:rPr>
          <w:rFonts w:ascii="Times New Roman" w:hAnsi="Times New Roman"/>
          <w:b/>
          <w:bCs/>
          <w:sz w:val="24"/>
          <w:szCs w:val="24"/>
        </w:rPr>
        <w:t>Measures of Equity Mispricing</w:t>
      </w:r>
      <w:bookmarkEnd w:id="5"/>
    </w:p>
    <w:p w14:paraId="12661A93" w14:textId="3565A29B" w:rsidR="00707FB5" w:rsidRPr="00AB729D" w:rsidRDefault="00707FB5" w:rsidP="00C4120C">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Two methods are used to compute equity mispricing. The first one follows Rhodes-</w:t>
      </w:r>
      <w:proofErr w:type="spellStart"/>
      <w:r w:rsidRPr="00AB729D">
        <w:rPr>
          <w:rFonts w:ascii="Times New Roman" w:eastAsiaTheme="minorHAnsi" w:hAnsi="Times New Roman"/>
          <w:sz w:val="24"/>
          <w:szCs w:val="24"/>
        </w:rPr>
        <w:t>Kropf</w:t>
      </w:r>
      <w:proofErr w:type="spellEnd"/>
      <w:r w:rsidRPr="00AB729D">
        <w:rPr>
          <w:rFonts w:ascii="Times New Roman" w:eastAsiaTheme="minorHAnsi" w:hAnsi="Times New Roman"/>
          <w:sz w:val="24"/>
          <w:szCs w:val="24"/>
        </w:rPr>
        <w:t xml:space="preserve"> et al. (2005), a method that is widely used in the literature on equity mispricing (for instance, Lin et al. 2010; </w:t>
      </w:r>
      <w:proofErr w:type="spellStart"/>
      <w:r w:rsidRPr="00AB729D">
        <w:rPr>
          <w:rFonts w:ascii="Times New Roman" w:eastAsiaTheme="minorHAnsi" w:hAnsi="Times New Roman"/>
          <w:sz w:val="24"/>
          <w:szCs w:val="24"/>
        </w:rPr>
        <w:t>Bonaimé</w:t>
      </w:r>
      <w:proofErr w:type="spellEnd"/>
      <w:r w:rsidRPr="00AB729D">
        <w:rPr>
          <w:rFonts w:ascii="Times New Roman" w:eastAsiaTheme="minorHAnsi" w:hAnsi="Times New Roman"/>
          <w:sz w:val="24"/>
          <w:szCs w:val="24"/>
        </w:rPr>
        <w:t xml:space="preserve"> et al., 2014). Under this model, mispricing (denoted by </w:t>
      </w:r>
      <w:r w:rsidRPr="00AB729D">
        <w:rPr>
          <w:rFonts w:ascii="Times New Roman" w:eastAsiaTheme="minorHAnsi" w:hAnsi="Times New Roman"/>
          <w:i/>
          <w:sz w:val="24"/>
          <w:szCs w:val="24"/>
        </w:rPr>
        <w:t>EXVRK</w:t>
      </w:r>
      <w:r w:rsidRPr="00AB729D">
        <w:rPr>
          <w:rFonts w:ascii="Times New Roman" w:eastAsiaTheme="minorHAnsi" w:hAnsi="Times New Roman"/>
          <w:sz w:val="24"/>
          <w:szCs w:val="24"/>
        </w:rPr>
        <w:t xml:space="preserve">) represents the difference between a firm’s market and fundamental values. The fundamental value is obtained by estimating equation (3) </w:t>
      </w:r>
      <w:r w:rsidR="000308F6" w:rsidRPr="00AB729D">
        <w:rPr>
          <w:rFonts w:ascii="Times New Roman" w:eastAsiaTheme="minorHAnsi" w:hAnsi="Times New Roman"/>
          <w:sz w:val="24"/>
          <w:szCs w:val="24"/>
        </w:rPr>
        <w:t xml:space="preserve">for every industry and every year </w:t>
      </w:r>
      <w:r w:rsidRPr="00AB729D">
        <w:rPr>
          <w:rFonts w:ascii="Times New Roman" w:eastAsiaTheme="minorHAnsi" w:hAnsi="Times New Roman"/>
          <w:sz w:val="24"/>
          <w:szCs w:val="24"/>
        </w:rPr>
        <w:t>as follows:</w:t>
      </w:r>
    </w:p>
    <w:p w14:paraId="5C42CB6B" w14:textId="71511FDB" w:rsidR="00753C75" w:rsidRPr="00AB729D" w:rsidRDefault="00B3404A" w:rsidP="001C20CD">
      <w:pPr>
        <w:pStyle w:val="Default"/>
        <w:spacing w:line="480" w:lineRule="auto"/>
        <w:jc w:val="both"/>
        <w:rPr>
          <w:rFonts w:eastAsiaTheme="minorEastAsia"/>
          <w:color w:val="auto"/>
        </w:rPr>
      </w:pPr>
      <w:r w:rsidRPr="00AB729D">
        <w:rPr>
          <w:color w:val="auto"/>
        </w:rPr>
        <w:t xml:space="preserve">ln </w:t>
      </w:r>
      <w:r w:rsidR="00753C75" w:rsidRPr="00AB729D">
        <w:rPr>
          <w:color w:val="auto"/>
        </w:rPr>
        <w:t>(</w:t>
      </w:r>
      <m:oMath>
        <m:sSub>
          <m:sSubPr>
            <m:ctrlPr>
              <w:rPr>
                <w:rFonts w:ascii="Cambria Math" w:hAnsi="Cambria Math"/>
                <w:i/>
                <w:color w:val="auto"/>
              </w:rPr>
            </m:ctrlPr>
          </m:sSubPr>
          <m:e>
            <m:r>
              <w:rPr>
                <w:rFonts w:ascii="Cambria Math" w:hAnsi="Cambria Math"/>
                <w:color w:val="auto"/>
              </w:rPr>
              <m:t>MV</m:t>
            </m:r>
          </m:e>
          <m:sub>
            <m:r>
              <w:rPr>
                <w:rFonts w:ascii="Cambria Math" w:hAnsi="Cambria Math"/>
                <w:color w:val="auto"/>
              </w:rPr>
              <m:t>it</m:t>
            </m:r>
          </m:sub>
        </m:sSub>
      </m:oMath>
      <w:r w:rsidR="00753C75" w:rsidRPr="00AB729D">
        <w:rPr>
          <w:color w:val="auto"/>
        </w:rPr>
        <w:t xml:space="preserve">) = </w:t>
      </w:r>
      <m:oMath>
        <m:sSub>
          <m:sSubPr>
            <m:ctrlPr>
              <w:rPr>
                <w:rFonts w:ascii="Cambria Math" w:hAnsi="Cambria Math"/>
                <w:i/>
                <w:color w:val="auto"/>
              </w:rPr>
            </m:ctrlPr>
          </m:sSubPr>
          <m:e>
            <m:r>
              <w:rPr>
                <w:rFonts w:ascii="Cambria Math" w:hAnsi="Cambria Math"/>
                <w:color w:val="auto"/>
              </w:rPr>
              <m:t>β</m:t>
            </m:r>
          </m:e>
          <m:sub>
            <m:r>
              <w:rPr>
                <w:rFonts w:ascii="Cambria Math" w:hAnsi="Cambria Math"/>
                <w:color w:val="auto"/>
              </w:rPr>
              <m:t>0jt</m:t>
            </m:r>
          </m:sub>
        </m:sSub>
      </m:oMath>
      <w:r w:rsidR="00753C75" w:rsidRPr="00AB729D">
        <w:rPr>
          <w:rFonts w:eastAsiaTheme="minorEastAsia"/>
          <w:color w:val="auto"/>
        </w:rPr>
        <w:t xml:space="preserve"> + </w:t>
      </w:r>
      <m:oMath>
        <m:sSub>
          <m:sSubPr>
            <m:ctrlPr>
              <w:rPr>
                <w:rFonts w:ascii="Cambria Math" w:hAnsi="Cambria Math"/>
                <w:i/>
                <w:color w:val="auto"/>
              </w:rPr>
            </m:ctrlPr>
          </m:sSubPr>
          <m:e>
            <m:r>
              <w:rPr>
                <w:rFonts w:ascii="Cambria Math" w:hAnsi="Cambria Math"/>
                <w:color w:val="auto"/>
              </w:rPr>
              <m:t>β</m:t>
            </m:r>
          </m:e>
          <m:sub>
            <m:r>
              <w:rPr>
                <w:rFonts w:ascii="Cambria Math" w:hAnsi="Cambria Math"/>
                <w:color w:val="auto"/>
              </w:rPr>
              <m:t>1jt</m:t>
            </m:r>
          </m:sub>
        </m:sSub>
      </m:oMath>
      <w:r w:rsidR="00753C75" w:rsidRPr="00AB729D">
        <w:rPr>
          <w:rFonts w:eastAsiaTheme="minorEastAsia"/>
          <w:color w:val="auto"/>
        </w:rPr>
        <w:t xml:space="preserve"> </w:t>
      </w:r>
      <w:r w:rsidRPr="00AB729D">
        <w:rPr>
          <w:color w:val="auto"/>
        </w:rPr>
        <w:t xml:space="preserve">ln </w:t>
      </w:r>
      <w:r w:rsidR="00753C75" w:rsidRPr="00AB729D">
        <w:rPr>
          <w:color w:val="auto"/>
        </w:rPr>
        <w:t>(</w:t>
      </w:r>
      <m:oMath>
        <m:sSub>
          <m:sSubPr>
            <m:ctrlPr>
              <w:rPr>
                <w:rFonts w:ascii="Cambria Math" w:hAnsi="Cambria Math"/>
                <w:i/>
                <w:color w:val="auto"/>
              </w:rPr>
            </m:ctrlPr>
          </m:sSubPr>
          <m:e>
            <m:r>
              <w:rPr>
                <w:rFonts w:ascii="Cambria Math" w:hAnsi="Cambria Math"/>
                <w:color w:val="auto"/>
              </w:rPr>
              <m:t>BV</m:t>
            </m:r>
          </m:e>
          <m:sub>
            <m:r>
              <w:rPr>
                <w:rFonts w:ascii="Cambria Math" w:hAnsi="Cambria Math"/>
                <w:color w:val="auto"/>
              </w:rPr>
              <m:t>it</m:t>
            </m:r>
          </m:sub>
        </m:sSub>
      </m:oMath>
      <w:r w:rsidR="00753C75" w:rsidRPr="00AB729D">
        <w:rPr>
          <w:color w:val="auto"/>
        </w:rPr>
        <w:t xml:space="preserve">) </w:t>
      </w:r>
      <w:r w:rsidR="00753C75" w:rsidRPr="00AB729D">
        <w:rPr>
          <w:rFonts w:eastAsiaTheme="minorEastAsia"/>
          <w:color w:val="auto"/>
        </w:rPr>
        <w:t xml:space="preserve">+ </w:t>
      </w:r>
      <m:oMath>
        <m:sSub>
          <m:sSubPr>
            <m:ctrlPr>
              <w:rPr>
                <w:rFonts w:ascii="Cambria Math" w:hAnsi="Cambria Math"/>
                <w:i/>
                <w:color w:val="auto"/>
              </w:rPr>
            </m:ctrlPr>
          </m:sSubPr>
          <m:e>
            <m:r>
              <w:rPr>
                <w:rFonts w:ascii="Cambria Math" w:hAnsi="Cambria Math"/>
                <w:color w:val="auto"/>
              </w:rPr>
              <m:t>β</m:t>
            </m:r>
          </m:e>
          <m:sub>
            <m:r>
              <w:rPr>
                <w:rFonts w:ascii="Cambria Math" w:hAnsi="Cambria Math"/>
                <w:color w:val="auto"/>
              </w:rPr>
              <m:t>2jt</m:t>
            </m:r>
          </m:sub>
        </m:sSub>
      </m:oMath>
      <w:r w:rsidR="00753C75" w:rsidRPr="00AB729D">
        <w:rPr>
          <w:rFonts w:eastAsiaTheme="minorEastAsia"/>
          <w:color w:val="auto"/>
        </w:rPr>
        <w:t xml:space="preserve"> </w:t>
      </w:r>
      <w:r w:rsidRPr="00AB729D">
        <w:rPr>
          <w:color w:val="auto"/>
        </w:rPr>
        <w:t xml:space="preserve">ln </w:t>
      </w:r>
      <w:r w:rsidR="00753C75" w:rsidRPr="00AB729D">
        <w:rPr>
          <w:color w:val="auto"/>
        </w:rPr>
        <w:t>[abs (</w:t>
      </w:r>
      <m:oMath>
        <m:sSub>
          <m:sSubPr>
            <m:ctrlPr>
              <w:rPr>
                <w:rFonts w:ascii="Cambria Math" w:hAnsi="Cambria Math"/>
                <w:i/>
                <w:color w:val="auto"/>
              </w:rPr>
            </m:ctrlPr>
          </m:sSubPr>
          <m:e>
            <m:r>
              <w:rPr>
                <w:rFonts w:ascii="Cambria Math" w:hAnsi="Cambria Math"/>
                <w:color w:val="auto"/>
              </w:rPr>
              <m:t>NI</m:t>
            </m:r>
          </m:e>
          <m:sub>
            <m:r>
              <w:rPr>
                <w:rFonts w:ascii="Cambria Math" w:hAnsi="Cambria Math"/>
                <w:color w:val="auto"/>
              </w:rPr>
              <m:t>it</m:t>
            </m:r>
          </m:sub>
        </m:sSub>
      </m:oMath>
      <w:r w:rsidR="00753C75" w:rsidRPr="00AB729D">
        <w:rPr>
          <w:color w:val="auto"/>
        </w:rPr>
        <w:t xml:space="preserve">)] </w:t>
      </w:r>
      <w:r w:rsidR="00753C75" w:rsidRPr="00AB729D">
        <w:rPr>
          <w:rFonts w:eastAsiaTheme="minorEastAsia"/>
          <w:color w:val="auto"/>
        </w:rPr>
        <w:t xml:space="preserve">+ </w:t>
      </w:r>
      <m:oMath>
        <m:sSub>
          <m:sSubPr>
            <m:ctrlPr>
              <w:rPr>
                <w:rFonts w:ascii="Cambria Math" w:hAnsi="Cambria Math"/>
                <w:i/>
                <w:color w:val="auto"/>
              </w:rPr>
            </m:ctrlPr>
          </m:sSubPr>
          <m:e>
            <m:r>
              <w:rPr>
                <w:rFonts w:ascii="Cambria Math" w:hAnsi="Cambria Math"/>
                <w:color w:val="auto"/>
              </w:rPr>
              <m:t>β</m:t>
            </m:r>
          </m:e>
          <m:sub>
            <m:r>
              <w:rPr>
                <w:rFonts w:ascii="Cambria Math" w:hAnsi="Cambria Math"/>
                <w:color w:val="auto"/>
              </w:rPr>
              <m:t>3jt</m:t>
            </m:r>
          </m:sub>
        </m:sSub>
      </m:oMath>
      <w:r w:rsidR="00753C75" w:rsidRPr="00AB729D">
        <w:rPr>
          <w:rFonts w:eastAsiaTheme="minorEastAsia"/>
          <w:color w:val="auto"/>
        </w:rPr>
        <w:t xml:space="preserve"> </w:t>
      </w:r>
      <m:oMath>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(&lt;0)</m:t>
            </m:r>
          </m:sub>
        </m:sSub>
      </m:oMath>
      <w:r w:rsidR="00753C75" w:rsidRPr="00AB729D">
        <w:rPr>
          <w:rFonts w:eastAsiaTheme="minorEastAsia"/>
          <w:color w:val="auto"/>
        </w:rPr>
        <w:t xml:space="preserve"> </w:t>
      </w:r>
      <w:r w:rsidRPr="00AB729D">
        <w:rPr>
          <w:color w:val="auto"/>
        </w:rPr>
        <w:t xml:space="preserve">ln </w:t>
      </w:r>
      <w:r w:rsidR="00753C75" w:rsidRPr="00AB729D">
        <w:rPr>
          <w:color w:val="auto"/>
        </w:rPr>
        <w:t>[abs (</w:t>
      </w:r>
      <m:oMath>
        <m:sSub>
          <m:sSubPr>
            <m:ctrlPr>
              <w:rPr>
                <w:rFonts w:ascii="Cambria Math" w:hAnsi="Cambria Math"/>
                <w:i/>
                <w:color w:val="auto"/>
              </w:rPr>
            </m:ctrlPr>
          </m:sSubPr>
          <m:e>
            <m:r>
              <w:rPr>
                <w:rFonts w:ascii="Cambria Math" w:hAnsi="Cambria Math"/>
                <w:color w:val="auto"/>
              </w:rPr>
              <m:t>NI</m:t>
            </m:r>
          </m:e>
          <m:sub>
            <m:r>
              <w:rPr>
                <w:rFonts w:ascii="Cambria Math" w:hAnsi="Cambria Math"/>
                <w:color w:val="auto"/>
              </w:rPr>
              <m:t>it</m:t>
            </m:r>
          </m:sub>
        </m:sSub>
      </m:oMath>
      <w:r w:rsidR="00753C75" w:rsidRPr="00AB729D">
        <w:rPr>
          <w:color w:val="auto"/>
        </w:rPr>
        <w:t>)]</w:t>
      </w:r>
      <w:r w:rsidR="00753C75" w:rsidRPr="00AB729D">
        <w:rPr>
          <w:rFonts w:eastAsiaTheme="minorEastAsia"/>
          <w:color w:val="auto"/>
        </w:rPr>
        <w:t xml:space="preserve"> + </w:t>
      </w:r>
      <m:oMath>
        <m:sSub>
          <m:sSubPr>
            <m:ctrlPr>
              <w:rPr>
                <w:rFonts w:ascii="Cambria Math" w:hAnsi="Cambria Math"/>
                <w:i/>
                <w:color w:val="auto"/>
              </w:rPr>
            </m:ctrlPr>
          </m:sSubPr>
          <m:e>
            <m:r>
              <w:rPr>
                <w:rFonts w:ascii="Cambria Math" w:hAnsi="Cambria Math"/>
                <w:color w:val="auto"/>
              </w:rPr>
              <m:t>β</m:t>
            </m:r>
          </m:e>
          <m:sub>
            <m:r>
              <w:rPr>
                <w:rFonts w:ascii="Cambria Math" w:hAnsi="Cambria Math"/>
                <w:color w:val="auto"/>
              </w:rPr>
              <m:t>4jt</m:t>
            </m:r>
          </m:sub>
        </m:sSub>
      </m:oMath>
      <w:r w:rsidR="00753C75" w:rsidRPr="00AB729D">
        <w:rPr>
          <w:rFonts w:eastAsiaTheme="minorEastAsia"/>
          <w:color w:val="auto"/>
        </w:rPr>
        <w:t xml:space="preserve"> </w:t>
      </w:r>
      <m:oMath>
        <m:sSub>
          <m:sSubPr>
            <m:ctrlPr>
              <w:rPr>
                <w:rFonts w:ascii="Cambria Math" w:hAnsi="Cambria Math"/>
                <w:i/>
                <w:color w:val="auto"/>
              </w:rPr>
            </m:ctrlPr>
          </m:sSubPr>
          <m:e>
            <m:r>
              <w:rPr>
                <w:rFonts w:ascii="Cambria Math" w:hAnsi="Cambria Math"/>
                <w:color w:val="auto"/>
              </w:rPr>
              <m:t>LEV</m:t>
            </m:r>
          </m:e>
          <m:sub>
            <m:r>
              <w:rPr>
                <w:rFonts w:ascii="Cambria Math" w:hAnsi="Cambria Math"/>
                <w:color w:val="auto"/>
              </w:rPr>
              <m:t>it</m:t>
            </m:r>
          </m:sub>
        </m:sSub>
      </m:oMath>
      <w:r w:rsidR="00753C75" w:rsidRPr="00AB729D">
        <w:rPr>
          <w:rFonts w:eastAsiaTheme="minorEastAsia"/>
          <w:color w:val="auto"/>
        </w:rPr>
        <w:t xml:space="preserve"> + </w:t>
      </w:r>
      <m:oMath>
        <m:sSub>
          <m:sSubPr>
            <m:ctrlPr>
              <w:rPr>
                <w:rFonts w:ascii="Cambria Math" w:hAnsi="Cambria Math"/>
                <w:i/>
                <w:color w:val="auto"/>
              </w:rPr>
            </m:ctrlPr>
          </m:sSubPr>
          <m:e>
            <m:r>
              <w:rPr>
                <w:rFonts w:ascii="Cambria Math" w:hAnsi="Cambria Math"/>
                <w:color w:val="auto"/>
              </w:rPr>
              <m:t>ε</m:t>
            </m:r>
          </m:e>
          <m:sub>
            <m:r>
              <w:rPr>
                <w:rFonts w:ascii="Cambria Math" w:hAnsi="Cambria Math"/>
                <w:color w:val="auto"/>
              </w:rPr>
              <m:t>it</m:t>
            </m:r>
          </m:sub>
        </m:sSub>
      </m:oMath>
      <w:r w:rsidR="00753C75" w:rsidRPr="00AB729D">
        <w:rPr>
          <w:rFonts w:eastAsiaTheme="minorEastAsia"/>
          <w:color w:val="auto"/>
        </w:rPr>
        <w:t xml:space="preserve">                                                                                              </w:t>
      </w:r>
      <w:r w:rsidR="001C20CD" w:rsidRPr="00AB729D">
        <w:rPr>
          <w:rFonts w:eastAsiaTheme="minorEastAsia"/>
          <w:color w:val="auto"/>
        </w:rPr>
        <w:t xml:space="preserve">                                                   (3</w:t>
      </w:r>
      <w:r w:rsidR="00753C75" w:rsidRPr="00AB729D">
        <w:rPr>
          <w:rFonts w:eastAsiaTheme="minorEastAsia"/>
          <w:color w:val="auto"/>
        </w:rPr>
        <w:t>)</w:t>
      </w:r>
    </w:p>
    <w:p w14:paraId="0982AC6E" w14:textId="453A8C1E" w:rsidR="00753C75" w:rsidRPr="00AB729D" w:rsidRDefault="000308F6" w:rsidP="00305399">
      <w:pPr>
        <w:pStyle w:val="Default"/>
        <w:spacing w:line="480" w:lineRule="auto"/>
        <w:rPr>
          <w:color w:val="auto"/>
        </w:rPr>
      </w:pPr>
      <w:r w:rsidRPr="00AB729D">
        <w:rPr>
          <w:color w:val="auto"/>
        </w:rPr>
        <w:t>w</w:t>
      </w:r>
      <w:r w:rsidR="00753C75" w:rsidRPr="00AB729D">
        <w:rPr>
          <w:color w:val="auto"/>
        </w:rPr>
        <w:t xml:space="preserve">here </w:t>
      </w:r>
      <m:oMath>
        <m:sSub>
          <m:sSubPr>
            <m:ctrlPr>
              <w:rPr>
                <w:rFonts w:ascii="Cambria Math" w:hAnsi="Cambria Math"/>
                <w:i/>
                <w:color w:val="auto"/>
              </w:rPr>
            </m:ctrlPr>
          </m:sSubPr>
          <m:e>
            <m:r>
              <w:rPr>
                <w:rFonts w:ascii="Cambria Math" w:hAnsi="Cambria Math"/>
                <w:color w:val="auto"/>
              </w:rPr>
              <m:t>MV</m:t>
            </m:r>
          </m:e>
          <m:sub>
            <m:r>
              <w:rPr>
                <w:rFonts w:ascii="Cambria Math" w:hAnsi="Cambria Math"/>
                <w:color w:val="auto"/>
              </w:rPr>
              <m:t>it</m:t>
            </m:r>
          </m:sub>
        </m:sSub>
      </m:oMath>
      <w:r w:rsidR="00753C75" w:rsidRPr="00AB729D">
        <w:rPr>
          <w:color w:val="auto"/>
        </w:rPr>
        <w:t xml:space="preserve"> is the market value of equity; </w:t>
      </w:r>
      <m:oMath>
        <m:sSub>
          <m:sSubPr>
            <m:ctrlPr>
              <w:rPr>
                <w:rFonts w:ascii="Cambria Math" w:hAnsi="Cambria Math"/>
                <w:i/>
                <w:color w:val="auto"/>
              </w:rPr>
            </m:ctrlPr>
          </m:sSubPr>
          <m:e>
            <m:r>
              <w:rPr>
                <w:rFonts w:ascii="Cambria Math" w:hAnsi="Cambria Math"/>
                <w:color w:val="auto"/>
              </w:rPr>
              <m:t>BV</m:t>
            </m:r>
          </m:e>
          <m:sub>
            <m:r>
              <w:rPr>
                <w:rFonts w:ascii="Cambria Math" w:hAnsi="Cambria Math"/>
                <w:color w:val="auto"/>
              </w:rPr>
              <m:t>it</m:t>
            </m:r>
          </m:sub>
        </m:sSub>
      </m:oMath>
      <w:r w:rsidR="00753C75" w:rsidRPr="00AB729D">
        <w:rPr>
          <w:color w:val="auto"/>
        </w:rPr>
        <w:t xml:space="preserve"> is the book value of equity; </w:t>
      </w:r>
      <m:oMath>
        <m:sSub>
          <m:sSubPr>
            <m:ctrlPr>
              <w:rPr>
                <w:rFonts w:ascii="Cambria Math" w:hAnsi="Cambria Math"/>
                <w:i/>
                <w:color w:val="auto"/>
              </w:rPr>
            </m:ctrlPr>
          </m:sSubPr>
          <m:e>
            <m:r>
              <w:rPr>
                <w:rFonts w:ascii="Cambria Math" w:hAnsi="Cambria Math"/>
                <w:color w:val="auto"/>
              </w:rPr>
              <m:t>NI</m:t>
            </m:r>
          </m:e>
          <m:sub>
            <m:r>
              <w:rPr>
                <w:rFonts w:ascii="Cambria Math" w:hAnsi="Cambria Math"/>
                <w:color w:val="auto"/>
              </w:rPr>
              <m:t>it</m:t>
            </m:r>
          </m:sub>
        </m:sSub>
      </m:oMath>
      <w:r w:rsidR="00753C75" w:rsidRPr="00AB729D">
        <w:rPr>
          <w:color w:val="auto"/>
        </w:rPr>
        <w:t xml:space="preserve"> is net income; </w:t>
      </w:r>
      <m:oMath>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(&lt;0)</m:t>
            </m:r>
          </m:sub>
        </m:sSub>
      </m:oMath>
      <w:r w:rsidR="00753C75" w:rsidRPr="00AB729D">
        <w:rPr>
          <w:color w:val="auto"/>
        </w:rPr>
        <w:t xml:space="preserve"> is an indicator variable that equals one if the firm report</w:t>
      </w:r>
      <w:r w:rsidR="00A031EE" w:rsidRPr="00AB729D">
        <w:rPr>
          <w:color w:val="auto"/>
        </w:rPr>
        <w:t>s</w:t>
      </w:r>
      <w:r w:rsidR="00753C75" w:rsidRPr="00AB729D">
        <w:rPr>
          <w:color w:val="auto"/>
        </w:rPr>
        <w:t xml:space="preserve"> a net loss and zero otherwise; and </w:t>
      </w:r>
      <m:oMath>
        <m:sSub>
          <m:sSubPr>
            <m:ctrlPr>
              <w:rPr>
                <w:rFonts w:ascii="Cambria Math" w:hAnsi="Cambria Math"/>
                <w:i/>
                <w:color w:val="auto"/>
              </w:rPr>
            </m:ctrlPr>
          </m:sSubPr>
          <m:e>
            <m:r>
              <w:rPr>
                <w:rFonts w:ascii="Cambria Math" w:hAnsi="Cambria Math"/>
                <w:color w:val="auto"/>
              </w:rPr>
              <m:t>LEV</m:t>
            </m:r>
          </m:e>
          <m:sub>
            <m:r>
              <w:rPr>
                <w:rFonts w:ascii="Cambria Math" w:hAnsi="Cambria Math"/>
                <w:color w:val="auto"/>
              </w:rPr>
              <m:t>it</m:t>
            </m:r>
          </m:sub>
        </m:sSub>
      </m:oMath>
      <w:r w:rsidR="00753C75" w:rsidRPr="00AB729D">
        <w:rPr>
          <w:color w:val="auto"/>
        </w:rPr>
        <w:t xml:space="preserve"> is the firm leverage</w:t>
      </w:r>
      <w:r w:rsidR="00B3404A" w:rsidRPr="00AB729D">
        <w:rPr>
          <w:color w:val="auto"/>
        </w:rPr>
        <w:t>; abs represents absolute values and ln represents the natural logarithm</w:t>
      </w:r>
      <w:r w:rsidR="00753C75" w:rsidRPr="00AB729D">
        <w:rPr>
          <w:color w:val="auto"/>
        </w:rPr>
        <w:t>. All variable</w:t>
      </w:r>
      <w:r w:rsidR="00B232BC" w:rsidRPr="00AB729D">
        <w:rPr>
          <w:color w:val="auto"/>
        </w:rPr>
        <w:t>s</w:t>
      </w:r>
      <w:r w:rsidR="00753C75" w:rsidRPr="00AB729D">
        <w:rPr>
          <w:color w:val="auto"/>
        </w:rPr>
        <w:t xml:space="preserve"> are measured at the end of the fiscal year. </w:t>
      </w:r>
      <w:r w:rsidR="00B3404A" w:rsidRPr="00AB729D">
        <w:rPr>
          <w:color w:val="auto"/>
        </w:rPr>
        <w:t xml:space="preserve">We </w:t>
      </w:r>
      <w:r w:rsidR="00753C75" w:rsidRPr="00AB729D">
        <w:rPr>
          <w:color w:val="auto"/>
        </w:rPr>
        <w:t>estimate this regression for each year and industry</w:t>
      </w:r>
      <w:r w:rsidR="001C20CD" w:rsidRPr="00AB729D">
        <w:rPr>
          <w:rStyle w:val="FootnoteReference"/>
          <w:color w:val="auto"/>
        </w:rPr>
        <w:footnoteReference w:id="3"/>
      </w:r>
      <w:r w:rsidR="00753C75" w:rsidRPr="00AB729D">
        <w:rPr>
          <w:color w:val="auto"/>
        </w:rPr>
        <w:t xml:space="preserve"> and </w:t>
      </w:r>
      <w:r w:rsidR="00B3404A" w:rsidRPr="00AB729D">
        <w:rPr>
          <w:color w:val="auto"/>
        </w:rPr>
        <w:t xml:space="preserve">we </w:t>
      </w:r>
      <w:r w:rsidR="00753C75" w:rsidRPr="00AB729D">
        <w:rPr>
          <w:color w:val="auto"/>
        </w:rPr>
        <w:t>use the residuals (</w:t>
      </w:r>
      <m:oMath>
        <m:sSub>
          <m:sSubPr>
            <m:ctrlPr>
              <w:rPr>
                <w:rFonts w:ascii="Cambria Math" w:hAnsi="Cambria Math"/>
                <w:i/>
                <w:color w:val="auto"/>
              </w:rPr>
            </m:ctrlPr>
          </m:sSubPr>
          <m:e>
            <m:r>
              <w:rPr>
                <w:rFonts w:ascii="Cambria Math" w:hAnsi="Cambria Math"/>
                <w:color w:val="auto"/>
              </w:rPr>
              <m:t>ε</m:t>
            </m:r>
          </m:e>
          <m:sub>
            <m:r>
              <w:rPr>
                <w:rFonts w:ascii="Cambria Math" w:hAnsi="Cambria Math"/>
                <w:color w:val="auto"/>
              </w:rPr>
              <m:t>it</m:t>
            </m:r>
          </m:sub>
        </m:sSub>
      </m:oMath>
      <w:r w:rsidR="00753C75" w:rsidRPr="00AB729D">
        <w:rPr>
          <w:color w:val="auto"/>
        </w:rPr>
        <w:t xml:space="preserve">) from these regressions as </w:t>
      </w:r>
      <w:r w:rsidR="00B232BC" w:rsidRPr="00AB729D">
        <w:rPr>
          <w:color w:val="auto"/>
        </w:rPr>
        <w:t xml:space="preserve">the </w:t>
      </w:r>
      <w:r w:rsidR="00753C75" w:rsidRPr="00AB729D">
        <w:rPr>
          <w:color w:val="auto"/>
        </w:rPr>
        <w:t>first proxy for measuring equity mispricing</w:t>
      </w:r>
      <w:r w:rsidRPr="00AB729D">
        <w:rPr>
          <w:color w:val="auto"/>
        </w:rPr>
        <w:t xml:space="preserve"> (</w:t>
      </w:r>
      <w:r w:rsidRPr="00AB729D">
        <w:rPr>
          <w:i/>
          <w:color w:val="auto"/>
        </w:rPr>
        <w:t>EXVRK</w:t>
      </w:r>
      <w:r w:rsidRPr="00AB729D">
        <w:rPr>
          <w:color w:val="auto"/>
        </w:rPr>
        <w:t>)</w:t>
      </w:r>
      <w:r w:rsidR="00753C75" w:rsidRPr="00AB729D">
        <w:rPr>
          <w:color w:val="auto"/>
        </w:rPr>
        <w:t xml:space="preserve">. </w:t>
      </w:r>
    </w:p>
    <w:p w14:paraId="751DA24B" w14:textId="51DC3153" w:rsidR="00753C75" w:rsidRPr="00AB729D" w:rsidRDefault="000308F6" w:rsidP="0054208D">
      <w:pPr>
        <w:spacing w:after="160" w:line="480" w:lineRule="auto"/>
        <w:ind w:firstLine="720"/>
        <w:rPr>
          <w:rFonts w:ascii="Times New Roman" w:hAnsi="Times New Roman"/>
          <w:sz w:val="24"/>
          <w:szCs w:val="24"/>
        </w:rPr>
      </w:pPr>
      <w:bookmarkStart w:id="6" w:name="_Hlk66565997"/>
      <w:r w:rsidRPr="00AB729D">
        <w:rPr>
          <w:rFonts w:ascii="Times New Roman" w:hAnsi="Times New Roman"/>
          <w:sz w:val="24"/>
          <w:szCs w:val="24"/>
        </w:rPr>
        <w:t>The second method to compute eq</w:t>
      </w:r>
      <w:r w:rsidR="007D5E83" w:rsidRPr="00AB729D">
        <w:rPr>
          <w:rFonts w:ascii="Times New Roman" w:hAnsi="Times New Roman"/>
          <w:sz w:val="24"/>
          <w:szCs w:val="24"/>
        </w:rPr>
        <w:t>uity mispricing</w:t>
      </w:r>
      <w:r w:rsidR="00392A7A">
        <w:rPr>
          <w:rFonts w:ascii="Times New Roman" w:hAnsi="Times New Roman"/>
          <w:sz w:val="24"/>
          <w:szCs w:val="24"/>
        </w:rPr>
        <w:t xml:space="preserve"> </w:t>
      </w:r>
      <w:bookmarkEnd w:id="6"/>
      <w:r w:rsidR="007D5E83" w:rsidRPr="00AB729D">
        <w:rPr>
          <w:rFonts w:ascii="Times New Roman" w:hAnsi="Times New Roman"/>
          <w:sz w:val="24"/>
          <w:szCs w:val="24"/>
        </w:rPr>
        <w:t>, EXVIA</w:t>
      </w:r>
      <w:r w:rsidR="00392A7A">
        <w:rPr>
          <w:rFonts w:ascii="Times New Roman" w:hAnsi="Times New Roman"/>
          <w:sz w:val="24"/>
          <w:szCs w:val="24"/>
        </w:rPr>
        <w:t xml:space="preserve"> (</w:t>
      </w:r>
      <w:r w:rsidR="00392A7A" w:rsidRPr="00AB729D">
        <w:rPr>
          <w:rFonts w:ascii="Times New Roman" w:eastAsiaTheme="minorHAnsi" w:hAnsi="Times New Roman"/>
          <w:sz w:val="24"/>
          <w:szCs w:val="24"/>
        </w:rPr>
        <w:t>Lin et al. 2010</w:t>
      </w:r>
      <w:r w:rsidR="00392A7A">
        <w:rPr>
          <w:rFonts w:ascii="Times New Roman" w:hAnsi="Times New Roman"/>
          <w:sz w:val="24"/>
          <w:szCs w:val="24"/>
        </w:rPr>
        <w:t>)</w:t>
      </w:r>
      <w:r w:rsidR="007D5E83" w:rsidRPr="00AB729D">
        <w:rPr>
          <w:rFonts w:ascii="Times New Roman" w:hAnsi="Times New Roman"/>
          <w:sz w:val="24"/>
          <w:szCs w:val="24"/>
        </w:rPr>
        <w:t xml:space="preserve">, </w:t>
      </w:r>
      <w:r w:rsidR="00392A7A">
        <w:rPr>
          <w:rFonts w:ascii="Times New Roman" w:hAnsi="Times New Roman"/>
          <w:sz w:val="24"/>
          <w:szCs w:val="24"/>
        </w:rPr>
        <w:t xml:space="preserve">is </w:t>
      </w:r>
      <w:r w:rsidR="007D5E83" w:rsidRPr="00AB729D">
        <w:rPr>
          <w:rFonts w:ascii="Times New Roman" w:hAnsi="Times New Roman"/>
          <w:sz w:val="24"/>
          <w:szCs w:val="24"/>
        </w:rPr>
        <w:t xml:space="preserve">the </w:t>
      </w:r>
      <w:r w:rsidR="00753C75" w:rsidRPr="00AB729D">
        <w:rPr>
          <w:rFonts w:ascii="Times New Roman" w:hAnsi="Times New Roman"/>
          <w:sz w:val="24"/>
          <w:szCs w:val="24"/>
        </w:rPr>
        <w:t>natural log of the ratio between a firm’s capital and its imputed value</w:t>
      </w:r>
      <w:r w:rsidR="00D3589C" w:rsidRPr="00AB729D">
        <w:rPr>
          <w:rFonts w:ascii="Times New Roman" w:hAnsi="Times New Roman"/>
          <w:sz w:val="24"/>
          <w:szCs w:val="24"/>
        </w:rPr>
        <w:t>, and it</w:t>
      </w:r>
      <w:r w:rsidR="00753C75" w:rsidRPr="00AB729D">
        <w:rPr>
          <w:rFonts w:ascii="Times New Roman" w:hAnsi="Times New Roman"/>
          <w:sz w:val="24"/>
          <w:szCs w:val="24"/>
        </w:rPr>
        <w:t xml:space="preserve"> </w:t>
      </w:r>
      <w:r w:rsidR="00A031EE" w:rsidRPr="00AB729D">
        <w:rPr>
          <w:rFonts w:ascii="Times New Roman" w:hAnsi="Times New Roman"/>
          <w:sz w:val="24"/>
          <w:szCs w:val="24"/>
        </w:rPr>
        <w:t xml:space="preserve">is computed </w:t>
      </w:r>
      <w:r w:rsidR="00F16D07" w:rsidRPr="00AB729D">
        <w:rPr>
          <w:rFonts w:ascii="Times New Roman" w:hAnsi="Times New Roman"/>
          <w:sz w:val="24"/>
          <w:szCs w:val="24"/>
        </w:rPr>
        <w:t>as follows:</w:t>
      </w:r>
    </w:p>
    <w:p w14:paraId="0CE80924" w14:textId="77777777" w:rsidR="00753C75" w:rsidRPr="00AB729D" w:rsidRDefault="00476E5F" w:rsidP="001C20CD">
      <w:pPr>
        <w:spacing w:line="480" w:lineRule="auto"/>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EXVIA</m:t>
            </m:r>
          </m:e>
          <m:sub>
            <m:r>
              <w:rPr>
                <w:rFonts w:ascii="Cambria Math" w:hAnsi="Cambria Math"/>
                <w:sz w:val="24"/>
                <w:szCs w:val="24"/>
              </w:rPr>
              <m:t>it</m:t>
            </m:r>
          </m:sub>
        </m:sSub>
      </m:oMath>
      <w:r w:rsidR="00753C75" w:rsidRPr="00AB729D">
        <w:rPr>
          <w:rFonts w:ascii="Times New Roman" w:eastAsiaTheme="minorEastAsia" w:hAnsi="Times New Roman"/>
          <w:sz w:val="24"/>
          <w:szCs w:val="24"/>
        </w:rPr>
        <w:t xml:space="preserve"> = ln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CPTL</m:t>
                </m:r>
              </m:e>
              <m:sub>
                <m:r>
                  <w:rPr>
                    <w:rFonts w:ascii="Cambria Math" w:hAnsi="Cambria Math"/>
                    <w:sz w:val="24"/>
                    <w:szCs w:val="24"/>
                  </w:rPr>
                  <m:t>it</m:t>
                </m:r>
              </m:sub>
            </m:sSub>
            <m:ctrlPr>
              <w:rPr>
                <w:rFonts w:ascii="Cambria Math" w:eastAsiaTheme="minorEastAsia" w:hAnsi="Cambria Math"/>
                <w:i/>
                <w:sz w:val="24"/>
                <w:szCs w:val="24"/>
              </w:rPr>
            </m:ctrlPr>
          </m:num>
          <m:den>
            <m:sSub>
              <m:sSubPr>
                <m:ctrlPr>
                  <w:rPr>
                    <w:rFonts w:ascii="Cambria Math" w:hAnsi="Cambria Math"/>
                    <w:i/>
                    <w:sz w:val="24"/>
                    <w:szCs w:val="24"/>
                  </w:rPr>
                </m:ctrlPr>
              </m:sSubPr>
              <m:e>
                <m:r>
                  <w:rPr>
                    <w:rFonts w:ascii="Cambria Math" w:hAnsi="Cambria Math"/>
                    <w:sz w:val="24"/>
                    <w:szCs w:val="24"/>
                  </w:rPr>
                  <m:t>ICPTL</m:t>
                </m:r>
              </m:e>
              <m:sub>
                <m:r>
                  <w:rPr>
                    <w:rFonts w:ascii="Cambria Math" w:hAnsi="Cambria Math"/>
                    <w:sz w:val="24"/>
                    <w:szCs w:val="24"/>
                  </w:rPr>
                  <m:t>it</m:t>
                </m:r>
              </m:sub>
            </m:sSub>
            <m:r>
              <m:rPr>
                <m:sty m:val="p"/>
              </m:rPr>
              <w:rPr>
                <w:rFonts w:ascii="Cambria Math" w:eastAsiaTheme="minorEastAsia" w:hAnsi="Cambria Math"/>
                <w:sz w:val="24"/>
                <w:szCs w:val="24"/>
              </w:rPr>
              <m:t xml:space="preserve"> </m:t>
            </m:r>
          </m:den>
        </m:f>
      </m:oMath>
      <w:r w:rsidR="00753C75" w:rsidRPr="00AB729D">
        <w:rPr>
          <w:rFonts w:ascii="Times New Roman" w:eastAsiaTheme="minorEastAsia" w:hAnsi="Times New Roman"/>
          <w:sz w:val="24"/>
          <w:szCs w:val="24"/>
        </w:rPr>
        <w:t xml:space="preserve">],                                                   </w:t>
      </w:r>
      <w:r w:rsidR="001C20CD" w:rsidRPr="00AB729D">
        <w:rPr>
          <w:rFonts w:ascii="Times New Roman" w:eastAsiaTheme="minorEastAsia" w:hAnsi="Times New Roman"/>
          <w:sz w:val="24"/>
          <w:szCs w:val="24"/>
        </w:rPr>
        <w:t xml:space="preserve">       </w:t>
      </w:r>
      <w:r w:rsidR="00753C75" w:rsidRPr="00AB729D">
        <w:rPr>
          <w:rFonts w:ascii="Times New Roman" w:eastAsiaTheme="minorEastAsia" w:hAnsi="Times New Roman"/>
          <w:sz w:val="24"/>
          <w:szCs w:val="24"/>
        </w:rPr>
        <w:t xml:space="preserve">                             </w:t>
      </w:r>
      <w:r w:rsidR="001C20CD" w:rsidRPr="00AB729D">
        <w:rPr>
          <w:rFonts w:ascii="Times New Roman" w:eastAsiaTheme="minorEastAsia" w:hAnsi="Times New Roman"/>
          <w:sz w:val="24"/>
          <w:szCs w:val="24"/>
        </w:rPr>
        <w:t xml:space="preserve">                              (4</w:t>
      </w:r>
      <w:r w:rsidR="00753C75" w:rsidRPr="00AB729D">
        <w:rPr>
          <w:rFonts w:ascii="Times New Roman" w:eastAsiaTheme="minorEastAsia" w:hAnsi="Times New Roman"/>
          <w:sz w:val="24"/>
          <w:szCs w:val="24"/>
        </w:rPr>
        <w:t>)</w:t>
      </w:r>
    </w:p>
    <w:p w14:paraId="3CB36127" w14:textId="7594FEF2" w:rsidR="00753C75" w:rsidRPr="00AB729D" w:rsidRDefault="00F16D07" w:rsidP="00305399">
      <w:pPr>
        <w:spacing w:line="480" w:lineRule="auto"/>
        <w:rPr>
          <w:rFonts w:ascii="Times New Roman" w:eastAsiaTheme="minorHAnsi" w:hAnsi="Times New Roman"/>
          <w:sz w:val="24"/>
          <w:szCs w:val="24"/>
        </w:rPr>
      </w:pPr>
      <w:r w:rsidRPr="00AB729D">
        <w:rPr>
          <w:rFonts w:ascii="Times New Roman" w:hAnsi="Times New Roman"/>
          <w:sz w:val="24"/>
          <w:szCs w:val="24"/>
        </w:rPr>
        <w:lastRenderedPageBreak/>
        <w:t>w</w:t>
      </w:r>
      <w:r w:rsidR="00753C75" w:rsidRPr="00AB729D">
        <w:rPr>
          <w:rFonts w:ascii="Times New Roman" w:hAnsi="Times New Roman"/>
          <w:sz w:val="24"/>
          <w:szCs w:val="24"/>
        </w:rPr>
        <w:t xml:space="preserve">here </w:t>
      </w:r>
      <m:oMath>
        <m:sSub>
          <m:sSubPr>
            <m:ctrlPr>
              <w:rPr>
                <w:rFonts w:ascii="Cambria Math" w:hAnsi="Cambria Math"/>
                <w:sz w:val="24"/>
                <w:szCs w:val="24"/>
              </w:rPr>
            </m:ctrlPr>
          </m:sSubPr>
          <m:e>
            <m:r>
              <w:rPr>
                <w:rFonts w:ascii="Cambria Math" w:hAnsi="Cambria Math"/>
                <w:sz w:val="24"/>
                <w:szCs w:val="24"/>
              </w:rPr>
              <m:t>CPTL</m:t>
            </m:r>
          </m:e>
          <m:sub>
            <m:r>
              <w:rPr>
                <w:rFonts w:ascii="Cambria Math" w:hAnsi="Cambria Math"/>
                <w:sz w:val="24"/>
                <w:szCs w:val="24"/>
              </w:rPr>
              <m:t>it</m:t>
            </m:r>
          </m:sub>
        </m:sSub>
      </m:oMath>
      <w:r w:rsidR="00753C75" w:rsidRPr="00AB729D">
        <w:rPr>
          <w:rFonts w:ascii="Times New Roman" w:hAnsi="Times New Roman"/>
          <w:sz w:val="24"/>
          <w:szCs w:val="24"/>
        </w:rPr>
        <w:t xml:space="preserve"> is total capital, </w:t>
      </w:r>
      <w:r w:rsidR="007E4D27" w:rsidRPr="00AB729D">
        <w:rPr>
          <w:rFonts w:ascii="Times New Roman" w:hAnsi="Times New Roman"/>
          <w:sz w:val="24"/>
          <w:szCs w:val="24"/>
        </w:rPr>
        <w:t>measured as</w:t>
      </w:r>
      <w:r w:rsidR="00753C75" w:rsidRPr="00AB729D">
        <w:rPr>
          <w:rFonts w:ascii="Times New Roman" w:hAnsi="Times New Roman"/>
          <w:sz w:val="24"/>
          <w:szCs w:val="24"/>
        </w:rPr>
        <w:t xml:space="preserve"> the market value of equity plus book value of debt, </w:t>
      </w:r>
      <w:r w:rsidR="007E4D27" w:rsidRPr="00AB729D">
        <w:rPr>
          <w:rFonts w:ascii="Times New Roman" w:hAnsi="Times New Roman"/>
          <w:sz w:val="24"/>
          <w:szCs w:val="24"/>
        </w:rPr>
        <w:t xml:space="preserve">and </w:t>
      </w:r>
      <m:oMath>
        <m:sSub>
          <m:sSubPr>
            <m:ctrlPr>
              <w:rPr>
                <w:rFonts w:ascii="Cambria Math" w:hAnsi="Cambria Math"/>
                <w:sz w:val="24"/>
                <w:szCs w:val="24"/>
              </w:rPr>
            </m:ctrlPr>
          </m:sSubPr>
          <m:e>
            <m:r>
              <w:rPr>
                <w:rFonts w:ascii="Cambria Math" w:hAnsi="Cambria Math"/>
                <w:sz w:val="24"/>
                <w:szCs w:val="24"/>
              </w:rPr>
              <m:t>ICPTL</m:t>
            </m:r>
          </m:e>
          <m:sub>
            <m:r>
              <w:rPr>
                <w:rFonts w:ascii="Cambria Math" w:hAnsi="Cambria Math"/>
                <w:sz w:val="24"/>
                <w:szCs w:val="24"/>
              </w:rPr>
              <m:t>it</m:t>
            </m:r>
          </m:sub>
        </m:sSub>
      </m:oMath>
      <w:r w:rsidR="00753C75" w:rsidRPr="00AB729D">
        <w:rPr>
          <w:rFonts w:ascii="Times New Roman" w:hAnsi="Times New Roman"/>
          <w:sz w:val="24"/>
          <w:szCs w:val="24"/>
        </w:rPr>
        <w:t xml:space="preserve"> is the imputed value derived as the product of firm size (market value of common equity) and the median capital</w:t>
      </w:r>
      <w:r w:rsidRPr="00AB729D">
        <w:rPr>
          <w:rFonts w:ascii="Times New Roman" w:hAnsi="Times New Roman"/>
          <w:sz w:val="24"/>
          <w:szCs w:val="24"/>
        </w:rPr>
        <w:t>-</w:t>
      </w:r>
      <w:r w:rsidR="00753C75" w:rsidRPr="00AB729D">
        <w:rPr>
          <w:rFonts w:ascii="Times New Roman" w:hAnsi="Times New Roman"/>
          <w:sz w:val="24"/>
          <w:szCs w:val="24"/>
        </w:rPr>
        <w:t>to</w:t>
      </w:r>
      <w:r w:rsidRPr="00AB729D">
        <w:rPr>
          <w:rFonts w:ascii="Times New Roman" w:hAnsi="Times New Roman"/>
          <w:sz w:val="24"/>
          <w:szCs w:val="24"/>
        </w:rPr>
        <w:t>-</w:t>
      </w:r>
      <w:r w:rsidR="00753C75" w:rsidRPr="00AB729D">
        <w:rPr>
          <w:rFonts w:ascii="Times New Roman" w:hAnsi="Times New Roman"/>
          <w:sz w:val="24"/>
          <w:szCs w:val="24"/>
        </w:rPr>
        <w:t>si</w:t>
      </w:r>
      <w:r w:rsidR="001C20CD" w:rsidRPr="00AB729D">
        <w:rPr>
          <w:rFonts w:ascii="Times New Roman" w:hAnsi="Times New Roman"/>
          <w:sz w:val="24"/>
          <w:szCs w:val="24"/>
        </w:rPr>
        <w:t>ze ratio in the firm’s industry.</w:t>
      </w:r>
      <w:r w:rsidR="001C20CD" w:rsidRPr="00AB729D">
        <w:rPr>
          <w:rStyle w:val="FootnoteReference"/>
          <w:rFonts w:ascii="Times New Roman" w:hAnsi="Times New Roman"/>
          <w:sz w:val="24"/>
          <w:szCs w:val="24"/>
        </w:rPr>
        <w:footnoteReference w:id="4"/>
      </w:r>
    </w:p>
    <w:p w14:paraId="091E091C" w14:textId="3A30AE23" w:rsidR="00B50516" w:rsidRPr="00AB729D" w:rsidRDefault="007E4D27" w:rsidP="00C4120C">
      <w:pPr>
        <w:pStyle w:val="ListParagraph"/>
        <w:numPr>
          <w:ilvl w:val="1"/>
          <w:numId w:val="14"/>
        </w:numPr>
        <w:rPr>
          <w:rFonts w:ascii="Times New Roman" w:hAnsi="Times New Roman"/>
          <w:b/>
          <w:sz w:val="24"/>
          <w:szCs w:val="24"/>
        </w:rPr>
      </w:pPr>
      <w:r w:rsidRPr="00AB729D">
        <w:rPr>
          <w:rFonts w:ascii="Times New Roman" w:hAnsi="Times New Roman"/>
          <w:b/>
          <w:sz w:val="24"/>
          <w:szCs w:val="24"/>
        </w:rPr>
        <w:t>Regression Analysis</w:t>
      </w:r>
    </w:p>
    <w:p w14:paraId="60503356" w14:textId="2B34334E" w:rsidR="00753C75" w:rsidRPr="00AB729D" w:rsidRDefault="007E4D27" w:rsidP="00753C75">
      <w:pPr>
        <w:spacing w:line="480" w:lineRule="auto"/>
        <w:ind w:firstLine="720"/>
        <w:rPr>
          <w:rFonts w:ascii="Times New Roman" w:hAnsi="Times New Roman"/>
          <w:sz w:val="24"/>
          <w:szCs w:val="24"/>
        </w:rPr>
      </w:pPr>
      <w:r w:rsidRPr="00AB729D">
        <w:rPr>
          <w:rFonts w:ascii="Times New Roman" w:hAnsi="Times New Roman"/>
          <w:sz w:val="24"/>
          <w:szCs w:val="24"/>
        </w:rPr>
        <w:t xml:space="preserve">We </w:t>
      </w:r>
      <w:r w:rsidR="00753C75" w:rsidRPr="00AB729D">
        <w:rPr>
          <w:rFonts w:ascii="Times New Roman" w:hAnsi="Times New Roman"/>
          <w:sz w:val="24"/>
          <w:szCs w:val="24"/>
        </w:rPr>
        <w:t xml:space="preserve">run the following </w:t>
      </w:r>
      <w:r w:rsidRPr="00AB729D">
        <w:rPr>
          <w:rFonts w:ascii="Times New Roman" w:hAnsi="Times New Roman"/>
          <w:sz w:val="24"/>
          <w:szCs w:val="24"/>
        </w:rPr>
        <w:t xml:space="preserve">ordinary least squares (OLS) </w:t>
      </w:r>
      <w:r w:rsidR="00753C75" w:rsidRPr="00AB729D">
        <w:rPr>
          <w:rFonts w:ascii="Times New Roman" w:hAnsi="Times New Roman"/>
          <w:sz w:val="24"/>
          <w:szCs w:val="24"/>
        </w:rPr>
        <w:t>regression to examine the impact of institutional ownership volatility</w:t>
      </w:r>
      <w:r w:rsidRPr="00AB729D">
        <w:rPr>
          <w:rFonts w:ascii="Times New Roman" w:hAnsi="Times New Roman"/>
          <w:sz w:val="24"/>
          <w:szCs w:val="24"/>
        </w:rPr>
        <w:t xml:space="preserve"> (IOV)</w:t>
      </w:r>
      <w:r w:rsidR="00753C75" w:rsidRPr="00AB729D">
        <w:rPr>
          <w:rFonts w:ascii="Times New Roman" w:hAnsi="Times New Roman"/>
          <w:sz w:val="24"/>
          <w:szCs w:val="24"/>
        </w:rPr>
        <w:t xml:space="preserve"> on equity mispricing</w:t>
      </w:r>
      <w:r w:rsidRPr="00AB729D">
        <w:rPr>
          <w:rFonts w:ascii="Times New Roman" w:hAnsi="Times New Roman"/>
          <w:sz w:val="24"/>
          <w:szCs w:val="24"/>
        </w:rPr>
        <w:t xml:space="preserve"> (EXVRK and EXVIA in separate regressions)</w:t>
      </w:r>
      <w:r w:rsidR="00753C75" w:rsidRPr="00AB729D">
        <w:rPr>
          <w:rFonts w:ascii="Times New Roman" w:hAnsi="Times New Roman"/>
          <w:sz w:val="24"/>
          <w:szCs w:val="24"/>
        </w:rPr>
        <w:t>:</w:t>
      </w:r>
    </w:p>
    <w:p w14:paraId="7FCE64F9" w14:textId="77777777" w:rsidR="00753C75" w:rsidRPr="00AB729D" w:rsidRDefault="00476E5F" w:rsidP="001C20CD">
      <w:pPr>
        <w:spacing w:line="480" w:lineRule="auto"/>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EXVRK</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r>
              <m:rPr>
                <m:sty m:val="p"/>
              </m:rPr>
              <w:rPr>
                <w:rFonts w:ascii="Cambria Math" w:hAnsi="Cambria Math"/>
                <w:sz w:val="24"/>
                <w:szCs w:val="24"/>
              </w:rPr>
              <m:t>+1</m:t>
            </m:r>
          </m:sub>
        </m:sSub>
      </m:oMath>
      <w:r w:rsidR="00753C75" w:rsidRPr="00AB729D">
        <w:rPr>
          <w:rFonts w:ascii="Times New Roman" w:hAnsi="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EXVIA</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r>
              <m:rPr>
                <m:sty m:val="p"/>
              </m:rPr>
              <w:rPr>
                <w:rFonts w:ascii="Cambria Math" w:hAnsi="Cambria Math"/>
                <w:sz w:val="24"/>
                <w:szCs w:val="24"/>
              </w:rPr>
              <m:t>+1</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α</m:t>
            </m:r>
          </m:e>
          <m:sub>
            <m:r>
              <m:rPr>
                <m:sty m:val="p"/>
              </m:rPr>
              <w:rPr>
                <w:rFonts w:ascii="Cambria Math" w:hAnsi="Cambria Math"/>
                <w:sz w:val="24"/>
                <w:szCs w:val="24"/>
              </w:rPr>
              <m:t>0</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β</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IOV</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β</m:t>
            </m:r>
          </m:e>
          <m:sub>
            <m:r>
              <m:rPr>
                <m:sty m:val="p"/>
              </m:rP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PROP</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β</m:t>
            </m:r>
          </m:e>
          <m:sub>
            <m:r>
              <m:rPr>
                <m:sty m:val="p"/>
              </m:rPr>
              <w:rPr>
                <w:rFonts w:ascii="Cambria Math" w:hAnsi="Cambria Math"/>
                <w:sz w:val="24"/>
                <w:szCs w:val="24"/>
              </w:rPr>
              <m:t>3</m:t>
            </m:r>
          </m:sub>
        </m:sSub>
        <m:sSub>
          <m:sSubPr>
            <m:ctrlPr>
              <w:rPr>
                <w:rFonts w:ascii="Cambria Math" w:hAnsi="Cambria Math"/>
                <w:sz w:val="24"/>
                <w:szCs w:val="24"/>
              </w:rPr>
            </m:ctrlPr>
          </m:sSubPr>
          <m:e>
            <m:r>
              <w:rPr>
                <w:rFonts w:ascii="Cambria Math" w:hAnsi="Cambria Math"/>
                <w:sz w:val="24"/>
                <w:szCs w:val="24"/>
              </w:rPr>
              <m:t>LN</m:t>
            </m:r>
            <m:r>
              <m:rPr>
                <m:sty m:val="p"/>
              </m:rPr>
              <w:rPr>
                <w:rFonts w:ascii="Cambria Math" w:hAnsi="Cambria Math"/>
                <w:sz w:val="24"/>
                <w:szCs w:val="24"/>
              </w:rPr>
              <m:t>_</m:t>
            </m:r>
            <m:r>
              <w:rPr>
                <w:rFonts w:ascii="Cambria Math" w:hAnsi="Cambria Math"/>
                <w:sz w:val="24"/>
                <w:szCs w:val="24"/>
              </w:rPr>
              <m:t>SALE</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β</m:t>
            </m:r>
          </m:e>
          <m:sub>
            <m:r>
              <m:rPr>
                <m:sty m:val="p"/>
              </m:rPr>
              <w:rPr>
                <w:rFonts w:ascii="Cambria Math" w:hAnsi="Cambria Math"/>
                <w:sz w:val="24"/>
                <w:szCs w:val="24"/>
              </w:rPr>
              <m:t>4</m:t>
            </m:r>
          </m:sub>
        </m:sSub>
        <m:sSub>
          <m:sSubPr>
            <m:ctrlPr>
              <w:rPr>
                <w:rFonts w:ascii="Cambria Math" w:hAnsi="Cambria Math"/>
                <w:sz w:val="24"/>
                <w:szCs w:val="24"/>
              </w:rPr>
            </m:ctrlPr>
          </m:sSubPr>
          <m:e>
            <m:r>
              <w:rPr>
                <w:rFonts w:ascii="Cambria Math" w:hAnsi="Cambria Math"/>
                <w:sz w:val="24"/>
                <w:szCs w:val="24"/>
              </w:rPr>
              <m:t>LEV</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β</m:t>
            </m:r>
          </m:e>
          <m:sub>
            <m:r>
              <m:rPr>
                <m:sty m:val="p"/>
              </m:rPr>
              <w:rPr>
                <w:rFonts w:ascii="Cambria Math" w:hAnsi="Cambria Math"/>
                <w:sz w:val="24"/>
                <w:szCs w:val="24"/>
              </w:rPr>
              <m:t>5</m:t>
            </m:r>
          </m:sub>
        </m:sSub>
        <m:sSub>
          <m:sSubPr>
            <m:ctrlPr>
              <w:rPr>
                <w:rFonts w:ascii="Cambria Math" w:hAnsi="Cambria Math"/>
                <w:sz w:val="24"/>
                <w:szCs w:val="24"/>
              </w:rPr>
            </m:ctrlPr>
          </m:sSubPr>
          <m:e>
            <m:r>
              <w:rPr>
                <w:rFonts w:ascii="Cambria Math" w:hAnsi="Cambria Math"/>
                <w:sz w:val="24"/>
                <w:szCs w:val="24"/>
              </w:rPr>
              <m:t>LN</m:t>
            </m:r>
            <m:r>
              <m:rPr>
                <m:sty m:val="p"/>
              </m:rPr>
              <w:rPr>
                <w:rFonts w:ascii="Cambria Math" w:hAnsi="Cambria Math"/>
                <w:sz w:val="24"/>
                <w:szCs w:val="24"/>
              </w:rPr>
              <m:t>_</m:t>
            </m:r>
            <m:r>
              <w:rPr>
                <w:rFonts w:ascii="Cambria Math" w:hAnsi="Cambria Math"/>
                <w:sz w:val="24"/>
                <w:szCs w:val="24"/>
              </w:rPr>
              <m:t>AGE</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sub>
        </m:sSub>
      </m:oMath>
      <w:r w:rsidR="00753C75" w:rsidRPr="00AB729D">
        <w:rPr>
          <w:rFonts w:ascii="Times New Roman" w:hAnsi="Times New Roman"/>
          <w:sz w:val="24"/>
          <w:szCs w:val="24"/>
          <w:rtl/>
        </w:rPr>
        <w:t xml:space="preserve"> </w:t>
      </w:r>
      <w:r w:rsidR="00753C75" w:rsidRPr="00AB729D">
        <w:rPr>
          <w:rFonts w:ascii="Times New Roman" w:hAnsi="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m:rPr>
                <m:sty m:val="p"/>
              </m:rPr>
              <w:rPr>
                <w:rFonts w:ascii="Cambria Math" w:hAnsi="Cambria Math"/>
                <w:sz w:val="24"/>
                <w:szCs w:val="24"/>
              </w:rPr>
              <m:t>6</m:t>
            </m:r>
          </m:sub>
        </m:sSub>
        <m:sSub>
          <m:sSubPr>
            <m:ctrlPr>
              <w:rPr>
                <w:rFonts w:ascii="Cambria Math" w:hAnsi="Cambria Math"/>
                <w:sz w:val="24"/>
                <w:szCs w:val="24"/>
              </w:rPr>
            </m:ctrlPr>
          </m:sSubPr>
          <m:e>
            <m:r>
              <w:rPr>
                <w:rFonts w:ascii="Cambria Math" w:hAnsi="Cambria Math"/>
                <w:sz w:val="24"/>
                <w:szCs w:val="24"/>
              </w:rPr>
              <m:t>ROA</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β</m:t>
            </m:r>
          </m:e>
          <m:sub>
            <m:r>
              <m:rPr>
                <m:sty m:val="p"/>
              </m:rPr>
              <w:rPr>
                <w:rFonts w:ascii="Cambria Math" w:hAnsi="Cambria Math"/>
                <w:sz w:val="24"/>
                <w:szCs w:val="24"/>
              </w:rPr>
              <m:t>7</m:t>
            </m:r>
          </m:sub>
        </m:sSub>
        <m:sSub>
          <m:sSubPr>
            <m:ctrlPr>
              <w:rPr>
                <w:rFonts w:ascii="Cambria Math" w:hAnsi="Cambria Math"/>
                <w:sz w:val="24"/>
                <w:szCs w:val="24"/>
              </w:rPr>
            </m:ctrlPr>
          </m:sSubPr>
          <m:e>
            <m:r>
              <w:rPr>
                <w:rFonts w:ascii="Cambria Math" w:hAnsi="Cambria Math"/>
                <w:sz w:val="24"/>
                <w:szCs w:val="24"/>
              </w:rPr>
              <m:t>DY</m:t>
            </m:r>
          </m:e>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t</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YEAR</m:t>
            </m:r>
          </m:e>
          <m:sub>
            <m:r>
              <w:rPr>
                <w:rFonts w:ascii="Cambria Math" w:hAnsi="Cambria Math"/>
                <w:sz w:val="24"/>
                <w:szCs w:val="24"/>
              </w:rPr>
              <m:t>t</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INDUSTRY</m:t>
            </m:r>
          </m:e>
          <m:sub>
            <m:r>
              <w:rPr>
                <w:rFonts w:ascii="Cambria Math" w:hAnsi="Cambria Math"/>
                <w:sz w:val="24"/>
                <w:szCs w:val="24"/>
              </w:rPr>
              <m:t>i</m:t>
            </m:r>
          </m:sub>
        </m:sSub>
      </m:oMath>
      <w:r w:rsidR="00753C75" w:rsidRPr="00AB729D">
        <w:rPr>
          <w:rFonts w:ascii="Times New Roman" w:hAnsi="Times New Roman"/>
          <w:sz w:val="24"/>
          <w:szCs w:val="24"/>
        </w:rPr>
        <w:t xml:space="preserve"> + </w:t>
      </w:r>
      <m:oMath>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t</m:t>
            </m:r>
          </m:sub>
        </m:sSub>
      </m:oMath>
      <w:r w:rsidR="00753C75" w:rsidRPr="00AB729D">
        <w:rPr>
          <w:rFonts w:ascii="Times New Roman" w:hAnsi="Times New Roman"/>
          <w:sz w:val="24"/>
          <w:szCs w:val="24"/>
        </w:rPr>
        <w:t xml:space="preserve">                                </w:t>
      </w:r>
      <w:r w:rsidR="001C20CD" w:rsidRPr="00AB729D">
        <w:rPr>
          <w:rFonts w:ascii="Times New Roman" w:hAnsi="Times New Roman"/>
          <w:sz w:val="24"/>
          <w:szCs w:val="24"/>
        </w:rPr>
        <w:t xml:space="preserve">                              (5</w:t>
      </w:r>
      <w:r w:rsidR="00753C75" w:rsidRPr="00AB729D">
        <w:rPr>
          <w:rFonts w:ascii="Times New Roman" w:hAnsi="Times New Roman"/>
          <w:sz w:val="24"/>
          <w:szCs w:val="24"/>
        </w:rPr>
        <w:t>)</w:t>
      </w:r>
    </w:p>
    <w:p w14:paraId="46761870" w14:textId="01A5E64F" w:rsidR="00753C75" w:rsidRPr="00AB729D" w:rsidRDefault="005E6EBE" w:rsidP="00305399">
      <w:pPr>
        <w:spacing w:line="480" w:lineRule="auto"/>
        <w:rPr>
          <w:rFonts w:asciiTheme="majorBidi" w:hAnsiTheme="majorBidi" w:cstheme="majorBidi"/>
        </w:rPr>
      </w:pPr>
      <w:r w:rsidRPr="00AB729D">
        <w:rPr>
          <w:rFonts w:ascii="Times New Roman" w:hAnsi="Times New Roman"/>
          <w:sz w:val="24"/>
          <w:szCs w:val="24"/>
        </w:rPr>
        <w:t>w</w:t>
      </w:r>
      <w:r w:rsidR="00753C75" w:rsidRPr="00AB729D">
        <w:rPr>
          <w:rFonts w:ascii="Times New Roman" w:hAnsi="Times New Roman"/>
          <w:sz w:val="24"/>
          <w:szCs w:val="24"/>
        </w:rPr>
        <w:t xml:space="preserve">here </w:t>
      </w:r>
      <w:r w:rsidR="00753C75" w:rsidRPr="00AB729D">
        <w:rPr>
          <w:rFonts w:ascii="Times New Roman" w:hAnsi="Times New Roman"/>
          <w:i/>
          <w:sz w:val="24"/>
          <w:szCs w:val="24"/>
        </w:rPr>
        <w:t>i</w:t>
      </w:r>
      <w:r w:rsidR="00753C75" w:rsidRPr="00AB729D">
        <w:rPr>
          <w:rFonts w:ascii="Times New Roman" w:hAnsi="Times New Roman"/>
          <w:sz w:val="24"/>
          <w:szCs w:val="24"/>
        </w:rPr>
        <w:t xml:space="preserve"> and </w:t>
      </w:r>
      <w:r w:rsidR="00753C75" w:rsidRPr="00AB729D">
        <w:rPr>
          <w:rFonts w:ascii="Times New Roman" w:hAnsi="Times New Roman"/>
          <w:i/>
          <w:sz w:val="24"/>
          <w:szCs w:val="24"/>
        </w:rPr>
        <w:t>t</w:t>
      </w:r>
      <w:r w:rsidR="00753C75" w:rsidRPr="00AB729D">
        <w:rPr>
          <w:rFonts w:ascii="Times New Roman" w:hAnsi="Times New Roman"/>
          <w:sz w:val="24"/>
          <w:szCs w:val="24"/>
        </w:rPr>
        <w:t xml:space="preserve"> indicate firm and </w:t>
      </w:r>
      <w:r w:rsidR="007E4D27" w:rsidRPr="00AB729D">
        <w:rPr>
          <w:rFonts w:ascii="Times New Roman" w:hAnsi="Times New Roman"/>
          <w:sz w:val="24"/>
          <w:szCs w:val="24"/>
        </w:rPr>
        <w:t>year</w:t>
      </w:r>
      <w:r w:rsidR="00753C75" w:rsidRPr="00AB729D">
        <w:rPr>
          <w:rFonts w:ascii="Times New Roman" w:hAnsi="Times New Roman"/>
          <w:sz w:val="24"/>
          <w:szCs w:val="24"/>
        </w:rPr>
        <w:t xml:space="preserve">, respectively. </w:t>
      </w:r>
      <w:r w:rsidR="00753C75" w:rsidRPr="00AB729D">
        <w:rPr>
          <w:rFonts w:ascii="Times New Roman" w:hAnsi="Times New Roman"/>
          <w:i/>
          <w:sz w:val="24"/>
          <w:szCs w:val="24"/>
        </w:rPr>
        <w:t>EXVRK</w:t>
      </w:r>
      <w:r w:rsidR="00753C75" w:rsidRPr="00AB729D">
        <w:rPr>
          <w:rFonts w:ascii="Times New Roman" w:hAnsi="Times New Roman"/>
          <w:sz w:val="24"/>
          <w:szCs w:val="24"/>
        </w:rPr>
        <w:t xml:space="preserve"> </w:t>
      </w:r>
      <w:r w:rsidRPr="00AB729D">
        <w:rPr>
          <w:rFonts w:ascii="Times New Roman" w:hAnsi="Times New Roman"/>
          <w:sz w:val="24"/>
          <w:szCs w:val="24"/>
        </w:rPr>
        <w:t>and EXVIA</w:t>
      </w:r>
      <w:r w:rsidR="00753C75" w:rsidRPr="00AB729D">
        <w:rPr>
          <w:rFonts w:ascii="Times New Roman" w:hAnsi="Times New Roman"/>
          <w:sz w:val="24"/>
          <w:szCs w:val="24"/>
        </w:rPr>
        <w:t xml:space="preserve"> </w:t>
      </w:r>
      <w:r w:rsidRPr="00AB729D">
        <w:rPr>
          <w:rFonts w:ascii="Times New Roman" w:hAnsi="Times New Roman"/>
          <w:sz w:val="24"/>
          <w:szCs w:val="24"/>
        </w:rPr>
        <w:t xml:space="preserve">are two different proxies for equity mispricing as explained </w:t>
      </w:r>
      <w:r w:rsidR="007E4D27" w:rsidRPr="00AB729D">
        <w:rPr>
          <w:rFonts w:ascii="Times New Roman" w:hAnsi="Times New Roman"/>
          <w:sz w:val="24"/>
          <w:szCs w:val="24"/>
        </w:rPr>
        <w:t>in equations (3) and (4), respectively</w:t>
      </w:r>
      <w:r w:rsidR="00753C75" w:rsidRPr="00AB729D">
        <w:rPr>
          <w:rFonts w:ascii="Times New Roman" w:hAnsi="Times New Roman"/>
          <w:sz w:val="24"/>
          <w:szCs w:val="24"/>
        </w:rPr>
        <w:t xml:space="preserve">. </w:t>
      </w:r>
      <w:r w:rsidRPr="00AB729D">
        <w:rPr>
          <w:rFonts w:ascii="Times New Roman" w:hAnsi="Times New Roman"/>
          <w:sz w:val="24"/>
          <w:szCs w:val="24"/>
        </w:rPr>
        <w:t xml:space="preserve">Our main independent variables of interest are: </w:t>
      </w:r>
      <w:r w:rsidR="00753C75" w:rsidRPr="00AB729D">
        <w:rPr>
          <w:rFonts w:ascii="Times New Roman" w:hAnsi="Times New Roman"/>
          <w:i/>
          <w:sz w:val="24"/>
          <w:szCs w:val="24"/>
        </w:rPr>
        <w:t>IOV</w:t>
      </w:r>
      <w:r w:rsidR="007E4D27" w:rsidRPr="00AB729D">
        <w:rPr>
          <w:rFonts w:ascii="Times New Roman" w:hAnsi="Times New Roman"/>
          <w:i/>
          <w:sz w:val="24"/>
          <w:szCs w:val="24"/>
        </w:rPr>
        <w:t>,</w:t>
      </w:r>
      <w:r w:rsidR="00753C75" w:rsidRPr="00AB729D">
        <w:rPr>
          <w:rFonts w:ascii="Times New Roman" w:hAnsi="Times New Roman"/>
          <w:sz w:val="24"/>
          <w:szCs w:val="24"/>
        </w:rPr>
        <w:t xml:space="preserve"> </w:t>
      </w:r>
      <w:r w:rsidR="00D3589C" w:rsidRPr="00AB729D">
        <w:rPr>
          <w:rFonts w:ascii="Times New Roman" w:hAnsi="Times New Roman"/>
          <w:sz w:val="24"/>
          <w:szCs w:val="24"/>
        </w:rPr>
        <w:t>i.e.,</w:t>
      </w:r>
      <w:r w:rsidR="007E4D27" w:rsidRPr="00AB729D">
        <w:rPr>
          <w:rFonts w:ascii="Times New Roman" w:hAnsi="Times New Roman"/>
          <w:sz w:val="24"/>
          <w:szCs w:val="24"/>
        </w:rPr>
        <w:t xml:space="preserve"> </w:t>
      </w:r>
      <w:r w:rsidR="00753C75" w:rsidRPr="00AB729D">
        <w:rPr>
          <w:rFonts w:ascii="Times New Roman" w:hAnsi="Times New Roman"/>
          <w:sz w:val="24"/>
          <w:szCs w:val="24"/>
        </w:rPr>
        <w:t>the average standard deviation of shareholding proportion</w:t>
      </w:r>
      <w:r w:rsidR="007E4D27" w:rsidRPr="00AB729D">
        <w:rPr>
          <w:rFonts w:ascii="Times New Roman" w:hAnsi="Times New Roman"/>
          <w:sz w:val="24"/>
          <w:szCs w:val="24"/>
        </w:rPr>
        <w:t>s</w:t>
      </w:r>
      <w:r w:rsidR="00753C75" w:rsidRPr="00AB729D">
        <w:rPr>
          <w:rFonts w:ascii="Times New Roman" w:hAnsi="Times New Roman"/>
          <w:sz w:val="24"/>
          <w:szCs w:val="24"/>
        </w:rPr>
        <w:t xml:space="preserve"> across all institutional owners</w:t>
      </w:r>
      <w:r w:rsidR="007E4D27" w:rsidRPr="00AB729D">
        <w:rPr>
          <w:rFonts w:ascii="Times New Roman" w:hAnsi="Times New Roman"/>
          <w:sz w:val="24"/>
          <w:szCs w:val="24"/>
        </w:rPr>
        <w:t>,</w:t>
      </w:r>
      <w:r w:rsidR="00753C75" w:rsidRPr="00AB729D">
        <w:rPr>
          <w:rFonts w:ascii="Times New Roman" w:hAnsi="Times New Roman"/>
          <w:sz w:val="24"/>
          <w:szCs w:val="24"/>
        </w:rPr>
        <w:t xml:space="preserve"> </w:t>
      </w:r>
      <w:r w:rsidRPr="00AB729D">
        <w:rPr>
          <w:rFonts w:ascii="Times New Roman" w:hAnsi="Times New Roman"/>
          <w:sz w:val="24"/>
          <w:szCs w:val="24"/>
        </w:rPr>
        <w:t>and</w:t>
      </w:r>
      <w:r w:rsidR="00753C75" w:rsidRPr="00AB729D">
        <w:rPr>
          <w:rFonts w:ascii="Times New Roman" w:hAnsi="Times New Roman"/>
          <w:sz w:val="24"/>
          <w:szCs w:val="24"/>
        </w:rPr>
        <w:t xml:space="preserve"> </w:t>
      </w:r>
      <w:r w:rsidR="00753C75" w:rsidRPr="00AB729D">
        <w:rPr>
          <w:rFonts w:ascii="Times New Roman" w:hAnsi="Times New Roman"/>
          <w:i/>
          <w:sz w:val="24"/>
          <w:szCs w:val="24"/>
        </w:rPr>
        <w:t>PROP</w:t>
      </w:r>
      <w:r w:rsidR="007E4D27" w:rsidRPr="00AB729D">
        <w:rPr>
          <w:rFonts w:ascii="Times New Roman" w:hAnsi="Times New Roman"/>
          <w:i/>
          <w:sz w:val="24"/>
          <w:szCs w:val="24"/>
        </w:rPr>
        <w:t>,</w:t>
      </w:r>
      <w:r w:rsidR="00753C75" w:rsidRPr="00AB729D">
        <w:rPr>
          <w:rFonts w:ascii="Times New Roman" w:hAnsi="Times New Roman"/>
          <w:sz w:val="24"/>
          <w:szCs w:val="24"/>
        </w:rPr>
        <w:t xml:space="preserve"> </w:t>
      </w:r>
      <w:r w:rsidR="00D3589C" w:rsidRPr="00AB729D">
        <w:rPr>
          <w:rFonts w:ascii="Times New Roman" w:hAnsi="Times New Roman"/>
          <w:sz w:val="24"/>
          <w:szCs w:val="24"/>
        </w:rPr>
        <w:t>i.e.,</w:t>
      </w:r>
      <w:r w:rsidR="007E4D27" w:rsidRPr="00AB729D">
        <w:rPr>
          <w:rFonts w:ascii="Times New Roman" w:hAnsi="Times New Roman"/>
          <w:sz w:val="24"/>
          <w:szCs w:val="24"/>
        </w:rPr>
        <w:t xml:space="preserve"> </w:t>
      </w:r>
      <w:r w:rsidR="00753C75" w:rsidRPr="00AB729D">
        <w:rPr>
          <w:rFonts w:ascii="Times New Roman" w:hAnsi="Times New Roman"/>
          <w:sz w:val="24"/>
          <w:szCs w:val="24"/>
        </w:rPr>
        <w:t>the aggregate institutional shareholding proportion</w:t>
      </w:r>
      <w:r w:rsidR="007E4D27" w:rsidRPr="00AB729D">
        <w:rPr>
          <w:rFonts w:ascii="Times New Roman" w:hAnsi="Times New Roman"/>
          <w:sz w:val="24"/>
          <w:szCs w:val="24"/>
        </w:rPr>
        <w:t>s</w:t>
      </w:r>
      <w:r w:rsidR="00753C75" w:rsidRPr="00AB729D">
        <w:rPr>
          <w:rFonts w:ascii="Times New Roman" w:hAnsi="Times New Roman"/>
          <w:sz w:val="24"/>
          <w:szCs w:val="24"/>
        </w:rPr>
        <w:t>.</w:t>
      </w:r>
      <w:r w:rsidR="005C22FC" w:rsidRPr="00AB729D">
        <w:rPr>
          <w:rFonts w:ascii="Times New Roman" w:hAnsi="Times New Roman"/>
          <w:sz w:val="24"/>
          <w:szCs w:val="24"/>
        </w:rPr>
        <w:t xml:space="preserve"> To account for other factors affecting equity mispricing, equation (5) includes the following control variables: </w:t>
      </w:r>
      <w:r w:rsidR="00753C75" w:rsidRPr="00AB729D">
        <w:rPr>
          <w:rFonts w:ascii="Times New Roman" w:hAnsi="Times New Roman"/>
          <w:sz w:val="24"/>
          <w:szCs w:val="24"/>
        </w:rPr>
        <w:t>firm size (</w:t>
      </w:r>
      <m:oMath>
        <m:sSub>
          <m:sSubPr>
            <m:ctrlPr>
              <w:rPr>
                <w:rFonts w:ascii="Cambria Math" w:hAnsi="Cambria Math"/>
                <w:sz w:val="24"/>
                <w:szCs w:val="24"/>
              </w:rPr>
            </m:ctrlPr>
          </m:sSubPr>
          <m:e>
            <m:r>
              <w:rPr>
                <w:rFonts w:ascii="Cambria Math" w:hAnsi="Cambria Math"/>
                <w:sz w:val="24"/>
                <w:szCs w:val="24"/>
              </w:rPr>
              <m:t>LN</m:t>
            </m:r>
            <m:r>
              <m:rPr>
                <m:sty m:val="p"/>
              </m:rPr>
              <w:rPr>
                <w:rFonts w:ascii="Cambria Math" w:hAnsi="Cambria Math"/>
                <w:sz w:val="24"/>
                <w:szCs w:val="24"/>
              </w:rPr>
              <m:t>_</m:t>
            </m:r>
            <m:r>
              <w:rPr>
                <w:rFonts w:ascii="Cambria Math" w:hAnsi="Cambria Math"/>
                <w:sz w:val="24"/>
                <w:szCs w:val="24"/>
              </w:rPr>
              <m:t>SALE</m:t>
            </m:r>
          </m:e>
          <m:sub>
            <m:r>
              <w:rPr>
                <w:rFonts w:ascii="Cambria Math" w:hAnsi="Cambria Math"/>
                <w:sz w:val="24"/>
                <w:szCs w:val="24"/>
              </w:rPr>
              <m:t>t</m:t>
            </m:r>
          </m:sub>
        </m:sSub>
      </m:oMath>
      <w:r w:rsidR="00753C75" w:rsidRPr="00AB729D">
        <w:rPr>
          <w:rFonts w:ascii="Times New Roman" w:hAnsi="Times New Roman"/>
          <w:sz w:val="24"/>
          <w:szCs w:val="24"/>
        </w:rPr>
        <w:t>)</w:t>
      </w:r>
      <w:r w:rsidR="000432EF" w:rsidRPr="00AB729D">
        <w:rPr>
          <w:rFonts w:ascii="Times New Roman" w:hAnsi="Times New Roman"/>
          <w:sz w:val="24"/>
          <w:szCs w:val="24"/>
        </w:rPr>
        <w:t>.</w:t>
      </w:r>
      <w:r w:rsidR="000432EF" w:rsidRPr="00AB729D">
        <w:rPr>
          <w:rFonts w:ascii="Times New Roman" w:eastAsiaTheme="minorHAnsi" w:hAnsi="Times New Roman"/>
          <w:sz w:val="24"/>
          <w:szCs w:val="24"/>
        </w:rPr>
        <w:t xml:space="preserve"> Following Sheikh (2012) firm size is</w:t>
      </w:r>
      <w:r w:rsidR="00753C75" w:rsidRPr="00AB729D">
        <w:rPr>
          <w:rFonts w:ascii="Times New Roman" w:hAnsi="Times New Roman"/>
          <w:sz w:val="24"/>
          <w:szCs w:val="24"/>
        </w:rPr>
        <w:t xml:space="preserve"> measured as the natural logarithm of total sales. Leverage (</w:t>
      </w:r>
      <m:oMath>
        <m:sSub>
          <m:sSubPr>
            <m:ctrlPr>
              <w:rPr>
                <w:rFonts w:ascii="Cambria Math" w:hAnsi="Cambria Math"/>
                <w:sz w:val="24"/>
                <w:szCs w:val="24"/>
              </w:rPr>
            </m:ctrlPr>
          </m:sSubPr>
          <m:e>
            <m:r>
              <w:rPr>
                <w:rFonts w:ascii="Cambria Math" w:hAnsi="Cambria Math"/>
                <w:sz w:val="24"/>
                <w:szCs w:val="24"/>
              </w:rPr>
              <m:t>LEV</m:t>
            </m:r>
          </m:e>
          <m:sub>
            <m:r>
              <w:rPr>
                <w:rFonts w:ascii="Cambria Math" w:hAnsi="Cambria Math"/>
                <w:sz w:val="24"/>
                <w:szCs w:val="24"/>
              </w:rPr>
              <m:t>t</m:t>
            </m:r>
          </m:sub>
        </m:sSub>
      </m:oMath>
      <w:r w:rsidR="00753C75" w:rsidRPr="00AB729D">
        <w:rPr>
          <w:rFonts w:ascii="Times New Roman" w:hAnsi="Times New Roman"/>
          <w:sz w:val="24"/>
          <w:szCs w:val="24"/>
        </w:rPr>
        <w:t xml:space="preserve">) </w:t>
      </w:r>
      <w:r w:rsidR="005C22FC" w:rsidRPr="00AB729D">
        <w:rPr>
          <w:rFonts w:ascii="Times New Roman" w:hAnsi="Times New Roman"/>
          <w:sz w:val="24"/>
          <w:szCs w:val="24"/>
        </w:rPr>
        <w:t>is the ratio of</w:t>
      </w:r>
      <w:r w:rsidR="00753C75" w:rsidRPr="00AB729D">
        <w:rPr>
          <w:rFonts w:ascii="Times New Roman" w:hAnsi="Times New Roman"/>
          <w:sz w:val="24"/>
          <w:szCs w:val="24"/>
        </w:rPr>
        <w:t xml:space="preserve"> book value of debt (</w:t>
      </w:r>
      <w:r w:rsidR="007E4D27" w:rsidRPr="00AB729D">
        <w:rPr>
          <w:rFonts w:ascii="Times New Roman" w:hAnsi="Times New Roman"/>
          <w:sz w:val="24"/>
          <w:szCs w:val="24"/>
        </w:rPr>
        <w:t xml:space="preserve">i.e., the </w:t>
      </w:r>
      <w:r w:rsidR="00753C75" w:rsidRPr="00AB729D">
        <w:rPr>
          <w:rFonts w:ascii="Times New Roman" w:hAnsi="Times New Roman"/>
          <w:sz w:val="24"/>
          <w:szCs w:val="24"/>
        </w:rPr>
        <w:t xml:space="preserve">sum of long-term debt and debt in current liabilities) </w:t>
      </w:r>
      <w:r w:rsidR="005C22FC" w:rsidRPr="00AB729D">
        <w:rPr>
          <w:rFonts w:ascii="Times New Roman" w:hAnsi="Times New Roman"/>
          <w:sz w:val="24"/>
          <w:szCs w:val="24"/>
        </w:rPr>
        <w:t>to</w:t>
      </w:r>
      <w:r w:rsidR="00753C75" w:rsidRPr="00AB729D">
        <w:rPr>
          <w:rFonts w:ascii="Times New Roman" w:hAnsi="Times New Roman"/>
          <w:sz w:val="24"/>
          <w:szCs w:val="24"/>
        </w:rPr>
        <w:t xml:space="preserve"> total assets</w:t>
      </w:r>
      <w:r w:rsidR="00D33DFA" w:rsidRPr="00AB729D">
        <w:rPr>
          <w:rFonts w:ascii="Times New Roman" w:hAnsi="Times New Roman"/>
          <w:i/>
          <w:sz w:val="24"/>
          <w:szCs w:val="24"/>
        </w:rPr>
        <w:t>.</w:t>
      </w:r>
      <w:r w:rsidR="00753C75" w:rsidRPr="00AB729D">
        <w:rPr>
          <w:rFonts w:ascii="Times New Roman" w:hAnsi="Times New Roman"/>
          <w:sz w:val="24"/>
          <w:szCs w:val="24"/>
        </w:rPr>
        <w:t xml:space="preserve"> Firm age (</w:t>
      </w:r>
      <m:oMath>
        <m:sSub>
          <m:sSubPr>
            <m:ctrlPr>
              <w:rPr>
                <w:rFonts w:ascii="Cambria Math" w:hAnsi="Cambria Math"/>
                <w:sz w:val="24"/>
                <w:szCs w:val="24"/>
              </w:rPr>
            </m:ctrlPr>
          </m:sSubPr>
          <m:e>
            <m:r>
              <w:rPr>
                <w:rFonts w:ascii="Cambria Math" w:hAnsi="Cambria Math"/>
                <w:sz w:val="24"/>
                <w:szCs w:val="24"/>
              </w:rPr>
              <m:t>LN</m:t>
            </m:r>
            <m:r>
              <m:rPr>
                <m:sty m:val="p"/>
              </m:rPr>
              <w:rPr>
                <w:rFonts w:ascii="Cambria Math" w:hAnsi="Cambria Math"/>
                <w:sz w:val="24"/>
                <w:szCs w:val="24"/>
              </w:rPr>
              <m:t>_</m:t>
            </m:r>
            <m:r>
              <w:rPr>
                <w:rFonts w:ascii="Cambria Math" w:hAnsi="Cambria Math"/>
                <w:sz w:val="24"/>
                <w:szCs w:val="24"/>
              </w:rPr>
              <m:t>AGE</m:t>
            </m:r>
          </m:e>
          <m:sub>
            <m:r>
              <w:rPr>
                <w:rFonts w:ascii="Cambria Math" w:hAnsi="Cambria Math"/>
                <w:sz w:val="24"/>
                <w:szCs w:val="24"/>
              </w:rPr>
              <m:t>t</m:t>
            </m:r>
          </m:sub>
        </m:sSub>
      </m:oMath>
      <w:r w:rsidR="00753C75" w:rsidRPr="00AB729D">
        <w:rPr>
          <w:rFonts w:ascii="Times New Roman" w:hAnsi="Times New Roman"/>
          <w:sz w:val="24"/>
          <w:szCs w:val="24"/>
        </w:rPr>
        <w:t xml:space="preserve">) is the natural logarithm of one plus the number of years the firm is listed on </w:t>
      </w:r>
      <w:proofErr w:type="spellStart"/>
      <w:r w:rsidR="002264AE" w:rsidRPr="00AB729D">
        <w:rPr>
          <w:rFonts w:ascii="Times New Roman" w:hAnsi="Times New Roman"/>
          <w:sz w:val="24"/>
          <w:szCs w:val="24"/>
        </w:rPr>
        <w:t>Compustat</w:t>
      </w:r>
      <w:proofErr w:type="spellEnd"/>
      <w:r w:rsidR="002264AE" w:rsidRPr="00AB729D">
        <w:rPr>
          <w:rFonts w:ascii="Times New Roman" w:hAnsi="Times New Roman"/>
          <w:sz w:val="24"/>
          <w:szCs w:val="24"/>
        </w:rPr>
        <w:t xml:space="preserve">. </w:t>
      </w:r>
      <w:r w:rsidR="005018D2" w:rsidRPr="00AB729D">
        <w:rPr>
          <w:rFonts w:ascii="Times New Roman" w:hAnsi="Times New Roman"/>
          <w:sz w:val="24"/>
          <w:szCs w:val="24"/>
        </w:rPr>
        <w:t>P</w:t>
      </w:r>
      <w:r w:rsidR="00753C75" w:rsidRPr="00AB729D">
        <w:rPr>
          <w:rFonts w:ascii="Times New Roman" w:hAnsi="Times New Roman"/>
          <w:sz w:val="24"/>
          <w:szCs w:val="24"/>
        </w:rPr>
        <w:t>rofitability (</w:t>
      </w:r>
      <m:oMath>
        <m:sSub>
          <m:sSubPr>
            <m:ctrlPr>
              <w:rPr>
                <w:rFonts w:ascii="Cambria Math" w:hAnsi="Cambria Math"/>
                <w:sz w:val="24"/>
                <w:szCs w:val="24"/>
              </w:rPr>
            </m:ctrlPr>
          </m:sSubPr>
          <m:e>
            <m:r>
              <w:rPr>
                <w:rFonts w:ascii="Cambria Math" w:hAnsi="Cambria Math"/>
                <w:sz w:val="24"/>
                <w:szCs w:val="24"/>
              </w:rPr>
              <m:t>ROA</m:t>
            </m:r>
          </m:e>
          <m:sub>
            <m:r>
              <w:rPr>
                <w:rFonts w:ascii="Cambria Math" w:hAnsi="Cambria Math"/>
                <w:sz w:val="24"/>
                <w:szCs w:val="24"/>
              </w:rPr>
              <m:t>t</m:t>
            </m:r>
          </m:sub>
        </m:sSub>
      </m:oMath>
      <w:r w:rsidR="00753C75" w:rsidRPr="00AB729D">
        <w:rPr>
          <w:rFonts w:ascii="Times New Roman" w:hAnsi="Times New Roman"/>
          <w:sz w:val="24"/>
          <w:szCs w:val="24"/>
        </w:rPr>
        <w:t xml:space="preserve">) is </w:t>
      </w:r>
      <w:r w:rsidR="005018D2" w:rsidRPr="00AB729D">
        <w:rPr>
          <w:rFonts w:ascii="Times New Roman" w:hAnsi="Times New Roman"/>
          <w:sz w:val="24"/>
          <w:szCs w:val="24"/>
        </w:rPr>
        <w:t>the ratio of</w:t>
      </w:r>
      <w:r w:rsidR="00753C75" w:rsidRPr="00AB729D">
        <w:rPr>
          <w:rFonts w:ascii="Times New Roman" w:hAnsi="Times New Roman"/>
          <w:sz w:val="24"/>
          <w:szCs w:val="24"/>
        </w:rPr>
        <w:t xml:space="preserve"> operating income before </w:t>
      </w:r>
      <w:r w:rsidR="005018D2" w:rsidRPr="00AB729D">
        <w:rPr>
          <w:rFonts w:ascii="Times New Roman" w:hAnsi="Times New Roman"/>
          <w:sz w:val="24"/>
          <w:szCs w:val="24"/>
        </w:rPr>
        <w:t>depreciation-to-</w:t>
      </w:r>
      <w:r w:rsidR="00753C75" w:rsidRPr="00AB729D">
        <w:rPr>
          <w:rFonts w:ascii="Times New Roman" w:hAnsi="Times New Roman"/>
          <w:sz w:val="24"/>
          <w:szCs w:val="24"/>
        </w:rPr>
        <w:t xml:space="preserve">total assets. </w:t>
      </w:r>
      <w:r w:rsidR="005018D2" w:rsidRPr="00AB729D">
        <w:rPr>
          <w:rFonts w:ascii="Times New Roman" w:hAnsi="Times New Roman"/>
          <w:sz w:val="24"/>
          <w:szCs w:val="24"/>
        </w:rPr>
        <w:t>D</w:t>
      </w:r>
      <w:r w:rsidR="00753C75" w:rsidRPr="00AB729D">
        <w:rPr>
          <w:rFonts w:ascii="Times New Roman" w:hAnsi="Times New Roman"/>
          <w:sz w:val="24"/>
          <w:szCs w:val="24"/>
        </w:rPr>
        <w:t>ividend yield (</w:t>
      </w:r>
      <m:oMath>
        <m:sSub>
          <m:sSubPr>
            <m:ctrlPr>
              <w:rPr>
                <w:rFonts w:ascii="Cambria Math" w:hAnsi="Cambria Math"/>
                <w:sz w:val="24"/>
                <w:szCs w:val="24"/>
              </w:rPr>
            </m:ctrlPr>
          </m:sSubPr>
          <m:e>
            <m:r>
              <w:rPr>
                <w:rFonts w:ascii="Cambria Math" w:hAnsi="Cambria Math"/>
                <w:sz w:val="24"/>
                <w:szCs w:val="24"/>
              </w:rPr>
              <m:t>DY</m:t>
            </m:r>
          </m:e>
          <m:sub>
            <m:r>
              <w:rPr>
                <w:rFonts w:ascii="Cambria Math" w:hAnsi="Cambria Math"/>
                <w:sz w:val="24"/>
                <w:szCs w:val="24"/>
              </w:rPr>
              <m:t>t</m:t>
            </m:r>
          </m:sub>
        </m:sSub>
      </m:oMath>
      <w:r w:rsidR="00753C75" w:rsidRPr="00AB729D">
        <w:rPr>
          <w:rFonts w:ascii="Times New Roman" w:hAnsi="Times New Roman"/>
          <w:sz w:val="24"/>
          <w:szCs w:val="24"/>
        </w:rPr>
        <w:t xml:space="preserve">) is </w:t>
      </w:r>
      <w:r w:rsidR="00D33DFA" w:rsidRPr="00AB729D">
        <w:rPr>
          <w:rFonts w:ascii="Times New Roman" w:hAnsi="Times New Roman"/>
          <w:sz w:val="24"/>
          <w:szCs w:val="24"/>
        </w:rPr>
        <w:t xml:space="preserve">computed </w:t>
      </w:r>
      <w:r w:rsidR="00753C75" w:rsidRPr="00AB729D">
        <w:rPr>
          <w:rFonts w:ascii="Times New Roman" w:hAnsi="Times New Roman"/>
          <w:sz w:val="24"/>
          <w:szCs w:val="24"/>
        </w:rPr>
        <w:t xml:space="preserve">as the ratio of dividend to </w:t>
      </w:r>
      <w:r w:rsidR="007E4D27" w:rsidRPr="00AB729D">
        <w:rPr>
          <w:rFonts w:ascii="Times New Roman" w:hAnsi="Times New Roman"/>
          <w:sz w:val="24"/>
          <w:szCs w:val="24"/>
        </w:rPr>
        <w:t>the firm’s market value</w:t>
      </w:r>
      <w:r w:rsidR="00D33DFA" w:rsidRPr="00AB729D">
        <w:rPr>
          <w:rFonts w:ascii="Times New Roman" w:hAnsi="Times New Roman"/>
          <w:sz w:val="24"/>
          <w:szCs w:val="24"/>
        </w:rPr>
        <w:t>.</w:t>
      </w:r>
      <w:r w:rsidR="00753C75" w:rsidRPr="00AB729D">
        <w:rPr>
          <w:rFonts w:ascii="Times New Roman" w:hAnsi="Times New Roman"/>
          <w:sz w:val="24"/>
          <w:szCs w:val="24"/>
        </w:rPr>
        <w:t xml:space="preserve"> </w:t>
      </w:r>
      <w:r w:rsidR="007E4D27" w:rsidRPr="00AB729D">
        <w:rPr>
          <w:rFonts w:ascii="Times New Roman" w:hAnsi="Times New Roman"/>
          <w:sz w:val="24"/>
          <w:szCs w:val="24"/>
        </w:rPr>
        <w:t xml:space="preserve">All variables are measured at the end of year t. </w:t>
      </w:r>
      <w:r w:rsidR="00753C75" w:rsidRPr="00AB729D">
        <w:rPr>
          <w:rFonts w:ascii="Times New Roman" w:hAnsi="Times New Roman"/>
          <w:sz w:val="24"/>
          <w:szCs w:val="24"/>
        </w:rPr>
        <w:t xml:space="preserve">YEAR and INDUSTRY are dummy variables to </w:t>
      </w:r>
      <w:r w:rsidR="00753C75" w:rsidRPr="00AB729D">
        <w:rPr>
          <w:rFonts w:ascii="Times New Roman" w:hAnsi="Times New Roman"/>
          <w:sz w:val="24"/>
          <w:szCs w:val="24"/>
        </w:rPr>
        <w:lastRenderedPageBreak/>
        <w:t>control for the effect of unobserved economic variables and industry-specific effect</w:t>
      </w:r>
      <w:r w:rsidR="005018D2" w:rsidRPr="00AB729D">
        <w:rPr>
          <w:rFonts w:ascii="Times New Roman" w:hAnsi="Times New Roman"/>
          <w:sz w:val="24"/>
          <w:szCs w:val="24"/>
        </w:rPr>
        <w:t>s</w:t>
      </w:r>
      <w:r w:rsidR="00753C75" w:rsidRPr="00AB729D">
        <w:rPr>
          <w:rFonts w:ascii="Times New Roman" w:hAnsi="Times New Roman"/>
          <w:sz w:val="24"/>
          <w:szCs w:val="24"/>
        </w:rPr>
        <w:t xml:space="preserve">, respectively. The standard errors are clustered by firms. </w:t>
      </w:r>
    </w:p>
    <w:p w14:paraId="2F947B1F" w14:textId="77777777" w:rsidR="00E12F41" w:rsidRPr="00AB729D" w:rsidRDefault="00E12F41" w:rsidP="0054208D">
      <w:pPr>
        <w:rPr>
          <w:rFonts w:ascii="Times New Roman" w:hAnsi="Times New Roman"/>
          <w:b/>
          <w:sz w:val="24"/>
          <w:szCs w:val="24"/>
        </w:rPr>
      </w:pPr>
      <w:bookmarkStart w:id="7" w:name="_Toc474489296"/>
    </w:p>
    <w:p w14:paraId="3B9460E5" w14:textId="1F7ABF90" w:rsidR="00CD44A5" w:rsidRPr="00AB729D" w:rsidRDefault="00CD44A5" w:rsidP="00C4120C">
      <w:pPr>
        <w:pStyle w:val="ListParagraph"/>
        <w:numPr>
          <w:ilvl w:val="0"/>
          <w:numId w:val="14"/>
        </w:numPr>
        <w:rPr>
          <w:rFonts w:ascii="Times New Roman" w:hAnsi="Times New Roman"/>
          <w:b/>
          <w:sz w:val="24"/>
          <w:szCs w:val="24"/>
        </w:rPr>
      </w:pPr>
      <w:r w:rsidRPr="00AB729D">
        <w:rPr>
          <w:rFonts w:ascii="Times New Roman" w:hAnsi="Times New Roman"/>
          <w:b/>
          <w:sz w:val="24"/>
          <w:szCs w:val="24"/>
        </w:rPr>
        <w:t>Results</w:t>
      </w:r>
      <w:bookmarkEnd w:id="7"/>
    </w:p>
    <w:p w14:paraId="465613B9" w14:textId="20A1B9EF" w:rsidR="00CD44A5" w:rsidRPr="00AB729D" w:rsidRDefault="00CD44A5" w:rsidP="00C4120C">
      <w:pPr>
        <w:pStyle w:val="ListParagraph"/>
        <w:numPr>
          <w:ilvl w:val="1"/>
          <w:numId w:val="14"/>
        </w:numPr>
        <w:rPr>
          <w:rFonts w:ascii="Times New Roman" w:hAnsi="Times New Roman"/>
          <w:b/>
          <w:sz w:val="24"/>
          <w:szCs w:val="24"/>
        </w:rPr>
      </w:pPr>
      <w:bookmarkStart w:id="8" w:name="_Toc474489297"/>
      <w:r w:rsidRPr="00AB729D">
        <w:rPr>
          <w:rFonts w:ascii="Times New Roman" w:hAnsi="Times New Roman"/>
          <w:b/>
          <w:sz w:val="24"/>
          <w:szCs w:val="24"/>
        </w:rPr>
        <w:t>Descriptive Statistics of Sample and Correlations</w:t>
      </w:r>
      <w:bookmarkEnd w:id="8"/>
    </w:p>
    <w:p w14:paraId="6F3F7493" w14:textId="728F32A0" w:rsidR="00753C75" w:rsidRPr="00AB729D" w:rsidRDefault="00753C75" w:rsidP="00C26DFA">
      <w:pPr>
        <w:spacing w:line="480" w:lineRule="auto"/>
        <w:ind w:firstLine="720"/>
        <w:rPr>
          <w:rFonts w:ascii="Times New Roman" w:hAnsi="Times New Roman"/>
          <w:sz w:val="24"/>
          <w:szCs w:val="24"/>
        </w:rPr>
      </w:pPr>
      <w:r w:rsidRPr="00AB729D">
        <w:rPr>
          <w:rFonts w:ascii="Times New Roman" w:hAnsi="Times New Roman"/>
          <w:sz w:val="24"/>
          <w:szCs w:val="24"/>
        </w:rPr>
        <w:t xml:space="preserve">Table 2 provides the </w:t>
      </w:r>
      <w:r w:rsidR="00A74124" w:rsidRPr="00AB729D">
        <w:rPr>
          <w:rFonts w:ascii="Times New Roman" w:hAnsi="Times New Roman"/>
          <w:sz w:val="24"/>
          <w:szCs w:val="24"/>
        </w:rPr>
        <w:t xml:space="preserve">sample </w:t>
      </w:r>
      <w:r w:rsidRPr="00AB729D">
        <w:rPr>
          <w:rFonts w:ascii="Times New Roman" w:hAnsi="Times New Roman"/>
          <w:sz w:val="24"/>
          <w:szCs w:val="24"/>
        </w:rPr>
        <w:t>descriptive statistics</w:t>
      </w:r>
      <w:r w:rsidR="00D3589C" w:rsidRPr="00AB729D">
        <w:rPr>
          <w:rFonts w:ascii="Times New Roman" w:hAnsi="Times New Roman"/>
          <w:sz w:val="24"/>
          <w:szCs w:val="24"/>
        </w:rPr>
        <w:t>.</w:t>
      </w:r>
      <w:r w:rsidR="00980E65" w:rsidRPr="00AB729D">
        <w:rPr>
          <w:rFonts w:ascii="Times New Roman" w:hAnsi="Times New Roman"/>
          <w:sz w:val="24"/>
          <w:szCs w:val="24"/>
        </w:rPr>
        <w:t xml:space="preserve"> Panel A </w:t>
      </w:r>
      <w:r w:rsidR="00D3589C" w:rsidRPr="00AB729D">
        <w:rPr>
          <w:rFonts w:ascii="Times New Roman" w:hAnsi="Times New Roman"/>
          <w:sz w:val="24"/>
          <w:szCs w:val="24"/>
        </w:rPr>
        <w:t xml:space="preserve">of Table 2 </w:t>
      </w:r>
      <w:r w:rsidR="00980E65" w:rsidRPr="00AB729D">
        <w:rPr>
          <w:rFonts w:ascii="Times New Roman" w:hAnsi="Times New Roman"/>
          <w:sz w:val="24"/>
          <w:szCs w:val="24"/>
        </w:rPr>
        <w:t>contains statistics</w:t>
      </w:r>
      <w:r w:rsidR="00A74124" w:rsidRPr="00AB729D">
        <w:rPr>
          <w:rFonts w:ascii="Times New Roman" w:hAnsi="Times New Roman"/>
          <w:sz w:val="24"/>
          <w:szCs w:val="24"/>
        </w:rPr>
        <w:t xml:space="preserve"> </w:t>
      </w:r>
      <w:r w:rsidR="00980E65" w:rsidRPr="00AB729D">
        <w:rPr>
          <w:rFonts w:ascii="Times New Roman" w:hAnsi="Times New Roman"/>
          <w:sz w:val="24"/>
          <w:szCs w:val="24"/>
        </w:rPr>
        <w:t xml:space="preserve">on </w:t>
      </w:r>
      <w:r w:rsidR="00A74124" w:rsidRPr="00AB729D">
        <w:rPr>
          <w:rFonts w:ascii="Times New Roman" w:hAnsi="Times New Roman"/>
          <w:sz w:val="24"/>
          <w:szCs w:val="24"/>
        </w:rPr>
        <w:t>the mispricing variables</w:t>
      </w:r>
      <w:r w:rsidRPr="00AB729D">
        <w:rPr>
          <w:rFonts w:ascii="Times New Roman" w:hAnsi="Times New Roman"/>
          <w:sz w:val="24"/>
          <w:szCs w:val="24"/>
        </w:rPr>
        <w:t xml:space="preserve">. The mean </w:t>
      </w:r>
      <w:r w:rsidR="00980E65" w:rsidRPr="00AB729D">
        <w:rPr>
          <w:rFonts w:ascii="Times New Roman" w:hAnsi="Times New Roman"/>
          <w:sz w:val="24"/>
          <w:szCs w:val="24"/>
        </w:rPr>
        <w:t xml:space="preserve">values </w:t>
      </w:r>
      <w:r w:rsidRPr="00AB729D">
        <w:rPr>
          <w:rFonts w:ascii="Times New Roman" w:hAnsi="Times New Roman"/>
          <w:sz w:val="24"/>
          <w:szCs w:val="24"/>
        </w:rPr>
        <w:t>of EXVRK and EXVIA are 0.518 and 0.329, respectively</w:t>
      </w:r>
      <w:r w:rsidR="000C22C9" w:rsidRPr="00AB729D">
        <w:rPr>
          <w:rFonts w:ascii="Times New Roman" w:hAnsi="Times New Roman"/>
          <w:sz w:val="24"/>
          <w:szCs w:val="24"/>
        </w:rPr>
        <w:t>. Our computed values</w:t>
      </w:r>
      <w:r w:rsidR="00980E65" w:rsidRPr="00AB729D">
        <w:rPr>
          <w:rFonts w:ascii="Times New Roman" w:eastAsiaTheme="minorHAnsi" w:hAnsi="Times New Roman"/>
          <w:sz w:val="24"/>
          <w:szCs w:val="24"/>
        </w:rPr>
        <w:t xml:space="preserve"> are </w:t>
      </w:r>
      <w:r w:rsidR="004E4201" w:rsidRPr="00AB729D">
        <w:rPr>
          <w:rFonts w:ascii="Times New Roman" w:eastAsiaTheme="minorHAnsi" w:hAnsi="Times New Roman"/>
          <w:sz w:val="24"/>
          <w:szCs w:val="24"/>
        </w:rPr>
        <w:t xml:space="preserve">comparable to the </w:t>
      </w:r>
      <w:r w:rsidR="00980E65" w:rsidRPr="00AB729D">
        <w:rPr>
          <w:rFonts w:ascii="Times New Roman" w:eastAsiaTheme="minorHAnsi" w:hAnsi="Times New Roman"/>
          <w:sz w:val="24"/>
          <w:szCs w:val="24"/>
        </w:rPr>
        <w:t>values</w:t>
      </w:r>
      <w:r w:rsidR="004E4201" w:rsidRPr="00AB729D">
        <w:rPr>
          <w:rFonts w:ascii="Times New Roman" w:eastAsiaTheme="minorHAnsi" w:hAnsi="Times New Roman"/>
          <w:sz w:val="24"/>
          <w:szCs w:val="24"/>
        </w:rPr>
        <w:t xml:space="preserve"> reported in Lin et. al, 2010</w:t>
      </w:r>
      <w:r w:rsidR="00980E65" w:rsidRPr="00AB729D">
        <w:rPr>
          <w:rFonts w:ascii="Times New Roman" w:eastAsiaTheme="minorHAnsi" w:hAnsi="Times New Roman"/>
          <w:sz w:val="24"/>
          <w:szCs w:val="24"/>
        </w:rPr>
        <w:t xml:space="preserve"> (i.e., 0.24 and 0.33, respectively)</w:t>
      </w:r>
      <w:r w:rsidR="004E4201" w:rsidRPr="00AB729D">
        <w:rPr>
          <w:rFonts w:ascii="Times New Roman" w:eastAsiaTheme="minorHAnsi" w:hAnsi="Times New Roman"/>
          <w:sz w:val="24"/>
          <w:szCs w:val="24"/>
        </w:rPr>
        <w:t xml:space="preserve">. </w:t>
      </w:r>
      <w:r w:rsidRPr="00AB729D">
        <w:rPr>
          <w:rFonts w:ascii="Times New Roman" w:hAnsi="Times New Roman"/>
          <w:sz w:val="24"/>
          <w:szCs w:val="24"/>
        </w:rPr>
        <w:t xml:space="preserve"> Panel B presents </w:t>
      </w:r>
      <w:r w:rsidR="00980E65" w:rsidRPr="00AB729D">
        <w:rPr>
          <w:rFonts w:ascii="Times New Roman" w:hAnsi="Times New Roman"/>
          <w:sz w:val="24"/>
          <w:szCs w:val="24"/>
        </w:rPr>
        <w:t xml:space="preserve">statistics on </w:t>
      </w:r>
      <w:r w:rsidRPr="00AB729D">
        <w:rPr>
          <w:rFonts w:ascii="Times New Roman" w:hAnsi="Times New Roman"/>
          <w:sz w:val="24"/>
          <w:szCs w:val="24"/>
        </w:rPr>
        <w:t xml:space="preserve">the institutional ownership variables. The mean </w:t>
      </w:r>
      <w:r w:rsidR="00980E65" w:rsidRPr="00AB729D">
        <w:rPr>
          <w:rFonts w:ascii="Times New Roman" w:hAnsi="Times New Roman"/>
          <w:sz w:val="24"/>
          <w:szCs w:val="24"/>
        </w:rPr>
        <w:t xml:space="preserve">value </w:t>
      </w:r>
      <w:r w:rsidRPr="00AB729D">
        <w:rPr>
          <w:rFonts w:ascii="Times New Roman" w:hAnsi="Times New Roman"/>
          <w:sz w:val="24"/>
          <w:szCs w:val="24"/>
        </w:rPr>
        <w:t>of institutional ownership proportion (</w:t>
      </w:r>
      <w:r w:rsidRPr="00AB729D">
        <w:rPr>
          <w:rFonts w:ascii="Times New Roman" w:hAnsi="Times New Roman"/>
          <w:i/>
          <w:sz w:val="24"/>
          <w:szCs w:val="24"/>
        </w:rPr>
        <w:t>PROP</w:t>
      </w:r>
      <w:r w:rsidRPr="00AB729D">
        <w:rPr>
          <w:rFonts w:ascii="Times New Roman" w:hAnsi="Times New Roman"/>
          <w:sz w:val="24"/>
          <w:szCs w:val="24"/>
        </w:rPr>
        <w:t>) is 23.6%</w:t>
      </w:r>
      <w:r w:rsidR="000C22C9" w:rsidRPr="00AB729D">
        <w:rPr>
          <w:rFonts w:ascii="Times New Roman" w:hAnsi="Times New Roman"/>
          <w:sz w:val="24"/>
          <w:szCs w:val="24"/>
        </w:rPr>
        <w:t>, while the mean valu</w:t>
      </w:r>
      <w:r w:rsidR="00E12F41" w:rsidRPr="00AB729D">
        <w:rPr>
          <w:rFonts w:ascii="Times New Roman" w:hAnsi="Times New Roman"/>
          <w:sz w:val="24"/>
          <w:szCs w:val="24"/>
        </w:rPr>
        <w:t>e</w:t>
      </w:r>
      <w:r w:rsidR="000C22C9" w:rsidRPr="00AB729D">
        <w:rPr>
          <w:rFonts w:ascii="Times New Roman" w:hAnsi="Times New Roman"/>
          <w:sz w:val="24"/>
          <w:szCs w:val="24"/>
        </w:rPr>
        <w:t>s</w:t>
      </w:r>
      <w:r w:rsidR="00980E65" w:rsidRPr="00AB729D">
        <w:rPr>
          <w:rFonts w:ascii="Times New Roman" w:hAnsi="Times New Roman"/>
          <w:sz w:val="24"/>
          <w:szCs w:val="24"/>
        </w:rPr>
        <w:t xml:space="preserve"> </w:t>
      </w:r>
      <w:r w:rsidRPr="00AB729D">
        <w:rPr>
          <w:rFonts w:ascii="Times New Roman" w:hAnsi="Times New Roman"/>
          <w:sz w:val="24"/>
          <w:szCs w:val="24"/>
        </w:rPr>
        <w:t>of institutional ownership volatility (</w:t>
      </w:r>
      <w:r w:rsidRPr="00AB729D">
        <w:rPr>
          <w:rFonts w:ascii="Times New Roman" w:hAnsi="Times New Roman"/>
          <w:i/>
          <w:sz w:val="24"/>
          <w:szCs w:val="24"/>
        </w:rPr>
        <w:t>IOV</w:t>
      </w:r>
      <w:r w:rsidRPr="00AB729D">
        <w:rPr>
          <w:rFonts w:ascii="Times New Roman" w:hAnsi="Times New Roman"/>
          <w:sz w:val="24"/>
          <w:szCs w:val="24"/>
        </w:rPr>
        <w:t xml:space="preserve">) is 0.7%. </w:t>
      </w:r>
      <w:r w:rsidR="00980E65" w:rsidRPr="00AB729D">
        <w:rPr>
          <w:rFonts w:ascii="Times New Roman" w:hAnsi="Times New Roman"/>
          <w:sz w:val="24"/>
          <w:szCs w:val="24"/>
        </w:rPr>
        <w:t>T</w:t>
      </w:r>
      <w:r w:rsidRPr="00AB729D">
        <w:rPr>
          <w:rFonts w:ascii="Times New Roman" w:hAnsi="Times New Roman"/>
          <w:sz w:val="24"/>
          <w:szCs w:val="24"/>
        </w:rPr>
        <w:t xml:space="preserve">he mean </w:t>
      </w:r>
      <w:r w:rsidR="00980E65" w:rsidRPr="00AB729D">
        <w:rPr>
          <w:rFonts w:ascii="Times New Roman" w:hAnsi="Times New Roman"/>
          <w:sz w:val="24"/>
          <w:szCs w:val="24"/>
        </w:rPr>
        <w:t xml:space="preserve">values of the equity ownership </w:t>
      </w:r>
      <w:r w:rsidRPr="00AB729D">
        <w:rPr>
          <w:rFonts w:ascii="Times New Roman" w:hAnsi="Times New Roman"/>
          <w:sz w:val="24"/>
          <w:szCs w:val="24"/>
        </w:rPr>
        <w:t>of Dedicated</w:t>
      </w:r>
      <w:r w:rsidR="00D3589C" w:rsidRPr="00AB729D">
        <w:rPr>
          <w:rFonts w:ascii="Times New Roman" w:hAnsi="Times New Roman"/>
          <w:sz w:val="24"/>
          <w:szCs w:val="24"/>
        </w:rPr>
        <w:t xml:space="preserve"> (DED)</w:t>
      </w:r>
      <w:r w:rsidRPr="00AB729D">
        <w:rPr>
          <w:rFonts w:ascii="Times New Roman" w:hAnsi="Times New Roman"/>
          <w:sz w:val="24"/>
          <w:szCs w:val="24"/>
        </w:rPr>
        <w:t>, Quasi-indexers</w:t>
      </w:r>
      <w:r w:rsidR="00D3589C" w:rsidRPr="00AB729D">
        <w:rPr>
          <w:rFonts w:ascii="Times New Roman" w:hAnsi="Times New Roman"/>
          <w:sz w:val="24"/>
          <w:szCs w:val="24"/>
        </w:rPr>
        <w:t xml:space="preserve"> (QIX)</w:t>
      </w:r>
      <w:r w:rsidR="00A74124" w:rsidRPr="00AB729D">
        <w:rPr>
          <w:rFonts w:ascii="Times New Roman" w:hAnsi="Times New Roman"/>
          <w:sz w:val="24"/>
          <w:szCs w:val="24"/>
        </w:rPr>
        <w:t>,</w:t>
      </w:r>
      <w:r w:rsidRPr="00AB729D">
        <w:rPr>
          <w:rFonts w:ascii="Times New Roman" w:hAnsi="Times New Roman"/>
          <w:sz w:val="24"/>
          <w:szCs w:val="24"/>
        </w:rPr>
        <w:t xml:space="preserve"> and Transient </w:t>
      </w:r>
      <w:r w:rsidR="00D3589C" w:rsidRPr="00AB729D">
        <w:rPr>
          <w:rFonts w:ascii="Times New Roman" w:hAnsi="Times New Roman"/>
          <w:sz w:val="24"/>
          <w:szCs w:val="24"/>
        </w:rPr>
        <w:t xml:space="preserve">(TRA) </w:t>
      </w:r>
      <w:r w:rsidRPr="00AB729D">
        <w:rPr>
          <w:rFonts w:ascii="Times New Roman" w:hAnsi="Times New Roman"/>
          <w:sz w:val="24"/>
          <w:szCs w:val="24"/>
        </w:rPr>
        <w:t xml:space="preserve">institutional investors </w:t>
      </w:r>
      <w:r w:rsidR="00980E65" w:rsidRPr="00AB729D">
        <w:rPr>
          <w:rFonts w:ascii="Times New Roman" w:hAnsi="Times New Roman"/>
          <w:sz w:val="24"/>
          <w:szCs w:val="24"/>
        </w:rPr>
        <w:t xml:space="preserve">are </w:t>
      </w:r>
      <w:r w:rsidRPr="00AB729D">
        <w:rPr>
          <w:rFonts w:ascii="Times New Roman" w:hAnsi="Times New Roman"/>
          <w:sz w:val="24"/>
          <w:szCs w:val="24"/>
        </w:rPr>
        <w:t xml:space="preserve">4.8%, 22.1% and </w:t>
      </w:r>
      <w:r w:rsidR="00D3589C" w:rsidRPr="00AB729D">
        <w:rPr>
          <w:rFonts w:ascii="Times New Roman" w:hAnsi="Times New Roman"/>
          <w:sz w:val="24"/>
          <w:szCs w:val="24"/>
        </w:rPr>
        <w:t>8</w:t>
      </w:r>
      <w:r w:rsidRPr="00AB729D">
        <w:rPr>
          <w:rFonts w:ascii="Times New Roman" w:hAnsi="Times New Roman"/>
          <w:sz w:val="24"/>
          <w:szCs w:val="24"/>
        </w:rPr>
        <w:t>.</w:t>
      </w:r>
      <w:r w:rsidR="00D3589C" w:rsidRPr="00AB729D">
        <w:rPr>
          <w:rFonts w:ascii="Times New Roman" w:hAnsi="Times New Roman"/>
          <w:sz w:val="24"/>
          <w:szCs w:val="24"/>
        </w:rPr>
        <w:t>6</w:t>
      </w:r>
      <w:r w:rsidRPr="00AB729D">
        <w:rPr>
          <w:rFonts w:ascii="Times New Roman" w:hAnsi="Times New Roman"/>
          <w:sz w:val="24"/>
          <w:szCs w:val="24"/>
        </w:rPr>
        <w:t xml:space="preserve">%, respectively. </w:t>
      </w:r>
      <w:r w:rsidR="00980E65" w:rsidRPr="00AB729D">
        <w:rPr>
          <w:rFonts w:ascii="Times New Roman" w:hAnsi="Times New Roman"/>
          <w:sz w:val="24"/>
          <w:szCs w:val="24"/>
        </w:rPr>
        <w:t>The descriptive statistics of the control variables used in the multiple regressions are presented in Panel C.</w:t>
      </w:r>
      <w:r w:rsidR="000C22C9" w:rsidRPr="00AB729D">
        <w:rPr>
          <w:rFonts w:ascii="Times New Roman" w:hAnsi="Times New Roman"/>
          <w:sz w:val="24"/>
          <w:szCs w:val="24"/>
        </w:rPr>
        <w:t xml:space="preserve"> </w:t>
      </w:r>
      <w:r w:rsidR="009F740A" w:rsidRPr="00AB729D">
        <w:rPr>
          <w:rFonts w:ascii="Times New Roman" w:hAnsi="Times New Roman"/>
          <w:sz w:val="24"/>
          <w:szCs w:val="24"/>
        </w:rPr>
        <w:t>There is significant variation among the sample firms in terms of sales</w:t>
      </w:r>
      <w:r w:rsidR="00D3589C" w:rsidRPr="00AB729D">
        <w:rPr>
          <w:rFonts w:ascii="Times New Roman" w:hAnsi="Times New Roman"/>
          <w:sz w:val="24"/>
          <w:szCs w:val="24"/>
        </w:rPr>
        <w:t xml:space="preserve"> (LN_SALE)</w:t>
      </w:r>
      <w:r w:rsidR="009F740A" w:rsidRPr="00AB729D">
        <w:rPr>
          <w:rFonts w:ascii="Times New Roman" w:hAnsi="Times New Roman"/>
          <w:sz w:val="24"/>
          <w:szCs w:val="24"/>
        </w:rPr>
        <w:t>, leverage</w:t>
      </w:r>
      <w:r w:rsidR="00D3589C" w:rsidRPr="00AB729D">
        <w:rPr>
          <w:rFonts w:ascii="Times New Roman" w:hAnsi="Times New Roman"/>
          <w:sz w:val="24"/>
          <w:szCs w:val="24"/>
        </w:rPr>
        <w:t xml:space="preserve"> (LEV)</w:t>
      </w:r>
      <w:r w:rsidR="009F740A" w:rsidRPr="00AB729D">
        <w:rPr>
          <w:rFonts w:ascii="Times New Roman" w:hAnsi="Times New Roman"/>
          <w:sz w:val="24"/>
          <w:szCs w:val="24"/>
        </w:rPr>
        <w:t>, return on assets</w:t>
      </w:r>
      <w:r w:rsidR="00D3589C" w:rsidRPr="00AB729D">
        <w:rPr>
          <w:rFonts w:ascii="Times New Roman" w:hAnsi="Times New Roman"/>
          <w:sz w:val="24"/>
          <w:szCs w:val="24"/>
        </w:rPr>
        <w:t xml:space="preserve"> (ROA)</w:t>
      </w:r>
      <w:r w:rsidR="009F740A" w:rsidRPr="00AB729D">
        <w:rPr>
          <w:rFonts w:ascii="Times New Roman" w:hAnsi="Times New Roman"/>
          <w:sz w:val="24"/>
          <w:szCs w:val="24"/>
        </w:rPr>
        <w:t>, age of the firm</w:t>
      </w:r>
      <w:r w:rsidR="00D3589C" w:rsidRPr="00AB729D">
        <w:rPr>
          <w:rFonts w:ascii="Times New Roman" w:hAnsi="Times New Roman"/>
          <w:sz w:val="24"/>
          <w:szCs w:val="24"/>
        </w:rPr>
        <w:t xml:space="preserve"> (LN_AGE), and dividend yield (DY). Their inclusion</w:t>
      </w:r>
      <w:r w:rsidR="009F740A" w:rsidRPr="00AB729D">
        <w:rPr>
          <w:rFonts w:ascii="Times New Roman" w:hAnsi="Times New Roman"/>
          <w:sz w:val="24"/>
          <w:szCs w:val="24"/>
        </w:rPr>
        <w:t xml:space="preserve"> assist</w:t>
      </w:r>
      <w:r w:rsidR="00D3589C" w:rsidRPr="00AB729D">
        <w:rPr>
          <w:rFonts w:ascii="Times New Roman" w:hAnsi="Times New Roman"/>
          <w:sz w:val="24"/>
          <w:szCs w:val="24"/>
        </w:rPr>
        <w:t>s</w:t>
      </w:r>
      <w:r w:rsidR="009F740A" w:rsidRPr="00AB729D">
        <w:rPr>
          <w:rFonts w:ascii="Times New Roman" w:hAnsi="Times New Roman"/>
          <w:sz w:val="24"/>
          <w:szCs w:val="24"/>
        </w:rPr>
        <w:t xml:space="preserve"> in </w:t>
      </w:r>
      <w:r w:rsidR="00D3589C" w:rsidRPr="00AB729D">
        <w:rPr>
          <w:rFonts w:ascii="Times New Roman" w:hAnsi="Times New Roman"/>
          <w:sz w:val="24"/>
          <w:szCs w:val="24"/>
        </w:rPr>
        <w:t>controlling for their influences on mispricing</w:t>
      </w:r>
      <w:r w:rsidR="009F740A" w:rsidRPr="00AB729D">
        <w:rPr>
          <w:rFonts w:ascii="Times New Roman" w:hAnsi="Times New Roman"/>
          <w:sz w:val="24"/>
          <w:szCs w:val="24"/>
        </w:rPr>
        <w:t xml:space="preserve">. </w:t>
      </w:r>
    </w:p>
    <w:p w14:paraId="471344A1" w14:textId="3788833B" w:rsidR="004C34FA" w:rsidRPr="00AB729D" w:rsidRDefault="004C34FA" w:rsidP="004C34FA">
      <w:pPr>
        <w:spacing w:line="480" w:lineRule="auto"/>
        <w:ind w:firstLine="720"/>
        <w:jc w:val="center"/>
        <w:rPr>
          <w:rFonts w:ascii="Times New Roman" w:eastAsiaTheme="minorHAnsi" w:hAnsi="Times New Roman"/>
          <w:sz w:val="24"/>
          <w:szCs w:val="24"/>
        </w:rPr>
      </w:pPr>
      <w:r w:rsidRPr="00AB729D">
        <w:rPr>
          <w:rFonts w:ascii="Times New Roman" w:eastAsiaTheme="minorHAnsi" w:hAnsi="Times New Roman"/>
          <w:sz w:val="24"/>
          <w:szCs w:val="24"/>
        </w:rPr>
        <w:t>[INSERT TABLE 2 ABOUT HERE]</w:t>
      </w:r>
    </w:p>
    <w:p w14:paraId="64A60A5A" w14:textId="07D6EB7E" w:rsidR="00753C75" w:rsidRPr="00AB729D" w:rsidRDefault="00753C75" w:rsidP="00000DB8">
      <w:pPr>
        <w:spacing w:line="480" w:lineRule="auto"/>
        <w:ind w:firstLine="720"/>
        <w:rPr>
          <w:rFonts w:ascii="Times New Roman" w:hAnsi="Times New Roman"/>
          <w:sz w:val="24"/>
          <w:szCs w:val="24"/>
        </w:rPr>
      </w:pPr>
      <w:r w:rsidRPr="00AB729D">
        <w:rPr>
          <w:rFonts w:ascii="Times New Roman" w:hAnsi="Times New Roman"/>
          <w:sz w:val="24"/>
          <w:szCs w:val="24"/>
        </w:rPr>
        <w:t xml:space="preserve">Table </w:t>
      </w:r>
      <w:r w:rsidR="00C26DFA" w:rsidRPr="00AB729D">
        <w:rPr>
          <w:rFonts w:ascii="Times New Roman" w:hAnsi="Times New Roman"/>
          <w:sz w:val="24"/>
          <w:szCs w:val="24"/>
        </w:rPr>
        <w:t>3</w:t>
      </w:r>
      <w:r w:rsidRPr="00AB729D">
        <w:rPr>
          <w:rFonts w:ascii="Times New Roman" w:hAnsi="Times New Roman"/>
          <w:sz w:val="24"/>
          <w:szCs w:val="24"/>
        </w:rPr>
        <w:t xml:space="preserve"> presents the Pearson correlation </w:t>
      </w:r>
      <w:r w:rsidR="003E450E" w:rsidRPr="00AB729D">
        <w:rPr>
          <w:rFonts w:ascii="Times New Roman" w:hAnsi="Times New Roman"/>
          <w:sz w:val="24"/>
          <w:szCs w:val="24"/>
        </w:rPr>
        <w:t>coefficients between pairs of variables</w:t>
      </w:r>
      <w:r w:rsidRPr="00AB729D">
        <w:rPr>
          <w:rFonts w:ascii="Times New Roman" w:hAnsi="Times New Roman"/>
          <w:sz w:val="24"/>
          <w:szCs w:val="24"/>
        </w:rPr>
        <w:t xml:space="preserve">. </w:t>
      </w:r>
      <w:r w:rsidR="00000DB8" w:rsidRPr="00AB729D">
        <w:rPr>
          <w:rFonts w:ascii="Times New Roman" w:hAnsi="Times New Roman"/>
          <w:sz w:val="24"/>
          <w:szCs w:val="24"/>
        </w:rPr>
        <w:t>We observe</w:t>
      </w:r>
      <w:r w:rsidRPr="00AB729D">
        <w:rPr>
          <w:rFonts w:ascii="Times New Roman" w:hAnsi="Times New Roman"/>
          <w:sz w:val="24"/>
          <w:szCs w:val="24"/>
        </w:rPr>
        <w:t xml:space="preserve"> a significant negative correlation between institutional ownership </w:t>
      </w:r>
      <w:r w:rsidR="003E450E" w:rsidRPr="00AB729D">
        <w:rPr>
          <w:rFonts w:ascii="Times New Roman" w:hAnsi="Times New Roman"/>
          <w:sz w:val="24"/>
          <w:szCs w:val="24"/>
        </w:rPr>
        <w:t>proportions</w:t>
      </w:r>
      <w:r w:rsidR="00401660" w:rsidRPr="00AB729D">
        <w:rPr>
          <w:rFonts w:ascii="Times New Roman" w:hAnsi="Times New Roman"/>
          <w:sz w:val="24"/>
          <w:szCs w:val="24"/>
        </w:rPr>
        <w:t xml:space="preserve"> (PROP)</w:t>
      </w:r>
      <w:r w:rsidRPr="00AB729D">
        <w:rPr>
          <w:rFonts w:ascii="Times New Roman" w:hAnsi="Times New Roman"/>
          <w:sz w:val="24"/>
          <w:szCs w:val="24"/>
        </w:rPr>
        <w:t xml:space="preserve"> and </w:t>
      </w:r>
      <w:r w:rsidR="00000DB8" w:rsidRPr="00AB729D">
        <w:rPr>
          <w:rFonts w:ascii="Times New Roman" w:hAnsi="Times New Roman"/>
          <w:sz w:val="24"/>
          <w:szCs w:val="24"/>
        </w:rPr>
        <w:t xml:space="preserve">the </w:t>
      </w:r>
      <w:r w:rsidRPr="00AB729D">
        <w:rPr>
          <w:rFonts w:ascii="Times New Roman" w:hAnsi="Times New Roman"/>
          <w:sz w:val="24"/>
          <w:szCs w:val="24"/>
        </w:rPr>
        <w:t>mispricing variables</w:t>
      </w:r>
      <w:r w:rsidR="00401660" w:rsidRPr="00AB729D">
        <w:rPr>
          <w:rFonts w:ascii="Times New Roman" w:hAnsi="Times New Roman"/>
          <w:sz w:val="24"/>
          <w:szCs w:val="24"/>
        </w:rPr>
        <w:t xml:space="preserve"> (EXVRK and EXVIA)</w:t>
      </w:r>
      <w:r w:rsidR="00000DB8" w:rsidRPr="00AB729D">
        <w:rPr>
          <w:rFonts w:ascii="Times New Roman" w:hAnsi="Times New Roman"/>
          <w:sz w:val="24"/>
          <w:szCs w:val="24"/>
        </w:rPr>
        <w:t>.</w:t>
      </w:r>
      <w:r w:rsidR="00A74124" w:rsidRPr="00AB729D">
        <w:rPr>
          <w:rFonts w:ascii="Times New Roman" w:hAnsi="Times New Roman"/>
          <w:sz w:val="24"/>
          <w:szCs w:val="24"/>
        </w:rPr>
        <w:t xml:space="preserve"> </w:t>
      </w:r>
      <w:r w:rsidR="00000DB8" w:rsidRPr="00AB729D">
        <w:rPr>
          <w:rFonts w:ascii="Times New Roman" w:hAnsi="Times New Roman"/>
          <w:sz w:val="24"/>
          <w:szCs w:val="24"/>
        </w:rPr>
        <w:t>The negative correlation</w:t>
      </w:r>
      <w:r w:rsidR="00257D6A" w:rsidRPr="00AB729D">
        <w:rPr>
          <w:rFonts w:ascii="Times New Roman" w:hAnsi="Times New Roman"/>
          <w:sz w:val="24"/>
          <w:szCs w:val="24"/>
        </w:rPr>
        <w:t>s</w:t>
      </w:r>
      <w:r w:rsidR="00000DB8" w:rsidRPr="00AB729D">
        <w:rPr>
          <w:rFonts w:ascii="Times New Roman" w:hAnsi="Times New Roman"/>
          <w:sz w:val="24"/>
          <w:szCs w:val="24"/>
        </w:rPr>
        <w:t xml:space="preserve"> </w:t>
      </w:r>
      <w:r w:rsidR="00257D6A" w:rsidRPr="00AB729D">
        <w:rPr>
          <w:rFonts w:ascii="Times New Roman" w:hAnsi="Times New Roman"/>
          <w:sz w:val="24"/>
          <w:szCs w:val="24"/>
        </w:rPr>
        <w:t>of -0.0718 and -0.0616 between PROP and each of EXVRK and EXVIA, respectiv</w:t>
      </w:r>
      <w:r w:rsidR="0032376F" w:rsidRPr="00AB729D">
        <w:rPr>
          <w:rFonts w:ascii="Times New Roman" w:hAnsi="Times New Roman"/>
          <w:sz w:val="24"/>
          <w:szCs w:val="24"/>
        </w:rPr>
        <w:t xml:space="preserve">ely, </w:t>
      </w:r>
      <w:r w:rsidR="00A74124" w:rsidRPr="00AB729D">
        <w:rPr>
          <w:rFonts w:ascii="Times New Roman" w:hAnsi="Times New Roman"/>
          <w:sz w:val="24"/>
          <w:szCs w:val="24"/>
        </w:rPr>
        <w:t xml:space="preserve">suggest </w:t>
      </w:r>
      <w:r w:rsidRPr="00AB729D">
        <w:rPr>
          <w:rFonts w:ascii="Times New Roman" w:hAnsi="Times New Roman"/>
          <w:sz w:val="24"/>
          <w:szCs w:val="24"/>
        </w:rPr>
        <w:t>that higher institutional ownership proportion (</w:t>
      </w:r>
      <w:r w:rsidRPr="00AB729D">
        <w:rPr>
          <w:rFonts w:ascii="Times New Roman" w:hAnsi="Times New Roman"/>
          <w:i/>
          <w:sz w:val="24"/>
          <w:szCs w:val="24"/>
        </w:rPr>
        <w:t>PROP</w:t>
      </w:r>
      <w:r w:rsidRPr="00AB729D">
        <w:rPr>
          <w:rFonts w:ascii="Times New Roman" w:hAnsi="Times New Roman"/>
          <w:sz w:val="24"/>
          <w:szCs w:val="24"/>
        </w:rPr>
        <w:t xml:space="preserve">) is linked </w:t>
      </w:r>
      <w:r w:rsidR="00000DB8" w:rsidRPr="00AB729D">
        <w:rPr>
          <w:rFonts w:ascii="Times New Roman" w:hAnsi="Times New Roman"/>
          <w:sz w:val="24"/>
          <w:szCs w:val="24"/>
        </w:rPr>
        <w:t>with</w:t>
      </w:r>
      <w:r w:rsidRPr="00AB729D">
        <w:rPr>
          <w:rFonts w:ascii="Times New Roman" w:hAnsi="Times New Roman"/>
          <w:sz w:val="24"/>
          <w:szCs w:val="24"/>
        </w:rPr>
        <w:t xml:space="preserve"> lower equity mispricing. </w:t>
      </w:r>
      <w:r w:rsidR="00000DB8" w:rsidRPr="00AB729D">
        <w:rPr>
          <w:rFonts w:ascii="Times New Roman" w:hAnsi="Times New Roman"/>
          <w:sz w:val="24"/>
          <w:szCs w:val="24"/>
        </w:rPr>
        <w:t xml:space="preserve">Consistent </w:t>
      </w:r>
      <w:r w:rsidR="00000DB8" w:rsidRPr="00AB729D">
        <w:rPr>
          <w:rFonts w:ascii="Times New Roman" w:hAnsi="Times New Roman"/>
          <w:sz w:val="24"/>
          <w:szCs w:val="24"/>
        </w:rPr>
        <w:lastRenderedPageBreak/>
        <w:t>with the beneficial role of institutional investors’ stable presence at firms, t</w:t>
      </w:r>
      <w:r w:rsidRPr="00AB729D">
        <w:rPr>
          <w:rFonts w:ascii="Times New Roman" w:hAnsi="Times New Roman"/>
          <w:sz w:val="24"/>
          <w:szCs w:val="24"/>
        </w:rPr>
        <w:t>he relationship between institutional ownership volatility (</w:t>
      </w:r>
      <w:r w:rsidRPr="00AB729D">
        <w:rPr>
          <w:rFonts w:ascii="Times New Roman" w:hAnsi="Times New Roman"/>
          <w:i/>
          <w:sz w:val="24"/>
          <w:szCs w:val="24"/>
        </w:rPr>
        <w:t>IOV</w:t>
      </w:r>
      <w:r w:rsidRPr="00AB729D">
        <w:rPr>
          <w:rFonts w:ascii="Times New Roman" w:hAnsi="Times New Roman"/>
          <w:sz w:val="24"/>
          <w:szCs w:val="24"/>
        </w:rPr>
        <w:t xml:space="preserve">) and the mispricing </w:t>
      </w:r>
      <w:r w:rsidR="00A865E4" w:rsidRPr="00AB729D">
        <w:rPr>
          <w:rFonts w:ascii="Times New Roman" w:hAnsi="Times New Roman"/>
          <w:sz w:val="24"/>
          <w:szCs w:val="24"/>
        </w:rPr>
        <w:t>variables (EXVRK</w:t>
      </w:r>
      <w:r w:rsidR="0032376F" w:rsidRPr="00AB729D">
        <w:rPr>
          <w:rFonts w:ascii="Times New Roman" w:hAnsi="Times New Roman"/>
          <w:sz w:val="24"/>
          <w:szCs w:val="24"/>
        </w:rPr>
        <w:t xml:space="preserve"> (0.0236)</w:t>
      </w:r>
      <w:r w:rsidR="00A865E4" w:rsidRPr="00AB729D">
        <w:rPr>
          <w:rFonts w:ascii="Times New Roman" w:hAnsi="Times New Roman"/>
          <w:sz w:val="24"/>
          <w:szCs w:val="24"/>
        </w:rPr>
        <w:t xml:space="preserve"> and EXVIA</w:t>
      </w:r>
      <w:r w:rsidR="0032376F" w:rsidRPr="00AB729D">
        <w:rPr>
          <w:rFonts w:ascii="Times New Roman" w:hAnsi="Times New Roman"/>
          <w:sz w:val="24"/>
          <w:szCs w:val="24"/>
        </w:rPr>
        <w:t xml:space="preserve"> (0.0694)</w:t>
      </w:r>
      <w:r w:rsidR="00A865E4" w:rsidRPr="00AB729D">
        <w:rPr>
          <w:rFonts w:ascii="Times New Roman" w:hAnsi="Times New Roman"/>
          <w:sz w:val="24"/>
          <w:szCs w:val="24"/>
        </w:rPr>
        <w:t>)</w:t>
      </w:r>
      <w:r w:rsidRPr="00AB729D">
        <w:rPr>
          <w:rFonts w:ascii="Times New Roman" w:hAnsi="Times New Roman"/>
          <w:sz w:val="24"/>
          <w:szCs w:val="24"/>
        </w:rPr>
        <w:t xml:space="preserve"> is significantly positive. </w:t>
      </w:r>
      <w:r w:rsidR="0081273E" w:rsidRPr="00AB729D">
        <w:rPr>
          <w:rFonts w:ascii="Times New Roman" w:hAnsi="Times New Roman"/>
          <w:sz w:val="24"/>
          <w:szCs w:val="24"/>
        </w:rPr>
        <w:t xml:space="preserve">This outcome </w:t>
      </w:r>
      <w:r w:rsidR="00000DB8" w:rsidRPr="00AB729D">
        <w:rPr>
          <w:rFonts w:ascii="Times New Roman" w:hAnsi="Times New Roman"/>
          <w:sz w:val="24"/>
          <w:szCs w:val="24"/>
        </w:rPr>
        <w:t>suggests</w:t>
      </w:r>
      <w:r w:rsidRPr="00AB729D">
        <w:rPr>
          <w:rFonts w:ascii="Times New Roman" w:hAnsi="Times New Roman"/>
          <w:sz w:val="24"/>
          <w:szCs w:val="24"/>
        </w:rPr>
        <w:t xml:space="preserve"> that higher institutional ownership volatility</w:t>
      </w:r>
      <w:r w:rsidR="00000DB8" w:rsidRPr="00AB729D">
        <w:rPr>
          <w:rFonts w:ascii="Times New Roman" w:hAnsi="Times New Roman"/>
          <w:sz w:val="24"/>
          <w:szCs w:val="24"/>
        </w:rPr>
        <w:t xml:space="preserve"> (IOV)</w:t>
      </w:r>
      <w:r w:rsidRPr="00AB729D">
        <w:rPr>
          <w:rFonts w:ascii="Times New Roman" w:hAnsi="Times New Roman"/>
          <w:sz w:val="24"/>
          <w:szCs w:val="24"/>
        </w:rPr>
        <w:t xml:space="preserve"> is associated with increased equity mispricing.</w:t>
      </w:r>
      <w:r w:rsidR="00000DB8" w:rsidRPr="00AB729D">
        <w:rPr>
          <w:rFonts w:ascii="Times New Roman" w:hAnsi="Times New Roman"/>
          <w:sz w:val="24"/>
          <w:szCs w:val="24"/>
        </w:rPr>
        <w:t xml:space="preserve"> We also find </w:t>
      </w:r>
      <w:r w:rsidRPr="00AB729D">
        <w:rPr>
          <w:rFonts w:ascii="Times New Roman" w:hAnsi="Times New Roman"/>
          <w:sz w:val="24"/>
          <w:szCs w:val="24"/>
        </w:rPr>
        <w:t xml:space="preserve">a significant positive correlation </w:t>
      </w:r>
      <w:r w:rsidR="00000DB8" w:rsidRPr="00AB729D">
        <w:rPr>
          <w:rFonts w:ascii="Times New Roman" w:hAnsi="Times New Roman"/>
          <w:sz w:val="24"/>
          <w:szCs w:val="24"/>
        </w:rPr>
        <w:t xml:space="preserve">between the two proxies of </w:t>
      </w:r>
      <w:r w:rsidR="0032376F" w:rsidRPr="00AB729D">
        <w:rPr>
          <w:rFonts w:ascii="Times New Roman" w:hAnsi="Times New Roman"/>
          <w:sz w:val="24"/>
          <w:szCs w:val="24"/>
        </w:rPr>
        <w:t xml:space="preserve">mispricing </w:t>
      </w:r>
      <w:r w:rsidR="00000DB8" w:rsidRPr="00AB729D">
        <w:rPr>
          <w:rFonts w:ascii="Times New Roman" w:hAnsi="Times New Roman"/>
          <w:sz w:val="24"/>
          <w:szCs w:val="24"/>
        </w:rPr>
        <w:t>, i.e. EXVRK and EXVIA</w:t>
      </w:r>
      <w:r w:rsidR="0032376F" w:rsidRPr="00AB729D">
        <w:rPr>
          <w:rFonts w:ascii="Times New Roman" w:hAnsi="Times New Roman"/>
          <w:sz w:val="24"/>
          <w:szCs w:val="24"/>
        </w:rPr>
        <w:t xml:space="preserve"> (the correlation coefficient is 0.2859)</w:t>
      </w:r>
      <w:r w:rsidR="00000DB8" w:rsidRPr="00AB729D">
        <w:rPr>
          <w:rFonts w:ascii="Times New Roman" w:hAnsi="Times New Roman"/>
          <w:sz w:val="24"/>
          <w:szCs w:val="24"/>
        </w:rPr>
        <w:t xml:space="preserve">. </w:t>
      </w:r>
    </w:p>
    <w:p w14:paraId="41584523" w14:textId="150DF80E" w:rsidR="004C34FA" w:rsidRPr="00AB729D" w:rsidRDefault="004C34FA" w:rsidP="004C34FA">
      <w:pPr>
        <w:spacing w:line="480" w:lineRule="auto"/>
        <w:ind w:firstLine="720"/>
        <w:jc w:val="center"/>
        <w:rPr>
          <w:rFonts w:ascii="Times New Roman" w:eastAsiaTheme="minorHAnsi" w:hAnsi="Times New Roman"/>
          <w:sz w:val="24"/>
          <w:szCs w:val="24"/>
        </w:rPr>
      </w:pPr>
      <w:r w:rsidRPr="00AB729D">
        <w:rPr>
          <w:rFonts w:ascii="Times New Roman" w:eastAsiaTheme="minorHAnsi" w:hAnsi="Times New Roman"/>
          <w:sz w:val="24"/>
          <w:szCs w:val="24"/>
        </w:rPr>
        <w:t>[INSERT TABLE 3 ABOUT HERE]</w:t>
      </w:r>
    </w:p>
    <w:p w14:paraId="6F2DA651" w14:textId="0C881D8E" w:rsidR="00CD44A5" w:rsidRPr="00AB729D" w:rsidRDefault="00CD44A5" w:rsidP="00C4120C">
      <w:pPr>
        <w:pStyle w:val="ListParagraph"/>
        <w:numPr>
          <w:ilvl w:val="1"/>
          <w:numId w:val="14"/>
        </w:numPr>
        <w:rPr>
          <w:rFonts w:ascii="Times New Roman" w:hAnsi="Times New Roman"/>
          <w:b/>
          <w:sz w:val="24"/>
          <w:szCs w:val="24"/>
        </w:rPr>
      </w:pPr>
      <w:bookmarkStart w:id="9" w:name="_Toc474489298"/>
      <w:r w:rsidRPr="00AB729D">
        <w:rPr>
          <w:rFonts w:ascii="Times New Roman" w:hAnsi="Times New Roman"/>
          <w:b/>
          <w:sz w:val="24"/>
          <w:szCs w:val="24"/>
        </w:rPr>
        <w:t xml:space="preserve">Univariate </w:t>
      </w:r>
      <w:r w:rsidR="00B50516" w:rsidRPr="00AB729D">
        <w:rPr>
          <w:rFonts w:ascii="Times New Roman" w:hAnsi="Times New Roman"/>
          <w:b/>
          <w:sz w:val="24"/>
          <w:szCs w:val="24"/>
        </w:rPr>
        <w:t>A</w:t>
      </w:r>
      <w:r w:rsidR="00753C75" w:rsidRPr="00AB729D">
        <w:rPr>
          <w:rFonts w:ascii="Times New Roman" w:hAnsi="Times New Roman"/>
          <w:b/>
          <w:sz w:val="24"/>
          <w:szCs w:val="24"/>
        </w:rPr>
        <w:t>nalysis</w:t>
      </w:r>
      <w:bookmarkEnd w:id="9"/>
    </w:p>
    <w:p w14:paraId="4552680A" w14:textId="3E22D733" w:rsidR="00753C75" w:rsidRPr="00AB729D" w:rsidRDefault="00753C75" w:rsidP="00C26DFA">
      <w:pPr>
        <w:spacing w:line="480" w:lineRule="auto"/>
        <w:ind w:firstLine="720"/>
        <w:rPr>
          <w:rFonts w:ascii="Times New Roman" w:hAnsi="Times New Roman"/>
          <w:sz w:val="24"/>
          <w:szCs w:val="24"/>
        </w:rPr>
      </w:pPr>
      <w:r w:rsidRPr="00AB729D">
        <w:rPr>
          <w:rFonts w:ascii="Times New Roman" w:hAnsi="Times New Roman"/>
          <w:sz w:val="24"/>
          <w:szCs w:val="24"/>
        </w:rPr>
        <w:t xml:space="preserve">Table </w:t>
      </w:r>
      <w:r w:rsidR="00C26DFA" w:rsidRPr="00AB729D">
        <w:rPr>
          <w:rFonts w:ascii="Times New Roman" w:hAnsi="Times New Roman"/>
          <w:sz w:val="24"/>
          <w:szCs w:val="24"/>
        </w:rPr>
        <w:t>4</w:t>
      </w:r>
      <w:r w:rsidRPr="00AB729D">
        <w:rPr>
          <w:rFonts w:ascii="Times New Roman" w:hAnsi="Times New Roman"/>
          <w:sz w:val="24"/>
          <w:szCs w:val="24"/>
        </w:rPr>
        <w:t xml:space="preserve"> reports the mean and median of </w:t>
      </w:r>
      <w:r w:rsidR="00CA11DF" w:rsidRPr="00AB729D">
        <w:rPr>
          <w:rFonts w:ascii="Times New Roman" w:hAnsi="Times New Roman"/>
          <w:sz w:val="24"/>
          <w:szCs w:val="24"/>
        </w:rPr>
        <w:t>the mispricing</w:t>
      </w:r>
      <w:r w:rsidRPr="00AB729D">
        <w:rPr>
          <w:rFonts w:ascii="Times New Roman" w:hAnsi="Times New Roman"/>
          <w:sz w:val="24"/>
          <w:szCs w:val="24"/>
        </w:rPr>
        <w:t xml:space="preserve"> variables (</w:t>
      </w:r>
      <w:r w:rsidR="00CA11DF" w:rsidRPr="00AB729D">
        <w:rPr>
          <w:rFonts w:ascii="Times New Roman" w:hAnsi="Times New Roman"/>
          <w:sz w:val="24"/>
          <w:szCs w:val="24"/>
        </w:rPr>
        <w:t xml:space="preserve">i.e., </w:t>
      </w:r>
      <w:r w:rsidRPr="00AB729D">
        <w:rPr>
          <w:rFonts w:ascii="Times New Roman" w:hAnsi="Times New Roman"/>
          <w:i/>
          <w:sz w:val="24"/>
          <w:szCs w:val="24"/>
        </w:rPr>
        <w:t>EXVRK</w:t>
      </w:r>
      <w:r w:rsidRPr="00AB729D">
        <w:rPr>
          <w:rFonts w:ascii="Times New Roman" w:hAnsi="Times New Roman"/>
          <w:sz w:val="24"/>
          <w:szCs w:val="24"/>
        </w:rPr>
        <w:t xml:space="preserve"> and </w:t>
      </w:r>
      <w:r w:rsidRPr="00AB729D">
        <w:rPr>
          <w:rFonts w:ascii="Times New Roman" w:hAnsi="Times New Roman"/>
          <w:i/>
          <w:sz w:val="24"/>
          <w:szCs w:val="24"/>
        </w:rPr>
        <w:t>EXVIA</w:t>
      </w:r>
      <w:r w:rsidRPr="00AB729D">
        <w:rPr>
          <w:rFonts w:ascii="Times New Roman" w:hAnsi="Times New Roman"/>
          <w:sz w:val="24"/>
          <w:szCs w:val="24"/>
        </w:rPr>
        <w:t>) by quartiles of the institutional ownership variables (</w:t>
      </w:r>
      <w:r w:rsidRPr="00AB729D">
        <w:rPr>
          <w:rFonts w:ascii="Times New Roman" w:hAnsi="Times New Roman"/>
          <w:i/>
          <w:sz w:val="24"/>
          <w:szCs w:val="24"/>
        </w:rPr>
        <w:t>IOV</w:t>
      </w:r>
      <w:r w:rsidRPr="00AB729D">
        <w:rPr>
          <w:rFonts w:ascii="Times New Roman" w:hAnsi="Times New Roman"/>
          <w:sz w:val="24"/>
          <w:szCs w:val="24"/>
        </w:rPr>
        <w:t xml:space="preserve"> </w:t>
      </w:r>
      <w:r w:rsidR="00A865E4" w:rsidRPr="00AB729D">
        <w:rPr>
          <w:rFonts w:ascii="Times New Roman" w:hAnsi="Times New Roman"/>
          <w:sz w:val="24"/>
          <w:szCs w:val="24"/>
        </w:rPr>
        <w:t xml:space="preserve">in Panel A </w:t>
      </w:r>
      <w:r w:rsidRPr="00AB729D">
        <w:rPr>
          <w:rFonts w:ascii="Times New Roman" w:hAnsi="Times New Roman"/>
          <w:sz w:val="24"/>
          <w:szCs w:val="24"/>
        </w:rPr>
        <w:t xml:space="preserve">and </w:t>
      </w:r>
      <w:r w:rsidRPr="00AB729D">
        <w:rPr>
          <w:rFonts w:ascii="Times New Roman" w:hAnsi="Times New Roman"/>
          <w:i/>
          <w:sz w:val="24"/>
          <w:szCs w:val="24"/>
        </w:rPr>
        <w:t>PROP</w:t>
      </w:r>
      <w:r w:rsidR="00A865E4" w:rsidRPr="00AB729D">
        <w:rPr>
          <w:rFonts w:ascii="Times New Roman" w:hAnsi="Times New Roman"/>
          <w:sz w:val="24"/>
          <w:szCs w:val="24"/>
        </w:rPr>
        <w:t xml:space="preserve"> in Panel B</w:t>
      </w:r>
      <w:r w:rsidRPr="00AB729D">
        <w:rPr>
          <w:rFonts w:ascii="Times New Roman" w:hAnsi="Times New Roman"/>
          <w:sz w:val="24"/>
          <w:szCs w:val="24"/>
        </w:rPr>
        <w:t xml:space="preserve">). </w:t>
      </w:r>
      <w:r w:rsidR="0081273E" w:rsidRPr="00AB729D">
        <w:rPr>
          <w:rFonts w:ascii="Times New Roman" w:hAnsi="Times New Roman"/>
          <w:sz w:val="24"/>
          <w:szCs w:val="24"/>
        </w:rPr>
        <w:t xml:space="preserve">We conduct both a </w:t>
      </w:r>
      <w:r w:rsidRPr="00AB729D">
        <w:rPr>
          <w:rFonts w:ascii="Times New Roman" w:hAnsi="Times New Roman"/>
          <w:i/>
          <w:sz w:val="24"/>
          <w:szCs w:val="24"/>
        </w:rPr>
        <w:t>t</w:t>
      </w:r>
      <w:r w:rsidRPr="00AB729D">
        <w:rPr>
          <w:rFonts w:ascii="Times New Roman" w:hAnsi="Times New Roman"/>
          <w:sz w:val="24"/>
          <w:szCs w:val="24"/>
        </w:rPr>
        <w:t xml:space="preserve">-test and Wilcoxon test </w:t>
      </w:r>
      <w:r w:rsidR="0081273E" w:rsidRPr="00AB729D">
        <w:rPr>
          <w:rFonts w:ascii="Times New Roman" w:hAnsi="Times New Roman"/>
          <w:sz w:val="24"/>
          <w:szCs w:val="24"/>
        </w:rPr>
        <w:t>to investigate whether there are</w:t>
      </w:r>
      <w:r w:rsidRPr="00AB729D">
        <w:rPr>
          <w:rFonts w:ascii="Times New Roman" w:hAnsi="Times New Roman"/>
          <w:sz w:val="24"/>
          <w:szCs w:val="24"/>
        </w:rPr>
        <w:t xml:space="preserve"> significant differences in </w:t>
      </w:r>
      <w:r w:rsidR="00CA11DF" w:rsidRPr="00AB729D">
        <w:rPr>
          <w:rFonts w:ascii="Times New Roman" w:hAnsi="Times New Roman"/>
          <w:sz w:val="24"/>
          <w:szCs w:val="24"/>
        </w:rPr>
        <w:t>the mispricing</w:t>
      </w:r>
      <w:r w:rsidRPr="00AB729D">
        <w:rPr>
          <w:rFonts w:ascii="Times New Roman" w:hAnsi="Times New Roman"/>
          <w:sz w:val="24"/>
          <w:szCs w:val="24"/>
        </w:rPr>
        <w:t xml:space="preserve"> variables between the quartiles with high and low institutional ownership variables.</w:t>
      </w:r>
    </w:p>
    <w:p w14:paraId="056E0FCB" w14:textId="0C20BFF5" w:rsidR="00753C75" w:rsidRPr="00AB729D" w:rsidRDefault="00753C75" w:rsidP="00C26DFA">
      <w:pPr>
        <w:spacing w:line="480" w:lineRule="auto"/>
        <w:ind w:firstLine="720"/>
        <w:rPr>
          <w:rFonts w:ascii="Times New Roman" w:hAnsi="Times New Roman"/>
          <w:sz w:val="24"/>
          <w:szCs w:val="24"/>
        </w:rPr>
      </w:pPr>
      <w:r w:rsidRPr="00AB729D">
        <w:rPr>
          <w:rFonts w:ascii="Times New Roman" w:hAnsi="Times New Roman"/>
          <w:sz w:val="24"/>
          <w:szCs w:val="24"/>
        </w:rPr>
        <w:t xml:space="preserve">Panel A of Table </w:t>
      </w:r>
      <w:r w:rsidR="00C26DFA" w:rsidRPr="00AB729D">
        <w:rPr>
          <w:rFonts w:ascii="Times New Roman" w:hAnsi="Times New Roman"/>
          <w:sz w:val="24"/>
          <w:szCs w:val="24"/>
        </w:rPr>
        <w:t>4</w:t>
      </w:r>
      <w:r w:rsidRPr="00AB729D">
        <w:rPr>
          <w:rFonts w:ascii="Times New Roman" w:hAnsi="Times New Roman"/>
          <w:sz w:val="24"/>
          <w:szCs w:val="24"/>
        </w:rPr>
        <w:t xml:space="preserve"> shows the mean and median mispricing for firms with the lowest (Q1) and highest (Q4) level of </w:t>
      </w:r>
      <w:r w:rsidRPr="00AB729D">
        <w:rPr>
          <w:rFonts w:ascii="Times New Roman" w:hAnsi="Times New Roman"/>
          <w:i/>
          <w:sz w:val="24"/>
          <w:szCs w:val="24"/>
        </w:rPr>
        <w:t>IOV</w:t>
      </w:r>
      <w:r w:rsidRPr="00AB729D">
        <w:rPr>
          <w:rFonts w:ascii="Times New Roman" w:hAnsi="Times New Roman"/>
          <w:sz w:val="24"/>
          <w:szCs w:val="24"/>
        </w:rPr>
        <w:t xml:space="preserve">. Firms with </w:t>
      </w:r>
      <w:r w:rsidR="00CA11DF" w:rsidRPr="00AB729D">
        <w:rPr>
          <w:rFonts w:ascii="Times New Roman" w:hAnsi="Times New Roman"/>
          <w:sz w:val="24"/>
          <w:szCs w:val="24"/>
        </w:rPr>
        <w:t xml:space="preserve">the </w:t>
      </w:r>
      <w:r w:rsidRPr="00AB729D">
        <w:rPr>
          <w:rFonts w:ascii="Times New Roman" w:hAnsi="Times New Roman"/>
          <w:sz w:val="24"/>
          <w:szCs w:val="24"/>
        </w:rPr>
        <w:t>high</w:t>
      </w:r>
      <w:r w:rsidR="00CA11DF" w:rsidRPr="00AB729D">
        <w:rPr>
          <w:rFonts w:ascii="Times New Roman" w:hAnsi="Times New Roman"/>
          <w:sz w:val="24"/>
          <w:szCs w:val="24"/>
        </w:rPr>
        <w:t>est</w:t>
      </w:r>
      <w:r w:rsidRPr="00AB729D">
        <w:rPr>
          <w:rFonts w:ascii="Times New Roman" w:hAnsi="Times New Roman"/>
          <w:sz w:val="24"/>
          <w:szCs w:val="24"/>
        </w:rPr>
        <w:t xml:space="preserve"> institutional ownership volatility </w:t>
      </w:r>
      <w:r w:rsidR="00CA11DF" w:rsidRPr="00AB729D">
        <w:rPr>
          <w:rFonts w:ascii="Times New Roman" w:hAnsi="Times New Roman"/>
          <w:sz w:val="24"/>
          <w:szCs w:val="24"/>
        </w:rPr>
        <w:t>(</w:t>
      </w:r>
      <w:r w:rsidR="00CA11DF" w:rsidRPr="00AB729D">
        <w:rPr>
          <w:rFonts w:ascii="Times New Roman" w:hAnsi="Times New Roman"/>
          <w:i/>
          <w:sz w:val="24"/>
          <w:szCs w:val="24"/>
        </w:rPr>
        <w:t>IOV</w:t>
      </w:r>
      <w:r w:rsidR="00CA11DF" w:rsidRPr="00AB729D">
        <w:rPr>
          <w:rFonts w:ascii="Times New Roman" w:hAnsi="Times New Roman"/>
          <w:sz w:val="24"/>
          <w:szCs w:val="24"/>
        </w:rPr>
        <w:t xml:space="preserve"> in Quartile 4) exhibit </w:t>
      </w:r>
      <w:r w:rsidRPr="00AB729D">
        <w:rPr>
          <w:rFonts w:ascii="Times New Roman" w:hAnsi="Times New Roman"/>
          <w:sz w:val="24"/>
          <w:szCs w:val="24"/>
        </w:rPr>
        <w:t>greater mispricing</w:t>
      </w:r>
      <w:r w:rsidR="00CA11DF" w:rsidRPr="00AB729D">
        <w:rPr>
          <w:rFonts w:ascii="Times New Roman" w:hAnsi="Times New Roman"/>
          <w:sz w:val="24"/>
          <w:szCs w:val="24"/>
        </w:rPr>
        <w:t xml:space="preserve"> than firms in the bottom quartile (i.e., Quartile 1)</w:t>
      </w:r>
      <w:r w:rsidRPr="00AB729D">
        <w:rPr>
          <w:rFonts w:ascii="Times New Roman" w:hAnsi="Times New Roman"/>
          <w:sz w:val="24"/>
          <w:szCs w:val="24"/>
        </w:rPr>
        <w:t xml:space="preserve">. The differences in the mean and median values of </w:t>
      </w:r>
      <w:r w:rsidR="00CA11DF" w:rsidRPr="00AB729D">
        <w:rPr>
          <w:rFonts w:ascii="Times New Roman" w:hAnsi="Times New Roman"/>
          <w:i/>
          <w:sz w:val="24"/>
          <w:szCs w:val="24"/>
        </w:rPr>
        <w:t>IOV</w:t>
      </w:r>
      <w:r w:rsidRPr="00AB729D">
        <w:rPr>
          <w:rFonts w:ascii="Times New Roman" w:hAnsi="Times New Roman"/>
          <w:sz w:val="24"/>
          <w:szCs w:val="24"/>
        </w:rPr>
        <w:t xml:space="preserve"> between the bottom and top quartiles are negative and statistically significant at </w:t>
      </w:r>
      <w:r w:rsidR="00AC1CCD" w:rsidRPr="00AB729D">
        <w:rPr>
          <w:rFonts w:ascii="Times New Roman" w:hAnsi="Times New Roman"/>
          <w:sz w:val="24"/>
          <w:szCs w:val="24"/>
        </w:rPr>
        <w:t xml:space="preserve">the </w:t>
      </w:r>
      <w:r w:rsidRPr="00AB729D">
        <w:rPr>
          <w:rFonts w:ascii="Times New Roman" w:hAnsi="Times New Roman"/>
          <w:sz w:val="24"/>
          <w:szCs w:val="24"/>
        </w:rPr>
        <w:t>1% level</w:t>
      </w:r>
      <w:r w:rsidR="0081273E" w:rsidRPr="00AB729D">
        <w:rPr>
          <w:rFonts w:ascii="Times New Roman" w:hAnsi="Times New Roman"/>
          <w:sz w:val="24"/>
          <w:szCs w:val="24"/>
        </w:rPr>
        <w:t xml:space="preserve"> which further validates our earlier findings</w:t>
      </w:r>
      <w:r w:rsidRPr="00AB729D">
        <w:rPr>
          <w:rFonts w:ascii="Times New Roman" w:hAnsi="Times New Roman"/>
          <w:sz w:val="24"/>
          <w:szCs w:val="24"/>
        </w:rPr>
        <w:t>.</w:t>
      </w:r>
    </w:p>
    <w:p w14:paraId="2BD648DD" w14:textId="62C240F6" w:rsidR="00CA11DF" w:rsidRPr="00AB729D" w:rsidRDefault="00753C75" w:rsidP="00C26DFA">
      <w:pPr>
        <w:spacing w:line="480" w:lineRule="auto"/>
        <w:ind w:firstLine="720"/>
        <w:rPr>
          <w:rFonts w:ascii="Times New Roman" w:hAnsi="Times New Roman"/>
          <w:sz w:val="24"/>
          <w:szCs w:val="24"/>
        </w:rPr>
      </w:pPr>
      <w:r w:rsidRPr="00AB729D">
        <w:rPr>
          <w:rFonts w:ascii="Times New Roman" w:hAnsi="Times New Roman"/>
          <w:sz w:val="24"/>
          <w:szCs w:val="24"/>
        </w:rPr>
        <w:t xml:space="preserve">Panel B of Table </w:t>
      </w:r>
      <w:r w:rsidR="00C26DFA" w:rsidRPr="00AB729D">
        <w:rPr>
          <w:rFonts w:ascii="Times New Roman" w:hAnsi="Times New Roman"/>
          <w:sz w:val="24"/>
          <w:szCs w:val="24"/>
        </w:rPr>
        <w:t>4</w:t>
      </w:r>
      <w:r w:rsidRPr="00AB729D">
        <w:rPr>
          <w:rFonts w:ascii="Times New Roman" w:hAnsi="Times New Roman"/>
          <w:sz w:val="24"/>
          <w:szCs w:val="24"/>
        </w:rPr>
        <w:t xml:space="preserve"> shows the mean and median mispricing for firms with the lowest (Q1) and highest (Q4) levels of </w:t>
      </w:r>
      <w:r w:rsidRPr="00AB729D">
        <w:rPr>
          <w:rFonts w:ascii="Times New Roman" w:hAnsi="Times New Roman"/>
          <w:i/>
          <w:sz w:val="24"/>
          <w:szCs w:val="24"/>
        </w:rPr>
        <w:t>PROP</w:t>
      </w:r>
      <w:r w:rsidR="00AC1CCD" w:rsidRPr="00AB729D">
        <w:rPr>
          <w:rFonts w:ascii="Times New Roman" w:hAnsi="Times New Roman"/>
          <w:sz w:val="24"/>
          <w:szCs w:val="24"/>
        </w:rPr>
        <w:t>, which represents the proportion of equity held by institutional investors</w:t>
      </w:r>
      <w:r w:rsidRPr="00AB729D">
        <w:rPr>
          <w:rFonts w:ascii="Times New Roman" w:hAnsi="Times New Roman"/>
          <w:sz w:val="24"/>
          <w:szCs w:val="24"/>
        </w:rPr>
        <w:t>. Firms with</w:t>
      </w:r>
      <w:r w:rsidR="000C47F2" w:rsidRPr="00AB729D">
        <w:rPr>
          <w:rFonts w:ascii="Times New Roman" w:hAnsi="Times New Roman"/>
          <w:sz w:val="24"/>
          <w:szCs w:val="24"/>
        </w:rPr>
        <w:t xml:space="preserve"> </w:t>
      </w:r>
      <w:r w:rsidR="00CA11DF" w:rsidRPr="00AB729D">
        <w:rPr>
          <w:rFonts w:ascii="Times New Roman" w:hAnsi="Times New Roman"/>
          <w:sz w:val="24"/>
          <w:szCs w:val="24"/>
        </w:rPr>
        <w:t xml:space="preserve">the </w:t>
      </w:r>
      <w:r w:rsidRPr="00AB729D">
        <w:rPr>
          <w:rFonts w:ascii="Times New Roman" w:hAnsi="Times New Roman"/>
          <w:sz w:val="24"/>
          <w:szCs w:val="24"/>
        </w:rPr>
        <w:t>high</w:t>
      </w:r>
      <w:r w:rsidR="00CA11DF" w:rsidRPr="00AB729D">
        <w:rPr>
          <w:rFonts w:ascii="Times New Roman" w:hAnsi="Times New Roman"/>
          <w:sz w:val="24"/>
          <w:szCs w:val="24"/>
        </w:rPr>
        <w:t>est</w:t>
      </w:r>
      <w:r w:rsidRPr="00AB729D">
        <w:rPr>
          <w:rFonts w:ascii="Times New Roman" w:hAnsi="Times New Roman"/>
          <w:sz w:val="24"/>
          <w:szCs w:val="24"/>
        </w:rPr>
        <w:t xml:space="preserve"> level of </w:t>
      </w:r>
      <w:r w:rsidRPr="00AB729D">
        <w:rPr>
          <w:rFonts w:ascii="Times New Roman" w:hAnsi="Times New Roman"/>
          <w:i/>
          <w:sz w:val="24"/>
          <w:szCs w:val="24"/>
        </w:rPr>
        <w:t>PROP</w:t>
      </w:r>
      <w:r w:rsidRPr="00AB729D">
        <w:rPr>
          <w:rFonts w:ascii="Times New Roman" w:hAnsi="Times New Roman"/>
          <w:sz w:val="24"/>
          <w:szCs w:val="24"/>
        </w:rPr>
        <w:t xml:space="preserve"> </w:t>
      </w:r>
      <w:r w:rsidR="00CA11DF" w:rsidRPr="00AB729D">
        <w:rPr>
          <w:rFonts w:ascii="Times New Roman" w:hAnsi="Times New Roman"/>
          <w:sz w:val="24"/>
          <w:szCs w:val="24"/>
        </w:rPr>
        <w:t xml:space="preserve">(i.e., Quartile 4) exhibit </w:t>
      </w:r>
      <w:r w:rsidRPr="00AB729D">
        <w:rPr>
          <w:rFonts w:ascii="Times New Roman" w:hAnsi="Times New Roman"/>
          <w:sz w:val="24"/>
          <w:szCs w:val="24"/>
        </w:rPr>
        <w:t>less mispricing</w:t>
      </w:r>
      <w:r w:rsidR="00CA11DF" w:rsidRPr="00AB729D">
        <w:rPr>
          <w:rFonts w:ascii="Times New Roman" w:hAnsi="Times New Roman"/>
          <w:sz w:val="24"/>
          <w:szCs w:val="24"/>
        </w:rPr>
        <w:t xml:space="preserve"> than firms in Quartile 1 with the lowest values of </w:t>
      </w:r>
      <w:r w:rsidR="00CA11DF" w:rsidRPr="00AB729D">
        <w:rPr>
          <w:rFonts w:ascii="Times New Roman" w:hAnsi="Times New Roman"/>
          <w:i/>
          <w:sz w:val="24"/>
          <w:szCs w:val="24"/>
        </w:rPr>
        <w:t>PROP</w:t>
      </w:r>
      <w:r w:rsidRPr="00AB729D">
        <w:rPr>
          <w:rFonts w:ascii="Times New Roman" w:hAnsi="Times New Roman"/>
          <w:sz w:val="24"/>
          <w:szCs w:val="24"/>
        </w:rPr>
        <w:t xml:space="preserve">. The differences in the mean and median </w:t>
      </w:r>
      <w:r w:rsidRPr="00AB729D">
        <w:rPr>
          <w:rFonts w:ascii="Times New Roman" w:hAnsi="Times New Roman"/>
          <w:sz w:val="24"/>
          <w:szCs w:val="24"/>
        </w:rPr>
        <w:lastRenderedPageBreak/>
        <w:t xml:space="preserve">values of </w:t>
      </w:r>
      <w:r w:rsidR="00CA11DF" w:rsidRPr="00AB729D">
        <w:rPr>
          <w:rFonts w:ascii="Times New Roman" w:hAnsi="Times New Roman"/>
          <w:sz w:val="24"/>
          <w:szCs w:val="24"/>
        </w:rPr>
        <w:t>the mispricing</w:t>
      </w:r>
      <w:r w:rsidRPr="00AB729D">
        <w:rPr>
          <w:rFonts w:ascii="Times New Roman" w:hAnsi="Times New Roman"/>
          <w:sz w:val="24"/>
          <w:szCs w:val="24"/>
        </w:rPr>
        <w:t xml:space="preserve"> variables between the bottom and top quartiles are negative and statistically significant at the 1% level.</w:t>
      </w:r>
      <w:r w:rsidR="000C47F2" w:rsidRPr="00AB729D">
        <w:rPr>
          <w:rFonts w:ascii="Times New Roman" w:hAnsi="Times New Roman"/>
          <w:sz w:val="24"/>
          <w:szCs w:val="24"/>
        </w:rPr>
        <w:t xml:space="preserve"> </w:t>
      </w:r>
      <w:r w:rsidR="00CA11DF" w:rsidRPr="00AB729D">
        <w:rPr>
          <w:rFonts w:ascii="Times New Roman" w:hAnsi="Times New Roman"/>
          <w:sz w:val="24"/>
          <w:szCs w:val="24"/>
        </w:rPr>
        <w:t xml:space="preserve">Thus, </w:t>
      </w:r>
      <w:r w:rsidR="007A4FB3" w:rsidRPr="00AB729D">
        <w:rPr>
          <w:rFonts w:ascii="Times New Roman" w:hAnsi="Times New Roman"/>
          <w:sz w:val="24"/>
          <w:szCs w:val="24"/>
        </w:rPr>
        <w:t xml:space="preserve">Table 4 findings suggest that </w:t>
      </w:r>
      <w:r w:rsidR="00CA11DF" w:rsidRPr="00AB729D">
        <w:rPr>
          <w:rFonts w:ascii="Times New Roman" w:hAnsi="Times New Roman"/>
          <w:sz w:val="24"/>
          <w:szCs w:val="24"/>
        </w:rPr>
        <w:t xml:space="preserve">high institutional ownership (i.e., </w:t>
      </w:r>
      <w:r w:rsidR="00CA11DF" w:rsidRPr="00AB729D">
        <w:rPr>
          <w:rFonts w:ascii="Times New Roman" w:hAnsi="Times New Roman"/>
          <w:i/>
          <w:sz w:val="24"/>
          <w:szCs w:val="24"/>
        </w:rPr>
        <w:t>PROP</w:t>
      </w:r>
      <w:r w:rsidR="00CA11DF" w:rsidRPr="00AB729D">
        <w:rPr>
          <w:rFonts w:ascii="Times New Roman" w:hAnsi="Times New Roman"/>
          <w:sz w:val="24"/>
          <w:szCs w:val="24"/>
        </w:rPr>
        <w:t>) and low volatility in their shareholdings (</w:t>
      </w:r>
      <w:r w:rsidR="003774FE" w:rsidRPr="00AB729D">
        <w:rPr>
          <w:rFonts w:ascii="Times New Roman" w:hAnsi="Times New Roman"/>
          <w:sz w:val="24"/>
          <w:szCs w:val="24"/>
        </w:rPr>
        <w:t>prox</w:t>
      </w:r>
      <w:r w:rsidR="007A4FB3" w:rsidRPr="00AB729D">
        <w:rPr>
          <w:rFonts w:ascii="Times New Roman" w:hAnsi="Times New Roman"/>
          <w:sz w:val="24"/>
          <w:szCs w:val="24"/>
        </w:rPr>
        <w:t>ied</w:t>
      </w:r>
      <w:r w:rsidR="00CA11DF" w:rsidRPr="00AB729D">
        <w:rPr>
          <w:rFonts w:ascii="Times New Roman" w:hAnsi="Times New Roman"/>
          <w:sz w:val="24"/>
          <w:szCs w:val="24"/>
        </w:rPr>
        <w:t xml:space="preserve"> by </w:t>
      </w:r>
      <w:r w:rsidR="00CA11DF" w:rsidRPr="00AB729D">
        <w:rPr>
          <w:rFonts w:ascii="Times New Roman" w:hAnsi="Times New Roman"/>
          <w:i/>
          <w:sz w:val="24"/>
          <w:szCs w:val="24"/>
        </w:rPr>
        <w:t>IOV</w:t>
      </w:r>
      <w:r w:rsidR="00CA11DF" w:rsidRPr="00AB729D">
        <w:rPr>
          <w:rFonts w:ascii="Times New Roman" w:hAnsi="Times New Roman"/>
          <w:sz w:val="24"/>
          <w:szCs w:val="24"/>
        </w:rPr>
        <w:t xml:space="preserve">) </w:t>
      </w:r>
      <w:r w:rsidR="003774FE" w:rsidRPr="00AB729D">
        <w:rPr>
          <w:rFonts w:ascii="Times New Roman" w:hAnsi="Times New Roman"/>
          <w:sz w:val="24"/>
          <w:szCs w:val="24"/>
        </w:rPr>
        <w:t xml:space="preserve">are associated with less mispricing (i.e., </w:t>
      </w:r>
      <w:r w:rsidR="003774FE" w:rsidRPr="00AB729D">
        <w:rPr>
          <w:rFonts w:ascii="Times New Roman" w:hAnsi="Times New Roman"/>
          <w:i/>
          <w:sz w:val="24"/>
          <w:szCs w:val="24"/>
        </w:rPr>
        <w:t>EXVRK</w:t>
      </w:r>
      <w:r w:rsidR="003774FE" w:rsidRPr="00AB729D">
        <w:rPr>
          <w:rFonts w:ascii="Times New Roman" w:hAnsi="Times New Roman"/>
          <w:sz w:val="24"/>
          <w:szCs w:val="24"/>
        </w:rPr>
        <w:t xml:space="preserve"> and </w:t>
      </w:r>
      <w:r w:rsidR="003774FE" w:rsidRPr="00AB729D">
        <w:rPr>
          <w:rFonts w:ascii="Times New Roman" w:hAnsi="Times New Roman"/>
          <w:i/>
          <w:sz w:val="24"/>
          <w:szCs w:val="24"/>
        </w:rPr>
        <w:t>EXVIA</w:t>
      </w:r>
      <w:r w:rsidR="003774FE" w:rsidRPr="00AB729D">
        <w:rPr>
          <w:rFonts w:ascii="Times New Roman" w:hAnsi="Times New Roman"/>
          <w:sz w:val="24"/>
          <w:szCs w:val="24"/>
        </w:rPr>
        <w:t>).</w:t>
      </w:r>
    </w:p>
    <w:p w14:paraId="74CC273A" w14:textId="4D456C0B" w:rsidR="004C34FA" w:rsidRPr="00AB729D" w:rsidRDefault="003774FE" w:rsidP="004C34FA">
      <w:pPr>
        <w:spacing w:line="480" w:lineRule="auto"/>
        <w:ind w:firstLine="720"/>
        <w:jc w:val="center"/>
        <w:rPr>
          <w:rFonts w:ascii="Times New Roman" w:eastAsiaTheme="minorHAnsi" w:hAnsi="Times New Roman"/>
          <w:sz w:val="24"/>
          <w:szCs w:val="24"/>
        </w:rPr>
      </w:pPr>
      <w:r w:rsidRPr="00AB729D" w:rsidDel="003774FE">
        <w:rPr>
          <w:rFonts w:ascii="Times New Roman" w:hAnsi="Times New Roman"/>
          <w:sz w:val="24"/>
          <w:szCs w:val="24"/>
        </w:rPr>
        <w:t xml:space="preserve"> </w:t>
      </w:r>
      <w:r w:rsidR="004C34FA" w:rsidRPr="00AB729D">
        <w:rPr>
          <w:rFonts w:ascii="Times New Roman" w:eastAsiaTheme="minorHAnsi" w:hAnsi="Times New Roman"/>
          <w:sz w:val="24"/>
          <w:szCs w:val="24"/>
        </w:rPr>
        <w:t>[INSERT TABLE 4 ABOUT HERE]</w:t>
      </w:r>
    </w:p>
    <w:p w14:paraId="196006F4" w14:textId="09E5AB7F" w:rsidR="003774FE" w:rsidRPr="00AB729D" w:rsidRDefault="003774FE" w:rsidP="009E638F">
      <w:pPr>
        <w:spacing w:line="480" w:lineRule="auto"/>
        <w:ind w:firstLine="720"/>
        <w:rPr>
          <w:rFonts w:ascii="Times New Roman" w:hAnsi="Times New Roman"/>
          <w:sz w:val="24"/>
          <w:szCs w:val="24"/>
        </w:rPr>
      </w:pPr>
      <w:r w:rsidRPr="00AB729D">
        <w:rPr>
          <w:rFonts w:ascii="Times New Roman" w:hAnsi="Times New Roman"/>
          <w:sz w:val="24"/>
          <w:szCs w:val="24"/>
        </w:rPr>
        <w:t xml:space="preserve">To disentangle the effects of institutional ownership from the volatility in institutional shareholdings, we </w:t>
      </w:r>
      <w:r w:rsidR="00F502AB" w:rsidRPr="00AB729D">
        <w:rPr>
          <w:rFonts w:ascii="Times New Roman" w:hAnsi="Times New Roman"/>
          <w:sz w:val="24"/>
          <w:szCs w:val="24"/>
        </w:rPr>
        <w:t xml:space="preserve">partition </w:t>
      </w:r>
      <w:r w:rsidRPr="00AB729D">
        <w:rPr>
          <w:rFonts w:ascii="Times New Roman" w:hAnsi="Times New Roman"/>
          <w:sz w:val="24"/>
          <w:szCs w:val="24"/>
        </w:rPr>
        <w:t xml:space="preserve">the sample into five quintiles using </w:t>
      </w:r>
      <w:r w:rsidRPr="00AB729D">
        <w:rPr>
          <w:rFonts w:ascii="Times New Roman" w:hAnsi="Times New Roman"/>
          <w:i/>
          <w:sz w:val="24"/>
          <w:szCs w:val="24"/>
        </w:rPr>
        <w:t>PROP</w:t>
      </w:r>
      <w:r w:rsidRPr="00AB729D">
        <w:rPr>
          <w:rFonts w:ascii="Times New Roman" w:hAnsi="Times New Roman"/>
          <w:sz w:val="24"/>
          <w:szCs w:val="24"/>
        </w:rPr>
        <w:t xml:space="preserve"> (i.e., the variable measuring institutional ownership proportion). Each quintile is then broken down into five sub-quintiles based on ownership volatility (i.e., </w:t>
      </w:r>
      <w:r w:rsidRPr="00AB729D">
        <w:rPr>
          <w:rFonts w:ascii="Times New Roman" w:hAnsi="Times New Roman"/>
          <w:i/>
          <w:sz w:val="24"/>
          <w:szCs w:val="24"/>
        </w:rPr>
        <w:t>IOV</w:t>
      </w:r>
      <w:r w:rsidRPr="00AB729D">
        <w:rPr>
          <w:rFonts w:ascii="Times New Roman" w:hAnsi="Times New Roman"/>
          <w:sz w:val="24"/>
          <w:szCs w:val="24"/>
        </w:rPr>
        <w:t xml:space="preserve">). Thus, we end up with a 5×5 matrix. We calculate the mean values of </w:t>
      </w:r>
      <w:r w:rsidRPr="00AB729D">
        <w:rPr>
          <w:rFonts w:ascii="Times New Roman" w:hAnsi="Times New Roman"/>
          <w:i/>
          <w:sz w:val="24"/>
          <w:szCs w:val="24"/>
        </w:rPr>
        <w:t>EXVRK</w:t>
      </w:r>
      <w:r w:rsidRPr="00AB729D">
        <w:rPr>
          <w:rFonts w:ascii="Times New Roman" w:hAnsi="Times New Roman"/>
          <w:sz w:val="24"/>
          <w:szCs w:val="24"/>
        </w:rPr>
        <w:t xml:space="preserve"> and </w:t>
      </w:r>
      <w:r w:rsidR="00E61D2B" w:rsidRPr="00AB729D">
        <w:rPr>
          <w:rFonts w:ascii="Times New Roman" w:hAnsi="Times New Roman"/>
          <w:i/>
          <w:sz w:val="24"/>
          <w:szCs w:val="24"/>
        </w:rPr>
        <w:t>EXVIA</w:t>
      </w:r>
      <w:r w:rsidR="00E61D2B" w:rsidRPr="00AB729D">
        <w:rPr>
          <w:rFonts w:ascii="Times New Roman" w:hAnsi="Times New Roman"/>
          <w:sz w:val="24"/>
          <w:szCs w:val="24"/>
        </w:rPr>
        <w:t xml:space="preserve"> for</w:t>
      </w:r>
      <w:r w:rsidRPr="00AB729D">
        <w:rPr>
          <w:rFonts w:ascii="Times New Roman" w:hAnsi="Times New Roman"/>
          <w:sz w:val="24"/>
          <w:szCs w:val="24"/>
        </w:rPr>
        <w:t xml:space="preserve"> each element of the matrix and present the findings in Table 5</w:t>
      </w:r>
      <w:r w:rsidR="005F5DA8" w:rsidRPr="00AB729D">
        <w:rPr>
          <w:rFonts w:ascii="Times New Roman" w:hAnsi="Times New Roman"/>
          <w:sz w:val="24"/>
          <w:szCs w:val="24"/>
        </w:rPr>
        <w:t>, Panels A and B respectively</w:t>
      </w:r>
      <w:r w:rsidRPr="00AB729D">
        <w:rPr>
          <w:rFonts w:ascii="Times New Roman" w:hAnsi="Times New Roman"/>
          <w:sz w:val="24"/>
          <w:szCs w:val="24"/>
        </w:rPr>
        <w:t xml:space="preserve">. </w:t>
      </w:r>
    </w:p>
    <w:p w14:paraId="060EC667" w14:textId="63E5927C" w:rsidR="00753C75" w:rsidRPr="00AB729D" w:rsidRDefault="00753C75" w:rsidP="009E638F">
      <w:pPr>
        <w:spacing w:line="480" w:lineRule="auto"/>
        <w:ind w:firstLine="720"/>
        <w:rPr>
          <w:rFonts w:ascii="Times New Roman" w:hAnsi="Times New Roman"/>
          <w:sz w:val="24"/>
          <w:szCs w:val="24"/>
        </w:rPr>
      </w:pPr>
      <w:r w:rsidRPr="00AB729D">
        <w:rPr>
          <w:rFonts w:ascii="Times New Roman" w:hAnsi="Times New Roman"/>
          <w:sz w:val="24"/>
          <w:szCs w:val="24"/>
        </w:rPr>
        <w:t>In panel A</w:t>
      </w:r>
      <w:r w:rsidR="003774FE" w:rsidRPr="00AB729D">
        <w:rPr>
          <w:rFonts w:ascii="Times New Roman" w:hAnsi="Times New Roman"/>
          <w:sz w:val="24"/>
          <w:szCs w:val="24"/>
        </w:rPr>
        <w:t xml:space="preserve"> of Table 5</w:t>
      </w:r>
      <w:r w:rsidRPr="00AB729D">
        <w:rPr>
          <w:rFonts w:ascii="Times New Roman" w:hAnsi="Times New Roman"/>
          <w:sz w:val="24"/>
          <w:szCs w:val="24"/>
        </w:rPr>
        <w:t>, as we move vertically</w:t>
      </w:r>
      <w:r w:rsidR="000C47F2" w:rsidRPr="00AB729D">
        <w:rPr>
          <w:rFonts w:ascii="Times New Roman" w:hAnsi="Times New Roman"/>
          <w:sz w:val="24"/>
          <w:szCs w:val="24"/>
        </w:rPr>
        <w:t xml:space="preserve"> from top to bottom</w:t>
      </w:r>
      <w:r w:rsidRPr="00AB729D">
        <w:rPr>
          <w:rFonts w:ascii="Times New Roman" w:hAnsi="Times New Roman"/>
          <w:sz w:val="24"/>
          <w:szCs w:val="24"/>
        </w:rPr>
        <w:t xml:space="preserve">, the institutional ownership proportion is constant but the institutional ownership volatility increases (higher </w:t>
      </w:r>
      <w:r w:rsidRPr="00AB729D">
        <w:rPr>
          <w:rFonts w:ascii="Times New Roman" w:hAnsi="Times New Roman"/>
          <w:i/>
          <w:sz w:val="24"/>
          <w:szCs w:val="24"/>
        </w:rPr>
        <w:t>IOV</w:t>
      </w:r>
      <w:r w:rsidRPr="00AB729D">
        <w:rPr>
          <w:rFonts w:ascii="Times New Roman" w:hAnsi="Times New Roman"/>
          <w:sz w:val="24"/>
          <w:szCs w:val="24"/>
        </w:rPr>
        <w:t xml:space="preserve"> means lower institutional ownership stability). The portfolio with the highest </w:t>
      </w:r>
      <w:r w:rsidRPr="00AB729D">
        <w:rPr>
          <w:rFonts w:ascii="Times New Roman" w:hAnsi="Times New Roman"/>
          <w:i/>
          <w:sz w:val="24"/>
          <w:szCs w:val="24"/>
        </w:rPr>
        <w:t>IOV</w:t>
      </w:r>
      <w:r w:rsidRPr="00AB729D">
        <w:rPr>
          <w:rFonts w:ascii="Times New Roman" w:hAnsi="Times New Roman"/>
          <w:sz w:val="24"/>
          <w:szCs w:val="24"/>
        </w:rPr>
        <w:t xml:space="preserve"> has higher equity mispricing</w:t>
      </w:r>
      <w:r w:rsidR="00F52BE5" w:rsidRPr="00AB729D">
        <w:rPr>
          <w:rFonts w:ascii="Times New Roman" w:hAnsi="Times New Roman"/>
          <w:sz w:val="24"/>
          <w:szCs w:val="24"/>
        </w:rPr>
        <w:t xml:space="preserve"> (measured by </w:t>
      </w:r>
      <w:r w:rsidR="00F52BE5" w:rsidRPr="00AB729D">
        <w:rPr>
          <w:rFonts w:ascii="Times New Roman" w:hAnsi="Times New Roman"/>
          <w:i/>
          <w:sz w:val="24"/>
          <w:szCs w:val="24"/>
        </w:rPr>
        <w:t>EXVRK</w:t>
      </w:r>
      <w:r w:rsidR="00F52BE5" w:rsidRPr="00AB729D">
        <w:rPr>
          <w:rFonts w:ascii="Times New Roman" w:hAnsi="Times New Roman"/>
          <w:sz w:val="24"/>
          <w:szCs w:val="24"/>
        </w:rPr>
        <w:t>)</w:t>
      </w:r>
      <w:r w:rsidRPr="00AB729D">
        <w:rPr>
          <w:rFonts w:ascii="Times New Roman" w:hAnsi="Times New Roman"/>
          <w:sz w:val="24"/>
          <w:szCs w:val="24"/>
        </w:rPr>
        <w:t xml:space="preserve"> than the portfolio with the lowest value. T-tests reported in the last column indicate that this difference is </w:t>
      </w:r>
      <w:r w:rsidR="005F5DA8" w:rsidRPr="00AB729D">
        <w:rPr>
          <w:rFonts w:ascii="Times New Roman" w:hAnsi="Times New Roman"/>
          <w:sz w:val="24"/>
          <w:szCs w:val="24"/>
        </w:rPr>
        <w:t xml:space="preserve">statistically </w:t>
      </w:r>
      <w:r w:rsidRPr="00AB729D">
        <w:rPr>
          <w:rFonts w:ascii="Times New Roman" w:hAnsi="Times New Roman"/>
          <w:sz w:val="24"/>
          <w:szCs w:val="24"/>
        </w:rPr>
        <w:t xml:space="preserve">significant. </w:t>
      </w:r>
      <w:r w:rsidR="003774FE" w:rsidRPr="00AB729D">
        <w:rPr>
          <w:rFonts w:ascii="Times New Roman" w:hAnsi="Times New Roman"/>
          <w:sz w:val="24"/>
          <w:szCs w:val="24"/>
        </w:rPr>
        <w:t>Furthermore</w:t>
      </w:r>
      <w:r w:rsidRPr="00AB729D">
        <w:rPr>
          <w:rFonts w:ascii="Times New Roman" w:hAnsi="Times New Roman"/>
          <w:sz w:val="24"/>
          <w:szCs w:val="24"/>
        </w:rPr>
        <w:t>, as we move horizontally</w:t>
      </w:r>
      <w:r w:rsidR="000C47F2" w:rsidRPr="00AB729D">
        <w:rPr>
          <w:rFonts w:ascii="Times New Roman" w:hAnsi="Times New Roman"/>
          <w:sz w:val="24"/>
          <w:szCs w:val="24"/>
        </w:rPr>
        <w:t xml:space="preserve"> from left to right,</w:t>
      </w:r>
      <w:r w:rsidRPr="00AB729D">
        <w:rPr>
          <w:rFonts w:ascii="Times New Roman" w:hAnsi="Times New Roman"/>
          <w:sz w:val="24"/>
          <w:szCs w:val="24"/>
        </w:rPr>
        <w:t xml:space="preserve"> the institutional ownership volatility remains unchanged but the aggregate proportion increases. As ownership proportion increases, the </w:t>
      </w:r>
      <w:r w:rsidR="003774FE" w:rsidRPr="00AB729D">
        <w:rPr>
          <w:rFonts w:ascii="Times New Roman" w:hAnsi="Times New Roman"/>
          <w:sz w:val="24"/>
          <w:szCs w:val="24"/>
        </w:rPr>
        <w:t xml:space="preserve">mean values of the </w:t>
      </w:r>
      <w:r w:rsidRPr="00AB729D">
        <w:rPr>
          <w:rFonts w:ascii="Times New Roman" w:hAnsi="Times New Roman"/>
          <w:sz w:val="24"/>
          <w:szCs w:val="24"/>
        </w:rPr>
        <w:t xml:space="preserve">equity mispricing </w:t>
      </w:r>
      <w:r w:rsidR="003774FE" w:rsidRPr="00AB729D">
        <w:rPr>
          <w:rFonts w:ascii="Times New Roman" w:hAnsi="Times New Roman"/>
          <w:sz w:val="24"/>
          <w:szCs w:val="24"/>
        </w:rPr>
        <w:t xml:space="preserve">variables </w:t>
      </w:r>
      <w:r w:rsidRPr="00AB729D">
        <w:rPr>
          <w:rFonts w:ascii="Times New Roman" w:hAnsi="Times New Roman"/>
          <w:sz w:val="24"/>
          <w:szCs w:val="24"/>
        </w:rPr>
        <w:t xml:space="preserve">decrease. </w:t>
      </w:r>
      <w:r w:rsidR="00F52BE5" w:rsidRPr="00AB729D">
        <w:rPr>
          <w:rFonts w:ascii="Times New Roman" w:hAnsi="Times New Roman"/>
          <w:sz w:val="24"/>
          <w:szCs w:val="24"/>
        </w:rPr>
        <w:t xml:space="preserve">Panel B uses </w:t>
      </w:r>
      <w:r w:rsidR="00F52BE5" w:rsidRPr="00AB729D">
        <w:rPr>
          <w:rFonts w:ascii="Times New Roman" w:hAnsi="Times New Roman"/>
          <w:i/>
          <w:sz w:val="24"/>
          <w:szCs w:val="24"/>
        </w:rPr>
        <w:t>EXVIA</w:t>
      </w:r>
      <w:r w:rsidR="00F52BE5" w:rsidRPr="00AB729D">
        <w:rPr>
          <w:rFonts w:ascii="Times New Roman" w:hAnsi="Times New Roman"/>
          <w:sz w:val="24"/>
          <w:szCs w:val="24"/>
        </w:rPr>
        <w:t xml:space="preserve"> as the mispricing variables and the findings are essentially the same, i.e., higher </w:t>
      </w:r>
      <w:r w:rsidR="00F52BE5" w:rsidRPr="00AB729D">
        <w:rPr>
          <w:rFonts w:ascii="Times New Roman" w:hAnsi="Times New Roman"/>
          <w:i/>
          <w:sz w:val="24"/>
          <w:szCs w:val="24"/>
        </w:rPr>
        <w:t>IOVs</w:t>
      </w:r>
      <w:r w:rsidR="00F52BE5" w:rsidRPr="00AB729D">
        <w:rPr>
          <w:rFonts w:ascii="Times New Roman" w:hAnsi="Times New Roman"/>
          <w:sz w:val="24"/>
          <w:szCs w:val="24"/>
        </w:rPr>
        <w:t xml:space="preserve"> are associated with higher mispricing and lower </w:t>
      </w:r>
      <w:r w:rsidR="00F52BE5" w:rsidRPr="00AB729D">
        <w:rPr>
          <w:rFonts w:ascii="Times New Roman" w:hAnsi="Times New Roman"/>
          <w:i/>
          <w:sz w:val="24"/>
          <w:szCs w:val="24"/>
        </w:rPr>
        <w:t>PROPs</w:t>
      </w:r>
      <w:r w:rsidR="00F52BE5" w:rsidRPr="00AB729D">
        <w:rPr>
          <w:rFonts w:ascii="Times New Roman" w:hAnsi="Times New Roman"/>
          <w:sz w:val="24"/>
          <w:szCs w:val="24"/>
        </w:rPr>
        <w:t xml:space="preserve"> are associated with higher mispricing.</w:t>
      </w:r>
    </w:p>
    <w:p w14:paraId="0B42F81C" w14:textId="17BA6469" w:rsidR="004C34FA" w:rsidRPr="00AB729D" w:rsidRDefault="00F52BE5" w:rsidP="004C34FA">
      <w:pPr>
        <w:spacing w:line="480" w:lineRule="auto"/>
        <w:ind w:firstLine="720"/>
        <w:jc w:val="center"/>
        <w:rPr>
          <w:rFonts w:ascii="Times New Roman" w:eastAsiaTheme="minorHAnsi" w:hAnsi="Times New Roman"/>
          <w:sz w:val="24"/>
          <w:szCs w:val="24"/>
        </w:rPr>
      </w:pPr>
      <w:r w:rsidRPr="00AB729D" w:rsidDel="00F52BE5">
        <w:rPr>
          <w:rFonts w:ascii="Times New Roman" w:hAnsi="Times New Roman"/>
          <w:sz w:val="24"/>
          <w:szCs w:val="24"/>
        </w:rPr>
        <w:t xml:space="preserve"> </w:t>
      </w:r>
      <w:r w:rsidR="004C34FA" w:rsidRPr="00AB729D">
        <w:rPr>
          <w:rFonts w:ascii="Times New Roman" w:eastAsiaTheme="minorHAnsi" w:hAnsi="Times New Roman"/>
          <w:sz w:val="24"/>
          <w:szCs w:val="24"/>
        </w:rPr>
        <w:t>[INSERT TABLE 5 ABOUT HERE]</w:t>
      </w:r>
    </w:p>
    <w:p w14:paraId="3359D98E" w14:textId="16F973F3" w:rsidR="00753C75" w:rsidRPr="00AB729D" w:rsidRDefault="00753C75" w:rsidP="00753C75">
      <w:pPr>
        <w:spacing w:line="480" w:lineRule="auto"/>
        <w:ind w:firstLine="720"/>
        <w:rPr>
          <w:rFonts w:ascii="Times New Roman" w:hAnsi="Times New Roman"/>
          <w:sz w:val="24"/>
          <w:szCs w:val="24"/>
        </w:rPr>
      </w:pPr>
      <w:r w:rsidRPr="00AB729D">
        <w:rPr>
          <w:rFonts w:ascii="Times New Roman" w:hAnsi="Times New Roman"/>
          <w:sz w:val="24"/>
          <w:szCs w:val="24"/>
        </w:rPr>
        <w:lastRenderedPageBreak/>
        <w:t xml:space="preserve">Overall, the univariate results suggest that there is a negative and significant </w:t>
      </w:r>
      <w:r w:rsidR="00F52BE5" w:rsidRPr="00AB729D">
        <w:rPr>
          <w:rFonts w:ascii="Times New Roman" w:hAnsi="Times New Roman"/>
          <w:sz w:val="24"/>
          <w:szCs w:val="24"/>
        </w:rPr>
        <w:t>association</w:t>
      </w:r>
      <w:r w:rsidRPr="00AB729D">
        <w:rPr>
          <w:rFonts w:ascii="Times New Roman" w:hAnsi="Times New Roman"/>
          <w:sz w:val="24"/>
          <w:szCs w:val="24"/>
        </w:rPr>
        <w:t xml:space="preserve"> between institutional ownership stability and equity mispricing. Indeed, even when the institutional ownership proportion is fixed, higher institutional ownership stability is associated with lower equity mispricing and </w:t>
      </w:r>
      <w:r w:rsidR="00F52BE5" w:rsidRPr="00AB729D">
        <w:rPr>
          <w:rFonts w:ascii="Times New Roman" w:hAnsi="Times New Roman"/>
          <w:sz w:val="24"/>
          <w:szCs w:val="24"/>
        </w:rPr>
        <w:t>vice versa</w:t>
      </w:r>
      <w:r w:rsidRPr="00AB729D">
        <w:rPr>
          <w:rFonts w:ascii="Times New Roman" w:hAnsi="Times New Roman"/>
          <w:sz w:val="24"/>
          <w:szCs w:val="24"/>
        </w:rPr>
        <w:t xml:space="preserve">. </w:t>
      </w:r>
      <w:r w:rsidR="00F52BE5" w:rsidRPr="00AB729D">
        <w:rPr>
          <w:rFonts w:ascii="Times New Roman" w:hAnsi="Times New Roman"/>
          <w:sz w:val="24"/>
          <w:szCs w:val="24"/>
        </w:rPr>
        <w:t>Furthermore</w:t>
      </w:r>
      <w:r w:rsidRPr="00AB729D">
        <w:rPr>
          <w:rFonts w:ascii="Times New Roman" w:hAnsi="Times New Roman"/>
          <w:sz w:val="24"/>
          <w:szCs w:val="24"/>
        </w:rPr>
        <w:t xml:space="preserve">, </w:t>
      </w:r>
      <w:r w:rsidR="005F5DA8" w:rsidRPr="00AB729D">
        <w:rPr>
          <w:rFonts w:ascii="Times New Roman" w:hAnsi="Times New Roman"/>
          <w:sz w:val="24"/>
          <w:szCs w:val="24"/>
        </w:rPr>
        <w:t>we document</w:t>
      </w:r>
      <w:r w:rsidR="00F52BE5" w:rsidRPr="00AB729D">
        <w:rPr>
          <w:rFonts w:ascii="Times New Roman" w:hAnsi="Times New Roman"/>
          <w:sz w:val="24"/>
          <w:szCs w:val="24"/>
        </w:rPr>
        <w:t xml:space="preserve"> </w:t>
      </w:r>
      <w:r w:rsidRPr="00AB729D">
        <w:rPr>
          <w:rFonts w:ascii="Times New Roman" w:hAnsi="Times New Roman"/>
          <w:sz w:val="24"/>
          <w:szCs w:val="24"/>
        </w:rPr>
        <w:t xml:space="preserve">a negative and significant relationship between institutional ownership proportion and equity mispricing. </w:t>
      </w:r>
      <w:r w:rsidR="005F5DA8" w:rsidRPr="00AB729D">
        <w:rPr>
          <w:rFonts w:ascii="Times New Roman" w:hAnsi="Times New Roman"/>
          <w:sz w:val="24"/>
          <w:szCs w:val="24"/>
        </w:rPr>
        <w:t xml:space="preserve">Our </w:t>
      </w:r>
      <w:r w:rsidR="00F52BE5" w:rsidRPr="00AB729D">
        <w:rPr>
          <w:rFonts w:ascii="Times New Roman" w:hAnsi="Times New Roman"/>
          <w:sz w:val="24"/>
          <w:szCs w:val="24"/>
        </w:rPr>
        <w:t xml:space="preserve">findings also suggest that the presence of institutional investors and those that trade their stocks less frequently are linked with stocks that exhibit less mispricing. The following sections test </w:t>
      </w:r>
      <w:r w:rsidR="00F57B7B" w:rsidRPr="00AB729D">
        <w:rPr>
          <w:rFonts w:ascii="Times New Roman" w:hAnsi="Times New Roman"/>
          <w:sz w:val="24"/>
          <w:szCs w:val="24"/>
        </w:rPr>
        <w:t xml:space="preserve">these associations </w:t>
      </w:r>
      <w:r w:rsidR="00F52BE5" w:rsidRPr="00AB729D">
        <w:rPr>
          <w:rFonts w:ascii="Times New Roman" w:hAnsi="Times New Roman"/>
          <w:sz w:val="24"/>
          <w:szCs w:val="24"/>
        </w:rPr>
        <w:t>in a multivariate setup.</w:t>
      </w:r>
    </w:p>
    <w:p w14:paraId="18FBF11C" w14:textId="0BB9E0ED" w:rsidR="00CD44A5" w:rsidRPr="00AB729D" w:rsidRDefault="00B50516" w:rsidP="00C4120C">
      <w:pPr>
        <w:pStyle w:val="ListParagraph"/>
        <w:numPr>
          <w:ilvl w:val="1"/>
          <w:numId w:val="14"/>
        </w:numPr>
        <w:rPr>
          <w:rFonts w:ascii="Times New Roman" w:hAnsi="Times New Roman"/>
          <w:b/>
          <w:sz w:val="24"/>
          <w:szCs w:val="24"/>
        </w:rPr>
      </w:pPr>
      <w:bookmarkStart w:id="10" w:name="_Toc474489299"/>
      <w:r w:rsidRPr="00AB729D">
        <w:rPr>
          <w:rFonts w:ascii="Times New Roman" w:hAnsi="Times New Roman"/>
          <w:b/>
          <w:sz w:val="24"/>
          <w:szCs w:val="24"/>
        </w:rPr>
        <w:t>Institutional Ownership Volatility R</w:t>
      </w:r>
      <w:r w:rsidR="00CD44A5" w:rsidRPr="00AB729D">
        <w:rPr>
          <w:rFonts w:ascii="Times New Roman" w:hAnsi="Times New Roman"/>
          <w:b/>
          <w:sz w:val="24"/>
          <w:szCs w:val="24"/>
        </w:rPr>
        <w:t>esults</w:t>
      </w:r>
      <w:bookmarkEnd w:id="10"/>
    </w:p>
    <w:p w14:paraId="145D6E74" w14:textId="7CCD0CC2" w:rsidR="00753C75" w:rsidRPr="00AB729D" w:rsidRDefault="00753C75" w:rsidP="00C26DFA">
      <w:pPr>
        <w:spacing w:line="480" w:lineRule="auto"/>
        <w:ind w:firstLine="720"/>
        <w:rPr>
          <w:rFonts w:ascii="Times New Roman" w:hAnsi="Times New Roman"/>
          <w:sz w:val="24"/>
          <w:szCs w:val="24"/>
        </w:rPr>
      </w:pPr>
      <w:r w:rsidRPr="00AB729D">
        <w:rPr>
          <w:rFonts w:ascii="Times New Roman" w:hAnsi="Times New Roman"/>
          <w:sz w:val="24"/>
          <w:szCs w:val="24"/>
        </w:rPr>
        <w:t xml:space="preserve">Table 6 reports </w:t>
      </w:r>
      <w:r w:rsidR="00C16592" w:rsidRPr="00AB729D">
        <w:rPr>
          <w:rFonts w:ascii="Times New Roman" w:hAnsi="Times New Roman"/>
          <w:sz w:val="24"/>
          <w:szCs w:val="24"/>
        </w:rPr>
        <w:t>OLS regression results</w:t>
      </w:r>
      <w:r w:rsidRPr="00AB729D">
        <w:rPr>
          <w:rFonts w:ascii="Times New Roman" w:hAnsi="Times New Roman"/>
          <w:sz w:val="24"/>
          <w:szCs w:val="24"/>
        </w:rPr>
        <w:t xml:space="preserve"> from regressing </w:t>
      </w:r>
      <w:r w:rsidR="00F57B7B" w:rsidRPr="00AB729D">
        <w:rPr>
          <w:rFonts w:ascii="Times New Roman" w:hAnsi="Times New Roman"/>
          <w:sz w:val="24"/>
          <w:szCs w:val="24"/>
        </w:rPr>
        <w:t xml:space="preserve">the equity mispricing variables of EXVRK and EXVIA on </w:t>
      </w:r>
      <w:r w:rsidRPr="00AB729D">
        <w:rPr>
          <w:rFonts w:ascii="Times New Roman" w:hAnsi="Times New Roman"/>
          <w:sz w:val="24"/>
          <w:szCs w:val="24"/>
        </w:rPr>
        <w:t>institutional ownership volatility</w:t>
      </w:r>
      <w:r w:rsidR="00F57B7B" w:rsidRPr="00AB729D">
        <w:rPr>
          <w:rFonts w:ascii="Times New Roman" w:hAnsi="Times New Roman"/>
          <w:sz w:val="24"/>
          <w:szCs w:val="24"/>
        </w:rPr>
        <w:t xml:space="preserve"> (IOV)</w:t>
      </w:r>
      <w:r w:rsidRPr="00AB729D">
        <w:rPr>
          <w:rFonts w:ascii="Times New Roman" w:hAnsi="Times New Roman"/>
          <w:sz w:val="24"/>
          <w:szCs w:val="24"/>
        </w:rPr>
        <w:t xml:space="preserve"> and </w:t>
      </w:r>
      <w:r w:rsidR="00DB7090" w:rsidRPr="00AB729D">
        <w:rPr>
          <w:rFonts w:ascii="Times New Roman" w:hAnsi="Times New Roman"/>
          <w:sz w:val="24"/>
          <w:szCs w:val="24"/>
        </w:rPr>
        <w:t>ownership proportion</w:t>
      </w:r>
      <w:r w:rsidRPr="00AB729D">
        <w:rPr>
          <w:rFonts w:ascii="Times New Roman" w:hAnsi="Times New Roman"/>
          <w:sz w:val="24"/>
          <w:szCs w:val="24"/>
        </w:rPr>
        <w:t xml:space="preserve"> </w:t>
      </w:r>
      <w:r w:rsidR="00F57B7B" w:rsidRPr="00AB729D">
        <w:rPr>
          <w:rFonts w:ascii="Times New Roman" w:hAnsi="Times New Roman"/>
          <w:sz w:val="24"/>
          <w:szCs w:val="24"/>
        </w:rPr>
        <w:t xml:space="preserve">(PROP) </w:t>
      </w:r>
      <w:r w:rsidR="00412BB7" w:rsidRPr="00AB729D">
        <w:rPr>
          <w:rFonts w:ascii="Times New Roman" w:hAnsi="Times New Roman"/>
          <w:sz w:val="24"/>
          <w:szCs w:val="24"/>
        </w:rPr>
        <w:t>alongside control variables</w:t>
      </w:r>
      <w:r w:rsidRPr="00AB729D">
        <w:rPr>
          <w:rFonts w:ascii="Times New Roman" w:hAnsi="Times New Roman"/>
          <w:sz w:val="24"/>
          <w:szCs w:val="24"/>
        </w:rPr>
        <w:t xml:space="preserve">. The results of </w:t>
      </w:r>
      <w:r w:rsidR="00C16592" w:rsidRPr="00AB729D">
        <w:rPr>
          <w:rFonts w:ascii="Times New Roman" w:hAnsi="Times New Roman"/>
          <w:sz w:val="24"/>
          <w:szCs w:val="24"/>
        </w:rPr>
        <w:t>regression models</w:t>
      </w:r>
      <w:r w:rsidRPr="00AB729D">
        <w:rPr>
          <w:rFonts w:ascii="Times New Roman" w:hAnsi="Times New Roman"/>
          <w:sz w:val="24"/>
          <w:szCs w:val="24"/>
        </w:rPr>
        <w:t xml:space="preserve"> (1) and (2) show that the coefficient of institutional ownership volatility (</w:t>
      </w:r>
      <w:r w:rsidRPr="00AB729D">
        <w:rPr>
          <w:rFonts w:ascii="Times New Roman" w:hAnsi="Times New Roman"/>
          <w:i/>
          <w:sz w:val="24"/>
          <w:szCs w:val="24"/>
        </w:rPr>
        <w:t>IOV</w:t>
      </w:r>
      <w:r w:rsidRPr="00AB729D">
        <w:rPr>
          <w:rFonts w:ascii="Times New Roman" w:hAnsi="Times New Roman"/>
          <w:sz w:val="24"/>
          <w:szCs w:val="24"/>
        </w:rPr>
        <w:t>) is positive and statistically significant at</w:t>
      </w:r>
      <w:r w:rsidR="005F5DA8" w:rsidRPr="00AB729D">
        <w:rPr>
          <w:rFonts w:ascii="Times New Roman" w:hAnsi="Times New Roman"/>
          <w:sz w:val="24"/>
          <w:szCs w:val="24"/>
        </w:rPr>
        <w:t xml:space="preserve"> the</w:t>
      </w:r>
      <w:r w:rsidRPr="00AB729D">
        <w:rPr>
          <w:rFonts w:ascii="Times New Roman" w:hAnsi="Times New Roman"/>
          <w:sz w:val="24"/>
          <w:szCs w:val="24"/>
        </w:rPr>
        <w:t xml:space="preserve"> 1% level</w:t>
      </w:r>
      <w:r w:rsidR="00F57B7B" w:rsidRPr="00AB729D">
        <w:rPr>
          <w:rFonts w:ascii="Times New Roman" w:hAnsi="Times New Roman"/>
          <w:sz w:val="24"/>
          <w:szCs w:val="24"/>
        </w:rPr>
        <w:t xml:space="preserve"> with EXVRK in Model 1 and EXVIA in Model 2</w:t>
      </w:r>
      <w:r w:rsidRPr="00AB729D">
        <w:rPr>
          <w:rFonts w:ascii="Times New Roman" w:hAnsi="Times New Roman"/>
          <w:sz w:val="24"/>
          <w:szCs w:val="24"/>
        </w:rPr>
        <w:t xml:space="preserve">. </w:t>
      </w:r>
      <w:r w:rsidR="005F5DA8" w:rsidRPr="00AB729D">
        <w:rPr>
          <w:rFonts w:ascii="Times New Roman" w:hAnsi="Times New Roman"/>
          <w:sz w:val="24"/>
          <w:szCs w:val="24"/>
        </w:rPr>
        <w:t>Consistently</w:t>
      </w:r>
      <w:r w:rsidRPr="00AB729D">
        <w:rPr>
          <w:rFonts w:ascii="Times New Roman" w:hAnsi="Times New Roman"/>
          <w:sz w:val="24"/>
          <w:szCs w:val="24"/>
        </w:rPr>
        <w:t>, higher institutional ownership volatility (</w:t>
      </w:r>
      <w:r w:rsidR="00C16592" w:rsidRPr="00AB729D">
        <w:rPr>
          <w:rFonts w:ascii="Times New Roman" w:hAnsi="Times New Roman"/>
          <w:sz w:val="24"/>
          <w:szCs w:val="24"/>
        </w:rPr>
        <w:t xml:space="preserve">which equates to </w:t>
      </w:r>
      <w:r w:rsidRPr="00AB729D">
        <w:rPr>
          <w:rFonts w:ascii="Times New Roman" w:hAnsi="Times New Roman"/>
          <w:sz w:val="24"/>
          <w:szCs w:val="24"/>
        </w:rPr>
        <w:t>lower stability</w:t>
      </w:r>
      <w:r w:rsidR="00C16592" w:rsidRPr="00AB729D">
        <w:rPr>
          <w:rFonts w:ascii="Times New Roman" w:hAnsi="Times New Roman"/>
          <w:sz w:val="24"/>
          <w:szCs w:val="24"/>
        </w:rPr>
        <w:t xml:space="preserve"> in </w:t>
      </w:r>
      <w:r w:rsidR="005F5DA8" w:rsidRPr="00AB729D">
        <w:rPr>
          <w:rFonts w:ascii="Times New Roman" w:hAnsi="Times New Roman"/>
          <w:sz w:val="24"/>
          <w:szCs w:val="24"/>
        </w:rPr>
        <w:t xml:space="preserve">institutional </w:t>
      </w:r>
      <w:r w:rsidR="00C16592" w:rsidRPr="00AB729D">
        <w:rPr>
          <w:rFonts w:ascii="Times New Roman" w:hAnsi="Times New Roman"/>
          <w:sz w:val="24"/>
          <w:szCs w:val="24"/>
        </w:rPr>
        <w:t>stock ownership</w:t>
      </w:r>
      <w:r w:rsidRPr="00AB729D">
        <w:rPr>
          <w:rFonts w:ascii="Times New Roman" w:hAnsi="Times New Roman"/>
          <w:sz w:val="24"/>
          <w:szCs w:val="24"/>
        </w:rPr>
        <w:t xml:space="preserve">) </w:t>
      </w:r>
      <w:r w:rsidR="00DB7090" w:rsidRPr="00AB729D">
        <w:rPr>
          <w:rFonts w:ascii="Times New Roman" w:hAnsi="Times New Roman"/>
          <w:sz w:val="24"/>
          <w:szCs w:val="24"/>
        </w:rPr>
        <w:t>is associated with</w:t>
      </w:r>
      <w:r w:rsidRPr="00AB729D">
        <w:rPr>
          <w:rFonts w:ascii="Times New Roman" w:hAnsi="Times New Roman"/>
          <w:sz w:val="24"/>
          <w:szCs w:val="24"/>
        </w:rPr>
        <w:t xml:space="preserve"> higher equity mispricing. </w:t>
      </w:r>
      <w:r w:rsidR="00C16592" w:rsidRPr="00AB729D">
        <w:rPr>
          <w:rFonts w:ascii="Times New Roman" w:hAnsi="Times New Roman"/>
          <w:sz w:val="24"/>
          <w:szCs w:val="24"/>
        </w:rPr>
        <w:t>Conversely</w:t>
      </w:r>
      <w:r w:rsidRPr="00AB729D">
        <w:rPr>
          <w:rFonts w:ascii="Times New Roman" w:hAnsi="Times New Roman"/>
          <w:sz w:val="24"/>
          <w:szCs w:val="24"/>
        </w:rPr>
        <w:t xml:space="preserve">, there is </w:t>
      </w:r>
      <w:r w:rsidR="009B5CD8" w:rsidRPr="00AB729D">
        <w:rPr>
          <w:rFonts w:ascii="Times New Roman" w:hAnsi="Times New Roman"/>
          <w:sz w:val="24"/>
          <w:szCs w:val="24"/>
        </w:rPr>
        <w:t xml:space="preserve">a </w:t>
      </w:r>
      <w:r w:rsidRPr="00AB729D">
        <w:rPr>
          <w:rFonts w:ascii="Times New Roman" w:hAnsi="Times New Roman"/>
          <w:sz w:val="24"/>
          <w:szCs w:val="24"/>
        </w:rPr>
        <w:t xml:space="preserve">negative and significant </w:t>
      </w:r>
      <w:r w:rsidR="00C16592" w:rsidRPr="00AB729D">
        <w:rPr>
          <w:rFonts w:ascii="Times New Roman" w:hAnsi="Times New Roman"/>
          <w:sz w:val="24"/>
          <w:szCs w:val="24"/>
        </w:rPr>
        <w:t>association</w:t>
      </w:r>
      <w:r w:rsidRPr="00AB729D">
        <w:rPr>
          <w:rFonts w:ascii="Times New Roman" w:hAnsi="Times New Roman"/>
          <w:sz w:val="24"/>
          <w:szCs w:val="24"/>
        </w:rPr>
        <w:t xml:space="preserve"> between institutional ownership proportion </w:t>
      </w:r>
      <w:r w:rsidR="00C16592" w:rsidRPr="00AB729D">
        <w:rPr>
          <w:rFonts w:ascii="Times New Roman" w:hAnsi="Times New Roman"/>
          <w:sz w:val="24"/>
          <w:szCs w:val="24"/>
        </w:rPr>
        <w:t>(</w:t>
      </w:r>
      <w:r w:rsidR="00C16592" w:rsidRPr="00AB729D">
        <w:rPr>
          <w:rFonts w:ascii="Times New Roman" w:hAnsi="Times New Roman"/>
          <w:i/>
          <w:sz w:val="24"/>
          <w:szCs w:val="24"/>
        </w:rPr>
        <w:t>PROP</w:t>
      </w:r>
      <w:r w:rsidR="00C16592" w:rsidRPr="00AB729D">
        <w:rPr>
          <w:rFonts w:ascii="Times New Roman" w:hAnsi="Times New Roman"/>
          <w:sz w:val="24"/>
          <w:szCs w:val="24"/>
        </w:rPr>
        <w:t xml:space="preserve">) </w:t>
      </w:r>
      <w:r w:rsidRPr="00AB729D">
        <w:rPr>
          <w:rFonts w:ascii="Times New Roman" w:hAnsi="Times New Roman"/>
          <w:sz w:val="24"/>
          <w:szCs w:val="24"/>
        </w:rPr>
        <w:t xml:space="preserve">and </w:t>
      </w:r>
      <w:r w:rsidR="00C16592" w:rsidRPr="00AB729D">
        <w:rPr>
          <w:rFonts w:ascii="Times New Roman" w:hAnsi="Times New Roman"/>
          <w:sz w:val="24"/>
          <w:szCs w:val="24"/>
        </w:rPr>
        <w:t xml:space="preserve">both </w:t>
      </w:r>
      <w:r w:rsidRPr="00AB729D">
        <w:rPr>
          <w:rFonts w:ascii="Times New Roman" w:hAnsi="Times New Roman"/>
          <w:sz w:val="24"/>
          <w:szCs w:val="24"/>
        </w:rPr>
        <w:t xml:space="preserve">equity mispricing variables </w:t>
      </w:r>
      <w:r w:rsidR="00C16592" w:rsidRPr="00AB729D">
        <w:rPr>
          <w:rFonts w:ascii="Times New Roman" w:hAnsi="Times New Roman"/>
          <w:sz w:val="24"/>
          <w:szCs w:val="24"/>
        </w:rPr>
        <w:t xml:space="preserve">of </w:t>
      </w:r>
      <w:r w:rsidR="00C16592" w:rsidRPr="00AB729D">
        <w:rPr>
          <w:rFonts w:ascii="Times New Roman" w:hAnsi="Times New Roman"/>
          <w:i/>
          <w:sz w:val="24"/>
          <w:szCs w:val="24"/>
        </w:rPr>
        <w:t>EXVRK</w:t>
      </w:r>
      <w:r w:rsidR="00C16592" w:rsidRPr="00AB729D">
        <w:rPr>
          <w:rFonts w:ascii="Times New Roman" w:hAnsi="Times New Roman"/>
          <w:sz w:val="24"/>
          <w:szCs w:val="24"/>
        </w:rPr>
        <w:t xml:space="preserve"> and </w:t>
      </w:r>
      <w:r w:rsidR="00C16592" w:rsidRPr="00AB729D">
        <w:rPr>
          <w:rFonts w:ascii="Times New Roman" w:hAnsi="Times New Roman"/>
          <w:i/>
          <w:sz w:val="24"/>
          <w:szCs w:val="24"/>
        </w:rPr>
        <w:t>EXVIA</w:t>
      </w:r>
      <w:r w:rsidR="00C16592" w:rsidRPr="00AB729D">
        <w:rPr>
          <w:rFonts w:ascii="Times New Roman" w:hAnsi="Times New Roman"/>
          <w:sz w:val="24"/>
          <w:szCs w:val="24"/>
        </w:rPr>
        <w:t>. Thus, lower equity mispricing is associated with higher institutional ownership</w:t>
      </w:r>
      <w:r w:rsidRPr="00AB729D">
        <w:rPr>
          <w:rFonts w:ascii="Times New Roman" w:hAnsi="Times New Roman"/>
          <w:sz w:val="24"/>
          <w:szCs w:val="24"/>
        </w:rPr>
        <w:t>.</w:t>
      </w:r>
    </w:p>
    <w:p w14:paraId="1A494352" w14:textId="6B652DBC" w:rsidR="004C34FA" w:rsidRPr="00AB729D" w:rsidRDefault="004C34FA" w:rsidP="004C34FA">
      <w:pPr>
        <w:spacing w:line="480" w:lineRule="auto"/>
        <w:ind w:firstLine="720"/>
        <w:jc w:val="center"/>
        <w:rPr>
          <w:rFonts w:ascii="Times New Roman" w:eastAsiaTheme="minorHAnsi" w:hAnsi="Times New Roman"/>
          <w:sz w:val="24"/>
          <w:szCs w:val="24"/>
        </w:rPr>
      </w:pPr>
      <w:r w:rsidRPr="00AB729D">
        <w:rPr>
          <w:rFonts w:ascii="Times New Roman" w:eastAsiaTheme="minorHAnsi" w:hAnsi="Times New Roman"/>
          <w:sz w:val="24"/>
          <w:szCs w:val="24"/>
        </w:rPr>
        <w:t>[INSERT TABLE 6 ABOUT HERE]</w:t>
      </w:r>
    </w:p>
    <w:p w14:paraId="794AF554" w14:textId="42C540F8" w:rsidR="00753C75" w:rsidRPr="00AB729D" w:rsidRDefault="00753C75" w:rsidP="00753C75">
      <w:pPr>
        <w:spacing w:line="480" w:lineRule="auto"/>
        <w:ind w:firstLine="720"/>
        <w:rPr>
          <w:rFonts w:ascii="Times New Roman" w:hAnsi="Times New Roman"/>
          <w:sz w:val="24"/>
          <w:szCs w:val="24"/>
        </w:rPr>
      </w:pPr>
      <w:r w:rsidRPr="00AB729D">
        <w:rPr>
          <w:rFonts w:ascii="Times New Roman" w:hAnsi="Times New Roman"/>
          <w:sz w:val="24"/>
          <w:szCs w:val="24"/>
        </w:rPr>
        <w:t>Table 7 reports the results of</w:t>
      </w:r>
      <w:r w:rsidR="009B5CD8" w:rsidRPr="00AB729D">
        <w:rPr>
          <w:rFonts w:ascii="Times New Roman" w:hAnsi="Times New Roman"/>
          <w:sz w:val="24"/>
          <w:szCs w:val="24"/>
        </w:rPr>
        <w:t xml:space="preserve"> </w:t>
      </w:r>
      <w:r w:rsidRPr="00AB729D">
        <w:rPr>
          <w:rFonts w:ascii="Times New Roman" w:hAnsi="Times New Roman"/>
          <w:sz w:val="24"/>
          <w:szCs w:val="24"/>
        </w:rPr>
        <w:t>firm fixed-effect regressions</w:t>
      </w:r>
      <w:r w:rsidR="00C16592" w:rsidRPr="00AB729D">
        <w:rPr>
          <w:rFonts w:ascii="Times New Roman" w:hAnsi="Times New Roman"/>
          <w:sz w:val="24"/>
          <w:szCs w:val="24"/>
        </w:rPr>
        <w:t>, which capture the impact of time-invariant omitted firm specifications</w:t>
      </w:r>
      <w:r w:rsidRPr="00AB729D">
        <w:rPr>
          <w:rFonts w:ascii="Times New Roman" w:hAnsi="Times New Roman"/>
          <w:sz w:val="24"/>
          <w:szCs w:val="24"/>
        </w:rPr>
        <w:t xml:space="preserve">. Consistent with </w:t>
      </w:r>
      <w:r w:rsidR="00DB7090" w:rsidRPr="00AB729D">
        <w:rPr>
          <w:rFonts w:ascii="Times New Roman" w:hAnsi="Times New Roman"/>
          <w:sz w:val="24"/>
          <w:szCs w:val="24"/>
        </w:rPr>
        <w:t xml:space="preserve">the </w:t>
      </w:r>
      <w:r w:rsidRPr="00AB729D">
        <w:rPr>
          <w:rFonts w:ascii="Times New Roman" w:hAnsi="Times New Roman"/>
          <w:sz w:val="24"/>
          <w:szCs w:val="24"/>
        </w:rPr>
        <w:t>OLS results</w:t>
      </w:r>
      <w:r w:rsidR="00C16592" w:rsidRPr="00AB729D">
        <w:rPr>
          <w:rFonts w:ascii="Times New Roman" w:hAnsi="Times New Roman"/>
          <w:sz w:val="24"/>
          <w:szCs w:val="24"/>
        </w:rPr>
        <w:t xml:space="preserve"> from Table 6</w:t>
      </w:r>
      <w:r w:rsidRPr="00AB729D">
        <w:rPr>
          <w:rFonts w:ascii="Times New Roman" w:hAnsi="Times New Roman"/>
          <w:sz w:val="24"/>
          <w:szCs w:val="24"/>
        </w:rPr>
        <w:t xml:space="preserve">, </w:t>
      </w:r>
      <w:r w:rsidR="00C16592" w:rsidRPr="00AB729D">
        <w:rPr>
          <w:rFonts w:ascii="Times New Roman" w:hAnsi="Times New Roman"/>
          <w:i/>
          <w:sz w:val="24"/>
          <w:szCs w:val="24"/>
        </w:rPr>
        <w:t>IOV</w:t>
      </w:r>
      <w:r w:rsidR="00C16592" w:rsidRPr="00AB729D">
        <w:rPr>
          <w:rFonts w:ascii="Times New Roman" w:hAnsi="Times New Roman"/>
          <w:sz w:val="24"/>
          <w:szCs w:val="24"/>
        </w:rPr>
        <w:t xml:space="preserve"> </w:t>
      </w:r>
      <w:r w:rsidR="00C16592" w:rsidRPr="00AB729D">
        <w:rPr>
          <w:rFonts w:ascii="Times New Roman" w:hAnsi="Times New Roman"/>
          <w:sz w:val="24"/>
          <w:szCs w:val="24"/>
        </w:rPr>
        <w:lastRenderedPageBreak/>
        <w:t xml:space="preserve">and </w:t>
      </w:r>
      <w:r w:rsidR="00C16592" w:rsidRPr="00AB729D">
        <w:rPr>
          <w:rFonts w:ascii="Times New Roman" w:hAnsi="Times New Roman"/>
          <w:i/>
          <w:sz w:val="24"/>
          <w:szCs w:val="24"/>
        </w:rPr>
        <w:t>PROP</w:t>
      </w:r>
      <w:r w:rsidR="00C16592" w:rsidRPr="00AB729D">
        <w:rPr>
          <w:rFonts w:ascii="Times New Roman" w:hAnsi="Times New Roman"/>
          <w:sz w:val="24"/>
          <w:szCs w:val="24"/>
        </w:rPr>
        <w:t xml:space="preserve"> are positively and negatively related to the mispricing variables, respectively</w:t>
      </w:r>
      <w:r w:rsidRPr="00AB729D">
        <w:rPr>
          <w:rFonts w:ascii="Times New Roman" w:hAnsi="Times New Roman"/>
          <w:sz w:val="24"/>
          <w:szCs w:val="24"/>
        </w:rPr>
        <w:t xml:space="preserve">. </w:t>
      </w:r>
      <w:r w:rsidR="00C16592" w:rsidRPr="00AB729D">
        <w:rPr>
          <w:rFonts w:ascii="Times New Roman" w:hAnsi="Times New Roman"/>
          <w:sz w:val="24"/>
          <w:szCs w:val="24"/>
        </w:rPr>
        <w:t>Overall, the regression results</w:t>
      </w:r>
      <w:r w:rsidRPr="00AB729D">
        <w:rPr>
          <w:rFonts w:ascii="Times New Roman" w:hAnsi="Times New Roman"/>
          <w:sz w:val="24"/>
          <w:szCs w:val="24"/>
        </w:rPr>
        <w:t xml:space="preserve"> are consistent with </w:t>
      </w:r>
      <w:r w:rsidR="009B5CD8" w:rsidRPr="00AB729D">
        <w:rPr>
          <w:rFonts w:ascii="Times New Roman" w:hAnsi="Times New Roman"/>
          <w:sz w:val="24"/>
          <w:szCs w:val="24"/>
        </w:rPr>
        <w:t xml:space="preserve">the </w:t>
      </w:r>
      <w:r w:rsidRPr="00AB729D">
        <w:rPr>
          <w:rFonts w:ascii="Times New Roman" w:hAnsi="Times New Roman"/>
          <w:sz w:val="24"/>
          <w:szCs w:val="24"/>
        </w:rPr>
        <w:t xml:space="preserve">hypothesis that </w:t>
      </w:r>
      <w:r w:rsidR="00C16592" w:rsidRPr="00AB729D">
        <w:rPr>
          <w:rFonts w:ascii="Times New Roman" w:hAnsi="Times New Roman"/>
          <w:sz w:val="24"/>
          <w:szCs w:val="24"/>
        </w:rPr>
        <w:t xml:space="preserve">stability in institutional ownership and </w:t>
      </w:r>
      <w:r w:rsidR="002A7672" w:rsidRPr="00AB729D">
        <w:rPr>
          <w:rFonts w:ascii="Times New Roman" w:hAnsi="Times New Roman"/>
          <w:sz w:val="24"/>
          <w:szCs w:val="24"/>
        </w:rPr>
        <w:t xml:space="preserve">low </w:t>
      </w:r>
      <w:r w:rsidR="00C16592" w:rsidRPr="00AB729D">
        <w:rPr>
          <w:rFonts w:ascii="Times New Roman" w:hAnsi="Times New Roman"/>
          <w:sz w:val="24"/>
          <w:szCs w:val="24"/>
        </w:rPr>
        <w:t xml:space="preserve">institutional ownership are </w:t>
      </w:r>
      <w:r w:rsidR="00DB7090" w:rsidRPr="00AB729D">
        <w:rPr>
          <w:rFonts w:ascii="Times New Roman" w:hAnsi="Times New Roman"/>
          <w:sz w:val="24"/>
          <w:szCs w:val="24"/>
        </w:rPr>
        <w:t>positively associated with investee firm’s</w:t>
      </w:r>
      <w:r w:rsidR="00C16592" w:rsidRPr="00AB729D">
        <w:rPr>
          <w:rFonts w:ascii="Times New Roman" w:hAnsi="Times New Roman"/>
          <w:sz w:val="24"/>
          <w:szCs w:val="24"/>
        </w:rPr>
        <w:t xml:space="preserve"> equity mispricing</w:t>
      </w:r>
      <w:r w:rsidRPr="00AB729D">
        <w:rPr>
          <w:rFonts w:ascii="Times New Roman" w:hAnsi="Times New Roman"/>
          <w:sz w:val="24"/>
          <w:szCs w:val="24"/>
        </w:rPr>
        <w:t>.</w:t>
      </w:r>
    </w:p>
    <w:p w14:paraId="5108ACC6" w14:textId="5F411015" w:rsidR="004C34FA" w:rsidRPr="00AB729D" w:rsidRDefault="004C34FA" w:rsidP="004C34FA">
      <w:pPr>
        <w:spacing w:line="480" w:lineRule="auto"/>
        <w:ind w:firstLine="720"/>
        <w:jc w:val="center"/>
        <w:rPr>
          <w:rFonts w:ascii="Times New Roman" w:eastAsiaTheme="minorHAnsi" w:hAnsi="Times New Roman"/>
          <w:sz w:val="24"/>
          <w:szCs w:val="24"/>
        </w:rPr>
      </w:pPr>
      <w:r w:rsidRPr="00AB729D">
        <w:rPr>
          <w:rFonts w:ascii="Times New Roman" w:eastAsiaTheme="minorHAnsi" w:hAnsi="Times New Roman"/>
          <w:sz w:val="24"/>
          <w:szCs w:val="24"/>
        </w:rPr>
        <w:t>[INSERT TABLE 7 ABOUT HERE]</w:t>
      </w:r>
    </w:p>
    <w:p w14:paraId="1E50958F" w14:textId="0B40FB24" w:rsidR="00CD44A5" w:rsidRPr="00AB729D" w:rsidRDefault="00B50516" w:rsidP="00C4120C">
      <w:pPr>
        <w:pStyle w:val="ListParagraph"/>
        <w:numPr>
          <w:ilvl w:val="1"/>
          <w:numId w:val="14"/>
        </w:numPr>
        <w:rPr>
          <w:rFonts w:ascii="Times New Roman" w:hAnsi="Times New Roman"/>
          <w:b/>
          <w:sz w:val="24"/>
          <w:szCs w:val="24"/>
        </w:rPr>
      </w:pPr>
      <w:bookmarkStart w:id="11" w:name="_Toc474489300"/>
      <w:r w:rsidRPr="00AB729D">
        <w:rPr>
          <w:rFonts w:ascii="Times New Roman" w:hAnsi="Times New Roman"/>
          <w:b/>
          <w:sz w:val="24"/>
          <w:szCs w:val="24"/>
        </w:rPr>
        <w:t>Institutional I</w:t>
      </w:r>
      <w:r w:rsidR="00CD44A5" w:rsidRPr="00AB729D">
        <w:rPr>
          <w:rFonts w:ascii="Times New Roman" w:hAnsi="Times New Roman"/>
          <w:b/>
          <w:sz w:val="24"/>
          <w:szCs w:val="24"/>
        </w:rPr>
        <w:t>nvestors</w:t>
      </w:r>
      <w:r w:rsidRPr="00AB729D">
        <w:rPr>
          <w:rFonts w:ascii="Times New Roman" w:hAnsi="Times New Roman"/>
          <w:b/>
          <w:sz w:val="24"/>
          <w:szCs w:val="24"/>
        </w:rPr>
        <w:t>’ Horizon R</w:t>
      </w:r>
      <w:r w:rsidR="00CD44A5" w:rsidRPr="00AB729D">
        <w:rPr>
          <w:rFonts w:ascii="Times New Roman" w:hAnsi="Times New Roman"/>
          <w:b/>
          <w:sz w:val="24"/>
          <w:szCs w:val="24"/>
        </w:rPr>
        <w:t>esults</w:t>
      </w:r>
      <w:bookmarkEnd w:id="11"/>
    </w:p>
    <w:p w14:paraId="53EB3947" w14:textId="0B6BB595" w:rsidR="005D7A27" w:rsidRPr="00AB729D" w:rsidRDefault="00787016" w:rsidP="00205A66">
      <w:pPr>
        <w:spacing w:line="480" w:lineRule="auto"/>
        <w:ind w:firstLine="720"/>
        <w:rPr>
          <w:rFonts w:ascii="Times New Roman" w:hAnsi="Times New Roman"/>
          <w:sz w:val="24"/>
          <w:szCs w:val="24"/>
        </w:rPr>
      </w:pPr>
      <w:r w:rsidRPr="00AB729D">
        <w:rPr>
          <w:rFonts w:ascii="Times New Roman" w:hAnsi="Times New Roman"/>
          <w:sz w:val="24"/>
          <w:szCs w:val="24"/>
        </w:rPr>
        <w:t xml:space="preserve">As discussed earlier, institutional investors as a group </w:t>
      </w:r>
      <w:r w:rsidR="00D5005D" w:rsidRPr="00AB729D">
        <w:rPr>
          <w:rFonts w:ascii="Times New Roman" w:hAnsi="Times New Roman"/>
          <w:sz w:val="24"/>
          <w:szCs w:val="24"/>
        </w:rPr>
        <w:t>are</w:t>
      </w:r>
      <w:r w:rsidRPr="00AB729D">
        <w:rPr>
          <w:rFonts w:ascii="Times New Roman" w:hAnsi="Times New Roman"/>
          <w:sz w:val="24"/>
          <w:szCs w:val="24"/>
        </w:rPr>
        <w:t xml:space="preserve"> quite heterogeneous and, therefore, </w:t>
      </w:r>
      <w:r w:rsidR="00D5005D" w:rsidRPr="00AB729D">
        <w:rPr>
          <w:rFonts w:ascii="Times New Roman" w:hAnsi="Times New Roman"/>
          <w:sz w:val="24"/>
          <w:szCs w:val="24"/>
        </w:rPr>
        <w:t>this section examines</w:t>
      </w:r>
      <w:r w:rsidRPr="00AB729D">
        <w:rPr>
          <w:rFonts w:ascii="Times New Roman" w:hAnsi="Times New Roman"/>
          <w:sz w:val="24"/>
          <w:szCs w:val="24"/>
        </w:rPr>
        <w:t xml:space="preserve"> how different</w:t>
      </w:r>
      <w:r w:rsidR="002A7672" w:rsidRPr="00AB729D">
        <w:rPr>
          <w:rFonts w:ascii="Times New Roman" w:hAnsi="Times New Roman"/>
          <w:sz w:val="24"/>
          <w:szCs w:val="24"/>
        </w:rPr>
        <w:t xml:space="preserve"> types of</w:t>
      </w:r>
      <w:r w:rsidRPr="00AB729D">
        <w:rPr>
          <w:rFonts w:ascii="Times New Roman" w:hAnsi="Times New Roman"/>
          <w:sz w:val="24"/>
          <w:szCs w:val="24"/>
        </w:rPr>
        <w:t xml:space="preserve"> institutional investors </w:t>
      </w:r>
      <w:r w:rsidR="00B90D30" w:rsidRPr="00AB729D">
        <w:rPr>
          <w:rFonts w:ascii="Times New Roman" w:hAnsi="Times New Roman"/>
          <w:sz w:val="24"/>
          <w:szCs w:val="24"/>
        </w:rPr>
        <w:t xml:space="preserve">impact investee firms’ </w:t>
      </w:r>
      <w:r w:rsidRPr="00AB729D">
        <w:rPr>
          <w:rFonts w:ascii="Times New Roman" w:hAnsi="Times New Roman"/>
          <w:sz w:val="24"/>
          <w:szCs w:val="24"/>
        </w:rPr>
        <w:t xml:space="preserve">equity mispricing since their motivations to trade shares </w:t>
      </w:r>
      <w:r w:rsidR="002A7672" w:rsidRPr="00AB729D">
        <w:rPr>
          <w:rFonts w:ascii="Times New Roman" w:hAnsi="Times New Roman"/>
          <w:sz w:val="24"/>
          <w:szCs w:val="24"/>
        </w:rPr>
        <w:t>differ</w:t>
      </w:r>
      <w:r w:rsidRPr="00AB729D">
        <w:rPr>
          <w:rFonts w:ascii="Times New Roman" w:hAnsi="Times New Roman"/>
          <w:sz w:val="24"/>
          <w:szCs w:val="24"/>
        </w:rPr>
        <w:t xml:space="preserve">. To capture the heterogeneity amongst institutional investors, we adopt </w:t>
      </w:r>
      <w:proofErr w:type="spellStart"/>
      <w:r w:rsidRPr="00AB729D">
        <w:rPr>
          <w:rFonts w:ascii="Times New Roman" w:hAnsi="Times New Roman"/>
          <w:sz w:val="24"/>
          <w:szCs w:val="24"/>
        </w:rPr>
        <w:t>Bushee</w:t>
      </w:r>
      <w:proofErr w:type="spellEnd"/>
      <w:r w:rsidRPr="00AB729D">
        <w:rPr>
          <w:rFonts w:ascii="Times New Roman" w:hAnsi="Times New Roman"/>
          <w:sz w:val="24"/>
          <w:szCs w:val="24"/>
        </w:rPr>
        <w:t xml:space="preserve"> (1998, </w:t>
      </w:r>
      <w:r w:rsidR="00191E28" w:rsidRPr="00AB729D">
        <w:rPr>
          <w:rFonts w:ascii="Times New Roman" w:hAnsi="Times New Roman"/>
          <w:sz w:val="24"/>
          <w:szCs w:val="24"/>
        </w:rPr>
        <w:t>2001</w:t>
      </w:r>
      <w:r w:rsidRPr="00AB729D">
        <w:rPr>
          <w:rFonts w:ascii="Times New Roman" w:hAnsi="Times New Roman"/>
          <w:sz w:val="24"/>
          <w:szCs w:val="24"/>
        </w:rPr>
        <w:t>)</w:t>
      </w:r>
      <w:r w:rsidR="00B90D30" w:rsidRPr="00AB729D">
        <w:rPr>
          <w:rFonts w:ascii="Times New Roman" w:hAnsi="Times New Roman"/>
          <w:sz w:val="24"/>
          <w:szCs w:val="24"/>
        </w:rPr>
        <w:t xml:space="preserve"> and </w:t>
      </w:r>
      <w:proofErr w:type="spellStart"/>
      <w:r w:rsidR="00B90D30" w:rsidRPr="00AB729D">
        <w:rPr>
          <w:rFonts w:ascii="Times New Roman" w:hAnsi="Times New Roman"/>
          <w:sz w:val="24"/>
          <w:szCs w:val="24"/>
        </w:rPr>
        <w:t>Bushee</w:t>
      </w:r>
      <w:proofErr w:type="spellEnd"/>
      <w:r w:rsidR="00B90D30" w:rsidRPr="00AB729D">
        <w:rPr>
          <w:rFonts w:ascii="Times New Roman" w:hAnsi="Times New Roman"/>
          <w:sz w:val="24"/>
          <w:szCs w:val="24"/>
        </w:rPr>
        <w:t xml:space="preserve"> and Noe (2000)</w:t>
      </w:r>
      <w:r w:rsidRPr="00AB729D">
        <w:rPr>
          <w:rFonts w:ascii="Times New Roman" w:hAnsi="Times New Roman"/>
          <w:sz w:val="24"/>
          <w:szCs w:val="24"/>
        </w:rPr>
        <w:t xml:space="preserve"> categorization. Specifically, we</w:t>
      </w:r>
      <w:r w:rsidR="00753C75" w:rsidRPr="00AB729D">
        <w:rPr>
          <w:rFonts w:ascii="Times New Roman" w:hAnsi="Times New Roman"/>
          <w:sz w:val="24"/>
          <w:szCs w:val="24"/>
        </w:rPr>
        <w:t xml:space="preserve"> classify institutional investors </w:t>
      </w:r>
      <w:r w:rsidR="009B5CD8" w:rsidRPr="00AB729D">
        <w:rPr>
          <w:rFonts w:ascii="Times New Roman" w:hAnsi="Times New Roman"/>
          <w:sz w:val="24"/>
          <w:szCs w:val="24"/>
        </w:rPr>
        <w:t>in</w:t>
      </w:r>
      <w:r w:rsidR="00753C75" w:rsidRPr="00AB729D">
        <w:rPr>
          <w:rFonts w:ascii="Times New Roman" w:hAnsi="Times New Roman"/>
          <w:sz w:val="24"/>
          <w:szCs w:val="24"/>
        </w:rPr>
        <w:t>to three groups based on their investment horizon</w:t>
      </w:r>
      <w:r w:rsidR="00205A66" w:rsidRPr="00AB729D">
        <w:rPr>
          <w:rFonts w:ascii="Times New Roman" w:hAnsi="Times New Roman"/>
          <w:sz w:val="24"/>
          <w:szCs w:val="24"/>
        </w:rPr>
        <w:t xml:space="preserve"> as follows</w:t>
      </w:r>
      <w:r w:rsidR="00753C75" w:rsidRPr="00AB729D">
        <w:rPr>
          <w:rFonts w:ascii="Times New Roman" w:hAnsi="Times New Roman"/>
          <w:sz w:val="24"/>
          <w:szCs w:val="24"/>
        </w:rPr>
        <w:t>: Dedicated, Quasi-indexers</w:t>
      </w:r>
      <w:r w:rsidR="009B5CD8" w:rsidRPr="00AB729D">
        <w:rPr>
          <w:rFonts w:ascii="Times New Roman" w:hAnsi="Times New Roman"/>
          <w:sz w:val="24"/>
          <w:szCs w:val="24"/>
        </w:rPr>
        <w:t>,</w:t>
      </w:r>
      <w:r w:rsidR="00753C75" w:rsidRPr="00AB729D">
        <w:rPr>
          <w:rFonts w:ascii="Times New Roman" w:hAnsi="Times New Roman"/>
          <w:sz w:val="24"/>
          <w:szCs w:val="24"/>
        </w:rPr>
        <w:t xml:space="preserve"> and Transient</w:t>
      </w:r>
      <w:r w:rsidR="00205A66" w:rsidRPr="00AB729D">
        <w:rPr>
          <w:rFonts w:ascii="Times New Roman" w:hAnsi="Times New Roman"/>
          <w:sz w:val="24"/>
          <w:szCs w:val="24"/>
        </w:rPr>
        <w:t>, and consider their relationship to equity mispricing separately</w:t>
      </w:r>
      <w:r w:rsidR="00753C75" w:rsidRPr="00AB729D">
        <w:rPr>
          <w:rFonts w:ascii="Times New Roman" w:hAnsi="Times New Roman"/>
          <w:sz w:val="24"/>
          <w:szCs w:val="24"/>
        </w:rPr>
        <w:t>.</w:t>
      </w:r>
      <w:r w:rsidR="00205A66" w:rsidRPr="00AB729D">
        <w:rPr>
          <w:rFonts w:ascii="Times New Roman" w:hAnsi="Times New Roman"/>
          <w:sz w:val="24"/>
          <w:szCs w:val="24"/>
        </w:rPr>
        <w:t xml:space="preserve"> </w:t>
      </w:r>
    </w:p>
    <w:p w14:paraId="7E3A1488" w14:textId="03A89B93" w:rsidR="005D7A27" w:rsidRPr="00AB729D" w:rsidRDefault="00205A66" w:rsidP="00205A66">
      <w:pPr>
        <w:spacing w:line="480" w:lineRule="auto"/>
        <w:ind w:firstLine="720"/>
        <w:rPr>
          <w:rFonts w:ascii="Times New Roman" w:hAnsi="Times New Roman"/>
          <w:sz w:val="24"/>
          <w:szCs w:val="24"/>
        </w:rPr>
      </w:pPr>
      <w:r w:rsidRPr="00AB729D">
        <w:rPr>
          <w:rFonts w:ascii="Times New Roman" w:hAnsi="Times New Roman"/>
          <w:sz w:val="24"/>
          <w:szCs w:val="24"/>
        </w:rPr>
        <w:t>We hypothesize that since the investment horizon</w:t>
      </w:r>
      <w:r w:rsidR="00540CC6" w:rsidRPr="00AB729D">
        <w:rPr>
          <w:rFonts w:ascii="Times New Roman" w:hAnsi="Times New Roman"/>
          <w:sz w:val="24"/>
          <w:szCs w:val="24"/>
        </w:rPr>
        <w:t>s</w:t>
      </w:r>
      <w:r w:rsidRPr="00AB729D">
        <w:rPr>
          <w:rFonts w:ascii="Times New Roman" w:hAnsi="Times New Roman"/>
          <w:sz w:val="24"/>
          <w:szCs w:val="24"/>
        </w:rPr>
        <w:t xml:space="preserve"> of dedicated and quasi-indexers investors tend to be long-term, they will be </w:t>
      </w:r>
      <w:r w:rsidR="00540CC6" w:rsidRPr="00AB729D">
        <w:rPr>
          <w:rFonts w:ascii="Times New Roman" w:hAnsi="Times New Roman"/>
          <w:sz w:val="24"/>
          <w:szCs w:val="24"/>
        </w:rPr>
        <w:t>associated</w:t>
      </w:r>
      <w:r w:rsidRPr="00AB729D">
        <w:rPr>
          <w:rFonts w:ascii="Times New Roman" w:hAnsi="Times New Roman"/>
          <w:sz w:val="24"/>
          <w:szCs w:val="24"/>
        </w:rPr>
        <w:t xml:space="preserve"> with less mispriced stocks. Conversely, the short-term nature of transient institutional investors would do little to alleviate the investee firm’s mispricing. We augment equation (5) by adding the following three independent variables: </w:t>
      </w:r>
      <w:r w:rsidR="00753C75" w:rsidRPr="00AB729D">
        <w:rPr>
          <w:rFonts w:ascii="Times New Roman" w:hAnsi="Times New Roman"/>
          <w:i/>
          <w:sz w:val="24"/>
          <w:szCs w:val="24"/>
        </w:rPr>
        <w:t>DED</w:t>
      </w:r>
      <w:r w:rsidR="00753C75" w:rsidRPr="00AB729D">
        <w:rPr>
          <w:rFonts w:ascii="Times New Roman" w:hAnsi="Times New Roman"/>
          <w:sz w:val="24"/>
          <w:szCs w:val="24"/>
        </w:rPr>
        <w:t xml:space="preserve">, </w:t>
      </w:r>
      <w:r w:rsidR="00753C75" w:rsidRPr="00AB729D">
        <w:rPr>
          <w:rFonts w:ascii="Times New Roman" w:hAnsi="Times New Roman"/>
          <w:i/>
          <w:sz w:val="24"/>
          <w:szCs w:val="24"/>
        </w:rPr>
        <w:t>QIX</w:t>
      </w:r>
      <w:r w:rsidR="009B5CD8" w:rsidRPr="00AB729D">
        <w:rPr>
          <w:rFonts w:ascii="Times New Roman" w:hAnsi="Times New Roman"/>
          <w:i/>
          <w:sz w:val="24"/>
          <w:szCs w:val="24"/>
        </w:rPr>
        <w:t>,</w:t>
      </w:r>
      <w:r w:rsidR="00753C75" w:rsidRPr="00AB729D">
        <w:rPr>
          <w:rFonts w:ascii="Times New Roman" w:hAnsi="Times New Roman"/>
          <w:sz w:val="24"/>
          <w:szCs w:val="24"/>
        </w:rPr>
        <w:t xml:space="preserve"> and </w:t>
      </w:r>
      <w:r w:rsidR="00753C75" w:rsidRPr="00AB729D">
        <w:rPr>
          <w:rFonts w:ascii="Times New Roman" w:hAnsi="Times New Roman"/>
          <w:i/>
          <w:sz w:val="24"/>
          <w:szCs w:val="24"/>
        </w:rPr>
        <w:t>TRA</w:t>
      </w:r>
      <w:r w:rsidR="00540CC6" w:rsidRPr="00AB729D">
        <w:rPr>
          <w:rFonts w:ascii="Times New Roman" w:hAnsi="Times New Roman"/>
          <w:i/>
          <w:sz w:val="24"/>
          <w:szCs w:val="24"/>
        </w:rPr>
        <w:t>;</w:t>
      </w:r>
      <w:r w:rsidR="00540CC6" w:rsidRPr="00AB729D">
        <w:rPr>
          <w:rFonts w:ascii="Times New Roman" w:hAnsi="Times New Roman"/>
          <w:sz w:val="24"/>
          <w:szCs w:val="24"/>
        </w:rPr>
        <w:t xml:space="preserve"> </w:t>
      </w:r>
      <w:r w:rsidR="002A7672" w:rsidRPr="00AB729D">
        <w:rPr>
          <w:rFonts w:ascii="Times New Roman" w:hAnsi="Times New Roman"/>
          <w:sz w:val="24"/>
          <w:szCs w:val="24"/>
        </w:rPr>
        <w:t xml:space="preserve">which </w:t>
      </w:r>
      <w:r w:rsidRPr="00AB729D">
        <w:rPr>
          <w:rFonts w:ascii="Times New Roman" w:hAnsi="Times New Roman"/>
          <w:sz w:val="24"/>
          <w:szCs w:val="24"/>
        </w:rPr>
        <w:t xml:space="preserve">represent </w:t>
      </w:r>
      <w:r w:rsidR="00753C75" w:rsidRPr="00AB729D">
        <w:rPr>
          <w:rFonts w:ascii="Times New Roman" w:hAnsi="Times New Roman"/>
          <w:sz w:val="24"/>
          <w:szCs w:val="24"/>
        </w:rPr>
        <w:t xml:space="preserve">the proportion of the investee firms </w:t>
      </w:r>
      <w:r w:rsidRPr="00AB729D">
        <w:rPr>
          <w:rFonts w:ascii="Times New Roman" w:hAnsi="Times New Roman"/>
          <w:sz w:val="24"/>
          <w:szCs w:val="24"/>
        </w:rPr>
        <w:t>held</w:t>
      </w:r>
      <w:r w:rsidR="00753C75" w:rsidRPr="00AB729D">
        <w:rPr>
          <w:rFonts w:ascii="Times New Roman" w:hAnsi="Times New Roman"/>
          <w:sz w:val="24"/>
          <w:szCs w:val="24"/>
        </w:rPr>
        <w:t xml:space="preserve"> by </w:t>
      </w:r>
      <w:r w:rsidR="009B5CD8" w:rsidRPr="00AB729D">
        <w:rPr>
          <w:rFonts w:ascii="Times New Roman" w:hAnsi="Times New Roman"/>
          <w:sz w:val="24"/>
          <w:szCs w:val="24"/>
        </w:rPr>
        <w:t>Dedicated</w:t>
      </w:r>
      <w:r w:rsidR="00753C75" w:rsidRPr="00AB729D">
        <w:rPr>
          <w:rFonts w:ascii="Times New Roman" w:hAnsi="Times New Roman"/>
          <w:sz w:val="24"/>
          <w:szCs w:val="24"/>
        </w:rPr>
        <w:t xml:space="preserve">, </w:t>
      </w:r>
      <w:r w:rsidR="009B5CD8" w:rsidRPr="00AB729D">
        <w:rPr>
          <w:rFonts w:ascii="Times New Roman" w:hAnsi="Times New Roman"/>
          <w:sz w:val="24"/>
          <w:szCs w:val="24"/>
        </w:rPr>
        <w:t>Quasi</w:t>
      </w:r>
      <w:r w:rsidR="00753C75" w:rsidRPr="00AB729D">
        <w:rPr>
          <w:rFonts w:ascii="Times New Roman" w:hAnsi="Times New Roman"/>
          <w:sz w:val="24"/>
          <w:szCs w:val="24"/>
        </w:rPr>
        <w:t>-indexers</w:t>
      </w:r>
      <w:r w:rsidR="009B5CD8" w:rsidRPr="00AB729D">
        <w:rPr>
          <w:rFonts w:ascii="Times New Roman" w:hAnsi="Times New Roman"/>
          <w:sz w:val="24"/>
          <w:szCs w:val="24"/>
        </w:rPr>
        <w:t>,</w:t>
      </w:r>
      <w:r w:rsidR="00753C75" w:rsidRPr="00AB729D">
        <w:rPr>
          <w:rFonts w:ascii="Times New Roman" w:hAnsi="Times New Roman"/>
          <w:sz w:val="24"/>
          <w:szCs w:val="24"/>
        </w:rPr>
        <w:t xml:space="preserve"> and </w:t>
      </w:r>
      <w:r w:rsidR="009B5CD8" w:rsidRPr="00AB729D">
        <w:rPr>
          <w:rFonts w:ascii="Times New Roman" w:hAnsi="Times New Roman"/>
          <w:sz w:val="24"/>
          <w:szCs w:val="24"/>
        </w:rPr>
        <w:t xml:space="preserve">Transient </w:t>
      </w:r>
      <w:r w:rsidR="00753C75" w:rsidRPr="00AB729D">
        <w:rPr>
          <w:rFonts w:ascii="Times New Roman" w:hAnsi="Times New Roman"/>
          <w:sz w:val="24"/>
          <w:szCs w:val="24"/>
        </w:rPr>
        <w:t xml:space="preserve">institutional investors, respectively. </w:t>
      </w:r>
      <w:r w:rsidR="005D7A27" w:rsidRPr="00AB729D">
        <w:rPr>
          <w:rFonts w:ascii="Times New Roman" w:hAnsi="Times New Roman"/>
          <w:sz w:val="24"/>
          <w:szCs w:val="24"/>
        </w:rPr>
        <w:t xml:space="preserve">We present the results of the OLS regressions in Table 8 and those of the fixed-effect regressions in Table 9. </w:t>
      </w:r>
    </w:p>
    <w:p w14:paraId="6EC59B48" w14:textId="2583F25D" w:rsidR="005D7A27" w:rsidRPr="00AB729D" w:rsidRDefault="005D7A27" w:rsidP="00205A66">
      <w:pPr>
        <w:spacing w:line="480" w:lineRule="auto"/>
        <w:ind w:firstLine="720"/>
        <w:rPr>
          <w:rFonts w:ascii="Times New Roman" w:hAnsi="Times New Roman"/>
          <w:sz w:val="24"/>
          <w:szCs w:val="24"/>
        </w:rPr>
      </w:pPr>
      <w:r w:rsidRPr="00AB729D">
        <w:rPr>
          <w:rFonts w:ascii="Times New Roman" w:hAnsi="Times New Roman"/>
          <w:sz w:val="24"/>
          <w:szCs w:val="24"/>
        </w:rPr>
        <w:t xml:space="preserve">Consistent with our hypothesis, the proportion of shares held by </w:t>
      </w:r>
      <w:r w:rsidRPr="00AB729D">
        <w:rPr>
          <w:rFonts w:ascii="Times New Roman" w:hAnsi="Times New Roman"/>
          <w:i/>
          <w:sz w:val="24"/>
          <w:szCs w:val="24"/>
        </w:rPr>
        <w:t>DED</w:t>
      </w:r>
      <w:r w:rsidRPr="00AB729D">
        <w:rPr>
          <w:rFonts w:ascii="Times New Roman" w:hAnsi="Times New Roman"/>
          <w:sz w:val="24"/>
          <w:szCs w:val="24"/>
        </w:rPr>
        <w:t xml:space="preserve"> and </w:t>
      </w:r>
      <w:r w:rsidRPr="00AB729D">
        <w:rPr>
          <w:rFonts w:ascii="Times New Roman" w:hAnsi="Times New Roman"/>
          <w:i/>
          <w:sz w:val="24"/>
          <w:szCs w:val="24"/>
        </w:rPr>
        <w:t>QIX</w:t>
      </w:r>
      <w:r w:rsidRPr="00AB729D">
        <w:rPr>
          <w:rFonts w:ascii="Times New Roman" w:hAnsi="Times New Roman"/>
          <w:sz w:val="24"/>
          <w:szCs w:val="24"/>
        </w:rPr>
        <w:t xml:space="preserve"> is inversely related to </w:t>
      </w:r>
      <w:r w:rsidRPr="00AB729D">
        <w:rPr>
          <w:rFonts w:ascii="Times New Roman" w:hAnsi="Times New Roman"/>
          <w:i/>
          <w:sz w:val="24"/>
          <w:szCs w:val="24"/>
        </w:rPr>
        <w:t>EXVRK</w:t>
      </w:r>
      <w:r w:rsidRPr="00AB729D">
        <w:rPr>
          <w:rFonts w:ascii="Times New Roman" w:hAnsi="Times New Roman"/>
          <w:sz w:val="24"/>
          <w:szCs w:val="24"/>
        </w:rPr>
        <w:t xml:space="preserve"> and </w:t>
      </w:r>
      <w:r w:rsidRPr="00AB729D">
        <w:rPr>
          <w:rFonts w:ascii="Times New Roman" w:hAnsi="Times New Roman"/>
          <w:i/>
          <w:sz w:val="24"/>
          <w:szCs w:val="24"/>
        </w:rPr>
        <w:t>EXVIA</w:t>
      </w:r>
      <w:r w:rsidRPr="00AB729D">
        <w:rPr>
          <w:rFonts w:ascii="Times New Roman" w:hAnsi="Times New Roman"/>
          <w:sz w:val="24"/>
          <w:szCs w:val="24"/>
        </w:rPr>
        <w:t xml:space="preserve">, i.e., the more shares held by these investors, the lower is the mispricing in the equity of the investee firms. To validate the effects of investment horizon </w:t>
      </w:r>
      <w:r w:rsidRPr="00AB729D">
        <w:rPr>
          <w:rFonts w:ascii="Times New Roman" w:hAnsi="Times New Roman"/>
          <w:sz w:val="24"/>
          <w:szCs w:val="24"/>
        </w:rPr>
        <w:lastRenderedPageBreak/>
        <w:t xml:space="preserve">on equity mispricing, the coefficient of </w:t>
      </w:r>
      <w:r w:rsidRPr="00AB729D">
        <w:rPr>
          <w:rFonts w:ascii="Times New Roman" w:hAnsi="Times New Roman"/>
          <w:i/>
          <w:sz w:val="24"/>
          <w:szCs w:val="24"/>
        </w:rPr>
        <w:t>TRA</w:t>
      </w:r>
      <w:r w:rsidRPr="00AB729D">
        <w:rPr>
          <w:rFonts w:ascii="Times New Roman" w:hAnsi="Times New Roman"/>
          <w:sz w:val="24"/>
          <w:szCs w:val="24"/>
        </w:rPr>
        <w:t xml:space="preserve"> is positively related to both </w:t>
      </w:r>
      <w:r w:rsidRPr="00AB729D">
        <w:rPr>
          <w:rFonts w:ascii="Times New Roman" w:hAnsi="Times New Roman"/>
          <w:i/>
          <w:sz w:val="24"/>
          <w:szCs w:val="24"/>
        </w:rPr>
        <w:t>EXVRK</w:t>
      </w:r>
      <w:r w:rsidRPr="00AB729D">
        <w:rPr>
          <w:rFonts w:ascii="Times New Roman" w:hAnsi="Times New Roman"/>
          <w:sz w:val="24"/>
          <w:szCs w:val="24"/>
        </w:rPr>
        <w:t xml:space="preserve"> and </w:t>
      </w:r>
      <w:r w:rsidRPr="00AB729D">
        <w:rPr>
          <w:rFonts w:ascii="Times New Roman" w:hAnsi="Times New Roman"/>
          <w:i/>
          <w:sz w:val="24"/>
          <w:szCs w:val="24"/>
        </w:rPr>
        <w:t>EXVIA</w:t>
      </w:r>
      <w:r w:rsidRPr="00AB729D">
        <w:rPr>
          <w:rFonts w:ascii="Times New Roman" w:hAnsi="Times New Roman"/>
          <w:sz w:val="24"/>
          <w:szCs w:val="24"/>
        </w:rPr>
        <w:t>, i.e., short-term institutional investors are associated with more mispriced stocks.</w:t>
      </w:r>
      <w:r w:rsidR="00D5005D" w:rsidRPr="00AB729D">
        <w:rPr>
          <w:rFonts w:ascii="Times New Roman" w:hAnsi="Times New Roman"/>
          <w:sz w:val="24"/>
          <w:szCs w:val="24"/>
        </w:rPr>
        <w:t xml:space="preserve"> Accounting for fixed effects, the results stay qualitatively the same in Table 9.</w:t>
      </w:r>
    </w:p>
    <w:p w14:paraId="3A4619A3" w14:textId="3C7AE507" w:rsidR="004C34FA" w:rsidRPr="00AB729D" w:rsidRDefault="004C34FA" w:rsidP="004C34FA">
      <w:pPr>
        <w:spacing w:line="480" w:lineRule="auto"/>
        <w:ind w:firstLine="720"/>
        <w:jc w:val="center"/>
        <w:rPr>
          <w:rFonts w:ascii="Times New Roman" w:eastAsiaTheme="minorHAnsi" w:hAnsi="Times New Roman"/>
          <w:sz w:val="24"/>
          <w:szCs w:val="24"/>
        </w:rPr>
      </w:pPr>
      <w:r w:rsidRPr="00AB729D">
        <w:rPr>
          <w:rFonts w:ascii="Times New Roman" w:eastAsiaTheme="minorHAnsi" w:hAnsi="Times New Roman"/>
          <w:sz w:val="24"/>
          <w:szCs w:val="24"/>
        </w:rPr>
        <w:t>[INSERT TABLE</w:t>
      </w:r>
      <w:r w:rsidR="005D7A27" w:rsidRPr="00AB729D">
        <w:rPr>
          <w:rFonts w:ascii="Times New Roman" w:eastAsiaTheme="minorHAnsi" w:hAnsi="Times New Roman"/>
          <w:sz w:val="24"/>
          <w:szCs w:val="24"/>
        </w:rPr>
        <w:t>S</w:t>
      </w:r>
      <w:r w:rsidRPr="00AB729D">
        <w:rPr>
          <w:rFonts w:ascii="Times New Roman" w:eastAsiaTheme="minorHAnsi" w:hAnsi="Times New Roman"/>
          <w:sz w:val="24"/>
          <w:szCs w:val="24"/>
        </w:rPr>
        <w:t xml:space="preserve"> 8 </w:t>
      </w:r>
      <w:r w:rsidR="005D7A27" w:rsidRPr="00AB729D">
        <w:rPr>
          <w:rFonts w:ascii="Times New Roman" w:eastAsiaTheme="minorHAnsi" w:hAnsi="Times New Roman"/>
          <w:sz w:val="24"/>
          <w:szCs w:val="24"/>
        </w:rPr>
        <w:t xml:space="preserve">&amp; 9 </w:t>
      </w:r>
      <w:r w:rsidRPr="00AB729D">
        <w:rPr>
          <w:rFonts w:ascii="Times New Roman" w:eastAsiaTheme="minorHAnsi" w:hAnsi="Times New Roman"/>
          <w:sz w:val="24"/>
          <w:szCs w:val="24"/>
        </w:rPr>
        <w:t>ABOUT HERE]</w:t>
      </w:r>
    </w:p>
    <w:p w14:paraId="497B390F" w14:textId="766506A7" w:rsidR="00753C75" w:rsidRPr="00AB729D" w:rsidRDefault="002901F5" w:rsidP="00C26DFA">
      <w:pPr>
        <w:spacing w:line="480" w:lineRule="auto"/>
        <w:ind w:firstLine="720"/>
        <w:rPr>
          <w:rFonts w:ascii="Times New Roman" w:hAnsi="Times New Roman"/>
          <w:sz w:val="24"/>
          <w:szCs w:val="24"/>
        </w:rPr>
      </w:pPr>
      <w:r w:rsidRPr="00AB729D">
        <w:rPr>
          <w:rFonts w:ascii="Times New Roman" w:hAnsi="Times New Roman"/>
          <w:sz w:val="24"/>
          <w:szCs w:val="24"/>
        </w:rPr>
        <w:t>The findings from</w:t>
      </w:r>
      <w:r w:rsidR="00753C75" w:rsidRPr="00AB729D">
        <w:rPr>
          <w:rFonts w:ascii="Times New Roman" w:hAnsi="Times New Roman"/>
          <w:sz w:val="24"/>
          <w:szCs w:val="24"/>
        </w:rPr>
        <w:t xml:space="preserve"> Table</w:t>
      </w:r>
      <w:r w:rsidR="00237F07" w:rsidRPr="00AB729D">
        <w:rPr>
          <w:rFonts w:ascii="Times New Roman" w:hAnsi="Times New Roman"/>
          <w:sz w:val="24"/>
          <w:szCs w:val="24"/>
        </w:rPr>
        <w:t>s</w:t>
      </w:r>
      <w:r w:rsidR="00753C75" w:rsidRPr="00AB729D">
        <w:rPr>
          <w:rFonts w:ascii="Times New Roman" w:hAnsi="Times New Roman"/>
          <w:sz w:val="24"/>
          <w:szCs w:val="24"/>
        </w:rPr>
        <w:t xml:space="preserve"> 8 and Table 9 are consistent with </w:t>
      </w:r>
      <w:r w:rsidR="00237F07" w:rsidRPr="00AB729D">
        <w:rPr>
          <w:rFonts w:ascii="Times New Roman" w:hAnsi="Times New Roman"/>
          <w:sz w:val="24"/>
          <w:szCs w:val="24"/>
        </w:rPr>
        <w:t xml:space="preserve">the </w:t>
      </w:r>
      <w:r w:rsidR="00753C75" w:rsidRPr="00AB729D">
        <w:rPr>
          <w:rFonts w:ascii="Times New Roman" w:hAnsi="Times New Roman"/>
          <w:sz w:val="24"/>
          <w:szCs w:val="24"/>
        </w:rPr>
        <w:t xml:space="preserve">hypothesis that the strength of the relationship between institutional investors and equity mispricing </w:t>
      </w:r>
      <w:r w:rsidRPr="00AB729D">
        <w:rPr>
          <w:rFonts w:ascii="Times New Roman" w:hAnsi="Times New Roman"/>
          <w:sz w:val="24"/>
          <w:szCs w:val="24"/>
        </w:rPr>
        <w:t>depends on</w:t>
      </w:r>
      <w:r w:rsidR="00753C75" w:rsidRPr="00AB729D">
        <w:rPr>
          <w:rFonts w:ascii="Times New Roman" w:hAnsi="Times New Roman"/>
          <w:sz w:val="24"/>
          <w:szCs w:val="24"/>
        </w:rPr>
        <w:t xml:space="preserve"> the </w:t>
      </w:r>
      <w:r w:rsidRPr="00AB729D">
        <w:rPr>
          <w:rFonts w:ascii="Times New Roman" w:hAnsi="Times New Roman"/>
          <w:sz w:val="24"/>
          <w:szCs w:val="24"/>
        </w:rPr>
        <w:t xml:space="preserve">characteristics </w:t>
      </w:r>
      <w:r w:rsidR="00753C75" w:rsidRPr="00AB729D">
        <w:rPr>
          <w:rFonts w:ascii="Times New Roman" w:hAnsi="Times New Roman"/>
          <w:sz w:val="24"/>
          <w:szCs w:val="24"/>
        </w:rPr>
        <w:t xml:space="preserve">of </w:t>
      </w:r>
      <w:r w:rsidR="00D86139" w:rsidRPr="00AB729D">
        <w:rPr>
          <w:rFonts w:ascii="Times New Roman" w:hAnsi="Times New Roman"/>
          <w:sz w:val="24"/>
          <w:szCs w:val="24"/>
        </w:rPr>
        <w:t>institutional investor</w:t>
      </w:r>
      <w:r w:rsidRPr="00AB729D">
        <w:rPr>
          <w:rFonts w:ascii="Times New Roman" w:hAnsi="Times New Roman"/>
          <w:sz w:val="24"/>
          <w:szCs w:val="24"/>
        </w:rPr>
        <w:t>s</w:t>
      </w:r>
      <w:r w:rsidR="00D86139" w:rsidRPr="00AB729D">
        <w:rPr>
          <w:rFonts w:ascii="Times New Roman" w:hAnsi="Times New Roman"/>
          <w:sz w:val="24"/>
          <w:szCs w:val="24"/>
        </w:rPr>
        <w:t xml:space="preserve">. </w:t>
      </w:r>
      <w:r w:rsidR="00DD1364" w:rsidRPr="00AB729D">
        <w:rPr>
          <w:rFonts w:ascii="Times New Roman" w:hAnsi="Times New Roman"/>
          <w:sz w:val="24"/>
          <w:szCs w:val="24"/>
        </w:rPr>
        <w:t xml:space="preserve">That is, the </w:t>
      </w:r>
      <w:r w:rsidRPr="00AB729D">
        <w:rPr>
          <w:rFonts w:ascii="Times New Roman" w:hAnsi="Times New Roman"/>
          <w:sz w:val="24"/>
          <w:szCs w:val="24"/>
        </w:rPr>
        <w:t xml:space="preserve">equity of firms </w:t>
      </w:r>
      <w:r w:rsidR="00D86139" w:rsidRPr="00AB729D">
        <w:rPr>
          <w:rFonts w:ascii="Times New Roman" w:hAnsi="Times New Roman"/>
          <w:sz w:val="24"/>
          <w:szCs w:val="24"/>
        </w:rPr>
        <w:t>he</w:t>
      </w:r>
      <w:r w:rsidR="00753C75" w:rsidRPr="00AB729D">
        <w:rPr>
          <w:rFonts w:ascii="Times New Roman" w:hAnsi="Times New Roman"/>
          <w:sz w:val="24"/>
          <w:szCs w:val="24"/>
        </w:rPr>
        <w:t xml:space="preserve">ld by Dedicated and Quasi-indexers institutional investors (long-term) </w:t>
      </w:r>
      <w:r w:rsidRPr="00AB729D">
        <w:rPr>
          <w:rFonts w:ascii="Times New Roman" w:hAnsi="Times New Roman"/>
          <w:sz w:val="24"/>
          <w:szCs w:val="24"/>
        </w:rPr>
        <w:t xml:space="preserve">is </w:t>
      </w:r>
      <w:r w:rsidR="00753C75" w:rsidRPr="00AB729D">
        <w:rPr>
          <w:rFonts w:ascii="Times New Roman" w:hAnsi="Times New Roman"/>
          <w:sz w:val="24"/>
          <w:szCs w:val="24"/>
        </w:rPr>
        <w:t xml:space="preserve">less </w:t>
      </w:r>
      <w:r w:rsidRPr="00AB729D">
        <w:rPr>
          <w:rFonts w:ascii="Times New Roman" w:hAnsi="Times New Roman"/>
          <w:sz w:val="24"/>
          <w:szCs w:val="24"/>
        </w:rPr>
        <w:t>mispriced</w:t>
      </w:r>
      <w:r w:rsidR="00D86139" w:rsidRPr="00AB729D">
        <w:rPr>
          <w:rFonts w:ascii="Times New Roman" w:hAnsi="Times New Roman"/>
          <w:sz w:val="24"/>
          <w:szCs w:val="24"/>
        </w:rPr>
        <w:t xml:space="preserve"> </w:t>
      </w:r>
      <w:r w:rsidRPr="00AB729D">
        <w:rPr>
          <w:rFonts w:ascii="Times New Roman" w:hAnsi="Times New Roman"/>
          <w:sz w:val="24"/>
          <w:szCs w:val="24"/>
        </w:rPr>
        <w:t>than the equity</w:t>
      </w:r>
      <w:r w:rsidR="00D86139" w:rsidRPr="00AB729D">
        <w:rPr>
          <w:rFonts w:ascii="Times New Roman" w:hAnsi="Times New Roman"/>
          <w:sz w:val="24"/>
          <w:szCs w:val="24"/>
        </w:rPr>
        <w:t xml:space="preserve"> he</w:t>
      </w:r>
      <w:r w:rsidR="00753C75" w:rsidRPr="00AB729D">
        <w:rPr>
          <w:rFonts w:ascii="Times New Roman" w:hAnsi="Times New Roman"/>
          <w:sz w:val="24"/>
          <w:szCs w:val="24"/>
        </w:rPr>
        <w:t xml:space="preserve">ld by Transient </w:t>
      </w:r>
      <w:r w:rsidR="00EF47CD" w:rsidRPr="00AB729D">
        <w:rPr>
          <w:rFonts w:ascii="Times New Roman" w:hAnsi="Times New Roman"/>
          <w:sz w:val="24"/>
          <w:szCs w:val="24"/>
        </w:rPr>
        <w:t xml:space="preserve">investors </w:t>
      </w:r>
      <w:r w:rsidR="00753C75" w:rsidRPr="00AB729D">
        <w:rPr>
          <w:rFonts w:ascii="Times New Roman" w:hAnsi="Times New Roman"/>
          <w:sz w:val="24"/>
          <w:szCs w:val="24"/>
        </w:rPr>
        <w:t>(short-term).</w:t>
      </w:r>
    </w:p>
    <w:p w14:paraId="335D64E5" w14:textId="6C2984E7" w:rsidR="00B821E4" w:rsidRPr="00AB729D" w:rsidRDefault="00B821E4" w:rsidP="00C4120C">
      <w:pPr>
        <w:pStyle w:val="ListParagraph"/>
        <w:numPr>
          <w:ilvl w:val="1"/>
          <w:numId w:val="14"/>
        </w:numPr>
        <w:rPr>
          <w:rFonts w:ascii="Times New Roman" w:hAnsi="Times New Roman"/>
          <w:b/>
          <w:sz w:val="24"/>
          <w:szCs w:val="24"/>
        </w:rPr>
      </w:pPr>
      <w:r w:rsidRPr="00AB729D">
        <w:rPr>
          <w:rFonts w:ascii="Times New Roman" w:hAnsi="Times New Roman"/>
          <w:b/>
          <w:sz w:val="24"/>
          <w:szCs w:val="24"/>
        </w:rPr>
        <w:t xml:space="preserve">Three-stage least squares regression </w:t>
      </w:r>
    </w:p>
    <w:p w14:paraId="7D741528" w14:textId="0E582AE2" w:rsidR="00D03E9E" w:rsidRPr="00AB729D" w:rsidRDefault="00635EDD" w:rsidP="00B821E4">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To account for potential endogeneity </w:t>
      </w:r>
      <w:r w:rsidR="00D5005D" w:rsidRPr="00AB729D">
        <w:rPr>
          <w:rFonts w:ascii="Times New Roman" w:eastAsiaTheme="minorHAnsi" w:hAnsi="Times New Roman"/>
          <w:sz w:val="24"/>
          <w:szCs w:val="24"/>
        </w:rPr>
        <w:t>concerns</w:t>
      </w:r>
      <w:r w:rsidRPr="00AB729D">
        <w:rPr>
          <w:rFonts w:ascii="Times New Roman" w:eastAsiaTheme="minorHAnsi" w:hAnsi="Times New Roman"/>
          <w:sz w:val="24"/>
          <w:szCs w:val="24"/>
        </w:rPr>
        <w:t xml:space="preserve">, we run simultaneous-equation regressions of </w:t>
      </w:r>
      <w:r w:rsidR="00D5005D" w:rsidRPr="00AB729D">
        <w:rPr>
          <w:rFonts w:ascii="Times New Roman" w:eastAsiaTheme="minorHAnsi" w:hAnsi="Times New Roman"/>
          <w:sz w:val="24"/>
          <w:szCs w:val="24"/>
        </w:rPr>
        <w:t xml:space="preserve">equity mispricing </w:t>
      </w:r>
      <w:r w:rsidRPr="00AB729D">
        <w:rPr>
          <w:rFonts w:ascii="Times New Roman" w:eastAsiaTheme="minorHAnsi" w:hAnsi="Times New Roman"/>
          <w:sz w:val="24"/>
          <w:szCs w:val="24"/>
        </w:rPr>
        <w:t>and institutional ownership using the technique of three-stage least-squares (3SLS) method</w:t>
      </w:r>
      <w:r w:rsidR="00336130" w:rsidRPr="00AB729D">
        <w:rPr>
          <w:rFonts w:ascii="Times New Roman" w:eastAsiaTheme="minorHAnsi" w:hAnsi="Times New Roman"/>
          <w:sz w:val="24"/>
          <w:szCs w:val="24"/>
        </w:rPr>
        <w:t xml:space="preserve"> following </w:t>
      </w:r>
      <w:proofErr w:type="spellStart"/>
      <w:r w:rsidR="00336130" w:rsidRPr="00AB729D">
        <w:rPr>
          <w:rFonts w:ascii="Times New Roman" w:hAnsi="Times New Roman"/>
          <w:color w:val="222222"/>
          <w:sz w:val="24"/>
          <w:szCs w:val="24"/>
          <w:shd w:val="clear" w:color="auto" w:fill="FFFFFF"/>
        </w:rPr>
        <w:t>Elyasiani</w:t>
      </w:r>
      <w:proofErr w:type="spellEnd"/>
      <w:r w:rsidR="00336130" w:rsidRPr="00AB729D">
        <w:rPr>
          <w:rFonts w:ascii="Times New Roman" w:hAnsi="Times New Roman"/>
          <w:color w:val="222222"/>
          <w:sz w:val="24"/>
          <w:szCs w:val="24"/>
          <w:shd w:val="clear" w:color="auto" w:fill="FFFFFF"/>
        </w:rPr>
        <w:t xml:space="preserve"> et al. (2010) and </w:t>
      </w:r>
      <w:r w:rsidR="00336130" w:rsidRPr="00AB729D">
        <w:rPr>
          <w:rFonts w:ascii="Times New Roman" w:hAnsi="Times New Roman"/>
          <w:sz w:val="24"/>
          <w:szCs w:val="24"/>
        </w:rPr>
        <w:t xml:space="preserve">Sakaki &amp; Jory (2019) </w:t>
      </w:r>
      <w:r w:rsidR="00336130" w:rsidRPr="00AB729D">
        <w:rPr>
          <w:rFonts w:ascii="Times New Roman" w:hAnsi="Times New Roman"/>
          <w:color w:val="222222"/>
          <w:sz w:val="24"/>
          <w:szCs w:val="24"/>
          <w:shd w:val="clear" w:color="auto" w:fill="FFFFFF"/>
        </w:rPr>
        <w:t>at the firm-level.</w:t>
      </w:r>
      <w:r w:rsidR="00ED4B00" w:rsidRPr="00AB729D">
        <w:rPr>
          <w:rFonts w:ascii="Times New Roman" w:hAnsi="Times New Roman"/>
          <w:color w:val="222222"/>
          <w:sz w:val="24"/>
          <w:szCs w:val="24"/>
          <w:shd w:val="clear" w:color="auto" w:fill="FFFFFF"/>
        </w:rPr>
        <w:t xml:space="preserve"> The control variables for </w:t>
      </w:r>
      <w:r w:rsidR="00ED4B00" w:rsidRPr="00AB729D">
        <w:rPr>
          <w:rFonts w:ascii="Times New Roman" w:hAnsi="Times New Roman"/>
          <w:i/>
          <w:iCs/>
          <w:color w:val="222222"/>
          <w:sz w:val="24"/>
          <w:szCs w:val="24"/>
          <w:shd w:val="clear" w:color="auto" w:fill="FFFFFF"/>
        </w:rPr>
        <w:t>IOV</w:t>
      </w:r>
      <w:r w:rsidR="00ED4B00" w:rsidRPr="00AB729D">
        <w:rPr>
          <w:rFonts w:ascii="Times New Roman" w:hAnsi="Times New Roman"/>
          <w:color w:val="222222"/>
          <w:sz w:val="24"/>
          <w:szCs w:val="24"/>
          <w:shd w:val="clear" w:color="auto" w:fill="FFFFFF"/>
        </w:rPr>
        <w:t xml:space="preserve"> are firm size</w:t>
      </w:r>
      <w:r w:rsidR="00D5005D" w:rsidRPr="00AB729D">
        <w:rPr>
          <w:rFonts w:ascii="Times New Roman" w:hAnsi="Times New Roman"/>
          <w:color w:val="222222"/>
          <w:sz w:val="24"/>
          <w:szCs w:val="24"/>
          <w:shd w:val="clear" w:color="auto" w:fill="FFFFFF"/>
        </w:rPr>
        <w:t xml:space="preserve"> (LN_SALE)</w:t>
      </w:r>
      <w:r w:rsidR="00ED4B00" w:rsidRPr="00AB729D">
        <w:rPr>
          <w:rFonts w:ascii="Times New Roman" w:hAnsi="Times New Roman"/>
          <w:color w:val="222222"/>
          <w:sz w:val="24"/>
          <w:szCs w:val="24"/>
          <w:shd w:val="clear" w:color="auto" w:fill="FFFFFF"/>
        </w:rPr>
        <w:t>, shares outstanding</w:t>
      </w:r>
      <w:r w:rsidR="00D5005D" w:rsidRPr="00AB729D">
        <w:rPr>
          <w:rFonts w:ascii="Times New Roman" w:hAnsi="Times New Roman"/>
          <w:color w:val="222222"/>
          <w:sz w:val="24"/>
          <w:szCs w:val="24"/>
          <w:shd w:val="clear" w:color="auto" w:fill="FFFFFF"/>
        </w:rPr>
        <w:t xml:space="preserve"> (LN_SHARES)</w:t>
      </w:r>
      <w:r w:rsidR="00ED4B00" w:rsidRPr="00AB729D">
        <w:rPr>
          <w:rFonts w:ascii="Times New Roman" w:hAnsi="Times New Roman"/>
          <w:color w:val="222222"/>
          <w:sz w:val="24"/>
          <w:szCs w:val="24"/>
          <w:shd w:val="clear" w:color="auto" w:fill="FFFFFF"/>
        </w:rPr>
        <w:t>, and trading volume</w:t>
      </w:r>
      <w:r w:rsidR="00D5005D" w:rsidRPr="00AB729D">
        <w:rPr>
          <w:rFonts w:ascii="Times New Roman" w:hAnsi="Times New Roman"/>
          <w:color w:val="222222"/>
          <w:sz w:val="24"/>
          <w:szCs w:val="24"/>
          <w:shd w:val="clear" w:color="auto" w:fill="FFFFFF"/>
        </w:rPr>
        <w:t xml:space="preserve"> (TURNOVER)</w:t>
      </w:r>
      <w:r w:rsidR="00ED4B00" w:rsidRPr="00AB729D">
        <w:rPr>
          <w:rFonts w:ascii="Times New Roman" w:hAnsi="Times New Roman"/>
          <w:color w:val="222222"/>
          <w:sz w:val="24"/>
          <w:szCs w:val="24"/>
          <w:shd w:val="clear" w:color="auto" w:fill="FFFFFF"/>
        </w:rPr>
        <w:t xml:space="preserve">. To explore the direction of the effect between institutional ownership stability and equity mispricing, we use their lead values by one year when they are used as outcome variables. </w:t>
      </w:r>
      <w:r w:rsidRPr="00AB729D">
        <w:rPr>
          <w:rFonts w:ascii="Times New Roman" w:eastAsiaTheme="minorHAnsi" w:hAnsi="Times New Roman"/>
          <w:sz w:val="24"/>
          <w:szCs w:val="24"/>
        </w:rPr>
        <w:t xml:space="preserve"> Table 10 reports the results of </w:t>
      </w:r>
      <w:r w:rsidR="00EF47CD" w:rsidRPr="00AB729D">
        <w:rPr>
          <w:rFonts w:ascii="Times New Roman" w:eastAsiaTheme="minorHAnsi" w:hAnsi="Times New Roman"/>
          <w:sz w:val="24"/>
          <w:szCs w:val="24"/>
        </w:rPr>
        <w:t xml:space="preserve">our </w:t>
      </w:r>
      <w:r w:rsidRPr="00AB729D">
        <w:rPr>
          <w:rFonts w:ascii="Times New Roman" w:eastAsiaTheme="minorHAnsi" w:hAnsi="Times New Roman"/>
          <w:sz w:val="24"/>
          <w:szCs w:val="24"/>
        </w:rPr>
        <w:t xml:space="preserve">3SLS estimations. </w:t>
      </w:r>
    </w:p>
    <w:p w14:paraId="5A4E5242" w14:textId="1BEAA853" w:rsidR="00B821E4" w:rsidRPr="00AB729D" w:rsidRDefault="00D03E9E" w:rsidP="005D1BF4">
      <w:pPr>
        <w:spacing w:line="480" w:lineRule="auto"/>
        <w:ind w:firstLine="720"/>
        <w:jc w:val="both"/>
        <w:rPr>
          <w:rFonts w:ascii="Times New Roman" w:eastAsiaTheme="minorHAnsi" w:hAnsi="Times New Roman"/>
          <w:sz w:val="24"/>
          <w:szCs w:val="24"/>
        </w:rPr>
      </w:pPr>
      <w:r w:rsidRPr="00AB729D">
        <w:rPr>
          <w:rFonts w:ascii="Times New Roman" w:hAnsi="Times New Roman"/>
          <w:noProof/>
          <w:sz w:val="24"/>
          <w:szCs w:val="24"/>
        </w:rPr>
        <w:t xml:space="preserve">In the </w:t>
      </w:r>
      <w:r w:rsidR="00E91DFE" w:rsidRPr="00AB729D">
        <w:rPr>
          <w:rFonts w:ascii="Times New Roman" w:hAnsi="Times New Roman"/>
          <w:i/>
          <w:iCs/>
          <w:noProof/>
          <w:sz w:val="24"/>
          <w:szCs w:val="24"/>
        </w:rPr>
        <w:t>EXVRK</w:t>
      </w:r>
      <w:r w:rsidRPr="00AB729D">
        <w:rPr>
          <w:rFonts w:ascii="Times New Roman" w:hAnsi="Times New Roman"/>
          <w:i/>
          <w:iCs/>
          <w:noProof/>
          <w:sz w:val="24"/>
          <w:szCs w:val="24"/>
        </w:rPr>
        <w:t xml:space="preserve"> </w:t>
      </w:r>
      <w:r w:rsidRPr="00AB729D">
        <w:rPr>
          <w:rFonts w:ascii="Times New Roman" w:hAnsi="Times New Roman"/>
          <w:bCs/>
          <w:sz w:val="24"/>
          <w:szCs w:val="24"/>
        </w:rPr>
        <w:t xml:space="preserve">regression results, the coefficient </w:t>
      </w:r>
      <w:r w:rsidR="005D1BF4" w:rsidRPr="00AB729D">
        <w:rPr>
          <w:rFonts w:ascii="Times New Roman" w:hAnsi="Times New Roman"/>
          <w:bCs/>
          <w:sz w:val="24"/>
          <w:szCs w:val="24"/>
        </w:rPr>
        <w:t>estimates</w:t>
      </w:r>
      <w:r w:rsidRPr="00AB729D">
        <w:rPr>
          <w:rFonts w:ascii="Times New Roman" w:hAnsi="Times New Roman"/>
          <w:bCs/>
          <w:sz w:val="24"/>
          <w:szCs w:val="24"/>
        </w:rPr>
        <w:t xml:space="preserve"> of </w:t>
      </w:r>
      <w:r w:rsidR="00E91DFE" w:rsidRPr="00AB729D">
        <w:rPr>
          <w:rFonts w:ascii="Times New Roman" w:hAnsi="Times New Roman"/>
          <w:bCs/>
          <w:i/>
          <w:iCs/>
          <w:sz w:val="24"/>
          <w:szCs w:val="24"/>
        </w:rPr>
        <w:t>IOV</w:t>
      </w:r>
      <w:r w:rsidRPr="00AB729D">
        <w:rPr>
          <w:rFonts w:ascii="Times New Roman" w:hAnsi="Times New Roman"/>
          <w:bCs/>
          <w:sz w:val="24"/>
          <w:szCs w:val="24"/>
        </w:rPr>
        <w:t xml:space="preserve"> reported in column (1) of Table </w:t>
      </w:r>
      <w:r w:rsidR="00D5005D" w:rsidRPr="00AB729D">
        <w:rPr>
          <w:rFonts w:ascii="Times New Roman" w:hAnsi="Times New Roman"/>
          <w:bCs/>
          <w:sz w:val="24"/>
          <w:szCs w:val="24"/>
        </w:rPr>
        <w:t>10</w:t>
      </w:r>
      <w:r w:rsidR="00D5005D" w:rsidRPr="00AB729D">
        <w:rPr>
          <w:rFonts w:ascii="Times New Roman" w:hAnsi="Times New Roman"/>
          <w:bCs/>
          <w:i/>
          <w:iCs/>
          <w:sz w:val="24"/>
          <w:szCs w:val="24"/>
        </w:rPr>
        <w:t xml:space="preserve"> </w:t>
      </w:r>
      <w:r w:rsidRPr="00AB729D">
        <w:rPr>
          <w:rFonts w:ascii="Times New Roman" w:hAnsi="Times New Roman"/>
          <w:bCs/>
          <w:sz w:val="24"/>
          <w:szCs w:val="24"/>
        </w:rPr>
        <w:t xml:space="preserve">is </w:t>
      </w:r>
      <w:r w:rsidR="00E91DFE" w:rsidRPr="00AB729D">
        <w:rPr>
          <w:rFonts w:ascii="Times New Roman" w:hAnsi="Times New Roman"/>
          <w:bCs/>
          <w:sz w:val="24"/>
          <w:szCs w:val="24"/>
        </w:rPr>
        <w:t>positive</w:t>
      </w:r>
      <w:r w:rsidRPr="00AB729D">
        <w:rPr>
          <w:rFonts w:ascii="Times New Roman" w:hAnsi="Times New Roman"/>
          <w:bCs/>
          <w:sz w:val="24"/>
          <w:szCs w:val="24"/>
        </w:rPr>
        <w:t xml:space="preserve"> and statistically significant at the 1 percent level, suggesting that institutional ownership </w:t>
      </w:r>
      <w:r w:rsidR="00D5005D" w:rsidRPr="00AB729D">
        <w:rPr>
          <w:rFonts w:ascii="Times New Roman" w:hAnsi="Times New Roman"/>
          <w:bCs/>
          <w:sz w:val="24"/>
          <w:szCs w:val="24"/>
        </w:rPr>
        <w:t xml:space="preserve">volatility </w:t>
      </w:r>
      <w:r w:rsidRPr="00AB729D">
        <w:rPr>
          <w:rFonts w:ascii="Times New Roman" w:hAnsi="Times New Roman"/>
          <w:bCs/>
          <w:sz w:val="24"/>
          <w:szCs w:val="24"/>
        </w:rPr>
        <w:t xml:space="preserve">leads to </w:t>
      </w:r>
      <w:r w:rsidR="00D5005D" w:rsidRPr="00AB729D">
        <w:rPr>
          <w:rFonts w:ascii="Times New Roman" w:hAnsi="Times New Roman"/>
          <w:bCs/>
          <w:sz w:val="24"/>
          <w:szCs w:val="24"/>
        </w:rPr>
        <w:t xml:space="preserve">higher </w:t>
      </w:r>
      <w:r w:rsidR="00E91DFE" w:rsidRPr="00AB729D">
        <w:rPr>
          <w:rFonts w:ascii="Times New Roman" w:hAnsi="Times New Roman"/>
          <w:bCs/>
          <w:sz w:val="24"/>
          <w:szCs w:val="24"/>
        </w:rPr>
        <w:t>equity mispricing</w:t>
      </w:r>
      <w:r w:rsidRPr="00AB729D">
        <w:rPr>
          <w:rFonts w:ascii="Times New Roman" w:hAnsi="Times New Roman"/>
          <w:bCs/>
          <w:sz w:val="24"/>
          <w:szCs w:val="24"/>
        </w:rPr>
        <w:t xml:space="preserve">. The coefficient </w:t>
      </w:r>
      <w:r w:rsidR="005D1BF4" w:rsidRPr="00AB729D">
        <w:rPr>
          <w:rFonts w:ascii="Times New Roman" w:hAnsi="Times New Roman"/>
          <w:bCs/>
          <w:sz w:val="24"/>
          <w:szCs w:val="24"/>
        </w:rPr>
        <w:t>estimates</w:t>
      </w:r>
      <w:r w:rsidRPr="00AB729D">
        <w:rPr>
          <w:rFonts w:ascii="Times New Roman" w:hAnsi="Times New Roman"/>
          <w:bCs/>
          <w:sz w:val="24"/>
          <w:szCs w:val="24"/>
        </w:rPr>
        <w:t xml:space="preserve"> of the </w:t>
      </w:r>
      <w:r w:rsidR="00E91DFE" w:rsidRPr="00AB729D">
        <w:rPr>
          <w:rFonts w:ascii="Times New Roman" w:hAnsi="Times New Roman"/>
          <w:i/>
          <w:iCs/>
          <w:noProof/>
          <w:sz w:val="24"/>
          <w:szCs w:val="24"/>
        </w:rPr>
        <w:t>EXVRK</w:t>
      </w:r>
      <w:r w:rsidRPr="00AB729D">
        <w:rPr>
          <w:rFonts w:ascii="Times New Roman" w:hAnsi="Times New Roman"/>
          <w:i/>
          <w:iCs/>
          <w:noProof/>
          <w:sz w:val="24"/>
          <w:szCs w:val="24"/>
        </w:rPr>
        <w:t xml:space="preserve"> </w:t>
      </w:r>
      <w:r w:rsidRPr="00AB729D">
        <w:rPr>
          <w:rFonts w:ascii="Times New Roman" w:hAnsi="Times New Roman"/>
          <w:noProof/>
          <w:sz w:val="24"/>
          <w:szCs w:val="24"/>
        </w:rPr>
        <w:t xml:space="preserve">reported in column (2) is not statistically significant, suggesting that </w:t>
      </w:r>
      <w:r w:rsidR="005D1BF4" w:rsidRPr="00AB729D">
        <w:rPr>
          <w:rFonts w:ascii="Times New Roman" w:hAnsi="Times New Roman"/>
          <w:noProof/>
          <w:sz w:val="24"/>
          <w:szCs w:val="24"/>
        </w:rPr>
        <w:t>equity mispricing</w:t>
      </w:r>
      <w:r w:rsidRPr="00AB729D">
        <w:rPr>
          <w:rFonts w:ascii="Times New Roman" w:hAnsi="Times New Roman"/>
          <w:noProof/>
          <w:sz w:val="24"/>
          <w:szCs w:val="24"/>
        </w:rPr>
        <w:t xml:space="preserve"> may not be a consideration for institutional ownership to continue their stock holding with the </w:t>
      </w:r>
      <w:r w:rsidRPr="00AB729D">
        <w:rPr>
          <w:rFonts w:ascii="Times New Roman" w:hAnsi="Times New Roman"/>
          <w:noProof/>
          <w:sz w:val="24"/>
          <w:szCs w:val="24"/>
        </w:rPr>
        <w:lastRenderedPageBreak/>
        <w:t xml:space="preserve">firms. When we use </w:t>
      </w:r>
      <w:r w:rsidR="005D1BF4" w:rsidRPr="00AB729D">
        <w:rPr>
          <w:rFonts w:ascii="Times New Roman" w:hAnsi="Times New Roman"/>
          <w:i/>
          <w:iCs/>
          <w:noProof/>
          <w:sz w:val="24"/>
          <w:szCs w:val="24"/>
        </w:rPr>
        <w:t>E</w:t>
      </w:r>
      <w:r w:rsidR="00D5005D" w:rsidRPr="00AB729D">
        <w:rPr>
          <w:rFonts w:ascii="Times New Roman" w:hAnsi="Times New Roman"/>
          <w:i/>
          <w:iCs/>
          <w:noProof/>
          <w:sz w:val="24"/>
          <w:szCs w:val="24"/>
        </w:rPr>
        <w:t>X</w:t>
      </w:r>
      <w:r w:rsidR="005D1BF4" w:rsidRPr="00AB729D">
        <w:rPr>
          <w:rFonts w:ascii="Times New Roman" w:hAnsi="Times New Roman"/>
          <w:i/>
          <w:iCs/>
          <w:noProof/>
          <w:sz w:val="24"/>
          <w:szCs w:val="24"/>
        </w:rPr>
        <w:t>VIA</w:t>
      </w:r>
      <w:r w:rsidRPr="00AB729D">
        <w:rPr>
          <w:rFonts w:ascii="Times New Roman" w:hAnsi="Times New Roman"/>
          <w:noProof/>
          <w:sz w:val="24"/>
          <w:szCs w:val="24"/>
        </w:rPr>
        <w:t xml:space="preserve"> as our </w:t>
      </w:r>
      <w:r w:rsidR="005D1BF4" w:rsidRPr="00AB729D">
        <w:rPr>
          <w:rFonts w:ascii="Times New Roman" w:hAnsi="Times New Roman"/>
          <w:noProof/>
          <w:sz w:val="24"/>
          <w:szCs w:val="24"/>
        </w:rPr>
        <w:t>alternative dependent variab</w:t>
      </w:r>
      <w:r w:rsidR="00D5005D" w:rsidRPr="00AB729D">
        <w:rPr>
          <w:rFonts w:ascii="Times New Roman" w:hAnsi="Times New Roman"/>
          <w:noProof/>
          <w:sz w:val="24"/>
          <w:szCs w:val="24"/>
        </w:rPr>
        <w:t>l</w:t>
      </w:r>
      <w:r w:rsidR="005D1BF4" w:rsidRPr="00AB729D">
        <w:rPr>
          <w:rFonts w:ascii="Times New Roman" w:hAnsi="Times New Roman"/>
          <w:noProof/>
          <w:sz w:val="24"/>
          <w:szCs w:val="24"/>
        </w:rPr>
        <w:t>e</w:t>
      </w:r>
      <w:r w:rsidRPr="00AB729D">
        <w:rPr>
          <w:rFonts w:ascii="Times New Roman" w:hAnsi="Times New Roman"/>
          <w:noProof/>
          <w:sz w:val="24"/>
          <w:szCs w:val="24"/>
        </w:rPr>
        <w:t>, we document similar results</w:t>
      </w:r>
      <w:r w:rsidR="00D5005D" w:rsidRPr="00AB729D">
        <w:rPr>
          <w:rFonts w:ascii="Times New Roman" w:hAnsi="Times New Roman"/>
          <w:noProof/>
          <w:sz w:val="24"/>
          <w:szCs w:val="24"/>
        </w:rPr>
        <w:t xml:space="preserve"> as</w:t>
      </w:r>
      <w:r w:rsidRPr="00AB729D">
        <w:rPr>
          <w:rFonts w:ascii="Times New Roman" w:hAnsi="Times New Roman"/>
          <w:noProof/>
          <w:sz w:val="24"/>
          <w:szCs w:val="24"/>
        </w:rPr>
        <w:t xml:space="preserve"> reported in columns (3) and (4). Put it differently, it is not the </w:t>
      </w:r>
      <w:r w:rsidR="005D1BF4" w:rsidRPr="00AB729D">
        <w:rPr>
          <w:rFonts w:ascii="Times New Roman" w:hAnsi="Times New Roman"/>
          <w:noProof/>
          <w:sz w:val="24"/>
          <w:szCs w:val="24"/>
        </w:rPr>
        <w:t>mispriced stocks</w:t>
      </w:r>
      <w:r w:rsidRPr="00AB729D">
        <w:rPr>
          <w:rFonts w:ascii="Times New Roman" w:hAnsi="Times New Roman"/>
          <w:noProof/>
          <w:sz w:val="24"/>
          <w:szCs w:val="24"/>
        </w:rPr>
        <w:t xml:space="preserve"> that attracts the institutional investors and encourages them to continue their ownership, rather institutional ownership stability influences </w:t>
      </w:r>
      <w:r w:rsidR="005D1BF4" w:rsidRPr="00AB729D">
        <w:rPr>
          <w:rFonts w:ascii="Times New Roman" w:hAnsi="Times New Roman"/>
          <w:noProof/>
          <w:sz w:val="24"/>
          <w:szCs w:val="24"/>
        </w:rPr>
        <w:t>equity mispricing</w:t>
      </w:r>
      <w:r w:rsidR="00D5005D" w:rsidRPr="00AB729D">
        <w:rPr>
          <w:rFonts w:ascii="Times New Roman" w:hAnsi="Times New Roman"/>
          <w:noProof/>
          <w:sz w:val="24"/>
          <w:szCs w:val="24"/>
        </w:rPr>
        <w:t xml:space="preserve">. </w:t>
      </w:r>
    </w:p>
    <w:p w14:paraId="6144ED90" w14:textId="0306321C" w:rsidR="00B821E4" w:rsidRPr="00AB729D" w:rsidRDefault="00B821E4" w:rsidP="00B821E4">
      <w:pPr>
        <w:spacing w:line="480" w:lineRule="auto"/>
        <w:ind w:firstLine="720"/>
        <w:jc w:val="center"/>
        <w:rPr>
          <w:rFonts w:ascii="Times New Roman" w:eastAsiaTheme="minorHAnsi" w:hAnsi="Times New Roman"/>
          <w:sz w:val="24"/>
          <w:szCs w:val="24"/>
        </w:rPr>
      </w:pPr>
      <w:r w:rsidRPr="00AB729D">
        <w:rPr>
          <w:rFonts w:ascii="Times New Roman" w:eastAsiaTheme="minorHAnsi" w:hAnsi="Times New Roman"/>
          <w:sz w:val="24"/>
          <w:szCs w:val="24"/>
        </w:rPr>
        <w:t>[INSERT TABLE 10 ABOUT HERE]</w:t>
      </w:r>
    </w:p>
    <w:p w14:paraId="22E39CCC" w14:textId="77777777" w:rsidR="00BA6338" w:rsidRPr="00AB729D" w:rsidRDefault="00BA6338" w:rsidP="00BA6338">
      <w:pPr>
        <w:spacing w:line="480" w:lineRule="auto"/>
        <w:rPr>
          <w:rFonts w:ascii="Times New Roman" w:eastAsiaTheme="minorHAnsi" w:hAnsi="Times New Roman"/>
          <w:sz w:val="24"/>
          <w:szCs w:val="24"/>
        </w:rPr>
      </w:pPr>
    </w:p>
    <w:p w14:paraId="736CDEF7" w14:textId="338BC835" w:rsidR="001B5BFF" w:rsidRPr="00392A7A" w:rsidRDefault="001B5BFF" w:rsidP="00392A7A">
      <w:pPr>
        <w:pStyle w:val="ListParagraph"/>
        <w:numPr>
          <w:ilvl w:val="1"/>
          <w:numId w:val="14"/>
        </w:numPr>
        <w:spacing w:line="480" w:lineRule="auto"/>
        <w:rPr>
          <w:rFonts w:ascii="Times New Roman" w:eastAsiaTheme="minorHAnsi" w:hAnsi="Times New Roman"/>
          <w:b/>
          <w:bCs/>
          <w:sz w:val="24"/>
          <w:szCs w:val="24"/>
        </w:rPr>
      </w:pPr>
      <w:r w:rsidRPr="00392A7A">
        <w:rPr>
          <w:rFonts w:ascii="Times New Roman" w:eastAsiaTheme="minorHAnsi" w:hAnsi="Times New Roman"/>
          <w:b/>
          <w:bCs/>
          <w:sz w:val="24"/>
          <w:szCs w:val="24"/>
        </w:rPr>
        <w:t xml:space="preserve">Alternative measure of mispricing and </w:t>
      </w:r>
      <w:r w:rsidR="002A5037" w:rsidRPr="00AB729D">
        <w:rPr>
          <w:rFonts w:ascii="Times New Roman" w:eastAsiaTheme="minorHAnsi" w:hAnsi="Times New Roman"/>
          <w:b/>
          <w:bCs/>
          <w:sz w:val="24"/>
          <w:szCs w:val="24"/>
        </w:rPr>
        <w:t>decade wise regressions</w:t>
      </w:r>
    </w:p>
    <w:p w14:paraId="55764F4B" w14:textId="13B984A8" w:rsidR="00BA6338" w:rsidRPr="00AB729D" w:rsidRDefault="00BA6338" w:rsidP="001B5BFF">
      <w:pPr>
        <w:spacing w:line="480" w:lineRule="auto"/>
        <w:ind w:firstLine="420"/>
        <w:rPr>
          <w:rFonts w:ascii="Times New Roman" w:eastAsiaTheme="minorHAnsi" w:hAnsi="Times New Roman"/>
          <w:sz w:val="24"/>
          <w:szCs w:val="24"/>
        </w:rPr>
      </w:pPr>
      <w:r w:rsidRPr="00AB729D">
        <w:rPr>
          <w:rFonts w:ascii="Times New Roman" w:eastAsiaTheme="minorHAnsi" w:hAnsi="Times New Roman"/>
          <w:sz w:val="24"/>
          <w:szCs w:val="24"/>
        </w:rPr>
        <w:t xml:space="preserve">Table 11 presents the findings of the fixed-effect regressions based on alternative measures of equity mispricing using the residual income model (Ohlson, 1995). The dependent variable is EXVRI which is the absolute value of the natural log of the ratio between the stock price and its intrinsic value from Ohlson’s (1995) residual income value approach. EXVRI = Ln[Price / I(V)], where Price is the stock price at the end of June of each year from CRSP, and I(V) is intrinsic value using the residual income model (Ohlson, 1995) and median values of analysts’ forecasts issued in June, as in Frankel and Lee (1998).  </w:t>
      </w:r>
    </w:p>
    <w:p w14:paraId="4F22EDE8" w14:textId="3C7820F6" w:rsidR="001B5BFF" w:rsidRPr="00AB729D" w:rsidRDefault="001B5BFF" w:rsidP="00D6312C">
      <w:pPr>
        <w:spacing w:line="480" w:lineRule="auto"/>
        <w:ind w:firstLine="420"/>
        <w:jc w:val="center"/>
        <w:rPr>
          <w:rFonts w:ascii="Times New Roman" w:eastAsiaTheme="minorHAnsi" w:hAnsi="Times New Roman"/>
          <w:sz w:val="24"/>
          <w:szCs w:val="24"/>
        </w:rPr>
      </w:pPr>
      <w:r w:rsidRPr="00AB729D">
        <w:rPr>
          <w:rFonts w:ascii="Times New Roman" w:eastAsiaTheme="minorHAnsi" w:hAnsi="Times New Roman"/>
          <w:sz w:val="24"/>
          <w:szCs w:val="24"/>
        </w:rPr>
        <w:t>[INSERT TABLE 11 ABOUT HERE]</w:t>
      </w:r>
    </w:p>
    <w:p w14:paraId="693A851A" w14:textId="36CCD746" w:rsidR="00BA6338" w:rsidRPr="00AB729D" w:rsidRDefault="00BA6338" w:rsidP="00BA6338">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 xml:space="preserve">The findings stay the same as before, i.e., IOV is positively and significantly related to mispricing while PROP is negatively and statistically associated with mispricing. The equity shareholdings of dedicated (DED) and quasi-indexers (QIS) are inversely associated with mispricing, while those of transient institutional investors (TRA) are positively related to mispricing. Thus, stability in institutional ownership, the proportion of shares held by institutional investors, and institutional investors that exhibit a long-term focus on investments at </w:t>
      </w:r>
      <w:r w:rsidRPr="00AB729D">
        <w:rPr>
          <w:rFonts w:ascii="Times New Roman" w:eastAsiaTheme="minorHAnsi" w:hAnsi="Times New Roman"/>
          <w:sz w:val="24"/>
          <w:szCs w:val="24"/>
        </w:rPr>
        <w:lastRenderedPageBreak/>
        <w:t>their investor firms individually contribute to rendering the investor firm's equity more correctly priced.</w:t>
      </w:r>
    </w:p>
    <w:p w14:paraId="77DBE2F2" w14:textId="610DCB3B" w:rsidR="00C4120C" w:rsidRPr="00AB729D" w:rsidRDefault="00BA6338" w:rsidP="00BA6338">
      <w:pPr>
        <w:spacing w:line="480" w:lineRule="auto"/>
        <w:ind w:firstLine="720"/>
        <w:rPr>
          <w:rFonts w:ascii="Times New Roman" w:eastAsiaTheme="minorHAnsi" w:hAnsi="Times New Roman"/>
          <w:sz w:val="24"/>
          <w:szCs w:val="24"/>
        </w:rPr>
      </w:pPr>
      <w:r w:rsidRPr="00AB729D">
        <w:rPr>
          <w:rFonts w:ascii="Times New Roman" w:eastAsiaTheme="minorHAnsi" w:hAnsi="Times New Roman"/>
          <w:sz w:val="24"/>
          <w:szCs w:val="24"/>
        </w:rPr>
        <w:t>We break the sample by decades and present our findings in Table 12. The findings on PROP representing the proportion of the firm equity held by institutional investors are more stable across time. The coefficient of PROP in the regressions of equity mispricing of EXVRK is negative and statistically significant in Panels A and D of Table 12.</w:t>
      </w:r>
    </w:p>
    <w:p w14:paraId="13891FB4" w14:textId="0CD8576A" w:rsidR="00BA6338" w:rsidRPr="00AB729D" w:rsidRDefault="00BA6338" w:rsidP="00D6312C">
      <w:pPr>
        <w:spacing w:line="480" w:lineRule="auto"/>
        <w:ind w:firstLine="720"/>
        <w:jc w:val="center"/>
        <w:rPr>
          <w:rFonts w:ascii="Times New Roman" w:eastAsiaTheme="minorHAnsi" w:hAnsi="Times New Roman"/>
          <w:sz w:val="24"/>
          <w:szCs w:val="24"/>
        </w:rPr>
      </w:pPr>
      <w:r w:rsidRPr="00AB729D">
        <w:rPr>
          <w:rFonts w:ascii="Times New Roman" w:eastAsiaTheme="minorHAnsi" w:hAnsi="Times New Roman"/>
          <w:sz w:val="24"/>
          <w:szCs w:val="24"/>
        </w:rPr>
        <w:t>[INSERT TABLE 12 ABOUT HERE]</w:t>
      </w:r>
    </w:p>
    <w:p w14:paraId="1748DAA7" w14:textId="56FA3AF4" w:rsidR="00CD44A5" w:rsidRPr="00AB729D" w:rsidRDefault="00CD44A5" w:rsidP="00C4120C">
      <w:pPr>
        <w:pStyle w:val="ListParagraph"/>
        <w:numPr>
          <w:ilvl w:val="0"/>
          <w:numId w:val="14"/>
        </w:numPr>
        <w:rPr>
          <w:rFonts w:ascii="Times New Roman" w:hAnsi="Times New Roman"/>
          <w:b/>
          <w:sz w:val="24"/>
          <w:szCs w:val="24"/>
        </w:rPr>
      </w:pPr>
      <w:bookmarkStart w:id="12" w:name="_Toc474489301"/>
      <w:r w:rsidRPr="00AB729D">
        <w:rPr>
          <w:rFonts w:ascii="Times New Roman" w:hAnsi="Times New Roman"/>
          <w:b/>
          <w:sz w:val="24"/>
          <w:szCs w:val="24"/>
        </w:rPr>
        <w:t>Conclusion</w:t>
      </w:r>
      <w:bookmarkEnd w:id="12"/>
    </w:p>
    <w:p w14:paraId="60F90937" w14:textId="0555598D" w:rsidR="00753C75" w:rsidRPr="00AB729D" w:rsidRDefault="00EC4432" w:rsidP="00F41124">
      <w:pPr>
        <w:spacing w:line="480" w:lineRule="auto"/>
        <w:ind w:firstLine="720"/>
        <w:rPr>
          <w:rFonts w:ascii="Times New Roman" w:hAnsi="Times New Roman"/>
          <w:sz w:val="24"/>
          <w:szCs w:val="24"/>
        </w:rPr>
      </w:pPr>
      <w:r w:rsidRPr="00AB729D">
        <w:rPr>
          <w:rFonts w:ascii="Times New Roman" w:hAnsi="Times New Roman"/>
          <w:sz w:val="24"/>
          <w:szCs w:val="24"/>
        </w:rPr>
        <w:t>We</w:t>
      </w:r>
      <w:r w:rsidR="002A4065" w:rsidRPr="00AB729D">
        <w:rPr>
          <w:rFonts w:ascii="Times New Roman" w:hAnsi="Times New Roman"/>
          <w:sz w:val="24"/>
          <w:szCs w:val="24"/>
        </w:rPr>
        <w:t xml:space="preserve"> study the association </w:t>
      </w:r>
      <w:r w:rsidR="00C4120C" w:rsidRPr="00AB729D">
        <w:rPr>
          <w:rFonts w:ascii="Times New Roman" w:hAnsi="Times New Roman"/>
          <w:sz w:val="24"/>
          <w:szCs w:val="24"/>
        </w:rPr>
        <w:t>between institutional</w:t>
      </w:r>
      <w:r w:rsidR="002A4065" w:rsidRPr="00AB729D">
        <w:rPr>
          <w:rFonts w:ascii="Times New Roman" w:hAnsi="Times New Roman"/>
          <w:sz w:val="24"/>
          <w:szCs w:val="24"/>
        </w:rPr>
        <w:t xml:space="preserve"> ownership and the stability of their equity ownership</w:t>
      </w:r>
      <w:r w:rsidRPr="00AB729D">
        <w:rPr>
          <w:rFonts w:ascii="Times New Roman" w:hAnsi="Times New Roman"/>
          <w:sz w:val="24"/>
          <w:szCs w:val="24"/>
        </w:rPr>
        <w:t xml:space="preserve"> to determine if and to what extent these characteristics impact</w:t>
      </w:r>
      <w:r w:rsidR="002A4065" w:rsidRPr="00AB729D">
        <w:rPr>
          <w:rFonts w:ascii="Times New Roman" w:hAnsi="Times New Roman"/>
          <w:sz w:val="24"/>
          <w:szCs w:val="24"/>
        </w:rPr>
        <w:t xml:space="preserve"> the extent to which the equity of </w:t>
      </w:r>
      <w:r w:rsidR="00B254E6" w:rsidRPr="00AB729D">
        <w:rPr>
          <w:rFonts w:ascii="Times New Roman" w:hAnsi="Times New Roman"/>
          <w:sz w:val="24"/>
          <w:szCs w:val="24"/>
        </w:rPr>
        <w:t>their investee</w:t>
      </w:r>
      <w:r w:rsidR="002A4065" w:rsidRPr="00AB729D">
        <w:rPr>
          <w:rFonts w:ascii="Times New Roman" w:hAnsi="Times New Roman"/>
          <w:sz w:val="24"/>
          <w:szCs w:val="24"/>
        </w:rPr>
        <w:t xml:space="preserve"> firms </w:t>
      </w:r>
      <w:r w:rsidR="005D1BF4" w:rsidRPr="00AB729D">
        <w:rPr>
          <w:rFonts w:ascii="Times New Roman" w:hAnsi="Times New Roman"/>
          <w:sz w:val="24"/>
          <w:szCs w:val="24"/>
        </w:rPr>
        <w:t>is</w:t>
      </w:r>
      <w:r w:rsidR="002A4065" w:rsidRPr="00AB729D">
        <w:rPr>
          <w:rFonts w:ascii="Times New Roman" w:hAnsi="Times New Roman"/>
          <w:sz w:val="24"/>
          <w:szCs w:val="24"/>
        </w:rPr>
        <w:t xml:space="preserve"> mispriced</w:t>
      </w:r>
      <w:r w:rsidR="00753C75" w:rsidRPr="00AB729D">
        <w:rPr>
          <w:rFonts w:ascii="Times New Roman" w:hAnsi="Times New Roman"/>
          <w:sz w:val="24"/>
          <w:szCs w:val="24"/>
        </w:rPr>
        <w:t>.</w:t>
      </w:r>
      <w:r w:rsidRPr="00AB729D">
        <w:rPr>
          <w:rFonts w:ascii="Times New Roman" w:hAnsi="Times New Roman"/>
          <w:sz w:val="24"/>
          <w:szCs w:val="24"/>
        </w:rPr>
        <w:t xml:space="preserve"> This investigation is important in understanding equity mispricing because institutional investors have been shown to be a heterogenous group, i.e., they have differing investment horizons and the extent to which they seek to influence firm performance differs. </w:t>
      </w:r>
      <w:r w:rsidR="00753C75" w:rsidRPr="00AB729D">
        <w:rPr>
          <w:rFonts w:ascii="Times New Roman" w:hAnsi="Times New Roman"/>
          <w:sz w:val="24"/>
          <w:szCs w:val="24"/>
        </w:rPr>
        <w:t xml:space="preserve"> </w:t>
      </w:r>
      <w:r w:rsidRPr="00AB729D">
        <w:rPr>
          <w:rFonts w:ascii="Times New Roman" w:hAnsi="Times New Roman"/>
          <w:sz w:val="24"/>
          <w:szCs w:val="24"/>
        </w:rPr>
        <w:t>Our</w:t>
      </w:r>
      <w:r w:rsidR="007A5D69" w:rsidRPr="00AB729D">
        <w:rPr>
          <w:rFonts w:ascii="Times New Roman" w:hAnsi="Times New Roman"/>
          <w:sz w:val="24"/>
          <w:szCs w:val="24"/>
        </w:rPr>
        <w:t xml:space="preserve"> findings suggest that </w:t>
      </w:r>
      <w:r w:rsidR="00753C75" w:rsidRPr="00AB729D">
        <w:rPr>
          <w:rFonts w:ascii="Times New Roman" w:hAnsi="Times New Roman"/>
          <w:sz w:val="24"/>
          <w:szCs w:val="24"/>
        </w:rPr>
        <w:t>the stability and proportion of institutional investors</w:t>
      </w:r>
      <w:r w:rsidR="007A5D69" w:rsidRPr="00AB729D">
        <w:rPr>
          <w:rFonts w:ascii="Times New Roman" w:hAnsi="Times New Roman"/>
          <w:sz w:val="24"/>
          <w:szCs w:val="24"/>
        </w:rPr>
        <w:t>’ equity ownership</w:t>
      </w:r>
      <w:r w:rsidR="00753C75" w:rsidRPr="00AB729D">
        <w:rPr>
          <w:rFonts w:ascii="Times New Roman" w:hAnsi="Times New Roman"/>
          <w:sz w:val="24"/>
          <w:szCs w:val="24"/>
        </w:rPr>
        <w:t xml:space="preserve"> </w:t>
      </w:r>
      <w:r w:rsidR="002A4065" w:rsidRPr="00AB729D">
        <w:rPr>
          <w:rFonts w:ascii="Times New Roman" w:hAnsi="Times New Roman"/>
          <w:sz w:val="24"/>
          <w:szCs w:val="24"/>
        </w:rPr>
        <w:t xml:space="preserve">are </w:t>
      </w:r>
      <w:r w:rsidR="007A5D69" w:rsidRPr="00AB729D">
        <w:rPr>
          <w:rFonts w:ascii="Times New Roman" w:hAnsi="Times New Roman"/>
          <w:sz w:val="24"/>
          <w:szCs w:val="24"/>
        </w:rPr>
        <w:t xml:space="preserve">significantly related to </w:t>
      </w:r>
      <w:r w:rsidR="00753C75" w:rsidRPr="00AB729D">
        <w:rPr>
          <w:rFonts w:ascii="Times New Roman" w:hAnsi="Times New Roman"/>
          <w:sz w:val="24"/>
          <w:szCs w:val="24"/>
        </w:rPr>
        <w:t>equity mispricing</w:t>
      </w:r>
      <w:r w:rsidR="007A5D69" w:rsidRPr="00AB729D">
        <w:rPr>
          <w:rFonts w:ascii="Times New Roman" w:hAnsi="Times New Roman"/>
          <w:sz w:val="24"/>
          <w:szCs w:val="24"/>
        </w:rPr>
        <w:t xml:space="preserve"> at investee firms</w:t>
      </w:r>
      <w:r w:rsidR="00753C75" w:rsidRPr="00AB729D">
        <w:rPr>
          <w:rFonts w:ascii="Times New Roman" w:hAnsi="Times New Roman"/>
          <w:sz w:val="24"/>
          <w:szCs w:val="24"/>
        </w:rPr>
        <w:t xml:space="preserve">. </w:t>
      </w:r>
      <w:r w:rsidRPr="00AB729D">
        <w:rPr>
          <w:rFonts w:ascii="Times New Roman" w:hAnsi="Times New Roman"/>
          <w:sz w:val="24"/>
          <w:szCs w:val="24"/>
        </w:rPr>
        <w:t>Specifically</w:t>
      </w:r>
      <w:r w:rsidR="00B254E6" w:rsidRPr="00AB729D">
        <w:rPr>
          <w:rFonts w:ascii="Times New Roman" w:hAnsi="Times New Roman"/>
          <w:sz w:val="24"/>
          <w:szCs w:val="24"/>
        </w:rPr>
        <w:t>, the</w:t>
      </w:r>
      <w:r w:rsidR="002A4065" w:rsidRPr="00AB729D">
        <w:rPr>
          <w:rFonts w:ascii="Times New Roman" w:hAnsi="Times New Roman"/>
          <w:sz w:val="24"/>
          <w:szCs w:val="24"/>
        </w:rPr>
        <w:t xml:space="preserve"> higher the proportion of shares held by institutional investors and the more stable is their shareholding</w:t>
      </w:r>
      <w:r w:rsidR="007A5D69" w:rsidRPr="00AB729D">
        <w:rPr>
          <w:rFonts w:ascii="Times New Roman" w:hAnsi="Times New Roman"/>
          <w:sz w:val="24"/>
          <w:szCs w:val="24"/>
        </w:rPr>
        <w:t>s</w:t>
      </w:r>
      <w:r w:rsidR="002A6F0C" w:rsidRPr="00AB729D">
        <w:rPr>
          <w:rFonts w:ascii="Times New Roman" w:hAnsi="Times New Roman"/>
          <w:sz w:val="24"/>
          <w:szCs w:val="24"/>
        </w:rPr>
        <w:t xml:space="preserve"> (i.e., the lower the volatility in their shareholdings)</w:t>
      </w:r>
      <w:r w:rsidR="002A4065" w:rsidRPr="00AB729D">
        <w:rPr>
          <w:rFonts w:ascii="Times New Roman" w:hAnsi="Times New Roman"/>
          <w:sz w:val="24"/>
          <w:szCs w:val="24"/>
        </w:rPr>
        <w:t xml:space="preserve">, the less mispriced is the stock. </w:t>
      </w:r>
      <w:r w:rsidR="00B254E6" w:rsidRPr="00AB729D">
        <w:rPr>
          <w:rFonts w:ascii="Times New Roman" w:hAnsi="Times New Roman"/>
          <w:sz w:val="24"/>
          <w:szCs w:val="24"/>
        </w:rPr>
        <w:t>Additionally</w:t>
      </w:r>
      <w:r w:rsidR="00753C75" w:rsidRPr="00AB729D">
        <w:rPr>
          <w:rFonts w:ascii="Times New Roman" w:hAnsi="Times New Roman"/>
          <w:sz w:val="24"/>
          <w:szCs w:val="24"/>
        </w:rPr>
        <w:t xml:space="preserve">, the </w:t>
      </w:r>
      <w:r w:rsidR="00B254E6" w:rsidRPr="00AB729D">
        <w:rPr>
          <w:rFonts w:ascii="Times New Roman" w:hAnsi="Times New Roman"/>
          <w:sz w:val="24"/>
          <w:szCs w:val="24"/>
        </w:rPr>
        <w:t>association</w:t>
      </w:r>
      <w:r w:rsidR="00753C75" w:rsidRPr="00AB729D">
        <w:rPr>
          <w:rFonts w:ascii="Times New Roman" w:hAnsi="Times New Roman"/>
          <w:sz w:val="24"/>
          <w:szCs w:val="24"/>
        </w:rPr>
        <w:t xml:space="preserve"> depends on </w:t>
      </w:r>
      <w:r w:rsidR="00B254E6" w:rsidRPr="00AB729D">
        <w:rPr>
          <w:rFonts w:ascii="Times New Roman" w:hAnsi="Times New Roman"/>
          <w:sz w:val="24"/>
          <w:szCs w:val="24"/>
        </w:rPr>
        <w:t xml:space="preserve">institutional investors’ </w:t>
      </w:r>
      <w:r w:rsidR="007A5D69" w:rsidRPr="00AB729D">
        <w:rPr>
          <w:rFonts w:ascii="Times New Roman" w:hAnsi="Times New Roman"/>
          <w:sz w:val="24"/>
          <w:szCs w:val="24"/>
        </w:rPr>
        <w:t>investment objectives, characteristics</w:t>
      </w:r>
      <w:r w:rsidRPr="00AB729D">
        <w:rPr>
          <w:rFonts w:ascii="Times New Roman" w:hAnsi="Times New Roman"/>
          <w:sz w:val="24"/>
          <w:szCs w:val="24"/>
        </w:rPr>
        <w:t>,</w:t>
      </w:r>
      <w:r w:rsidR="007A5D69" w:rsidRPr="00AB729D">
        <w:rPr>
          <w:rFonts w:ascii="Times New Roman" w:hAnsi="Times New Roman"/>
          <w:sz w:val="24"/>
          <w:szCs w:val="24"/>
        </w:rPr>
        <w:t xml:space="preserve"> and </w:t>
      </w:r>
      <w:r w:rsidR="00753C75" w:rsidRPr="00AB729D">
        <w:rPr>
          <w:rFonts w:ascii="Times New Roman" w:hAnsi="Times New Roman"/>
          <w:sz w:val="24"/>
          <w:szCs w:val="24"/>
        </w:rPr>
        <w:t>investment horizon</w:t>
      </w:r>
      <w:r w:rsidR="007A5D69" w:rsidRPr="00AB729D">
        <w:rPr>
          <w:rFonts w:ascii="Times New Roman" w:hAnsi="Times New Roman"/>
          <w:sz w:val="24"/>
          <w:szCs w:val="24"/>
        </w:rPr>
        <w:t>s</w:t>
      </w:r>
      <w:r w:rsidR="00753C75" w:rsidRPr="00AB729D">
        <w:rPr>
          <w:rFonts w:ascii="Times New Roman" w:hAnsi="Times New Roman"/>
          <w:sz w:val="24"/>
          <w:szCs w:val="24"/>
        </w:rPr>
        <w:t xml:space="preserve">. </w:t>
      </w:r>
      <w:r w:rsidR="00B254E6" w:rsidRPr="00AB729D">
        <w:rPr>
          <w:rFonts w:ascii="Times New Roman" w:hAnsi="Times New Roman"/>
          <w:sz w:val="24"/>
          <w:szCs w:val="24"/>
        </w:rPr>
        <w:t>For instance, while</w:t>
      </w:r>
      <w:r w:rsidR="002A4065" w:rsidRPr="00AB729D">
        <w:rPr>
          <w:rFonts w:ascii="Times New Roman" w:hAnsi="Times New Roman"/>
          <w:sz w:val="24"/>
          <w:szCs w:val="24"/>
        </w:rPr>
        <w:t xml:space="preserve"> the shares held by long-term oriented institutional investors (i.e., dedicated investors and quasi-indexers) are less mispriced, those held by short-term institutional investors (i.e., transient investors) are more mispriced</w:t>
      </w:r>
      <w:r w:rsidR="00753C75" w:rsidRPr="00AB729D">
        <w:rPr>
          <w:rFonts w:ascii="Times New Roman" w:hAnsi="Times New Roman"/>
          <w:sz w:val="24"/>
          <w:szCs w:val="24"/>
        </w:rPr>
        <w:t xml:space="preserve">. </w:t>
      </w:r>
    </w:p>
    <w:tbl>
      <w:tblPr>
        <w:tblW w:w="8672" w:type="dxa"/>
        <w:jc w:val="center"/>
        <w:tblLook w:val="04A0" w:firstRow="1" w:lastRow="0" w:firstColumn="1" w:lastColumn="0" w:noHBand="0" w:noVBand="1"/>
      </w:tblPr>
      <w:tblGrid>
        <w:gridCol w:w="1317"/>
        <w:gridCol w:w="888"/>
        <w:gridCol w:w="691"/>
        <w:gridCol w:w="976"/>
        <w:gridCol w:w="776"/>
        <w:gridCol w:w="976"/>
        <w:gridCol w:w="976"/>
        <w:gridCol w:w="1096"/>
        <w:gridCol w:w="976"/>
      </w:tblGrid>
      <w:tr w:rsidR="00272B18" w:rsidRPr="00AB729D" w14:paraId="7DAE2B8B" w14:textId="77777777" w:rsidTr="00741DF5">
        <w:trPr>
          <w:trHeight w:val="300"/>
          <w:jc w:val="center"/>
        </w:trPr>
        <w:tc>
          <w:tcPr>
            <w:tcW w:w="2896" w:type="dxa"/>
            <w:gridSpan w:val="3"/>
            <w:tcBorders>
              <w:top w:val="nil"/>
              <w:left w:val="nil"/>
              <w:bottom w:val="nil"/>
              <w:right w:val="nil"/>
            </w:tcBorders>
            <w:shd w:val="clear" w:color="auto" w:fill="auto"/>
            <w:noWrap/>
            <w:vAlign w:val="bottom"/>
            <w:hideMark/>
          </w:tcPr>
          <w:p w14:paraId="4AF0C480" w14:textId="750560F2" w:rsidR="00741DF5" w:rsidRPr="00AB729D" w:rsidRDefault="00741DF5" w:rsidP="00F13217">
            <w:pPr>
              <w:spacing w:after="0" w:line="240" w:lineRule="auto"/>
              <w:rPr>
                <w:rFonts w:ascii="Times New Roman" w:eastAsia="Times New Roman" w:hAnsi="Times New Roman"/>
                <w:b/>
                <w:bCs/>
              </w:rPr>
            </w:pPr>
            <w:r w:rsidRPr="00AB729D">
              <w:rPr>
                <w:rFonts w:ascii="Times New Roman" w:eastAsia="Times New Roman" w:hAnsi="Times New Roman"/>
                <w:b/>
                <w:bCs/>
              </w:rPr>
              <w:lastRenderedPageBreak/>
              <w:t xml:space="preserve">Table </w:t>
            </w:r>
            <w:r w:rsidR="00F13217" w:rsidRPr="00AB729D">
              <w:rPr>
                <w:rFonts w:ascii="Times New Roman" w:eastAsia="Times New Roman" w:hAnsi="Times New Roman"/>
                <w:b/>
                <w:bCs/>
              </w:rPr>
              <w:t>1</w:t>
            </w:r>
            <w:r w:rsidRPr="00AB729D">
              <w:rPr>
                <w:rFonts w:ascii="Times New Roman" w:eastAsia="Times New Roman" w:hAnsi="Times New Roman"/>
                <w:b/>
                <w:bCs/>
              </w:rPr>
              <w:t>: Sample distribution</w:t>
            </w:r>
          </w:p>
          <w:p w14:paraId="11AF4F00" w14:textId="77777777" w:rsidR="00741DF5" w:rsidRPr="00AB729D" w:rsidRDefault="00741DF5" w:rsidP="00741DF5">
            <w:pPr>
              <w:spacing w:after="0" w:line="240" w:lineRule="auto"/>
              <w:rPr>
                <w:rFonts w:ascii="Times New Roman" w:eastAsia="Times New Roman" w:hAnsi="Times New Roman"/>
                <w:b/>
                <w:bCs/>
              </w:rPr>
            </w:pPr>
          </w:p>
        </w:tc>
        <w:tc>
          <w:tcPr>
            <w:tcW w:w="976" w:type="dxa"/>
            <w:tcBorders>
              <w:top w:val="nil"/>
              <w:left w:val="nil"/>
              <w:bottom w:val="nil"/>
              <w:right w:val="nil"/>
            </w:tcBorders>
            <w:shd w:val="clear" w:color="auto" w:fill="auto"/>
            <w:noWrap/>
            <w:vAlign w:val="bottom"/>
            <w:hideMark/>
          </w:tcPr>
          <w:p w14:paraId="0D766714" w14:textId="77777777" w:rsidR="00741DF5" w:rsidRPr="00AB729D" w:rsidRDefault="00741DF5" w:rsidP="00741DF5">
            <w:pPr>
              <w:spacing w:after="0" w:line="240" w:lineRule="auto"/>
              <w:rPr>
                <w:rFonts w:ascii="Times New Roman" w:eastAsia="Times New Roman" w:hAnsi="Times New Roman"/>
                <w:b/>
                <w:bCs/>
              </w:rPr>
            </w:pPr>
          </w:p>
        </w:tc>
        <w:tc>
          <w:tcPr>
            <w:tcW w:w="776" w:type="dxa"/>
            <w:tcBorders>
              <w:top w:val="nil"/>
              <w:left w:val="nil"/>
              <w:bottom w:val="nil"/>
              <w:right w:val="nil"/>
            </w:tcBorders>
            <w:shd w:val="clear" w:color="auto" w:fill="auto"/>
            <w:noWrap/>
            <w:vAlign w:val="bottom"/>
            <w:hideMark/>
          </w:tcPr>
          <w:p w14:paraId="125D26F6"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AAC63CA"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627D0D9A" w14:textId="77777777" w:rsidR="00741DF5" w:rsidRPr="00AB729D" w:rsidRDefault="00741DF5" w:rsidP="00741DF5">
            <w:pPr>
              <w:spacing w:after="0" w:line="240" w:lineRule="auto"/>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727FC940"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2B588334"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4BCEB902" w14:textId="77777777" w:rsidTr="00741DF5">
        <w:trPr>
          <w:trHeight w:val="300"/>
          <w:jc w:val="center"/>
        </w:trPr>
        <w:tc>
          <w:tcPr>
            <w:tcW w:w="3872" w:type="dxa"/>
            <w:gridSpan w:val="4"/>
            <w:tcBorders>
              <w:top w:val="nil"/>
              <w:left w:val="nil"/>
              <w:bottom w:val="nil"/>
              <w:right w:val="nil"/>
            </w:tcBorders>
            <w:shd w:val="clear" w:color="auto" w:fill="auto"/>
            <w:noWrap/>
            <w:vAlign w:val="bottom"/>
            <w:hideMark/>
          </w:tcPr>
          <w:p w14:paraId="1DC9628B"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Panel A. Sample distribution by year</w:t>
            </w:r>
          </w:p>
          <w:p w14:paraId="51D62977" w14:textId="77777777" w:rsidR="00741DF5" w:rsidRPr="00AB729D" w:rsidRDefault="00741DF5" w:rsidP="00741DF5">
            <w:pPr>
              <w:spacing w:after="0" w:line="240" w:lineRule="auto"/>
              <w:rPr>
                <w:rFonts w:ascii="Times New Roman" w:eastAsia="Times New Roman" w:hAnsi="Times New Roman"/>
                <w:b/>
                <w:bCs/>
              </w:rPr>
            </w:pPr>
          </w:p>
        </w:tc>
        <w:tc>
          <w:tcPr>
            <w:tcW w:w="776" w:type="dxa"/>
            <w:tcBorders>
              <w:top w:val="nil"/>
              <w:left w:val="nil"/>
              <w:bottom w:val="nil"/>
              <w:right w:val="nil"/>
            </w:tcBorders>
            <w:shd w:val="clear" w:color="auto" w:fill="auto"/>
            <w:noWrap/>
            <w:vAlign w:val="bottom"/>
            <w:hideMark/>
          </w:tcPr>
          <w:p w14:paraId="20019233" w14:textId="77777777" w:rsidR="00741DF5" w:rsidRPr="00AB729D" w:rsidRDefault="00741DF5" w:rsidP="00741DF5">
            <w:pPr>
              <w:spacing w:after="0" w:line="240" w:lineRule="auto"/>
              <w:rPr>
                <w:rFonts w:ascii="Times New Roman" w:eastAsia="Times New Roman" w:hAnsi="Times New Roman"/>
                <w:b/>
                <w:bCs/>
              </w:rPr>
            </w:pPr>
          </w:p>
        </w:tc>
        <w:tc>
          <w:tcPr>
            <w:tcW w:w="976" w:type="dxa"/>
            <w:tcBorders>
              <w:top w:val="nil"/>
              <w:left w:val="nil"/>
              <w:bottom w:val="nil"/>
              <w:right w:val="nil"/>
            </w:tcBorders>
            <w:shd w:val="clear" w:color="auto" w:fill="auto"/>
            <w:noWrap/>
            <w:vAlign w:val="bottom"/>
            <w:hideMark/>
          </w:tcPr>
          <w:p w14:paraId="77526B71"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2FF0C1BE" w14:textId="77777777" w:rsidR="00741DF5" w:rsidRPr="00AB729D" w:rsidRDefault="00741DF5" w:rsidP="00741DF5">
            <w:pPr>
              <w:spacing w:after="0" w:line="240" w:lineRule="auto"/>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42455AE2"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79BC672A"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2A50BAF" w14:textId="77777777" w:rsidTr="00741DF5">
        <w:trPr>
          <w:trHeight w:val="300"/>
          <w:jc w:val="center"/>
        </w:trPr>
        <w:tc>
          <w:tcPr>
            <w:tcW w:w="1317" w:type="dxa"/>
            <w:tcBorders>
              <w:top w:val="single" w:sz="4" w:space="0" w:color="auto"/>
              <w:left w:val="nil"/>
              <w:bottom w:val="single" w:sz="4" w:space="0" w:color="auto"/>
              <w:right w:val="nil"/>
            </w:tcBorders>
            <w:shd w:val="clear" w:color="auto" w:fill="auto"/>
            <w:noWrap/>
            <w:vAlign w:val="bottom"/>
            <w:hideMark/>
          </w:tcPr>
          <w:p w14:paraId="549C5A3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Year</w:t>
            </w:r>
          </w:p>
        </w:tc>
        <w:tc>
          <w:tcPr>
            <w:tcW w:w="888" w:type="dxa"/>
            <w:tcBorders>
              <w:top w:val="single" w:sz="4" w:space="0" w:color="auto"/>
              <w:left w:val="nil"/>
              <w:bottom w:val="single" w:sz="4" w:space="0" w:color="auto"/>
              <w:right w:val="nil"/>
            </w:tcBorders>
            <w:shd w:val="clear" w:color="auto" w:fill="auto"/>
            <w:noWrap/>
            <w:vAlign w:val="bottom"/>
            <w:hideMark/>
          </w:tcPr>
          <w:p w14:paraId="0D3DDDA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N</w:t>
            </w:r>
          </w:p>
        </w:tc>
        <w:tc>
          <w:tcPr>
            <w:tcW w:w="691" w:type="dxa"/>
            <w:tcBorders>
              <w:top w:val="single" w:sz="4" w:space="0" w:color="auto"/>
              <w:left w:val="nil"/>
              <w:bottom w:val="single" w:sz="4" w:space="0" w:color="auto"/>
              <w:right w:val="nil"/>
            </w:tcBorders>
            <w:shd w:val="clear" w:color="auto" w:fill="auto"/>
            <w:noWrap/>
            <w:vAlign w:val="bottom"/>
            <w:hideMark/>
          </w:tcPr>
          <w:p w14:paraId="196E0CB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976" w:type="dxa"/>
            <w:tcBorders>
              <w:top w:val="single" w:sz="4" w:space="0" w:color="auto"/>
              <w:left w:val="nil"/>
              <w:bottom w:val="single" w:sz="4" w:space="0" w:color="auto"/>
              <w:right w:val="nil"/>
            </w:tcBorders>
            <w:shd w:val="clear" w:color="auto" w:fill="auto"/>
            <w:noWrap/>
            <w:vAlign w:val="bottom"/>
            <w:hideMark/>
          </w:tcPr>
          <w:p w14:paraId="2DE9A9C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CUM</w:t>
            </w:r>
          </w:p>
        </w:tc>
        <w:tc>
          <w:tcPr>
            <w:tcW w:w="776" w:type="dxa"/>
            <w:tcBorders>
              <w:top w:val="single" w:sz="4" w:space="0" w:color="auto"/>
              <w:left w:val="nil"/>
              <w:bottom w:val="nil"/>
              <w:right w:val="nil"/>
            </w:tcBorders>
            <w:shd w:val="clear" w:color="auto" w:fill="auto"/>
            <w:noWrap/>
            <w:vAlign w:val="bottom"/>
            <w:hideMark/>
          </w:tcPr>
          <w:p w14:paraId="7823426F" w14:textId="77777777" w:rsidR="00741DF5" w:rsidRPr="00AB729D" w:rsidRDefault="00741DF5" w:rsidP="00741DF5">
            <w:pPr>
              <w:spacing w:after="0" w:line="240" w:lineRule="auto"/>
              <w:rPr>
                <w:rFonts w:eastAsia="Times New Roman"/>
              </w:rPr>
            </w:pPr>
            <w:r w:rsidRPr="00AB729D">
              <w:rPr>
                <w:rFonts w:eastAsia="Times New Roman"/>
              </w:rPr>
              <w:t> </w:t>
            </w:r>
          </w:p>
        </w:tc>
        <w:tc>
          <w:tcPr>
            <w:tcW w:w="976" w:type="dxa"/>
            <w:tcBorders>
              <w:top w:val="single" w:sz="4" w:space="0" w:color="auto"/>
              <w:left w:val="nil"/>
              <w:bottom w:val="single" w:sz="4" w:space="0" w:color="auto"/>
              <w:right w:val="nil"/>
            </w:tcBorders>
            <w:shd w:val="clear" w:color="auto" w:fill="auto"/>
            <w:noWrap/>
            <w:vAlign w:val="bottom"/>
            <w:hideMark/>
          </w:tcPr>
          <w:p w14:paraId="7BB881E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Year</w:t>
            </w:r>
          </w:p>
        </w:tc>
        <w:tc>
          <w:tcPr>
            <w:tcW w:w="976" w:type="dxa"/>
            <w:tcBorders>
              <w:top w:val="single" w:sz="4" w:space="0" w:color="auto"/>
              <w:left w:val="nil"/>
              <w:bottom w:val="single" w:sz="4" w:space="0" w:color="auto"/>
              <w:right w:val="nil"/>
            </w:tcBorders>
            <w:shd w:val="clear" w:color="auto" w:fill="auto"/>
            <w:noWrap/>
            <w:vAlign w:val="bottom"/>
            <w:hideMark/>
          </w:tcPr>
          <w:p w14:paraId="705D469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N</w:t>
            </w:r>
          </w:p>
        </w:tc>
        <w:tc>
          <w:tcPr>
            <w:tcW w:w="1096" w:type="dxa"/>
            <w:tcBorders>
              <w:top w:val="single" w:sz="4" w:space="0" w:color="auto"/>
              <w:left w:val="nil"/>
              <w:bottom w:val="single" w:sz="4" w:space="0" w:color="auto"/>
              <w:right w:val="nil"/>
            </w:tcBorders>
            <w:shd w:val="clear" w:color="auto" w:fill="auto"/>
            <w:noWrap/>
            <w:vAlign w:val="bottom"/>
            <w:hideMark/>
          </w:tcPr>
          <w:p w14:paraId="456B46C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976" w:type="dxa"/>
            <w:tcBorders>
              <w:top w:val="single" w:sz="4" w:space="0" w:color="auto"/>
              <w:left w:val="nil"/>
              <w:bottom w:val="single" w:sz="4" w:space="0" w:color="auto"/>
              <w:right w:val="nil"/>
            </w:tcBorders>
            <w:shd w:val="clear" w:color="auto" w:fill="auto"/>
            <w:noWrap/>
            <w:vAlign w:val="bottom"/>
            <w:hideMark/>
          </w:tcPr>
          <w:p w14:paraId="3F866A3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CUM</w:t>
            </w:r>
          </w:p>
        </w:tc>
      </w:tr>
      <w:tr w:rsidR="00272B18" w:rsidRPr="00AB729D" w14:paraId="10B1B7CD"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30BDF44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1981</w:t>
            </w:r>
          </w:p>
        </w:tc>
        <w:tc>
          <w:tcPr>
            <w:tcW w:w="888" w:type="dxa"/>
            <w:tcBorders>
              <w:top w:val="nil"/>
              <w:left w:val="nil"/>
              <w:bottom w:val="nil"/>
              <w:right w:val="nil"/>
            </w:tcBorders>
            <w:shd w:val="clear" w:color="auto" w:fill="auto"/>
            <w:noWrap/>
            <w:vAlign w:val="bottom"/>
            <w:hideMark/>
          </w:tcPr>
          <w:p w14:paraId="0251B22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1,467</w:t>
            </w:r>
          </w:p>
        </w:tc>
        <w:tc>
          <w:tcPr>
            <w:tcW w:w="691" w:type="dxa"/>
            <w:tcBorders>
              <w:top w:val="nil"/>
              <w:left w:val="nil"/>
              <w:bottom w:val="nil"/>
              <w:right w:val="nil"/>
            </w:tcBorders>
            <w:shd w:val="clear" w:color="auto" w:fill="auto"/>
            <w:noWrap/>
            <w:vAlign w:val="bottom"/>
            <w:hideMark/>
          </w:tcPr>
          <w:p w14:paraId="132CFC0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1.79</w:t>
            </w:r>
          </w:p>
        </w:tc>
        <w:tc>
          <w:tcPr>
            <w:tcW w:w="976" w:type="dxa"/>
            <w:tcBorders>
              <w:top w:val="nil"/>
              <w:left w:val="nil"/>
              <w:bottom w:val="nil"/>
              <w:right w:val="nil"/>
            </w:tcBorders>
            <w:shd w:val="clear" w:color="auto" w:fill="auto"/>
            <w:noWrap/>
            <w:vAlign w:val="bottom"/>
            <w:hideMark/>
          </w:tcPr>
          <w:p w14:paraId="3FCE762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1.79</w:t>
            </w:r>
          </w:p>
        </w:tc>
        <w:tc>
          <w:tcPr>
            <w:tcW w:w="776" w:type="dxa"/>
            <w:tcBorders>
              <w:top w:val="nil"/>
              <w:left w:val="nil"/>
              <w:bottom w:val="nil"/>
              <w:right w:val="nil"/>
            </w:tcBorders>
            <w:shd w:val="clear" w:color="auto" w:fill="auto"/>
            <w:noWrap/>
            <w:vAlign w:val="bottom"/>
            <w:hideMark/>
          </w:tcPr>
          <w:p w14:paraId="6E97E1E7"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53C2410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1998</w:t>
            </w:r>
          </w:p>
        </w:tc>
        <w:tc>
          <w:tcPr>
            <w:tcW w:w="976" w:type="dxa"/>
            <w:tcBorders>
              <w:top w:val="nil"/>
              <w:left w:val="nil"/>
              <w:bottom w:val="nil"/>
              <w:right w:val="nil"/>
            </w:tcBorders>
            <w:shd w:val="clear" w:color="auto" w:fill="auto"/>
            <w:noWrap/>
            <w:vAlign w:val="bottom"/>
            <w:hideMark/>
          </w:tcPr>
          <w:p w14:paraId="5E46330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3,398</w:t>
            </w:r>
          </w:p>
        </w:tc>
        <w:tc>
          <w:tcPr>
            <w:tcW w:w="1096" w:type="dxa"/>
            <w:tcBorders>
              <w:top w:val="nil"/>
              <w:left w:val="nil"/>
              <w:bottom w:val="nil"/>
              <w:right w:val="nil"/>
            </w:tcBorders>
            <w:shd w:val="clear" w:color="auto" w:fill="auto"/>
            <w:noWrap/>
            <w:vAlign w:val="bottom"/>
            <w:hideMark/>
          </w:tcPr>
          <w:p w14:paraId="461FE92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4.14</w:t>
            </w:r>
          </w:p>
        </w:tc>
        <w:tc>
          <w:tcPr>
            <w:tcW w:w="976" w:type="dxa"/>
            <w:tcBorders>
              <w:top w:val="nil"/>
              <w:left w:val="nil"/>
              <w:bottom w:val="nil"/>
              <w:right w:val="nil"/>
            </w:tcBorders>
            <w:shd w:val="clear" w:color="auto" w:fill="auto"/>
            <w:noWrap/>
            <w:vAlign w:val="bottom"/>
            <w:hideMark/>
          </w:tcPr>
          <w:p w14:paraId="513F9E8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50.69</w:t>
            </w:r>
          </w:p>
        </w:tc>
      </w:tr>
      <w:tr w:rsidR="00272B18" w:rsidRPr="00AB729D" w14:paraId="35ED8D6F"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0CE4F8A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1982</w:t>
            </w:r>
          </w:p>
        </w:tc>
        <w:tc>
          <w:tcPr>
            <w:tcW w:w="888" w:type="dxa"/>
            <w:tcBorders>
              <w:top w:val="nil"/>
              <w:left w:val="nil"/>
              <w:bottom w:val="nil"/>
              <w:right w:val="nil"/>
            </w:tcBorders>
            <w:shd w:val="clear" w:color="auto" w:fill="auto"/>
            <w:noWrap/>
            <w:vAlign w:val="bottom"/>
            <w:hideMark/>
          </w:tcPr>
          <w:p w14:paraId="47232B6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1,475</w:t>
            </w:r>
          </w:p>
        </w:tc>
        <w:tc>
          <w:tcPr>
            <w:tcW w:w="691" w:type="dxa"/>
            <w:tcBorders>
              <w:top w:val="nil"/>
              <w:left w:val="nil"/>
              <w:bottom w:val="nil"/>
              <w:right w:val="nil"/>
            </w:tcBorders>
            <w:shd w:val="clear" w:color="auto" w:fill="auto"/>
            <w:noWrap/>
            <w:vAlign w:val="bottom"/>
            <w:hideMark/>
          </w:tcPr>
          <w:p w14:paraId="2B45E6D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w:t>
            </w:r>
          </w:p>
        </w:tc>
        <w:tc>
          <w:tcPr>
            <w:tcW w:w="976" w:type="dxa"/>
            <w:tcBorders>
              <w:top w:val="nil"/>
              <w:left w:val="nil"/>
              <w:bottom w:val="nil"/>
              <w:right w:val="nil"/>
            </w:tcBorders>
            <w:shd w:val="clear" w:color="auto" w:fill="auto"/>
            <w:noWrap/>
            <w:vAlign w:val="bottom"/>
            <w:hideMark/>
          </w:tcPr>
          <w:p w14:paraId="33B6863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3.59</w:t>
            </w:r>
          </w:p>
        </w:tc>
        <w:tc>
          <w:tcPr>
            <w:tcW w:w="776" w:type="dxa"/>
            <w:tcBorders>
              <w:top w:val="nil"/>
              <w:left w:val="nil"/>
              <w:bottom w:val="nil"/>
              <w:right w:val="nil"/>
            </w:tcBorders>
            <w:shd w:val="clear" w:color="auto" w:fill="auto"/>
            <w:noWrap/>
            <w:vAlign w:val="bottom"/>
            <w:hideMark/>
          </w:tcPr>
          <w:p w14:paraId="7C472B2A"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514FE5E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1999</w:t>
            </w:r>
          </w:p>
        </w:tc>
        <w:tc>
          <w:tcPr>
            <w:tcW w:w="976" w:type="dxa"/>
            <w:tcBorders>
              <w:top w:val="nil"/>
              <w:left w:val="nil"/>
              <w:bottom w:val="nil"/>
              <w:right w:val="nil"/>
            </w:tcBorders>
            <w:shd w:val="clear" w:color="auto" w:fill="auto"/>
            <w:noWrap/>
            <w:vAlign w:val="bottom"/>
            <w:hideMark/>
          </w:tcPr>
          <w:p w14:paraId="01332A9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3,129</w:t>
            </w:r>
          </w:p>
        </w:tc>
        <w:tc>
          <w:tcPr>
            <w:tcW w:w="1096" w:type="dxa"/>
            <w:tcBorders>
              <w:top w:val="nil"/>
              <w:left w:val="nil"/>
              <w:bottom w:val="nil"/>
              <w:right w:val="nil"/>
            </w:tcBorders>
            <w:shd w:val="clear" w:color="auto" w:fill="auto"/>
            <w:noWrap/>
            <w:vAlign w:val="bottom"/>
            <w:hideMark/>
          </w:tcPr>
          <w:p w14:paraId="22F545E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3.81</w:t>
            </w:r>
          </w:p>
        </w:tc>
        <w:tc>
          <w:tcPr>
            <w:tcW w:w="976" w:type="dxa"/>
            <w:tcBorders>
              <w:top w:val="nil"/>
              <w:left w:val="nil"/>
              <w:bottom w:val="nil"/>
              <w:right w:val="nil"/>
            </w:tcBorders>
            <w:shd w:val="clear" w:color="auto" w:fill="auto"/>
            <w:noWrap/>
            <w:vAlign w:val="bottom"/>
            <w:hideMark/>
          </w:tcPr>
          <w:p w14:paraId="3688B75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54.5</w:t>
            </w:r>
          </w:p>
        </w:tc>
      </w:tr>
      <w:tr w:rsidR="00272B18" w:rsidRPr="00AB729D" w14:paraId="0BF5D2CB"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7557A5C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1983</w:t>
            </w:r>
          </w:p>
        </w:tc>
        <w:tc>
          <w:tcPr>
            <w:tcW w:w="888" w:type="dxa"/>
            <w:tcBorders>
              <w:top w:val="nil"/>
              <w:left w:val="nil"/>
              <w:bottom w:val="nil"/>
              <w:right w:val="nil"/>
            </w:tcBorders>
            <w:shd w:val="clear" w:color="auto" w:fill="auto"/>
            <w:noWrap/>
            <w:vAlign w:val="bottom"/>
            <w:hideMark/>
          </w:tcPr>
          <w:p w14:paraId="3E80987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1,722</w:t>
            </w:r>
          </w:p>
        </w:tc>
        <w:tc>
          <w:tcPr>
            <w:tcW w:w="691" w:type="dxa"/>
            <w:tcBorders>
              <w:top w:val="nil"/>
              <w:left w:val="nil"/>
              <w:bottom w:val="nil"/>
              <w:right w:val="nil"/>
            </w:tcBorders>
            <w:shd w:val="clear" w:color="auto" w:fill="auto"/>
            <w:noWrap/>
            <w:vAlign w:val="bottom"/>
            <w:hideMark/>
          </w:tcPr>
          <w:p w14:paraId="6665015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w:t>
            </w:r>
          </w:p>
        </w:tc>
        <w:tc>
          <w:tcPr>
            <w:tcW w:w="976" w:type="dxa"/>
            <w:tcBorders>
              <w:top w:val="nil"/>
              <w:left w:val="nil"/>
              <w:bottom w:val="nil"/>
              <w:right w:val="nil"/>
            </w:tcBorders>
            <w:shd w:val="clear" w:color="auto" w:fill="auto"/>
            <w:noWrap/>
            <w:vAlign w:val="bottom"/>
            <w:hideMark/>
          </w:tcPr>
          <w:p w14:paraId="4BF13BB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5.69</w:t>
            </w:r>
          </w:p>
        </w:tc>
        <w:tc>
          <w:tcPr>
            <w:tcW w:w="776" w:type="dxa"/>
            <w:tcBorders>
              <w:top w:val="nil"/>
              <w:left w:val="nil"/>
              <w:bottom w:val="nil"/>
              <w:right w:val="nil"/>
            </w:tcBorders>
            <w:shd w:val="clear" w:color="auto" w:fill="auto"/>
            <w:noWrap/>
            <w:vAlign w:val="bottom"/>
            <w:hideMark/>
          </w:tcPr>
          <w:p w14:paraId="008D0F3D"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3E8E414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2000</w:t>
            </w:r>
          </w:p>
        </w:tc>
        <w:tc>
          <w:tcPr>
            <w:tcW w:w="976" w:type="dxa"/>
            <w:tcBorders>
              <w:top w:val="nil"/>
              <w:left w:val="nil"/>
              <w:bottom w:val="nil"/>
              <w:right w:val="nil"/>
            </w:tcBorders>
            <w:shd w:val="clear" w:color="auto" w:fill="auto"/>
            <w:noWrap/>
            <w:vAlign w:val="bottom"/>
            <w:hideMark/>
          </w:tcPr>
          <w:p w14:paraId="726AD10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3,142</w:t>
            </w:r>
          </w:p>
        </w:tc>
        <w:tc>
          <w:tcPr>
            <w:tcW w:w="1096" w:type="dxa"/>
            <w:tcBorders>
              <w:top w:val="nil"/>
              <w:left w:val="nil"/>
              <w:bottom w:val="nil"/>
              <w:right w:val="nil"/>
            </w:tcBorders>
            <w:shd w:val="clear" w:color="auto" w:fill="auto"/>
            <w:noWrap/>
            <w:vAlign w:val="bottom"/>
            <w:hideMark/>
          </w:tcPr>
          <w:p w14:paraId="06E2D4F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3.83</w:t>
            </w:r>
          </w:p>
        </w:tc>
        <w:tc>
          <w:tcPr>
            <w:tcW w:w="976" w:type="dxa"/>
            <w:tcBorders>
              <w:top w:val="nil"/>
              <w:left w:val="nil"/>
              <w:bottom w:val="nil"/>
              <w:right w:val="nil"/>
            </w:tcBorders>
            <w:shd w:val="clear" w:color="auto" w:fill="auto"/>
            <w:noWrap/>
            <w:vAlign w:val="bottom"/>
            <w:hideMark/>
          </w:tcPr>
          <w:p w14:paraId="4711ABB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58.33</w:t>
            </w:r>
          </w:p>
        </w:tc>
      </w:tr>
      <w:tr w:rsidR="00272B18" w:rsidRPr="00AB729D" w14:paraId="126CD9B9"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70A46F8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1984</w:t>
            </w:r>
          </w:p>
        </w:tc>
        <w:tc>
          <w:tcPr>
            <w:tcW w:w="888" w:type="dxa"/>
            <w:tcBorders>
              <w:top w:val="nil"/>
              <w:left w:val="nil"/>
              <w:bottom w:val="nil"/>
              <w:right w:val="nil"/>
            </w:tcBorders>
            <w:shd w:val="clear" w:color="auto" w:fill="auto"/>
            <w:noWrap/>
            <w:vAlign w:val="bottom"/>
            <w:hideMark/>
          </w:tcPr>
          <w:p w14:paraId="6F56F68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1,848</w:t>
            </w:r>
          </w:p>
        </w:tc>
        <w:tc>
          <w:tcPr>
            <w:tcW w:w="691" w:type="dxa"/>
            <w:tcBorders>
              <w:top w:val="nil"/>
              <w:left w:val="nil"/>
              <w:bottom w:val="nil"/>
              <w:right w:val="nil"/>
            </w:tcBorders>
            <w:shd w:val="clear" w:color="auto" w:fill="auto"/>
            <w:noWrap/>
            <w:vAlign w:val="bottom"/>
            <w:hideMark/>
          </w:tcPr>
          <w:p w14:paraId="763BFE9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2.25</w:t>
            </w:r>
          </w:p>
        </w:tc>
        <w:tc>
          <w:tcPr>
            <w:tcW w:w="976" w:type="dxa"/>
            <w:tcBorders>
              <w:top w:val="nil"/>
              <w:left w:val="nil"/>
              <w:bottom w:val="nil"/>
              <w:right w:val="nil"/>
            </w:tcBorders>
            <w:shd w:val="clear" w:color="auto" w:fill="auto"/>
            <w:noWrap/>
            <w:vAlign w:val="bottom"/>
            <w:hideMark/>
          </w:tcPr>
          <w:p w14:paraId="76A2E28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7.94</w:t>
            </w:r>
          </w:p>
        </w:tc>
        <w:tc>
          <w:tcPr>
            <w:tcW w:w="776" w:type="dxa"/>
            <w:tcBorders>
              <w:top w:val="nil"/>
              <w:left w:val="nil"/>
              <w:bottom w:val="nil"/>
              <w:right w:val="nil"/>
            </w:tcBorders>
            <w:shd w:val="clear" w:color="auto" w:fill="auto"/>
            <w:noWrap/>
            <w:vAlign w:val="bottom"/>
            <w:hideMark/>
          </w:tcPr>
          <w:p w14:paraId="61DA83F4"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1705192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2001</w:t>
            </w:r>
          </w:p>
        </w:tc>
        <w:tc>
          <w:tcPr>
            <w:tcW w:w="976" w:type="dxa"/>
            <w:tcBorders>
              <w:top w:val="nil"/>
              <w:left w:val="nil"/>
              <w:bottom w:val="nil"/>
              <w:right w:val="nil"/>
            </w:tcBorders>
            <w:shd w:val="clear" w:color="auto" w:fill="auto"/>
            <w:noWrap/>
            <w:vAlign w:val="bottom"/>
            <w:hideMark/>
          </w:tcPr>
          <w:p w14:paraId="39A2F47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3,095</w:t>
            </w:r>
          </w:p>
        </w:tc>
        <w:tc>
          <w:tcPr>
            <w:tcW w:w="1096" w:type="dxa"/>
            <w:tcBorders>
              <w:top w:val="nil"/>
              <w:left w:val="nil"/>
              <w:bottom w:val="nil"/>
              <w:right w:val="nil"/>
            </w:tcBorders>
            <w:shd w:val="clear" w:color="auto" w:fill="auto"/>
            <w:noWrap/>
            <w:vAlign w:val="bottom"/>
            <w:hideMark/>
          </w:tcPr>
          <w:p w14:paraId="3B8A3AE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3.77</w:t>
            </w:r>
          </w:p>
        </w:tc>
        <w:tc>
          <w:tcPr>
            <w:tcW w:w="976" w:type="dxa"/>
            <w:tcBorders>
              <w:top w:val="nil"/>
              <w:left w:val="nil"/>
              <w:bottom w:val="nil"/>
              <w:right w:val="nil"/>
            </w:tcBorders>
            <w:shd w:val="clear" w:color="auto" w:fill="auto"/>
            <w:noWrap/>
            <w:vAlign w:val="bottom"/>
            <w:hideMark/>
          </w:tcPr>
          <w:p w14:paraId="41025B1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62.11</w:t>
            </w:r>
          </w:p>
        </w:tc>
      </w:tr>
      <w:tr w:rsidR="00272B18" w:rsidRPr="00AB729D" w14:paraId="4D350AA7"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74E93E4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1985</w:t>
            </w:r>
          </w:p>
        </w:tc>
        <w:tc>
          <w:tcPr>
            <w:tcW w:w="888" w:type="dxa"/>
            <w:tcBorders>
              <w:top w:val="nil"/>
              <w:left w:val="nil"/>
              <w:bottom w:val="nil"/>
              <w:right w:val="nil"/>
            </w:tcBorders>
            <w:shd w:val="clear" w:color="auto" w:fill="auto"/>
            <w:noWrap/>
            <w:vAlign w:val="bottom"/>
            <w:hideMark/>
          </w:tcPr>
          <w:p w14:paraId="33084E1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1,840</w:t>
            </w:r>
          </w:p>
        </w:tc>
        <w:tc>
          <w:tcPr>
            <w:tcW w:w="691" w:type="dxa"/>
            <w:tcBorders>
              <w:top w:val="nil"/>
              <w:left w:val="nil"/>
              <w:bottom w:val="nil"/>
              <w:right w:val="nil"/>
            </w:tcBorders>
            <w:shd w:val="clear" w:color="auto" w:fill="auto"/>
            <w:noWrap/>
            <w:vAlign w:val="bottom"/>
            <w:hideMark/>
          </w:tcPr>
          <w:p w14:paraId="60A7B54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2.24</w:t>
            </w:r>
          </w:p>
        </w:tc>
        <w:tc>
          <w:tcPr>
            <w:tcW w:w="976" w:type="dxa"/>
            <w:tcBorders>
              <w:top w:val="nil"/>
              <w:left w:val="nil"/>
              <w:bottom w:val="nil"/>
              <w:right w:val="nil"/>
            </w:tcBorders>
            <w:shd w:val="clear" w:color="auto" w:fill="auto"/>
            <w:noWrap/>
            <w:vAlign w:val="bottom"/>
            <w:hideMark/>
          </w:tcPr>
          <w:p w14:paraId="1CE202C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10.18</w:t>
            </w:r>
          </w:p>
        </w:tc>
        <w:tc>
          <w:tcPr>
            <w:tcW w:w="776" w:type="dxa"/>
            <w:tcBorders>
              <w:top w:val="nil"/>
              <w:left w:val="nil"/>
              <w:bottom w:val="nil"/>
              <w:right w:val="nil"/>
            </w:tcBorders>
            <w:shd w:val="clear" w:color="auto" w:fill="auto"/>
            <w:noWrap/>
            <w:vAlign w:val="bottom"/>
            <w:hideMark/>
          </w:tcPr>
          <w:p w14:paraId="2590E5DB"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42CED56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2002</w:t>
            </w:r>
          </w:p>
        </w:tc>
        <w:tc>
          <w:tcPr>
            <w:tcW w:w="976" w:type="dxa"/>
            <w:tcBorders>
              <w:top w:val="nil"/>
              <w:left w:val="nil"/>
              <w:bottom w:val="nil"/>
              <w:right w:val="nil"/>
            </w:tcBorders>
            <w:shd w:val="clear" w:color="auto" w:fill="auto"/>
            <w:noWrap/>
            <w:vAlign w:val="bottom"/>
            <w:hideMark/>
          </w:tcPr>
          <w:p w14:paraId="13DEB2C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3,047</w:t>
            </w:r>
          </w:p>
        </w:tc>
        <w:tc>
          <w:tcPr>
            <w:tcW w:w="1096" w:type="dxa"/>
            <w:tcBorders>
              <w:top w:val="nil"/>
              <w:left w:val="nil"/>
              <w:bottom w:val="nil"/>
              <w:right w:val="nil"/>
            </w:tcBorders>
            <w:shd w:val="clear" w:color="auto" w:fill="auto"/>
            <w:noWrap/>
            <w:vAlign w:val="bottom"/>
            <w:hideMark/>
          </w:tcPr>
          <w:p w14:paraId="617C6F2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3.71</w:t>
            </w:r>
          </w:p>
        </w:tc>
        <w:tc>
          <w:tcPr>
            <w:tcW w:w="976" w:type="dxa"/>
            <w:tcBorders>
              <w:top w:val="nil"/>
              <w:left w:val="nil"/>
              <w:bottom w:val="nil"/>
              <w:right w:val="nil"/>
            </w:tcBorders>
            <w:shd w:val="clear" w:color="auto" w:fill="auto"/>
            <w:noWrap/>
            <w:vAlign w:val="bottom"/>
            <w:hideMark/>
          </w:tcPr>
          <w:p w14:paraId="7DC016B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65.82</w:t>
            </w:r>
          </w:p>
        </w:tc>
      </w:tr>
      <w:tr w:rsidR="00272B18" w:rsidRPr="00AB729D" w14:paraId="6E420EAD"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06E6994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1986</w:t>
            </w:r>
          </w:p>
        </w:tc>
        <w:tc>
          <w:tcPr>
            <w:tcW w:w="888" w:type="dxa"/>
            <w:tcBorders>
              <w:top w:val="nil"/>
              <w:left w:val="nil"/>
              <w:bottom w:val="nil"/>
              <w:right w:val="nil"/>
            </w:tcBorders>
            <w:shd w:val="clear" w:color="auto" w:fill="auto"/>
            <w:noWrap/>
            <w:vAlign w:val="bottom"/>
            <w:hideMark/>
          </w:tcPr>
          <w:p w14:paraId="57935F9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1,982</w:t>
            </w:r>
          </w:p>
        </w:tc>
        <w:tc>
          <w:tcPr>
            <w:tcW w:w="691" w:type="dxa"/>
            <w:tcBorders>
              <w:top w:val="nil"/>
              <w:left w:val="nil"/>
              <w:bottom w:val="nil"/>
              <w:right w:val="nil"/>
            </w:tcBorders>
            <w:shd w:val="clear" w:color="auto" w:fill="auto"/>
            <w:noWrap/>
            <w:vAlign w:val="bottom"/>
            <w:hideMark/>
          </w:tcPr>
          <w:p w14:paraId="4BC6BDB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2.42</w:t>
            </w:r>
          </w:p>
        </w:tc>
        <w:tc>
          <w:tcPr>
            <w:tcW w:w="976" w:type="dxa"/>
            <w:tcBorders>
              <w:top w:val="nil"/>
              <w:left w:val="nil"/>
              <w:bottom w:val="nil"/>
              <w:right w:val="nil"/>
            </w:tcBorders>
            <w:shd w:val="clear" w:color="auto" w:fill="auto"/>
            <w:noWrap/>
            <w:vAlign w:val="bottom"/>
            <w:hideMark/>
          </w:tcPr>
          <w:p w14:paraId="226895C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12.6</w:t>
            </w:r>
          </w:p>
        </w:tc>
        <w:tc>
          <w:tcPr>
            <w:tcW w:w="776" w:type="dxa"/>
            <w:tcBorders>
              <w:top w:val="nil"/>
              <w:left w:val="nil"/>
              <w:bottom w:val="nil"/>
              <w:right w:val="nil"/>
            </w:tcBorders>
            <w:shd w:val="clear" w:color="auto" w:fill="auto"/>
            <w:noWrap/>
            <w:vAlign w:val="bottom"/>
            <w:hideMark/>
          </w:tcPr>
          <w:p w14:paraId="2146E902"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3865B2E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2003</w:t>
            </w:r>
          </w:p>
        </w:tc>
        <w:tc>
          <w:tcPr>
            <w:tcW w:w="976" w:type="dxa"/>
            <w:tcBorders>
              <w:top w:val="nil"/>
              <w:left w:val="nil"/>
              <w:bottom w:val="nil"/>
              <w:right w:val="nil"/>
            </w:tcBorders>
            <w:shd w:val="clear" w:color="auto" w:fill="auto"/>
            <w:noWrap/>
            <w:vAlign w:val="bottom"/>
            <w:hideMark/>
          </w:tcPr>
          <w:p w14:paraId="308D95E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2,941</w:t>
            </w:r>
          </w:p>
        </w:tc>
        <w:tc>
          <w:tcPr>
            <w:tcW w:w="1096" w:type="dxa"/>
            <w:tcBorders>
              <w:top w:val="nil"/>
              <w:left w:val="nil"/>
              <w:bottom w:val="nil"/>
              <w:right w:val="nil"/>
            </w:tcBorders>
            <w:shd w:val="clear" w:color="auto" w:fill="auto"/>
            <w:noWrap/>
            <w:vAlign w:val="bottom"/>
            <w:hideMark/>
          </w:tcPr>
          <w:p w14:paraId="42BC58B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3.58</w:t>
            </w:r>
          </w:p>
        </w:tc>
        <w:tc>
          <w:tcPr>
            <w:tcW w:w="976" w:type="dxa"/>
            <w:tcBorders>
              <w:top w:val="nil"/>
              <w:left w:val="nil"/>
              <w:bottom w:val="nil"/>
              <w:right w:val="nil"/>
            </w:tcBorders>
            <w:shd w:val="clear" w:color="auto" w:fill="auto"/>
            <w:noWrap/>
            <w:vAlign w:val="bottom"/>
            <w:hideMark/>
          </w:tcPr>
          <w:p w14:paraId="4EA36AB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69.41</w:t>
            </w:r>
          </w:p>
        </w:tc>
      </w:tr>
      <w:tr w:rsidR="00272B18" w:rsidRPr="00AB729D" w14:paraId="42385608"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7739EA0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1987</w:t>
            </w:r>
          </w:p>
        </w:tc>
        <w:tc>
          <w:tcPr>
            <w:tcW w:w="888" w:type="dxa"/>
            <w:tcBorders>
              <w:top w:val="nil"/>
              <w:left w:val="nil"/>
              <w:bottom w:val="nil"/>
              <w:right w:val="nil"/>
            </w:tcBorders>
            <w:shd w:val="clear" w:color="auto" w:fill="auto"/>
            <w:noWrap/>
            <w:vAlign w:val="bottom"/>
            <w:hideMark/>
          </w:tcPr>
          <w:p w14:paraId="03D3C6A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2,117</w:t>
            </w:r>
          </w:p>
        </w:tc>
        <w:tc>
          <w:tcPr>
            <w:tcW w:w="691" w:type="dxa"/>
            <w:tcBorders>
              <w:top w:val="nil"/>
              <w:left w:val="nil"/>
              <w:bottom w:val="nil"/>
              <w:right w:val="nil"/>
            </w:tcBorders>
            <w:shd w:val="clear" w:color="auto" w:fill="auto"/>
            <w:noWrap/>
            <w:vAlign w:val="bottom"/>
            <w:hideMark/>
          </w:tcPr>
          <w:p w14:paraId="6E79438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2.58</w:t>
            </w:r>
          </w:p>
        </w:tc>
        <w:tc>
          <w:tcPr>
            <w:tcW w:w="976" w:type="dxa"/>
            <w:tcBorders>
              <w:top w:val="nil"/>
              <w:left w:val="nil"/>
              <w:bottom w:val="nil"/>
              <w:right w:val="nil"/>
            </w:tcBorders>
            <w:shd w:val="clear" w:color="auto" w:fill="auto"/>
            <w:noWrap/>
            <w:vAlign w:val="bottom"/>
            <w:hideMark/>
          </w:tcPr>
          <w:p w14:paraId="3D2118E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15.18</w:t>
            </w:r>
          </w:p>
        </w:tc>
        <w:tc>
          <w:tcPr>
            <w:tcW w:w="776" w:type="dxa"/>
            <w:tcBorders>
              <w:top w:val="nil"/>
              <w:left w:val="nil"/>
              <w:bottom w:val="nil"/>
              <w:right w:val="nil"/>
            </w:tcBorders>
            <w:shd w:val="clear" w:color="auto" w:fill="auto"/>
            <w:noWrap/>
            <w:vAlign w:val="bottom"/>
            <w:hideMark/>
          </w:tcPr>
          <w:p w14:paraId="39C4C429"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4CA630D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2004</w:t>
            </w:r>
          </w:p>
        </w:tc>
        <w:tc>
          <w:tcPr>
            <w:tcW w:w="976" w:type="dxa"/>
            <w:tcBorders>
              <w:top w:val="nil"/>
              <w:left w:val="nil"/>
              <w:bottom w:val="nil"/>
              <w:right w:val="nil"/>
            </w:tcBorders>
            <w:shd w:val="clear" w:color="auto" w:fill="auto"/>
            <w:noWrap/>
            <w:vAlign w:val="bottom"/>
            <w:hideMark/>
          </w:tcPr>
          <w:p w14:paraId="1EAD4B3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2,838</w:t>
            </w:r>
          </w:p>
        </w:tc>
        <w:tc>
          <w:tcPr>
            <w:tcW w:w="1096" w:type="dxa"/>
            <w:tcBorders>
              <w:top w:val="nil"/>
              <w:left w:val="nil"/>
              <w:bottom w:val="nil"/>
              <w:right w:val="nil"/>
            </w:tcBorders>
            <w:shd w:val="clear" w:color="auto" w:fill="auto"/>
            <w:noWrap/>
            <w:vAlign w:val="bottom"/>
            <w:hideMark/>
          </w:tcPr>
          <w:p w14:paraId="792AD73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3.46</w:t>
            </w:r>
          </w:p>
        </w:tc>
        <w:tc>
          <w:tcPr>
            <w:tcW w:w="976" w:type="dxa"/>
            <w:tcBorders>
              <w:top w:val="nil"/>
              <w:left w:val="nil"/>
              <w:bottom w:val="nil"/>
              <w:right w:val="nil"/>
            </w:tcBorders>
            <w:shd w:val="clear" w:color="auto" w:fill="auto"/>
            <w:noWrap/>
            <w:vAlign w:val="bottom"/>
            <w:hideMark/>
          </w:tcPr>
          <w:p w14:paraId="7B8F443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72.87</w:t>
            </w:r>
          </w:p>
        </w:tc>
      </w:tr>
      <w:tr w:rsidR="00272B18" w:rsidRPr="00AB729D" w14:paraId="08B7C876"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0649545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1988</w:t>
            </w:r>
          </w:p>
        </w:tc>
        <w:tc>
          <w:tcPr>
            <w:tcW w:w="888" w:type="dxa"/>
            <w:tcBorders>
              <w:top w:val="nil"/>
              <w:left w:val="nil"/>
              <w:bottom w:val="nil"/>
              <w:right w:val="nil"/>
            </w:tcBorders>
            <w:shd w:val="clear" w:color="auto" w:fill="auto"/>
            <w:noWrap/>
            <w:vAlign w:val="bottom"/>
            <w:hideMark/>
          </w:tcPr>
          <w:p w14:paraId="4635428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2,186</w:t>
            </w:r>
          </w:p>
        </w:tc>
        <w:tc>
          <w:tcPr>
            <w:tcW w:w="691" w:type="dxa"/>
            <w:tcBorders>
              <w:top w:val="nil"/>
              <w:left w:val="nil"/>
              <w:bottom w:val="nil"/>
              <w:right w:val="nil"/>
            </w:tcBorders>
            <w:shd w:val="clear" w:color="auto" w:fill="auto"/>
            <w:noWrap/>
            <w:vAlign w:val="bottom"/>
            <w:hideMark/>
          </w:tcPr>
          <w:p w14:paraId="044531D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2.66</w:t>
            </w:r>
          </w:p>
        </w:tc>
        <w:tc>
          <w:tcPr>
            <w:tcW w:w="976" w:type="dxa"/>
            <w:tcBorders>
              <w:top w:val="nil"/>
              <w:left w:val="nil"/>
              <w:bottom w:val="nil"/>
              <w:right w:val="nil"/>
            </w:tcBorders>
            <w:shd w:val="clear" w:color="auto" w:fill="auto"/>
            <w:noWrap/>
            <w:vAlign w:val="bottom"/>
            <w:hideMark/>
          </w:tcPr>
          <w:p w14:paraId="6D96034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17.84</w:t>
            </w:r>
          </w:p>
        </w:tc>
        <w:tc>
          <w:tcPr>
            <w:tcW w:w="776" w:type="dxa"/>
            <w:tcBorders>
              <w:top w:val="nil"/>
              <w:left w:val="nil"/>
              <w:bottom w:val="nil"/>
              <w:right w:val="nil"/>
            </w:tcBorders>
            <w:shd w:val="clear" w:color="auto" w:fill="auto"/>
            <w:noWrap/>
            <w:vAlign w:val="bottom"/>
            <w:hideMark/>
          </w:tcPr>
          <w:p w14:paraId="2F08DCDD"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020DDFE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2005</w:t>
            </w:r>
          </w:p>
        </w:tc>
        <w:tc>
          <w:tcPr>
            <w:tcW w:w="976" w:type="dxa"/>
            <w:tcBorders>
              <w:top w:val="nil"/>
              <w:left w:val="nil"/>
              <w:bottom w:val="nil"/>
              <w:right w:val="nil"/>
            </w:tcBorders>
            <w:shd w:val="clear" w:color="auto" w:fill="auto"/>
            <w:noWrap/>
            <w:vAlign w:val="bottom"/>
            <w:hideMark/>
          </w:tcPr>
          <w:p w14:paraId="6954788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3,020</w:t>
            </w:r>
          </w:p>
        </w:tc>
        <w:tc>
          <w:tcPr>
            <w:tcW w:w="1096" w:type="dxa"/>
            <w:tcBorders>
              <w:top w:val="nil"/>
              <w:left w:val="nil"/>
              <w:bottom w:val="nil"/>
              <w:right w:val="nil"/>
            </w:tcBorders>
            <w:shd w:val="clear" w:color="auto" w:fill="auto"/>
            <w:noWrap/>
            <w:vAlign w:val="bottom"/>
            <w:hideMark/>
          </w:tcPr>
          <w:p w14:paraId="68A1201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3.68</w:t>
            </w:r>
          </w:p>
        </w:tc>
        <w:tc>
          <w:tcPr>
            <w:tcW w:w="976" w:type="dxa"/>
            <w:tcBorders>
              <w:top w:val="nil"/>
              <w:left w:val="nil"/>
              <w:bottom w:val="nil"/>
              <w:right w:val="nil"/>
            </w:tcBorders>
            <w:shd w:val="clear" w:color="auto" w:fill="auto"/>
            <w:noWrap/>
            <w:vAlign w:val="bottom"/>
            <w:hideMark/>
          </w:tcPr>
          <w:p w14:paraId="085A3BE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76.55</w:t>
            </w:r>
          </w:p>
        </w:tc>
      </w:tr>
      <w:tr w:rsidR="00272B18" w:rsidRPr="00AB729D" w14:paraId="0B4C99F2"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0D92004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1989</w:t>
            </w:r>
          </w:p>
        </w:tc>
        <w:tc>
          <w:tcPr>
            <w:tcW w:w="888" w:type="dxa"/>
            <w:tcBorders>
              <w:top w:val="nil"/>
              <w:left w:val="nil"/>
              <w:bottom w:val="nil"/>
              <w:right w:val="nil"/>
            </w:tcBorders>
            <w:shd w:val="clear" w:color="auto" w:fill="auto"/>
            <w:noWrap/>
            <w:vAlign w:val="bottom"/>
            <w:hideMark/>
          </w:tcPr>
          <w:p w14:paraId="352274F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2,057</w:t>
            </w:r>
          </w:p>
        </w:tc>
        <w:tc>
          <w:tcPr>
            <w:tcW w:w="691" w:type="dxa"/>
            <w:tcBorders>
              <w:top w:val="nil"/>
              <w:left w:val="nil"/>
              <w:bottom w:val="nil"/>
              <w:right w:val="nil"/>
            </w:tcBorders>
            <w:shd w:val="clear" w:color="auto" w:fill="auto"/>
            <w:noWrap/>
            <w:vAlign w:val="bottom"/>
            <w:hideMark/>
          </w:tcPr>
          <w:p w14:paraId="05EE369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2.51</w:t>
            </w:r>
          </w:p>
        </w:tc>
        <w:tc>
          <w:tcPr>
            <w:tcW w:w="976" w:type="dxa"/>
            <w:tcBorders>
              <w:top w:val="nil"/>
              <w:left w:val="nil"/>
              <w:bottom w:val="nil"/>
              <w:right w:val="nil"/>
            </w:tcBorders>
            <w:shd w:val="clear" w:color="auto" w:fill="auto"/>
            <w:noWrap/>
            <w:vAlign w:val="bottom"/>
            <w:hideMark/>
          </w:tcPr>
          <w:p w14:paraId="1EB2342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20.35</w:t>
            </w:r>
          </w:p>
        </w:tc>
        <w:tc>
          <w:tcPr>
            <w:tcW w:w="776" w:type="dxa"/>
            <w:tcBorders>
              <w:top w:val="nil"/>
              <w:left w:val="nil"/>
              <w:bottom w:val="nil"/>
              <w:right w:val="nil"/>
            </w:tcBorders>
            <w:shd w:val="clear" w:color="auto" w:fill="auto"/>
            <w:noWrap/>
            <w:vAlign w:val="bottom"/>
            <w:hideMark/>
          </w:tcPr>
          <w:p w14:paraId="35876D19"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2771230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2006</w:t>
            </w:r>
          </w:p>
        </w:tc>
        <w:tc>
          <w:tcPr>
            <w:tcW w:w="976" w:type="dxa"/>
            <w:tcBorders>
              <w:top w:val="nil"/>
              <w:left w:val="nil"/>
              <w:bottom w:val="nil"/>
              <w:right w:val="nil"/>
            </w:tcBorders>
            <w:shd w:val="clear" w:color="auto" w:fill="auto"/>
            <w:noWrap/>
            <w:vAlign w:val="bottom"/>
            <w:hideMark/>
          </w:tcPr>
          <w:p w14:paraId="3A58F62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3,042</w:t>
            </w:r>
          </w:p>
        </w:tc>
        <w:tc>
          <w:tcPr>
            <w:tcW w:w="1096" w:type="dxa"/>
            <w:tcBorders>
              <w:top w:val="nil"/>
              <w:left w:val="nil"/>
              <w:bottom w:val="nil"/>
              <w:right w:val="nil"/>
            </w:tcBorders>
            <w:shd w:val="clear" w:color="auto" w:fill="auto"/>
            <w:noWrap/>
            <w:vAlign w:val="bottom"/>
            <w:hideMark/>
          </w:tcPr>
          <w:p w14:paraId="01E7AAE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3.71</w:t>
            </w:r>
          </w:p>
        </w:tc>
        <w:tc>
          <w:tcPr>
            <w:tcW w:w="976" w:type="dxa"/>
            <w:tcBorders>
              <w:top w:val="nil"/>
              <w:left w:val="nil"/>
              <w:bottom w:val="nil"/>
              <w:right w:val="nil"/>
            </w:tcBorders>
            <w:shd w:val="clear" w:color="auto" w:fill="auto"/>
            <w:noWrap/>
            <w:vAlign w:val="bottom"/>
            <w:hideMark/>
          </w:tcPr>
          <w:p w14:paraId="2F953CD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80.26</w:t>
            </w:r>
          </w:p>
        </w:tc>
      </w:tr>
      <w:tr w:rsidR="00272B18" w:rsidRPr="00AB729D" w14:paraId="7AF39374"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14BA911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1990</w:t>
            </w:r>
          </w:p>
        </w:tc>
        <w:tc>
          <w:tcPr>
            <w:tcW w:w="888" w:type="dxa"/>
            <w:tcBorders>
              <w:top w:val="nil"/>
              <w:left w:val="nil"/>
              <w:bottom w:val="nil"/>
              <w:right w:val="nil"/>
            </w:tcBorders>
            <w:shd w:val="clear" w:color="auto" w:fill="auto"/>
            <w:noWrap/>
            <w:vAlign w:val="bottom"/>
            <w:hideMark/>
          </w:tcPr>
          <w:p w14:paraId="545DC1D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2,124</w:t>
            </w:r>
          </w:p>
        </w:tc>
        <w:tc>
          <w:tcPr>
            <w:tcW w:w="691" w:type="dxa"/>
            <w:tcBorders>
              <w:top w:val="nil"/>
              <w:left w:val="nil"/>
              <w:bottom w:val="nil"/>
              <w:right w:val="nil"/>
            </w:tcBorders>
            <w:shd w:val="clear" w:color="auto" w:fill="auto"/>
            <w:noWrap/>
            <w:vAlign w:val="bottom"/>
            <w:hideMark/>
          </w:tcPr>
          <w:p w14:paraId="2BE2AA8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2.59</w:t>
            </w:r>
          </w:p>
        </w:tc>
        <w:tc>
          <w:tcPr>
            <w:tcW w:w="976" w:type="dxa"/>
            <w:tcBorders>
              <w:top w:val="nil"/>
              <w:left w:val="nil"/>
              <w:bottom w:val="nil"/>
              <w:right w:val="nil"/>
            </w:tcBorders>
            <w:shd w:val="clear" w:color="auto" w:fill="auto"/>
            <w:noWrap/>
            <w:vAlign w:val="bottom"/>
            <w:hideMark/>
          </w:tcPr>
          <w:p w14:paraId="31B3D65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22.94</w:t>
            </w:r>
          </w:p>
        </w:tc>
        <w:tc>
          <w:tcPr>
            <w:tcW w:w="776" w:type="dxa"/>
            <w:tcBorders>
              <w:top w:val="nil"/>
              <w:left w:val="nil"/>
              <w:bottom w:val="nil"/>
              <w:right w:val="nil"/>
            </w:tcBorders>
            <w:shd w:val="clear" w:color="auto" w:fill="auto"/>
            <w:noWrap/>
            <w:vAlign w:val="bottom"/>
            <w:hideMark/>
          </w:tcPr>
          <w:p w14:paraId="5B322895"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2E4BD4B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2007</w:t>
            </w:r>
          </w:p>
        </w:tc>
        <w:tc>
          <w:tcPr>
            <w:tcW w:w="976" w:type="dxa"/>
            <w:tcBorders>
              <w:top w:val="nil"/>
              <w:left w:val="nil"/>
              <w:bottom w:val="nil"/>
              <w:right w:val="nil"/>
            </w:tcBorders>
            <w:shd w:val="clear" w:color="auto" w:fill="auto"/>
            <w:noWrap/>
            <w:vAlign w:val="bottom"/>
            <w:hideMark/>
          </w:tcPr>
          <w:p w14:paraId="2E2B47B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3,010</w:t>
            </w:r>
          </w:p>
        </w:tc>
        <w:tc>
          <w:tcPr>
            <w:tcW w:w="1096" w:type="dxa"/>
            <w:tcBorders>
              <w:top w:val="nil"/>
              <w:left w:val="nil"/>
              <w:bottom w:val="nil"/>
              <w:right w:val="nil"/>
            </w:tcBorders>
            <w:shd w:val="clear" w:color="auto" w:fill="auto"/>
            <w:noWrap/>
            <w:vAlign w:val="bottom"/>
            <w:hideMark/>
          </w:tcPr>
          <w:p w14:paraId="4D6C1BC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3.67</w:t>
            </w:r>
          </w:p>
        </w:tc>
        <w:tc>
          <w:tcPr>
            <w:tcW w:w="976" w:type="dxa"/>
            <w:tcBorders>
              <w:top w:val="nil"/>
              <w:left w:val="nil"/>
              <w:bottom w:val="nil"/>
              <w:right w:val="nil"/>
            </w:tcBorders>
            <w:shd w:val="clear" w:color="auto" w:fill="auto"/>
            <w:noWrap/>
            <w:vAlign w:val="bottom"/>
            <w:hideMark/>
          </w:tcPr>
          <w:p w14:paraId="4771FC9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83.92</w:t>
            </w:r>
          </w:p>
        </w:tc>
      </w:tr>
      <w:tr w:rsidR="00272B18" w:rsidRPr="00AB729D" w14:paraId="30D2F475"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6D6CB33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1991</w:t>
            </w:r>
          </w:p>
        </w:tc>
        <w:tc>
          <w:tcPr>
            <w:tcW w:w="888" w:type="dxa"/>
            <w:tcBorders>
              <w:top w:val="nil"/>
              <w:left w:val="nil"/>
              <w:bottom w:val="nil"/>
              <w:right w:val="nil"/>
            </w:tcBorders>
            <w:shd w:val="clear" w:color="auto" w:fill="auto"/>
            <w:noWrap/>
            <w:vAlign w:val="bottom"/>
            <w:hideMark/>
          </w:tcPr>
          <w:p w14:paraId="7E250CC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2,154</w:t>
            </w:r>
          </w:p>
        </w:tc>
        <w:tc>
          <w:tcPr>
            <w:tcW w:w="691" w:type="dxa"/>
            <w:tcBorders>
              <w:top w:val="nil"/>
              <w:left w:val="nil"/>
              <w:bottom w:val="nil"/>
              <w:right w:val="nil"/>
            </w:tcBorders>
            <w:shd w:val="clear" w:color="auto" w:fill="auto"/>
            <w:noWrap/>
            <w:vAlign w:val="bottom"/>
            <w:hideMark/>
          </w:tcPr>
          <w:p w14:paraId="6E68954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2.63</w:t>
            </w:r>
          </w:p>
        </w:tc>
        <w:tc>
          <w:tcPr>
            <w:tcW w:w="976" w:type="dxa"/>
            <w:tcBorders>
              <w:top w:val="nil"/>
              <w:left w:val="nil"/>
              <w:bottom w:val="nil"/>
              <w:right w:val="nil"/>
            </w:tcBorders>
            <w:shd w:val="clear" w:color="auto" w:fill="auto"/>
            <w:noWrap/>
            <w:vAlign w:val="bottom"/>
            <w:hideMark/>
          </w:tcPr>
          <w:p w14:paraId="3D345E7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25.56</w:t>
            </w:r>
          </w:p>
        </w:tc>
        <w:tc>
          <w:tcPr>
            <w:tcW w:w="776" w:type="dxa"/>
            <w:tcBorders>
              <w:top w:val="nil"/>
              <w:left w:val="nil"/>
              <w:bottom w:val="nil"/>
              <w:right w:val="nil"/>
            </w:tcBorders>
            <w:shd w:val="clear" w:color="auto" w:fill="auto"/>
            <w:noWrap/>
            <w:vAlign w:val="bottom"/>
            <w:hideMark/>
          </w:tcPr>
          <w:p w14:paraId="1D183387"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447D7C0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2008</w:t>
            </w:r>
          </w:p>
        </w:tc>
        <w:tc>
          <w:tcPr>
            <w:tcW w:w="976" w:type="dxa"/>
            <w:tcBorders>
              <w:top w:val="nil"/>
              <w:left w:val="nil"/>
              <w:bottom w:val="nil"/>
              <w:right w:val="nil"/>
            </w:tcBorders>
            <w:shd w:val="clear" w:color="auto" w:fill="auto"/>
            <w:noWrap/>
            <w:vAlign w:val="bottom"/>
            <w:hideMark/>
          </w:tcPr>
          <w:p w14:paraId="1D0C55B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2,940</w:t>
            </w:r>
          </w:p>
        </w:tc>
        <w:tc>
          <w:tcPr>
            <w:tcW w:w="1096" w:type="dxa"/>
            <w:tcBorders>
              <w:top w:val="nil"/>
              <w:left w:val="nil"/>
              <w:bottom w:val="nil"/>
              <w:right w:val="nil"/>
            </w:tcBorders>
            <w:shd w:val="clear" w:color="auto" w:fill="auto"/>
            <w:noWrap/>
            <w:vAlign w:val="bottom"/>
            <w:hideMark/>
          </w:tcPr>
          <w:p w14:paraId="7D41FFC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3.58</w:t>
            </w:r>
          </w:p>
        </w:tc>
        <w:tc>
          <w:tcPr>
            <w:tcW w:w="976" w:type="dxa"/>
            <w:tcBorders>
              <w:top w:val="nil"/>
              <w:left w:val="nil"/>
              <w:bottom w:val="nil"/>
              <w:right w:val="nil"/>
            </w:tcBorders>
            <w:shd w:val="clear" w:color="auto" w:fill="auto"/>
            <w:noWrap/>
            <w:vAlign w:val="bottom"/>
            <w:hideMark/>
          </w:tcPr>
          <w:p w14:paraId="67FEB0D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87.51</w:t>
            </w:r>
          </w:p>
        </w:tc>
      </w:tr>
      <w:tr w:rsidR="00272B18" w:rsidRPr="00AB729D" w14:paraId="43A017DC"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27F909D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1992</w:t>
            </w:r>
          </w:p>
        </w:tc>
        <w:tc>
          <w:tcPr>
            <w:tcW w:w="888" w:type="dxa"/>
            <w:tcBorders>
              <w:top w:val="nil"/>
              <w:left w:val="nil"/>
              <w:bottom w:val="nil"/>
              <w:right w:val="nil"/>
            </w:tcBorders>
            <w:shd w:val="clear" w:color="auto" w:fill="auto"/>
            <w:noWrap/>
            <w:vAlign w:val="bottom"/>
            <w:hideMark/>
          </w:tcPr>
          <w:p w14:paraId="17FC499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2,340</w:t>
            </w:r>
          </w:p>
        </w:tc>
        <w:tc>
          <w:tcPr>
            <w:tcW w:w="691" w:type="dxa"/>
            <w:tcBorders>
              <w:top w:val="nil"/>
              <w:left w:val="nil"/>
              <w:bottom w:val="nil"/>
              <w:right w:val="nil"/>
            </w:tcBorders>
            <w:shd w:val="clear" w:color="auto" w:fill="auto"/>
            <w:noWrap/>
            <w:vAlign w:val="bottom"/>
            <w:hideMark/>
          </w:tcPr>
          <w:p w14:paraId="449EF0D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2.85</w:t>
            </w:r>
          </w:p>
        </w:tc>
        <w:tc>
          <w:tcPr>
            <w:tcW w:w="976" w:type="dxa"/>
            <w:tcBorders>
              <w:top w:val="nil"/>
              <w:left w:val="nil"/>
              <w:bottom w:val="nil"/>
              <w:right w:val="nil"/>
            </w:tcBorders>
            <w:shd w:val="clear" w:color="auto" w:fill="auto"/>
            <w:noWrap/>
            <w:vAlign w:val="bottom"/>
            <w:hideMark/>
          </w:tcPr>
          <w:p w14:paraId="2089D4D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28.42</w:t>
            </w:r>
          </w:p>
        </w:tc>
        <w:tc>
          <w:tcPr>
            <w:tcW w:w="776" w:type="dxa"/>
            <w:tcBorders>
              <w:top w:val="nil"/>
              <w:left w:val="nil"/>
              <w:bottom w:val="nil"/>
              <w:right w:val="nil"/>
            </w:tcBorders>
            <w:shd w:val="clear" w:color="auto" w:fill="auto"/>
            <w:noWrap/>
            <w:vAlign w:val="bottom"/>
            <w:hideMark/>
          </w:tcPr>
          <w:p w14:paraId="62B76EE2"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3225BD1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2009</w:t>
            </w:r>
          </w:p>
        </w:tc>
        <w:tc>
          <w:tcPr>
            <w:tcW w:w="976" w:type="dxa"/>
            <w:tcBorders>
              <w:top w:val="nil"/>
              <w:left w:val="nil"/>
              <w:bottom w:val="nil"/>
              <w:right w:val="nil"/>
            </w:tcBorders>
            <w:shd w:val="clear" w:color="auto" w:fill="auto"/>
            <w:noWrap/>
            <w:vAlign w:val="bottom"/>
            <w:hideMark/>
          </w:tcPr>
          <w:p w14:paraId="6CD36E1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2,791</w:t>
            </w:r>
          </w:p>
        </w:tc>
        <w:tc>
          <w:tcPr>
            <w:tcW w:w="1096" w:type="dxa"/>
            <w:tcBorders>
              <w:top w:val="nil"/>
              <w:left w:val="nil"/>
              <w:bottom w:val="nil"/>
              <w:right w:val="nil"/>
            </w:tcBorders>
            <w:shd w:val="clear" w:color="auto" w:fill="auto"/>
            <w:noWrap/>
            <w:vAlign w:val="bottom"/>
            <w:hideMark/>
          </w:tcPr>
          <w:p w14:paraId="06339A0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3.4</w:t>
            </w:r>
          </w:p>
        </w:tc>
        <w:tc>
          <w:tcPr>
            <w:tcW w:w="976" w:type="dxa"/>
            <w:tcBorders>
              <w:top w:val="nil"/>
              <w:left w:val="nil"/>
              <w:bottom w:val="nil"/>
              <w:right w:val="nil"/>
            </w:tcBorders>
            <w:shd w:val="clear" w:color="auto" w:fill="auto"/>
            <w:noWrap/>
            <w:vAlign w:val="bottom"/>
            <w:hideMark/>
          </w:tcPr>
          <w:p w14:paraId="04A8325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90.91</w:t>
            </w:r>
          </w:p>
        </w:tc>
      </w:tr>
      <w:tr w:rsidR="00272B18" w:rsidRPr="00AB729D" w14:paraId="4F3E2FD1"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6FC02E1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1993</w:t>
            </w:r>
          </w:p>
        </w:tc>
        <w:tc>
          <w:tcPr>
            <w:tcW w:w="888" w:type="dxa"/>
            <w:tcBorders>
              <w:top w:val="nil"/>
              <w:left w:val="nil"/>
              <w:bottom w:val="nil"/>
              <w:right w:val="nil"/>
            </w:tcBorders>
            <w:shd w:val="clear" w:color="auto" w:fill="auto"/>
            <w:noWrap/>
            <w:vAlign w:val="bottom"/>
            <w:hideMark/>
          </w:tcPr>
          <w:p w14:paraId="3AB5C42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2,514</w:t>
            </w:r>
          </w:p>
        </w:tc>
        <w:tc>
          <w:tcPr>
            <w:tcW w:w="691" w:type="dxa"/>
            <w:tcBorders>
              <w:top w:val="nil"/>
              <w:left w:val="nil"/>
              <w:bottom w:val="nil"/>
              <w:right w:val="nil"/>
            </w:tcBorders>
            <w:shd w:val="clear" w:color="auto" w:fill="auto"/>
            <w:noWrap/>
            <w:vAlign w:val="bottom"/>
            <w:hideMark/>
          </w:tcPr>
          <w:p w14:paraId="6A341B0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3.06</w:t>
            </w:r>
          </w:p>
        </w:tc>
        <w:tc>
          <w:tcPr>
            <w:tcW w:w="976" w:type="dxa"/>
            <w:tcBorders>
              <w:top w:val="nil"/>
              <w:left w:val="nil"/>
              <w:bottom w:val="nil"/>
              <w:right w:val="nil"/>
            </w:tcBorders>
            <w:shd w:val="clear" w:color="auto" w:fill="auto"/>
            <w:noWrap/>
            <w:vAlign w:val="bottom"/>
            <w:hideMark/>
          </w:tcPr>
          <w:p w14:paraId="6BFD170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31.48</w:t>
            </w:r>
          </w:p>
        </w:tc>
        <w:tc>
          <w:tcPr>
            <w:tcW w:w="776" w:type="dxa"/>
            <w:tcBorders>
              <w:top w:val="nil"/>
              <w:left w:val="nil"/>
              <w:bottom w:val="nil"/>
              <w:right w:val="nil"/>
            </w:tcBorders>
            <w:shd w:val="clear" w:color="auto" w:fill="auto"/>
            <w:noWrap/>
            <w:vAlign w:val="bottom"/>
            <w:hideMark/>
          </w:tcPr>
          <w:p w14:paraId="676A7389"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79DF4DE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2010</w:t>
            </w:r>
          </w:p>
        </w:tc>
        <w:tc>
          <w:tcPr>
            <w:tcW w:w="976" w:type="dxa"/>
            <w:tcBorders>
              <w:top w:val="nil"/>
              <w:left w:val="nil"/>
              <w:bottom w:val="nil"/>
              <w:right w:val="nil"/>
            </w:tcBorders>
            <w:shd w:val="clear" w:color="auto" w:fill="auto"/>
            <w:noWrap/>
            <w:vAlign w:val="bottom"/>
            <w:hideMark/>
          </w:tcPr>
          <w:p w14:paraId="06BD39F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2,794</w:t>
            </w:r>
          </w:p>
        </w:tc>
        <w:tc>
          <w:tcPr>
            <w:tcW w:w="1096" w:type="dxa"/>
            <w:tcBorders>
              <w:top w:val="nil"/>
              <w:left w:val="nil"/>
              <w:bottom w:val="nil"/>
              <w:right w:val="nil"/>
            </w:tcBorders>
            <w:shd w:val="clear" w:color="auto" w:fill="auto"/>
            <w:noWrap/>
            <w:vAlign w:val="bottom"/>
            <w:hideMark/>
          </w:tcPr>
          <w:p w14:paraId="246498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3.41</w:t>
            </w:r>
          </w:p>
        </w:tc>
        <w:tc>
          <w:tcPr>
            <w:tcW w:w="976" w:type="dxa"/>
            <w:tcBorders>
              <w:top w:val="nil"/>
              <w:left w:val="nil"/>
              <w:bottom w:val="nil"/>
              <w:right w:val="nil"/>
            </w:tcBorders>
            <w:shd w:val="clear" w:color="auto" w:fill="auto"/>
            <w:noWrap/>
            <w:vAlign w:val="bottom"/>
            <w:hideMark/>
          </w:tcPr>
          <w:p w14:paraId="424AEBA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94.32</w:t>
            </w:r>
          </w:p>
        </w:tc>
      </w:tr>
      <w:tr w:rsidR="00272B18" w:rsidRPr="00AB729D" w14:paraId="4CC20CE3"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1FBD44D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1994</w:t>
            </w:r>
          </w:p>
        </w:tc>
        <w:tc>
          <w:tcPr>
            <w:tcW w:w="888" w:type="dxa"/>
            <w:tcBorders>
              <w:top w:val="nil"/>
              <w:left w:val="nil"/>
              <w:bottom w:val="nil"/>
              <w:right w:val="nil"/>
            </w:tcBorders>
            <w:shd w:val="clear" w:color="auto" w:fill="auto"/>
            <w:noWrap/>
            <w:vAlign w:val="bottom"/>
            <w:hideMark/>
          </w:tcPr>
          <w:p w14:paraId="3B068C6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2,796</w:t>
            </w:r>
          </w:p>
        </w:tc>
        <w:tc>
          <w:tcPr>
            <w:tcW w:w="691" w:type="dxa"/>
            <w:tcBorders>
              <w:top w:val="nil"/>
              <w:left w:val="nil"/>
              <w:bottom w:val="nil"/>
              <w:right w:val="nil"/>
            </w:tcBorders>
            <w:shd w:val="clear" w:color="auto" w:fill="auto"/>
            <w:noWrap/>
            <w:vAlign w:val="bottom"/>
            <w:hideMark/>
          </w:tcPr>
          <w:p w14:paraId="054509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3.41</w:t>
            </w:r>
          </w:p>
        </w:tc>
        <w:tc>
          <w:tcPr>
            <w:tcW w:w="976" w:type="dxa"/>
            <w:tcBorders>
              <w:top w:val="nil"/>
              <w:left w:val="nil"/>
              <w:bottom w:val="nil"/>
              <w:right w:val="nil"/>
            </w:tcBorders>
            <w:shd w:val="clear" w:color="auto" w:fill="auto"/>
            <w:noWrap/>
            <w:vAlign w:val="bottom"/>
            <w:hideMark/>
          </w:tcPr>
          <w:p w14:paraId="4499F5D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34.89</w:t>
            </w:r>
          </w:p>
        </w:tc>
        <w:tc>
          <w:tcPr>
            <w:tcW w:w="776" w:type="dxa"/>
            <w:tcBorders>
              <w:top w:val="nil"/>
              <w:left w:val="nil"/>
              <w:bottom w:val="nil"/>
              <w:right w:val="nil"/>
            </w:tcBorders>
            <w:shd w:val="clear" w:color="auto" w:fill="auto"/>
            <w:noWrap/>
            <w:vAlign w:val="bottom"/>
            <w:hideMark/>
          </w:tcPr>
          <w:p w14:paraId="61798D9A"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0F3A2BE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2011</w:t>
            </w:r>
          </w:p>
        </w:tc>
        <w:tc>
          <w:tcPr>
            <w:tcW w:w="976" w:type="dxa"/>
            <w:tcBorders>
              <w:top w:val="nil"/>
              <w:left w:val="nil"/>
              <w:bottom w:val="nil"/>
              <w:right w:val="nil"/>
            </w:tcBorders>
            <w:shd w:val="clear" w:color="auto" w:fill="auto"/>
            <w:noWrap/>
            <w:vAlign w:val="bottom"/>
            <w:hideMark/>
          </w:tcPr>
          <w:p w14:paraId="45B235E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2,782</w:t>
            </w:r>
          </w:p>
        </w:tc>
        <w:tc>
          <w:tcPr>
            <w:tcW w:w="1096" w:type="dxa"/>
            <w:tcBorders>
              <w:top w:val="nil"/>
              <w:left w:val="nil"/>
              <w:bottom w:val="nil"/>
              <w:right w:val="nil"/>
            </w:tcBorders>
            <w:shd w:val="clear" w:color="auto" w:fill="auto"/>
            <w:noWrap/>
            <w:vAlign w:val="bottom"/>
            <w:hideMark/>
          </w:tcPr>
          <w:p w14:paraId="60CA864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3.39</w:t>
            </w:r>
          </w:p>
        </w:tc>
        <w:tc>
          <w:tcPr>
            <w:tcW w:w="976" w:type="dxa"/>
            <w:tcBorders>
              <w:top w:val="nil"/>
              <w:left w:val="nil"/>
              <w:bottom w:val="nil"/>
              <w:right w:val="nil"/>
            </w:tcBorders>
            <w:shd w:val="clear" w:color="auto" w:fill="auto"/>
            <w:noWrap/>
            <w:vAlign w:val="bottom"/>
            <w:hideMark/>
          </w:tcPr>
          <w:p w14:paraId="548D535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97.71</w:t>
            </w:r>
          </w:p>
        </w:tc>
      </w:tr>
      <w:tr w:rsidR="00272B18" w:rsidRPr="00AB729D" w14:paraId="7E7C3CCF"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4B753EB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1995</w:t>
            </w:r>
          </w:p>
        </w:tc>
        <w:tc>
          <w:tcPr>
            <w:tcW w:w="888" w:type="dxa"/>
            <w:tcBorders>
              <w:top w:val="nil"/>
              <w:left w:val="nil"/>
              <w:bottom w:val="nil"/>
              <w:right w:val="nil"/>
            </w:tcBorders>
            <w:shd w:val="clear" w:color="auto" w:fill="auto"/>
            <w:noWrap/>
            <w:vAlign w:val="bottom"/>
            <w:hideMark/>
          </w:tcPr>
          <w:p w14:paraId="6BF42C6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2,931</w:t>
            </w:r>
          </w:p>
        </w:tc>
        <w:tc>
          <w:tcPr>
            <w:tcW w:w="691" w:type="dxa"/>
            <w:tcBorders>
              <w:top w:val="nil"/>
              <w:left w:val="nil"/>
              <w:bottom w:val="nil"/>
              <w:right w:val="nil"/>
            </w:tcBorders>
            <w:shd w:val="clear" w:color="auto" w:fill="auto"/>
            <w:noWrap/>
            <w:vAlign w:val="bottom"/>
            <w:hideMark/>
          </w:tcPr>
          <w:p w14:paraId="115751A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3.57</w:t>
            </w:r>
          </w:p>
        </w:tc>
        <w:tc>
          <w:tcPr>
            <w:tcW w:w="976" w:type="dxa"/>
            <w:tcBorders>
              <w:top w:val="nil"/>
              <w:left w:val="nil"/>
              <w:bottom w:val="nil"/>
              <w:right w:val="nil"/>
            </w:tcBorders>
            <w:shd w:val="clear" w:color="auto" w:fill="auto"/>
            <w:noWrap/>
            <w:vAlign w:val="bottom"/>
            <w:hideMark/>
          </w:tcPr>
          <w:p w14:paraId="5DE4CB1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38.46</w:t>
            </w:r>
          </w:p>
        </w:tc>
        <w:tc>
          <w:tcPr>
            <w:tcW w:w="776" w:type="dxa"/>
            <w:tcBorders>
              <w:top w:val="nil"/>
              <w:left w:val="nil"/>
              <w:bottom w:val="nil"/>
              <w:right w:val="nil"/>
            </w:tcBorders>
            <w:shd w:val="clear" w:color="auto" w:fill="auto"/>
            <w:noWrap/>
            <w:vAlign w:val="bottom"/>
            <w:hideMark/>
          </w:tcPr>
          <w:p w14:paraId="2D4FED26"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6E49A2B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2012</w:t>
            </w:r>
          </w:p>
        </w:tc>
        <w:tc>
          <w:tcPr>
            <w:tcW w:w="976" w:type="dxa"/>
            <w:tcBorders>
              <w:top w:val="nil"/>
              <w:left w:val="nil"/>
              <w:bottom w:val="nil"/>
              <w:right w:val="nil"/>
            </w:tcBorders>
            <w:shd w:val="clear" w:color="auto" w:fill="auto"/>
            <w:noWrap/>
            <w:vAlign w:val="bottom"/>
            <w:hideMark/>
          </w:tcPr>
          <w:p w14:paraId="19F362F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1,881</w:t>
            </w:r>
          </w:p>
        </w:tc>
        <w:tc>
          <w:tcPr>
            <w:tcW w:w="1096" w:type="dxa"/>
            <w:tcBorders>
              <w:top w:val="nil"/>
              <w:left w:val="nil"/>
              <w:bottom w:val="nil"/>
              <w:right w:val="nil"/>
            </w:tcBorders>
            <w:shd w:val="clear" w:color="auto" w:fill="auto"/>
            <w:noWrap/>
            <w:vAlign w:val="bottom"/>
            <w:hideMark/>
          </w:tcPr>
          <w:p w14:paraId="2928E24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2.29</w:t>
            </w:r>
          </w:p>
        </w:tc>
        <w:tc>
          <w:tcPr>
            <w:tcW w:w="976" w:type="dxa"/>
            <w:tcBorders>
              <w:top w:val="nil"/>
              <w:left w:val="nil"/>
              <w:bottom w:val="nil"/>
              <w:right w:val="nil"/>
            </w:tcBorders>
            <w:shd w:val="clear" w:color="auto" w:fill="auto"/>
            <w:noWrap/>
            <w:vAlign w:val="bottom"/>
            <w:hideMark/>
          </w:tcPr>
          <w:p w14:paraId="207D358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100</w:t>
            </w:r>
          </w:p>
        </w:tc>
      </w:tr>
      <w:tr w:rsidR="00272B18" w:rsidRPr="00AB729D" w14:paraId="172C4463"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7F35C23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1996</w:t>
            </w:r>
          </w:p>
        </w:tc>
        <w:tc>
          <w:tcPr>
            <w:tcW w:w="888" w:type="dxa"/>
            <w:tcBorders>
              <w:top w:val="nil"/>
              <w:left w:val="nil"/>
              <w:bottom w:val="nil"/>
              <w:right w:val="nil"/>
            </w:tcBorders>
            <w:shd w:val="clear" w:color="auto" w:fill="auto"/>
            <w:noWrap/>
            <w:vAlign w:val="bottom"/>
            <w:hideMark/>
          </w:tcPr>
          <w:p w14:paraId="4C67A85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3,255</w:t>
            </w:r>
          </w:p>
        </w:tc>
        <w:tc>
          <w:tcPr>
            <w:tcW w:w="691" w:type="dxa"/>
            <w:tcBorders>
              <w:top w:val="nil"/>
              <w:left w:val="nil"/>
              <w:bottom w:val="nil"/>
              <w:right w:val="nil"/>
            </w:tcBorders>
            <w:shd w:val="clear" w:color="auto" w:fill="auto"/>
            <w:noWrap/>
            <w:vAlign w:val="bottom"/>
            <w:hideMark/>
          </w:tcPr>
          <w:p w14:paraId="3FB20A0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3.97</w:t>
            </w:r>
          </w:p>
        </w:tc>
        <w:tc>
          <w:tcPr>
            <w:tcW w:w="976" w:type="dxa"/>
            <w:tcBorders>
              <w:top w:val="nil"/>
              <w:left w:val="nil"/>
              <w:bottom w:val="nil"/>
              <w:right w:val="nil"/>
            </w:tcBorders>
            <w:shd w:val="clear" w:color="auto" w:fill="auto"/>
            <w:noWrap/>
            <w:vAlign w:val="bottom"/>
            <w:hideMark/>
          </w:tcPr>
          <w:p w14:paraId="2C37115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42.43</w:t>
            </w:r>
          </w:p>
        </w:tc>
        <w:tc>
          <w:tcPr>
            <w:tcW w:w="776" w:type="dxa"/>
            <w:tcBorders>
              <w:top w:val="nil"/>
              <w:left w:val="nil"/>
              <w:bottom w:val="nil"/>
              <w:right w:val="nil"/>
            </w:tcBorders>
            <w:shd w:val="clear" w:color="auto" w:fill="auto"/>
            <w:noWrap/>
            <w:vAlign w:val="bottom"/>
            <w:hideMark/>
          </w:tcPr>
          <w:p w14:paraId="57A056C5"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3D2DB78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DE7A35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5A71475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46CBE566"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3A1AABF4" w14:textId="77777777" w:rsidTr="00741DF5">
        <w:trPr>
          <w:trHeight w:val="300"/>
          <w:jc w:val="center"/>
        </w:trPr>
        <w:tc>
          <w:tcPr>
            <w:tcW w:w="1317" w:type="dxa"/>
            <w:tcBorders>
              <w:top w:val="nil"/>
              <w:left w:val="nil"/>
              <w:bottom w:val="single" w:sz="4" w:space="0" w:color="auto"/>
              <w:right w:val="nil"/>
            </w:tcBorders>
            <w:shd w:val="clear" w:color="auto" w:fill="auto"/>
            <w:noWrap/>
            <w:vAlign w:val="bottom"/>
            <w:hideMark/>
          </w:tcPr>
          <w:p w14:paraId="184844A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1997</w:t>
            </w:r>
          </w:p>
        </w:tc>
        <w:tc>
          <w:tcPr>
            <w:tcW w:w="888" w:type="dxa"/>
            <w:tcBorders>
              <w:top w:val="nil"/>
              <w:left w:val="nil"/>
              <w:bottom w:val="single" w:sz="4" w:space="0" w:color="auto"/>
              <w:right w:val="nil"/>
            </w:tcBorders>
            <w:shd w:val="clear" w:color="auto" w:fill="auto"/>
            <w:noWrap/>
            <w:vAlign w:val="bottom"/>
            <w:hideMark/>
          </w:tcPr>
          <w:p w14:paraId="277DDD4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3,379</w:t>
            </w:r>
          </w:p>
        </w:tc>
        <w:tc>
          <w:tcPr>
            <w:tcW w:w="691" w:type="dxa"/>
            <w:tcBorders>
              <w:top w:val="nil"/>
              <w:left w:val="nil"/>
              <w:bottom w:val="single" w:sz="4" w:space="0" w:color="auto"/>
              <w:right w:val="nil"/>
            </w:tcBorders>
            <w:shd w:val="clear" w:color="auto" w:fill="auto"/>
            <w:noWrap/>
            <w:vAlign w:val="bottom"/>
            <w:hideMark/>
          </w:tcPr>
          <w:p w14:paraId="229FED1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4.12</w:t>
            </w:r>
          </w:p>
        </w:tc>
        <w:tc>
          <w:tcPr>
            <w:tcW w:w="976" w:type="dxa"/>
            <w:tcBorders>
              <w:top w:val="nil"/>
              <w:left w:val="nil"/>
              <w:bottom w:val="single" w:sz="4" w:space="0" w:color="auto"/>
              <w:right w:val="nil"/>
            </w:tcBorders>
            <w:shd w:val="clear" w:color="auto" w:fill="auto"/>
            <w:noWrap/>
            <w:vAlign w:val="bottom"/>
            <w:hideMark/>
          </w:tcPr>
          <w:p w14:paraId="6C57CA4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46.55</w:t>
            </w:r>
          </w:p>
        </w:tc>
        <w:tc>
          <w:tcPr>
            <w:tcW w:w="776" w:type="dxa"/>
            <w:tcBorders>
              <w:top w:val="nil"/>
              <w:left w:val="nil"/>
              <w:bottom w:val="single" w:sz="4" w:space="0" w:color="auto"/>
              <w:right w:val="nil"/>
            </w:tcBorders>
            <w:shd w:val="clear" w:color="auto" w:fill="auto"/>
            <w:noWrap/>
            <w:vAlign w:val="bottom"/>
            <w:hideMark/>
          </w:tcPr>
          <w:p w14:paraId="7EF7B25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976" w:type="dxa"/>
            <w:tcBorders>
              <w:top w:val="nil"/>
              <w:left w:val="nil"/>
              <w:bottom w:val="single" w:sz="4" w:space="0" w:color="auto"/>
              <w:right w:val="nil"/>
            </w:tcBorders>
            <w:shd w:val="clear" w:color="auto" w:fill="auto"/>
            <w:noWrap/>
            <w:vAlign w:val="bottom"/>
            <w:hideMark/>
          </w:tcPr>
          <w:p w14:paraId="7F82E9B5"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Total</w:t>
            </w:r>
          </w:p>
        </w:tc>
        <w:tc>
          <w:tcPr>
            <w:tcW w:w="976" w:type="dxa"/>
            <w:tcBorders>
              <w:top w:val="nil"/>
              <w:left w:val="nil"/>
              <w:bottom w:val="single" w:sz="4" w:space="0" w:color="auto"/>
              <w:right w:val="nil"/>
            </w:tcBorders>
            <w:shd w:val="clear" w:color="auto" w:fill="auto"/>
            <w:noWrap/>
            <w:vAlign w:val="bottom"/>
            <w:hideMark/>
          </w:tcPr>
          <w:p w14:paraId="5C4CC70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82,037</w:t>
            </w:r>
          </w:p>
        </w:tc>
        <w:tc>
          <w:tcPr>
            <w:tcW w:w="1096" w:type="dxa"/>
            <w:tcBorders>
              <w:top w:val="nil"/>
              <w:left w:val="nil"/>
              <w:bottom w:val="single" w:sz="4" w:space="0" w:color="auto"/>
              <w:right w:val="nil"/>
            </w:tcBorders>
            <w:shd w:val="clear" w:color="auto" w:fill="auto"/>
            <w:noWrap/>
            <w:vAlign w:val="bottom"/>
            <w:hideMark/>
          </w:tcPr>
          <w:p w14:paraId="087D392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100</w:t>
            </w:r>
          </w:p>
        </w:tc>
        <w:tc>
          <w:tcPr>
            <w:tcW w:w="976" w:type="dxa"/>
            <w:tcBorders>
              <w:top w:val="nil"/>
              <w:left w:val="nil"/>
              <w:bottom w:val="single" w:sz="4" w:space="0" w:color="auto"/>
              <w:right w:val="nil"/>
            </w:tcBorders>
            <w:shd w:val="clear" w:color="auto" w:fill="auto"/>
            <w:noWrap/>
            <w:vAlign w:val="bottom"/>
            <w:hideMark/>
          </w:tcPr>
          <w:p w14:paraId="4705870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r>
      <w:tr w:rsidR="00272B18" w:rsidRPr="00AB729D" w14:paraId="7B070B52"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2C438C41" w14:textId="77777777" w:rsidR="00741DF5" w:rsidRPr="00AB729D" w:rsidRDefault="00741DF5" w:rsidP="00741DF5">
            <w:pPr>
              <w:spacing w:after="0" w:line="240" w:lineRule="auto"/>
              <w:jc w:val="center"/>
              <w:rPr>
                <w:rFonts w:ascii="Times New Roman" w:eastAsia="Times New Roman" w:hAnsi="Times New Roman"/>
              </w:rPr>
            </w:pPr>
          </w:p>
        </w:tc>
        <w:tc>
          <w:tcPr>
            <w:tcW w:w="888" w:type="dxa"/>
            <w:tcBorders>
              <w:top w:val="nil"/>
              <w:left w:val="nil"/>
              <w:bottom w:val="nil"/>
              <w:right w:val="nil"/>
            </w:tcBorders>
            <w:shd w:val="clear" w:color="auto" w:fill="auto"/>
            <w:noWrap/>
            <w:vAlign w:val="bottom"/>
            <w:hideMark/>
          </w:tcPr>
          <w:p w14:paraId="36686092" w14:textId="77777777" w:rsidR="00741DF5" w:rsidRPr="00AB729D" w:rsidRDefault="00741DF5" w:rsidP="00741DF5">
            <w:pPr>
              <w:spacing w:after="0" w:line="240" w:lineRule="auto"/>
              <w:rPr>
                <w:rFonts w:ascii="Times New Roman" w:eastAsia="Times New Roman" w:hAnsi="Times New Roman"/>
                <w:sz w:val="20"/>
                <w:szCs w:val="20"/>
              </w:rPr>
            </w:pPr>
          </w:p>
        </w:tc>
        <w:tc>
          <w:tcPr>
            <w:tcW w:w="691" w:type="dxa"/>
            <w:tcBorders>
              <w:top w:val="nil"/>
              <w:left w:val="nil"/>
              <w:bottom w:val="nil"/>
              <w:right w:val="nil"/>
            </w:tcBorders>
            <w:shd w:val="clear" w:color="auto" w:fill="auto"/>
            <w:noWrap/>
            <w:vAlign w:val="bottom"/>
            <w:hideMark/>
          </w:tcPr>
          <w:p w14:paraId="5D4D9B67"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054F9A82" w14:textId="77777777" w:rsidR="00741DF5" w:rsidRPr="00AB729D" w:rsidRDefault="00741DF5" w:rsidP="00741DF5">
            <w:pPr>
              <w:spacing w:after="0" w:line="240" w:lineRule="auto"/>
              <w:rPr>
                <w:rFonts w:ascii="Times New Roman" w:eastAsia="Times New Roman" w:hAnsi="Times New Roman"/>
                <w:sz w:val="20"/>
                <w:szCs w:val="20"/>
              </w:rPr>
            </w:pPr>
          </w:p>
        </w:tc>
        <w:tc>
          <w:tcPr>
            <w:tcW w:w="776" w:type="dxa"/>
            <w:tcBorders>
              <w:top w:val="nil"/>
              <w:left w:val="nil"/>
              <w:bottom w:val="nil"/>
              <w:right w:val="nil"/>
            </w:tcBorders>
            <w:shd w:val="clear" w:color="auto" w:fill="auto"/>
            <w:noWrap/>
            <w:vAlign w:val="bottom"/>
            <w:hideMark/>
          </w:tcPr>
          <w:p w14:paraId="59E729C4"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43A3B6B"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9062AFA" w14:textId="77777777" w:rsidR="00741DF5" w:rsidRPr="00AB729D" w:rsidRDefault="00741DF5" w:rsidP="00741DF5">
            <w:pPr>
              <w:spacing w:after="0" w:line="240" w:lineRule="auto"/>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1CAB67A7"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76B4394C"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18C41CEE" w14:textId="77777777" w:rsidTr="00741DF5">
        <w:trPr>
          <w:trHeight w:val="300"/>
          <w:jc w:val="center"/>
        </w:trPr>
        <w:tc>
          <w:tcPr>
            <w:tcW w:w="8672" w:type="dxa"/>
            <w:gridSpan w:val="9"/>
            <w:tcBorders>
              <w:top w:val="nil"/>
              <w:left w:val="nil"/>
              <w:bottom w:val="nil"/>
              <w:right w:val="nil"/>
            </w:tcBorders>
            <w:shd w:val="clear" w:color="auto" w:fill="auto"/>
            <w:noWrap/>
            <w:vAlign w:val="bottom"/>
            <w:hideMark/>
          </w:tcPr>
          <w:p w14:paraId="584A4C96"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 xml:space="preserve">Panel B: Sample distribution by </w:t>
            </w:r>
            <w:proofErr w:type="spellStart"/>
            <w:r w:rsidRPr="00AB729D">
              <w:rPr>
                <w:rFonts w:ascii="Times New Roman" w:eastAsia="Times New Roman" w:hAnsi="Times New Roman"/>
                <w:b/>
                <w:bCs/>
              </w:rPr>
              <w:t>Fama</w:t>
            </w:r>
            <w:proofErr w:type="spellEnd"/>
            <w:r w:rsidRPr="00AB729D">
              <w:rPr>
                <w:rFonts w:ascii="Times New Roman" w:eastAsia="Times New Roman" w:hAnsi="Times New Roman"/>
                <w:b/>
                <w:bCs/>
              </w:rPr>
              <w:t xml:space="preserve"> and French 12-sector industry classification</w:t>
            </w:r>
          </w:p>
          <w:p w14:paraId="356903D0" w14:textId="77777777" w:rsidR="00741DF5" w:rsidRPr="00AB729D" w:rsidRDefault="00741DF5" w:rsidP="00741DF5">
            <w:pPr>
              <w:spacing w:after="0" w:line="240" w:lineRule="auto"/>
              <w:rPr>
                <w:rFonts w:ascii="Times New Roman" w:eastAsia="Times New Roman" w:hAnsi="Times New Roman"/>
                <w:b/>
                <w:bCs/>
              </w:rPr>
            </w:pPr>
          </w:p>
        </w:tc>
      </w:tr>
      <w:tr w:rsidR="00272B18" w:rsidRPr="00AB729D" w14:paraId="3C982533" w14:textId="77777777" w:rsidTr="00741DF5">
        <w:trPr>
          <w:trHeight w:val="300"/>
          <w:jc w:val="center"/>
        </w:trPr>
        <w:tc>
          <w:tcPr>
            <w:tcW w:w="1317" w:type="dxa"/>
            <w:tcBorders>
              <w:top w:val="single" w:sz="4" w:space="0" w:color="auto"/>
              <w:left w:val="nil"/>
              <w:bottom w:val="single" w:sz="4" w:space="0" w:color="auto"/>
              <w:right w:val="nil"/>
            </w:tcBorders>
            <w:shd w:val="clear" w:color="auto" w:fill="auto"/>
            <w:noWrap/>
            <w:vAlign w:val="bottom"/>
            <w:hideMark/>
          </w:tcPr>
          <w:p w14:paraId="36968C2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Industry</w:t>
            </w:r>
          </w:p>
        </w:tc>
        <w:tc>
          <w:tcPr>
            <w:tcW w:w="888" w:type="dxa"/>
            <w:tcBorders>
              <w:top w:val="single" w:sz="4" w:space="0" w:color="auto"/>
              <w:left w:val="nil"/>
              <w:bottom w:val="single" w:sz="4" w:space="0" w:color="auto"/>
              <w:right w:val="nil"/>
            </w:tcBorders>
            <w:shd w:val="clear" w:color="auto" w:fill="auto"/>
            <w:noWrap/>
            <w:vAlign w:val="bottom"/>
            <w:hideMark/>
          </w:tcPr>
          <w:p w14:paraId="488CC9F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691" w:type="dxa"/>
            <w:tcBorders>
              <w:top w:val="single" w:sz="4" w:space="0" w:color="auto"/>
              <w:left w:val="nil"/>
              <w:bottom w:val="single" w:sz="4" w:space="0" w:color="auto"/>
              <w:right w:val="nil"/>
            </w:tcBorders>
            <w:shd w:val="clear" w:color="auto" w:fill="auto"/>
            <w:noWrap/>
            <w:vAlign w:val="bottom"/>
            <w:hideMark/>
          </w:tcPr>
          <w:p w14:paraId="5C2D730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976" w:type="dxa"/>
            <w:tcBorders>
              <w:top w:val="single" w:sz="4" w:space="0" w:color="auto"/>
              <w:left w:val="nil"/>
              <w:bottom w:val="single" w:sz="4" w:space="0" w:color="auto"/>
              <w:right w:val="nil"/>
            </w:tcBorders>
            <w:shd w:val="clear" w:color="auto" w:fill="auto"/>
            <w:noWrap/>
            <w:vAlign w:val="bottom"/>
            <w:hideMark/>
          </w:tcPr>
          <w:p w14:paraId="56A2D35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776" w:type="dxa"/>
            <w:tcBorders>
              <w:top w:val="single" w:sz="4" w:space="0" w:color="auto"/>
              <w:left w:val="nil"/>
              <w:bottom w:val="single" w:sz="4" w:space="0" w:color="auto"/>
              <w:right w:val="nil"/>
            </w:tcBorders>
            <w:shd w:val="clear" w:color="auto" w:fill="auto"/>
            <w:noWrap/>
            <w:vAlign w:val="bottom"/>
            <w:hideMark/>
          </w:tcPr>
          <w:p w14:paraId="3F93B8B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976" w:type="dxa"/>
            <w:tcBorders>
              <w:top w:val="single" w:sz="4" w:space="0" w:color="auto"/>
              <w:left w:val="nil"/>
              <w:bottom w:val="single" w:sz="4" w:space="0" w:color="auto"/>
              <w:right w:val="nil"/>
            </w:tcBorders>
            <w:shd w:val="clear" w:color="auto" w:fill="auto"/>
            <w:noWrap/>
            <w:vAlign w:val="bottom"/>
            <w:hideMark/>
          </w:tcPr>
          <w:p w14:paraId="2121BF63" w14:textId="77777777" w:rsidR="00741DF5" w:rsidRPr="00AB729D" w:rsidRDefault="00741DF5" w:rsidP="00741DF5">
            <w:pPr>
              <w:spacing w:after="0" w:line="240" w:lineRule="auto"/>
              <w:rPr>
                <w:rFonts w:eastAsia="Times New Roman"/>
              </w:rPr>
            </w:pPr>
            <w:r w:rsidRPr="00AB729D">
              <w:rPr>
                <w:rFonts w:eastAsia="Times New Roman"/>
              </w:rPr>
              <w:t> </w:t>
            </w:r>
          </w:p>
        </w:tc>
        <w:tc>
          <w:tcPr>
            <w:tcW w:w="976" w:type="dxa"/>
            <w:tcBorders>
              <w:top w:val="single" w:sz="4" w:space="0" w:color="auto"/>
              <w:left w:val="nil"/>
              <w:bottom w:val="single" w:sz="4" w:space="0" w:color="auto"/>
              <w:right w:val="nil"/>
            </w:tcBorders>
            <w:shd w:val="clear" w:color="auto" w:fill="auto"/>
            <w:noWrap/>
            <w:vAlign w:val="bottom"/>
            <w:hideMark/>
          </w:tcPr>
          <w:p w14:paraId="26B8055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N</w:t>
            </w:r>
          </w:p>
        </w:tc>
        <w:tc>
          <w:tcPr>
            <w:tcW w:w="1096" w:type="dxa"/>
            <w:tcBorders>
              <w:top w:val="single" w:sz="4" w:space="0" w:color="auto"/>
              <w:left w:val="nil"/>
              <w:bottom w:val="single" w:sz="4" w:space="0" w:color="auto"/>
              <w:right w:val="nil"/>
            </w:tcBorders>
            <w:shd w:val="clear" w:color="auto" w:fill="auto"/>
            <w:noWrap/>
            <w:vAlign w:val="bottom"/>
            <w:hideMark/>
          </w:tcPr>
          <w:p w14:paraId="7CB0D1C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976" w:type="dxa"/>
            <w:tcBorders>
              <w:top w:val="single" w:sz="4" w:space="0" w:color="auto"/>
              <w:left w:val="nil"/>
              <w:bottom w:val="single" w:sz="4" w:space="0" w:color="auto"/>
              <w:right w:val="nil"/>
            </w:tcBorders>
            <w:shd w:val="clear" w:color="auto" w:fill="auto"/>
            <w:noWrap/>
            <w:vAlign w:val="bottom"/>
            <w:hideMark/>
          </w:tcPr>
          <w:p w14:paraId="266CF24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CUM</w:t>
            </w:r>
          </w:p>
        </w:tc>
      </w:tr>
      <w:tr w:rsidR="00186F0D" w:rsidRPr="00AB729D" w14:paraId="3D81D3B7"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4ADDC2BB" w14:textId="44CEF342" w:rsidR="00186F0D" w:rsidRPr="00AB729D" w:rsidRDefault="00186F0D" w:rsidP="00741DF5">
            <w:pPr>
              <w:spacing w:after="0" w:line="240" w:lineRule="auto"/>
              <w:rPr>
                <w:rFonts w:ascii="Times New Roman" w:eastAsia="Times New Roman" w:hAnsi="Times New Roman"/>
              </w:rPr>
            </w:pPr>
            <w:r w:rsidRPr="00AB729D">
              <w:rPr>
                <w:rFonts w:ascii="Times New Roman" w:eastAsia="Times New Roman" w:hAnsi="Times New Roman"/>
              </w:rPr>
              <w:t>Business Equipment</w:t>
            </w:r>
          </w:p>
        </w:tc>
        <w:tc>
          <w:tcPr>
            <w:tcW w:w="976" w:type="dxa"/>
            <w:tcBorders>
              <w:top w:val="nil"/>
              <w:left w:val="nil"/>
              <w:bottom w:val="nil"/>
              <w:right w:val="nil"/>
            </w:tcBorders>
            <w:shd w:val="clear" w:color="auto" w:fill="auto"/>
            <w:noWrap/>
            <w:vAlign w:val="bottom"/>
          </w:tcPr>
          <w:p w14:paraId="38844DB6"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46A6076C"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6A779EF0"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0A193BD3" w14:textId="1B6AE5B3"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18,247</w:t>
            </w:r>
          </w:p>
        </w:tc>
        <w:tc>
          <w:tcPr>
            <w:tcW w:w="1096" w:type="dxa"/>
            <w:tcBorders>
              <w:top w:val="nil"/>
              <w:left w:val="nil"/>
              <w:bottom w:val="nil"/>
              <w:right w:val="nil"/>
            </w:tcBorders>
            <w:shd w:val="clear" w:color="auto" w:fill="auto"/>
            <w:noWrap/>
            <w:vAlign w:val="bottom"/>
          </w:tcPr>
          <w:p w14:paraId="0518D0F1" w14:textId="6AA394CB"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22.24</w:t>
            </w:r>
          </w:p>
        </w:tc>
        <w:tc>
          <w:tcPr>
            <w:tcW w:w="976" w:type="dxa"/>
            <w:tcBorders>
              <w:top w:val="nil"/>
              <w:left w:val="nil"/>
              <w:bottom w:val="nil"/>
              <w:right w:val="nil"/>
            </w:tcBorders>
            <w:shd w:val="clear" w:color="auto" w:fill="auto"/>
            <w:noWrap/>
            <w:vAlign w:val="bottom"/>
          </w:tcPr>
          <w:p w14:paraId="24146560" w14:textId="399022A8"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22.24</w:t>
            </w:r>
          </w:p>
        </w:tc>
      </w:tr>
      <w:tr w:rsidR="00186F0D" w:rsidRPr="00AB729D" w14:paraId="798B5EEA"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38A3E407" w14:textId="3A50F073" w:rsidR="00186F0D" w:rsidRPr="00AB729D" w:rsidRDefault="00186F0D" w:rsidP="00741DF5">
            <w:pPr>
              <w:spacing w:after="0" w:line="240" w:lineRule="auto"/>
              <w:rPr>
                <w:rFonts w:ascii="Times New Roman" w:eastAsia="Times New Roman" w:hAnsi="Times New Roman"/>
              </w:rPr>
            </w:pPr>
            <w:r w:rsidRPr="00AB729D">
              <w:rPr>
                <w:rFonts w:ascii="Times New Roman" w:eastAsia="Times New Roman" w:hAnsi="Times New Roman"/>
              </w:rPr>
              <w:t>Manufacturing</w:t>
            </w:r>
          </w:p>
        </w:tc>
        <w:tc>
          <w:tcPr>
            <w:tcW w:w="976" w:type="dxa"/>
            <w:tcBorders>
              <w:top w:val="nil"/>
              <w:left w:val="nil"/>
              <w:bottom w:val="nil"/>
              <w:right w:val="nil"/>
            </w:tcBorders>
            <w:shd w:val="clear" w:color="auto" w:fill="auto"/>
            <w:noWrap/>
            <w:vAlign w:val="bottom"/>
          </w:tcPr>
          <w:p w14:paraId="026FC480"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14D221D1"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5C68150F"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1FFCD1E5" w14:textId="58EFE368"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13,092</w:t>
            </w:r>
          </w:p>
        </w:tc>
        <w:tc>
          <w:tcPr>
            <w:tcW w:w="1096" w:type="dxa"/>
            <w:tcBorders>
              <w:top w:val="nil"/>
              <w:left w:val="nil"/>
              <w:bottom w:val="nil"/>
              <w:right w:val="nil"/>
            </w:tcBorders>
            <w:shd w:val="clear" w:color="auto" w:fill="auto"/>
            <w:noWrap/>
            <w:vAlign w:val="bottom"/>
          </w:tcPr>
          <w:p w14:paraId="410CF1D1" w14:textId="4304AEF9"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15.96</w:t>
            </w:r>
          </w:p>
        </w:tc>
        <w:tc>
          <w:tcPr>
            <w:tcW w:w="976" w:type="dxa"/>
            <w:tcBorders>
              <w:top w:val="nil"/>
              <w:left w:val="nil"/>
              <w:bottom w:val="nil"/>
              <w:right w:val="nil"/>
            </w:tcBorders>
            <w:shd w:val="clear" w:color="auto" w:fill="auto"/>
            <w:noWrap/>
            <w:vAlign w:val="bottom"/>
          </w:tcPr>
          <w:p w14:paraId="28A5BE89" w14:textId="66032028"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38.20</w:t>
            </w:r>
          </w:p>
        </w:tc>
      </w:tr>
      <w:tr w:rsidR="00186F0D" w:rsidRPr="00AB729D" w14:paraId="1BD63034"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72C52C58" w14:textId="6946A1A5" w:rsidR="00186F0D" w:rsidRPr="00AB729D" w:rsidRDefault="00186F0D" w:rsidP="00741DF5">
            <w:pPr>
              <w:spacing w:after="0" w:line="240" w:lineRule="auto"/>
              <w:rPr>
                <w:rFonts w:ascii="Times New Roman" w:eastAsia="Times New Roman" w:hAnsi="Times New Roman"/>
              </w:rPr>
            </w:pPr>
            <w:r w:rsidRPr="00AB729D">
              <w:rPr>
                <w:rFonts w:ascii="Times New Roman" w:eastAsia="Times New Roman" w:hAnsi="Times New Roman"/>
              </w:rPr>
              <w:t>Wholesale, Retail, and Some Services</w:t>
            </w:r>
          </w:p>
        </w:tc>
        <w:tc>
          <w:tcPr>
            <w:tcW w:w="976" w:type="dxa"/>
            <w:tcBorders>
              <w:top w:val="nil"/>
              <w:left w:val="nil"/>
              <w:bottom w:val="nil"/>
              <w:right w:val="nil"/>
            </w:tcBorders>
            <w:shd w:val="clear" w:color="auto" w:fill="auto"/>
            <w:noWrap/>
            <w:vAlign w:val="bottom"/>
          </w:tcPr>
          <w:p w14:paraId="11431732"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55DD89F1"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2F01C5E8"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72122993" w14:textId="1D02428C"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10,483</w:t>
            </w:r>
          </w:p>
        </w:tc>
        <w:tc>
          <w:tcPr>
            <w:tcW w:w="1096" w:type="dxa"/>
            <w:tcBorders>
              <w:top w:val="nil"/>
              <w:left w:val="nil"/>
              <w:bottom w:val="nil"/>
              <w:right w:val="nil"/>
            </w:tcBorders>
            <w:shd w:val="clear" w:color="auto" w:fill="auto"/>
            <w:noWrap/>
            <w:vAlign w:val="bottom"/>
          </w:tcPr>
          <w:p w14:paraId="3DD1D381" w14:textId="04034244"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12.78</w:t>
            </w:r>
          </w:p>
        </w:tc>
        <w:tc>
          <w:tcPr>
            <w:tcW w:w="976" w:type="dxa"/>
            <w:tcBorders>
              <w:top w:val="nil"/>
              <w:left w:val="nil"/>
              <w:bottom w:val="nil"/>
              <w:right w:val="nil"/>
            </w:tcBorders>
            <w:shd w:val="clear" w:color="auto" w:fill="auto"/>
            <w:noWrap/>
            <w:vAlign w:val="bottom"/>
          </w:tcPr>
          <w:p w14:paraId="35ABD34E" w14:textId="785ACDD6"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50.98</w:t>
            </w:r>
          </w:p>
        </w:tc>
      </w:tr>
      <w:tr w:rsidR="00186F0D" w:rsidRPr="00AB729D" w14:paraId="6B0D44A2"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0303FEB4" w14:textId="52911FFC" w:rsidR="00186F0D" w:rsidRPr="00AB729D" w:rsidRDefault="00186F0D" w:rsidP="00741DF5">
            <w:pPr>
              <w:spacing w:after="0" w:line="240" w:lineRule="auto"/>
              <w:rPr>
                <w:rFonts w:ascii="Times New Roman" w:eastAsia="Times New Roman" w:hAnsi="Times New Roman"/>
              </w:rPr>
            </w:pPr>
            <w:r w:rsidRPr="00AB729D">
              <w:rPr>
                <w:rFonts w:ascii="Times New Roman" w:eastAsia="Times New Roman" w:hAnsi="Times New Roman"/>
              </w:rPr>
              <w:t>Healthcare, Medical Equipment, and Drugs</w:t>
            </w:r>
          </w:p>
        </w:tc>
        <w:tc>
          <w:tcPr>
            <w:tcW w:w="976" w:type="dxa"/>
            <w:tcBorders>
              <w:top w:val="nil"/>
              <w:left w:val="nil"/>
              <w:bottom w:val="nil"/>
              <w:right w:val="nil"/>
            </w:tcBorders>
            <w:shd w:val="clear" w:color="auto" w:fill="auto"/>
            <w:noWrap/>
            <w:vAlign w:val="bottom"/>
          </w:tcPr>
          <w:p w14:paraId="4B4F01A0"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30FE46D9"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25F0B6A5"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1E9B9A2E" w14:textId="578A93D5"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8,864</w:t>
            </w:r>
          </w:p>
        </w:tc>
        <w:tc>
          <w:tcPr>
            <w:tcW w:w="1096" w:type="dxa"/>
            <w:tcBorders>
              <w:top w:val="nil"/>
              <w:left w:val="nil"/>
              <w:bottom w:val="nil"/>
              <w:right w:val="nil"/>
            </w:tcBorders>
            <w:shd w:val="clear" w:color="auto" w:fill="auto"/>
            <w:noWrap/>
            <w:vAlign w:val="bottom"/>
          </w:tcPr>
          <w:p w14:paraId="5276A011" w14:textId="46DB4490"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10.80</w:t>
            </w:r>
          </w:p>
        </w:tc>
        <w:tc>
          <w:tcPr>
            <w:tcW w:w="976" w:type="dxa"/>
            <w:tcBorders>
              <w:top w:val="nil"/>
              <w:left w:val="nil"/>
              <w:bottom w:val="nil"/>
              <w:right w:val="nil"/>
            </w:tcBorders>
            <w:shd w:val="clear" w:color="auto" w:fill="auto"/>
            <w:noWrap/>
            <w:vAlign w:val="bottom"/>
          </w:tcPr>
          <w:p w14:paraId="2BE77F59" w14:textId="5B00A1DE"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61.78</w:t>
            </w:r>
          </w:p>
        </w:tc>
      </w:tr>
      <w:tr w:rsidR="00186F0D" w:rsidRPr="00AB729D" w14:paraId="04C45BAD"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770EE9BE" w14:textId="2CAC824A" w:rsidR="00186F0D" w:rsidRPr="00AB729D" w:rsidRDefault="00186F0D" w:rsidP="00741DF5">
            <w:pPr>
              <w:spacing w:after="0" w:line="240" w:lineRule="auto"/>
              <w:rPr>
                <w:rFonts w:ascii="Times New Roman" w:eastAsia="Times New Roman" w:hAnsi="Times New Roman"/>
              </w:rPr>
            </w:pPr>
            <w:r w:rsidRPr="00AB729D">
              <w:rPr>
                <w:rFonts w:ascii="Times New Roman" w:eastAsia="Times New Roman" w:hAnsi="Times New Roman"/>
              </w:rPr>
              <w:t>Consumer Non-durables</w:t>
            </w:r>
          </w:p>
        </w:tc>
        <w:tc>
          <w:tcPr>
            <w:tcW w:w="976" w:type="dxa"/>
            <w:tcBorders>
              <w:top w:val="nil"/>
              <w:left w:val="nil"/>
              <w:bottom w:val="nil"/>
              <w:right w:val="nil"/>
            </w:tcBorders>
            <w:shd w:val="clear" w:color="auto" w:fill="auto"/>
            <w:noWrap/>
            <w:vAlign w:val="bottom"/>
          </w:tcPr>
          <w:p w14:paraId="122A17A3"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73D97432"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784B93E7"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0675FAEF" w14:textId="44DDDCEC"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5,911</w:t>
            </w:r>
          </w:p>
        </w:tc>
        <w:tc>
          <w:tcPr>
            <w:tcW w:w="1096" w:type="dxa"/>
            <w:tcBorders>
              <w:top w:val="nil"/>
              <w:left w:val="nil"/>
              <w:bottom w:val="nil"/>
              <w:right w:val="nil"/>
            </w:tcBorders>
            <w:shd w:val="clear" w:color="auto" w:fill="auto"/>
            <w:noWrap/>
            <w:vAlign w:val="bottom"/>
          </w:tcPr>
          <w:p w14:paraId="77285998" w14:textId="3EBBE45A"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7.21</w:t>
            </w:r>
          </w:p>
        </w:tc>
        <w:tc>
          <w:tcPr>
            <w:tcW w:w="976" w:type="dxa"/>
            <w:tcBorders>
              <w:top w:val="nil"/>
              <w:left w:val="nil"/>
              <w:bottom w:val="nil"/>
              <w:right w:val="nil"/>
            </w:tcBorders>
            <w:shd w:val="clear" w:color="auto" w:fill="auto"/>
            <w:noWrap/>
            <w:vAlign w:val="bottom"/>
          </w:tcPr>
          <w:p w14:paraId="620213F4" w14:textId="4FA824F5"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68.99</w:t>
            </w:r>
          </w:p>
        </w:tc>
      </w:tr>
      <w:tr w:rsidR="00186F0D" w:rsidRPr="00AB729D" w14:paraId="730E6BF3"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7BFD9BC4" w14:textId="3E65CF7B" w:rsidR="00186F0D" w:rsidRPr="00AB729D" w:rsidRDefault="00186F0D" w:rsidP="00741DF5">
            <w:pPr>
              <w:spacing w:after="0" w:line="240" w:lineRule="auto"/>
              <w:rPr>
                <w:rFonts w:ascii="Times New Roman" w:eastAsia="Times New Roman" w:hAnsi="Times New Roman"/>
              </w:rPr>
            </w:pPr>
            <w:r w:rsidRPr="00AB729D">
              <w:rPr>
                <w:rFonts w:ascii="Times New Roman" w:eastAsia="Times New Roman" w:hAnsi="Times New Roman"/>
              </w:rPr>
              <w:t>Energy</w:t>
            </w:r>
          </w:p>
        </w:tc>
        <w:tc>
          <w:tcPr>
            <w:tcW w:w="976" w:type="dxa"/>
            <w:tcBorders>
              <w:top w:val="nil"/>
              <w:left w:val="nil"/>
              <w:bottom w:val="nil"/>
              <w:right w:val="nil"/>
            </w:tcBorders>
            <w:shd w:val="clear" w:color="auto" w:fill="auto"/>
            <w:noWrap/>
            <w:vAlign w:val="bottom"/>
          </w:tcPr>
          <w:p w14:paraId="4B4D9694"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7A9686A7"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7BB89B2B"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7425AD0A" w14:textId="37984DB7"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4,399</w:t>
            </w:r>
          </w:p>
        </w:tc>
        <w:tc>
          <w:tcPr>
            <w:tcW w:w="1096" w:type="dxa"/>
            <w:tcBorders>
              <w:top w:val="nil"/>
              <w:left w:val="nil"/>
              <w:bottom w:val="nil"/>
              <w:right w:val="nil"/>
            </w:tcBorders>
            <w:shd w:val="clear" w:color="auto" w:fill="auto"/>
            <w:noWrap/>
            <w:vAlign w:val="bottom"/>
          </w:tcPr>
          <w:p w14:paraId="646C528A" w14:textId="118046BE" w:rsidR="00186F0D" w:rsidRPr="00AB729D" w:rsidRDefault="00186F0D" w:rsidP="00741DF5">
            <w:pPr>
              <w:spacing w:after="0" w:line="240" w:lineRule="auto"/>
              <w:jc w:val="center"/>
              <w:rPr>
                <w:rFonts w:ascii="Times New Roman" w:eastAsia="Times New Roman" w:hAnsi="Times New Roman"/>
              </w:rPr>
            </w:pPr>
            <w:r w:rsidRPr="00AB729D">
              <w:rPr>
                <w:rFonts w:ascii="Times New Roman" w:eastAsia="Times New Roman" w:hAnsi="Times New Roman"/>
              </w:rPr>
              <w:t>5.36</w:t>
            </w:r>
          </w:p>
        </w:tc>
        <w:tc>
          <w:tcPr>
            <w:tcW w:w="976" w:type="dxa"/>
            <w:tcBorders>
              <w:top w:val="nil"/>
              <w:left w:val="nil"/>
              <w:bottom w:val="nil"/>
              <w:right w:val="nil"/>
            </w:tcBorders>
            <w:shd w:val="clear" w:color="auto" w:fill="auto"/>
            <w:noWrap/>
            <w:vAlign w:val="bottom"/>
          </w:tcPr>
          <w:p w14:paraId="2AA7665B" w14:textId="3B2F3981"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74.35</w:t>
            </w:r>
          </w:p>
        </w:tc>
      </w:tr>
      <w:tr w:rsidR="00186F0D" w:rsidRPr="00AB729D" w14:paraId="608E34B9"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0B5040A4" w14:textId="0AEF7195" w:rsidR="00186F0D" w:rsidRPr="00AB729D" w:rsidRDefault="0035591A" w:rsidP="00741DF5">
            <w:pPr>
              <w:spacing w:after="0" w:line="240" w:lineRule="auto"/>
              <w:rPr>
                <w:rFonts w:ascii="Times New Roman" w:eastAsia="Times New Roman" w:hAnsi="Times New Roman"/>
              </w:rPr>
            </w:pPr>
            <w:r w:rsidRPr="00AB729D">
              <w:rPr>
                <w:rFonts w:ascii="Times New Roman" w:eastAsia="Times New Roman" w:hAnsi="Times New Roman"/>
              </w:rPr>
              <w:t>Consumer durables</w:t>
            </w:r>
          </w:p>
        </w:tc>
        <w:tc>
          <w:tcPr>
            <w:tcW w:w="976" w:type="dxa"/>
            <w:tcBorders>
              <w:top w:val="nil"/>
              <w:left w:val="nil"/>
              <w:bottom w:val="nil"/>
              <w:right w:val="nil"/>
            </w:tcBorders>
            <w:shd w:val="clear" w:color="auto" w:fill="auto"/>
            <w:noWrap/>
            <w:vAlign w:val="bottom"/>
          </w:tcPr>
          <w:p w14:paraId="20CC94B1"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63711E38"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05A134F8"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1479D3C8" w14:textId="4E3551AE" w:rsidR="00186F0D" w:rsidRPr="00AB729D" w:rsidRDefault="0035591A" w:rsidP="00741DF5">
            <w:pPr>
              <w:spacing w:after="0" w:line="240" w:lineRule="auto"/>
              <w:jc w:val="center"/>
              <w:rPr>
                <w:rFonts w:ascii="Times New Roman" w:eastAsia="Times New Roman" w:hAnsi="Times New Roman"/>
              </w:rPr>
            </w:pPr>
            <w:r w:rsidRPr="00AB729D">
              <w:rPr>
                <w:rFonts w:ascii="Times New Roman" w:eastAsia="Times New Roman" w:hAnsi="Times New Roman"/>
              </w:rPr>
              <w:t>2,899</w:t>
            </w:r>
          </w:p>
        </w:tc>
        <w:tc>
          <w:tcPr>
            <w:tcW w:w="1096" w:type="dxa"/>
            <w:tcBorders>
              <w:top w:val="nil"/>
              <w:left w:val="nil"/>
              <w:bottom w:val="nil"/>
              <w:right w:val="nil"/>
            </w:tcBorders>
            <w:shd w:val="clear" w:color="auto" w:fill="auto"/>
            <w:noWrap/>
            <w:vAlign w:val="bottom"/>
          </w:tcPr>
          <w:p w14:paraId="20BE5049" w14:textId="1D71FFCB" w:rsidR="00186F0D" w:rsidRPr="00AB729D" w:rsidRDefault="0035591A" w:rsidP="00741DF5">
            <w:pPr>
              <w:spacing w:after="0" w:line="240" w:lineRule="auto"/>
              <w:jc w:val="center"/>
              <w:rPr>
                <w:rFonts w:ascii="Times New Roman" w:eastAsia="Times New Roman" w:hAnsi="Times New Roman"/>
              </w:rPr>
            </w:pPr>
            <w:r w:rsidRPr="00AB729D">
              <w:rPr>
                <w:rFonts w:ascii="Times New Roman" w:eastAsia="Times New Roman" w:hAnsi="Times New Roman"/>
              </w:rPr>
              <w:t>3.53</w:t>
            </w:r>
          </w:p>
        </w:tc>
        <w:tc>
          <w:tcPr>
            <w:tcW w:w="976" w:type="dxa"/>
            <w:tcBorders>
              <w:top w:val="nil"/>
              <w:left w:val="nil"/>
              <w:bottom w:val="nil"/>
              <w:right w:val="nil"/>
            </w:tcBorders>
            <w:shd w:val="clear" w:color="auto" w:fill="auto"/>
            <w:noWrap/>
            <w:vAlign w:val="bottom"/>
          </w:tcPr>
          <w:p w14:paraId="401AD5F0" w14:textId="48E246E3"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77.88</w:t>
            </w:r>
          </w:p>
        </w:tc>
      </w:tr>
      <w:tr w:rsidR="00186F0D" w:rsidRPr="00AB729D" w14:paraId="4C2D738D"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4A89838F" w14:textId="3166D4BB" w:rsidR="00186F0D" w:rsidRPr="00AB729D" w:rsidRDefault="0035591A" w:rsidP="00741DF5">
            <w:pPr>
              <w:spacing w:after="0" w:line="240" w:lineRule="auto"/>
              <w:rPr>
                <w:rFonts w:ascii="Times New Roman" w:eastAsia="Times New Roman" w:hAnsi="Times New Roman"/>
              </w:rPr>
            </w:pPr>
            <w:r w:rsidRPr="00AB729D">
              <w:rPr>
                <w:rFonts w:ascii="Times New Roman" w:eastAsia="Times New Roman" w:hAnsi="Times New Roman"/>
              </w:rPr>
              <w:t>Telephone and Television Transmission</w:t>
            </w:r>
          </w:p>
        </w:tc>
        <w:tc>
          <w:tcPr>
            <w:tcW w:w="976" w:type="dxa"/>
            <w:tcBorders>
              <w:top w:val="nil"/>
              <w:left w:val="nil"/>
              <w:bottom w:val="nil"/>
              <w:right w:val="nil"/>
            </w:tcBorders>
            <w:shd w:val="clear" w:color="auto" w:fill="auto"/>
            <w:noWrap/>
            <w:vAlign w:val="bottom"/>
          </w:tcPr>
          <w:p w14:paraId="1888E370"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5689F509"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058A40B3"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23E0D21E" w14:textId="2003ED57" w:rsidR="00186F0D" w:rsidRPr="00AB729D" w:rsidRDefault="0035591A" w:rsidP="00741DF5">
            <w:pPr>
              <w:spacing w:after="0" w:line="240" w:lineRule="auto"/>
              <w:jc w:val="center"/>
              <w:rPr>
                <w:rFonts w:ascii="Times New Roman" w:eastAsia="Times New Roman" w:hAnsi="Times New Roman"/>
              </w:rPr>
            </w:pPr>
            <w:r w:rsidRPr="00AB729D">
              <w:rPr>
                <w:rFonts w:ascii="Times New Roman" w:eastAsia="Times New Roman" w:hAnsi="Times New Roman"/>
              </w:rPr>
              <w:t>2,540</w:t>
            </w:r>
          </w:p>
        </w:tc>
        <w:tc>
          <w:tcPr>
            <w:tcW w:w="1096" w:type="dxa"/>
            <w:tcBorders>
              <w:top w:val="nil"/>
              <w:left w:val="nil"/>
              <w:bottom w:val="nil"/>
              <w:right w:val="nil"/>
            </w:tcBorders>
            <w:shd w:val="clear" w:color="auto" w:fill="auto"/>
            <w:noWrap/>
            <w:vAlign w:val="bottom"/>
          </w:tcPr>
          <w:p w14:paraId="02E9A07E" w14:textId="0448CAA9" w:rsidR="00186F0D" w:rsidRPr="00AB729D" w:rsidRDefault="0035591A" w:rsidP="00741DF5">
            <w:pPr>
              <w:spacing w:after="0" w:line="240" w:lineRule="auto"/>
              <w:jc w:val="center"/>
              <w:rPr>
                <w:rFonts w:ascii="Times New Roman" w:eastAsia="Times New Roman" w:hAnsi="Times New Roman"/>
              </w:rPr>
            </w:pPr>
            <w:r w:rsidRPr="00AB729D">
              <w:rPr>
                <w:rFonts w:ascii="Times New Roman" w:eastAsia="Times New Roman" w:hAnsi="Times New Roman"/>
              </w:rPr>
              <w:t>3.10</w:t>
            </w:r>
          </w:p>
        </w:tc>
        <w:tc>
          <w:tcPr>
            <w:tcW w:w="976" w:type="dxa"/>
            <w:tcBorders>
              <w:top w:val="nil"/>
              <w:left w:val="nil"/>
              <w:bottom w:val="nil"/>
              <w:right w:val="nil"/>
            </w:tcBorders>
            <w:shd w:val="clear" w:color="auto" w:fill="auto"/>
            <w:noWrap/>
            <w:vAlign w:val="bottom"/>
          </w:tcPr>
          <w:p w14:paraId="57BEC236" w14:textId="216F846D"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80.98</w:t>
            </w:r>
          </w:p>
        </w:tc>
      </w:tr>
      <w:tr w:rsidR="00186F0D" w:rsidRPr="00AB729D" w14:paraId="6FD24CBB" w14:textId="77777777" w:rsidTr="00741DF5">
        <w:trPr>
          <w:trHeight w:val="300"/>
          <w:jc w:val="center"/>
        </w:trPr>
        <w:tc>
          <w:tcPr>
            <w:tcW w:w="2896" w:type="dxa"/>
            <w:gridSpan w:val="3"/>
            <w:tcBorders>
              <w:top w:val="nil"/>
              <w:left w:val="nil"/>
              <w:bottom w:val="nil"/>
              <w:right w:val="nil"/>
            </w:tcBorders>
            <w:shd w:val="clear" w:color="auto" w:fill="auto"/>
            <w:noWrap/>
            <w:vAlign w:val="bottom"/>
          </w:tcPr>
          <w:p w14:paraId="06B6C237" w14:textId="02E2E0F6" w:rsidR="00186F0D" w:rsidRPr="00AB729D" w:rsidRDefault="0035591A" w:rsidP="00741DF5">
            <w:pPr>
              <w:spacing w:after="0" w:line="240" w:lineRule="auto"/>
              <w:rPr>
                <w:rFonts w:ascii="Times New Roman" w:eastAsia="Times New Roman" w:hAnsi="Times New Roman"/>
              </w:rPr>
            </w:pPr>
            <w:r w:rsidRPr="00AB729D">
              <w:rPr>
                <w:rFonts w:ascii="Times New Roman" w:eastAsia="Times New Roman" w:hAnsi="Times New Roman"/>
              </w:rPr>
              <w:t>Chemicals</w:t>
            </w:r>
          </w:p>
        </w:tc>
        <w:tc>
          <w:tcPr>
            <w:tcW w:w="976" w:type="dxa"/>
            <w:tcBorders>
              <w:top w:val="nil"/>
              <w:left w:val="nil"/>
              <w:bottom w:val="nil"/>
              <w:right w:val="nil"/>
            </w:tcBorders>
            <w:shd w:val="clear" w:color="auto" w:fill="auto"/>
            <w:noWrap/>
            <w:vAlign w:val="bottom"/>
          </w:tcPr>
          <w:p w14:paraId="2C45713A" w14:textId="77777777" w:rsidR="00186F0D" w:rsidRPr="00AB729D" w:rsidRDefault="00186F0D" w:rsidP="00741DF5">
            <w:pPr>
              <w:spacing w:after="0" w:line="240" w:lineRule="auto"/>
              <w:rPr>
                <w:rFonts w:ascii="Times New Roman" w:eastAsia="Times New Roman" w:hAnsi="Times New Roman"/>
              </w:rPr>
            </w:pPr>
          </w:p>
        </w:tc>
        <w:tc>
          <w:tcPr>
            <w:tcW w:w="776" w:type="dxa"/>
            <w:tcBorders>
              <w:top w:val="nil"/>
              <w:left w:val="nil"/>
              <w:bottom w:val="nil"/>
              <w:right w:val="nil"/>
            </w:tcBorders>
            <w:shd w:val="clear" w:color="auto" w:fill="auto"/>
            <w:noWrap/>
            <w:vAlign w:val="bottom"/>
          </w:tcPr>
          <w:p w14:paraId="7F158F37"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79242651" w14:textId="77777777" w:rsidR="00186F0D" w:rsidRPr="00AB729D" w:rsidRDefault="00186F0D"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tcPr>
          <w:p w14:paraId="7ADEDCA5" w14:textId="5482F1A6" w:rsidR="00186F0D" w:rsidRPr="00AB729D" w:rsidRDefault="0035591A" w:rsidP="00741DF5">
            <w:pPr>
              <w:spacing w:after="0" w:line="240" w:lineRule="auto"/>
              <w:jc w:val="center"/>
              <w:rPr>
                <w:rFonts w:ascii="Times New Roman" w:eastAsia="Times New Roman" w:hAnsi="Times New Roman"/>
              </w:rPr>
            </w:pPr>
            <w:r w:rsidRPr="00AB729D">
              <w:rPr>
                <w:rFonts w:ascii="Times New Roman" w:eastAsia="Times New Roman" w:hAnsi="Times New Roman"/>
              </w:rPr>
              <w:t>2,449</w:t>
            </w:r>
          </w:p>
        </w:tc>
        <w:tc>
          <w:tcPr>
            <w:tcW w:w="1096" w:type="dxa"/>
            <w:tcBorders>
              <w:top w:val="nil"/>
              <w:left w:val="nil"/>
              <w:bottom w:val="nil"/>
              <w:right w:val="nil"/>
            </w:tcBorders>
            <w:shd w:val="clear" w:color="auto" w:fill="auto"/>
            <w:noWrap/>
            <w:vAlign w:val="bottom"/>
          </w:tcPr>
          <w:p w14:paraId="52C3A372" w14:textId="0EF5564F" w:rsidR="00186F0D" w:rsidRPr="00AB729D" w:rsidRDefault="0035591A" w:rsidP="00741DF5">
            <w:pPr>
              <w:spacing w:after="0" w:line="240" w:lineRule="auto"/>
              <w:jc w:val="center"/>
              <w:rPr>
                <w:rFonts w:ascii="Times New Roman" w:eastAsia="Times New Roman" w:hAnsi="Times New Roman"/>
              </w:rPr>
            </w:pPr>
            <w:r w:rsidRPr="00AB729D">
              <w:rPr>
                <w:rFonts w:ascii="Times New Roman" w:eastAsia="Times New Roman" w:hAnsi="Times New Roman"/>
              </w:rPr>
              <w:t>2.99</w:t>
            </w:r>
          </w:p>
        </w:tc>
        <w:tc>
          <w:tcPr>
            <w:tcW w:w="976" w:type="dxa"/>
            <w:tcBorders>
              <w:top w:val="nil"/>
              <w:left w:val="nil"/>
              <w:bottom w:val="nil"/>
              <w:right w:val="nil"/>
            </w:tcBorders>
            <w:shd w:val="clear" w:color="auto" w:fill="auto"/>
            <w:noWrap/>
            <w:vAlign w:val="bottom"/>
          </w:tcPr>
          <w:p w14:paraId="36622FD8" w14:textId="6211D953" w:rsidR="00186F0D" w:rsidRPr="00AB729D" w:rsidRDefault="0035591A" w:rsidP="00741DF5">
            <w:pPr>
              <w:spacing w:after="0" w:line="240" w:lineRule="auto"/>
              <w:jc w:val="right"/>
              <w:rPr>
                <w:rFonts w:ascii="Times New Roman" w:eastAsia="Times New Roman" w:hAnsi="Times New Roman"/>
              </w:rPr>
            </w:pPr>
            <w:r w:rsidRPr="00AB729D">
              <w:rPr>
                <w:rFonts w:ascii="Times New Roman" w:eastAsia="Times New Roman" w:hAnsi="Times New Roman"/>
              </w:rPr>
              <w:t>83.97</w:t>
            </w:r>
          </w:p>
        </w:tc>
      </w:tr>
      <w:tr w:rsidR="00272B18" w:rsidRPr="00AB729D" w14:paraId="14DDF691" w14:textId="77777777" w:rsidTr="00741DF5">
        <w:trPr>
          <w:trHeight w:val="300"/>
          <w:jc w:val="center"/>
        </w:trPr>
        <w:tc>
          <w:tcPr>
            <w:tcW w:w="1317" w:type="dxa"/>
            <w:tcBorders>
              <w:top w:val="nil"/>
              <w:left w:val="nil"/>
              <w:bottom w:val="nil"/>
              <w:right w:val="nil"/>
            </w:tcBorders>
            <w:shd w:val="clear" w:color="auto" w:fill="auto"/>
            <w:noWrap/>
            <w:vAlign w:val="bottom"/>
            <w:hideMark/>
          </w:tcPr>
          <w:p w14:paraId="4EA9FEA9"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xml:space="preserve">Others </w:t>
            </w:r>
          </w:p>
        </w:tc>
        <w:tc>
          <w:tcPr>
            <w:tcW w:w="888" w:type="dxa"/>
            <w:tcBorders>
              <w:top w:val="nil"/>
              <w:left w:val="nil"/>
              <w:bottom w:val="nil"/>
              <w:right w:val="nil"/>
            </w:tcBorders>
            <w:shd w:val="clear" w:color="auto" w:fill="auto"/>
            <w:noWrap/>
            <w:vAlign w:val="bottom"/>
            <w:hideMark/>
          </w:tcPr>
          <w:p w14:paraId="6A9B8B82" w14:textId="77777777" w:rsidR="00741DF5" w:rsidRPr="00AB729D" w:rsidRDefault="00741DF5" w:rsidP="00741DF5">
            <w:pPr>
              <w:spacing w:after="0" w:line="240" w:lineRule="auto"/>
              <w:rPr>
                <w:rFonts w:ascii="Times New Roman" w:eastAsia="Times New Roman" w:hAnsi="Times New Roman"/>
              </w:rPr>
            </w:pPr>
          </w:p>
        </w:tc>
        <w:tc>
          <w:tcPr>
            <w:tcW w:w="691" w:type="dxa"/>
            <w:tcBorders>
              <w:top w:val="nil"/>
              <w:left w:val="nil"/>
              <w:bottom w:val="nil"/>
              <w:right w:val="nil"/>
            </w:tcBorders>
            <w:shd w:val="clear" w:color="auto" w:fill="auto"/>
            <w:noWrap/>
            <w:vAlign w:val="bottom"/>
            <w:hideMark/>
          </w:tcPr>
          <w:p w14:paraId="6C43EC91"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04D75790" w14:textId="77777777" w:rsidR="00741DF5" w:rsidRPr="00AB729D" w:rsidRDefault="00741DF5" w:rsidP="00741DF5">
            <w:pPr>
              <w:spacing w:after="0" w:line="240" w:lineRule="auto"/>
              <w:rPr>
                <w:rFonts w:ascii="Times New Roman" w:eastAsia="Times New Roman" w:hAnsi="Times New Roman"/>
                <w:sz w:val="20"/>
                <w:szCs w:val="20"/>
              </w:rPr>
            </w:pPr>
          </w:p>
        </w:tc>
        <w:tc>
          <w:tcPr>
            <w:tcW w:w="776" w:type="dxa"/>
            <w:tcBorders>
              <w:top w:val="nil"/>
              <w:left w:val="nil"/>
              <w:bottom w:val="nil"/>
              <w:right w:val="nil"/>
            </w:tcBorders>
            <w:shd w:val="clear" w:color="auto" w:fill="auto"/>
            <w:noWrap/>
            <w:vAlign w:val="bottom"/>
            <w:hideMark/>
          </w:tcPr>
          <w:p w14:paraId="5446DD8B"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3DADFA1C"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5660CB2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13,153</w:t>
            </w:r>
          </w:p>
        </w:tc>
        <w:tc>
          <w:tcPr>
            <w:tcW w:w="1096" w:type="dxa"/>
            <w:tcBorders>
              <w:top w:val="nil"/>
              <w:left w:val="nil"/>
              <w:bottom w:val="nil"/>
              <w:right w:val="nil"/>
            </w:tcBorders>
            <w:shd w:val="clear" w:color="auto" w:fill="auto"/>
            <w:noWrap/>
            <w:vAlign w:val="bottom"/>
            <w:hideMark/>
          </w:tcPr>
          <w:p w14:paraId="5A5D8B5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16.03</w:t>
            </w:r>
          </w:p>
        </w:tc>
        <w:tc>
          <w:tcPr>
            <w:tcW w:w="976" w:type="dxa"/>
            <w:tcBorders>
              <w:top w:val="nil"/>
              <w:left w:val="nil"/>
              <w:bottom w:val="nil"/>
              <w:right w:val="nil"/>
            </w:tcBorders>
            <w:shd w:val="clear" w:color="auto" w:fill="auto"/>
            <w:noWrap/>
            <w:vAlign w:val="bottom"/>
            <w:hideMark/>
          </w:tcPr>
          <w:p w14:paraId="51B7D7C8" w14:textId="77777777" w:rsidR="00741DF5" w:rsidRPr="00AB729D" w:rsidRDefault="00741DF5" w:rsidP="00741DF5">
            <w:pPr>
              <w:spacing w:after="0" w:line="240" w:lineRule="auto"/>
              <w:jc w:val="right"/>
              <w:rPr>
                <w:rFonts w:ascii="Times New Roman" w:eastAsia="Times New Roman" w:hAnsi="Times New Roman"/>
              </w:rPr>
            </w:pPr>
            <w:r w:rsidRPr="00AB729D">
              <w:rPr>
                <w:rFonts w:ascii="Times New Roman" w:eastAsia="Times New Roman" w:hAnsi="Times New Roman"/>
              </w:rPr>
              <w:t>100</w:t>
            </w:r>
          </w:p>
        </w:tc>
      </w:tr>
      <w:tr w:rsidR="00741DF5" w:rsidRPr="00AB729D" w14:paraId="6E672A09" w14:textId="77777777" w:rsidTr="00741DF5">
        <w:trPr>
          <w:trHeight w:val="300"/>
          <w:jc w:val="center"/>
        </w:trPr>
        <w:tc>
          <w:tcPr>
            <w:tcW w:w="1317" w:type="dxa"/>
            <w:tcBorders>
              <w:top w:val="nil"/>
              <w:left w:val="nil"/>
              <w:bottom w:val="single" w:sz="4" w:space="0" w:color="auto"/>
              <w:right w:val="nil"/>
            </w:tcBorders>
            <w:shd w:val="clear" w:color="auto" w:fill="auto"/>
            <w:noWrap/>
            <w:vAlign w:val="bottom"/>
            <w:hideMark/>
          </w:tcPr>
          <w:p w14:paraId="2248C32A"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Total</w:t>
            </w:r>
          </w:p>
        </w:tc>
        <w:tc>
          <w:tcPr>
            <w:tcW w:w="888" w:type="dxa"/>
            <w:tcBorders>
              <w:top w:val="nil"/>
              <w:left w:val="nil"/>
              <w:bottom w:val="single" w:sz="4" w:space="0" w:color="auto"/>
              <w:right w:val="nil"/>
            </w:tcBorders>
            <w:shd w:val="clear" w:color="auto" w:fill="auto"/>
            <w:noWrap/>
            <w:vAlign w:val="bottom"/>
            <w:hideMark/>
          </w:tcPr>
          <w:p w14:paraId="5C73D55C"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691" w:type="dxa"/>
            <w:tcBorders>
              <w:top w:val="nil"/>
              <w:left w:val="nil"/>
              <w:bottom w:val="single" w:sz="4" w:space="0" w:color="auto"/>
              <w:right w:val="nil"/>
            </w:tcBorders>
            <w:shd w:val="clear" w:color="auto" w:fill="auto"/>
            <w:noWrap/>
            <w:vAlign w:val="bottom"/>
            <w:hideMark/>
          </w:tcPr>
          <w:p w14:paraId="62CCFF9D"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976" w:type="dxa"/>
            <w:tcBorders>
              <w:top w:val="nil"/>
              <w:left w:val="nil"/>
              <w:bottom w:val="single" w:sz="4" w:space="0" w:color="auto"/>
              <w:right w:val="nil"/>
            </w:tcBorders>
            <w:shd w:val="clear" w:color="auto" w:fill="auto"/>
            <w:noWrap/>
            <w:vAlign w:val="bottom"/>
            <w:hideMark/>
          </w:tcPr>
          <w:p w14:paraId="6D771807"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776" w:type="dxa"/>
            <w:tcBorders>
              <w:top w:val="nil"/>
              <w:left w:val="nil"/>
              <w:bottom w:val="single" w:sz="4" w:space="0" w:color="auto"/>
              <w:right w:val="nil"/>
            </w:tcBorders>
            <w:shd w:val="clear" w:color="auto" w:fill="auto"/>
            <w:noWrap/>
            <w:vAlign w:val="bottom"/>
            <w:hideMark/>
          </w:tcPr>
          <w:p w14:paraId="0CE1B743"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976" w:type="dxa"/>
            <w:tcBorders>
              <w:top w:val="nil"/>
              <w:left w:val="nil"/>
              <w:bottom w:val="single" w:sz="4" w:space="0" w:color="auto"/>
              <w:right w:val="nil"/>
            </w:tcBorders>
            <w:shd w:val="clear" w:color="auto" w:fill="auto"/>
            <w:noWrap/>
            <w:vAlign w:val="bottom"/>
            <w:hideMark/>
          </w:tcPr>
          <w:p w14:paraId="4A403C69" w14:textId="77777777" w:rsidR="00741DF5" w:rsidRPr="00AB729D" w:rsidRDefault="00741DF5" w:rsidP="00741DF5">
            <w:pPr>
              <w:spacing w:after="0" w:line="240" w:lineRule="auto"/>
              <w:rPr>
                <w:rFonts w:eastAsia="Times New Roman"/>
              </w:rPr>
            </w:pPr>
            <w:r w:rsidRPr="00AB729D">
              <w:rPr>
                <w:rFonts w:eastAsia="Times New Roman"/>
              </w:rPr>
              <w:t> </w:t>
            </w:r>
          </w:p>
        </w:tc>
        <w:tc>
          <w:tcPr>
            <w:tcW w:w="976" w:type="dxa"/>
            <w:tcBorders>
              <w:top w:val="nil"/>
              <w:left w:val="nil"/>
              <w:bottom w:val="single" w:sz="4" w:space="0" w:color="auto"/>
              <w:right w:val="nil"/>
            </w:tcBorders>
            <w:shd w:val="clear" w:color="auto" w:fill="auto"/>
            <w:noWrap/>
            <w:vAlign w:val="bottom"/>
            <w:hideMark/>
          </w:tcPr>
          <w:p w14:paraId="1D5A756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82,037</w:t>
            </w:r>
          </w:p>
        </w:tc>
        <w:tc>
          <w:tcPr>
            <w:tcW w:w="1096" w:type="dxa"/>
            <w:tcBorders>
              <w:top w:val="nil"/>
              <w:left w:val="nil"/>
              <w:bottom w:val="single" w:sz="4" w:space="0" w:color="auto"/>
              <w:right w:val="nil"/>
            </w:tcBorders>
            <w:shd w:val="clear" w:color="auto" w:fill="auto"/>
            <w:noWrap/>
            <w:vAlign w:val="bottom"/>
            <w:hideMark/>
          </w:tcPr>
          <w:p w14:paraId="325650B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100</w:t>
            </w:r>
          </w:p>
        </w:tc>
        <w:tc>
          <w:tcPr>
            <w:tcW w:w="976" w:type="dxa"/>
            <w:tcBorders>
              <w:top w:val="nil"/>
              <w:left w:val="nil"/>
              <w:bottom w:val="single" w:sz="4" w:space="0" w:color="auto"/>
              <w:right w:val="nil"/>
            </w:tcBorders>
            <w:shd w:val="clear" w:color="auto" w:fill="auto"/>
            <w:noWrap/>
            <w:vAlign w:val="bottom"/>
            <w:hideMark/>
          </w:tcPr>
          <w:p w14:paraId="3463A96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r>
    </w:tbl>
    <w:p w14:paraId="06C49602" w14:textId="77777777" w:rsidR="00741DF5" w:rsidRPr="00AB729D" w:rsidRDefault="00741DF5" w:rsidP="00741DF5">
      <w:pPr>
        <w:spacing w:after="0" w:line="240" w:lineRule="auto"/>
        <w:rPr>
          <w:rFonts w:ascii="Times New Roman" w:eastAsia="Times New Roman" w:hAnsi="Times New Roman"/>
          <w:sz w:val="24"/>
          <w:szCs w:val="24"/>
        </w:rPr>
      </w:pPr>
    </w:p>
    <w:p w14:paraId="3EBB6C38" w14:textId="67F40606" w:rsidR="00741DF5" w:rsidRPr="00AB729D" w:rsidRDefault="00741DF5" w:rsidP="00741DF5">
      <w:pPr>
        <w:autoSpaceDE w:val="0"/>
        <w:autoSpaceDN w:val="0"/>
        <w:adjustRightInd w:val="0"/>
        <w:spacing w:after="0" w:line="240" w:lineRule="auto"/>
        <w:jc w:val="both"/>
        <w:rPr>
          <w:rFonts w:asciiTheme="majorBidi" w:eastAsia="Times New Roman" w:hAnsiTheme="majorBidi" w:cstheme="majorBidi"/>
          <w:sz w:val="20"/>
          <w:szCs w:val="20"/>
        </w:rPr>
      </w:pPr>
      <w:r w:rsidRPr="00AB729D">
        <w:rPr>
          <w:rFonts w:ascii="Times New Roman" w:eastAsia="Times New Roman" w:hAnsi="Times New Roman"/>
          <w:sz w:val="20"/>
          <w:szCs w:val="20"/>
        </w:rPr>
        <w:t xml:space="preserve">This table provides a description of the sample. Panel A presents sample distribution by year. </w:t>
      </w:r>
      <w:r w:rsidRPr="00AB729D">
        <w:rPr>
          <w:rFonts w:asciiTheme="majorBidi" w:eastAsia="Times New Roman" w:hAnsiTheme="majorBidi" w:cstheme="majorBidi"/>
          <w:sz w:val="20"/>
          <w:szCs w:val="20"/>
        </w:rPr>
        <w:t xml:space="preserve">Panel B presents the sample distribution by industry based on </w:t>
      </w:r>
      <w:r w:rsidR="00AB0856" w:rsidRPr="00AB729D">
        <w:rPr>
          <w:rFonts w:asciiTheme="majorBidi" w:eastAsia="Times New Roman" w:hAnsiTheme="majorBidi" w:cstheme="majorBidi"/>
          <w:sz w:val="20"/>
          <w:szCs w:val="20"/>
        </w:rPr>
        <w:t xml:space="preserve">the </w:t>
      </w:r>
      <w:proofErr w:type="spellStart"/>
      <w:r w:rsidRPr="00AB729D">
        <w:rPr>
          <w:rFonts w:asciiTheme="majorBidi" w:eastAsia="Times New Roman" w:hAnsiTheme="majorBidi" w:cstheme="majorBidi"/>
          <w:sz w:val="20"/>
          <w:szCs w:val="20"/>
        </w:rPr>
        <w:t>Fama</w:t>
      </w:r>
      <w:proofErr w:type="spellEnd"/>
      <w:r w:rsidRPr="00AB729D">
        <w:rPr>
          <w:rFonts w:asciiTheme="majorBidi" w:eastAsia="Times New Roman" w:hAnsiTheme="majorBidi" w:cstheme="majorBidi"/>
          <w:sz w:val="20"/>
          <w:szCs w:val="20"/>
        </w:rPr>
        <w:t xml:space="preserve"> and French 12-sector industry classification. N represent</w:t>
      </w:r>
      <w:r w:rsidR="00AB0856" w:rsidRPr="00AB729D">
        <w:rPr>
          <w:rFonts w:asciiTheme="majorBidi" w:eastAsia="Times New Roman" w:hAnsiTheme="majorBidi" w:cstheme="majorBidi"/>
          <w:sz w:val="20"/>
          <w:szCs w:val="20"/>
        </w:rPr>
        <w:t>s</w:t>
      </w:r>
      <w:r w:rsidRPr="00AB729D">
        <w:rPr>
          <w:rFonts w:asciiTheme="majorBidi" w:eastAsia="Times New Roman" w:hAnsiTheme="majorBidi" w:cstheme="majorBidi"/>
          <w:sz w:val="20"/>
          <w:szCs w:val="20"/>
        </w:rPr>
        <w:t xml:space="preserve"> the number of firm-year observation</w:t>
      </w:r>
      <w:r w:rsidR="00AB0856" w:rsidRPr="00AB729D">
        <w:rPr>
          <w:rFonts w:asciiTheme="majorBidi" w:eastAsia="Times New Roman" w:hAnsiTheme="majorBidi" w:cstheme="majorBidi"/>
          <w:sz w:val="20"/>
          <w:szCs w:val="20"/>
        </w:rPr>
        <w:t>s</w:t>
      </w:r>
      <w:r w:rsidRPr="00AB729D">
        <w:rPr>
          <w:rFonts w:asciiTheme="majorBidi" w:eastAsia="Times New Roman" w:hAnsiTheme="majorBidi" w:cstheme="majorBidi"/>
          <w:sz w:val="20"/>
          <w:szCs w:val="20"/>
        </w:rPr>
        <w:t>.</w:t>
      </w:r>
    </w:p>
    <w:tbl>
      <w:tblPr>
        <w:tblW w:w="9765" w:type="dxa"/>
        <w:tblLook w:val="04A0" w:firstRow="1" w:lastRow="0" w:firstColumn="1" w:lastColumn="0" w:noHBand="0" w:noVBand="1"/>
      </w:tblPr>
      <w:tblGrid>
        <w:gridCol w:w="1280"/>
        <w:gridCol w:w="821"/>
        <w:gridCol w:w="1016"/>
        <w:gridCol w:w="1088"/>
        <w:gridCol w:w="936"/>
        <w:gridCol w:w="936"/>
        <w:gridCol w:w="1276"/>
        <w:gridCol w:w="1256"/>
        <w:gridCol w:w="1156"/>
      </w:tblGrid>
      <w:tr w:rsidR="00EC2B9C" w:rsidRPr="00AB729D" w14:paraId="777DD303" w14:textId="77777777" w:rsidTr="0061105F">
        <w:trPr>
          <w:trHeight w:val="276"/>
        </w:trPr>
        <w:tc>
          <w:tcPr>
            <w:tcW w:w="4205" w:type="dxa"/>
            <w:gridSpan w:val="4"/>
            <w:tcBorders>
              <w:top w:val="nil"/>
              <w:left w:val="nil"/>
              <w:bottom w:val="nil"/>
              <w:right w:val="nil"/>
            </w:tcBorders>
            <w:shd w:val="clear" w:color="auto" w:fill="auto"/>
            <w:noWrap/>
            <w:vAlign w:val="bottom"/>
            <w:hideMark/>
          </w:tcPr>
          <w:p w14:paraId="347C942D" w14:textId="1CDDF762" w:rsidR="00EC2B9C" w:rsidRPr="00AB729D" w:rsidRDefault="00741DF5" w:rsidP="00EC2B9C">
            <w:pPr>
              <w:spacing w:after="0" w:line="240" w:lineRule="auto"/>
              <w:rPr>
                <w:rFonts w:ascii="Times New Roman" w:eastAsia="Times New Roman" w:hAnsi="Times New Roman"/>
                <w:b/>
                <w:bCs/>
                <w:color w:val="000000"/>
              </w:rPr>
            </w:pPr>
            <w:r w:rsidRPr="00AB729D">
              <w:rPr>
                <w:rFonts w:ascii="Times New Roman" w:eastAsia="Times New Roman" w:hAnsi="Times New Roman"/>
                <w:sz w:val="24"/>
                <w:szCs w:val="24"/>
              </w:rPr>
              <w:lastRenderedPageBreak/>
              <w:br w:type="page"/>
            </w:r>
            <w:r w:rsidR="00EC2B9C" w:rsidRPr="00AB729D">
              <w:rPr>
                <w:rFonts w:ascii="Times New Roman" w:eastAsia="Times New Roman" w:hAnsi="Times New Roman"/>
                <w:b/>
                <w:bCs/>
                <w:color w:val="000000"/>
              </w:rPr>
              <w:t>Table 2 - Descriptive statistics of the sample</w:t>
            </w:r>
          </w:p>
        </w:tc>
        <w:tc>
          <w:tcPr>
            <w:tcW w:w="936" w:type="dxa"/>
            <w:tcBorders>
              <w:top w:val="nil"/>
              <w:left w:val="nil"/>
              <w:bottom w:val="nil"/>
              <w:right w:val="nil"/>
            </w:tcBorders>
            <w:shd w:val="clear" w:color="auto" w:fill="auto"/>
            <w:noWrap/>
            <w:vAlign w:val="bottom"/>
            <w:hideMark/>
          </w:tcPr>
          <w:p w14:paraId="2A4D56DE" w14:textId="77777777" w:rsidR="00EC2B9C" w:rsidRPr="00AB729D" w:rsidRDefault="00EC2B9C" w:rsidP="00EC2B9C">
            <w:pPr>
              <w:spacing w:after="0" w:line="240" w:lineRule="auto"/>
              <w:rPr>
                <w:rFonts w:ascii="Times New Roman" w:eastAsia="Times New Roman" w:hAnsi="Times New Roman"/>
                <w:b/>
                <w:bCs/>
                <w:color w:val="000000"/>
              </w:rPr>
            </w:pPr>
          </w:p>
        </w:tc>
        <w:tc>
          <w:tcPr>
            <w:tcW w:w="936" w:type="dxa"/>
            <w:tcBorders>
              <w:top w:val="nil"/>
              <w:left w:val="nil"/>
              <w:bottom w:val="nil"/>
              <w:right w:val="nil"/>
            </w:tcBorders>
            <w:shd w:val="clear" w:color="auto" w:fill="auto"/>
            <w:noWrap/>
            <w:vAlign w:val="bottom"/>
            <w:hideMark/>
          </w:tcPr>
          <w:p w14:paraId="740A584A" w14:textId="77777777" w:rsidR="00EC2B9C" w:rsidRPr="00AB729D" w:rsidRDefault="00EC2B9C" w:rsidP="00EC2B9C">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4BEA0053" w14:textId="77777777" w:rsidR="00EC2B9C" w:rsidRPr="00AB729D" w:rsidRDefault="00EC2B9C" w:rsidP="00EC2B9C">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6B1B4A4A" w14:textId="77777777" w:rsidR="00EC2B9C" w:rsidRPr="00AB729D" w:rsidRDefault="00EC2B9C" w:rsidP="00EC2B9C">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10FDE66E" w14:textId="77777777" w:rsidR="00EC2B9C" w:rsidRPr="00AB729D" w:rsidRDefault="00EC2B9C" w:rsidP="00EC2B9C">
            <w:pPr>
              <w:spacing w:after="0" w:line="240" w:lineRule="auto"/>
              <w:rPr>
                <w:rFonts w:ascii="Times New Roman" w:eastAsia="Times New Roman" w:hAnsi="Times New Roman"/>
                <w:sz w:val="20"/>
                <w:szCs w:val="20"/>
              </w:rPr>
            </w:pPr>
          </w:p>
        </w:tc>
      </w:tr>
      <w:tr w:rsidR="00EC2B9C" w:rsidRPr="00AB729D" w14:paraId="4CF000FA" w14:textId="77777777" w:rsidTr="0061105F">
        <w:trPr>
          <w:trHeight w:val="276"/>
        </w:trPr>
        <w:tc>
          <w:tcPr>
            <w:tcW w:w="3117" w:type="dxa"/>
            <w:gridSpan w:val="3"/>
            <w:tcBorders>
              <w:top w:val="nil"/>
              <w:left w:val="nil"/>
              <w:bottom w:val="nil"/>
              <w:right w:val="nil"/>
            </w:tcBorders>
            <w:shd w:val="clear" w:color="auto" w:fill="auto"/>
            <w:noWrap/>
            <w:vAlign w:val="bottom"/>
            <w:hideMark/>
          </w:tcPr>
          <w:p w14:paraId="31151E1D" w14:textId="77777777" w:rsidR="00EC2B9C" w:rsidRPr="00AB729D" w:rsidRDefault="00EC2B9C" w:rsidP="00EC2B9C">
            <w:pPr>
              <w:spacing w:after="0" w:line="240" w:lineRule="auto"/>
              <w:rPr>
                <w:rFonts w:ascii="Times New Roman" w:eastAsia="Times New Roman" w:hAnsi="Times New Roman"/>
                <w:b/>
                <w:bCs/>
                <w:color w:val="000000"/>
              </w:rPr>
            </w:pPr>
            <w:r w:rsidRPr="00AB729D">
              <w:rPr>
                <w:rFonts w:ascii="Times New Roman" w:eastAsia="Times New Roman" w:hAnsi="Times New Roman"/>
                <w:b/>
                <w:bCs/>
                <w:color w:val="000000"/>
              </w:rPr>
              <w:t>Panel A. Mispricing variables</w:t>
            </w:r>
          </w:p>
        </w:tc>
        <w:tc>
          <w:tcPr>
            <w:tcW w:w="1088" w:type="dxa"/>
            <w:tcBorders>
              <w:top w:val="nil"/>
              <w:left w:val="nil"/>
              <w:bottom w:val="nil"/>
              <w:right w:val="nil"/>
            </w:tcBorders>
            <w:shd w:val="clear" w:color="auto" w:fill="auto"/>
            <w:noWrap/>
            <w:vAlign w:val="bottom"/>
            <w:hideMark/>
          </w:tcPr>
          <w:p w14:paraId="12311A7A" w14:textId="77777777" w:rsidR="00EC2B9C" w:rsidRPr="00AB729D" w:rsidRDefault="00EC2B9C" w:rsidP="00EC2B9C">
            <w:pPr>
              <w:spacing w:after="0" w:line="240" w:lineRule="auto"/>
              <w:rPr>
                <w:rFonts w:ascii="Times New Roman" w:eastAsia="Times New Roman" w:hAnsi="Times New Roman"/>
                <w:b/>
                <w:bCs/>
                <w:color w:val="000000"/>
              </w:rPr>
            </w:pPr>
          </w:p>
        </w:tc>
        <w:tc>
          <w:tcPr>
            <w:tcW w:w="936" w:type="dxa"/>
            <w:tcBorders>
              <w:top w:val="nil"/>
              <w:left w:val="nil"/>
              <w:bottom w:val="nil"/>
              <w:right w:val="nil"/>
            </w:tcBorders>
            <w:shd w:val="clear" w:color="auto" w:fill="auto"/>
            <w:noWrap/>
            <w:vAlign w:val="bottom"/>
            <w:hideMark/>
          </w:tcPr>
          <w:p w14:paraId="00D168EE" w14:textId="77777777" w:rsidR="00EC2B9C" w:rsidRPr="00AB729D" w:rsidRDefault="00EC2B9C" w:rsidP="00EC2B9C">
            <w:pPr>
              <w:spacing w:after="0" w:line="240" w:lineRule="auto"/>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7CB3252F" w14:textId="77777777" w:rsidR="00EC2B9C" w:rsidRPr="00AB729D" w:rsidRDefault="00EC2B9C" w:rsidP="00EC2B9C">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7FA67B26" w14:textId="77777777" w:rsidR="00EC2B9C" w:rsidRPr="00AB729D" w:rsidRDefault="00EC2B9C" w:rsidP="00EC2B9C">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30CF6EF2" w14:textId="77777777" w:rsidR="00EC2B9C" w:rsidRPr="00AB729D" w:rsidRDefault="00EC2B9C" w:rsidP="00EC2B9C">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20E0036C" w14:textId="77777777" w:rsidR="00EC2B9C" w:rsidRPr="00AB729D" w:rsidRDefault="00EC2B9C" w:rsidP="00EC2B9C">
            <w:pPr>
              <w:spacing w:after="0" w:line="240" w:lineRule="auto"/>
              <w:rPr>
                <w:rFonts w:ascii="Times New Roman" w:eastAsia="Times New Roman" w:hAnsi="Times New Roman"/>
                <w:sz w:val="20"/>
                <w:szCs w:val="20"/>
              </w:rPr>
            </w:pPr>
          </w:p>
        </w:tc>
      </w:tr>
      <w:tr w:rsidR="00EC2B9C" w:rsidRPr="00AB729D" w14:paraId="6D9D3214" w14:textId="77777777" w:rsidTr="0061105F">
        <w:trPr>
          <w:trHeight w:val="276"/>
        </w:trPr>
        <w:tc>
          <w:tcPr>
            <w:tcW w:w="1280" w:type="dxa"/>
            <w:tcBorders>
              <w:top w:val="single" w:sz="4" w:space="0" w:color="auto"/>
              <w:left w:val="nil"/>
              <w:bottom w:val="single" w:sz="4" w:space="0" w:color="auto"/>
              <w:right w:val="nil"/>
            </w:tcBorders>
            <w:shd w:val="clear" w:color="auto" w:fill="auto"/>
            <w:noWrap/>
            <w:vAlign w:val="bottom"/>
            <w:hideMark/>
          </w:tcPr>
          <w:p w14:paraId="2E62603F" w14:textId="77777777" w:rsidR="00EC2B9C" w:rsidRPr="00AB729D" w:rsidRDefault="00EC2B9C" w:rsidP="00EC2B9C">
            <w:pPr>
              <w:spacing w:after="0" w:line="240" w:lineRule="auto"/>
              <w:rPr>
                <w:rFonts w:ascii="Times New Roman" w:eastAsia="Times New Roman" w:hAnsi="Times New Roman"/>
                <w:b/>
                <w:bCs/>
                <w:color w:val="000000"/>
              </w:rPr>
            </w:pPr>
            <w:r w:rsidRPr="00AB729D">
              <w:rPr>
                <w:rFonts w:ascii="Times New Roman" w:eastAsia="Times New Roman" w:hAnsi="Times New Roman"/>
                <w:b/>
                <w:bCs/>
                <w:color w:val="000000"/>
              </w:rPr>
              <w:t>Variable</w:t>
            </w:r>
          </w:p>
        </w:tc>
        <w:tc>
          <w:tcPr>
            <w:tcW w:w="821" w:type="dxa"/>
            <w:tcBorders>
              <w:top w:val="single" w:sz="4" w:space="0" w:color="auto"/>
              <w:left w:val="nil"/>
              <w:bottom w:val="single" w:sz="4" w:space="0" w:color="auto"/>
              <w:right w:val="nil"/>
            </w:tcBorders>
            <w:shd w:val="clear" w:color="auto" w:fill="auto"/>
            <w:noWrap/>
            <w:vAlign w:val="bottom"/>
            <w:hideMark/>
          </w:tcPr>
          <w:p w14:paraId="0F131A2B"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N</w:t>
            </w:r>
          </w:p>
        </w:tc>
        <w:tc>
          <w:tcPr>
            <w:tcW w:w="1016" w:type="dxa"/>
            <w:tcBorders>
              <w:top w:val="single" w:sz="4" w:space="0" w:color="auto"/>
              <w:left w:val="nil"/>
              <w:bottom w:val="single" w:sz="4" w:space="0" w:color="auto"/>
              <w:right w:val="nil"/>
            </w:tcBorders>
            <w:shd w:val="clear" w:color="auto" w:fill="auto"/>
            <w:noWrap/>
            <w:vAlign w:val="bottom"/>
            <w:hideMark/>
          </w:tcPr>
          <w:p w14:paraId="6ADFAFD2"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25%</w:t>
            </w:r>
          </w:p>
        </w:tc>
        <w:tc>
          <w:tcPr>
            <w:tcW w:w="1088" w:type="dxa"/>
            <w:tcBorders>
              <w:top w:val="single" w:sz="4" w:space="0" w:color="auto"/>
              <w:left w:val="nil"/>
              <w:bottom w:val="single" w:sz="4" w:space="0" w:color="auto"/>
              <w:right w:val="nil"/>
            </w:tcBorders>
            <w:shd w:val="clear" w:color="auto" w:fill="auto"/>
            <w:noWrap/>
            <w:vAlign w:val="bottom"/>
            <w:hideMark/>
          </w:tcPr>
          <w:p w14:paraId="22690114"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Median</w:t>
            </w:r>
          </w:p>
        </w:tc>
        <w:tc>
          <w:tcPr>
            <w:tcW w:w="936" w:type="dxa"/>
            <w:tcBorders>
              <w:top w:val="single" w:sz="4" w:space="0" w:color="auto"/>
              <w:left w:val="nil"/>
              <w:bottom w:val="single" w:sz="4" w:space="0" w:color="auto"/>
              <w:right w:val="nil"/>
            </w:tcBorders>
            <w:shd w:val="clear" w:color="auto" w:fill="auto"/>
            <w:noWrap/>
            <w:vAlign w:val="bottom"/>
            <w:hideMark/>
          </w:tcPr>
          <w:p w14:paraId="315B246C"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Mean</w:t>
            </w:r>
          </w:p>
        </w:tc>
        <w:tc>
          <w:tcPr>
            <w:tcW w:w="936" w:type="dxa"/>
            <w:tcBorders>
              <w:top w:val="single" w:sz="4" w:space="0" w:color="auto"/>
              <w:left w:val="nil"/>
              <w:bottom w:val="single" w:sz="4" w:space="0" w:color="auto"/>
              <w:right w:val="nil"/>
            </w:tcBorders>
            <w:shd w:val="clear" w:color="auto" w:fill="auto"/>
            <w:noWrap/>
            <w:vAlign w:val="bottom"/>
            <w:hideMark/>
          </w:tcPr>
          <w:p w14:paraId="10911A01"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75%</w:t>
            </w:r>
          </w:p>
        </w:tc>
        <w:tc>
          <w:tcPr>
            <w:tcW w:w="1276" w:type="dxa"/>
            <w:tcBorders>
              <w:top w:val="single" w:sz="4" w:space="0" w:color="auto"/>
              <w:left w:val="nil"/>
              <w:bottom w:val="single" w:sz="4" w:space="0" w:color="auto"/>
              <w:right w:val="nil"/>
            </w:tcBorders>
            <w:shd w:val="clear" w:color="auto" w:fill="auto"/>
            <w:noWrap/>
            <w:vAlign w:val="bottom"/>
            <w:hideMark/>
          </w:tcPr>
          <w:p w14:paraId="299F58E1" w14:textId="77777777" w:rsidR="00EC2B9C" w:rsidRPr="00AB729D" w:rsidRDefault="00EC2B9C" w:rsidP="00EC2B9C">
            <w:pPr>
              <w:spacing w:after="0" w:line="240" w:lineRule="auto"/>
              <w:jc w:val="center"/>
              <w:rPr>
                <w:rFonts w:ascii="Times New Roman" w:eastAsia="Times New Roman" w:hAnsi="Times New Roman"/>
                <w:b/>
                <w:bCs/>
                <w:color w:val="000000"/>
              </w:rPr>
            </w:pPr>
            <w:proofErr w:type="spellStart"/>
            <w:r w:rsidRPr="00AB729D">
              <w:rPr>
                <w:rFonts w:ascii="Times New Roman" w:eastAsia="Times New Roman" w:hAnsi="Times New Roman"/>
                <w:b/>
                <w:bCs/>
                <w:color w:val="000000"/>
              </w:rPr>
              <w:t>Std.Dev</w:t>
            </w:r>
            <w:proofErr w:type="spellEnd"/>
            <w:r w:rsidRPr="00AB729D">
              <w:rPr>
                <w:rFonts w:ascii="Times New Roman" w:eastAsia="Times New Roman" w:hAnsi="Times New Roman"/>
                <w:b/>
                <w:bCs/>
                <w:color w:val="000000"/>
              </w:rPr>
              <w:t>.</w:t>
            </w:r>
          </w:p>
        </w:tc>
        <w:tc>
          <w:tcPr>
            <w:tcW w:w="1256" w:type="dxa"/>
            <w:tcBorders>
              <w:top w:val="single" w:sz="4" w:space="0" w:color="auto"/>
              <w:left w:val="nil"/>
              <w:bottom w:val="single" w:sz="4" w:space="0" w:color="auto"/>
              <w:right w:val="nil"/>
            </w:tcBorders>
            <w:shd w:val="clear" w:color="auto" w:fill="auto"/>
            <w:noWrap/>
            <w:vAlign w:val="bottom"/>
            <w:hideMark/>
          </w:tcPr>
          <w:p w14:paraId="61217246"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Min</w:t>
            </w:r>
          </w:p>
        </w:tc>
        <w:tc>
          <w:tcPr>
            <w:tcW w:w="1156" w:type="dxa"/>
            <w:tcBorders>
              <w:top w:val="single" w:sz="4" w:space="0" w:color="auto"/>
              <w:left w:val="nil"/>
              <w:bottom w:val="single" w:sz="4" w:space="0" w:color="auto"/>
              <w:right w:val="nil"/>
            </w:tcBorders>
            <w:shd w:val="clear" w:color="auto" w:fill="auto"/>
            <w:noWrap/>
            <w:vAlign w:val="bottom"/>
            <w:hideMark/>
          </w:tcPr>
          <w:p w14:paraId="5B29CCA8"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Max</w:t>
            </w:r>
          </w:p>
        </w:tc>
      </w:tr>
      <w:tr w:rsidR="00EC2B9C" w:rsidRPr="00AB729D" w14:paraId="373F7971" w14:textId="77777777" w:rsidTr="0061105F">
        <w:trPr>
          <w:trHeight w:val="276"/>
        </w:trPr>
        <w:tc>
          <w:tcPr>
            <w:tcW w:w="1280" w:type="dxa"/>
            <w:tcBorders>
              <w:top w:val="nil"/>
              <w:left w:val="nil"/>
              <w:bottom w:val="nil"/>
              <w:right w:val="nil"/>
            </w:tcBorders>
            <w:shd w:val="clear" w:color="auto" w:fill="auto"/>
            <w:noWrap/>
            <w:vAlign w:val="bottom"/>
            <w:hideMark/>
          </w:tcPr>
          <w:p w14:paraId="42971C6E"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EXVRK</w:t>
            </w:r>
          </w:p>
        </w:tc>
        <w:tc>
          <w:tcPr>
            <w:tcW w:w="821" w:type="dxa"/>
            <w:tcBorders>
              <w:top w:val="nil"/>
              <w:left w:val="nil"/>
              <w:bottom w:val="nil"/>
              <w:right w:val="nil"/>
            </w:tcBorders>
            <w:shd w:val="clear" w:color="auto" w:fill="auto"/>
            <w:noWrap/>
            <w:vAlign w:val="bottom"/>
            <w:hideMark/>
          </w:tcPr>
          <w:p w14:paraId="3A2A88D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0CD09AF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0.182</w:t>
            </w:r>
          </w:p>
        </w:tc>
        <w:tc>
          <w:tcPr>
            <w:tcW w:w="1088" w:type="dxa"/>
            <w:tcBorders>
              <w:top w:val="nil"/>
              <w:left w:val="nil"/>
              <w:bottom w:val="nil"/>
              <w:right w:val="nil"/>
            </w:tcBorders>
            <w:shd w:val="clear" w:color="auto" w:fill="auto"/>
            <w:hideMark/>
          </w:tcPr>
          <w:p w14:paraId="39D6B18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0.391</w:t>
            </w:r>
          </w:p>
        </w:tc>
        <w:tc>
          <w:tcPr>
            <w:tcW w:w="936" w:type="dxa"/>
            <w:tcBorders>
              <w:top w:val="nil"/>
              <w:left w:val="nil"/>
              <w:bottom w:val="nil"/>
              <w:right w:val="nil"/>
            </w:tcBorders>
            <w:shd w:val="clear" w:color="auto" w:fill="auto"/>
            <w:hideMark/>
          </w:tcPr>
          <w:p w14:paraId="7C665FA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0.518</w:t>
            </w:r>
          </w:p>
        </w:tc>
        <w:tc>
          <w:tcPr>
            <w:tcW w:w="936" w:type="dxa"/>
            <w:tcBorders>
              <w:top w:val="nil"/>
              <w:left w:val="nil"/>
              <w:bottom w:val="nil"/>
              <w:right w:val="nil"/>
            </w:tcBorders>
            <w:shd w:val="clear" w:color="auto" w:fill="auto"/>
            <w:hideMark/>
          </w:tcPr>
          <w:p w14:paraId="7E70D6B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0.711</w:t>
            </w:r>
          </w:p>
        </w:tc>
        <w:tc>
          <w:tcPr>
            <w:tcW w:w="1276" w:type="dxa"/>
            <w:tcBorders>
              <w:top w:val="nil"/>
              <w:left w:val="nil"/>
              <w:bottom w:val="nil"/>
              <w:right w:val="nil"/>
            </w:tcBorders>
            <w:shd w:val="clear" w:color="auto" w:fill="auto"/>
            <w:hideMark/>
          </w:tcPr>
          <w:p w14:paraId="49EB3D12"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0.468</w:t>
            </w:r>
          </w:p>
        </w:tc>
        <w:tc>
          <w:tcPr>
            <w:tcW w:w="1256" w:type="dxa"/>
            <w:tcBorders>
              <w:top w:val="nil"/>
              <w:left w:val="nil"/>
              <w:bottom w:val="nil"/>
              <w:right w:val="nil"/>
            </w:tcBorders>
            <w:shd w:val="clear" w:color="auto" w:fill="auto"/>
            <w:hideMark/>
          </w:tcPr>
          <w:p w14:paraId="6092B3BA"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156" w:type="dxa"/>
            <w:tcBorders>
              <w:top w:val="nil"/>
              <w:left w:val="nil"/>
              <w:bottom w:val="nil"/>
              <w:right w:val="nil"/>
            </w:tcBorders>
            <w:shd w:val="clear" w:color="auto" w:fill="auto"/>
            <w:hideMark/>
          </w:tcPr>
          <w:p w14:paraId="7705DEC1"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7.447</w:t>
            </w:r>
          </w:p>
        </w:tc>
      </w:tr>
      <w:tr w:rsidR="00EC2B9C" w:rsidRPr="00AB729D" w14:paraId="603BF962" w14:textId="77777777" w:rsidTr="0061105F">
        <w:trPr>
          <w:trHeight w:val="276"/>
        </w:trPr>
        <w:tc>
          <w:tcPr>
            <w:tcW w:w="1280" w:type="dxa"/>
            <w:tcBorders>
              <w:top w:val="nil"/>
              <w:left w:val="nil"/>
              <w:bottom w:val="single" w:sz="4" w:space="0" w:color="auto"/>
              <w:right w:val="nil"/>
            </w:tcBorders>
            <w:shd w:val="clear" w:color="auto" w:fill="auto"/>
            <w:noWrap/>
            <w:vAlign w:val="bottom"/>
            <w:hideMark/>
          </w:tcPr>
          <w:p w14:paraId="1922AA1D"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EXVIA</w:t>
            </w:r>
          </w:p>
        </w:tc>
        <w:tc>
          <w:tcPr>
            <w:tcW w:w="821" w:type="dxa"/>
            <w:tcBorders>
              <w:top w:val="nil"/>
              <w:left w:val="nil"/>
              <w:bottom w:val="single" w:sz="4" w:space="0" w:color="auto"/>
              <w:right w:val="nil"/>
            </w:tcBorders>
            <w:shd w:val="clear" w:color="auto" w:fill="auto"/>
            <w:noWrap/>
            <w:vAlign w:val="bottom"/>
            <w:hideMark/>
          </w:tcPr>
          <w:p w14:paraId="61E4C7A4"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single" w:sz="4" w:space="0" w:color="auto"/>
              <w:right w:val="nil"/>
            </w:tcBorders>
            <w:shd w:val="clear" w:color="auto" w:fill="auto"/>
            <w:hideMark/>
          </w:tcPr>
          <w:p w14:paraId="20CBC5C2"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0.096</w:t>
            </w:r>
          </w:p>
        </w:tc>
        <w:tc>
          <w:tcPr>
            <w:tcW w:w="1088" w:type="dxa"/>
            <w:tcBorders>
              <w:top w:val="nil"/>
              <w:left w:val="nil"/>
              <w:bottom w:val="single" w:sz="4" w:space="0" w:color="auto"/>
              <w:right w:val="nil"/>
            </w:tcBorders>
            <w:shd w:val="clear" w:color="auto" w:fill="auto"/>
            <w:hideMark/>
          </w:tcPr>
          <w:p w14:paraId="446E5B8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0.211</w:t>
            </w:r>
          </w:p>
        </w:tc>
        <w:tc>
          <w:tcPr>
            <w:tcW w:w="936" w:type="dxa"/>
            <w:tcBorders>
              <w:top w:val="nil"/>
              <w:left w:val="nil"/>
              <w:bottom w:val="single" w:sz="4" w:space="0" w:color="auto"/>
              <w:right w:val="nil"/>
            </w:tcBorders>
            <w:shd w:val="clear" w:color="auto" w:fill="auto"/>
            <w:hideMark/>
          </w:tcPr>
          <w:p w14:paraId="58B9F86C"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0.329</w:t>
            </w:r>
          </w:p>
        </w:tc>
        <w:tc>
          <w:tcPr>
            <w:tcW w:w="936" w:type="dxa"/>
            <w:tcBorders>
              <w:top w:val="nil"/>
              <w:left w:val="nil"/>
              <w:bottom w:val="single" w:sz="4" w:space="0" w:color="auto"/>
              <w:right w:val="nil"/>
            </w:tcBorders>
            <w:shd w:val="clear" w:color="auto" w:fill="auto"/>
            <w:hideMark/>
          </w:tcPr>
          <w:p w14:paraId="717C31C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0.410</w:t>
            </w:r>
          </w:p>
        </w:tc>
        <w:tc>
          <w:tcPr>
            <w:tcW w:w="1276" w:type="dxa"/>
            <w:tcBorders>
              <w:top w:val="nil"/>
              <w:left w:val="nil"/>
              <w:bottom w:val="single" w:sz="4" w:space="0" w:color="auto"/>
              <w:right w:val="nil"/>
            </w:tcBorders>
            <w:shd w:val="clear" w:color="auto" w:fill="auto"/>
            <w:hideMark/>
          </w:tcPr>
          <w:p w14:paraId="448EAABC"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0.391</w:t>
            </w:r>
          </w:p>
        </w:tc>
        <w:tc>
          <w:tcPr>
            <w:tcW w:w="1256" w:type="dxa"/>
            <w:tcBorders>
              <w:top w:val="nil"/>
              <w:left w:val="nil"/>
              <w:bottom w:val="single" w:sz="4" w:space="0" w:color="auto"/>
              <w:right w:val="nil"/>
            </w:tcBorders>
            <w:shd w:val="clear" w:color="auto" w:fill="auto"/>
            <w:hideMark/>
          </w:tcPr>
          <w:p w14:paraId="3038C97C"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156" w:type="dxa"/>
            <w:tcBorders>
              <w:top w:val="nil"/>
              <w:left w:val="nil"/>
              <w:bottom w:val="single" w:sz="4" w:space="0" w:color="auto"/>
              <w:right w:val="nil"/>
            </w:tcBorders>
            <w:shd w:val="clear" w:color="auto" w:fill="auto"/>
            <w:hideMark/>
          </w:tcPr>
          <w:p w14:paraId="0D967610"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9.071</w:t>
            </w:r>
          </w:p>
        </w:tc>
      </w:tr>
      <w:tr w:rsidR="00EC2B9C" w:rsidRPr="00AB729D" w14:paraId="0F945F5D" w14:textId="77777777" w:rsidTr="0061105F">
        <w:trPr>
          <w:trHeight w:val="276"/>
        </w:trPr>
        <w:tc>
          <w:tcPr>
            <w:tcW w:w="1280" w:type="dxa"/>
            <w:tcBorders>
              <w:top w:val="nil"/>
              <w:left w:val="nil"/>
              <w:bottom w:val="nil"/>
              <w:right w:val="nil"/>
            </w:tcBorders>
            <w:shd w:val="clear" w:color="auto" w:fill="auto"/>
            <w:noWrap/>
            <w:vAlign w:val="bottom"/>
            <w:hideMark/>
          </w:tcPr>
          <w:p w14:paraId="77DB1FEE" w14:textId="77777777" w:rsidR="00EC2B9C" w:rsidRPr="00AB729D" w:rsidRDefault="00EC2B9C" w:rsidP="00EC2B9C">
            <w:pPr>
              <w:spacing w:after="0" w:line="240" w:lineRule="auto"/>
              <w:jc w:val="center"/>
              <w:rPr>
                <w:rFonts w:ascii="Times New Roman" w:eastAsia="Times New Roman" w:hAnsi="Times New Roman"/>
                <w:color w:val="000000"/>
              </w:rPr>
            </w:pPr>
          </w:p>
        </w:tc>
        <w:tc>
          <w:tcPr>
            <w:tcW w:w="821" w:type="dxa"/>
            <w:tcBorders>
              <w:top w:val="nil"/>
              <w:left w:val="nil"/>
              <w:bottom w:val="nil"/>
              <w:right w:val="nil"/>
            </w:tcBorders>
            <w:shd w:val="clear" w:color="auto" w:fill="auto"/>
            <w:noWrap/>
            <w:vAlign w:val="bottom"/>
            <w:hideMark/>
          </w:tcPr>
          <w:p w14:paraId="2C64ECEA" w14:textId="77777777" w:rsidR="00EC2B9C" w:rsidRPr="00AB729D" w:rsidRDefault="00EC2B9C" w:rsidP="00EC2B9C">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36E1A5CC" w14:textId="77777777" w:rsidR="00EC2B9C" w:rsidRPr="00AB729D" w:rsidRDefault="00EC2B9C" w:rsidP="00EC2B9C">
            <w:pPr>
              <w:spacing w:after="0" w:line="240" w:lineRule="auto"/>
              <w:rPr>
                <w:rFonts w:ascii="Times New Roman" w:eastAsia="Times New Roman" w:hAnsi="Times New Roman"/>
                <w:sz w:val="20"/>
                <w:szCs w:val="20"/>
              </w:rPr>
            </w:pPr>
          </w:p>
        </w:tc>
        <w:tc>
          <w:tcPr>
            <w:tcW w:w="1088" w:type="dxa"/>
            <w:tcBorders>
              <w:top w:val="nil"/>
              <w:left w:val="nil"/>
              <w:bottom w:val="nil"/>
              <w:right w:val="nil"/>
            </w:tcBorders>
            <w:shd w:val="clear" w:color="auto" w:fill="auto"/>
            <w:noWrap/>
            <w:vAlign w:val="bottom"/>
            <w:hideMark/>
          </w:tcPr>
          <w:p w14:paraId="09A26651" w14:textId="77777777" w:rsidR="00EC2B9C" w:rsidRPr="00AB729D" w:rsidRDefault="00EC2B9C" w:rsidP="00EC2B9C">
            <w:pPr>
              <w:spacing w:after="0" w:line="240" w:lineRule="auto"/>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363BF7C9" w14:textId="77777777" w:rsidR="00EC2B9C" w:rsidRPr="00AB729D" w:rsidRDefault="00EC2B9C" w:rsidP="00EC2B9C">
            <w:pPr>
              <w:spacing w:after="0" w:line="240" w:lineRule="auto"/>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359DA300" w14:textId="77777777" w:rsidR="00EC2B9C" w:rsidRPr="00AB729D" w:rsidRDefault="00EC2B9C" w:rsidP="00EC2B9C">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7B830DB0" w14:textId="77777777" w:rsidR="00EC2B9C" w:rsidRPr="00AB729D" w:rsidRDefault="00EC2B9C" w:rsidP="00EC2B9C">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6DB11F35" w14:textId="77777777" w:rsidR="00EC2B9C" w:rsidRPr="00AB729D" w:rsidRDefault="00EC2B9C" w:rsidP="00EC2B9C">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3F072146" w14:textId="77777777" w:rsidR="00EC2B9C" w:rsidRPr="00AB729D" w:rsidRDefault="00EC2B9C" w:rsidP="00EC2B9C">
            <w:pPr>
              <w:spacing w:after="0" w:line="240" w:lineRule="auto"/>
              <w:rPr>
                <w:rFonts w:ascii="Times New Roman" w:eastAsia="Times New Roman" w:hAnsi="Times New Roman"/>
                <w:sz w:val="20"/>
                <w:szCs w:val="20"/>
              </w:rPr>
            </w:pPr>
          </w:p>
        </w:tc>
      </w:tr>
      <w:tr w:rsidR="00EC2B9C" w:rsidRPr="00AB729D" w14:paraId="7BB21A6C" w14:textId="77777777" w:rsidTr="0061105F">
        <w:trPr>
          <w:trHeight w:val="276"/>
        </w:trPr>
        <w:tc>
          <w:tcPr>
            <w:tcW w:w="4205" w:type="dxa"/>
            <w:gridSpan w:val="4"/>
            <w:tcBorders>
              <w:top w:val="nil"/>
              <w:left w:val="nil"/>
              <w:bottom w:val="nil"/>
              <w:right w:val="nil"/>
            </w:tcBorders>
            <w:shd w:val="clear" w:color="auto" w:fill="auto"/>
            <w:noWrap/>
            <w:vAlign w:val="bottom"/>
            <w:hideMark/>
          </w:tcPr>
          <w:p w14:paraId="4A1B1999" w14:textId="77777777" w:rsidR="00EC2B9C" w:rsidRPr="00AB729D" w:rsidRDefault="00EC2B9C" w:rsidP="00EC2B9C">
            <w:pPr>
              <w:spacing w:after="0" w:line="240" w:lineRule="auto"/>
              <w:rPr>
                <w:rFonts w:ascii="Times New Roman" w:eastAsia="Times New Roman" w:hAnsi="Times New Roman"/>
                <w:b/>
                <w:bCs/>
                <w:color w:val="000000"/>
              </w:rPr>
            </w:pPr>
            <w:r w:rsidRPr="00AB729D">
              <w:rPr>
                <w:rFonts w:ascii="Times New Roman" w:eastAsia="Times New Roman" w:hAnsi="Times New Roman"/>
                <w:b/>
                <w:bCs/>
                <w:color w:val="000000"/>
              </w:rPr>
              <w:t>Panel B. Institutional ownership variables</w:t>
            </w:r>
          </w:p>
        </w:tc>
        <w:tc>
          <w:tcPr>
            <w:tcW w:w="936" w:type="dxa"/>
            <w:tcBorders>
              <w:top w:val="nil"/>
              <w:left w:val="nil"/>
              <w:bottom w:val="nil"/>
              <w:right w:val="nil"/>
            </w:tcBorders>
            <w:shd w:val="clear" w:color="auto" w:fill="auto"/>
            <w:noWrap/>
            <w:vAlign w:val="bottom"/>
            <w:hideMark/>
          </w:tcPr>
          <w:p w14:paraId="0CB1DFDF" w14:textId="77777777" w:rsidR="00EC2B9C" w:rsidRPr="00AB729D" w:rsidRDefault="00EC2B9C" w:rsidP="00EC2B9C">
            <w:pPr>
              <w:spacing w:after="0" w:line="240" w:lineRule="auto"/>
              <w:rPr>
                <w:rFonts w:ascii="Times New Roman" w:eastAsia="Times New Roman" w:hAnsi="Times New Roman"/>
                <w:b/>
                <w:bCs/>
                <w:color w:val="000000"/>
              </w:rPr>
            </w:pPr>
          </w:p>
        </w:tc>
        <w:tc>
          <w:tcPr>
            <w:tcW w:w="936" w:type="dxa"/>
            <w:tcBorders>
              <w:top w:val="nil"/>
              <w:left w:val="nil"/>
              <w:bottom w:val="nil"/>
              <w:right w:val="nil"/>
            </w:tcBorders>
            <w:shd w:val="clear" w:color="auto" w:fill="auto"/>
            <w:noWrap/>
            <w:vAlign w:val="bottom"/>
            <w:hideMark/>
          </w:tcPr>
          <w:p w14:paraId="1EE626F6"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7E7160A3"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5E955309"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219F69FF" w14:textId="77777777" w:rsidR="00EC2B9C" w:rsidRPr="00AB729D" w:rsidRDefault="00EC2B9C" w:rsidP="00EC2B9C">
            <w:pPr>
              <w:spacing w:after="0" w:line="240" w:lineRule="auto"/>
              <w:jc w:val="center"/>
              <w:rPr>
                <w:rFonts w:ascii="Times New Roman" w:eastAsia="Times New Roman" w:hAnsi="Times New Roman"/>
                <w:sz w:val="20"/>
                <w:szCs w:val="20"/>
              </w:rPr>
            </w:pPr>
          </w:p>
        </w:tc>
      </w:tr>
      <w:tr w:rsidR="00EC2B9C" w:rsidRPr="00AB729D" w14:paraId="5A8AB7C9" w14:textId="77777777" w:rsidTr="0061105F">
        <w:trPr>
          <w:trHeight w:val="276"/>
        </w:trPr>
        <w:tc>
          <w:tcPr>
            <w:tcW w:w="1280" w:type="dxa"/>
            <w:tcBorders>
              <w:top w:val="single" w:sz="4" w:space="0" w:color="auto"/>
              <w:left w:val="nil"/>
              <w:bottom w:val="single" w:sz="4" w:space="0" w:color="auto"/>
              <w:right w:val="nil"/>
            </w:tcBorders>
            <w:shd w:val="clear" w:color="auto" w:fill="auto"/>
            <w:noWrap/>
            <w:vAlign w:val="bottom"/>
            <w:hideMark/>
          </w:tcPr>
          <w:p w14:paraId="7AACA9AD" w14:textId="77777777" w:rsidR="00EC2B9C" w:rsidRPr="00AB729D" w:rsidRDefault="00EC2B9C" w:rsidP="00EC2B9C">
            <w:pPr>
              <w:spacing w:after="0" w:line="240" w:lineRule="auto"/>
              <w:rPr>
                <w:rFonts w:ascii="Times New Roman" w:eastAsia="Times New Roman" w:hAnsi="Times New Roman"/>
                <w:b/>
                <w:bCs/>
                <w:color w:val="000000"/>
              </w:rPr>
            </w:pPr>
            <w:r w:rsidRPr="00AB729D">
              <w:rPr>
                <w:rFonts w:ascii="Times New Roman" w:eastAsia="Times New Roman" w:hAnsi="Times New Roman"/>
                <w:b/>
                <w:bCs/>
                <w:color w:val="000000"/>
              </w:rPr>
              <w:t>Variable</w:t>
            </w:r>
          </w:p>
        </w:tc>
        <w:tc>
          <w:tcPr>
            <w:tcW w:w="821" w:type="dxa"/>
            <w:tcBorders>
              <w:top w:val="single" w:sz="4" w:space="0" w:color="auto"/>
              <w:left w:val="nil"/>
              <w:bottom w:val="single" w:sz="4" w:space="0" w:color="auto"/>
              <w:right w:val="nil"/>
            </w:tcBorders>
            <w:shd w:val="clear" w:color="auto" w:fill="auto"/>
            <w:noWrap/>
            <w:vAlign w:val="bottom"/>
            <w:hideMark/>
          </w:tcPr>
          <w:p w14:paraId="4CF64935"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N</w:t>
            </w:r>
          </w:p>
        </w:tc>
        <w:tc>
          <w:tcPr>
            <w:tcW w:w="1016" w:type="dxa"/>
            <w:tcBorders>
              <w:top w:val="single" w:sz="4" w:space="0" w:color="auto"/>
              <w:left w:val="nil"/>
              <w:bottom w:val="single" w:sz="4" w:space="0" w:color="auto"/>
              <w:right w:val="nil"/>
            </w:tcBorders>
            <w:shd w:val="clear" w:color="auto" w:fill="auto"/>
            <w:noWrap/>
            <w:vAlign w:val="bottom"/>
            <w:hideMark/>
          </w:tcPr>
          <w:p w14:paraId="1F635DBB"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25%</w:t>
            </w:r>
          </w:p>
        </w:tc>
        <w:tc>
          <w:tcPr>
            <w:tcW w:w="1088" w:type="dxa"/>
            <w:tcBorders>
              <w:top w:val="single" w:sz="4" w:space="0" w:color="auto"/>
              <w:left w:val="nil"/>
              <w:bottom w:val="single" w:sz="4" w:space="0" w:color="auto"/>
              <w:right w:val="nil"/>
            </w:tcBorders>
            <w:shd w:val="clear" w:color="auto" w:fill="auto"/>
            <w:noWrap/>
            <w:vAlign w:val="bottom"/>
            <w:hideMark/>
          </w:tcPr>
          <w:p w14:paraId="420FA2DA"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Median</w:t>
            </w:r>
          </w:p>
        </w:tc>
        <w:tc>
          <w:tcPr>
            <w:tcW w:w="936" w:type="dxa"/>
            <w:tcBorders>
              <w:top w:val="single" w:sz="4" w:space="0" w:color="auto"/>
              <w:left w:val="nil"/>
              <w:bottom w:val="single" w:sz="4" w:space="0" w:color="auto"/>
              <w:right w:val="nil"/>
            </w:tcBorders>
            <w:shd w:val="clear" w:color="auto" w:fill="auto"/>
            <w:noWrap/>
            <w:vAlign w:val="bottom"/>
            <w:hideMark/>
          </w:tcPr>
          <w:p w14:paraId="6CE76FD1"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Mean</w:t>
            </w:r>
          </w:p>
        </w:tc>
        <w:tc>
          <w:tcPr>
            <w:tcW w:w="936" w:type="dxa"/>
            <w:tcBorders>
              <w:top w:val="single" w:sz="4" w:space="0" w:color="auto"/>
              <w:left w:val="nil"/>
              <w:bottom w:val="single" w:sz="4" w:space="0" w:color="auto"/>
              <w:right w:val="nil"/>
            </w:tcBorders>
            <w:shd w:val="clear" w:color="auto" w:fill="auto"/>
            <w:noWrap/>
            <w:vAlign w:val="bottom"/>
            <w:hideMark/>
          </w:tcPr>
          <w:p w14:paraId="05B990FA"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75%</w:t>
            </w:r>
          </w:p>
        </w:tc>
        <w:tc>
          <w:tcPr>
            <w:tcW w:w="1276" w:type="dxa"/>
            <w:tcBorders>
              <w:top w:val="single" w:sz="4" w:space="0" w:color="auto"/>
              <w:left w:val="nil"/>
              <w:bottom w:val="single" w:sz="4" w:space="0" w:color="auto"/>
              <w:right w:val="nil"/>
            </w:tcBorders>
            <w:shd w:val="clear" w:color="auto" w:fill="auto"/>
            <w:noWrap/>
            <w:vAlign w:val="bottom"/>
            <w:hideMark/>
          </w:tcPr>
          <w:p w14:paraId="3AFB7799" w14:textId="77777777" w:rsidR="00EC2B9C" w:rsidRPr="00AB729D" w:rsidRDefault="00EC2B9C" w:rsidP="00EC2B9C">
            <w:pPr>
              <w:spacing w:after="0" w:line="240" w:lineRule="auto"/>
              <w:jc w:val="center"/>
              <w:rPr>
                <w:rFonts w:ascii="Times New Roman" w:eastAsia="Times New Roman" w:hAnsi="Times New Roman"/>
                <w:b/>
                <w:bCs/>
                <w:color w:val="000000"/>
              </w:rPr>
            </w:pPr>
            <w:proofErr w:type="spellStart"/>
            <w:r w:rsidRPr="00AB729D">
              <w:rPr>
                <w:rFonts w:ascii="Times New Roman" w:eastAsia="Times New Roman" w:hAnsi="Times New Roman"/>
                <w:b/>
                <w:bCs/>
                <w:color w:val="000000"/>
              </w:rPr>
              <w:t>Std.Dev</w:t>
            </w:r>
            <w:proofErr w:type="spellEnd"/>
            <w:r w:rsidRPr="00AB729D">
              <w:rPr>
                <w:rFonts w:ascii="Times New Roman" w:eastAsia="Times New Roman" w:hAnsi="Times New Roman"/>
                <w:b/>
                <w:bCs/>
                <w:color w:val="000000"/>
              </w:rPr>
              <w:t>.</w:t>
            </w:r>
          </w:p>
        </w:tc>
        <w:tc>
          <w:tcPr>
            <w:tcW w:w="1256" w:type="dxa"/>
            <w:tcBorders>
              <w:top w:val="single" w:sz="4" w:space="0" w:color="auto"/>
              <w:left w:val="nil"/>
              <w:bottom w:val="single" w:sz="4" w:space="0" w:color="auto"/>
              <w:right w:val="nil"/>
            </w:tcBorders>
            <w:shd w:val="clear" w:color="auto" w:fill="auto"/>
            <w:noWrap/>
            <w:vAlign w:val="bottom"/>
            <w:hideMark/>
          </w:tcPr>
          <w:p w14:paraId="5C280BF0"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Min</w:t>
            </w:r>
          </w:p>
        </w:tc>
        <w:tc>
          <w:tcPr>
            <w:tcW w:w="1156" w:type="dxa"/>
            <w:tcBorders>
              <w:top w:val="single" w:sz="4" w:space="0" w:color="auto"/>
              <w:left w:val="nil"/>
              <w:bottom w:val="single" w:sz="4" w:space="0" w:color="auto"/>
              <w:right w:val="nil"/>
            </w:tcBorders>
            <w:shd w:val="clear" w:color="auto" w:fill="auto"/>
            <w:noWrap/>
            <w:vAlign w:val="bottom"/>
            <w:hideMark/>
          </w:tcPr>
          <w:p w14:paraId="075ECA7C"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Max</w:t>
            </w:r>
          </w:p>
        </w:tc>
      </w:tr>
      <w:tr w:rsidR="00EC2B9C" w:rsidRPr="00AB729D" w14:paraId="62A97623" w14:textId="77777777" w:rsidTr="0061105F">
        <w:trPr>
          <w:trHeight w:val="276"/>
        </w:trPr>
        <w:tc>
          <w:tcPr>
            <w:tcW w:w="1280" w:type="dxa"/>
            <w:tcBorders>
              <w:top w:val="nil"/>
              <w:left w:val="nil"/>
              <w:bottom w:val="nil"/>
              <w:right w:val="nil"/>
            </w:tcBorders>
            <w:shd w:val="clear" w:color="auto" w:fill="auto"/>
            <w:noWrap/>
            <w:vAlign w:val="bottom"/>
            <w:hideMark/>
          </w:tcPr>
          <w:p w14:paraId="16B97177"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DED (%)</w:t>
            </w:r>
          </w:p>
        </w:tc>
        <w:tc>
          <w:tcPr>
            <w:tcW w:w="821" w:type="dxa"/>
            <w:tcBorders>
              <w:top w:val="nil"/>
              <w:left w:val="nil"/>
              <w:bottom w:val="nil"/>
              <w:right w:val="nil"/>
            </w:tcBorders>
            <w:shd w:val="clear" w:color="auto" w:fill="auto"/>
            <w:noWrap/>
            <w:vAlign w:val="bottom"/>
            <w:hideMark/>
          </w:tcPr>
          <w:p w14:paraId="634294BB"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0C50B41C"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088" w:type="dxa"/>
            <w:tcBorders>
              <w:top w:val="nil"/>
              <w:left w:val="nil"/>
              <w:bottom w:val="nil"/>
              <w:right w:val="nil"/>
            </w:tcBorders>
            <w:shd w:val="clear" w:color="auto" w:fill="auto"/>
            <w:hideMark/>
          </w:tcPr>
          <w:p w14:paraId="0F1A586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0.017</w:t>
            </w:r>
          </w:p>
        </w:tc>
        <w:tc>
          <w:tcPr>
            <w:tcW w:w="936" w:type="dxa"/>
            <w:tcBorders>
              <w:top w:val="nil"/>
              <w:left w:val="nil"/>
              <w:bottom w:val="nil"/>
              <w:right w:val="nil"/>
            </w:tcBorders>
            <w:shd w:val="clear" w:color="auto" w:fill="auto"/>
            <w:hideMark/>
          </w:tcPr>
          <w:p w14:paraId="00BE7D81"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0.048</w:t>
            </w:r>
          </w:p>
        </w:tc>
        <w:tc>
          <w:tcPr>
            <w:tcW w:w="936" w:type="dxa"/>
            <w:tcBorders>
              <w:top w:val="nil"/>
              <w:left w:val="nil"/>
              <w:bottom w:val="nil"/>
              <w:right w:val="nil"/>
            </w:tcBorders>
            <w:shd w:val="clear" w:color="auto" w:fill="auto"/>
            <w:hideMark/>
          </w:tcPr>
          <w:p w14:paraId="26E16AAC"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0.070</w:t>
            </w:r>
          </w:p>
        </w:tc>
        <w:tc>
          <w:tcPr>
            <w:tcW w:w="1276" w:type="dxa"/>
            <w:tcBorders>
              <w:top w:val="nil"/>
              <w:left w:val="nil"/>
              <w:bottom w:val="nil"/>
              <w:right w:val="nil"/>
            </w:tcBorders>
            <w:shd w:val="clear" w:color="auto" w:fill="auto"/>
            <w:hideMark/>
          </w:tcPr>
          <w:p w14:paraId="30C613CA"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0.073</w:t>
            </w:r>
          </w:p>
        </w:tc>
        <w:tc>
          <w:tcPr>
            <w:tcW w:w="1256" w:type="dxa"/>
            <w:tcBorders>
              <w:top w:val="nil"/>
              <w:left w:val="nil"/>
              <w:bottom w:val="nil"/>
              <w:right w:val="nil"/>
            </w:tcBorders>
            <w:shd w:val="clear" w:color="auto" w:fill="auto"/>
            <w:hideMark/>
          </w:tcPr>
          <w:p w14:paraId="39F2006A"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156" w:type="dxa"/>
            <w:tcBorders>
              <w:top w:val="nil"/>
              <w:left w:val="nil"/>
              <w:bottom w:val="nil"/>
              <w:right w:val="nil"/>
            </w:tcBorders>
            <w:shd w:val="clear" w:color="auto" w:fill="auto"/>
            <w:hideMark/>
          </w:tcPr>
          <w:p w14:paraId="1406C46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0.989</w:t>
            </w:r>
          </w:p>
        </w:tc>
      </w:tr>
      <w:tr w:rsidR="00EC2B9C" w:rsidRPr="00AB729D" w14:paraId="3AA1C1C5" w14:textId="77777777" w:rsidTr="0061105F">
        <w:trPr>
          <w:trHeight w:val="276"/>
        </w:trPr>
        <w:tc>
          <w:tcPr>
            <w:tcW w:w="1280" w:type="dxa"/>
            <w:tcBorders>
              <w:top w:val="nil"/>
              <w:left w:val="nil"/>
              <w:bottom w:val="nil"/>
              <w:right w:val="nil"/>
            </w:tcBorders>
            <w:shd w:val="clear" w:color="auto" w:fill="auto"/>
            <w:noWrap/>
            <w:vAlign w:val="bottom"/>
            <w:hideMark/>
          </w:tcPr>
          <w:p w14:paraId="1A260AF0"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IOV (%)</w:t>
            </w:r>
          </w:p>
        </w:tc>
        <w:tc>
          <w:tcPr>
            <w:tcW w:w="821" w:type="dxa"/>
            <w:tcBorders>
              <w:top w:val="nil"/>
              <w:left w:val="nil"/>
              <w:bottom w:val="nil"/>
              <w:right w:val="nil"/>
            </w:tcBorders>
            <w:shd w:val="clear" w:color="auto" w:fill="auto"/>
            <w:noWrap/>
            <w:vAlign w:val="bottom"/>
            <w:hideMark/>
          </w:tcPr>
          <w:p w14:paraId="407E5415"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496C7AA0"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0.002</w:t>
            </w:r>
          </w:p>
        </w:tc>
        <w:tc>
          <w:tcPr>
            <w:tcW w:w="1088" w:type="dxa"/>
            <w:tcBorders>
              <w:top w:val="nil"/>
              <w:left w:val="nil"/>
              <w:bottom w:val="nil"/>
              <w:right w:val="nil"/>
            </w:tcBorders>
            <w:shd w:val="clear" w:color="auto" w:fill="auto"/>
            <w:hideMark/>
          </w:tcPr>
          <w:p w14:paraId="61A9338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0.005</w:t>
            </w:r>
          </w:p>
        </w:tc>
        <w:tc>
          <w:tcPr>
            <w:tcW w:w="936" w:type="dxa"/>
            <w:tcBorders>
              <w:top w:val="nil"/>
              <w:left w:val="nil"/>
              <w:bottom w:val="nil"/>
              <w:right w:val="nil"/>
            </w:tcBorders>
            <w:shd w:val="clear" w:color="auto" w:fill="auto"/>
            <w:hideMark/>
          </w:tcPr>
          <w:p w14:paraId="332A8EFF"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0.007</w:t>
            </w:r>
          </w:p>
        </w:tc>
        <w:tc>
          <w:tcPr>
            <w:tcW w:w="936" w:type="dxa"/>
            <w:tcBorders>
              <w:top w:val="nil"/>
              <w:left w:val="nil"/>
              <w:bottom w:val="nil"/>
              <w:right w:val="nil"/>
            </w:tcBorders>
            <w:shd w:val="clear" w:color="auto" w:fill="auto"/>
            <w:hideMark/>
          </w:tcPr>
          <w:p w14:paraId="02BC950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0.009</w:t>
            </w:r>
          </w:p>
        </w:tc>
        <w:tc>
          <w:tcPr>
            <w:tcW w:w="1276" w:type="dxa"/>
            <w:tcBorders>
              <w:top w:val="nil"/>
              <w:left w:val="nil"/>
              <w:bottom w:val="nil"/>
              <w:right w:val="nil"/>
            </w:tcBorders>
            <w:shd w:val="clear" w:color="auto" w:fill="auto"/>
            <w:hideMark/>
          </w:tcPr>
          <w:p w14:paraId="17ADA621"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0.009</w:t>
            </w:r>
          </w:p>
        </w:tc>
        <w:tc>
          <w:tcPr>
            <w:tcW w:w="1256" w:type="dxa"/>
            <w:tcBorders>
              <w:top w:val="nil"/>
              <w:left w:val="nil"/>
              <w:bottom w:val="nil"/>
              <w:right w:val="nil"/>
            </w:tcBorders>
            <w:shd w:val="clear" w:color="auto" w:fill="auto"/>
            <w:hideMark/>
          </w:tcPr>
          <w:p w14:paraId="7BCAF42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156" w:type="dxa"/>
            <w:tcBorders>
              <w:top w:val="nil"/>
              <w:left w:val="nil"/>
              <w:bottom w:val="nil"/>
              <w:right w:val="nil"/>
            </w:tcBorders>
            <w:shd w:val="clear" w:color="auto" w:fill="auto"/>
            <w:hideMark/>
          </w:tcPr>
          <w:p w14:paraId="3404E3B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0.458</w:t>
            </w:r>
          </w:p>
        </w:tc>
      </w:tr>
      <w:tr w:rsidR="00EC2B9C" w:rsidRPr="00AB729D" w14:paraId="482A50F8" w14:textId="77777777" w:rsidTr="0061105F">
        <w:trPr>
          <w:trHeight w:val="276"/>
        </w:trPr>
        <w:tc>
          <w:tcPr>
            <w:tcW w:w="1280" w:type="dxa"/>
            <w:tcBorders>
              <w:top w:val="nil"/>
              <w:left w:val="nil"/>
              <w:bottom w:val="nil"/>
              <w:right w:val="nil"/>
            </w:tcBorders>
            <w:shd w:val="clear" w:color="auto" w:fill="auto"/>
            <w:noWrap/>
            <w:vAlign w:val="bottom"/>
            <w:hideMark/>
          </w:tcPr>
          <w:p w14:paraId="6A9382EC"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PROP (%)</w:t>
            </w:r>
          </w:p>
        </w:tc>
        <w:tc>
          <w:tcPr>
            <w:tcW w:w="821" w:type="dxa"/>
            <w:tcBorders>
              <w:top w:val="nil"/>
              <w:left w:val="nil"/>
              <w:bottom w:val="nil"/>
              <w:right w:val="nil"/>
            </w:tcBorders>
            <w:shd w:val="clear" w:color="auto" w:fill="auto"/>
            <w:noWrap/>
            <w:vAlign w:val="bottom"/>
            <w:hideMark/>
          </w:tcPr>
          <w:p w14:paraId="38128834"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39FFFF05"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0.060</w:t>
            </w:r>
          </w:p>
        </w:tc>
        <w:tc>
          <w:tcPr>
            <w:tcW w:w="1088" w:type="dxa"/>
            <w:tcBorders>
              <w:top w:val="nil"/>
              <w:left w:val="nil"/>
              <w:bottom w:val="nil"/>
              <w:right w:val="nil"/>
            </w:tcBorders>
            <w:shd w:val="clear" w:color="auto" w:fill="auto"/>
            <w:hideMark/>
          </w:tcPr>
          <w:p w14:paraId="2CE72B4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0.164</w:t>
            </w:r>
          </w:p>
        </w:tc>
        <w:tc>
          <w:tcPr>
            <w:tcW w:w="936" w:type="dxa"/>
            <w:tcBorders>
              <w:top w:val="nil"/>
              <w:left w:val="nil"/>
              <w:bottom w:val="nil"/>
              <w:right w:val="nil"/>
            </w:tcBorders>
            <w:shd w:val="clear" w:color="auto" w:fill="auto"/>
            <w:hideMark/>
          </w:tcPr>
          <w:p w14:paraId="3B73E8B5"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0.236</w:t>
            </w:r>
          </w:p>
        </w:tc>
        <w:tc>
          <w:tcPr>
            <w:tcW w:w="936" w:type="dxa"/>
            <w:tcBorders>
              <w:top w:val="nil"/>
              <w:left w:val="nil"/>
              <w:bottom w:val="nil"/>
              <w:right w:val="nil"/>
            </w:tcBorders>
            <w:shd w:val="clear" w:color="auto" w:fill="auto"/>
            <w:hideMark/>
          </w:tcPr>
          <w:p w14:paraId="68B33E25"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0.360</w:t>
            </w:r>
          </w:p>
        </w:tc>
        <w:tc>
          <w:tcPr>
            <w:tcW w:w="1276" w:type="dxa"/>
            <w:tcBorders>
              <w:top w:val="nil"/>
              <w:left w:val="nil"/>
              <w:bottom w:val="nil"/>
              <w:right w:val="nil"/>
            </w:tcBorders>
            <w:shd w:val="clear" w:color="auto" w:fill="auto"/>
            <w:hideMark/>
          </w:tcPr>
          <w:p w14:paraId="3F63FBD7"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0.219</w:t>
            </w:r>
          </w:p>
        </w:tc>
        <w:tc>
          <w:tcPr>
            <w:tcW w:w="1256" w:type="dxa"/>
            <w:tcBorders>
              <w:top w:val="nil"/>
              <w:left w:val="nil"/>
              <w:bottom w:val="nil"/>
              <w:right w:val="nil"/>
            </w:tcBorders>
            <w:shd w:val="clear" w:color="auto" w:fill="auto"/>
            <w:hideMark/>
          </w:tcPr>
          <w:p w14:paraId="79C13E3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156" w:type="dxa"/>
            <w:tcBorders>
              <w:top w:val="nil"/>
              <w:left w:val="nil"/>
              <w:bottom w:val="nil"/>
              <w:right w:val="nil"/>
            </w:tcBorders>
            <w:shd w:val="clear" w:color="auto" w:fill="auto"/>
            <w:hideMark/>
          </w:tcPr>
          <w:p w14:paraId="057DDA3F"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0.999</w:t>
            </w:r>
          </w:p>
        </w:tc>
      </w:tr>
      <w:tr w:rsidR="00EC2B9C" w:rsidRPr="00AB729D" w14:paraId="186EA257" w14:textId="77777777" w:rsidTr="0061105F">
        <w:trPr>
          <w:trHeight w:val="276"/>
        </w:trPr>
        <w:tc>
          <w:tcPr>
            <w:tcW w:w="1280" w:type="dxa"/>
            <w:tcBorders>
              <w:top w:val="nil"/>
              <w:left w:val="nil"/>
              <w:bottom w:val="nil"/>
              <w:right w:val="nil"/>
            </w:tcBorders>
            <w:shd w:val="clear" w:color="auto" w:fill="auto"/>
            <w:noWrap/>
            <w:vAlign w:val="bottom"/>
            <w:hideMark/>
          </w:tcPr>
          <w:p w14:paraId="1A7108C5"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QIX (%)</w:t>
            </w:r>
          </w:p>
        </w:tc>
        <w:tc>
          <w:tcPr>
            <w:tcW w:w="821" w:type="dxa"/>
            <w:tcBorders>
              <w:top w:val="nil"/>
              <w:left w:val="nil"/>
              <w:bottom w:val="nil"/>
              <w:right w:val="nil"/>
            </w:tcBorders>
            <w:shd w:val="clear" w:color="auto" w:fill="auto"/>
            <w:noWrap/>
            <w:vAlign w:val="bottom"/>
            <w:hideMark/>
          </w:tcPr>
          <w:p w14:paraId="7D6A3CC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6FAA04D1"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0.056</w:t>
            </w:r>
          </w:p>
        </w:tc>
        <w:tc>
          <w:tcPr>
            <w:tcW w:w="1088" w:type="dxa"/>
            <w:tcBorders>
              <w:top w:val="nil"/>
              <w:left w:val="nil"/>
              <w:bottom w:val="nil"/>
              <w:right w:val="nil"/>
            </w:tcBorders>
            <w:shd w:val="clear" w:color="auto" w:fill="auto"/>
            <w:hideMark/>
          </w:tcPr>
          <w:p w14:paraId="6887A90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0.160</w:t>
            </w:r>
          </w:p>
        </w:tc>
        <w:tc>
          <w:tcPr>
            <w:tcW w:w="936" w:type="dxa"/>
            <w:tcBorders>
              <w:top w:val="nil"/>
              <w:left w:val="nil"/>
              <w:bottom w:val="nil"/>
              <w:right w:val="nil"/>
            </w:tcBorders>
            <w:shd w:val="clear" w:color="auto" w:fill="auto"/>
            <w:hideMark/>
          </w:tcPr>
          <w:p w14:paraId="376D63EA"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0.221</w:t>
            </w:r>
          </w:p>
        </w:tc>
        <w:tc>
          <w:tcPr>
            <w:tcW w:w="936" w:type="dxa"/>
            <w:tcBorders>
              <w:top w:val="nil"/>
              <w:left w:val="nil"/>
              <w:bottom w:val="nil"/>
              <w:right w:val="nil"/>
            </w:tcBorders>
            <w:shd w:val="clear" w:color="auto" w:fill="auto"/>
            <w:hideMark/>
          </w:tcPr>
          <w:p w14:paraId="7A9EDC1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0.347</w:t>
            </w:r>
          </w:p>
        </w:tc>
        <w:tc>
          <w:tcPr>
            <w:tcW w:w="1276" w:type="dxa"/>
            <w:tcBorders>
              <w:top w:val="nil"/>
              <w:left w:val="nil"/>
              <w:bottom w:val="nil"/>
              <w:right w:val="nil"/>
            </w:tcBorders>
            <w:shd w:val="clear" w:color="auto" w:fill="auto"/>
            <w:hideMark/>
          </w:tcPr>
          <w:p w14:paraId="3B6DBD7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0.198</w:t>
            </w:r>
          </w:p>
        </w:tc>
        <w:tc>
          <w:tcPr>
            <w:tcW w:w="1256" w:type="dxa"/>
            <w:tcBorders>
              <w:top w:val="nil"/>
              <w:left w:val="nil"/>
              <w:bottom w:val="nil"/>
              <w:right w:val="nil"/>
            </w:tcBorders>
            <w:shd w:val="clear" w:color="auto" w:fill="auto"/>
            <w:hideMark/>
          </w:tcPr>
          <w:p w14:paraId="7C0A3BB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156" w:type="dxa"/>
            <w:tcBorders>
              <w:top w:val="nil"/>
              <w:left w:val="nil"/>
              <w:bottom w:val="nil"/>
              <w:right w:val="nil"/>
            </w:tcBorders>
            <w:shd w:val="clear" w:color="auto" w:fill="auto"/>
            <w:hideMark/>
          </w:tcPr>
          <w:p w14:paraId="2FA2ED1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0.998</w:t>
            </w:r>
          </w:p>
        </w:tc>
      </w:tr>
      <w:tr w:rsidR="00EC2B9C" w:rsidRPr="00AB729D" w14:paraId="7354F75A" w14:textId="77777777" w:rsidTr="0061105F">
        <w:trPr>
          <w:trHeight w:val="276"/>
        </w:trPr>
        <w:tc>
          <w:tcPr>
            <w:tcW w:w="1280" w:type="dxa"/>
            <w:tcBorders>
              <w:top w:val="nil"/>
              <w:left w:val="nil"/>
              <w:bottom w:val="single" w:sz="4" w:space="0" w:color="auto"/>
              <w:right w:val="nil"/>
            </w:tcBorders>
            <w:shd w:val="clear" w:color="auto" w:fill="auto"/>
            <w:noWrap/>
            <w:vAlign w:val="bottom"/>
            <w:hideMark/>
          </w:tcPr>
          <w:p w14:paraId="6756974E"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TRA (%)</w:t>
            </w:r>
          </w:p>
        </w:tc>
        <w:tc>
          <w:tcPr>
            <w:tcW w:w="821" w:type="dxa"/>
            <w:tcBorders>
              <w:top w:val="nil"/>
              <w:left w:val="nil"/>
              <w:bottom w:val="single" w:sz="4" w:space="0" w:color="auto"/>
              <w:right w:val="nil"/>
            </w:tcBorders>
            <w:shd w:val="clear" w:color="auto" w:fill="auto"/>
            <w:noWrap/>
            <w:vAlign w:val="bottom"/>
            <w:hideMark/>
          </w:tcPr>
          <w:p w14:paraId="7FF771E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single" w:sz="4" w:space="0" w:color="auto"/>
              <w:right w:val="nil"/>
            </w:tcBorders>
            <w:shd w:val="clear" w:color="auto" w:fill="auto"/>
            <w:hideMark/>
          </w:tcPr>
          <w:p w14:paraId="52D9EB0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0.008</w:t>
            </w:r>
          </w:p>
        </w:tc>
        <w:tc>
          <w:tcPr>
            <w:tcW w:w="1088" w:type="dxa"/>
            <w:tcBorders>
              <w:top w:val="nil"/>
              <w:left w:val="nil"/>
              <w:bottom w:val="single" w:sz="4" w:space="0" w:color="auto"/>
              <w:right w:val="nil"/>
            </w:tcBorders>
            <w:shd w:val="clear" w:color="auto" w:fill="auto"/>
            <w:hideMark/>
          </w:tcPr>
          <w:p w14:paraId="0D1A879F"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0.048</w:t>
            </w:r>
          </w:p>
        </w:tc>
        <w:tc>
          <w:tcPr>
            <w:tcW w:w="936" w:type="dxa"/>
            <w:tcBorders>
              <w:top w:val="nil"/>
              <w:left w:val="nil"/>
              <w:bottom w:val="single" w:sz="4" w:space="0" w:color="auto"/>
              <w:right w:val="nil"/>
            </w:tcBorders>
            <w:shd w:val="clear" w:color="auto" w:fill="auto"/>
            <w:hideMark/>
          </w:tcPr>
          <w:p w14:paraId="4DD19FF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0.086</w:t>
            </w:r>
          </w:p>
        </w:tc>
        <w:tc>
          <w:tcPr>
            <w:tcW w:w="936" w:type="dxa"/>
            <w:tcBorders>
              <w:top w:val="nil"/>
              <w:left w:val="nil"/>
              <w:bottom w:val="single" w:sz="4" w:space="0" w:color="auto"/>
              <w:right w:val="nil"/>
            </w:tcBorders>
            <w:shd w:val="clear" w:color="auto" w:fill="auto"/>
            <w:hideMark/>
          </w:tcPr>
          <w:p w14:paraId="7DF2082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0.131</w:t>
            </w:r>
          </w:p>
        </w:tc>
        <w:tc>
          <w:tcPr>
            <w:tcW w:w="1276" w:type="dxa"/>
            <w:tcBorders>
              <w:top w:val="nil"/>
              <w:left w:val="nil"/>
              <w:bottom w:val="single" w:sz="4" w:space="0" w:color="auto"/>
              <w:right w:val="nil"/>
            </w:tcBorders>
            <w:shd w:val="clear" w:color="auto" w:fill="auto"/>
            <w:hideMark/>
          </w:tcPr>
          <w:p w14:paraId="493019C2"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0.100</w:t>
            </w:r>
          </w:p>
        </w:tc>
        <w:tc>
          <w:tcPr>
            <w:tcW w:w="1256" w:type="dxa"/>
            <w:tcBorders>
              <w:top w:val="nil"/>
              <w:left w:val="nil"/>
              <w:bottom w:val="single" w:sz="4" w:space="0" w:color="auto"/>
              <w:right w:val="nil"/>
            </w:tcBorders>
            <w:shd w:val="clear" w:color="auto" w:fill="auto"/>
            <w:hideMark/>
          </w:tcPr>
          <w:p w14:paraId="555913E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156" w:type="dxa"/>
            <w:tcBorders>
              <w:top w:val="nil"/>
              <w:left w:val="nil"/>
              <w:bottom w:val="single" w:sz="4" w:space="0" w:color="auto"/>
              <w:right w:val="nil"/>
            </w:tcBorders>
            <w:shd w:val="clear" w:color="auto" w:fill="auto"/>
            <w:hideMark/>
          </w:tcPr>
          <w:p w14:paraId="555D320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0.957</w:t>
            </w:r>
          </w:p>
        </w:tc>
      </w:tr>
      <w:tr w:rsidR="00EC2B9C" w:rsidRPr="00AB729D" w14:paraId="026F694B" w14:textId="77777777" w:rsidTr="0061105F">
        <w:trPr>
          <w:trHeight w:val="276"/>
        </w:trPr>
        <w:tc>
          <w:tcPr>
            <w:tcW w:w="1280" w:type="dxa"/>
            <w:tcBorders>
              <w:top w:val="nil"/>
              <w:left w:val="nil"/>
              <w:bottom w:val="nil"/>
              <w:right w:val="nil"/>
            </w:tcBorders>
            <w:shd w:val="clear" w:color="auto" w:fill="auto"/>
            <w:noWrap/>
            <w:vAlign w:val="bottom"/>
            <w:hideMark/>
          </w:tcPr>
          <w:p w14:paraId="1DA23C78" w14:textId="77777777" w:rsidR="00EC2B9C" w:rsidRPr="00AB729D" w:rsidRDefault="00EC2B9C" w:rsidP="00EC2B9C">
            <w:pPr>
              <w:spacing w:after="0" w:line="240" w:lineRule="auto"/>
              <w:jc w:val="center"/>
              <w:rPr>
                <w:rFonts w:ascii="Times New Roman" w:eastAsia="Times New Roman" w:hAnsi="Times New Roman"/>
                <w:color w:val="000000"/>
              </w:rPr>
            </w:pPr>
          </w:p>
        </w:tc>
        <w:tc>
          <w:tcPr>
            <w:tcW w:w="821" w:type="dxa"/>
            <w:tcBorders>
              <w:top w:val="nil"/>
              <w:left w:val="nil"/>
              <w:bottom w:val="nil"/>
              <w:right w:val="nil"/>
            </w:tcBorders>
            <w:shd w:val="clear" w:color="auto" w:fill="auto"/>
            <w:noWrap/>
            <w:vAlign w:val="bottom"/>
            <w:hideMark/>
          </w:tcPr>
          <w:p w14:paraId="73F69C56" w14:textId="77777777" w:rsidR="00EC2B9C" w:rsidRPr="00AB729D" w:rsidRDefault="00EC2B9C" w:rsidP="00EC2B9C">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56D879CA" w14:textId="77777777" w:rsidR="00EC2B9C" w:rsidRPr="00AB729D" w:rsidRDefault="00EC2B9C" w:rsidP="00EC2B9C">
            <w:pPr>
              <w:spacing w:after="0" w:line="240" w:lineRule="auto"/>
              <w:rPr>
                <w:rFonts w:ascii="Times New Roman" w:eastAsia="Times New Roman" w:hAnsi="Times New Roman"/>
                <w:sz w:val="20"/>
                <w:szCs w:val="20"/>
              </w:rPr>
            </w:pPr>
          </w:p>
        </w:tc>
        <w:tc>
          <w:tcPr>
            <w:tcW w:w="1088" w:type="dxa"/>
            <w:tcBorders>
              <w:top w:val="nil"/>
              <w:left w:val="nil"/>
              <w:bottom w:val="nil"/>
              <w:right w:val="nil"/>
            </w:tcBorders>
            <w:shd w:val="clear" w:color="auto" w:fill="auto"/>
            <w:noWrap/>
            <w:vAlign w:val="bottom"/>
            <w:hideMark/>
          </w:tcPr>
          <w:p w14:paraId="49C51F9C"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2A5A8CB9"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6ED56202"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0B1DC78A"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107CA053" w14:textId="77777777" w:rsidR="00EC2B9C" w:rsidRPr="00AB729D" w:rsidRDefault="00EC2B9C" w:rsidP="00EC2B9C">
            <w:pPr>
              <w:spacing w:after="0" w:line="240" w:lineRule="auto"/>
              <w:jc w:val="center"/>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181F438E" w14:textId="77777777" w:rsidR="00EC2B9C" w:rsidRPr="00AB729D" w:rsidRDefault="00EC2B9C" w:rsidP="00EC2B9C">
            <w:pPr>
              <w:spacing w:after="0" w:line="240" w:lineRule="auto"/>
              <w:jc w:val="center"/>
              <w:rPr>
                <w:rFonts w:ascii="Times New Roman" w:eastAsia="Times New Roman" w:hAnsi="Times New Roman"/>
                <w:sz w:val="20"/>
                <w:szCs w:val="20"/>
              </w:rPr>
            </w:pPr>
          </w:p>
        </w:tc>
      </w:tr>
      <w:tr w:rsidR="00EC2B9C" w:rsidRPr="00AB729D" w14:paraId="49DC5214" w14:textId="77777777" w:rsidTr="0061105F">
        <w:trPr>
          <w:trHeight w:val="276"/>
        </w:trPr>
        <w:tc>
          <w:tcPr>
            <w:tcW w:w="3117" w:type="dxa"/>
            <w:gridSpan w:val="3"/>
            <w:tcBorders>
              <w:top w:val="nil"/>
              <w:left w:val="nil"/>
              <w:bottom w:val="nil"/>
              <w:right w:val="nil"/>
            </w:tcBorders>
            <w:shd w:val="clear" w:color="auto" w:fill="auto"/>
            <w:noWrap/>
            <w:vAlign w:val="bottom"/>
            <w:hideMark/>
          </w:tcPr>
          <w:p w14:paraId="07271966" w14:textId="77777777" w:rsidR="00EC2B9C" w:rsidRPr="00AB729D" w:rsidRDefault="00EC2B9C" w:rsidP="00EC2B9C">
            <w:pPr>
              <w:spacing w:after="0" w:line="240" w:lineRule="auto"/>
              <w:rPr>
                <w:rFonts w:ascii="Times New Roman" w:eastAsia="Times New Roman" w:hAnsi="Times New Roman"/>
                <w:b/>
                <w:bCs/>
                <w:color w:val="000000"/>
              </w:rPr>
            </w:pPr>
            <w:r w:rsidRPr="00AB729D">
              <w:rPr>
                <w:rFonts w:ascii="Times New Roman" w:eastAsia="Times New Roman" w:hAnsi="Times New Roman"/>
                <w:b/>
                <w:bCs/>
                <w:color w:val="000000"/>
              </w:rPr>
              <w:t>Panel C. Control variables</w:t>
            </w:r>
          </w:p>
        </w:tc>
        <w:tc>
          <w:tcPr>
            <w:tcW w:w="1088" w:type="dxa"/>
            <w:tcBorders>
              <w:top w:val="nil"/>
              <w:left w:val="nil"/>
              <w:bottom w:val="nil"/>
              <w:right w:val="nil"/>
            </w:tcBorders>
            <w:shd w:val="clear" w:color="auto" w:fill="auto"/>
            <w:noWrap/>
            <w:vAlign w:val="bottom"/>
            <w:hideMark/>
          </w:tcPr>
          <w:p w14:paraId="0206058C" w14:textId="77777777" w:rsidR="00EC2B9C" w:rsidRPr="00AB729D" w:rsidRDefault="00EC2B9C" w:rsidP="00EC2B9C">
            <w:pPr>
              <w:spacing w:after="0" w:line="240" w:lineRule="auto"/>
              <w:rPr>
                <w:rFonts w:ascii="Times New Roman" w:eastAsia="Times New Roman" w:hAnsi="Times New Roman"/>
                <w:b/>
                <w:bCs/>
                <w:color w:val="000000"/>
              </w:rPr>
            </w:pPr>
          </w:p>
        </w:tc>
        <w:tc>
          <w:tcPr>
            <w:tcW w:w="936" w:type="dxa"/>
            <w:tcBorders>
              <w:top w:val="nil"/>
              <w:left w:val="nil"/>
              <w:bottom w:val="nil"/>
              <w:right w:val="nil"/>
            </w:tcBorders>
            <w:shd w:val="clear" w:color="auto" w:fill="auto"/>
            <w:noWrap/>
            <w:vAlign w:val="bottom"/>
            <w:hideMark/>
          </w:tcPr>
          <w:p w14:paraId="3C0F8BC4" w14:textId="77777777" w:rsidR="00EC2B9C" w:rsidRPr="00AB729D" w:rsidRDefault="00EC2B9C" w:rsidP="00EC2B9C">
            <w:pPr>
              <w:spacing w:after="0" w:line="240" w:lineRule="auto"/>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3B71A677" w14:textId="77777777" w:rsidR="00EC2B9C" w:rsidRPr="00AB729D" w:rsidRDefault="00EC2B9C" w:rsidP="00EC2B9C">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120BF907" w14:textId="77777777" w:rsidR="00EC2B9C" w:rsidRPr="00AB729D" w:rsidRDefault="00EC2B9C" w:rsidP="00EC2B9C">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705D3431" w14:textId="77777777" w:rsidR="00EC2B9C" w:rsidRPr="00AB729D" w:rsidRDefault="00EC2B9C" w:rsidP="00EC2B9C">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42A833E9" w14:textId="77777777" w:rsidR="00EC2B9C" w:rsidRPr="00AB729D" w:rsidRDefault="00EC2B9C" w:rsidP="00EC2B9C">
            <w:pPr>
              <w:spacing w:after="0" w:line="240" w:lineRule="auto"/>
              <w:rPr>
                <w:rFonts w:ascii="Times New Roman" w:eastAsia="Times New Roman" w:hAnsi="Times New Roman"/>
                <w:sz w:val="20"/>
                <w:szCs w:val="20"/>
              </w:rPr>
            </w:pPr>
          </w:p>
        </w:tc>
      </w:tr>
      <w:tr w:rsidR="00EC2B9C" w:rsidRPr="00AB729D" w14:paraId="32EB8D3D" w14:textId="77777777" w:rsidTr="0061105F">
        <w:trPr>
          <w:trHeight w:val="276"/>
        </w:trPr>
        <w:tc>
          <w:tcPr>
            <w:tcW w:w="1280" w:type="dxa"/>
            <w:tcBorders>
              <w:top w:val="single" w:sz="4" w:space="0" w:color="auto"/>
              <w:left w:val="nil"/>
              <w:bottom w:val="single" w:sz="4" w:space="0" w:color="auto"/>
              <w:right w:val="nil"/>
            </w:tcBorders>
            <w:shd w:val="clear" w:color="auto" w:fill="auto"/>
            <w:noWrap/>
            <w:vAlign w:val="bottom"/>
            <w:hideMark/>
          </w:tcPr>
          <w:p w14:paraId="24459A57"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Variable</w:t>
            </w:r>
          </w:p>
        </w:tc>
        <w:tc>
          <w:tcPr>
            <w:tcW w:w="821" w:type="dxa"/>
            <w:tcBorders>
              <w:top w:val="single" w:sz="4" w:space="0" w:color="auto"/>
              <w:left w:val="nil"/>
              <w:bottom w:val="single" w:sz="4" w:space="0" w:color="auto"/>
              <w:right w:val="nil"/>
            </w:tcBorders>
            <w:shd w:val="clear" w:color="auto" w:fill="auto"/>
            <w:noWrap/>
            <w:vAlign w:val="bottom"/>
            <w:hideMark/>
          </w:tcPr>
          <w:p w14:paraId="1D3EC39D"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N</w:t>
            </w:r>
          </w:p>
        </w:tc>
        <w:tc>
          <w:tcPr>
            <w:tcW w:w="1016" w:type="dxa"/>
            <w:tcBorders>
              <w:top w:val="single" w:sz="4" w:space="0" w:color="auto"/>
              <w:left w:val="nil"/>
              <w:bottom w:val="single" w:sz="4" w:space="0" w:color="auto"/>
              <w:right w:val="nil"/>
            </w:tcBorders>
            <w:shd w:val="clear" w:color="auto" w:fill="auto"/>
            <w:noWrap/>
            <w:vAlign w:val="bottom"/>
            <w:hideMark/>
          </w:tcPr>
          <w:p w14:paraId="0BE326DE"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25%</w:t>
            </w:r>
          </w:p>
        </w:tc>
        <w:tc>
          <w:tcPr>
            <w:tcW w:w="1088" w:type="dxa"/>
            <w:tcBorders>
              <w:top w:val="single" w:sz="4" w:space="0" w:color="auto"/>
              <w:left w:val="nil"/>
              <w:bottom w:val="single" w:sz="4" w:space="0" w:color="auto"/>
              <w:right w:val="nil"/>
            </w:tcBorders>
            <w:shd w:val="clear" w:color="auto" w:fill="auto"/>
            <w:noWrap/>
            <w:vAlign w:val="bottom"/>
            <w:hideMark/>
          </w:tcPr>
          <w:p w14:paraId="2456DB68"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Median</w:t>
            </w:r>
          </w:p>
        </w:tc>
        <w:tc>
          <w:tcPr>
            <w:tcW w:w="936" w:type="dxa"/>
            <w:tcBorders>
              <w:top w:val="single" w:sz="4" w:space="0" w:color="auto"/>
              <w:left w:val="nil"/>
              <w:bottom w:val="single" w:sz="4" w:space="0" w:color="auto"/>
              <w:right w:val="nil"/>
            </w:tcBorders>
            <w:shd w:val="clear" w:color="auto" w:fill="auto"/>
            <w:noWrap/>
            <w:vAlign w:val="bottom"/>
            <w:hideMark/>
          </w:tcPr>
          <w:p w14:paraId="332BE692"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Mean</w:t>
            </w:r>
          </w:p>
        </w:tc>
        <w:tc>
          <w:tcPr>
            <w:tcW w:w="936" w:type="dxa"/>
            <w:tcBorders>
              <w:top w:val="single" w:sz="4" w:space="0" w:color="auto"/>
              <w:left w:val="nil"/>
              <w:bottom w:val="single" w:sz="4" w:space="0" w:color="auto"/>
              <w:right w:val="nil"/>
            </w:tcBorders>
            <w:shd w:val="clear" w:color="auto" w:fill="auto"/>
            <w:noWrap/>
            <w:vAlign w:val="bottom"/>
            <w:hideMark/>
          </w:tcPr>
          <w:p w14:paraId="363934F3"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75%</w:t>
            </w:r>
          </w:p>
        </w:tc>
        <w:tc>
          <w:tcPr>
            <w:tcW w:w="1276" w:type="dxa"/>
            <w:tcBorders>
              <w:top w:val="single" w:sz="4" w:space="0" w:color="auto"/>
              <w:left w:val="nil"/>
              <w:bottom w:val="single" w:sz="4" w:space="0" w:color="auto"/>
              <w:right w:val="nil"/>
            </w:tcBorders>
            <w:shd w:val="clear" w:color="auto" w:fill="auto"/>
            <w:noWrap/>
            <w:vAlign w:val="bottom"/>
            <w:hideMark/>
          </w:tcPr>
          <w:p w14:paraId="4BB113CF" w14:textId="77777777" w:rsidR="00EC2B9C" w:rsidRPr="00AB729D" w:rsidRDefault="00EC2B9C" w:rsidP="00EC2B9C">
            <w:pPr>
              <w:spacing w:after="0" w:line="240" w:lineRule="auto"/>
              <w:jc w:val="center"/>
              <w:rPr>
                <w:rFonts w:ascii="Times New Roman" w:eastAsia="Times New Roman" w:hAnsi="Times New Roman"/>
                <w:b/>
                <w:bCs/>
                <w:color w:val="000000"/>
              </w:rPr>
            </w:pPr>
            <w:proofErr w:type="spellStart"/>
            <w:r w:rsidRPr="00AB729D">
              <w:rPr>
                <w:rFonts w:ascii="Times New Roman" w:eastAsia="Times New Roman" w:hAnsi="Times New Roman"/>
                <w:b/>
                <w:bCs/>
                <w:color w:val="000000"/>
              </w:rPr>
              <w:t>Std.Dev</w:t>
            </w:r>
            <w:proofErr w:type="spellEnd"/>
            <w:r w:rsidRPr="00AB729D">
              <w:rPr>
                <w:rFonts w:ascii="Times New Roman" w:eastAsia="Times New Roman" w:hAnsi="Times New Roman"/>
                <w:b/>
                <w:bCs/>
                <w:color w:val="000000"/>
              </w:rPr>
              <w:t>.</w:t>
            </w:r>
          </w:p>
        </w:tc>
        <w:tc>
          <w:tcPr>
            <w:tcW w:w="1256" w:type="dxa"/>
            <w:tcBorders>
              <w:top w:val="single" w:sz="4" w:space="0" w:color="auto"/>
              <w:left w:val="nil"/>
              <w:bottom w:val="single" w:sz="4" w:space="0" w:color="auto"/>
              <w:right w:val="nil"/>
            </w:tcBorders>
            <w:shd w:val="clear" w:color="auto" w:fill="auto"/>
            <w:noWrap/>
            <w:vAlign w:val="bottom"/>
            <w:hideMark/>
          </w:tcPr>
          <w:p w14:paraId="6351DB9E"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Min</w:t>
            </w:r>
          </w:p>
        </w:tc>
        <w:tc>
          <w:tcPr>
            <w:tcW w:w="1156" w:type="dxa"/>
            <w:tcBorders>
              <w:top w:val="single" w:sz="4" w:space="0" w:color="auto"/>
              <w:left w:val="nil"/>
              <w:bottom w:val="single" w:sz="4" w:space="0" w:color="auto"/>
              <w:right w:val="nil"/>
            </w:tcBorders>
            <w:shd w:val="clear" w:color="auto" w:fill="auto"/>
            <w:noWrap/>
            <w:vAlign w:val="bottom"/>
            <w:hideMark/>
          </w:tcPr>
          <w:p w14:paraId="56631A0F" w14:textId="77777777" w:rsidR="00EC2B9C" w:rsidRPr="00AB729D" w:rsidRDefault="00EC2B9C" w:rsidP="00EC2B9C">
            <w:pPr>
              <w:spacing w:after="0" w:line="240" w:lineRule="auto"/>
              <w:jc w:val="center"/>
              <w:rPr>
                <w:rFonts w:ascii="Times New Roman" w:eastAsia="Times New Roman" w:hAnsi="Times New Roman"/>
                <w:b/>
                <w:bCs/>
                <w:color w:val="000000"/>
              </w:rPr>
            </w:pPr>
            <w:r w:rsidRPr="00AB729D">
              <w:rPr>
                <w:rFonts w:ascii="Times New Roman" w:eastAsia="Times New Roman" w:hAnsi="Times New Roman"/>
                <w:b/>
                <w:bCs/>
                <w:color w:val="000000"/>
              </w:rPr>
              <w:t>Max</w:t>
            </w:r>
          </w:p>
        </w:tc>
      </w:tr>
      <w:tr w:rsidR="00EC2B9C" w:rsidRPr="00AB729D" w14:paraId="3203F741" w14:textId="77777777" w:rsidTr="0061105F">
        <w:trPr>
          <w:trHeight w:val="276"/>
        </w:trPr>
        <w:tc>
          <w:tcPr>
            <w:tcW w:w="1280" w:type="dxa"/>
            <w:tcBorders>
              <w:top w:val="nil"/>
              <w:left w:val="nil"/>
              <w:bottom w:val="nil"/>
              <w:right w:val="nil"/>
            </w:tcBorders>
            <w:shd w:val="clear" w:color="auto" w:fill="auto"/>
            <w:noWrap/>
            <w:vAlign w:val="bottom"/>
            <w:hideMark/>
          </w:tcPr>
          <w:p w14:paraId="11962432"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LN_SALE</w:t>
            </w:r>
          </w:p>
        </w:tc>
        <w:tc>
          <w:tcPr>
            <w:tcW w:w="821" w:type="dxa"/>
            <w:tcBorders>
              <w:top w:val="nil"/>
              <w:left w:val="nil"/>
              <w:bottom w:val="nil"/>
              <w:right w:val="nil"/>
            </w:tcBorders>
            <w:shd w:val="clear" w:color="auto" w:fill="auto"/>
            <w:noWrap/>
            <w:vAlign w:val="bottom"/>
            <w:hideMark/>
          </w:tcPr>
          <w:p w14:paraId="47F74D22"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7556E950"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3.870</w:t>
            </w:r>
          </w:p>
        </w:tc>
        <w:tc>
          <w:tcPr>
            <w:tcW w:w="1088" w:type="dxa"/>
            <w:tcBorders>
              <w:top w:val="nil"/>
              <w:left w:val="nil"/>
              <w:bottom w:val="nil"/>
              <w:right w:val="nil"/>
            </w:tcBorders>
            <w:shd w:val="clear" w:color="auto" w:fill="auto"/>
            <w:hideMark/>
          </w:tcPr>
          <w:p w14:paraId="2241ABB5"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5.221</w:t>
            </w:r>
          </w:p>
        </w:tc>
        <w:tc>
          <w:tcPr>
            <w:tcW w:w="936" w:type="dxa"/>
            <w:tcBorders>
              <w:top w:val="nil"/>
              <w:left w:val="nil"/>
              <w:bottom w:val="nil"/>
              <w:right w:val="nil"/>
            </w:tcBorders>
            <w:shd w:val="clear" w:color="auto" w:fill="auto"/>
            <w:hideMark/>
          </w:tcPr>
          <w:p w14:paraId="4C650C2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5.279</w:t>
            </w:r>
          </w:p>
        </w:tc>
        <w:tc>
          <w:tcPr>
            <w:tcW w:w="936" w:type="dxa"/>
            <w:tcBorders>
              <w:top w:val="nil"/>
              <w:left w:val="nil"/>
              <w:bottom w:val="nil"/>
              <w:right w:val="nil"/>
            </w:tcBorders>
            <w:shd w:val="clear" w:color="auto" w:fill="auto"/>
            <w:hideMark/>
          </w:tcPr>
          <w:p w14:paraId="5B90265B"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6.708</w:t>
            </w:r>
          </w:p>
        </w:tc>
        <w:tc>
          <w:tcPr>
            <w:tcW w:w="1276" w:type="dxa"/>
            <w:tcBorders>
              <w:top w:val="nil"/>
              <w:left w:val="nil"/>
              <w:bottom w:val="nil"/>
              <w:right w:val="nil"/>
            </w:tcBorders>
            <w:shd w:val="clear" w:color="auto" w:fill="auto"/>
            <w:hideMark/>
          </w:tcPr>
          <w:p w14:paraId="441C6A5E"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2.210</w:t>
            </w:r>
          </w:p>
        </w:tc>
        <w:tc>
          <w:tcPr>
            <w:tcW w:w="1256" w:type="dxa"/>
            <w:tcBorders>
              <w:top w:val="nil"/>
              <w:left w:val="nil"/>
              <w:bottom w:val="nil"/>
              <w:right w:val="nil"/>
            </w:tcBorders>
            <w:shd w:val="clear" w:color="auto" w:fill="auto"/>
            <w:hideMark/>
          </w:tcPr>
          <w:p w14:paraId="112974EA"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-6.908</w:t>
            </w:r>
          </w:p>
        </w:tc>
        <w:tc>
          <w:tcPr>
            <w:tcW w:w="1156" w:type="dxa"/>
            <w:tcBorders>
              <w:top w:val="nil"/>
              <w:left w:val="nil"/>
              <w:bottom w:val="nil"/>
              <w:right w:val="nil"/>
            </w:tcBorders>
            <w:shd w:val="clear" w:color="auto" w:fill="auto"/>
            <w:hideMark/>
          </w:tcPr>
          <w:p w14:paraId="7E76E38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13.054</w:t>
            </w:r>
          </w:p>
        </w:tc>
      </w:tr>
      <w:tr w:rsidR="00EC2B9C" w:rsidRPr="00AB729D" w14:paraId="4F150ABD" w14:textId="77777777" w:rsidTr="0061105F">
        <w:trPr>
          <w:trHeight w:val="276"/>
        </w:trPr>
        <w:tc>
          <w:tcPr>
            <w:tcW w:w="1280" w:type="dxa"/>
            <w:tcBorders>
              <w:top w:val="nil"/>
              <w:left w:val="nil"/>
              <w:bottom w:val="nil"/>
              <w:right w:val="nil"/>
            </w:tcBorders>
            <w:shd w:val="clear" w:color="auto" w:fill="auto"/>
            <w:noWrap/>
            <w:vAlign w:val="bottom"/>
            <w:hideMark/>
          </w:tcPr>
          <w:p w14:paraId="5D315573"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LEV</w:t>
            </w:r>
          </w:p>
        </w:tc>
        <w:tc>
          <w:tcPr>
            <w:tcW w:w="821" w:type="dxa"/>
            <w:tcBorders>
              <w:top w:val="nil"/>
              <w:left w:val="nil"/>
              <w:bottom w:val="nil"/>
              <w:right w:val="nil"/>
            </w:tcBorders>
            <w:shd w:val="clear" w:color="auto" w:fill="auto"/>
            <w:noWrap/>
            <w:vAlign w:val="bottom"/>
            <w:hideMark/>
          </w:tcPr>
          <w:p w14:paraId="48A7F8A4"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6EFA799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0.294</w:t>
            </w:r>
          </w:p>
        </w:tc>
        <w:tc>
          <w:tcPr>
            <w:tcW w:w="1088" w:type="dxa"/>
            <w:tcBorders>
              <w:top w:val="nil"/>
              <w:left w:val="nil"/>
              <w:bottom w:val="nil"/>
              <w:right w:val="nil"/>
            </w:tcBorders>
            <w:shd w:val="clear" w:color="auto" w:fill="auto"/>
            <w:hideMark/>
          </w:tcPr>
          <w:p w14:paraId="1A16FFFB"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0.470</w:t>
            </w:r>
          </w:p>
        </w:tc>
        <w:tc>
          <w:tcPr>
            <w:tcW w:w="936" w:type="dxa"/>
            <w:tcBorders>
              <w:top w:val="nil"/>
              <w:left w:val="nil"/>
              <w:bottom w:val="nil"/>
              <w:right w:val="nil"/>
            </w:tcBorders>
            <w:shd w:val="clear" w:color="auto" w:fill="auto"/>
            <w:hideMark/>
          </w:tcPr>
          <w:p w14:paraId="7F66F22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0.485</w:t>
            </w:r>
          </w:p>
        </w:tc>
        <w:tc>
          <w:tcPr>
            <w:tcW w:w="936" w:type="dxa"/>
            <w:tcBorders>
              <w:top w:val="nil"/>
              <w:left w:val="nil"/>
              <w:bottom w:val="nil"/>
              <w:right w:val="nil"/>
            </w:tcBorders>
            <w:shd w:val="clear" w:color="auto" w:fill="auto"/>
            <w:hideMark/>
          </w:tcPr>
          <w:p w14:paraId="2B64EEA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0.630</w:t>
            </w:r>
          </w:p>
        </w:tc>
        <w:tc>
          <w:tcPr>
            <w:tcW w:w="1276" w:type="dxa"/>
            <w:tcBorders>
              <w:top w:val="nil"/>
              <w:left w:val="nil"/>
              <w:bottom w:val="nil"/>
              <w:right w:val="nil"/>
            </w:tcBorders>
            <w:shd w:val="clear" w:color="auto" w:fill="auto"/>
            <w:hideMark/>
          </w:tcPr>
          <w:p w14:paraId="5A245BE7"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0.387</w:t>
            </w:r>
          </w:p>
        </w:tc>
        <w:tc>
          <w:tcPr>
            <w:tcW w:w="1256" w:type="dxa"/>
            <w:tcBorders>
              <w:top w:val="nil"/>
              <w:left w:val="nil"/>
              <w:bottom w:val="nil"/>
              <w:right w:val="nil"/>
            </w:tcBorders>
            <w:shd w:val="clear" w:color="auto" w:fill="auto"/>
            <w:hideMark/>
          </w:tcPr>
          <w:p w14:paraId="3FE68196"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0.003</w:t>
            </w:r>
          </w:p>
        </w:tc>
        <w:tc>
          <w:tcPr>
            <w:tcW w:w="1156" w:type="dxa"/>
            <w:tcBorders>
              <w:top w:val="nil"/>
              <w:left w:val="nil"/>
              <w:bottom w:val="nil"/>
              <w:right w:val="nil"/>
            </w:tcBorders>
            <w:shd w:val="clear" w:color="auto" w:fill="auto"/>
            <w:hideMark/>
          </w:tcPr>
          <w:p w14:paraId="09063B1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74.934</w:t>
            </w:r>
          </w:p>
        </w:tc>
      </w:tr>
      <w:tr w:rsidR="00EC2B9C" w:rsidRPr="00AB729D" w14:paraId="37F7829E" w14:textId="77777777" w:rsidTr="0061105F">
        <w:trPr>
          <w:trHeight w:val="270"/>
        </w:trPr>
        <w:tc>
          <w:tcPr>
            <w:tcW w:w="1280" w:type="dxa"/>
            <w:tcBorders>
              <w:top w:val="nil"/>
              <w:left w:val="nil"/>
              <w:bottom w:val="nil"/>
              <w:right w:val="nil"/>
            </w:tcBorders>
            <w:shd w:val="clear" w:color="auto" w:fill="auto"/>
            <w:noWrap/>
            <w:vAlign w:val="bottom"/>
            <w:hideMark/>
          </w:tcPr>
          <w:p w14:paraId="7549CF65"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ROA</w:t>
            </w:r>
          </w:p>
        </w:tc>
        <w:tc>
          <w:tcPr>
            <w:tcW w:w="821" w:type="dxa"/>
            <w:tcBorders>
              <w:top w:val="nil"/>
              <w:left w:val="nil"/>
              <w:bottom w:val="nil"/>
              <w:right w:val="nil"/>
            </w:tcBorders>
            <w:shd w:val="clear" w:color="auto" w:fill="auto"/>
            <w:noWrap/>
            <w:vAlign w:val="bottom"/>
            <w:hideMark/>
          </w:tcPr>
          <w:p w14:paraId="2BA6549F"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27092637"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0.053</w:t>
            </w:r>
          </w:p>
        </w:tc>
        <w:tc>
          <w:tcPr>
            <w:tcW w:w="1088" w:type="dxa"/>
            <w:tcBorders>
              <w:top w:val="nil"/>
              <w:left w:val="nil"/>
              <w:bottom w:val="nil"/>
              <w:right w:val="nil"/>
            </w:tcBorders>
            <w:shd w:val="clear" w:color="auto" w:fill="auto"/>
            <w:hideMark/>
          </w:tcPr>
          <w:p w14:paraId="250BC647"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0.119</w:t>
            </w:r>
          </w:p>
        </w:tc>
        <w:tc>
          <w:tcPr>
            <w:tcW w:w="936" w:type="dxa"/>
            <w:tcBorders>
              <w:top w:val="nil"/>
              <w:left w:val="nil"/>
              <w:bottom w:val="nil"/>
              <w:right w:val="nil"/>
            </w:tcBorders>
            <w:shd w:val="clear" w:color="auto" w:fill="auto"/>
            <w:hideMark/>
          </w:tcPr>
          <w:p w14:paraId="4FC2516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0.077</w:t>
            </w:r>
          </w:p>
        </w:tc>
        <w:tc>
          <w:tcPr>
            <w:tcW w:w="936" w:type="dxa"/>
            <w:tcBorders>
              <w:top w:val="nil"/>
              <w:left w:val="nil"/>
              <w:bottom w:val="nil"/>
              <w:right w:val="nil"/>
            </w:tcBorders>
            <w:shd w:val="clear" w:color="auto" w:fill="auto"/>
            <w:hideMark/>
          </w:tcPr>
          <w:p w14:paraId="6CB9E4C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0.177</w:t>
            </w:r>
          </w:p>
        </w:tc>
        <w:tc>
          <w:tcPr>
            <w:tcW w:w="1276" w:type="dxa"/>
            <w:tcBorders>
              <w:top w:val="nil"/>
              <w:left w:val="nil"/>
              <w:bottom w:val="nil"/>
              <w:right w:val="nil"/>
            </w:tcBorders>
            <w:shd w:val="clear" w:color="auto" w:fill="auto"/>
            <w:hideMark/>
          </w:tcPr>
          <w:p w14:paraId="328AE357"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0.538</w:t>
            </w:r>
          </w:p>
        </w:tc>
        <w:tc>
          <w:tcPr>
            <w:tcW w:w="1256" w:type="dxa"/>
            <w:tcBorders>
              <w:top w:val="nil"/>
              <w:left w:val="nil"/>
              <w:bottom w:val="nil"/>
              <w:right w:val="nil"/>
            </w:tcBorders>
            <w:shd w:val="clear" w:color="auto" w:fill="auto"/>
            <w:hideMark/>
          </w:tcPr>
          <w:p w14:paraId="15403EE0"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-134.238</w:t>
            </w:r>
          </w:p>
        </w:tc>
        <w:tc>
          <w:tcPr>
            <w:tcW w:w="1156" w:type="dxa"/>
            <w:tcBorders>
              <w:top w:val="nil"/>
              <w:left w:val="nil"/>
              <w:bottom w:val="nil"/>
              <w:right w:val="nil"/>
            </w:tcBorders>
            <w:shd w:val="clear" w:color="auto" w:fill="auto"/>
            <w:hideMark/>
          </w:tcPr>
          <w:p w14:paraId="5CB8C8AD"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1.984</w:t>
            </w:r>
          </w:p>
        </w:tc>
      </w:tr>
      <w:tr w:rsidR="00EC2B9C" w:rsidRPr="00AB729D" w14:paraId="730B3CA8" w14:textId="77777777" w:rsidTr="0061105F">
        <w:trPr>
          <w:trHeight w:val="270"/>
        </w:trPr>
        <w:tc>
          <w:tcPr>
            <w:tcW w:w="1280" w:type="dxa"/>
            <w:tcBorders>
              <w:top w:val="nil"/>
              <w:left w:val="nil"/>
              <w:bottom w:val="nil"/>
              <w:right w:val="nil"/>
            </w:tcBorders>
            <w:shd w:val="clear" w:color="auto" w:fill="auto"/>
            <w:noWrap/>
            <w:vAlign w:val="bottom"/>
            <w:hideMark/>
          </w:tcPr>
          <w:p w14:paraId="2D5AC536"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LN_AGE</w:t>
            </w:r>
          </w:p>
        </w:tc>
        <w:tc>
          <w:tcPr>
            <w:tcW w:w="821" w:type="dxa"/>
            <w:tcBorders>
              <w:top w:val="nil"/>
              <w:left w:val="nil"/>
              <w:bottom w:val="nil"/>
              <w:right w:val="nil"/>
            </w:tcBorders>
            <w:shd w:val="clear" w:color="auto" w:fill="auto"/>
            <w:noWrap/>
            <w:vAlign w:val="bottom"/>
            <w:hideMark/>
          </w:tcPr>
          <w:p w14:paraId="0E4C6BFB"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nil"/>
              <w:right w:val="nil"/>
            </w:tcBorders>
            <w:shd w:val="clear" w:color="auto" w:fill="auto"/>
            <w:hideMark/>
          </w:tcPr>
          <w:p w14:paraId="24D73AFA"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1.792</w:t>
            </w:r>
          </w:p>
        </w:tc>
        <w:tc>
          <w:tcPr>
            <w:tcW w:w="1088" w:type="dxa"/>
            <w:tcBorders>
              <w:top w:val="nil"/>
              <w:left w:val="nil"/>
              <w:bottom w:val="nil"/>
              <w:right w:val="nil"/>
            </w:tcBorders>
            <w:shd w:val="clear" w:color="auto" w:fill="auto"/>
            <w:hideMark/>
          </w:tcPr>
          <w:p w14:paraId="6FFE4489"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2.485</w:t>
            </w:r>
          </w:p>
        </w:tc>
        <w:tc>
          <w:tcPr>
            <w:tcW w:w="936" w:type="dxa"/>
            <w:tcBorders>
              <w:top w:val="nil"/>
              <w:left w:val="nil"/>
              <w:bottom w:val="nil"/>
              <w:right w:val="nil"/>
            </w:tcBorders>
            <w:shd w:val="clear" w:color="auto" w:fill="auto"/>
            <w:hideMark/>
          </w:tcPr>
          <w:p w14:paraId="0898330F"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2.374</w:t>
            </w:r>
          </w:p>
        </w:tc>
        <w:tc>
          <w:tcPr>
            <w:tcW w:w="936" w:type="dxa"/>
            <w:tcBorders>
              <w:top w:val="nil"/>
              <w:left w:val="nil"/>
              <w:bottom w:val="nil"/>
              <w:right w:val="nil"/>
            </w:tcBorders>
            <w:shd w:val="clear" w:color="auto" w:fill="auto"/>
            <w:hideMark/>
          </w:tcPr>
          <w:p w14:paraId="51EB8085"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2.996</w:t>
            </w:r>
          </w:p>
        </w:tc>
        <w:tc>
          <w:tcPr>
            <w:tcW w:w="1276" w:type="dxa"/>
            <w:tcBorders>
              <w:top w:val="nil"/>
              <w:left w:val="nil"/>
              <w:bottom w:val="nil"/>
              <w:right w:val="nil"/>
            </w:tcBorders>
            <w:shd w:val="clear" w:color="auto" w:fill="auto"/>
            <w:hideMark/>
          </w:tcPr>
          <w:p w14:paraId="52AE3F6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0.794</w:t>
            </w:r>
          </w:p>
        </w:tc>
        <w:tc>
          <w:tcPr>
            <w:tcW w:w="1256" w:type="dxa"/>
            <w:tcBorders>
              <w:top w:val="nil"/>
              <w:left w:val="nil"/>
              <w:bottom w:val="nil"/>
              <w:right w:val="nil"/>
            </w:tcBorders>
            <w:shd w:val="clear" w:color="auto" w:fill="auto"/>
            <w:hideMark/>
          </w:tcPr>
          <w:p w14:paraId="01C2A757"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0.693</w:t>
            </w:r>
          </w:p>
        </w:tc>
        <w:tc>
          <w:tcPr>
            <w:tcW w:w="1156" w:type="dxa"/>
            <w:tcBorders>
              <w:top w:val="nil"/>
              <w:left w:val="nil"/>
              <w:bottom w:val="nil"/>
              <w:right w:val="nil"/>
            </w:tcBorders>
            <w:shd w:val="clear" w:color="auto" w:fill="auto"/>
            <w:hideMark/>
          </w:tcPr>
          <w:p w14:paraId="239A571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3.807</w:t>
            </w:r>
          </w:p>
        </w:tc>
      </w:tr>
      <w:tr w:rsidR="00EC2B9C" w:rsidRPr="00AB729D" w14:paraId="7E5B0CD9" w14:textId="77777777" w:rsidTr="0061105F">
        <w:trPr>
          <w:trHeight w:val="270"/>
        </w:trPr>
        <w:tc>
          <w:tcPr>
            <w:tcW w:w="1280" w:type="dxa"/>
            <w:tcBorders>
              <w:top w:val="nil"/>
              <w:left w:val="nil"/>
              <w:bottom w:val="single" w:sz="4" w:space="0" w:color="auto"/>
              <w:right w:val="nil"/>
            </w:tcBorders>
            <w:shd w:val="clear" w:color="auto" w:fill="auto"/>
            <w:noWrap/>
            <w:vAlign w:val="bottom"/>
            <w:hideMark/>
          </w:tcPr>
          <w:p w14:paraId="1122F830" w14:textId="77777777" w:rsidR="00EC2B9C" w:rsidRPr="00AB729D" w:rsidRDefault="00EC2B9C" w:rsidP="00EC2B9C">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DY</w:t>
            </w:r>
          </w:p>
        </w:tc>
        <w:tc>
          <w:tcPr>
            <w:tcW w:w="821" w:type="dxa"/>
            <w:tcBorders>
              <w:top w:val="nil"/>
              <w:left w:val="nil"/>
              <w:bottom w:val="single" w:sz="4" w:space="0" w:color="auto"/>
              <w:right w:val="nil"/>
            </w:tcBorders>
            <w:shd w:val="clear" w:color="auto" w:fill="auto"/>
            <w:noWrap/>
            <w:vAlign w:val="bottom"/>
            <w:hideMark/>
          </w:tcPr>
          <w:p w14:paraId="0598065C"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82,037</w:t>
            </w:r>
          </w:p>
        </w:tc>
        <w:tc>
          <w:tcPr>
            <w:tcW w:w="1016" w:type="dxa"/>
            <w:tcBorders>
              <w:top w:val="nil"/>
              <w:left w:val="nil"/>
              <w:bottom w:val="single" w:sz="4" w:space="0" w:color="auto"/>
              <w:right w:val="nil"/>
            </w:tcBorders>
            <w:shd w:val="clear" w:color="auto" w:fill="auto"/>
            <w:hideMark/>
          </w:tcPr>
          <w:p w14:paraId="34389E63"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1088" w:type="dxa"/>
            <w:tcBorders>
              <w:top w:val="nil"/>
              <w:left w:val="nil"/>
              <w:bottom w:val="single" w:sz="4" w:space="0" w:color="auto"/>
              <w:right w:val="nil"/>
            </w:tcBorders>
            <w:shd w:val="clear" w:color="auto" w:fill="auto"/>
            <w:hideMark/>
          </w:tcPr>
          <w:p w14:paraId="7B2100D2"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0.000</w:t>
            </w:r>
          </w:p>
        </w:tc>
        <w:tc>
          <w:tcPr>
            <w:tcW w:w="936" w:type="dxa"/>
            <w:tcBorders>
              <w:top w:val="nil"/>
              <w:left w:val="nil"/>
              <w:bottom w:val="single" w:sz="4" w:space="0" w:color="auto"/>
              <w:right w:val="nil"/>
            </w:tcBorders>
            <w:shd w:val="clear" w:color="auto" w:fill="auto"/>
            <w:hideMark/>
          </w:tcPr>
          <w:p w14:paraId="3C2975B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0.013</w:t>
            </w:r>
          </w:p>
        </w:tc>
        <w:tc>
          <w:tcPr>
            <w:tcW w:w="936" w:type="dxa"/>
            <w:tcBorders>
              <w:top w:val="nil"/>
              <w:left w:val="nil"/>
              <w:bottom w:val="single" w:sz="4" w:space="0" w:color="auto"/>
              <w:right w:val="nil"/>
            </w:tcBorders>
            <w:shd w:val="clear" w:color="auto" w:fill="auto"/>
            <w:hideMark/>
          </w:tcPr>
          <w:p w14:paraId="1D95F062"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0.014</w:t>
            </w:r>
          </w:p>
        </w:tc>
        <w:tc>
          <w:tcPr>
            <w:tcW w:w="1276" w:type="dxa"/>
            <w:tcBorders>
              <w:top w:val="nil"/>
              <w:left w:val="nil"/>
              <w:bottom w:val="single" w:sz="4" w:space="0" w:color="auto"/>
              <w:right w:val="nil"/>
            </w:tcBorders>
            <w:shd w:val="clear" w:color="auto" w:fill="auto"/>
            <w:hideMark/>
          </w:tcPr>
          <w:p w14:paraId="1C339F9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0.072</w:t>
            </w:r>
          </w:p>
        </w:tc>
        <w:tc>
          <w:tcPr>
            <w:tcW w:w="1256" w:type="dxa"/>
            <w:tcBorders>
              <w:top w:val="nil"/>
              <w:left w:val="nil"/>
              <w:bottom w:val="single" w:sz="4" w:space="0" w:color="auto"/>
              <w:right w:val="nil"/>
            </w:tcBorders>
            <w:shd w:val="clear" w:color="auto" w:fill="auto"/>
            <w:hideMark/>
          </w:tcPr>
          <w:p w14:paraId="037E4258"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-0.011</w:t>
            </w:r>
          </w:p>
        </w:tc>
        <w:tc>
          <w:tcPr>
            <w:tcW w:w="1156" w:type="dxa"/>
            <w:tcBorders>
              <w:top w:val="nil"/>
              <w:left w:val="nil"/>
              <w:bottom w:val="single" w:sz="4" w:space="0" w:color="auto"/>
              <w:right w:val="nil"/>
            </w:tcBorders>
            <w:shd w:val="clear" w:color="auto" w:fill="auto"/>
            <w:hideMark/>
          </w:tcPr>
          <w:p w14:paraId="1DC3DF52" w14:textId="77777777" w:rsidR="00EC2B9C" w:rsidRPr="00AB729D" w:rsidRDefault="00EC2B9C" w:rsidP="00EC2B9C">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12.799</w:t>
            </w:r>
          </w:p>
        </w:tc>
      </w:tr>
    </w:tbl>
    <w:p w14:paraId="13231EE5" w14:textId="77777777" w:rsidR="00741DF5" w:rsidRPr="00AB729D" w:rsidRDefault="00741DF5" w:rsidP="00741DF5">
      <w:pPr>
        <w:spacing w:after="0" w:line="240" w:lineRule="auto"/>
        <w:rPr>
          <w:rFonts w:ascii="Times New Roman" w:eastAsia="Times New Roman" w:hAnsi="Times New Roman"/>
          <w:sz w:val="24"/>
          <w:szCs w:val="24"/>
        </w:rPr>
      </w:pPr>
    </w:p>
    <w:p w14:paraId="1DFC8384" w14:textId="40DD96AC" w:rsidR="00B11248" w:rsidRPr="00AB729D" w:rsidRDefault="00741DF5" w:rsidP="00FA2BC9">
      <w:pPr>
        <w:jc w:val="both"/>
        <w:rPr>
          <w:sz w:val="20"/>
          <w:szCs w:val="20"/>
        </w:rPr>
      </w:pPr>
      <w:r w:rsidRPr="00AB729D">
        <w:rPr>
          <w:rFonts w:ascii="Times New Roman" w:eastAsia="Times New Roman" w:hAnsi="Times New Roman"/>
          <w:sz w:val="20"/>
          <w:szCs w:val="20"/>
        </w:rPr>
        <w:t xml:space="preserve">This table shows descriptive statistics of the sample. </w:t>
      </w:r>
      <w:r w:rsidRPr="00AB729D">
        <w:rPr>
          <w:rFonts w:ascii="Times New Roman" w:eastAsia="Times New Roman" w:hAnsi="Times New Roman"/>
          <w:bCs/>
          <w:i/>
          <w:iCs/>
          <w:sz w:val="20"/>
          <w:szCs w:val="20"/>
        </w:rPr>
        <w:t>EXVRK</w:t>
      </w:r>
      <w:r w:rsidRPr="00AB729D">
        <w:rPr>
          <w:rFonts w:ascii="Times New Roman" w:eastAsia="Times New Roman" w:hAnsi="Times New Roman"/>
          <w:bCs/>
          <w:sz w:val="20"/>
          <w:szCs w:val="20"/>
        </w:rPr>
        <w:t xml:space="preserve"> </w:t>
      </w:r>
      <w:r w:rsidRPr="00AB729D">
        <w:rPr>
          <w:rFonts w:ascii="Times New Roman" w:eastAsia="Times New Roman" w:hAnsi="Times New Roman"/>
          <w:sz w:val="20"/>
          <w:szCs w:val="20"/>
        </w:rPr>
        <w:t>is the absolute value of the firm-specific mispricing component of the difference between market value and fundamental value based on model III of Rhodes–</w:t>
      </w:r>
      <w:proofErr w:type="spellStart"/>
      <w:r w:rsidRPr="00AB729D">
        <w:rPr>
          <w:rFonts w:ascii="Times New Roman" w:eastAsia="Times New Roman" w:hAnsi="Times New Roman"/>
          <w:sz w:val="20"/>
          <w:szCs w:val="20"/>
        </w:rPr>
        <w:t>Kropf</w:t>
      </w:r>
      <w:proofErr w:type="spellEnd"/>
      <w:r w:rsidRPr="00AB729D">
        <w:rPr>
          <w:rFonts w:ascii="Times New Roman" w:eastAsia="Times New Roman" w:hAnsi="Times New Roman"/>
          <w:sz w:val="20"/>
          <w:szCs w:val="20"/>
        </w:rPr>
        <w:t xml:space="preserve"> et al. (2005). </w:t>
      </w:r>
      <w:r w:rsidRPr="00AB729D">
        <w:rPr>
          <w:rFonts w:ascii="Times New Roman" w:eastAsia="Times New Roman" w:hAnsi="Times New Roman"/>
          <w:bCs/>
          <w:i/>
          <w:iCs/>
          <w:sz w:val="20"/>
          <w:szCs w:val="20"/>
        </w:rPr>
        <w:t xml:space="preserve"> EXVIA</w:t>
      </w:r>
      <w:r w:rsidRPr="00AB729D">
        <w:rPr>
          <w:rFonts w:ascii="Times New Roman" w:eastAsia="Times New Roman" w:hAnsi="Times New Roman"/>
          <w:bCs/>
          <w:sz w:val="20"/>
          <w:szCs w:val="20"/>
        </w:rPr>
        <w:t xml:space="preserve"> is </w:t>
      </w:r>
      <w:r w:rsidRPr="00AB729D">
        <w:rPr>
          <w:rFonts w:ascii="Times New Roman" w:eastAsia="Times New Roman" w:hAnsi="Times New Roman"/>
          <w:sz w:val="20"/>
          <w:szCs w:val="20"/>
        </w:rPr>
        <w:t xml:space="preserve">the absolute </w:t>
      </w:r>
      <w:r w:rsidR="00716CF3" w:rsidRPr="00AB729D">
        <w:rPr>
          <w:rFonts w:ascii="Times New Roman" w:eastAsia="Times New Roman" w:hAnsi="Times New Roman"/>
          <w:sz w:val="20"/>
          <w:szCs w:val="20"/>
        </w:rPr>
        <w:t xml:space="preserve">figure </w:t>
      </w:r>
      <w:r w:rsidRPr="00AB729D">
        <w:rPr>
          <w:rFonts w:ascii="Times New Roman" w:eastAsia="Times New Roman" w:hAnsi="Times New Roman"/>
          <w:sz w:val="20"/>
          <w:szCs w:val="20"/>
        </w:rPr>
        <w:t xml:space="preserve">of </w:t>
      </w:r>
      <w:r w:rsidR="00716CF3" w:rsidRPr="00AB729D">
        <w:rPr>
          <w:rFonts w:ascii="Times New Roman" w:eastAsia="Times New Roman" w:hAnsi="Times New Roman"/>
          <w:sz w:val="20"/>
          <w:szCs w:val="20"/>
        </w:rPr>
        <w:t xml:space="preserve">the </w:t>
      </w:r>
      <w:r w:rsidRPr="00AB729D">
        <w:rPr>
          <w:rFonts w:ascii="Times New Roman" w:eastAsia="Times New Roman" w:hAnsi="Times New Roman"/>
          <w:sz w:val="20"/>
          <w:szCs w:val="20"/>
        </w:rPr>
        <w:t>excess value computed as the natural log of the ratio between a firm’s capital and its imputed value.</w:t>
      </w:r>
      <w:r w:rsidRPr="00AB729D">
        <w:rPr>
          <w:rFonts w:ascii="Times New Roman" w:eastAsia="Times New Roman" w:hAnsi="Times New Roman"/>
          <w:bCs/>
          <w:i/>
          <w:iCs/>
          <w:sz w:val="20"/>
          <w:szCs w:val="20"/>
        </w:rPr>
        <w:t xml:space="preserve"> PROP</w:t>
      </w:r>
      <w:r w:rsidRPr="00AB729D">
        <w:rPr>
          <w:rFonts w:ascii="Times New Roman" w:eastAsia="Times New Roman" w:hAnsi="Times New Roman"/>
          <w:bCs/>
          <w:sz w:val="20"/>
          <w:szCs w:val="20"/>
        </w:rPr>
        <w:t xml:space="preserve"> is the average aggregate institutional shareholding proportion across </w:t>
      </w:r>
      <w:r w:rsidR="00AB0856" w:rsidRPr="00AB729D">
        <w:rPr>
          <w:rFonts w:ascii="Times New Roman" w:eastAsia="Times New Roman" w:hAnsi="Times New Roman"/>
          <w:bCs/>
          <w:sz w:val="20"/>
          <w:szCs w:val="20"/>
        </w:rPr>
        <w:t xml:space="preserve">a </w:t>
      </w:r>
      <w:r w:rsidRPr="00AB729D">
        <w:rPr>
          <w:rFonts w:ascii="Times New Roman" w:eastAsia="Times New Roman" w:hAnsi="Times New Roman"/>
          <w:bCs/>
          <w:sz w:val="20"/>
          <w:szCs w:val="20"/>
        </w:rPr>
        <w:t xml:space="preserve">five-year period. </w:t>
      </w:r>
      <w:r w:rsidRPr="00AB729D">
        <w:rPr>
          <w:rFonts w:ascii="Times New Roman" w:eastAsia="Times New Roman" w:hAnsi="Times New Roman"/>
          <w:bCs/>
          <w:i/>
          <w:iCs/>
          <w:sz w:val="20"/>
          <w:szCs w:val="20"/>
        </w:rPr>
        <w:t>IOV</w:t>
      </w:r>
      <w:r w:rsidRPr="00AB729D">
        <w:rPr>
          <w:rFonts w:ascii="Times New Roman" w:eastAsia="Times New Roman" w:hAnsi="Times New Roman"/>
          <w:bCs/>
          <w:sz w:val="20"/>
          <w:szCs w:val="20"/>
        </w:rPr>
        <w:t xml:space="preserve"> is calculated as the average standard deviation of shareholding proportion</w:t>
      </w:r>
      <w:r w:rsidR="00AB0856" w:rsidRPr="00AB729D">
        <w:rPr>
          <w:rFonts w:ascii="Times New Roman" w:eastAsia="Times New Roman" w:hAnsi="Times New Roman"/>
          <w:bCs/>
          <w:sz w:val="20"/>
          <w:szCs w:val="20"/>
        </w:rPr>
        <w:t>s</w:t>
      </w:r>
      <w:r w:rsidRPr="00AB729D">
        <w:rPr>
          <w:rFonts w:ascii="Times New Roman" w:eastAsia="Times New Roman" w:hAnsi="Times New Roman"/>
          <w:bCs/>
          <w:sz w:val="20"/>
          <w:szCs w:val="20"/>
        </w:rPr>
        <w:t xml:space="preserve"> across all the institutional owners over a five-year period. </w:t>
      </w:r>
      <w:r w:rsidRPr="00AB729D">
        <w:rPr>
          <w:rFonts w:ascii="Times New Roman" w:eastAsia="Times New Roman" w:hAnsi="Times New Roman"/>
          <w:i/>
          <w:iCs/>
          <w:sz w:val="20"/>
          <w:szCs w:val="20"/>
        </w:rPr>
        <w:t xml:space="preserve">DED, QIX </w:t>
      </w:r>
      <w:r w:rsidRPr="00AB729D">
        <w:rPr>
          <w:rFonts w:ascii="Times New Roman" w:eastAsia="Times New Roman" w:hAnsi="Times New Roman"/>
          <w:sz w:val="20"/>
          <w:szCs w:val="20"/>
        </w:rPr>
        <w:t>and</w:t>
      </w:r>
      <w:r w:rsidRPr="00AB729D">
        <w:rPr>
          <w:rFonts w:ascii="Times New Roman" w:eastAsia="Times New Roman" w:hAnsi="Times New Roman"/>
          <w:i/>
          <w:iCs/>
          <w:sz w:val="20"/>
          <w:szCs w:val="20"/>
        </w:rPr>
        <w:t xml:space="preserve"> TRA</w:t>
      </w:r>
      <w:r w:rsidRPr="00AB729D">
        <w:rPr>
          <w:rFonts w:ascii="Times New Roman" w:eastAsia="Times New Roman" w:hAnsi="Times New Roman"/>
          <w:sz w:val="20"/>
          <w:szCs w:val="20"/>
        </w:rPr>
        <w:t xml:space="preserve"> </w:t>
      </w:r>
      <w:r w:rsidR="00AB0856" w:rsidRPr="00AB729D">
        <w:rPr>
          <w:rFonts w:ascii="Times New Roman" w:eastAsia="Times New Roman" w:hAnsi="Times New Roman"/>
          <w:sz w:val="20"/>
          <w:szCs w:val="20"/>
        </w:rPr>
        <w:t xml:space="preserve">represent </w:t>
      </w:r>
      <w:r w:rsidRPr="00AB729D">
        <w:rPr>
          <w:rFonts w:ascii="Times New Roman" w:eastAsia="Times New Roman" w:hAnsi="Times New Roman"/>
          <w:sz w:val="20"/>
          <w:szCs w:val="20"/>
        </w:rPr>
        <w:t>the proportion of the investee firms that are held by dedicated, quasi-indexers and transient institutional investors, respectively.</w:t>
      </w:r>
      <w:r w:rsidR="00941F8E" w:rsidRPr="00AB729D">
        <w:rPr>
          <w:rFonts w:ascii="Times New Roman" w:eastAsia="Times New Roman" w:hAnsi="Times New Roman"/>
          <w:sz w:val="20"/>
          <w:szCs w:val="20"/>
        </w:rPr>
        <w:t xml:space="preserve"> </w:t>
      </w:r>
      <w:r w:rsidR="00FA2BC9" w:rsidRPr="00AB729D">
        <w:rPr>
          <w:rFonts w:ascii="Times New Roman" w:hAnsi="Times New Roman"/>
          <w:sz w:val="20"/>
          <w:szCs w:val="20"/>
        </w:rPr>
        <w:t>LN_SALE</w:t>
      </w:r>
      <w:r w:rsidR="00FA2BC9" w:rsidRPr="00AB729D">
        <w:rPr>
          <w:rFonts w:ascii="Times New Roman" w:eastAsiaTheme="minorHAnsi" w:hAnsi="Times New Roman"/>
          <w:sz w:val="20"/>
          <w:szCs w:val="20"/>
        </w:rPr>
        <w:t xml:space="preserve"> is</w:t>
      </w:r>
      <w:r w:rsidR="00FA2BC9" w:rsidRPr="00AB729D">
        <w:rPr>
          <w:rFonts w:ascii="Times New Roman" w:hAnsi="Times New Roman"/>
          <w:sz w:val="20"/>
          <w:szCs w:val="20"/>
        </w:rPr>
        <w:t xml:space="preserve"> measured as the natural logarithm of total sales. LEV is measured as book value of debt (sum of long-term debt and debt in current liabilities) divided by total assets. ROA is defined as operating income before depreciation divided by total assets. LN_AGE is measured by the natural logarithm of one plus the number of years the firm is listed on </w:t>
      </w:r>
      <w:proofErr w:type="spellStart"/>
      <w:r w:rsidR="00FA2BC9" w:rsidRPr="00AB729D">
        <w:rPr>
          <w:rFonts w:ascii="Times New Roman" w:hAnsi="Times New Roman"/>
          <w:sz w:val="20"/>
          <w:szCs w:val="20"/>
        </w:rPr>
        <w:t>Compustat</w:t>
      </w:r>
      <w:proofErr w:type="spellEnd"/>
      <w:r w:rsidR="00FA2BC9" w:rsidRPr="00AB729D">
        <w:rPr>
          <w:rFonts w:ascii="Times New Roman" w:hAnsi="Times New Roman"/>
          <w:sz w:val="20"/>
          <w:szCs w:val="20"/>
        </w:rPr>
        <w:t xml:space="preserve">. DY is computed as the ratio of dividend to </w:t>
      </w:r>
      <w:r w:rsidR="00AB0856" w:rsidRPr="00AB729D">
        <w:rPr>
          <w:rFonts w:ascii="Times New Roman" w:hAnsi="Times New Roman"/>
          <w:sz w:val="20"/>
          <w:szCs w:val="20"/>
        </w:rPr>
        <w:t>the firm’s</w:t>
      </w:r>
      <w:r w:rsidR="00FA2BC9" w:rsidRPr="00AB729D">
        <w:rPr>
          <w:rFonts w:ascii="Times New Roman" w:hAnsi="Times New Roman"/>
          <w:sz w:val="20"/>
          <w:szCs w:val="20"/>
        </w:rPr>
        <w:t xml:space="preserve"> market value.</w:t>
      </w:r>
    </w:p>
    <w:p w14:paraId="4565038B" w14:textId="1D13DC70" w:rsidR="00741DF5" w:rsidRPr="00AB729D" w:rsidRDefault="00741DF5" w:rsidP="00B11248">
      <w:pPr>
        <w:autoSpaceDE w:val="0"/>
        <w:autoSpaceDN w:val="0"/>
        <w:adjustRightInd w:val="0"/>
        <w:spacing w:after="0" w:line="240" w:lineRule="auto"/>
        <w:jc w:val="both"/>
        <w:rPr>
          <w:rFonts w:ascii="Times New Roman" w:eastAsia="Times New Roman" w:hAnsi="Times New Roman"/>
          <w:sz w:val="20"/>
          <w:szCs w:val="20"/>
        </w:rPr>
      </w:pPr>
    </w:p>
    <w:p w14:paraId="4F45C8DB" w14:textId="77777777" w:rsidR="001F21FE" w:rsidRPr="00AB729D" w:rsidRDefault="001F21FE" w:rsidP="001F21FE"/>
    <w:p w14:paraId="43375FD6" w14:textId="77777777" w:rsidR="001F21FE" w:rsidRPr="00AB729D" w:rsidRDefault="001F21FE">
      <w:pPr>
        <w:spacing w:after="160" w:line="259" w:lineRule="auto"/>
      </w:pPr>
      <w:r w:rsidRPr="00AB729D">
        <w:br w:type="page"/>
      </w:r>
    </w:p>
    <w:p w14:paraId="3E646C42" w14:textId="77777777" w:rsidR="00741DF5" w:rsidRPr="00AB729D" w:rsidRDefault="00741DF5" w:rsidP="001F21FE">
      <w:pPr>
        <w:sectPr w:rsidR="00741DF5" w:rsidRPr="00AB729D" w:rsidSect="008D4216">
          <w:footerReference w:type="default" r:id="rId8"/>
          <w:pgSz w:w="12240" w:h="15840"/>
          <w:pgMar w:top="1440" w:right="1440" w:bottom="1440" w:left="1440" w:header="720" w:footer="720" w:gutter="0"/>
          <w:cols w:space="720"/>
          <w:docGrid w:linePitch="360"/>
        </w:sectPr>
      </w:pPr>
    </w:p>
    <w:tbl>
      <w:tblPr>
        <w:tblW w:w="11760" w:type="dxa"/>
        <w:tblLook w:val="04A0" w:firstRow="1" w:lastRow="0" w:firstColumn="1" w:lastColumn="0" w:noHBand="0" w:noVBand="1"/>
      </w:tblPr>
      <w:tblGrid>
        <w:gridCol w:w="2336"/>
        <w:gridCol w:w="1136"/>
        <w:gridCol w:w="1076"/>
        <w:gridCol w:w="956"/>
        <w:gridCol w:w="1056"/>
        <w:gridCol w:w="1170"/>
        <w:gridCol w:w="1096"/>
        <w:gridCol w:w="1056"/>
        <w:gridCol w:w="1136"/>
        <w:gridCol w:w="936"/>
      </w:tblGrid>
      <w:tr w:rsidR="00272B18" w:rsidRPr="00AB729D" w14:paraId="517F34D4" w14:textId="77777777" w:rsidTr="00741DF5">
        <w:trPr>
          <w:trHeight w:val="300"/>
        </w:trPr>
        <w:tc>
          <w:tcPr>
            <w:tcW w:w="2336" w:type="dxa"/>
            <w:tcBorders>
              <w:top w:val="nil"/>
              <w:left w:val="nil"/>
              <w:bottom w:val="nil"/>
              <w:right w:val="nil"/>
            </w:tcBorders>
            <w:shd w:val="clear" w:color="auto" w:fill="auto"/>
            <w:noWrap/>
            <w:vAlign w:val="bottom"/>
            <w:hideMark/>
          </w:tcPr>
          <w:p w14:paraId="2D99FFD0" w14:textId="50AD3EB9" w:rsidR="00741DF5" w:rsidRPr="00AB729D" w:rsidRDefault="00741DF5" w:rsidP="00F13217">
            <w:pPr>
              <w:spacing w:after="0" w:line="240" w:lineRule="auto"/>
              <w:jc w:val="center"/>
              <w:rPr>
                <w:rFonts w:ascii="Times New Roman" w:eastAsia="Times New Roman" w:hAnsi="Times New Roman"/>
                <w:b/>
                <w:bCs/>
              </w:rPr>
            </w:pPr>
            <w:r w:rsidRPr="00AB729D">
              <w:rPr>
                <w:rFonts w:ascii="Times New Roman" w:eastAsia="Times New Roman" w:hAnsi="Times New Roman"/>
                <w:b/>
                <w:bCs/>
              </w:rPr>
              <w:lastRenderedPageBreak/>
              <w:t xml:space="preserve">Table </w:t>
            </w:r>
            <w:r w:rsidR="00F13217" w:rsidRPr="00AB729D">
              <w:rPr>
                <w:rFonts w:ascii="Times New Roman" w:eastAsia="Times New Roman" w:hAnsi="Times New Roman"/>
                <w:b/>
                <w:bCs/>
              </w:rPr>
              <w:t>3</w:t>
            </w:r>
            <w:r w:rsidRPr="00AB729D">
              <w:rPr>
                <w:rFonts w:ascii="Times New Roman" w:eastAsia="Times New Roman" w:hAnsi="Times New Roman"/>
                <w:b/>
                <w:bCs/>
              </w:rPr>
              <w:t>:  Correlations</w:t>
            </w:r>
          </w:p>
          <w:p w14:paraId="07F78E41" w14:textId="77777777" w:rsidR="00741DF5" w:rsidRPr="00AB729D" w:rsidRDefault="00741DF5" w:rsidP="00741DF5">
            <w:pPr>
              <w:spacing w:after="0" w:line="240" w:lineRule="auto"/>
              <w:jc w:val="center"/>
              <w:rPr>
                <w:rFonts w:ascii="Times New Roman" w:eastAsia="Times New Roman" w:hAnsi="Times New Roman"/>
                <w:b/>
                <w:bCs/>
              </w:rPr>
            </w:pPr>
          </w:p>
        </w:tc>
        <w:tc>
          <w:tcPr>
            <w:tcW w:w="1136" w:type="dxa"/>
            <w:tcBorders>
              <w:top w:val="nil"/>
              <w:left w:val="nil"/>
              <w:bottom w:val="nil"/>
              <w:right w:val="nil"/>
            </w:tcBorders>
            <w:shd w:val="clear" w:color="auto" w:fill="auto"/>
            <w:noWrap/>
            <w:vAlign w:val="bottom"/>
            <w:hideMark/>
          </w:tcPr>
          <w:p w14:paraId="3F19163A" w14:textId="77777777" w:rsidR="00741DF5" w:rsidRPr="00AB729D" w:rsidRDefault="00741DF5" w:rsidP="00741DF5">
            <w:pPr>
              <w:spacing w:after="0" w:line="240" w:lineRule="auto"/>
              <w:jc w:val="center"/>
              <w:rPr>
                <w:rFonts w:ascii="Times New Roman" w:eastAsia="Times New Roman" w:hAnsi="Times New Roman"/>
                <w:b/>
                <w:bCs/>
              </w:rPr>
            </w:pPr>
          </w:p>
        </w:tc>
        <w:tc>
          <w:tcPr>
            <w:tcW w:w="1076" w:type="dxa"/>
            <w:tcBorders>
              <w:top w:val="nil"/>
              <w:left w:val="nil"/>
              <w:bottom w:val="nil"/>
              <w:right w:val="nil"/>
            </w:tcBorders>
            <w:shd w:val="clear" w:color="auto" w:fill="auto"/>
            <w:noWrap/>
            <w:vAlign w:val="bottom"/>
            <w:hideMark/>
          </w:tcPr>
          <w:p w14:paraId="407674E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56" w:type="dxa"/>
            <w:tcBorders>
              <w:top w:val="nil"/>
              <w:left w:val="nil"/>
              <w:bottom w:val="nil"/>
              <w:right w:val="nil"/>
            </w:tcBorders>
            <w:shd w:val="clear" w:color="auto" w:fill="auto"/>
            <w:noWrap/>
            <w:vAlign w:val="bottom"/>
            <w:hideMark/>
          </w:tcPr>
          <w:p w14:paraId="1B6FA6D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56" w:type="dxa"/>
            <w:tcBorders>
              <w:top w:val="nil"/>
              <w:left w:val="nil"/>
              <w:bottom w:val="nil"/>
              <w:right w:val="nil"/>
            </w:tcBorders>
            <w:shd w:val="clear" w:color="auto" w:fill="auto"/>
            <w:noWrap/>
            <w:vAlign w:val="bottom"/>
            <w:hideMark/>
          </w:tcPr>
          <w:p w14:paraId="2560A00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06E74A0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720F346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56" w:type="dxa"/>
            <w:tcBorders>
              <w:top w:val="nil"/>
              <w:left w:val="nil"/>
              <w:bottom w:val="nil"/>
              <w:right w:val="nil"/>
            </w:tcBorders>
            <w:shd w:val="clear" w:color="auto" w:fill="auto"/>
            <w:noWrap/>
            <w:vAlign w:val="bottom"/>
            <w:hideMark/>
          </w:tcPr>
          <w:p w14:paraId="4C5A08B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350C4DD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3412D4EC"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1CE2120C" w14:textId="77777777" w:rsidTr="00741DF5">
        <w:trPr>
          <w:trHeight w:val="300"/>
        </w:trPr>
        <w:tc>
          <w:tcPr>
            <w:tcW w:w="2336" w:type="dxa"/>
            <w:tcBorders>
              <w:top w:val="single" w:sz="4" w:space="0" w:color="auto"/>
              <w:left w:val="nil"/>
              <w:bottom w:val="single" w:sz="4" w:space="0" w:color="auto"/>
              <w:right w:val="nil"/>
            </w:tcBorders>
            <w:shd w:val="clear" w:color="auto" w:fill="auto"/>
            <w:noWrap/>
            <w:vAlign w:val="bottom"/>
            <w:hideMark/>
          </w:tcPr>
          <w:p w14:paraId="181A93B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136" w:type="dxa"/>
            <w:tcBorders>
              <w:top w:val="single" w:sz="4" w:space="0" w:color="auto"/>
              <w:left w:val="nil"/>
              <w:bottom w:val="single" w:sz="4" w:space="0" w:color="auto"/>
              <w:right w:val="nil"/>
            </w:tcBorders>
            <w:shd w:val="clear" w:color="auto" w:fill="auto"/>
            <w:noWrap/>
            <w:vAlign w:val="bottom"/>
            <w:hideMark/>
          </w:tcPr>
          <w:p w14:paraId="5911ECE4"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EXVRK</w:t>
            </w:r>
          </w:p>
          <w:p w14:paraId="4EA1A022" w14:textId="47C7DA63"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076" w:type="dxa"/>
            <w:tcBorders>
              <w:top w:val="single" w:sz="4" w:space="0" w:color="auto"/>
              <w:left w:val="nil"/>
              <w:bottom w:val="single" w:sz="4" w:space="0" w:color="auto"/>
              <w:right w:val="nil"/>
            </w:tcBorders>
            <w:shd w:val="clear" w:color="auto" w:fill="auto"/>
            <w:noWrap/>
            <w:vAlign w:val="bottom"/>
            <w:hideMark/>
          </w:tcPr>
          <w:p w14:paraId="77263DEC"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EXVIA</w:t>
            </w:r>
          </w:p>
          <w:p w14:paraId="29890B39" w14:textId="060E8C3A"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w:t>
            </w:r>
          </w:p>
        </w:tc>
        <w:tc>
          <w:tcPr>
            <w:tcW w:w="956" w:type="dxa"/>
            <w:tcBorders>
              <w:top w:val="single" w:sz="4" w:space="0" w:color="auto"/>
              <w:left w:val="nil"/>
              <w:bottom w:val="single" w:sz="4" w:space="0" w:color="auto"/>
              <w:right w:val="nil"/>
            </w:tcBorders>
            <w:shd w:val="clear" w:color="auto" w:fill="auto"/>
            <w:noWrap/>
            <w:vAlign w:val="bottom"/>
            <w:hideMark/>
          </w:tcPr>
          <w:p w14:paraId="0B147BAA"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PROP</w:t>
            </w:r>
          </w:p>
          <w:p w14:paraId="09805F81" w14:textId="4BAB70D5"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w:t>
            </w:r>
          </w:p>
        </w:tc>
        <w:tc>
          <w:tcPr>
            <w:tcW w:w="1056" w:type="dxa"/>
            <w:tcBorders>
              <w:top w:val="single" w:sz="4" w:space="0" w:color="auto"/>
              <w:left w:val="nil"/>
              <w:bottom w:val="single" w:sz="4" w:space="0" w:color="auto"/>
              <w:right w:val="nil"/>
            </w:tcBorders>
            <w:shd w:val="clear" w:color="auto" w:fill="auto"/>
            <w:noWrap/>
            <w:vAlign w:val="bottom"/>
            <w:hideMark/>
          </w:tcPr>
          <w:p w14:paraId="5BCC13CD"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IOV</w:t>
            </w:r>
          </w:p>
          <w:p w14:paraId="1CDC8A84" w14:textId="2439E32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w:t>
            </w:r>
          </w:p>
        </w:tc>
        <w:tc>
          <w:tcPr>
            <w:tcW w:w="976" w:type="dxa"/>
            <w:tcBorders>
              <w:top w:val="single" w:sz="4" w:space="0" w:color="auto"/>
              <w:left w:val="nil"/>
              <w:bottom w:val="single" w:sz="4" w:space="0" w:color="auto"/>
              <w:right w:val="nil"/>
            </w:tcBorders>
            <w:shd w:val="clear" w:color="auto" w:fill="auto"/>
            <w:noWrap/>
            <w:vAlign w:val="bottom"/>
            <w:hideMark/>
          </w:tcPr>
          <w:p w14:paraId="0BC2801D"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LN_SALE</w:t>
            </w:r>
          </w:p>
          <w:p w14:paraId="53BABBB3" w14:textId="7D0A35E5"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w:t>
            </w:r>
          </w:p>
        </w:tc>
        <w:tc>
          <w:tcPr>
            <w:tcW w:w="1096" w:type="dxa"/>
            <w:tcBorders>
              <w:top w:val="single" w:sz="4" w:space="0" w:color="auto"/>
              <w:left w:val="nil"/>
              <w:bottom w:val="single" w:sz="4" w:space="0" w:color="auto"/>
              <w:right w:val="nil"/>
            </w:tcBorders>
            <w:shd w:val="clear" w:color="auto" w:fill="auto"/>
            <w:noWrap/>
            <w:vAlign w:val="bottom"/>
            <w:hideMark/>
          </w:tcPr>
          <w:p w14:paraId="4ECEBAB5"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LEV</w:t>
            </w:r>
          </w:p>
          <w:p w14:paraId="3DBFA263" w14:textId="2C338053"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w:t>
            </w:r>
          </w:p>
        </w:tc>
        <w:tc>
          <w:tcPr>
            <w:tcW w:w="1056" w:type="dxa"/>
            <w:tcBorders>
              <w:top w:val="single" w:sz="4" w:space="0" w:color="auto"/>
              <w:left w:val="nil"/>
              <w:bottom w:val="single" w:sz="4" w:space="0" w:color="auto"/>
              <w:right w:val="nil"/>
            </w:tcBorders>
            <w:shd w:val="clear" w:color="auto" w:fill="auto"/>
            <w:noWrap/>
            <w:vAlign w:val="bottom"/>
            <w:hideMark/>
          </w:tcPr>
          <w:p w14:paraId="7BC57A11" w14:textId="7103A9A8" w:rsidR="00741DF5"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ROA</w:t>
            </w:r>
            <w:r w:rsidRPr="00AB729D">
              <w:rPr>
                <w:rFonts w:ascii="Times New Roman" w:eastAsia="Times New Roman" w:hAnsi="Times New Roman"/>
              </w:rPr>
              <w:br/>
            </w:r>
            <w:r w:rsidR="00741DF5" w:rsidRPr="00AB729D">
              <w:rPr>
                <w:rFonts w:ascii="Times New Roman" w:eastAsia="Times New Roman" w:hAnsi="Times New Roman"/>
              </w:rPr>
              <w:t>(7)</w:t>
            </w:r>
          </w:p>
        </w:tc>
        <w:tc>
          <w:tcPr>
            <w:tcW w:w="1136" w:type="dxa"/>
            <w:tcBorders>
              <w:top w:val="single" w:sz="4" w:space="0" w:color="auto"/>
              <w:left w:val="nil"/>
              <w:bottom w:val="single" w:sz="4" w:space="0" w:color="auto"/>
              <w:right w:val="nil"/>
            </w:tcBorders>
            <w:shd w:val="clear" w:color="auto" w:fill="auto"/>
            <w:noWrap/>
            <w:vAlign w:val="bottom"/>
            <w:hideMark/>
          </w:tcPr>
          <w:p w14:paraId="3B30907C"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LN_AGE</w:t>
            </w:r>
          </w:p>
          <w:p w14:paraId="61E8D0AA" w14:textId="568B5B0B"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w:t>
            </w:r>
          </w:p>
        </w:tc>
        <w:tc>
          <w:tcPr>
            <w:tcW w:w="936" w:type="dxa"/>
            <w:tcBorders>
              <w:top w:val="single" w:sz="4" w:space="0" w:color="auto"/>
              <w:left w:val="nil"/>
              <w:bottom w:val="single" w:sz="4" w:space="0" w:color="auto"/>
              <w:right w:val="nil"/>
            </w:tcBorders>
            <w:shd w:val="clear" w:color="auto" w:fill="auto"/>
            <w:noWrap/>
            <w:vAlign w:val="bottom"/>
            <w:hideMark/>
          </w:tcPr>
          <w:p w14:paraId="64038786" w14:textId="77777777" w:rsidR="0081273E" w:rsidRPr="00AB729D" w:rsidRDefault="0081273E" w:rsidP="00741DF5">
            <w:pPr>
              <w:spacing w:after="0" w:line="240" w:lineRule="auto"/>
              <w:jc w:val="center"/>
              <w:rPr>
                <w:rFonts w:ascii="Times New Roman" w:eastAsia="Times New Roman" w:hAnsi="Times New Roman"/>
              </w:rPr>
            </w:pPr>
            <w:r w:rsidRPr="00AB729D">
              <w:rPr>
                <w:rFonts w:ascii="Times New Roman" w:eastAsia="Times New Roman" w:hAnsi="Times New Roman"/>
              </w:rPr>
              <w:t>DY</w:t>
            </w:r>
          </w:p>
          <w:p w14:paraId="3B99F894" w14:textId="78A81A3D"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w:t>
            </w:r>
          </w:p>
        </w:tc>
      </w:tr>
      <w:tr w:rsidR="00272B18" w:rsidRPr="00AB729D" w14:paraId="65A95732" w14:textId="77777777" w:rsidTr="00741DF5">
        <w:trPr>
          <w:trHeight w:val="300"/>
        </w:trPr>
        <w:tc>
          <w:tcPr>
            <w:tcW w:w="2336" w:type="dxa"/>
            <w:tcBorders>
              <w:top w:val="nil"/>
              <w:left w:val="nil"/>
              <w:bottom w:val="nil"/>
              <w:right w:val="nil"/>
            </w:tcBorders>
            <w:shd w:val="clear" w:color="auto" w:fill="auto"/>
            <w:noWrap/>
            <w:vAlign w:val="bottom"/>
            <w:hideMark/>
          </w:tcPr>
          <w:p w14:paraId="27DB0664" w14:textId="08BCFE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136" w:type="dxa"/>
            <w:tcBorders>
              <w:top w:val="nil"/>
              <w:left w:val="nil"/>
              <w:bottom w:val="nil"/>
              <w:right w:val="nil"/>
            </w:tcBorders>
            <w:shd w:val="clear" w:color="auto" w:fill="auto"/>
            <w:noWrap/>
            <w:vAlign w:val="bottom"/>
            <w:hideMark/>
          </w:tcPr>
          <w:p w14:paraId="1890EE5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076" w:type="dxa"/>
            <w:tcBorders>
              <w:top w:val="nil"/>
              <w:left w:val="nil"/>
              <w:bottom w:val="nil"/>
              <w:right w:val="nil"/>
            </w:tcBorders>
            <w:shd w:val="clear" w:color="auto" w:fill="auto"/>
            <w:hideMark/>
          </w:tcPr>
          <w:p w14:paraId="0B153CEE" w14:textId="77777777" w:rsidR="00741DF5" w:rsidRPr="00AB729D" w:rsidRDefault="00741DF5" w:rsidP="00741DF5">
            <w:pPr>
              <w:spacing w:after="0" w:line="240" w:lineRule="auto"/>
              <w:jc w:val="center"/>
              <w:rPr>
                <w:rFonts w:ascii="Times New Roman" w:eastAsia="Times New Roman" w:hAnsi="Times New Roman"/>
              </w:rPr>
            </w:pPr>
          </w:p>
        </w:tc>
        <w:tc>
          <w:tcPr>
            <w:tcW w:w="956" w:type="dxa"/>
            <w:tcBorders>
              <w:top w:val="nil"/>
              <w:left w:val="nil"/>
              <w:bottom w:val="nil"/>
              <w:right w:val="nil"/>
            </w:tcBorders>
            <w:shd w:val="clear" w:color="auto" w:fill="auto"/>
            <w:noWrap/>
            <w:hideMark/>
          </w:tcPr>
          <w:p w14:paraId="48CF337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56" w:type="dxa"/>
            <w:tcBorders>
              <w:top w:val="nil"/>
              <w:left w:val="nil"/>
              <w:bottom w:val="nil"/>
              <w:right w:val="nil"/>
            </w:tcBorders>
            <w:shd w:val="clear" w:color="auto" w:fill="auto"/>
            <w:noWrap/>
            <w:hideMark/>
          </w:tcPr>
          <w:p w14:paraId="4FF5BD6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2171326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0EA8570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56" w:type="dxa"/>
            <w:tcBorders>
              <w:top w:val="nil"/>
              <w:left w:val="nil"/>
              <w:bottom w:val="nil"/>
              <w:right w:val="nil"/>
            </w:tcBorders>
            <w:shd w:val="clear" w:color="auto" w:fill="auto"/>
            <w:noWrap/>
            <w:vAlign w:val="bottom"/>
            <w:hideMark/>
          </w:tcPr>
          <w:p w14:paraId="6B1FF37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3CD394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331C7460"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446DBB61" w14:textId="77777777" w:rsidTr="00741DF5">
        <w:trPr>
          <w:trHeight w:val="300"/>
        </w:trPr>
        <w:tc>
          <w:tcPr>
            <w:tcW w:w="2336" w:type="dxa"/>
            <w:tcBorders>
              <w:top w:val="nil"/>
              <w:left w:val="nil"/>
              <w:bottom w:val="nil"/>
              <w:right w:val="nil"/>
            </w:tcBorders>
            <w:shd w:val="clear" w:color="auto" w:fill="auto"/>
            <w:noWrap/>
            <w:vAlign w:val="bottom"/>
            <w:hideMark/>
          </w:tcPr>
          <w:p w14:paraId="2C830E9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w:t>
            </w:r>
          </w:p>
        </w:tc>
        <w:tc>
          <w:tcPr>
            <w:tcW w:w="1136" w:type="dxa"/>
            <w:tcBorders>
              <w:top w:val="nil"/>
              <w:left w:val="nil"/>
              <w:bottom w:val="nil"/>
              <w:right w:val="nil"/>
            </w:tcBorders>
            <w:shd w:val="clear" w:color="auto" w:fill="auto"/>
            <w:noWrap/>
            <w:vAlign w:val="bottom"/>
            <w:hideMark/>
          </w:tcPr>
          <w:p w14:paraId="3AD30F7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0.2859*  </w:t>
            </w:r>
          </w:p>
        </w:tc>
        <w:tc>
          <w:tcPr>
            <w:tcW w:w="1076" w:type="dxa"/>
            <w:tcBorders>
              <w:top w:val="nil"/>
              <w:left w:val="nil"/>
              <w:bottom w:val="nil"/>
              <w:right w:val="nil"/>
            </w:tcBorders>
            <w:shd w:val="clear" w:color="auto" w:fill="auto"/>
            <w:noWrap/>
            <w:vAlign w:val="bottom"/>
            <w:hideMark/>
          </w:tcPr>
          <w:p w14:paraId="4E044D6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956" w:type="dxa"/>
            <w:tcBorders>
              <w:top w:val="nil"/>
              <w:left w:val="nil"/>
              <w:bottom w:val="nil"/>
              <w:right w:val="nil"/>
            </w:tcBorders>
            <w:shd w:val="clear" w:color="auto" w:fill="auto"/>
            <w:noWrap/>
            <w:vAlign w:val="bottom"/>
            <w:hideMark/>
          </w:tcPr>
          <w:p w14:paraId="161B0D3E" w14:textId="77777777" w:rsidR="00741DF5" w:rsidRPr="00AB729D" w:rsidRDefault="00741DF5" w:rsidP="00741DF5">
            <w:pPr>
              <w:spacing w:after="0" w:line="240" w:lineRule="auto"/>
              <w:jc w:val="center"/>
              <w:rPr>
                <w:rFonts w:ascii="Times New Roman" w:eastAsia="Times New Roman" w:hAnsi="Times New Roman"/>
              </w:rPr>
            </w:pPr>
          </w:p>
        </w:tc>
        <w:tc>
          <w:tcPr>
            <w:tcW w:w="1056" w:type="dxa"/>
            <w:tcBorders>
              <w:top w:val="nil"/>
              <w:left w:val="nil"/>
              <w:bottom w:val="nil"/>
              <w:right w:val="nil"/>
            </w:tcBorders>
            <w:shd w:val="clear" w:color="auto" w:fill="auto"/>
            <w:noWrap/>
            <w:vAlign w:val="bottom"/>
            <w:hideMark/>
          </w:tcPr>
          <w:p w14:paraId="26D7B14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3BB9D68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6366CC2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56" w:type="dxa"/>
            <w:tcBorders>
              <w:top w:val="nil"/>
              <w:left w:val="nil"/>
              <w:bottom w:val="nil"/>
              <w:right w:val="nil"/>
            </w:tcBorders>
            <w:shd w:val="clear" w:color="auto" w:fill="auto"/>
            <w:noWrap/>
            <w:vAlign w:val="bottom"/>
            <w:hideMark/>
          </w:tcPr>
          <w:p w14:paraId="79B3FF3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0951C5A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21188331"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518945E6" w14:textId="77777777" w:rsidTr="00741DF5">
        <w:trPr>
          <w:trHeight w:val="300"/>
        </w:trPr>
        <w:tc>
          <w:tcPr>
            <w:tcW w:w="2336" w:type="dxa"/>
            <w:tcBorders>
              <w:top w:val="nil"/>
              <w:left w:val="nil"/>
              <w:bottom w:val="nil"/>
              <w:right w:val="nil"/>
            </w:tcBorders>
            <w:shd w:val="clear" w:color="auto" w:fill="auto"/>
            <w:noWrap/>
            <w:vAlign w:val="bottom"/>
            <w:hideMark/>
          </w:tcPr>
          <w:p w14:paraId="40BA442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w:t>
            </w:r>
          </w:p>
        </w:tc>
        <w:tc>
          <w:tcPr>
            <w:tcW w:w="1136" w:type="dxa"/>
            <w:tcBorders>
              <w:top w:val="nil"/>
              <w:left w:val="nil"/>
              <w:bottom w:val="nil"/>
              <w:right w:val="nil"/>
            </w:tcBorders>
            <w:shd w:val="clear" w:color="auto" w:fill="auto"/>
            <w:noWrap/>
            <w:vAlign w:val="bottom"/>
            <w:hideMark/>
          </w:tcPr>
          <w:p w14:paraId="44D4F2F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-0.0718* </w:t>
            </w:r>
          </w:p>
        </w:tc>
        <w:tc>
          <w:tcPr>
            <w:tcW w:w="1076" w:type="dxa"/>
            <w:tcBorders>
              <w:top w:val="nil"/>
              <w:left w:val="nil"/>
              <w:bottom w:val="nil"/>
              <w:right w:val="nil"/>
            </w:tcBorders>
            <w:shd w:val="clear" w:color="auto" w:fill="auto"/>
            <w:noWrap/>
            <w:vAlign w:val="bottom"/>
            <w:hideMark/>
          </w:tcPr>
          <w:p w14:paraId="387AD2E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-0.0616*</w:t>
            </w:r>
          </w:p>
        </w:tc>
        <w:tc>
          <w:tcPr>
            <w:tcW w:w="956" w:type="dxa"/>
            <w:tcBorders>
              <w:top w:val="nil"/>
              <w:left w:val="nil"/>
              <w:bottom w:val="nil"/>
              <w:right w:val="nil"/>
            </w:tcBorders>
            <w:shd w:val="clear" w:color="auto" w:fill="auto"/>
            <w:noWrap/>
            <w:vAlign w:val="bottom"/>
            <w:hideMark/>
          </w:tcPr>
          <w:p w14:paraId="5AFA304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056" w:type="dxa"/>
            <w:tcBorders>
              <w:top w:val="nil"/>
              <w:left w:val="nil"/>
              <w:bottom w:val="nil"/>
              <w:right w:val="nil"/>
            </w:tcBorders>
            <w:shd w:val="clear" w:color="auto" w:fill="auto"/>
            <w:noWrap/>
            <w:vAlign w:val="bottom"/>
            <w:hideMark/>
          </w:tcPr>
          <w:p w14:paraId="4B1AE264" w14:textId="77777777" w:rsidR="00741DF5" w:rsidRPr="00AB729D" w:rsidRDefault="00741DF5" w:rsidP="00741DF5">
            <w:pPr>
              <w:spacing w:after="0" w:line="240" w:lineRule="auto"/>
              <w:jc w:val="center"/>
              <w:rPr>
                <w:rFonts w:ascii="Times New Roman" w:eastAsia="Times New Roman" w:hAnsi="Times New Roman"/>
              </w:rPr>
            </w:pPr>
          </w:p>
        </w:tc>
        <w:tc>
          <w:tcPr>
            <w:tcW w:w="976" w:type="dxa"/>
            <w:tcBorders>
              <w:top w:val="nil"/>
              <w:left w:val="nil"/>
              <w:bottom w:val="nil"/>
              <w:right w:val="nil"/>
            </w:tcBorders>
            <w:shd w:val="clear" w:color="auto" w:fill="auto"/>
            <w:noWrap/>
            <w:vAlign w:val="bottom"/>
            <w:hideMark/>
          </w:tcPr>
          <w:p w14:paraId="616C04E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0805AF7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56" w:type="dxa"/>
            <w:tcBorders>
              <w:top w:val="nil"/>
              <w:left w:val="nil"/>
              <w:bottom w:val="nil"/>
              <w:right w:val="nil"/>
            </w:tcBorders>
            <w:shd w:val="clear" w:color="auto" w:fill="auto"/>
            <w:noWrap/>
            <w:vAlign w:val="bottom"/>
            <w:hideMark/>
          </w:tcPr>
          <w:p w14:paraId="5D29715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19EE4C9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65FDB803"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7053011B" w14:textId="77777777" w:rsidTr="00741DF5">
        <w:trPr>
          <w:trHeight w:val="300"/>
        </w:trPr>
        <w:tc>
          <w:tcPr>
            <w:tcW w:w="2336" w:type="dxa"/>
            <w:tcBorders>
              <w:top w:val="nil"/>
              <w:left w:val="nil"/>
              <w:bottom w:val="nil"/>
              <w:right w:val="nil"/>
            </w:tcBorders>
            <w:shd w:val="clear" w:color="auto" w:fill="auto"/>
            <w:noWrap/>
            <w:vAlign w:val="bottom"/>
            <w:hideMark/>
          </w:tcPr>
          <w:p w14:paraId="1A4B573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w:t>
            </w:r>
          </w:p>
        </w:tc>
        <w:tc>
          <w:tcPr>
            <w:tcW w:w="1136" w:type="dxa"/>
            <w:tcBorders>
              <w:top w:val="nil"/>
              <w:left w:val="nil"/>
              <w:bottom w:val="nil"/>
              <w:right w:val="nil"/>
            </w:tcBorders>
            <w:shd w:val="clear" w:color="auto" w:fill="auto"/>
            <w:noWrap/>
            <w:vAlign w:val="bottom"/>
            <w:hideMark/>
          </w:tcPr>
          <w:p w14:paraId="575E41A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0.0236*</w:t>
            </w:r>
          </w:p>
        </w:tc>
        <w:tc>
          <w:tcPr>
            <w:tcW w:w="1076" w:type="dxa"/>
            <w:tcBorders>
              <w:top w:val="nil"/>
              <w:left w:val="nil"/>
              <w:bottom w:val="nil"/>
              <w:right w:val="nil"/>
            </w:tcBorders>
            <w:shd w:val="clear" w:color="auto" w:fill="auto"/>
            <w:noWrap/>
            <w:vAlign w:val="bottom"/>
            <w:hideMark/>
          </w:tcPr>
          <w:p w14:paraId="5608BD7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0.0694*</w:t>
            </w:r>
          </w:p>
        </w:tc>
        <w:tc>
          <w:tcPr>
            <w:tcW w:w="956" w:type="dxa"/>
            <w:tcBorders>
              <w:top w:val="nil"/>
              <w:left w:val="nil"/>
              <w:bottom w:val="nil"/>
              <w:right w:val="nil"/>
            </w:tcBorders>
            <w:shd w:val="clear" w:color="auto" w:fill="auto"/>
            <w:noWrap/>
            <w:vAlign w:val="bottom"/>
            <w:hideMark/>
          </w:tcPr>
          <w:p w14:paraId="2859615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0.1328*  </w:t>
            </w:r>
          </w:p>
        </w:tc>
        <w:tc>
          <w:tcPr>
            <w:tcW w:w="1056" w:type="dxa"/>
            <w:tcBorders>
              <w:top w:val="nil"/>
              <w:left w:val="nil"/>
              <w:bottom w:val="nil"/>
              <w:right w:val="nil"/>
            </w:tcBorders>
            <w:shd w:val="clear" w:color="auto" w:fill="auto"/>
            <w:noWrap/>
            <w:vAlign w:val="bottom"/>
            <w:hideMark/>
          </w:tcPr>
          <w:p w14:paraId="07F8EC2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976" w:type="dxa"/>
            <w:tcBorders>
              <w:top w:val="nil"/>
              <w:left w:val="nil"/>
              <w:bottom w:val="nil"/>
              <w:right w:val="nil"/>
            </w:tcBorders>
            <w:shd w:val="clear" w:color="auto" w:fill="auto"/>
            <w:noWrap/>
            <w:vAlign w:val="bottom"/>
            <w:hideMark/>
          </w:tcPr>
          <w:p w14:paraId="73894772" w14:textId="77777777" w:rsidR="00741DF5" w:rsidRPr="00AB729D" w:rsidRDefault="00741DF5" w:rsidP="00741DF5">
            <w:pPr>
              <w:spacing w:after="0" w:line="240" w:lineRule="auto"/>
              <w:jc w:val="center"/>
              <w:rPr>
                <w:rFonts w:ascii="Times New Roman" w:eastAsia="Times New Roman" w:hAnsi="Times New Roman"/>
              </w:rPr>
            </w:pPr>
          </w:p>
        </w:tc>
        <w:tc>
          <w:tcPr>
            <w:tcW w:w="1096" w:type="dxa"/>
            <w:tcBorders>
              <w:top w:val="nil"/>
              <w:left w:val="nil"/>
              <w:bottom w:val="nil"/>
              <w:right w:val="nil"/>
            </w:tcBorders>
            <w:shd w:val="clear" w:color="auto" w:fill="auto"/>
            <w:noWrap/>
            <w:vAlign w:val="bottom"/>
            <w:hideMark/>
          </w:tcPr>
          <w:p w14:paraId="7486DD1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56" w:type="dxa"/>
            <w:tcBorders>
              <w:top w:val="nil"/>
              <w:left w:val="nil"/>
              <w:bottom w:val="nil"/>
              <w:right w:val="nil"/>
            </w:tcBorders>
            <w:shd w:val="clear" w:color="auto" w:fill="auto"/>
            <w:noWrap/>
            <w:vAlign w:val="bottom"/>
            <w:hideMark/>
          </w:tcPr>
          <w:p w14:paraId="74DCC52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54841E2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6B853519"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5B4ADFC5" w14:textId="77777777" w:rsidTr="00741DF5">
        <w:trPr>
          <w:trHeight w:val="300"/>
        </w:trPr>
        <w:tc>
          <w:tcPr>
            <w:tcW w:w="2336" w:type="dxa"/>
            <w:tcBorders>
              <w:top w:val="nil"/>
              <w:left w:val="nil"/>
              <w:bottom w:val="nil"/>
              <w:right w:val="nil"/>
            </w:tcBorders>
            <w:shd w:val="clear" w:color="auto" w:fill="auto"/>
            <w:noWrap/>
            <w:vAlign w:val="bottom"/>
            <w:hideMark/>
          </w:tcPr>
          <w:p w14:paraId="3B5E60E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w:t>
            </w:r>
          </w:p>
        </w:tc>
        <w:tc>
          <w:tcPr>
            <w:tcW w:w="1136" w:type="dxa"/>
            <w:tcBorders>
              <w:top w:val="nil"/>
              <w:left w:val="nil"/>
              <w:bottom w:val="nil"/>
              <w:right w:val="nil"/>
            </w:tcBorders>
            <w:shd w:val="clear" w:color="auto" w:fill="auto"/>
            <w:noWrap/>
            <w:vAlign w:val="bottom"/>
            <w:hideMark/>
          </w:tcPr>
          <w:p w14:paraId="2EB8F7C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-0.1461* </w:t>
            </w:r>
          </w:p>
        </w:tc>
        <w:tc>
          <w:tcPr>
            <w:tcW w:w="1076" w:type="dxa"/>
            <w:tcBorders>
              <w:top w:val="nil"/>
              <w:left w:val="nil"/>
              <w:bottom w:val="nil"/>
              <w:right w:val="nil"/>
            </w:tcBorders>
            <w:shd w:val="clear" w:color="auto" w:fill="auto"/>
            <w:noWrap/>
            <w:vAlign w:val="bottom"/>
            <w:hideMark/>
          </w:tcPr>
          <w:p w14:paraId="09076A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-0.2536*</w:t>
            </w:r>
          </w:p>
        </w:tc>
        <w:tc>
          <w:tcPr>
            <w:tcW w:w="956" w:type="dxa"/>
            <w:tcBorders>
              <w:top w:val="nil"/>
              <w:left w:val="nil"/>
              <w:bottom w:val="nil"/>
              <w:right w:val="nil"/>
            </w:tcBorders>
            <w:shd w:val="clear" w:color="auto" w:fill="auto"/>
            <w:noWrap/>
            <w:vAlign w:val="bottom"/>
            <w:hideMark/>
          </w:tcPr>
          <w:p w14:paraId="7C9D34A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0.5566* </w:t>
            </w:r>
          </w:p>
        </w:tc>
        <w:tc>
          <w:tcPr>
            <w:tcW w:w="1056" w:type="dxa"/>
            <w:tcBorders>
              <w:top w:val="nil"/>
              <w:left w:val="nil"/>
              <w:bottom w:val="nil"/>
              <w:right w:val="nil"/>
            </w:tcBorders>
            <w:shd w:val="clear" w:color="auto" w:fill="auto"/>
            <w:noWrap/>
            <w:vAlign w:val="bottom"/>
            <w:hideMark/>
          </w:tcPr>
          <w:p w14:paraId="35F9B38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-0.1481*</w:t>
            </w:r>
          </w:p>
        </w:tc>
        <w:tc>
          <w:tcPr>
            <w:tcW w:w="976" w:type="dxa"/>
            <w:tcBorders>
              <w:top w:val="nil"/>
              <w:left w:val="nil"/>
              <w:bottom w:val="nil"/>
              <w:right w:val="nil"/>
            </w:tcBorders>
            <w:shd w:val="clear" w:color="auto" w:fill="auto"/>
            <w:noWrap/>
            <w:vAlign w:val="bottom"/>
            <w:hideMark/>
          </w:tcPr>
          <w:p w14:paraId="4767FE4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096" w:type="dxa"/>
            <w:tcBorders>
              <w:top w:val="nil"/>
              <w:left w:val="nil"/>
              <w:bottom w:val="nil"/>
              <w:right w:val="nil"/>
            </w:tcBorders>
            <w:shd w:val="clear" w:color="auto" w:fill="auto"/>
            <w:noWrap/>
            <w:vAlign w:val="bottom"/>
            <w:hideMark/>
          </w:tcPr>
          <w:p w14:paraId="7B91EBC3" w14:textId="77777777" w:rsidR="00741DF5" w:rsidRPr="00AB729D" w:rsidRDefault="00741DF5" w:rsidP="00741DF5">
            <w:pPr>
              <w:spacing w:after="0" w:line="240" w:lineRule="auto"/>
              <w:jc w:val="center"/>
              <w:rPr>
                <w:rFonts w:ascii="Times New Roman" w:eastAsia="Times New Roman" w:hAnsi="Times New Roman"/>
              </w:rPr>
            </w:pPr>
          </w:p>
        </w:tc>
        <w:tc>
          <w:tcPr>
            <w:tcW w:w="1056" w:type="dxa"/>
            <w:tcBorders>
              <w:top w:val="nil"/>
              <w:left w:val="nil"/>
              <w:bottom w:val="nil"/>
              <w:right w:val="nil"/>
            </w:tcBorders>
            <w:shd w:val="clear" w:color="auto" w:fill="auto"/>
            <w:noWrap/>
            <w:vAlign w:val="bottom"/>
            <w:hideMark/>
          </w:tcPr>
          <w:p w14:paraId="280E841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FEF122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noWrap/>
            <w:vAlign w:val="bottom"/>
            <w:hideMark/>
          </w:tcPr>
          <w:p w14:paraId="2197E578"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16FB26B0" w14:textId="77777777" w:rsidTr="00741DF5">
        <w:trPr>
          <w:trHeight w:val="300"/>
        </w:trPr>
        <w:tc>
          <w:tcPr>
            <w:tcW w:w="2336" w:type="dxa"/>
            <w:tcBorders>
              <w:top w:val="nil"/>
              <w:left w:val="nil"/>
              <w:bottom w:val="nil"/>
              <w:right w:val="nil"/>
            </w:tcBorders>
            <w:shd w:val="clear" w:color="auto" w:fill="auto"/>
            <w:noWrap/>
            <w:vAlign w:val="bottom"/>
            <w:hideMark/>
          </w:tcPr>
          <w:p w14:paraId="627764B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w:t>
            </w:r>
          </w:p>
        </w:tc>
        <w:tc>
          <w:tcPr>
            <w:tcW w:w="1136" w:type="dxa"/>
            <w:tcBorders>
              <w:top w:val="nil"/>
              <w:left w:val="nil"/>
              <w:bottom w:val="nil"/>
              <w:right w:val="nil"/>
            </w:tcBorders>
            <w:shd w:val="clear" w:color="auto" w:fill="auto"/>
            <w:noWrap/>
            <w:vAlign w:val="bottom"/>
            <w:hideMark/>
          </w:tcPr>
          <w:p w14:paraId="19601D7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0.1062*</w:t>
            </w:r>
          </w:p>
        </w:tc>
        <w:tc>
          <w:tcPr>
            <w:tcW w:w="1076" w:type="dxa"/>
            <w:tcBorders>
              <w:top w:val="nil"/>
              <w:left w:val="nil"/>
              <w:bottom w:val="nil"/>
              <w:right w:val="nil"/>
            </w:tcBorders>
            <w:shd w:val="clear" w:color="auto" w:fill="auto"/>
            <w:noWrap/>
            <w:vAlign w:val="bottom"/>
            <w:hideMark/>
          </w:tcPr>
          <w:p w14:paraId="17566B2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0.2958* </w:t>
            </w:r>
          </w:p>
        </w:tc>
        <w:tc>
          <w:tcPr>
            <w:tcW w:w="956" w:type="dxa"/>
            <w:tcBorders>
              <w:top w:val="nil"/>
              <w:left w:val="nil"/>
              <w:bottom w:val="nil"/>
              <w:right w:val="nil"/>
            </w:tcBorders>
            <w:shd w:val="clear" w:color="auto" w:fill="auto"/>
            <w:noWrap/>
            <w:vAlign w:val="bottom"/>
            <w:hideMark/>
          </w:tcPr>
          <w:p w14:paraId="69591DE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0.0394*</w:t>
            </w:r>
          </w:p>
        </w:tc>
        <w:tc>
          <w:tcPr>
            <w:tcW w:w="1056" w:type="dxa"/>
            <w:tcBorders>
              <w:top w:val="nil"/>
              <w:left w:val="nil"/>
              <w:bottom w:val="nil"/>
              <w:right w:val="nil"/>
            </w:tcBorders>
            <w:shd w:val="clear" w:color="auto" w:fill="auto"/>
            <w:noWrap/>
            <w:vAlign w:val="bottom"/>
            <w:hideMark/>
          </w:tcPr>
          <w:p w14:paraId="1ADD920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0.0055</w:t>
            </w:r>
          </w:p>
        </w:tc>
        <w:tc>
          <w:tcPr>
            <w:tcW w:w="976" w:type="dxa"/>
            <w:tcBorders>
              <w:top w:val="nil"/>
              <w:left w:val="nil"/>
              <w:bottom w:val="nil"/>
              <w:right w:val="nil"/>
            </w:tcBorders>
            <w:shd w:val="clear" w:color="auto" w:fill="auto"/>
            <w:noWrap/>
            <w:vAlign w:val="bottom"/>
            <w:hideMark/>
          </w:tcPr>
          <w:p w14:paraId="4138896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0.1669*</w:t>
            </w:r>
          </w:p>
        </w:tc>
        <w:tc>
          <w:tcPr>
            <w:tcW w:w="1096" w:type="dxa"/>
            <w:tcBorders>
              <w:top w:val="nil"/>
              <w:left w:val="nil"/>
              <w:bottom w:val="nil"/>
              <w:right w:val="nil"/>
            </w:tcBorders>
            <w:shd w:val="clear" w:color="auto" w:fill="auto"/>
            <w:noWrap/>
            <w:vAlign w:val="bottom"/>
            <w:hideMark/>
          </w:tcPr>
          <w:p w14:paraId="30FB693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056" w:type="dxa"/>
            <w:tcBorders>
              <w:top w:val="nil"/>
              <w:left w:val="nil"/>
              <w:bottom w:val="nil"/>
              <w:right w:val="nil"/>
            </w:tcBorders>
            <w:shd w:val="clear" w:color="auto" w:fill="auto"/>
            <w:hideMark/>
          </w:tcPr>
          <w:p w14:paraId="37FF488E" w14:textId="77777777" w:rsidR="00741DF5" w:rsidRPr="00AB729D" w:rsidRDefault="00741DF5" w:rsidP="00741DF5">
            <w:pPr>
              <w:spacing w:after="0" w:line="240" w:lineRule="auto"/>
              <w:jc w:val="center"/>
              <w:rPr>
                <w:rFonts w:ascii="Times New Roman" w:eastAsia="Times New Roman" w:hAnsi="Times New Roman"/>
              </w:rPr>
            </w:pPr>
          </w:p>
        </w:tc>
        <w:tc>
          <w:tcPr>
            <w:tcW w:w="1136" w:type="dxa"/>
            <w:tcBorders>
              <w:top w:val="nil"/>
              <w:left w:val="nil"/>
              <w:bottom w:val="nil"/>
              <w:right w:val="nil"/>
            </w:tcBorders>
            <w:shd w:val="clear" w:color="auto" w:fill="auto"/>
            <w:hideMark/>
          </w:tcPr>
          <w:p w14:paraId="578F3B9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36" w:type="dxa"/>
            <w:tcBorders>
              <w:top w:val="nil"/>
              <w:left w:val="nil"/>
              <w:bottom w:val="nil"/>
              <w:right w:val="nil"/>
            </w:tcBorders>
            <w:shd w:val="clear" w:color="auto" w:fill="auto"/>
            <w:hideMark/>
          </w:tcPr>
          <w:p w14:paraId="2CECE432"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008DC4D8" w14:textId="77777777" w:rsidTr="00741DF5">
        <w:trPr>
          <w:trHeight w:val="300"/>
        </w:trPr>
        <w:tc>
          <w:tcPr>
            <w:tcW w:w="2336" w:type="dxa"/>
            <w:tcBorders>
              <w:top w:val="nil"/>
              <w:left w:val="nil"/>
              <w:bottom w:val="nil"/>
              <w:right w:val="nil"/>
            </w:tcBorders>
            <w:shd w:val="clear" w:color="auto" w:fill="auto"/>
            <w:noWrap/>
            <w:vAlign w:val="bottom"/>
            <w:hideMark/>
          </w:tcPr>
          <w:p w14:paraId="3C07DD3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w:t>
            </w:r>
          </w:p>
        </w:tc>
        <w:tc>
          <w:tcPr>
            <w:tcW w:w="1136" w:type="dxa"/>
            <w:tcBorders>
              <w:top w:val="nil"/>
              <w:left w:val="nil"/>
              <w:bottom w:val="nil"/>
              <w:right w:val="nil"/>
            </w:tcBorders>
            <w:shd w:val="clear" w:color="auto" w:fill="auto"/>
            <w:noWrap/>
            <w:vAlign w:val="bottom"/>
            <w:hideMark/>
          </w:tcPr>
          <w:p w14:paraId="14BE786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-0.0841*</w:t>
            </w:r>
          </w:p>
        </w:tc>
        <w:tc>
          <w:tcPr>
            <w:tcW w:w="1076" w:type="dxa"/>
            <w:tcBorders>
              <w:top w:val="nil"/>
              <w:left w:val="nil"/>
              <w:bottom w:val="nil"/>
              <w:right w:val="nil"/>
            </w:tcBorders>
            <w:shd w:val="clear" w:color="auto" w:fill="auto"/>
            <w:noWrap/>
            <w:vAlign w:val="bottom"/>
            <w:hideMark/>
          </w:tcPr>
          <w:p w14:paraId="6A1EA13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-0.0143*</w:t>
            </w:r>
          </w:p>
        </w:tc>
        <w:tc>
          <w:tcPr>
            <w:tcW w:w="956" w:type="dxa"/>
            <w:tcBorders>
              <w:top w:val="nil"/>
              <w:left w:val="nil"/>
              <w:bottom w:val="nil"/>
              <w:right w:val="nil"/>
            </w:tcBorders>
            <w:shd w:val="clear" w:color="auto" w:fill="auto"/>
            <w:noWrap/>
            <w:vAlign w:val="bottom"/>
            <w:hideMark/>
          </w:tcPr>
          <w:p w14:paraId="341BE75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0.0578* </w:t>
            </w:r>
          </w:p>
        </w:tc>
        <w:tc>
          <w:tcPr>
            <w:tcW w:w="1056" w:type="dxa"/>
            <w:tcBorders>
              <w:top w:val="nil"/>
              <w:left w:val="nil"/>
              <w:bottom w:val="nil"/>
              <w:right w:val="nil"/>
            </w:tcBorders>
            <w:shd w:val="clear" w:color="auto" w:fill="auto"/>
            <w:noWrap/>
            <w:vAlign w:val="bottom"/>
            <w:hideMark/>
          </w:tcPr>
          <w:p w14:paraId="2D85DF9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-0.0150*</w:t>
            </w:r>
          </w:p>
        </w:tc>
        <w:tc>
          <w:tcPr>
            <w:tcW w:w="976" w:type="dxa"/>
            <w:tcBorders>
              <w:top w:val="nil"/>
              <w:left w:val="nil"/>
              <w:bottom w:val="nil"/>
              <w:right w:val="nil"/>
            </w:tcBorders>
            <w:shd w:val="clear" w:color="auto" w:fill="auto"/>
            <w:noWrap/>
            <w:vAlign w:val="bottom"/>
            <w:hideMark/>
          </w:tcPr>
          <w:p w14:paraId="03DED96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0.1998*</w:t>
            </w:r>
          </w:p>
        </w:tc>
        <w:tc>
          <w:tcPr>
            <w:tcW w:w="1096" w:type="dxa"/>
            <w:tcBorders>
              <w:top w:val="nil"/>
              <w:left w:val="nil"/>
              <w:bottom w:val="nil"/>
              <w:right w:val="nil"/>
            </w:tcBorders>
            <w:shd w:val="clear" w:color="auto" w:fill="auto"/>
            <w:noWrap/>
            <w:vAlign w:val="bottom"/>
            <w:hideMark/>
          </w:tcPr>
          <w:p w14:paraId="174622F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-0.2227*  </w:t>
            </w:r>
          </w:p>
        </w:tc>
        <w:tc>
          <w:tcPr>
            <w:tcW w:w="1056" w:type="dxa"/>
            <w:tcBorders>
              <w:top w:val="nil"/>
              <w:left w:val="nil"/>
              <w:bottom w:val="nil"/>
              <w:right w:val="nil"/>
            </w:tcBorders>
            <w:shd w:val="clear" w:color="auto" w:fill="auto"/>
            <w:noWrap/>
            <w:hideMark/>
          </w:tcPr>
          <w:p w14:paraId="78B78D6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136" w:type="dxa"/>
            <w:tcBorders>
              <w:top w:val="nil"/>
              <w:left w:val="nil"/>
              <w:bottom w:val="nil"/>
              <w:right w:val="nil"/>
            </w:tcBorders>
            <w:shd w:val="clear" w:color="auto" w:fill="auto"/>
            <w:hideMark/>
          </w:tcPr>
          <w:p w14:paraId="34B8B369" w14:textId="77777777" w:rsidR="00741DF5" w:rsidRPr="00AB729D" w:rsidRDefault="00741DF5" w:rsidP="00741DF5">
            <w:pPr>
              <w:spacing w:after="0" w:line="240" w:lineRule="auto"/>
              <w:jc w:val="center"/>
              <w:rPr>
                <w:rFonts w:ascii="Times New Roman" w:eastAsia="Times New Roman" w:hAnsi="Times New Roman"/>
              </w:rPr>
            </w:pPr>
          </w:p>
        </w:tc>
        <w:tc>
          <w:tcPr>
            <w:tcW w:w="936" w:type="dxa"/>
            <w:tcBorders>
              <w:top w:val="nil"/>
              <w:left w:val="nil"/>
              <w:bottom w:val="nil"/>
              <w:right w:val="nil"/>
            </w:tcBorders>
            <w:shd w:val="clear" w:color="auto" w:fill="auto"/>
            <w:hideMark/>
          </w:tcPr>
          <w:p w14:paraId="2CC79AE3"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042C9194" w14:textId="77777777" w:rsidTr="00741DF5">
        <w:trPr>
          <w:trHeight w:val="300"/>
        </w:trPr>
        <w:tc>
          <w:tcPr>
            <w:tcW w:w="2336" w:type="dxa"/>
            <w:tcBorders>
              <w:top w:val="nil"/>
              <w:left w:val="nil"/>
              <w:bottom w:val="nil"/>
              <w:right w:val="nil"/>
            </w:tcBorders>
            <w:shd w:val="clear" w:color="auto" w:fill="auto"/>
            <w:noWrap/>
            <w:vAlign w:val="bottom"/>
            <w:hideMark/>
          </w:tcPr>
          <w:p w14:paraId="59C545C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w:t>
            </w:r>
          </w:p>
        </w:tc>
        <w:tc>
          <w:tcPr>
            <w:tcW w:w="1136" w:type="dxa"/>
            <w:tcBorders>
              <w:top w:val="nil"/>
              <w:left w:val="nil"/>
              <w:bottom w:val="nil"/>
              <w:right w:val="nil"/>
            </w:tcBorders>
            <w:shd w:val="clear" w:color="auto" w:fill="auto"/>
            <w:noWrap/>
            <w:vAlign w:val="bottom"/>
            <w:hideMark/>
          </w:tcPr>
          <w:p w14:paraId="001366D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-0.1201*</w:t>
            </w:r>
          </w:p>
        </w:tc>
        <w:tc>
          <w:tcPr>
            <w:tcW w:w="1076" w:type="dxa"/>
            <w:tcBorders>
              <w:top w:val="nil"/>
              <w:left w:val="nil"/>
              <w:bottom w:val="nil"/>
              <w:right w:val="nil"/>
            </w:tcBorders>
            <w:shd w:val="clear" w:color="auto" w:fill="auto"/>
            <w:noWrap/>
            <w:vAlign w:val="bottom"/>
            <w:hideMark/>
          </w:tcPr>
          <w:p w14:paraId="035D599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0.0170*</w:t>
            </w:r>
          </w:p>
        </w:tc>
        <w:tc>
          <w:tcPr>
            <w:tcW w:w="956" w:type="dxa"/>
            <w:tcBorders>
              <w:top w:val="nil"/>
              <w:left w:val="nil"/>
              <w:bottom w:val="nil"/>
              <w:right w:val="nil"/>
            </w:tcBorders>
            <w:shd w:val="clear" w:color="auto" w:fill="auto"/>
            <w:noWrap/>
            <w:vAlign w:val="bottom"/>
            <w:hideMark/>
          </w:tcPr>
          <w:p w14:paraId="2F41D52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0.2573* </w:t>
            </w:r>
          </w:p>
        </w:tc>
        <w:tc>
          <w:tcPr>
            <w:tcW w:w="1056" w:type="dxa"/>
            <w:tcBorders>
              <w:top w:val="nil"/>
              <w:left w:val="nil"/>
              <w:bottom w:val="nil"/>
              <w:right w:val="nil"/>
            </w:tcBorders>
            <w:shd w:val="clear" w:color="auto" w:fill="auto"/>
            <w:noWrap/>
            <w:vAlign w:val="bottom"/>
            <w:hideMark/>
          </w:tcPr>
          <w:p w14:paraId="0B9A6F7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-0.0858*</w:t>
            </w:r>
          </w:p>
        </w:tc>
        <w:tc>
          <w:tcPr>
            <w:tcW w:w="976" w:type="dxa"/>
            <w:tcBorders>
              <w:top w:val="nil"/>
              <w:left w:val="nil"/>
              <w:bottom w:val="nil"/>
              <w:right w:val="nil"/>
            </w:tcBorders>
            <w:shd w:val="clear" w:color="auto" w:fill="auto"/>
            <w:noWrap/>
            <w:vAlign w:val="bottom"/>
            <w:hideMark/>
          </w:tcPr>
          <w:p w14:paraId="3EB2B7A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0.4019*</w:t>
            </w:r>
          </w:p>
        </w:tc>
        <w:tc>
          <w:tcPr>
            <w:tcW w:w="1096" w:type="dxa"/>
            <w:tcBorders>
              <w:top w:val="nil"/>
              <w:left w:val="nil"/>
              <w:bottom w:val="nil"/>
              <w:right w:val="nil"/>
            </w:tcBorders>
            <w:shd w:val="clear" w:color="auto" w:fill="auto"/>
            <w:noWrap/>
            <w:vAlign w:val="bottom"/>
            <w:hideMark/>
          </w:tcPr>
          <w:p w14:paraId="693CDEA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0.0681*</w:t>
            </w:r>
          </w:p>
        </w:tc>
        <w:tc>
          <w:tcPr>
            <w:tcW w:w="1056" w:type="dxa"/>
            <w:tcBorders>
              <w:top w:val="nil"/>
              <w:left w:val="nil"/>
              <w:bottom w:val="nil"/>
              <w:right w:val="nil"/>
            </w:tcBorders>
            <w:shd w:val="clear" w:color="auto" w:fill="auto"/>
            <w:noWrap/>
            <w:vAlign w:val="bottom"/>
            <w:hideMark/>
          </w:tcPr>
          <w:p w14:paraId="5F35B99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0.0794*  </w:t>
            </w:r>
          </w:p>
        </w:tc>
        <w:tc>
          <w:tcPr>
            <w:tcW w:w="1136" w:type="dxa"/>
            <w:tcBorders>
              <w:top w:val="nil"/>
              <w:left w:val="nil"/>
              <w:bottom w:val="nil"/>
              <w:right w:val="nil"/>
            </w:tcBorders>
            <w:shd w:val="clear" w:color="auto" w:fill="auto"/>
            <w:hideMark/>
          </w:tcPr>
          <w:p w14:paraId="2B1D3C9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936" w:type="dxa"/>
            <w:tcBorders>
              <w:top w:val="nil"/>
              <w:left w:val="nil"/>
              <w:bottom w:val="nil"/>
              <w:right w:val="nil"/>
            </w:tcBorders>
            <w:shd w:val="clear" w:color="auto" w:fill="auto"/>
            <w:hideMark/>
          </w:tcPr>
          <w:p w14:paraId="1BAAD7FC" w14:textId="77777777" w:rsidR="00741DF5" w:rsidRPr="00AB729D" w:rsidRDefault="00741DF5" w:rsidP="00741DF5">
            <w:pPr>
              <w:spacing w:after="0" w:line="240" w:lineRule="auto"/>
              <w:jc w:val="center"/>
              <w:rPr>
                <w:rFonts w:ascii="Times New Roman" w:eastAsia="Times New Roman" w:hAnsi="Times New Roman"/>
              </w:rPr>
            </w:pPr>
          </w:p>
        </w:tc>
      </w:tr>
      <w:tr w:rsidR="00741DF5" w:rsidRPr="00AB729D" w14:paraId="74BBF228" w14:textId="77777777" w:rsidTr="00741DF5">
        <w:trPr>
          <w:trHeight w:val="300"/>
        </w:trPr>
        <w:tc>
          <w:tcPr>
            <w:tcW w:w="2336" w:type="dxa"/>
            <w:tcBorders>
              <w:top w:val="nil"/>
              <w:left w:val="nil"/>
              <w:bottom w:val="single" w:sz="4" w:space="0" w:color="auto"/>
              <w:right w:val="nil"/>
            </w:tcBorders>
            <w:shd w:val="clear" w:color="auto" w:fill="auto"/>
            <w:noWrap/>
            <w:vAlign w:val="bottom"/>
            <w:hideMark/>
          </w:tcPr>
          <w:p w14:paraId="3CD982A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w:t>
            </w:r>
          </w:p>
        </w:tc>
        <w:tc>
          <w:tcPr>
            <w:tcW w:w="1136" w:type="dxa"/>
            <w:tcBorders>
              <w:top w:val="nil"/>
              <w:left w:val="nil"/>
              <w:bottom w:val="single" w:sz="4" w:space="0" w:color="auto"/>
              <w:right w:val="nil"/>
            </w:tcBorders>
            <w:shd w:val="clear" w:color="auto" w:fill="auto"/>
            <w:noWrap/>
            <w:vAlign w:val="bottom"/>
            <w:hideMark/>
          </w:tcPr>
          <w:p w14:paraId="7F75263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 0.0071*</w:t>
            </w:r>
          </w:p>
        </w:tc>
        <w:tc>
          <w:tcPr>
            <w:tcW w:w="1076" w:type="dxa"/>
            <w:tcBorders>
              <w:top w:val="nil"/>
              <w:left w:val="nil"/>
              <w:bottom w:val="single" w:sz="4" w:space="0" w:color="auto"/>
              <w:right w:val="nil"/>
            </w:tcBorders>
            <w:shd w:val="clear" w:color="auto" w:fill="auto"/>
            <w:noWrap/>
            <w:vAlign w:val="bottom"/>
            <w:hideMark/>
          </w:tcPr>
          <w:p w14:paraId="4C48E48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0.0499*</w:t>
            </w:r>
          </w:p>
        </w:tc>
        <w:tc>
          <w:tcPr>
            <w:tcW w:w="956" w:type="dxa"/>
            <w:tcBorders>
              <w:top w:val="nil"/>
              <w:left w:val="nil"/>
              <w:bottom w:val="single" w:sz="4" w:space="0" w:color="auto"/>
              <w:right w:val="nil"/>
            </w:tcBorders>
            <w:shd w:val="clear" w:color="auto" w:fill="auto"/>
            <w:noWrap/>
            <w:vAlign w:val="bottom"/>
            <w:hideMark/>
          </w:tcPr>
          <w:p w14:paraId="2372E38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0.0042</w:t>
            </w:r>
          </w:p>
        </w:tc>
        <w:tc>
          <w:tcPr>
            <w:tcW w:w="1056" w:type="dxa"/>
            <w:tcBorders>
              <w:top w:val="nil"/>
              <w:left w:val="nil"/>
              <w:bottom w:val="single" w:sz="4" w:space="0" w:color="auto"/>
              <w:right w:val="nil"/>
            </w:tcBorders>
            <w:shd w:val="clear" w:color="auto" w:fill="auto"/>
            <w:noWrap/>
            <w:vAlign w:val="bottom"/>
            <w:hideMark/>
          </w:tcPr>
          <w:p w14:paraId="098FBAD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-0.0108*</w:t>
            </w:r>
          </w:p>
        </w:tc>
        <w:tc>
          <w:tcPr>
            <w:tcW w:w="976" w:type="dxa"/>
            <w:tcBorders>
              <w:top w:val="nil"/>
              <w:left w:val="nil"/>
              <w:bottom w:val="single" w:sz="4" w:space="0" w:color="auto"/>
              <w:right w:val="nil"/>
            </w:tcBorders>
            <w:shd w:val="clear" w:color="auto" w:fill="auto"/>
            <w:noWrap/>
            <w:vAlign w:val="bottom"/>
            <w:hideMark/>
          </w:tcPr>
          <w:p w14:paraId="6A007DA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0.0643*</w:t>
            </w:r>
          </w:p>
        </w:tc>
        <w:tc>
          <w:tcPr>
            <w:tcW w:w="1096" w:type="dxa"/>
            <w:tcBorders>
              <w:top w:val="nil"/>
              <w:left w:val="nil"/>
              <w:bottom w:val="single" w:sz="4" w:space="0" w:color="auto"/>
              <w:right w:val="nil"/>
            </w:tcBorders>
            <w:shd w:val="clear" w:color="auto" w:fill="auto"/>
            <w:noWrap/>
            <w:vAlign w:val="bottom"/>
            <w:hideMark/>
          </w:tcPr>
          <w:p w14:paraId="2FE294C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0.0351*</w:t>
            </w:r>
          </w:p>
        </w:tc>
        <w:tc>
          <w:tcPr>
            <w:tcW w:w="1056" w:type="dxa"/>
            <w:tcBorders>
              <w:top w:val="nil"/>
              <w:left w:val="nil"/>
              <w:bottom w:val="single" w:sz="4" w:space="0" w:color="auto"/>
              <w:right w:val="nil"/>
            </w:tcBorders>
            <w:shd w:val="clear" w:color="auto" w:fill="auto"/>
            <w:noWrap/>
            <w:vAlign w:val="bottom"/>
            <w:hideMark/>
          </w:tcPr>
          <w:p w14:paraId="2271F62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 0.0180*</w:t>
            </w:r>
          </w:p>
        </w:tc>
        <w:tc>
          <w:tcPr>
            <w:tcW w:w="1136" w:type="dxa"/>
            <w:tcBorders>
              <w:top w:val="nil"/>
              <w:left w:val="nil"/>
              <w:bottom w:val="single" w:sz="4" w:space="0" w:color="auto"/>
              <w:right w:val="nil"/>
            </w:tcBorders>
            <w:shd w:val="clear" w:color="auto" w:fill="auto"/>
            <w:hideMark/>
          </w:tcPr>
          <w:p w14:paraId="08FCEC9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 0.0499*</w:t>
            </w:r>
          </w:p>
        </w:tc>
        <w:tc>
          <w:tcPr>
            <w:tcW w:w="936" w:type="dxa"/>
            <w:tcBorders>
              <w:top w:val="nil"/>
              <w:left w:val="nil"/>
              <w:bottom w:val="single" w:sz="4" w:space="0" w:color="auto"/>
              <w:right w:val="nil"/>
            </w:tcBorders>
            <w:shd w:val="clear" w:color="auto" w:fill="auto"/>
            <w:hideMark/>
          </w:tcPr>
          <w:p w14:paraId="6A0C4B9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r>
    </w:tbl>
    <w:p w14:paraId="6945EBBA" w14:textId="77777777" w:rsidR="00741DF5" w:rsidRPr="00AB729D" w:rsidRDefault="00741DF5" w:rsidP="00741DF5">
      <w:pPr>
        <w:spacing w:after="0" w:line="240" w:lineRule="auto"/>
        <w:rPr>
          <w:rFonts w:ascii="Times New Roman" w:eastAsia="Times New Roman" w:hAnsi="Times New Roman"/>
          <w:sz w:val="24"/>
          <w:szCs w:val="24"/>
        </w:rPr>
      </w:pPr>
    </w:p>
    <w:p w14:paraId="3A7140DF" w14:textId="2E4C8A1F" w:rsidR="00741DF5" w:rsidRPr="00AB729D" w:rsidRDefault="00741DF5" w:rsidP="00B11248">
      <w:pPr>
        <w:jc w:val="both"/>
        <w:rPr>
          <w:rFonts w:ascii="Times New Roman" w:eastAsia="Times New Roman" w:hAnsi="Times New Roman"/>
          <w:sz w:val="20"/>
          <w:szCs w:val="20"/>
        </w:rPr>
      </w:pPr>
      <w:r w:rsidRPr="00AB729D">
        <w:rPr>
          <w:rFonts w:ascii="Times New Roman" w:eastAsia="Times New Roman" w:hAnsi="Times New Roman"/>
          <w:sz w:val="20"/>
          <w:szCs w:val="20"/>
        </w:rPr>
        <w:t>This table reports the correlation</w:t>
      </w:r>
      <w:r w:rsidR="00AB474A" w:rsidRPr="00AB729D">
        <w:rPr>
          <w:rFonts w:ascii="Times New Roman" w:eastAsia="Times New Roman" w:hAnsi="Times New Roman"/>
          <w:sz w:val="20"/>
          <w:szCs w:val="20"/>
        </w:rPr>
        <w:t>s</w:t>
      </w:r>
      <w:r w:rsidRPr="00AB729D">
        <w:rPr>
          <w:rFonts w:ascii="Times New Roman" w:eastAsia="Times New Roman" w:hAnsi="Times New Roman"/>
          <w:sz w:val="20"/>
          <w:szCs w:val="20"/>
        </w:rPr>
        <w:t xml:space="preserve"> among variable</w:t>
      </w:r>
      <w:r w:rsidR="00AB474A" w:rsidRPr="00AB729D">
        <w:rPr>
          <w:rFonts w:ascii="Times New Roman" w:eastAsia="Times New Roman" w:hAnsi="Times New Roman"/>
          <w:sz w:val="20"/>
          <w:szCs w:val="20"/>
        </w:rPr>
        <w:t>s</w:t>
      </w:r>
      <w:r w:rsidRPr="00AB729D">
        <w:rPr>
          <w:rFonts w:ascii="Times New Roman" w:eastAsia="Times New Roman" w:hAnsi="Times New Roman"/>
          <w:sz w:val="20"/>
          <w:szCs w:val="20"/>
        </w:rPr>
        <w:t xml:space="preserve"> used in </w:t>
      </w:r>
      <w:r w:rsidR="00AB474A" w:rsidRPr="00AB729D">
        <w:rPr>
          <w:rFonts w:ascii="Times New Roman" w:eastAsia="Times New Roman" w:hAnsi="Times New Roman"/>
          <w:sz w:val="20"/>
          <w:szCs w:val="20"/>
        </w:rPr>
        <w:t xml:space="preserve">this </w:t>
      </w:r>
      <w:r w:rsidRPr="00AB729D">
        <w:rPr>
          <w:rFonts w:ascii="Times New Roman" w:eastAsia="Times New Roman" w:hAnsi="Times New Roman"/>
          <w:sz w:val="20"/>
          <w:szCs w:val="20"/>
        </w:rPr>
        <w:t xml:space="preserve">study. </w:t>
      </w:r>
      <w:r w:rsidR="00AB474A" w:rsidRPr="00AB729D">
        <w:rPr>
          <w:rFonts w:ascii="Times New Roman" w:eastAsia="Times New Roman" w:hAnsi="Times New Roman"/>
          <w:sz w:val="20"/>
          <w:szCs w:val="20"/>
        </w:rPr>
        <w:t>The column headings are defined as follows:</w:t>
      </w:r>
    </w:p>
    <w:p w14:paraId="25D27FFB" w14:textId="5B259DAD" w:rsidR="00741DF5" w:rsidRPr="00AB729D" w:rsidRDefault="00741DF5" w:rsidP="00716CF3">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 xml:space="preserve">EXVRK </w:t>
      </w:r>
      <w:r w:rsidR="00716CF3" w:rsidRPr="00AB729D">
        <w:rPr>
          <w:rFonts w:ascii="Times New Roman" w:eastAsia="Times New Roman" w:hAnsi="Times New Roman"/>
          <w:sz w:val="24"/>
          <w:szCs w:val="24"/>
        </w:rPr>
        <w:t>is the absolute value of the firm-specific mispricing component of the difference between market value and fundamental value based on model III of Rhodes–</w:t>
      </w:r>
      <w:proofErr w:type="spellStart"/>
      <w:r w:rsidR="00716CF3" w:rsidRPr="00AB729D">
        <w:rPr>
          <w:rFonts w:ascii="Times New Roman" w:eastAsia="Times New Roman" w:hAnsi="Times New Roman"/>
          <w:sz w:val="24"/>
          <w:szCs w:val="24"/>
        </w:rPr>
        <w:t>Kropf</w:t>
      </w:r>
      <w:proofErr w:type="spellEnd"/>
      <w:r w:rsidR="00716CF3" w:rsidRPr="00AB729D">
        <w:rPr>
          <w:rFonts w:ascii="Times New Roman" w:eastAsia="Times New Roman" w:hAnsi="Times New Roman"/>
          <w:sz w:val="24"/>
          <w:szCs w:val="24"/>
        </w:rPr>
        <w:t xml:space="preserve"> et al. (2005)</w:t>
      </w:r>
    </w:p>
    <w:p w14:paraId="17849947" w14:textId="6F7154EB" w:rsidR="00741DF5" w:rsidRPr="00AB729D" w:rsidRDefault="00741DF5" w:rsidP="00941F8E">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 xml:space="preserve">EXVIA </w:t>
      </w:r>
      <w:r w:rsidR="00941F8E" w:rsidRPr="00AB729D">
        <w:rPr>
          <w:rFonts w:ascii="Times New Roman" w:eastAsia="Times New Roman" w:hAnsi="Times New Roman"/>
          <w:sz w:val="24"/>
          <w:szCs w:val="24"/>
        </w:rPr>
        <w:t>is the absolute figure of the excess value computed as the natural log of the ratio between a firm’s capital and its imputed value</w:t>
      </w:r>
    </w:p>
    <w:p w14:paraId="54F8EB25" w14:textId="328E78B1" w:rsidR="00741DF5" w:rsidRPr="00AB729D" w:rsidRDefault="00741DF5" w:rsidP="00941F8E">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PROP</w:t>
      </w:r>
      <w:r w:rsidR="00941F8E" w:rsidRPr="00AB729D">
        <w:t xml:space="preserve"> </w:t>
      </w:r>
      <w:r w:rsidR="00941F8E" w:rsidRPr="00AB729D">
        <w:rPr>
          <w:rFonts w:ascii="Times New Roman" w:eastAsia="Times New Roman" w:hAnsi="Times New Roman"/>
          <w:sz w:val="24"/>
          <w:szCs w:val="24"/>
        </w:rPr>
        <w:t>is the average aggregate institutional shareholding proportion across a five-year period</w:t>
      </w:r>
    </w:p>
    <w:p w14:paraId="6C61C6AD" w14:textId="382C3979" w:rsidR="00741DF5" w:rsidRPr="00AB729D" w:rsidRDefault="00741DF5" w:rsidP="00941F8E">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IOV</w:t>
      </w:r>
      <w:r w:rsidR="00941F8E" w:rsidRPr="00AB729D">
        <w:t xml:space="preserve"> </w:t>
      </w:r>
      <w:r w:rsidR="00941F8E" w:rsidRPr="00AB729D">
        <w:rPr>
          <w:rFonts w:ascii="Times New Roman" w:eastAsia="Times New Roman" w:hAnsi="Times New Roman"/>
          <w:sz w:val="24"/>
          <w:szCs w:val="24"/>
        </w:rPr>
        <w:t>is calculated as the average standard deviation of shareholding proportions across all the institutional owners over a five-year period</w:t>
      </w:r>
    </w:p>
    <w:p w14:paraId="7E0FCBB0" w14:textId="3E1602EF" w:rsidR="00741DF5" w:rsidRPr="00AB729D" w:rsidRDefault="00741DF5" w:rsidP="00AB474A">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LN_SALE</w:t>
      </w:r>
      <w:r w:rsidR="00AB474A" w:rsidRPr="00AB729D">
        <w:t xml:space="preserve"> </w:t>
      </w:r>
      <w:r w:rsidR="00AB474A" w:rsidRPr="00AB729D">
        <w:rPr>
          <w:rFonts w:ascii="Times New Roman" w:eastAsia="Times New Roman" w:hAnsi="Times New Roman"/>
          <w:sz w:val="24"/>
          <w:szCs w:val="24"/>
        </w:rPr>
        <w:t>is the natural logarithm of total sales</w:t>
      </w:r>
    </w:p>
    <w:p w14:paraId="3F060E0E" w14:textId="4B1CB072" w:rsidR="00741DF5" w:rsidRPr="00AB729D" w:rsidRDefault="00741DF5" w:rsidP="00AB474A">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LEV</w:t>
      </w:r>
      <w:r w:rsidR="00AB474A" w:rsidRPr="00AB729D">
        <w:rPr>
          <w:rFonts w:ascii="Times New Roman" w:eastAsia="Times New Roman" w:hAnsi="Times New Roman"/>
          <w:sz w:val="24"/>
          <w:szCs w:val="24"/>
        </w:rPr>
        <w:t xml:space="preserve"> is the book value of debt (sum of long-term debt and debt in current liabilities) divided by total assets</w:t>
      </w:r>
    </w:p>
    <w:p w14:paraId="6656174F" w14:textId="789F038D" w:rsidR="00741DF5" w:rsidRPr="00AB729D" w:rsidRDefault="00741DF5" w:rsidP="00AB474A">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ROA</w:t>
      </w:r>
      <w:r w:rsidR="00AB474A" w:rsidRPr="00AB729D">
        <w:rPr>
          <w:rFonts w:ascii="Times New Roman" w:eastAsia="Times New Roman" w:hAnsi="Times New Roman"/>
          <w:sz w:val="24"/>
          <w:szCs w:val="24"/>
        </w:rPr>
        <w:t xml:space="preserve"> is operating income before depreciation divided by total assets</w:t>
      </w:r>
    </w:p>
    <w:p w14:paraId="0FC924F1" w14:textId="7D8C0911" w:rsidR="00741DF5" w:rsidRPr="00AB729D" w:rsidRDefault="00741DF5" w:rsidP="00AB474A">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LN_AGE</w:t>
      </w:r>
      <w:r w:rsidR="00AB474A" w:rsidRPr="00AB729D">
        <w:rPr>
          <w:rFonts w:ascii="Times New Roman" w:eastAsia="Times New Roman" w:hAnsi="Times New Roman"/>
          <w:sz w:val="24"/>
          <w:szCs w:val="24"/>
        </w:rPr>
        <w:t xml:space="preserve"> is measured by the natural logarithm of one plus the number of years the firm is listed on </w:t>
      </w:r>
      <w:proofErr w:type="spellStart"/>
      <w:r w:rsidR="00AB474A" w:rsidRPr="00AB729D">
        <w:rPr>
          <w:rFonts w:ascii="Times New Roman" w:eastAsia="Times New Roman" w:hAnsi="Times New Roman"/>
          <w:sz w:val="24"/>
          <w:szCs w:val="24"/>
        </w:rPr>
        <w:t>Compustat</w:t>
      </w:r>
      <w:proofErr w:type="spellEnd"/>
    </w:p>
    <w:p w14:paraId="329AF2F7" w14:textId="671992B8" w:rsidR="00741DF5" w:rsidRPr="00AB729D" w:rsidRDefault="00741DF5" w:rsidP="00741DF5">
      <w:pPr>
        <w:numPr>
          <w:ilvl w:val="0"/>
          <w:numId w:val="11"/>
        </w:numPr>
        <w:spacing w:after="0" w:line="240" w:lineRule="auto"/>
        <w:contextualSpacing/>
        <w:rPr>
          <w:rFonts w:ascii="Times New Roman" w:eastAsia="Times New Roman" w:hAnsi="Times New Roman"/>
          <w:sz w:val="24"/>
          <w:szCs w:val="24"/>
        </w:rPr>
      </w:pPr>
      <w:r w:rsidRPr="00AB729D">
        <w:rPr>
          <w:rFonts w:ascii="Times New Roman" w:eastAsia="Times New Roman" w:hAnsi="Times New Roman"/>
          <w:sz w:val="24"/>
          <w:szCs w:val="24"/>
        </w:rPr>
        <w:t>DY</w:t>
      </w:r>
      <w:r w:rsidR="00AB474A" w:rsidRPr="00AB729D">
        <w:rPr>
          <w:rFonts w:ascii="Times New Roman" w:eastAsia="Times New Roman" w:hAnsi="Times New Roman"/>
          <w:sz w:val="24"/>
          <w:szCs w:val="24"/>
        </w:rPr>
        <w:t xml:space="preserve"> is the ratio of total dividend divided by the firm’s market value</w:t>
      </w:r>
    </w:p>
    <w:p w14:paraId="5B1E8106" w14:textId="77777777" w:rsidR="0054208D" w:rsidRPr="00AB729D" w:rsidRDefault="0054208D" w:rsidP="0054208D">
      <w:pPr>
        <w:spacing w:after="0" w:line="240" w:lineRule="auto"/>
        <w:ind w:left="720"/>
        <w:contextualSpacing/>
        <w:rPr>
          <w:rFonts w:ascii="Times New Roman" w:eastAsia="Times New Roman" w:hAnsi="Times New Roman"/>
          <w:sz w:val="24"/>
          <w:szCs w:val="24"/>
        </w:rPr>
      </w:pPr>
    </w:p>
    <w:p w14:paraId="7D67B728" w14:textId="2BCE8645" w:rsidR="00741DF5" w:rsidRPr="00AB729D" w:rsidRDefault="00AB474A" w:rsidP="001F21FE">
      <w:r w:rsidRPr="00AB729D">
        <w:t xml:space="preserve">* </w:t>
      </w:r>
      <w:r w:rsidRPr="00AB729D">
        <w:rPr>
          <w:rFonts w:ascii="Times New Roman" w:eastAsia="Times New Roman" w:hAnsi="Times New Roman"/>
          <w:sz w:val="24"/>
          <w:szCs w:val="24"/>
        </w:rPr>
        <w:t>represents statistical significance at the 10% level</w:t>
      </w:r>
    </w:p>
    <w:p w14:paraId="0EEA7A09" w14:textId="77777777" w:rsidR="00741DF5" w:rsidRPr="00AB729D" w:rsidRDefault="00741DF5">
      <w:pPr>
        <w:spacing w:after="160" w:line="259" w:lineRule="auto"/>
      </w:pPr>
      <w:r w:rsidRPr="00AB729D">
        <w:br w:type="page"/>
      </w:r>
    </w:p>
    <w:tbl>
      <w:tblPr>
        <w:tblW w:w="14784" w:type="dxa"/>
        <w:jc w:val="center"/>
        <w:tblLook w:val="04A0" w:firstRow="1" w:lastRow="0" w:firstColumn="1" w:lastColumn="0" w:noHBand="0" w:noVBand="1"/>
      </w:tblPr>
      <w:tblGrid>
        <w:gridCol w:w="1210"/>
        <w:gridCol w:w="799"/>
        <w:gridCol w:w="1074"/>
        <w:gridCol w:w="799"/>
        <w:gridCol w:w="1074"/>
        <w:gridCol w:w="896"/>
        <w:gridCol w:w="916"/>
        <w:gridCol w:w="1016"/>
        <w:gridCol w:w="1296"/>
        <w:gridCol w:w="1676"/>
        <w:gridCol w:w="1736"/>
        <w:gridCol w:w="1156"/>
        <w:gridCol w:w="1136"/>
      </w:tblGrid>
      <w:tr w:rsidR="00272B18" w:rsidRPr="00AB729D" w14:paraId="02930506" w14:textId="77777777" w:rsidTr="00741DF5">
        <w:trPr>
          <w:trHeight w:val="300"/>
          <w:jc w:val="center"/>
        </w:trPr>
        <w:tc>
          <w:tcPr>
            <w:tcW w:w="4956" w:type="dxa"/>
            <w:gridSpan w:val="5"/>
            <w:tcBorders>
              <w:top w:val="nil"/>
              <w:left w:val="nil"/>
              <w:bottom w:val="nil"/>
              <w:right w:val="nil"/>
            </w:tcBorders>
            <w:shd w:val="clear" w:color="auto" w:fill="auto"/>
            <w:noWrap/>
            <w:vAlign w:val="bottom"/>
            <w:hideMark/>
          </w:tcPr>
          <w:p w14:paraId="54587287" w14:textId="7E2D8141" w:rsidR="00741DF5" w:rsidRPr="00AB729D" w:rsidRDefault="00741DF5" w:rsidP="00F13217">
            <w:pPr>
              <w:spacing w:after="0" w:line="240" w:lineRule="auto"/>
              <w:rPr>
                <w:rFonts w:ascii="Times New Roman" w:eastAsia="Times New Roman" w:hAnsi="Times New Roman"/>
                <w:b/>
                <w:bCs/>
              </w:rPr>
            </w:pPr>
            <w:r w:rsidRPr="00AB729D">
              <w:rPr>
                <w:rFonts w:ascii="Times New Roman" w:eastAsia="Times New Roman" w:hAnsi="Times New Roman"/>
                <w:b/>
                <w:bCs/>
              </w:rPr>
              <w:lastRenderedPageBreak/>
              <w:t xml:space="preserve">Table </w:t>
            </w:r>
            <w:r w:rsidR="00F13217" w:rsidRPr="00AB729D">
              <w:rPr>
                <w:rFonts w:ascii="Times New Roman" w:eastAsia="Times New Roman" w:hAnsi="Times New Roman"/>
                <w:b/>
                <w:bCs/>
              </w:rPr>
              <w:t>4</w:t>
            </w:r>
            <w:r w:rsidRPr="00AB729D">
              <w:rPr>
                <w:rFonts w:ascii="Times New Roman" w:eastAsia="Times New Roman" w:hAnsi="Times New Roman"/>
                <w:b/>
                <w:bCs/>
              </w:rPr>
              <w:t>:  Mispricing and Institutional Ownership</w:t>
            </w:r>
          </w:p>
        </w:tc>
        <w:tc>
          <w:tcPr>
            <w:tcW w:w="896" w:type="dxa"/>
            <w:tcBorders>
              <w:top w:val="nil"/>
              <w:left w:val="nil"/>
              <w:bottom w:val="nil"/>
              <w:right w:val="nil"/>
            </w:tcBorders>
            <w:shd w:val="clear" w:color="auto" w:fill="auto"/>
            <w:noWrap/>
            <w:vAlign w:val="bottom"/>
            <w:hideMark/>
          </w:tcPr>
          <w:p w14:paraId="602E74EA" w14:textId="77777777" w:rsidR="00741DF5" w:rsidRPr="00AB729D" w:rsidRDefault="00741DF5" w:rsidP="00741DF5">
            <w:pPr>
              <w:spacing w:after="0" w:line="240" w:lineRule="auto"/>
              <w:rPr>
                <w:rFonts w:ascii="Times New Roman" w:eastAsia="Times New Roman" w:hAnsi="Times New Roman"/>
                <w:b/>
                <w:bCs/>
              </w:rPr>
            </w:pPr>
          </w:p>
        </w:tc>
        <w:tc>
          <w:tcPr>
            <w:tcW w:w="916" w:type="dxa"/>
            <w:tcBorders>
              <w:top w:val="nil"/>
              <w:left w:val="nil"/>
              <w:bottom w:val="nil"/>
              <w:right w:val="nil"/>
            </w:tcBorders>
            <w:shd w:val="clear" w:color="auto" w:fill="auto"/>
            <w:noWrap/>
            <w:vAlign w:val="bottom"/>
            <w:hideMark/>
          </w:tcPr>
          <w:p w14:paraId="714826F9" w14:textId="77777777" w:rsidR="00741DF5" w:rsidRPr="00AB729D" w:rsidRDefault="00741DF5" w:rsidP="00741DF5">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780C02DC" w14:textId="77777777" w:rsidR="00741DF5" w:rsidRPr="00AB729D" w:rsidRDefault="00741DF5" w:rsidP="00741DF5">
            <w:pPr>
              <w:spacing w:after="0" w:line="240" w:lineRule="auto"/>
              <w:rPr>
                <w:rFonts w:ascii="Times New Roman" w:eastAsia="Times New Roman" w:hAnsi="Times New Roman"/>
                <w:sz w:val="20"/>
                <w:szCs w:val="20"/>
              </w:rPr>
            </w:pPr>
          </w:p>
        </w:tc>
        <w:tc>
          <w:tcPr>
            <w:tcW w:w="1296" w:type="dxa"/>
            <w:tcBorders>
              <w:top w:val="nil"/>
              <w:left w:val="nil"/>
              <w:bottom w:val="nil"/>
              <w:right w:val="nil"/>
            </w:tcBorders>
            <w:shd w:val="clear" w:color="auto" w:fill="auto"/>
            <w:noWrap/>
            <w:vAlign w:val="bottom"/>
            <w:hideMark/>
          </w:tcPr>
          <w:p w14:paraId="7FD69B0B" w14:textId="77777777" w:rsidR="00741DF5" w:rsidRPr="00AB729D" w:rsidRDefault="00741DF5" w:rsidP="00741DF5">
            <w:pPr>
              <w:spacing w:after="0" w:line="240" w:lineRule="auto"/>
              <w:rPr>
                <w:rFonts w:ascii="Times New Roman" w:eastAsia="Times New Roman" w:hAnsi="Times New Roman"/>
                <w:sz w:val="20"/>
                <w:szCs w:val="20"/>
              </w:rPr>
            </w:pPr>
          </w:p>
        </w:tc>
        <w:tc>
          <w:tcPr>
            <w:tcW w:w="1676" w:type="dxa"/>
            <w:tcBorders>
              <w:top w:val="nil"/>
              <w:left w:val="nil"/>
              <w:bottom w:val="nil"/>
              <w:right w:val="nil"/>
            </w:tcBorders>
            <w:shd w:val="clear" w:color="auto" w:fill="auto"/>
            <w:noWrap/>
            <w:vAlign w:val="bottom"/>
            <w:hideMark/>
          </w:tcPr>
          <w:p w14:paraId="6706EF34" w14:textId="77777777" w:rsidR="00741DF5" w:rsidRPr="00AB729D" w:rsidRDefault="00741DF5" w:rsidP="00741DF5">
            <w:pPr>
              <w:spacing w:after="0" w:line="240" w:lineRule="auto"/>
              <w:rPr>
                <w:rFonts w:ascii="Times New Roman" w:eastAsia="Times New Roman" w:hAnsi="Times New Roman"/>
                <w:sz w:val="20"/>
                <w:szCs w:val="20"/>
              </w:rPr>
            </w:pPr>
          </w:p>
        </w:tc>
        <w:tc>
          <w:tcPr>
            <w:tcW w:w="1736" w:type="dxa"/>
            <w:tcBorders>
              <w:top w:val="nil"/>
              <w:left w:val="nil"/>
              <w:bottom w:val="nil"/>
              <w:right w:val="nil"/>
            </w:tcBorders>
            <w:shd w:val="clear" w:color="auto" w:fill="auto"/>
            <w:noWrap/>
            <w:vAlign w:val="bottom"/>
            <w:hideMark/>
          </w:tcPr>
          <w:p w14:paraId="101381A0" w14:textId="77777777" w:rsidR="00741DF5" w:rsidRPr="00AB729D" w:rsidRDefault="00741DF5" w:rsidP="00741DF5">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57608189" w14:textId="77777777" w:rsidR="00741DF5" w:rsidRPr="00AB729D" w:rsidRDefault="00741DF5" w:rsidP="00741DF5">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2C563744"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708B3B63" w14:textId="77777777" w:rsidTr="00741DF5">
        <w:trPr>
          <w:trHeight w:val="300"/>
          <w:jc w:val="center"/>
        </w:trPr>
        <w:tc>
          <w:tcPr>
            <w:tcW w:w="1210" w:type="dxa"/>
            <w:tcBorders>
              <w:top w:val="nil"/>
              <w:left w:val="nil"/>
              <w:bottom w:val="nil"/>
              <w:right w:val="nil"/>
            </w:tcBorders>
            <w:shd w:val="clear" w:color="auto" w:fill="auto"/>
            <w:noWrap/>
            <w:vAlign w:val="bottom"/>
            <w:hideMark/>
          </w:tcPr>
          <w:p w14:paraId="5D345812" w14:textId="77777777" w:rsidR="00741DF5" w:rsidRPr="00AB729D" w:rsidRDefault="00741DF5" w:rsidP="00741DF5">
            <w:pPr>
              <w:spacing w:after="0" w:line="240" w:lineRule="auto"/>
              <w:rPr>
                <w:rFonts w:ascii="Times New Roman" w:eastAsia="Times New Roman" w:hAnsi="Times New Roman"/>
                <w:sz w:val="20"/>
                <w:szCs w:val="20"/>
              </w:rPr>
            </w:pPr>
          </w:p>
        </w:tc>
        <w:tc>
          <w:tcPr>
            <w:tcW w:w="799" w:type="dxa"/>
            <w:tcBorders>
              <w:top w:val="nil"/>
              <w:left w:val="nil"/>
              <w:bottom w:val="nil"/>
              <w:right w:val="nil"/>
            </w:tcBorders>
            <w:shd w:val="clear" w:color="auto" w:fill="auto"/>
            <w:noWrap/>
            <w:vAlign w:val="bottom"/>
            <w:hideMark/>
          </w:tcPr>
          <w:p w14:paraId="3C23A0C7"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3DDBD4E6" w14:textId="77777777" w:rsidR="00741DF5" w:rsidRPr="00AB729D" w:rsidRDefault="00741DF5" w:rsidP="00741DF5">
            <w:pPr>
              <w:spacing w:after="0" w:line="240" w:lineRule="auto"/>
              <w:rPr>
                <w:rFonts w:ascii="Times New Roman" w:eastAsia="Times New Roman" w:hAnsi="Times New Roman"/>
                <w:sz w:val="20"/>
                <w:szCs w:val="20"/>
              </w:rPr>
            </w:pPr>
          </w:p>
        </w:tc>
        <w:tc>
          <w:tcPr>
            <w:tcW w:w="799" w:type="dxa"/>
            <w:tcBorders>
              <w:top w:val="nil"/>
              <w:left w:val="nil"/>
              <w:bottom w:val="nil"/>
              <w:right w:val="nil"/>
            </w:tcBorders>
            <w:shd w:val="clear" w:color="auto" w:fill="auto"/>
            <w:noWrap/>
            <w:vAlign w:val="bottom"/>
            <w:hideMark/>
          </w:tcPr>
          <w:p w14:paraId="358356E5"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0AA952C8" w14:textId="77777777" w:rsidR="00741DF5" w:rsidRPr="00AB729D" w:rsidRDefault="00741DF5" w:rsidP="00741DF5">
            <w:pPr>
              <w:spacing w:after="0" w:line="240" w:lineRule="auto"/>
              <w:rPr>
                <w:rFonts w:ascii="Times New Roman" w:eastAsia="Times New Roman" w:hAnsi="Times New Roman"/>
                <w:sz w:val="20"/>
                <w:szCs w:val="20"/>
              </w:rPr>
            </w:pPr>
          </w:p>
        </w:tc>
        <w:tc>
          <w:tcPr>
            <w:tcW w:w="896" w:type="dxa"/>
            <w:tcBorders>
              <w:top w:val="nil"/>
              <w:left w:val="nil"/>
              <w:bottom w:val="nil"/>
              <w:right w:val="nil"/>
            </w:tcBorders>
            <w:shd w:val="clear" w:color="auto" w:fill="auto"/>
            <w:noWrap/>
            <w:vAlign w:val="bottom"/>
            <w:hideMark/>
          </w:tcPr>
          <w:p w14:paraId="1CD96FFE" w14:textId="77777777" w:rsidR="00741DF5" w:rsidRPr="00AB729D" w:rsidRDefault="00741DF5" w:rsidP="00741DF5">
            <w:pPr>
              <w:spacing w:after="0" w:line="240" w:lineRule="auto"/>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5CAA12A0" w14:textId="77777777" w:rsidR="00741DF5" w:rsidRPr="00AB729D" w:rsidRDefault="00741DF5" w:rsidP="00741DF5">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03997C8A" w14:textId="77777777" w:rsidR="00741DF5" w:rsidRPr="00AB729D" w:rsidRDefault="00741DF5" w:rsidP="00741DF5">
            <w:pPr>
              <w:spacing w:after="0" w:line="240" w:lineRule="auto"/>
              <w:rPr>
                <w:rFonts w:ascii="Times New Roman" w:eastAsia="Times New Roman" w:hAnsi="Times New Roman"/>
                <w:sz w:val="20"/>
                <w:szCs w:val="20"/>
              </w:rPr>
            </w:pPr>
          </w:p>
        </w:tc>
        <w:tc>
          <w:tcPr>
            <w:tcW w:w="1296" w:type="dxa"/>
            <w:tcBorders>
              <w:top w:val="nil"/>
              <w:left w:val="nil"/>
              <w:bottom w:val="nil"/>
              <w:right w:val="nil"/>
            </w:tcBorders>
            <w:shd w:val="clear" w:color="auto" w:fill="auto"/>
            <w:noWrap/>
            <w:vAlign w:val="bottom"/>
            <w:hideMark/>
          </w:tcPr>
          <w:p w14:paraId="324B69A3" w14:textId="77777777" w:rsidR="00741DF5" w:rsidRPr="00AB729D" w:rsidRDefault="00741DF5" w:rsidP="00741DF5">
            <w:pPr>
              <w:spacing w:after="0" w:line="240" w:lineRule="auto"/>
              <w:rPr>
                <w:rFonts w:ascii="Times New Roman" w:eastAsia="Times New Roman" w:hAnsi="Times New Roman"/>
                <w:sz w:val="20"/>
                <w:szCs w:val="20"/>
              </w:rPr>
            </w:pPr>
          </w:p>
        </w:tc>
        <w:tc>
          <w:tcPr>
            <w:tcW w:w="1676" w:type="dxa"/>
            <w:tcBorders>
              <w:top w:val="nil"/>
              <w:left w:val="nil"/>
              <w:bottom w:val="nil"/>
              <w:right w:val="nil"/>
            </w:tcBorders>
            <w:shd w:val="clear" w:color="auto" w:fill="auto"/>
            <w:noWrap/>
            <w:vAlign w:val="bottom"/>
            <w:hideMark/>
          </w:tcPr>
          <w:p w14:paraId="12207233" w14:textId="77777777" w:rsidR="00741DF5" w:rsidRPr="00AB729D" w:rsidRDefault="00741DF5" w:rsidP="00741DF5">
            <w:pPr>
              <w:spacing w:after="0" w:line="240" w:lineRule="auto"/>
              <w:rPr>
                <w:rFonts w:ascii="Times New Roman" w:eastAsia="Times New Roman" w:hAnsi="Times New Roman"/>
                <w:sz w:val="20"/>
                <w:szCs w:val="20"/>
              </w:rPr>
            </w:pPr>
          </w:p>
        </w:tc>
        <w:tc>
          <w:tcPr>
            <w:tcW w:w="1736" w:type="dxa"/>
            <w:tcBorders>
              <w:top w:val="nil"/>
              <w:left w:val="nil"/>
              <w:bottom w:val="nil"/>
              <w:right w:val="nil"/>
            </w:tcBorders>
            <w:shd w:val="clear" w:color="auto" w:fill="auto"/>
            <w:noWrap/>
            <w:vAlign w:val="bottom"/>
            <w:hideMark/>
          </w:tcPr>
          <w:p w14:paraId="01C9DC28" w14:textId="77777777" w:rsidR="00741DF5" w:rsidRPr="00AB729D" w:rsidRDefault="00741DF5" w:rsidP="00741DF5">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380FA4E7" w14:textId="77777777" w:rsidR="00741DF5" w:rsidRPr="00AB729D" w:rsidRDefault="00741DF5" w:rsidP="00741DF5">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B35F881"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1472B3F" w14:textId="77777777" w:rsidTr="00741DF5">
        <w:trPr>
          <w:trHeight w:val="300"/>
          <w:jc w:val="center"/>
        </w:trPr>
        <w:tc>
          <w:tcPr>
            <w:tcW w:w="3083" w:type="dxa"/>
            <w:gridSpan w:val="3"/>
            <w:tcBorders>
              <w:top w:val="nil"/>
              <w:left w:val="nil"/>
              <w:bottom w:val="nil"/>
              <w:right w:val="nil"/>
            </w:tcBorders>
            <w:shd w:val="clear" w:color="auto" w:fill="auto"/>
            <w:noWrap/>
            <w:vAlign w:val="bottom"/>
            <w:hideMark/>
          </w:tcPr>
          <w:p w14:paraId="28722C98"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Panel A: Mispricing by IOV</w:t>
            </w:r>
          </w:p>
        </w:tc>
        <w:tc>
          <w:tcPr>
            <w:tcW w:w="799" w:type="dxa"/>
            <w:tcBorders>
              <w:top w:val="nil"/>
              <w:left w:val="nil"/>
              <w:bottom w:val="nil"/>
              <w:right w:val="nil"/>
            </w:tcBorders>
            <w:shd w:val="clear" w:color="auto" w:fill="auto"/>
            <w:noWrap/>
            <w:vAlign w:val="bottom"/>
            <w:hideMark/>
          </w:tcPr>
          <w:p w14:paraId="3F257ECA" w14:textId="77777777" w:rsidR="00741DF5" w:rsidRPr="00AB729D" w:rsidRDefault="00741DF5" w:rsidP="00741DF5">
            <w:pPr>
              <w:spacing w:after="0" w:line="240" w:lineRule="auto"/>
              <w:rPr>
                <w:rFonts w:ascii="Times New Roman" w:eastAsia="Times New Roman" w:hAnsi="Times New Roman"/>
                <w:b/>
                <w:bCs/>
              </w:rPr>
            </w:pPr>
          </w:p>
        </w:tc>
        <w:tc>
          <w:tcPr>
            <w:tcW w:w="1074" w:type="dxa"/>
            <w:tcBorders>
              <w:top w:val="nil"/>
              <w:left w:val="nil"/>
              <w:bottom w:val="nil"/>
              <w:right w:val="nil"/>
            </w:tcBorders>
            <w:shd w:val="clear" w:color="auto" w:fill="auto"/>
            <w:noWrap/>
            <w:vAlign w:val="bottom"/>
            <w:hideMark/>
          </w:tcPr>
          <w:p w14:paraId="1C7DCE5F" w14:textId="77777777" w:rsidR="00741DF5" w:rsidRPr="00AB729D" w:rsidRDefault="00741DF5" w:rsidP="00741DF5">
            <w:pPr>
              <w:spacing w:after="0" w:line="240" w:lineRule="auto"/>
              <w:rPr>
                <w:rFonts w:ascii="Times New Roman" w:eastAsia="Times New Roman" w:hAnsi="Times New Roman"/>
                <w:sz w:val="20"/>
                <w:szCs w:val="20"/>
              </w:rPr>
            </w:pPr>
          </w:p>
        </w:tc>
        <w:tc>
          <w:tcPr>
            <w:tcW w:w="896" w:type="dxa"/>
            <w:tcBorders>
              <w:top w:val="nil"/>
              <w:left w:val="nil"/>
              <w:bottom w:val="nil"/>
              <w:right w:val="nil"/>
            </w:tcBorders>
            <w:shd w:val="clear" w:color="auto" w:fill="auto"/>
            <w:noWrap/>
            <w:vAlign w:val="bottom"/>
            <w:hideMark/>
          </w:tcPr>
          <w:p w14:paraId="2162D4D3" w14:textId="77777777" w:rsidR="00741DF5" w:rsidRPr="00AB729D" w:rsidRDefault="00741DF5" w:rsidP="00741DF5">
            <w:pPr>
              <w:spacing w:after="0" w:line="240" w:lineRule="auto"/>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678B72F9" w14:textId="77777777" w:rsidR="00741DF5" w:rsidRPr="00AB729D" w:rsidRDefault="00741DF5" w:rsidP="00741DF5">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6BC6AFDE" w14:textId="77777777" w:rsidR="00741DF5" w:rsidRPr="00AB729D" w:rsidRDefault="00741DF5" w:rsidP="00741DF5">
            <w:pPr>
              <w:spacing w:after="0" w:line="240" w:lineRule="auto"/>
              <w:rPr>
                <w:rFonts w:ascii="Times New Roman" w:eastAsia="Times New Roman" w:hAnsi="Times New Roman"/>
                <w:sz w:val="20"/>
                <w:szCs w:val="20"/>
              </w:rPr>
            </w:pPr>
          </w:p>
        </w:tc>
        <w:tc>
          <w:tcPr>
            <w:tcW w:w="1296" w:type="dxa"/>
            <w:tcBorders>
              <w:top w:val="nil"/>
              <w:left w:val="nil"/>
              <w:bottom w:val="nil"/>
              <w:right w:val="nil"/>
            </w:tcBorders>
            <w:shd w:val="clear" w:color="auto" w:fill="auto"/>
            <w:noWrap/>
            <w:vAlign w:val="bottom"/>
            <w:hideMark/>
          </w:tcPr>
          <w:p w14:paraId="4055C9B1" w14:textId="77777777" w:rsidR="00741DF5" w:rsidRPr="00AB729D" w:rsidRDefault="00741DF5" w:rsidP="00741DF5">
            <w:pPr>
              <w:spacing w:after="0" w:line="240" w:lineRule="auto"/>
              <w:rPr>
                <w:rFonts w:ascii="Times New Roman" w:eastAsia="Times New Roman" w:hAnsi="Times New Roman"/>
                <w:sz w:val="20"/>
                <w:szCs w:val="20"/>
              </w:rPr>
            </w:pPr>
          </w:p>
        </w:tc>
        <w:tc>
          <w:tcPr>
            <w:tcW w:w="1676" w:type="dxa"/>
            <w:tcBorders>
              <w:top w:val="nil"/>
              <w:left w:val="nil"/>
              <w:bottom w:val="nil"/>
              <w:right w:val="nil"/>
            </w:tcBorders>
            <w:shd w:val="clear" w:color="auto" w:fill="auto"/>
            <w:noWrap/>
            <w:vAlign w:val="bottom"/>
            <w:hideMark/>
          </w:tcPr>
          <w:p w14:paraId="36275076" w14:textId="77777777" w:rsidR="00741DF5" w:rsidRPr="00AB729D" w:rsidRDefault="00741DF5" w:rsidP="00741DF5">
            <w:pPr>
              <w:spacing w:after="0" w:line="240" w:lineRule="auto"/>
              <w:rPr>
                <w:rFonts w:ascii="Times New Roman" w:eastAsia="Times New Roman" w:hAnsi="Times New Roman"/>
                <w:sz w:val="20"/>
                <w:szCs w:val="20"/>
              </w:rPr>
            </w:pPr>
          </w:p>
        </w:tc>
        <w:tc>
          <w:tcPr>
            <w:tcW w:w="1736" w:type="dxa"/>
            <w:tcBorders>
              <w:top w:val="nil"/>
              <w:left w:val="nil"/>
              <w:bottom w:val="nil"/>
              <w:right w:val="nil"/>
            </w:tcBorders>
            <w:shd w:val="clear" w:color="auto" w:fill="auto"/>
            <w:noWrap/>
            <w:vAlign w:val="bottom"/>
            <w:hideMark/>
          </w:tcPr>
          <w:p w14:paraId="1D468B72" w14:textId="77777777" w:rsidR="00741DF5" w:rsidRPr="00AB729D" w:rsidRDefault="00741DF5" w:rsidP="00741DF5">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36606051" w14:textId="77777777" w:rsidR="00741DF5" w:rsidRPr="00AB729D" w:rsidRDefault="00741DF5" w:rsidP="00741DF5">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2A5BDD57"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483BADF" w14:textId="77777777" w:rsidTr="00741DF5">
        <w:trPr>
          <w:trHeight w:val="300"/>
          <w:jc w:val="center"/>
        </w:trPr>
        <w:tc>
          <w:tcPr>
            <w:tcW w:w="1210" w:type="dxa"/>
            <w:tcBorders>
              <w:top w:val="nil"/>
              <w:left w:val="nil"/>
              <w:bottom w:val="nil"/>
              <w:right w:val="nil"/>
            </w:tcBorders>
            <w:shd w:val="clear" w:color="auto" w:fill="auto"/>
            <w:noWrap/>
            <w:vAlign w:val="bottom"/>
            <w:hideMark/>
          </w:tcPr>
          <w:p w14:paraId="4252E528" w14:textId="77777777" w:rsidR="00741DF5" w:rsidRPr="00AB729D" w:rsidRDefault="00741DF5" w:rsidP="00741DF5">
            <w:pPr>
              <w:spacing w:after="0" w:line="240" w:lineRule="auto"/>
              <w:rPr>
                <w:rFonts w:ascii="Times New Roman" w:eastAsia="Times New Roman" w:hAnsi="Times New Roman"/>
                <w:sz w:val="20"/>
                <w:szCs w:val="20"/>
              </w:rPr>
            </w:pPr>
          </w:p>
        </w:tc>
        <w:tc>
          <w:tcPr>
            <w:tcW w:w="799" w:type="dxa"/>
            <w:tcBorders>
              <w:top w:val="nil"/>
              <w:left w:val="nil"/>
              <w:bottom w:val="nil"/>
              <w:right w:val="nil"/>
            </w:tcBorders>
            <w:shd w:val="clear" w:color="auto" w:fill="auto"/>
            <w:noWrap/>
            <w:vAlign w:val="bottom"/>
            <w:hideMark/>
          </w:tcPr>
          <w:p w14:paraId="012DFE23"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5C7B2695" w14:textId="77777777" w:rsidR="00741DF5" w:rsidRPr="00AB729D" w:rsidRDefault="00741DF5" w:rsidP="00741DF5">
            <w:pPr>
              <w:spacing w:after="0" w:line="240" w:lineRule="auto"/>
              <w:rPr>
                <w:rFonts w:ascii="Times New Roman" w:eastAsia="Times New Roman" w:hAnsi="Times New Roman"/>
                <w:sz w:val="20"/>
                <w:szCs w:val="20"/>
              </w:rPr>
            </w:pPr>
          </w:p>
        </w:tc>
        <w:tc>
          <w:tcPr>
            <w:tcW w:w="799" w:type="dxa"/>
            <w:tcBorders>
              <w:top w:val="nil"/>
              <w:left w:val="nil"/>
              <w:bottom w:val="nil"/>
              <w:right w:val="nil"/>
            </w:tcBorders>
            <w:shd w:val="clear" w:color="auto" w:fill="auto"/>
            <w:noWrap/>
            <w:vAlign w:val="bottom"/>
            <w:hideMark/>
          </w:tcPr>
          <w:p w14:paraId="7B83FFDD"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11FBAF82" w14:textId="77777777" w:rsidR="00741DF5" w:rsidRPr="00AB729D" w:rsidRDefault="00741DF5" w:rsidP="00741DF5">
            <w:pPr>
              <w:spacing w:after="0" w:line="240" w:lineRule="auto"/>
              <w:rPr>
                <w:rFonts w:ascii="Times New Roman" w:eastAsia="Times New Roman" w:hAnsi="Times New Roman"/>
                <w:sz w:val="20"/>
                <w:szCs w:val="20"/>
              </w:rPr>
            </w:pPr>
          </w:p>
        </w:tc>
        <w:tc>
          <w:tcPr>
            <w:tcW w:w="896" w:type="dxa"/>
            <w:tcBorders>
              <w:top w:val="nil"/>
              <w:left w:val="nil"/>
              <w:bottom w:val="nil"/>
              <w:right w:val="nil"/>
            </w:tcBorders>
            <w:shd w:val="clear" w:color="auto" w:fill="auto"/>
            <w:noWrap/>
            <w:vAlign w:val="bottom"/>
            <w:hideMark/>
          </w:tcPr>
          <w:p w14:paraId="7F88C931" w14:textId="77777777" w:rsidR="00741DF5" w:rsidRPr="00AB729D" w:rsidRDefault="00741DF5" w:rsidP="00741DF5">
            <w:pPr>
              <w:spacing w:after="0" w:line="240" w:lineRule="auto"/>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3D9B5B21" w14:textId="77777777" w:rsidR="00741DF5" w:rsidRPr="00AB729D" w:rsidRDefault="00741DF5" w:rsidP="00741DF5">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0C03E46C" w14:textId="77777777" w:rsidR="00741DF5" w:rsidRPr="00AB729D" w:rsidRDefault="00741DF5" w:rsidP="00741DF5">
            <w:pPr>
              <w:spacing w:after="0" w:line="240" w:lineRule="auto"/>
              <w:rPr>
                <w:rFonts w:ascii="Times New Roman" w:eastAsia="Times New Roman" w:hAnsi="Times New Roman"/>
                <w:sz w:val="20"/>
                <w:szCs w:val="20"/>
              </w:rPr>
            </w:pPr>
          </w:p>
        </w:tc>
        <w:tc>
          <w:tcPr>
            <w:tcW w:w="1296" w:type="dxa"/>
            <w:tcBorders>
              <w:top w:val="nil"/>
              <w:left w:val="nil"/>
              <w:bottom w:val="nil"/>
              <w:right w:val="nil"/>
            </w:tcBorders>
            <w:shd w:val="clear" w:color="auto" w:fill="auto"/>
            <w:noWrap/>
            <w:vAlign w:val="bottom"/>
            <w:hideMark/>
          </w:tcPr>
          <w:p w14:paraId="0C5EB823" w14:textId="77777777" w:rsidR="00741DF5" w:rsidRPr="00AB729D" w:rsidRDefault="00741DF5" w:rsidP="00741DF5">
            <w:pPr>
              <w:spacing w:after="0" w:line="240" w:lineRule="auto"/>
              <w:rPr>
                <w:rFonts w:ascii="Times New Roman" w:eastAsia="Times New Roman" w:hAnsi="Times New Roman"/>
                <w:sz w:val="20"/>
                <w:szCs w:val="20"/>
              </w:rPr>
            </w:pPr>
          </w:p>
        </w:tc>
        <w:tc>
          <w:tcPr>
            <w:tcW w:w="1676" w:type="dxa"/>
            <w:tcBorders>
              <w:top w:val="nil"/>
              <w:left w:val="nil"/>
              <w:bottom w:val="nil"/>
              <w:right w:val="nil"/>
            </w:tcBorders>
            <w:shd w:val="clear" w:color="auto" w:fill="auto"/>
            <w:noWrap/>
            <w:vAlign w:val="bottom"/>
            <w:hideMark/>
          </w:tcPr>
          <w:p w14:paraId="28CAD355" w14:textId="77777777" w:rsidR="00741DF5" w:rsidRPr="00AB729D" w:rsidRDefault="00741DF5" w:rsidP="00741DF5">
            <w:pPr>
              <w:spacing w:after="0" w:line="240" w:lineRule="auto"/>
              <w:rPr>
                <w:rFonts w:ascii="Times New Roman" w:eastAsia="Times New Roman" w:hAnsi="Times New Roman"/>
                <w:sz w:val="20"/>
                <w:szCs w:val="20"/>
              </w:rPr>
            </w:pPr>
          </w:p>
        </w:tc>
        <w:tc>
          <w:tcPr>
            <w:tcW w:w="1736" w:type="dxa"/>
            <w:tcBorders>
              <w:top w:val="nil"/>
              <w:left w:val="nil"/>
              <w:bottom w:val="nil"/>
              <w:right w:val="nil"/>
            </w:tcBorders>
            <w:shd w:val="clear" w:color="auto" w:fill="auto"/>
            <w:noWrap/>
            <w:vAlign w:val="bottom"/>
            <w:hideMark/>
          </w:tcPr>
          <w:p w14:paraId="081A3BB3" w14:textId="77777777" w:rsidR="00741DF5" w:rsidRPr="00AB729D" w:rsidRDefault="00741DF5" w:rsidP="00741DF5">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7170F101" w14:textId="77777777" w:rsidR="00741DF5" w:rsidRPr="00AB729D" w:rsidRDefault="00741DF5" w:rsidP="00741DF5">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14DAAF4C"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0247E29" w14:textId="77777777" w:rsidTr="00741DF5">
        <w:trPr>
          <w:trHeight w:val="300"/>
          <w:jc w:val="center"/>
        </w:trPr>
        <w:tc>
          <w:tcPr>
            <w:tcW w:w="1210" w:type="dxa"/>
            <w:tcBorders>
              <w:top w:val="single" w:sz="4" w:space="0" w:color="auto"/>
              <w:left w:val="nil"/>
              <w:bottom w:val="single" w:sz="4" w:space="0" w:color="auto"/>
              <w:right w:val="nil"/>
            </w:tcBorders>
            <w:shd w:val="clear" w:color="auto" w:fill="auto"/>
            <w:noWrap/>
            <w:vAlign w:val="bottom"/>
            <w:hideMark/>
          </w:tcPr>
          <w:p w14:paraId="6CA4C2B1"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 </w:t>
            </w:r>
          </w:p>
        </w:tc>
        <w:tc>
          <w:tcPr>
            <w:tcW w:w="1873" w:type="dxa"/>
            <w:gridSpan w:val="2"/>
            <w:tcBorders>
              <w:top w:val="single" w:sz="4" w:space="0" w:color="auto"/>
              <w:left w:val="nil"/>
              <w:bottom w:val="single" w:sz="4" w:space="0" w:color="auto"/>
              <w:right w:val="nil"/>
            </w:tcBorders>
            <w:shd w:val="clear" w:color="auto" w:fill="auto"/>
            <w:noWrap/>
            <w:vAlign w:val="bottom"/>
            <w:hideMark/>
          </w:tcPr>
          <w:p w14:paraId="07CDFDA9"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Q1 (Low IOV)</w:t>
            </w:r>
          </w:p>
        </w:tc>
        <w:tc>
          <w:tcPr>
            <w:tcW w:w="1873" w:type="dxa"/>
            <w:gridSpan w:val="2"/>
            <w:tcBorders>
              <w:top w:val="single" w:sz="4" w:space="0" w:color="auto"/>
              <w:left w:val="nil"/>
              <w:bottom w:val="single" w:sz="4" w:space="0" w:color="auto"/>
              <w:right w:val="nil"/>
            </w:tcBorders>
            <w:shd w:val="clear" w:color="auto" w:fill="auto"/>
            <w:noWrap/>
            <w:vAlign w:val="bottom"/>
            <w:hideMark/>
          </w:tcPr>
          <w:p w14:paraId="0488EB87"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Q2</w:t>
            </w:r>
          </w:p>
        </w:tc>
        <w:tc>
          <w:tcPr>
            <w:tcW w:w="1812" w:type="dxa"/>
            <w:gridSpan w:val="2"/>
            <w:tcBorders>
              <w:top w:val="single" w:sz="4" w:space="0" w:color="auto"/>
              <w:left w:val="nil"/>
              <w:bottom w:val="single" w:sz="4" w:space="0" w:color="auto"/>
              <w:right w:val="nil"/>
            </w:tcBorders>
            <w:shd w:val="clear" w:color="auto" w:fill="auto"/>
            <w:noWrap/>
            <w:vAlign w:val="bottom"/>
            <w:hideMark/>
          </w:tcPr>
          <w:p w14:paraId="13C05730"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Q3</w:t>
            </w:r>
          </w:p>
        </w:tc>
        <w:tc>
          <w:tcPr>
            <w:tcW w:w="2312" w:type="dxa"/>
            <w:gridSpan w:val="2"/>
            <w:tcBorders>
              <w:top w:val="single" w:sz="4" w:space="0" w:color="auto"/>
              <w:left w:val="nil"/>
              <w:bottom w:val="single" w:sz="4" w:space="0" w:color="auto"/>
              <w:right w:val="nil"/>
            </w:tcBorders>
            <w:shd w:val="clear" w:color="auto" w:fill="auto"/>
            <w:noWrap/>
            <w:vAlign w:val="bottom"/>
            <w:hideMark/>
          </w:tcPr>
          <w:p w14:paraId="54DD884E"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Q4 (High IOV)</w:t>
            </w:r>
          </w:p>
        </w:tc>
        <w:tc>
          <w:tcPr>
            <w:tcW w:w="1676" w:type="dxa"/>
            <w:tcBorders>
              <w:top w:val="single" w:sz="4" w:space="0" w:color="auto"/>
              <w:left w:val="nil"/>
              <w:bottom w:val="single" w:sz="4" w:space="0" w:color="auto"/>
              <w:right w:val="nil"/>
            </w:tcBorders>
            <w:shd w:val="clear" w:color="auto" w:fill="auto"/>
            <w:noWrap/>
            <w:vAlign w:val="bottom"/>
            <w:hideMark/>
          </w:tcPr>
          <w:p w14:paraId="51C2F732" w14:textId="77777777" w:rsidR="00741DF5" w:rsidRPr="00AB729D" w:rsidRDefault="00741DF5" w:rsidP="00741DF5">
            <w:pPr>
              <w:spacing w:after="0" w:line="240" w:lineRule="auto"/>
              <w:rPr>
                <w:rFonts w:eastAsia="Times New Roman"/>
              </w:rPr>
            </w:pPr>
            <w:r w:rsidRPr="00AB729D">
              <w:rPr>
                <w:rFonts w:eastAsia="Times New Roman"/>
              </w:rPr>
              <w:t> </w:t>
            </w:r>
          </w:p>
        </w:tc>
        <w:tc>
          <w:tcPr>
            <w:tcW w:w="1736" w:type="dxa"/>
            <w:tcBorders>
              <w:top w:val="single" w:sz="4" w:space="0" w:color="auto"/>
              <w:left w:val="nil"/>
              <w:bottom w:val="single" w:sz="4" w:space="0" w:color="auto"/>
              <w:right w:val="nil"/>
            </w:tcBorders>
            <w:shd w:val="clear" w:color="auto" w:fill="auto"/>
            <w:noWrap/>
            <w:vAlign w:val="bottom"/>
            <w:hideMark/>
          </w:tcPr>
          <w:p w14:paraId="3F92115B" w14:textId="77777777" w:rsidR="00741DF5" w:rsidRPr="00AB729D" w:rsidRDefault="00741DF5" w:rsidP="00741DF5">
            <w:pPr>
              <w:spacing w:after="0" w:line="240" w:lineRule="auto"/>
              <w:rPr>
                <w:rFonts w:eastAsia="Times New Roman"/>
              </w:rPr>
            </w:pPr>
            <w:r w:rsidRPr="00AB729D">
              <w:rPr>
                <w:rFonts w:eastAsia="Times New Roman"/>
              </w:rPr>
              <w:t> </w:t>
            </w:r>
          </w:p>
        </w:tc>
        <w:tc>
          <w:tcPr>
            <w:tcW w:w="1156" w:type="dxa"/>
            <w:tcBorders>
              <w:top w:val="single" w:sz="4" w:space="0" w:color="auto"/>
              <w:left w:val="nil"/>
              <w:bottom w:val="single" w:sz="4" w:space="0" w:color="auto"/>
              <w:right w:val="nil"/>
            </w:tcBorders>
            <w:shd w:val="clear" w:color="auto" w:fill="auto"/>
            <w:noWrap/>
            <w:vAlign w:val="bottom"/>
            <w:hideMark/>
          </w:tcPr>
          <w:p w14:paraId="61B0A1E1" w14:textId="77777777" w:rsidR="00741DF5" w:rsidRPr="00AB729D" w:rsidRDefault="00741DF5" w:rsidP="00741DF5">
            <w:pPr>
              <w:spacing w:after="0" w:line="240" w:lineRule="auto"/>
              <w:rPr>
                <w:rFonts w:eastAsia="Times New Roman"/>
              </w:rPr>
            </w:pPr>
            <w:r w:rsidRPr="00AB729D">
              <w:rPr>
                <w:rFonts w:eastAsia="Times New Roman"/>
              </w:rPr>
              <w:t> </w:t>
            </w:r>
          </w:p>
        </w:tc>
        <w:tc>
          <w:tcPr>
            <w:tcW w:w="1136" w:type="dxa"/>
            <w:tcBorders>
              <w:top w:val="single" w:sz="4" w:space="0" w:color="auto"/>
              <w:left w:val="nil"/>
              <w:bottom w:val="single" w:sz="4" w:space="0" w:color="auto"/>
              <w:right w:val="nil"/>
            </w:tcBorders>
            <w:shd w:val="clear" w:color="auto" w:fill="auto"/>
            <w:noWrap/>
            <w:vAlign w:val="bottom"/>
            <w:hideMark/>
          </w:tcPr>
          <w:p w14:paraId="503F1C10" w14:textId="77777777" w:rsidR="00741DF5" w:rsidRPr="00AB729D" w:rsidRDefault="00741DF5" w:rsidP="00741DF5">
            <w:pPr>
              <w:spacing w:after="0" w:line="240" w:lineRule="auto"/>
              <w:rPr>
                <w:rFonts w:eastAsia="Times New Roman"/>
              </w:rPr>
            </w:pPr>
            <w:r w:rsidRPr="00AB729D">
              <w:rPr>
                <w:rFonts w:eastAsia="Times New Roman"/>
              </w:rPr>
              <w:t> </w:t>
            </w:r>
          </w:p>
        </w:tc>
      </w:tr>
      <w:tr w:rsidR="00272B18" w:rsidRPr="00AB729D" w14:paraId="044FD915" w14:textId="77777777" w:rsidTr="00741DF5">
        <w:trPr>
          <w:trHeight w:val="300"/>
          <w:jc w:val="center"/>
        </w:trPr>
        <w:tc>
          <w:tcPr>
            <w:tcW w:w="1210" w:type="dxa"/>
            <w:tcBorders>
              <w:top w:val="nil"/>
              <w:left w:val="nil"/>
              <w:bottom w:val="single" w:sz="4" w:space="0" w:color="auto"/>
              <w:right w:val="nil"/>
            </w:tcBorders>
            <w:shd w:val="clear" w:color="auto" w:fill="auto"/>
            <w:noWrap/>
            <w:vAlign w:val="bottom"/>
            <w:hideMark/>
          </w:tcPr>
          <w:p w14:paraId="3308B76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Variable</w:t>
            </w:r>
          </w:p>
        </w:tc>
        <w:tc>
          <w:tcPr>
            <w:tcW w:w="799" w:type="dxa"/>
            <w:tcBorders>
              <w:top w:val="nil"/>
              <w:left w:val="nil"/>
              <w:bottom w:val="single" w:sz="4" w:space="0" w:color="auto"/>
              <w:right w:val="nil"/>
            </w:tcBorders>
            <w:shd w:val="clear" w:color="auto" w:fill="auto"/>
            <w:noWrap/>
            <w:vAlign w:val="bottom"/>
            <w:hideMark/>
          </w:tcPr>
          <w:p w14:paraId="707088F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1074" w:type="dxa"/>
            <w:tcBorders>
              <w:top w:val="nil"/>
              <w:left w:val="nil"/>
              <w:bottom w:val="single" w:sz="4" w:space="0" w:color="auto"/>
              <w:right w:val="nil"/>
            </w:tcBorders>
            <w:shd w:val="clear" w:color="auto" w:fill="auto"/>
            <w:noWrap/>
            <w:vAlign w:val="bottom"/>
            <w:hideMark/>
          </w:tcPr>
          <w:p w14:paraId="28442FF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799" w:type="dxa"/>
            <w:tcBorders>
              <w:top w:val="nil"/>
              <w:left w:val="nil"/>
              <w:bottom w:val="single" w:sz="4" w:space="0" w:color="auto"/>
              <w:right w:val="nil"/>
            </w:tcBorders>
            <w:shd w:val="clear" w:color="auto" w:fill="auto"/>
            <w:noWrap/>
            <w:vAlign w:val="bottom"/>
            <w:hideMark/>
          </w:tcPr>
          <w:p w14:paraId="5AF02F4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1074" w:type="dxa"/>
            <w:tcBorders>
              <w:top w:val="nil"/>
              <w:left w:val="nil"/>
              <w:bottom w:val="single" w:sz="4" w:space="0" w:color="auto"/>
              <w:right w:val="nil"/>
            </w:tcBorders>
            <w:shd w:val="clear" w:color="auto" w:fill="auto"/>
            <w:noWrap/>
            <w:vAlign w:val="bottom"/>
            <w:hideMark/>
          </w:tcPr>
          <w:p w14:paraId="4B51B05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896" w:type="dxa"/>
            <w:tcBorders>
              <w:top w:val="nil"/>
              <w:left w:val="nil"/>
              <w:bottom w:val="single" w:sz="4" w:space="0" w:color="auto"/>
              <w:right w:val="nil"/>
            </w:tcBorders>
            <w:shd w:val="clear" w:color="auto" w:fill="auto"/>
            <w:noWrap/>
            <w:vAlign w:val="bottom"/>
            <w:hideMark/>
          </w:tcPr>
          <w:p w14:paraId="17E80B9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916" w:type="dxa"/>
            <w:tcBorders>
              <w:top w:val="nil"/>
              <w:left w:val="nil"/>
              <w:bottom w:val="single" w:sz="4" w:space="0" w:color="auto"/>
              <w:right w:val="nil"/>
            </w:tcBorders>
            <w:shd w:val="clear" w:color="auto" w:fill="auto"/>
            <w:noWrap/>
            <w:vAlign w:val="bottom"/>
            <w:hideMark/>
          </w:tcPr>
          <w:p w14:paraId="3C11B35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1016" w:type="dxa"/>
            <w:tcBorders>
              <w:top w:val="nil"/>
              <w:left w:val="nil"/>
              <w:bottom w:val="single" w:sz="4" w:space="0" w:color="auto"/>
              <w:right w:val="nil"/>
            </w:tcBorders>
            <w:shd w:val="clear" w:color="auto" w:fill="auto"/>
            <w:noWrap/>
            <w:vAlign w:val="bottom"/>
            <w:hideMark/>
          </w:tcPr>
          <w:p w14:paraId="0E18EFE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1296" w:type="dxa"/>
            <w:tcBorders>
              <w:top w:val="nil"/>
              <w:left w:val="nil"/>
              <w:bottom w:val="single" w:sz="4" w:space="0" w:color="auto"/>
              <w:right w:val="nil"/>
            </w:tcBorders>
            <w:shd w:val="clear" w:color="auto" w:fill="auto"/>
            <w:noWrap/>
            <w:vAlign w:val="bottom"/>
            <w:hideMark/>
          </w:tcPr>
          <w:p w14:paraId="6DB7998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1676" w:type="dxa"/>
            <w:tcBorders>
              <w:top w:val="nil"/>
              <w:left w:val="nil"/>
              <w:bottom w:val="single" w:sz="4" w:space="0" w:color="auto"/>
              <w:right w:val="nil"/>
            </w:tcBorders>
            <w:shd w:val="clear" w:color="auto" w:fill="auto"/>
            <w:noWrap/>
            <w:vAlign w:val="bottom"/>
            <w:hideMark/>
          </w:tcPr>
          <w:p w14:paraId="378A980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Mean Diff  </w:t>
            </w:r>
          </w:p>
        </w:tc>
        <w:tc>
          <w:tcPr>
            <w:tcW w:w="1736" w:type="dxa"/>
            <w:tcBorders>
              <w:top w:val="nil"/>
              <w:left w:val="nil"/>
              <w:bottom w:val="single" w:sz="4" w:space="0" w:color="auto"/>
              <w:right w:val="nil"/>
            </w:tcBorders>
            <w:shd w:val="clear" w:color="auto" w:fill="auto"/>
            <w:noWrap/>
            <w:vAlign w:val="bottom"/>
            <w:hideMark/>
          </w:tcPr>
          <w:p w14:paraId="5AF639D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Median Diff </w:t>
            </w:r>
          </w:p>
        </w:tc>
        <w:tc>
          <w:tcPr>
            <w:tcW w:w="1156" w:type="dxa"/>
            <w:tcBorders>
              <w:top w:val="nil"/>
              <w:left w:val="nil"/>
              <w:bottom w:val="single" w:sz="4" w:space="0" w:color="auto"/>
              <w:right w:val="nil"/>
            </w:tcBorders>
            <w:shd w:val="clear" w:color="auto" w:fill="auto"/>
            <w:noWrap/>
            <w:vAlign w:val="bottom"/>
            <w:hideMark/>
          </w:tcPr>
          <w:p w14:paraId="331631B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t-test</w:t>
            </w:r>
          </w:p>
        </w:tc>
        <w:tc>
          <w:tcPr>
            <w:tcW w:w="1136" w:type="dxa"/>
            <w:tcBorders>
              <w:top w:val="nil"/>
              <w:left w:val="nil"/>
              <w:bottom w:val="single" w:sz="4" w:space="0" w:color="auto"/>
              <w:right w:val="nil"/>
            </w:tcBorders>
            <w:shd w:val="clear" w:color="auto" w:fill="auto"/>
            <w:noWrap/>
            <w:vAlign w:val="bottom"/>
            <w:hideMark/>
          </w:tcPr>
          <w:p w14:paraId="757E2B4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w-test</w:t>
            </w:r>
          </w:p>
        </w:tc>
      </w:tr>
      <w:tr w:rsidR="00272B18" w:rsidRPr="00AB729D" w14:paraId="1A6BE030" w14:textId="77777777" w:rsidTr="00741DF5">
        <w:trPr>
          <w:trHeight w:val="300"/>
          <w:jc w:val="center"/>
        </w:trPr>
        <w:tc>
          <w:tcPr>
            <w:tcW w:w="1210" w:type="dxa"/>
            <w:tcBorders>
              <w:top w:val="nil"/>
              <w:left w:val="nil"/>
              <w:bottom w:val="nil"/>
              <w:right w:val="nil"/>
            </w:tcBorders>
            <w:shd w:val="clear" w:color="auto" w:fill="auto"/>
            <w:noWrap/>
            <w:vAlign w:val="bottom"/>
            <w:hideMark/>
          </w:tcPr>
          <w:p w14:paraId="06479F6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EXVRK</w:t>
            </w:r>
          </w:p>
        </w:tc>
        <w:tc>
          <w:tcPr>
            <w:tcW w:w="799" w:type="dxa"/>
            <w:tcBorders>
              <w:top w:val="nil"/>
              <w:left w:val="nil"/>
              <w:bottom w:val="nil"/>
              <w:right w:val="nil"/>
            </w:tcBorders>
            <w:shd w:val="clear" w:color="auto" w:fill="auto"/>
            <w:noWrap/>
            <w:vAlign w:val="bottom"/>
            <w:hideMark/>
          </w:tcPr>
          <w:p w14:paraId="04BBACD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0.524</w:t>
            </w:r>
          </w:p>
        </w:tc>
        <w:tc>
          <w:tcPr>
            <w:tcW w:w="1074" w:type="dxa"/>
            <w:tcBorders>
              <w:top w:val="nil"/>
              <w:left w:val="nil"/>
              <w:bottom w:val="nil"/>
              <w:right w:val="nil"/>
            </w:tcBorders>
            <w:shd w:val="clear" w:color="auto" w:fill="auto"/>
            <w:noWrap/>
            <w:vAlign w:val="bottom"/>
            <w:hideMark/>
          </w:tcPr>
          <w:p w14:paraId="2EE21C8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0.386</w:t>
            </w:r>
          </w:p>
        </w:tc>
        <w:tc>
          <w:tcPr>
            <w:tcW w:w="799" w:type="dxa"/>
            <w:tcBorders>
              <w:top w:val="nil"/>
              <w:left w:val="nil"/>
              <w:bottom w:val="nil"/>
              <w:right w:val="nil"/>
            </w:tcBorders>
            <w:shd w:val="clear" w:color="auto" w:fill="auto"/>
            <w:noWrap/>
            <w:vAlign w:val="bottom"/>
            <w:hideMark/>
          </w:tcPr>
          <w:p w14:paraId="336C526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0.508</w:t>
            </w:r>
          </w:p>
        </w:tc>
        <w:tc>
          <w:tcPr>
            <w:tcW w:w="1074" w:type="dxa"/>
            <w:tcBorders>
              <w:top w:val="nil"/>
              <w:left w:val="nil"/>
              <w:bottom w:val="nil"/>
              <w:right w:val="nil"/>
            </w:tcBorders>
            <w:shd w:val="clear" w:color="auto" w:fill="auto"/>
            <w:noWrap/>
            <w:vAlign w:val="bottom"/>
            <w:hideMark/>
          </w:tcPr>
          <w:p w14:paraId="5DA16B6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0.380</w:t>
            </w:r>
          </w:p>
        </w:tc>
        <w:tc>
          <w:tcPr>
            <w:tcW w:w="896" w:type="dxa"/>
            <w:tcBorders>
              <w:top w:val="nil"/>
              <w:left w:val="nil"/>
              <w:bottom w:val="nil"/>
              <w:right w:val="nil"/>
            </w:tcBorders>
            <w:shd w:val="clear" w:color="auto" w:fill="auto"/>
            <w:noWrap/>
            <w:vAlign w:val="bottom"/>
            <w:hideMark/>
          </w:tcPr>
          <w:p w14:paraId="14A2BE5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0.509</w:t>
            </w:r>
          </w:p>
        </w:tc>
        <w:tc>
          <w:tcPr>
            <w:tcW w:w="916" w:type="dxa"/>
            <w:tcBorders>
              <w:top w:val="nil"/>
              <w:left w:val="nil"/>
              <w:bottom w:val="nil"/>
              <w:right w:val="nil"/>
            </w:tcBorders>
            <w:shd w:val="clear" w:color="auto" w:fill="auto"/>
            <w:noWrap/>
            <w:vAlign w:val="bottom"/>
            <w:hideMark/>
          </w:tcPr>
          <w:p w14:paraId="426CDA9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0.391</w:t>
            </w:r>
          </w:p>
        </w:tc>
        <w:tc>
          <w:tcPr>
            <w:tcW w:w="1016" w:type="dxa"/>
            <w:tcBorders>
              <w:top w:val="nil"/>
              <w:left w:val="nil"/>
              <w:bottom w:val="nil"/>
              <w:right w:val="nil"/>
            </w:tcBorders>
            <w:shd w:val="clear" w:color="auto" w:fill="auto"/>
            <w:noWrap/>
            <w:vAlign w:val="bottom"/>
            <w:hideMark/>
          </w:tcPr>
          <w:p w14:paraId="650B65B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0.535</w:t>
            </w:r>
          </w:p>
        </w:tc>
        <w:tc>
          <w:tcPr>
            <w:tcW w:w="1296" w:type="dxa"/>
            <w:tcBorders>
              <w:top w:val="nil"/>
              <w:left w:val="nil"/>
              <w:bottom w:val="nil"/>
              <w:right w:val="nil"/>
            </w:tcBorders>
            <w:shd w:val="clear" w:color="auto" w:fill="auto"/>
            <w:noWrap/>
            <w:vAlign w:val="bottom"/>
            <w:hideMark/>
          </w:tcPr>
          <w:p w14:paraId="01491B0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0.414</w:t>
            </w:r>
          </w:p>
        </w:tc>
        <w:tc>
          <w:tcPr>
            <w:tcW w:w="1676" w:type="dxa"/>
            <w:tcBorders>
              <w:top w:val="nil"/>
              <w:left w:val="nil"/>
              <w:bottom w:val="nil"/>
              <w:right w:val="nil"/>
            </w:tcBorders>
            <w:shd w:val="clear" w:color="auto" w:fill="auto"/>
            <w:noWrap/>
            <w:vAlign w:val="bottom"/>
            <w:hideMark/>
          </w:tcPr>
          <w:p w14:paraId="6C9ED2A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-0.011</w:t>
            </w:r>
          </w:p>
        </w:tc>
        <w:tc>
          <w:tcPr>
            <w:tcW w:w="1736" w:type="dxa"/>
            <w:tcBorders>
              <w:top w:val="nil"/>
              <w:left w:val="nil"/>
              <w:bottom w:val="nil"/>
              <w:right w:val="nil"/>
            </w:tcBorders>
            <w:shd w:val="clear" w:color="auto" w:fill="auto"/>
            <w:noWrap/>
            <w:vAlign w:val="bottom"/>
            <w:hideMark/>
          </w:tcPr>
          <w:p w14:paraId="24052FB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-0.028</w:t>
            </w:r>
          </w:p>
        </w:tc>
        <w:tc>
          <w:tcPr>
            <w:tcW w:w="1156" w:type="dxa"/>
            <w:tcBorders>
              <w:top w:val="nil"/>
              <w:left w:val="nil"/>
              <w:bottom w:val="nil"/>
              <w:right w:val="nil"/>
            </w:tcBorders>
            <w:shd w:val="clear" w:color="auto" w:fill="auto"/>
            <w:noWrap/>
            <w:vAlign w:val="bottom"/>
            <w:hideMark/>
          </w:tcPr>
          <w:p w14:paraId="760417A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-2.25**</w:t>
            </w:r>
          </w:p>
        </w:tc>
        <w:tc>
          <w:tcPr>
            <w:tcW w:w="1136" w:type="dxa"/>
            <w:tcBorders>
              <w:top w:val="nil"/>
              <w:left w:val="nil"/>
              <w:bottom w:val="nil"/>
              <w:right w:val="nil"/>
            </w:tcBorders>
            <w:shd w:val="clear" w:color="auto" w:fill="auto"/>
            <w:noWrap/>
            <w:vAlign w:val="bottom"/>
            <w:hideMark/>
          </w:tcPr>
          <w:p w14:paraId="160D61C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-5.84***</w:t>
            </w:r>
          </w:p>
        </w:tc>
      </w:tr>
      <w:tr w:rsidR="00272B18" w:rsidRPr="00AB729D" w14:paraId="288F2C24" w14:textId="77777777" w:rsidTr="00741DF5">
        <w:trPr>
          <w:trHeight w:val="300"/>
          <w:jc w:val="center"/>
        </w:trPr>
        <w:tc>
          <w:tcPr>
            <w:tcW w:w="1210" w:type="dxa"/>
            <w:tcBorders>
              <w:top w:val="nil"/>
              <w:left w:val="nil"/>
              <w:bottom w:val="single" w:sz="4" w:space="0" w:color="auto"/>
              <w:right w:val="nil"/>
            </w:tcBorders>
            <w:shd w:val="clear" w:color="auto" w:fill="auto"/>
            <w:noWrap/>
            <w:vAlign w:val="bottom"/>
            <w:hideMark/>
          </w:tcPr>
          <w:p w14:paraId="3784585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EXVIA</w:t>
            </w:r>
          </w:p>
        </w:tc>
        <w:tc>
          <w:tcPr>
            <w:tcW w:w="799" w:type="dxa"/>
            <w:tcBorders>
              <w:top w:val="nil"/>
              <w:left w:val="nil"/>
              <w:bottom w:val="single" w:sz="4" w:space="0" w:color="auto"/>
              <w:right w:val="nil"/>
            </w:tcBorders>
            <w:shd w:val="clear" w:color="auto" w:fill="auto"/>
            <w:noWrap/>
            <w:vAlign w:val="bottom"/>
            <w:hideMark/>
          </w:tcPr>
          <w:p w14:paraId="6B3D152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0.310</w:t>
            </w:r>
          </w:p>
        </w:tc>
        <w:tc>
          <w:tcPr>
            <w:tcW w:w="1074" w:type="dxa"/>
            <w:tcBorders>
              <w:top w:val="nil"/>
              <w:left w:val="nil"/>
              <w:bottom w:val="single" w:sz="4" w:space="0" w:color="auto"/>
              <w:right w:val="nil"/>
            </w:tcBorders>
            <w:shd w:val="clear" w:color="auto" w:fill="auto"/>
            <w:noWrap/>
            <w:vAlign w:val="bottom"/>
            <w:hideMark/>
          </w:tcPr>
          <w:p w14:paraId="21628C4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0.210</w:t>
            </w:r>
          </w:p>
        </w:tc>
        <w:tc>
          <w:tcPr>
            <w:tcW w:w="799" w:type="dxa"/>
            <w:tcBorders>
              <w:top w:val="nil"/>
              <w:left w:val="nil"/>
              <w:bottom w:val="single" w:sz="4" w:space="0" w:color="auto"/>
              <w:right w:val="nil"/>
            </w:tcBorders>
            <w:shd w:val="clear" w:color="auto" w:fill="auto"/>
            <w:noWrap/>
            <w:vAlign w:val="bottom"/>
            <w:hideMark/>
          </w:tcPr>
          <w:p w14:paraId="5CAC88A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0.304</w:t>
            </w:r>
          </w:p>
        </w:tc>
        <w:tc>
          <w:tcPr>
            <w:tcW w:w="1074" w:type="dxa"/>
            <w:tcBorders>
              <w:top w:val="nil"/>
              <w:left w:val="nil"/>
              <w:bottom w:val="single" w:sz="4" w:space="0" w:color="auto"/>
              <w:right w:val="nil"/>
            </w:tcBorders>
            <w:shd w:val="clear" w:color="auto" w:fill="auto"/>
            <w:noWrap/>
            <w:vAlign w:val="bottom"/>
            <w:hideMark/>
          </w:tcPr>
          <w:p w14:paraId="62049C4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0.204</w:t>
            </w:r>
          </w:p>
        </w:tc>
        <w:tc>
          <w:tcPr>
            <w:tcW w:w="896" w:type="dxa"/>
            <w:tcBorders>
              <w:top w:val="nil"/>
              <w:left w:val="nil"/>
              <w:bottom w:val="single" w:sz="4" w:space="0" w:color="auto"/>
              <w:right w:val="nil"/>
            </w:tcBorders>
            <w:shd w:val="clear" w:color="auto" w:fill="auto"/>
            <w:noWrap/>
            <w:vAlign w:val="bottom"/>
            <w:hideMark/>
          </w:tcPr>
          <w:p w14:paraId="65ED4A6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0.321</w:t>
            </w:r>
          </w:p>
        </w:tc>
        <w:tc>
          <w:tcPr>
            <w:tcW w:w="916" w:type="dxa"/>
            <w:tcBorders>
              <w:top w:val="nil"/>
              <w:left w:val="nil"/>
              <w:bottom w:val="single" w:sz="4" w:space="0" w:color="auto"/>
              <w:right w:val="nil"/>
            </w:tcBorders>
            <w:shd w:val="clear" w:color="auto" w:fill="auto"/>
            <w:noWrap/>
            <w:vAlign w:val="bottom"/>
            <w:hideMark/>
          </w:tcPr>
          <w:p w14:paraId="5B4C4B1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0.204</w:t>
            </w:r>
          </w:p>
        </w:tc>
        <w:tc>
          <w:tcPr>
            <w:tcW w:w="1016" w:type="dxa"/>
            <w:tcBorders>
              <w:top w:val="nil"/>
              <w:left w:val="nil"/>
              <w:bottom w:val="single" w:sz="4" w:space="0" w:color="auto"/>
              <w:right w:val="nil"/>
            </w:tcBorders>
            <w:shd w:val="clear" w:color="auto" w:fill="auto"/>
            <w:noWrap/>
            <w:vAlign w:val="bottom"/>
            <w:hideMark/>
          </w:tcPr>
          <w:p w14:paraId="18E9FDB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0.385</w:t>
            </w:r>
          </w:p>
        </w:tc>
        <w:tc>
          <w:tcPr>
            <w:tcW w:w="1296" w:type="dxa"/>
            <w:tcBorders>
              <w:top w:val="nil"/>
              <w:left w:val="nil"/>
              <w:bottom w:val="single" w:sz="4" w:space="0" w:color="auto"/>
              <w:right w:val="nil"/>
            </w:tcBorders>
            <w:shd w:val="clear" w:color="auto" w:fill="auto"/>
            <w:noWrap/>
            <w:vAlign w:val="bottom"/>
            <w:hideMark/>
          </w:tcPr>
          <w:p w14:paraId="63B6093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0.232</w:t>
            </w:r>
          </w:p>
        </w:tc>
        <w:tc>
          <w:tcPr>
            <w:tcW w:w="1676" w:type="dxa"/>
            <w:tcBorders>
              <w:top w:val="nil"/>
              <w:left w:val="nil"/>
              <w:bottom w:val="single" w:sz="4" w:space="0" w:color="auto"/>
              <w:right w:val="nil"/>
            </w:tcBorders>
            <w:shd w:val="clear" w:color="auto" w:fill="auto"/>
            <w:noWrap/>
            <w:vAlign w:val="bottom"/>
            <w:hideMark/>
          </w:tcPr>
          <w:p w14:paraId="598CCA1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-0.074</w:t>
            </w:r>
          </w:p>
        </w:tc>
        <w:tc>
          <w:tcPr>
            <w:tcW w:w="1736" w:type="dxa"/>
            <w:tcBorders>
              <w:top w:val="nil"/>
              <w:left w:val="nil"/>
              <w:bottom w:val="single" w:sz="4" w:space="0" w:color="auto"/>
              <w:right w:val="nil"/>
            </w:tcBorders>
            <w:shd w:val="clear" w:color="auto" w:fill="auto"/>
            <w:noWrap/>
            <w:vAlign w:val="bottom"/>
            <w:hideMark/>
          </w:tcPr>
          <w:p w14:paraId="0930B96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-0.021</w:t>
            </w:r>
          </w:p>
        </w:tc>
        <w:tc>
          <w:tcPr>
            <w:tcW w:w="1156" w:type="dxa"/>
            <w:tcBorders>
              <w:top w:val="nil"/>
              <w:left w:val="nil"/>
              <w:bottom w:val="single" w:sz="4" w:space="0" w:color="auto"/>
              <w:right w:val="nil"/>
            </w:tcBorders>
            <w:shd w:val="clear" w:color="auto" w:fill="auto"/>
            <w:noWrap/>
            <w:vAlign w:val="bottom"/>
            <w:hideMark/>
          </w:tcPr>
          <w:p w14:paraId="2D458C5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-18.37***</w:t>
            </w:r>
          </w:p>
        </w:tc>
        <w:tc>
          <w:tcPr>
            <w:tcW w:w="1136" w:type="dxa"/>
            <w:tcBorders>
              <w:top w:val="nil"/>
              <w:left w:val="nil"/>
              <w:bottom w:val="single" w:sz="4" w:space="0" w:color="auto"/>
              <w:right w:val="nil"/>
            </w:tcBorders>
            <w:shd w:val="clear" w:color="auto" w:fill="auto"/>
            <w:noWrap/>
            <w:vAlign w:val="bottom"/>
            <w:hideMark/>
          </w:tcPr>
          <w:p w14:paraId="6025E35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-10.81***</w:t>
            </w:r>
          </w:p>
        </w:tc>
      </w:tr>
      <w:tr w:rsidR="00272B18" w:rsidRPr="00AB729D" w14:paraId="5F6E1D15" w14:textId="77777777" w:rsidTr="00741DF5">
        <w:trPr>
          <w:trHeight w:val="300"/>
          <w:jc w:val="center"/>
        </w:trPr>
        <w:tc>
          <w:tcPr>
            <w:tcW w:w="1210" w:type="dxa"/>
            <w:tcBorders>
              <w:top w:val="nil"/>
              <w:left w:val="nil"/>
              <w:bottom w:val="nil"/>
              <w:right w:val="nil"/>
            </w:tcBorders>
            <w:shd w:val="clear" w:color="auto" w:fill="auto"/>
            <w:noWrap/>
            <w:vAlign w:val="bottom"/>
            <w:hideMark/>
          </w:tcPr>
          <w:p w14:paraId="179D2903" w14:textId="77777777" w:rsidR="00741DF5" w:rsidRPr="00AB729D" w:rsidRDefault="00741DF5" w:rsidP="00741DF5">
            <w:pPr>
              <w:spacing w:after="0" w:line="240" w:lineRule="auto"/>
              <w:jc w:val="center"/>
              <w:rPr>
                <w:rFonts w:ascii="Times New Roman" w:eastAsia="Times New Roman" w:hAnsi="Times New Roman"/>
              </w:rPr>
            </w:pPr>
          </w:p>
        </w:tc>
        <w:tc>
          <w:tcPr>
            <w:tcW w:w="799" w:type="dxa"/>
            <w:tcBorders>
              <w:top w:val="nil"/>
              <w:left w:val="nil"/>
              <w:bottom w:val="nil"/>
              <w:right w:val="nil"/>
            </w:tcBorders>
            <w:shd w:val="clear" w:color="auto" w:fill="auto"/>
            <w:noWrap/>
            <w:vAlign w:val="bottom"/>
            <w:hideMark/>
          </w:tcPr>
          <w:p w14:paraId="033B19F5"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0D5F7285" w14:textId="77777777" w:rsidR="00741DF5" w:rsidRPr="00AB729D" w:rsidRDefault="00741DF5" w:rsidP="00741DF5">
            <w:pPr>
              <w:spacing w:after="0" w:line="240" w:lineRule="auto"/>
              <w:rPr>
                <w:rFonts w:ascii="Times New Roman" w:eastAsia="Times New Roman" w:hAnsi="Times New Roman"/>
                <w:sz w:val="20"/>
                <w:szCs w:val="20"/>
              </w:rPr>
            </w:pPr>
          </w:p>
        </w:tc>
        <w:tc>
          <w:tcPr>
            <w:tcW w:w="799" w:type="dxa"/>
            <w:tcBorders>
              <w:top w:val="nil"/>
              <w:left w:val="nil"/>
              <w:bottom w:val="nil"/>
              <w:right w:val="nil"/>
            </w:tcBorders>
            <w:shd w:val="clear" w:color="auto" w:fill="auto"/>
            <w:noWrap/>
            <w:vAlign w:val="bottom"/>
            <w:hideMark/>
          </w:tcPr>
          <w:p w14:paraId="21B919BC"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551CFB5E" w14:textId="77777777" w:rsidR="00741DF5" w:rsidRPr="00AB729D" w:rsidRDefault="00741DF5" w:rsidP="00741DF5">
            <w:pPr>
              <w:spacing w:after="0" w:line="240" w:lineRule="auto"/>
              <w:rPr>
                <w:rFonts w:ascii="Times New Roman" w:eastAsia="Times New Roman" w:hAnsi="Times New Roman"/>
                <w:sz w:val="20"/>
                <w:szCs w:val="20"/>
              </w:rPr>
            </w:pPr>
          </w:p>
        </w:tc>
        <w:tc>
          <w:tcPr>
            <w:tcW w:w="896" w:type="dxa"/>
            <w:tcBorders>
              <w:top w:val="nil"/>
              <w:left w:val="nil"/>
              <w:bottom w:val="nil"/>
              <w:right w:val="nil"/>
            </w:tcBorders>
            <w:shd w:val="clear" w:color="auto" w:fill="auto"/>
            <w:noWrap/>
            <w:vAlign w:val="bottom"/>
            <w:hideMark/>
          </w:tcPr>
          <w:p w14:paraId="53E41638" w14:textId="77777777" w:rsidR="00741DF5" w:rsidRPr="00AB729D" w:rsidRDefault="00741DF5" w:rsidP="00741DF5">
            <w:pPr>
              <w:spacing w:after="0" w:line="240" w:lineRule="auto"/>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703550B6" w14:textId="77777777" w:rsidR="00741DF5" w:rsidRPr="00AB729D" w:rsidRDefault="00741DF5" w:rsidP="00741DF5">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48664550" w14:textId="77777777" w:rsidR="00741DF5" w:rsidRPr="00AB729D" w:rsidRDefault="00741DF5" w:rsidP="00741DF5">
            <w:pPr>
              <w:spacing w:after="0" w:line="240" w:lineRule="auto"/>
              <w:rPr>
                <w:rFonts w:ascii="Times New Roman" w:eastAsia="Times New Roman" w:hAnsi="Times New Roman"/>
                <w:sz w:val="20"/>
                <w:szCs w:val="20"/>
              </w:rPr>
            </w:pPr>
          </w:p>
        </w:tc>
        <w:tc>
          <w:tcPr>
            <w:tcW w:w="1296" w:type="dxa"/>
            <w:tcBorders>
              <w:top w:val="nil"/>
              <w:left w:val="nil"/>
              <w:bottom w:val="nil"/>
              <w:right w:val="nil"/>
            </w:tcBorders>
            <w:shd w:val="clear" w:color="auto" w:fill="auto"/>
            <w:noWrap/>
            <w:vAlign w:val="bottom"/>
            <w:hideMark/>
          </w:tcPr>
          <w:p w14:paraId="167DD6D2" w14:textId="77777777" w:rsidR="00741DF5" w:rsidRPr="00AB729D" w:rsidRDefault="00741DF5" w:rsidP="00741DF5">
            <w:pPr>
              <w:spacing w:after="0" w:line="240" w:lineRule="auto"/>
              <w:rPr>
                <w:rFonts w:ascii="Times New Roman" w:eastAsia="Times New Roman" w:hAnsi="Times New Roman"/>
                <w:sz w:val="20"/>
                <w:szCs w:val="20"/>
              </w:rPr>
            </w:pPr>
          </w:p>
        </w:tc>
        <w:tc>
          <w:tcPr>
            <w:tcW w:w="1676" w:type="dxa"/>
            <w:tcBorders>
              <w:top w:val="nil"/>
              <w:left w:val="nil"/>
              <w:bottom w:val="nil"/>
              <w:right w:val="nil"/>
            </w:tcBorders>
            <w:shd w:val="clear" w:color="auto" w:fill="auto"/>
            <w:noWrap/>
            <w:vAlign w:val="bottom"/>
            <w:hideMark/>
          </w:tcPr>
          <w:p w14:paraId="74A6F813" w14:textId="77777777" w:rsidR="00741DF5" w:rsidRPr="00AB729D" w:rsidRDefault="00741DF5" w:rsidP="00741DF5">
            <w:pPr>
              <w:spacing w:after="0" w:line="240" w:lineRule="auto"/>
              <w:rPr>
                <w:rFonts w:ascii="Times New Roman" w:eastAsia="Times New Roman" w:hAnsi="Times New Roman"/>
                <w:sz w:val="20"/>
                <w:szCs w:val="20"/>
              </w:rPr>
            </w:pPr>
          </w:p>
        </w:tc>
        <w:tc>
          <w:tcPr>
            <w:tcW w:w="1736" w:type="dxa"/>
            <w:tcBorders>
              <w:top w:val="nil"/>
              <w:left w:val="nil"/>
              <w:bottom w:val="nil"/>
              <w:right w:val="nil"/>
            </w:tcBorders>
            <w:shd w:val="clear" w:color="auto" w:fill="auto"/>
            <w:noWrap/>
            <w:vAlign w:val="bottom"/>
            <w:hideMark/>
          </w:tcPr>
          <w:p w14:paraId="4487DD2C" w14:textId="77777777" w:rsidR="00741DF5" w:rsidRPr="00AB729D" w:rsidRDefault="00741DF5" w:rsidP="00741DF5">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2B3CCCF5" w14:textId="77777777" w:rsidR="00741DF5" w:rsidRPr="00AB729D" w:rsidRDefault="00741DF5" w:rsidP="00741DF5">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568FA307"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167FB367" w14:textId="77777777" w:rsidTr="00741DF5">
        <w:trPr>
          <w:trHeight w:val="300"/>
          <w:jc w:val="center"/>
        </w:trPr>
        <w:tc>
          <w:tcPr>
            <w:tcW w:w="3083" w:type="dxa"/>
            <w:gridSpan w:val="3"/>
            <w:tcBorders>
              <w:top w:val="nil"/>
              <w:left w:val="nil"/>
              <w:bottom w:val="nil"/>
              <w:right w:val="nil"/>
            </w:tcBorders>
            <w:shd w:val="clear" w:color="auto" w:fill="auto"/>
            <w:noWrap/>
            <w:vAlign w:val="bottom"/>
            <w:hideMark/>
          </w:tcPr>
          <w:p w14:paraId="1E5E8ACB"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Panel B: Mispricing by PROP</w:t>
            </w:r>
          </w:p>
        </w:tc>
        <w:tc>
          <w:tcPr>
            <w:tcW w:w="1873" w:type="dxa"/>
            <w:gridSpan w:val="2"/>
            <w:tcBorders>
              <w:top w:val="nil"/>
              <w:left w:val="nil"/>
              <w:bottom w:val="nil"/>
              <w:right w:val="nil"/>
            </w:tcBorders>
            <w:shd w:val="clear" w:color="auto" w:fill="auto"/>
            <w:noWrap/>
            <w:vAlign w:val="bottom"/>
            <w:hideMark/>
          </w:tcPr>
          <w:p w14:paraId="2BFF5142" w14:textId="77777777" w:rsidR="00741DF5" w:rsidRPr="00AB729D" w:rsidRDefault="00741DF5" w:rsidP="00741DF5">
            <w:pPr>
              <w:spacing w:after="0" w:line="240" w:lineRule="auto"/>
              <w:rPr>
                <w:rFonts w:ascii="Times New Roman" w:eastAsia="Times New Roman" w:hAnsi="Times New Roman"/>
                <w:b/>
                <w:bCs/>
              </w:rPr>
            </w:pPr>
          </w:p>
        </w:tc>
        <w:tc>
          <w:tcPr>
            <w:tcW w:w="896" w:type="dxa"/>
            <w:tcBorders>
              <w:top w:val="nil"/>
              <w:left w:val="nil"/>
              <w:bottom w:val="nil"/>
              <w:right w:val="nil"/>
            </w:tcBorders>
            <w:shd w:val="clear" w:color="auto" w:fill="auto"/>
            <w:noWrap/>
            <w:vAlign w:val="bottom"/>
            <w:hideMark/>
          </w:tcPr>
          <w:p w14:paraId="7CDD1DB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49C95C3B" w14:textId="77777777" w:rsidR="00741DF5" w:rsidRPr="00AB729D" w:rsidRDefault="00741DF5" w:rsidP="00741DF5">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4CE4152E" w14:textId="77777777" w:rsidR="00741DF5" w:rsidRPr="00AB729D" w:rsidRDefault="00741DF5" w:rsidP="00741DF5">
            <w:pPr>
              <w:spacing w:after="0" w:line="240" w:lineRule="auto"/>
              <w:rPr>
                <w:rFonts w:ascii="Times New Roman" w:eastAsia="Times New Roman" w:hAnsi="Times New Roman"/>
                <w:sz w:val="20"/>
                <w:szCs w:val="20"/>
              </w:rPr>
            </w:pPr>
          </w:p>
        </w:tc>
        <w:tc>
          <w:tcPr>
            <w:tcW w:w="1296" w:type="dxa"/>
            <w:tcBorders>
              <w:top w:val="nil"/>
              <w:left w:val="nil"/>
              <w:bottom w:val="nil"/>
              <w:right w:val="nil"/>
            </w:tcBorders>
            <w:shd w:val="clear" w:color="auto" w:fill="auto"/>
            <w:noWrap/>
            <w:vAlign w:val="bottom"/>
            <w:hideMark/>
          </w:tcPr>
          <w:p w14:paraId="650D6611" w14:textId="77777777" w:rsidR="00741DF5" w:rsidRPr="00AB729D" w:rsidRDefault="00741DF5" w:rsidP="00741DF5">
            <w:pPr>
              <w:spacing w:after="0" w:line="240" w:lineRule="auto"/>
              <w:rPr>
                <w:rFonts w:ascii="Times New Roman" w:eastAsia="Times New Roman" w:hAnsi="Times New Roman"/>
                <w:sz w:val="20"/>
                <w:szCs w:val="20"/>
              </w:rPr>
            </w:pPr>
          </w:p>
        </w:tc>
        <w:tc>
          <w:tcPr>
            <w:tcW w:w="1676" w:type="dxa"/>
            <w:tcBorders>
              <w:top w:val="nil"/>
              <w:left w:val="nil"/>
              <w:bottom w:val="nil"/>
              <w:right w:val="nil"/>
            </w:tcBorders>
            <w:shd w:val="clear" w:color="auto" w:fill="auto"/>
            <w:noWrap/>
            <w:vAlign w:val="bottom"/>
            <w:hideMark/>
          </w:tcPr>
          <w:p w14:paraId="4E118AA5" w14:textId="77777777" w:rsidR="00741DF5" w:rsidRPr="00AB729D" w:rsidRDefault="00741DF5" w:rsidP="00741DF5">
            <w:pPr>
              <w:spacing w:after="0" w:line="240" w:lineRule="auto"/>
              <w:rPr>
                <w:rFonts w:ascii="Times New Roman" w:eastAsia="Times New Roman" w:hAnsi="Times New Roman"/>
                <w:sz w:val="20"/>
                <w:szCs w:val="20"/>
              </w:rPr>
            </w:pPr>
          </w:p>
        </w:tc>
        <w:tc>
          <w:tcPr>
            <w:tcW w:w="1736" w:type="dxa"/>
            <w:tcBorders>
              <w:top w:val="nil"/>
              <w:left w:val="nil"/>
              <w:bottom w:val="nil"/>
              <w:right w:val="nil"/>
            </w:tcBorders>
            <w:shd w:val="clear" w:color="auto" w:fill="auto"/>
            <w:noWrap/>
            <w:vAlign w:val="bottom"/>
            <w:hideMark/>
          </w:tcPr>
          <w:p w14:paraId="1200A812" w14:textId="77777777" w:rsidR="00741DF5" w:rsidRPr="00AB729D" w:rsidRDefault="00741DF5" w:rsidP="00741DF5">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3E3C82FF" w14:textId="77777777" w:rsidR="00741DF5" w:rsidRPr="00AB729D" w:rsidRDefault="00741DF5" w:rsidP="00741DF5">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327A3CEA"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7B1436F4" w14:textId="77777777" w:rsidTr="00741DF5">
        <w:trPr>
          <w:trHeight w:val="300"/>
          <w:jc w:val="center"/>
        </w:trPr>
        <w:tc>
          <w:tcPr>
            <w:tcW w:w="1210" w:type="dxa"/>
            <w:tcBorders>
              <w:top w:val="nil"/>
              <w:left w:val="nil"/>
              <w:bottom w:val="nil"/>
              <w:right w:val="nil"/>
            </w:tcBorders>
            <w:shd w:val="clear" w:color="auto" w:fill="auto"/>
            <w:noWrap/>
            <w:vAlign w:val="bottom"/>
            <w:hideMark/>
          </w:tcPr>
          <w:p w14:paraId="3C123A74" w14:textId="77777777" w:rsidR="00741DF5" w:rsidRPr="00AB729D" w:rsidRDefault="00741DF5" w:rsidP="00741DF5">
            <w:pPr>
              <w:spacing w:after="0" w:line="240" w:lineRule="auto"/>
              <w:rPr>
                <w:rFonts w:ascii="Times New Roman" w:eastAsia="Times New Roman" w:hAnsi="Times New Roman"/>
                <w:sz w:val="20"/>
                <w:szCs w:val="20"/>
              </w:rPr>
            </w:pPr>
          </w:p>
        </w:tc>
        <w:tc>
          <w:tcPr>
            <w:tcW w:w="799" w:type="dxa"/>
            <w:tcBorders>
              <w:top w:val="nil"/>
              <w:left w:val="nil"/>
              <w:bottom w:val="nil"/>
              <w:right w:val="nil"/>
            </w:tcBorders>
            <w:shd w:val="clear" w:color="auto" w:fill="auto"/>
            <w:noWrap/>
            <w:vAlign w:val="bottom"/>
            <w:hideMark/>
          </w:tcPr>
          <w:p w14:paraId="22594B49"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56A9EC83" w14:textId="77777777" w:rsidR="00741DF5" w:rsidRPr="00AB729D" w:rsidRDefault="00741DF5" w:rsidP="00741DF5">
            <w:pPr>
              <w:spacing w:after="0" w:line="240" w:lineRule="auto"/>
              <w:rPr>
                <w:rFonts w:ascii="Times New Roman" w:eastAsia="Times New Roman" w:hAnsi="Times New Roman"/>
                <w:sz w:val="20"/>
                <w:szCs w:val="20"/>
              </w:rPr>
            </w:pPr>
          </w:p>
        </w:tc>
        <w:tc>
          <w:tcPr>
            <w:tcW w:w="799" w:type="dxa"/>
            <w:tcBorders>
              <w:top w:val="nil"/>
              <w:left w:val="nil"/>
              <w:bottom w:val="nil"/>
              <w:right w:val="nil"/>
            </w:tcBorders>
            <w:shd w:val="clear" w:color="auto" w:fill="auto"/>
            <w:noWrap/>
            <w:vAlign w:val="bottom"/>
            <w:hideMark/>
          </w:tcPr>
          <w:p w14:paraId="4FE331E2" w14:textId="77777777" w:rsidR="00741DF5" w:rsidRPr="00AB729D" w:rsidRDefault="00741DF5" w:rsidP="00741DF5">
            <w:pPr>
              <w:spacing w:after="0" w:line="240" w:lineRule="auto"/>
              <w:rPr>
                <w:rFonts w:ascii="Times New Roman" w:eastAsia="Times New Roman" w:hAnsi="Times New Roman"/>
                <w:sz w:val="20"/>
                <w:szCs w:val="20"/>
              </w:rPr>
            </w:pPr>
          </w:p>
        </w:tc>
        <w:tc>
          <w:tcPr>
            <w:tcW w:w="1074" w:type="dxa"/>
            <w:tcBorders>
              <w:top w:val="nil"/>
              <w:left w:val="nil"/>
              <w:bottom w:val="nil"/>
              <w:right w:val="nil"/>
            </w:tcBorders>
            <w:shd w:val="clear" w:color="auto" w:fill="auto"/>
            <w:noWrap/>
            <w:vAlign w:val="bottom"/>
            <w:hideMark/>
          </w:tcPr>
          <w:p w14:paraId="59FD923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896" w:type="dxa"/>
            <w:tcBorders>
              <w:top w:val="nil"/>
              <w:left w:val="nil"/>
              <w:bottom w:val="nil"/>
              <w:right w:val="nil"/>
            </w:tcBorders>
            <w:shd w:val="clear" w:color="auto" w:fill="auto"/>
            <w:noWrap/>
            <w:vAlign w:val="bottom"/>
            <w:hideMark/>
          </w:tcPr>
          <w:p w14:paraId="6FDEAC5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4C8611BE" w14:textId="77777777" w:rsidR="00741DF5" w:rsidRPr="00AB729D" w:rsidRDefault="00741DF5" w:rsidP="00741DF5">
            <w:pPr>
              <w:spacing w:after="0" w:line="240" w:lineRule="auto"/>
              <w:rPr>
                <w:rFonts w:ascii="Times New Roman" w:eastAsia="Times New Roman" w:hAnsi="Times New Roman"/>
                <w:sz w:val="20"/>
                <w:szCs w:val="20"/>
              </w:rPr>
            </w:pPr>
          </w:p>
        </w:tc>
        <w:tc>
          <w:tcPr>
            <w:tcW w:w="1016" w:type="dxa"/>
            <w:tcBorders>
              <w:top w:val="nil"/>
              <w:left w:val="nil"/>
              <w:bottom w:val="nil"/>
              <w:right w:val="nil"/>
            </w:tcBorders>
            <w:shd w:val="clear" w:color="auto" w:fill="auto"/>
            <w:noWrap/>
            <w:vAlign w:val="bottom"/>
            <w:hideMark/>
          </w:tcPr>
          <w:p w14:paraId="4E639059" w14:textId="77777777" w:rsidR="00741DF5" w:rsidRPr="00AB729D" w:rsidRDefault="00741DF5" w:rsidP="00741DF5">
            <w:pPr>
              <w:spacing w:after="0" w:line="240" w:lineRule="auto"/>
              <w:rPr>
                <w:rFonts w:ascii="Times New Roman" w:eastAsia="Times New Roman" w:hAnsi="Times New Roman"/>
                <w:sz w:val="20"/>
                <w:szCs w:val="20"/>
              </w:rPr>
            </w:pPr>
          </w:p>
        </w:tc>
        <w:tc>
          <w:tcPr>
            <w:tcW w:w="1296" w:type="dxa"/>
            <w:tcBorders>
              <w:top w:val="nil"/>
              <w:left w:val="nil"/>
              <w:bottom w:val="nil"/>
              <w:right w:val="nil"/>
            </w:tcBorders>
            <w:shd w:val="clear" w:color="auto" w:fill="auto"/>
            <w:noWrap/>
            <w:vAlign w:val="bottom"/>
            <w:hideMark/>
          </w:tcPr>
          <w:p w14:paraId="5CA57681" w14:textId="77777777" w:rsidR="00741DF5" w:rsidRPr="00AB729D" w:rsidRDefault="00741DF5" w:rsidP="00741DF5">
            <w:pPr>
              <w:spacing w:after="0" w:line="240" w:lineRule="auto"/>
              <w:rPr>
                <w:rFonts w:ascii="Times New Roman" w:eastAsia="Times New Roman" w:hAnsi="Times New Roman"/>
                <w:sz w:val="20"/>
                <w:szCs w:val="20"/>
              </w:rPr>
            </w:pPr>
          </w:p>
        </w:tc>
        <w:tc>
          <w:tcPr>
            <w:tcW w:w="1676" w:type="dxa"/>
            <w:tcBorders>
              <w:top w:val="nil"/>
              <w:left w:val="nil"/>
              <w:bottom w:val="nil"/>
              <w:right w:val="nil"/>
            </w:tcBorders>
            <w:shd w:val="clear" w:color="auto" w:fill="auto"/>
            <w:noWrap/>
            <w:vAlign w:val="bottom"/>
            <w:hideMark/>
          </w:tcPr>
          <w:p w14:paraId="52C01A57" w14:textId="77777777" w:rsidR="00741DF5" w:rsidRPr="00AB729D" w:rsidRDefault="00741DF5" w:rsidP="00741DF5">
            <w:pPr>
              <w:spacing w:after="0" w:line="240" w:lineRule="auto"/>
              <w:rPr>
                <w:rFonts w:ascii="Times New Roman" w:eastAsia="Times New Roman" w:hAnsi="Times New Roman"/>
                <w:sz w:val="20"/>
                <w:szCs w:val="20"/>
              </w:rPr>
            </w:pPr>
          </w:p>
        </w:tc>
        <w:tc>
          <w:tcPr>
            <w:tcW w:w="1736" w:type="dxa"/>
            <w:tcBorders>
              <w:top w:val="nil"/>
              <w:left w:val="nil"/>
              <w:bottom w:val="nil"/>
              <w:right w:val="nil"/>
            </w:tcBorders>
            <w:shd w:val="clear" w:color="auto" w:fill="auto"/>
            <w:noWrap/>
            <w:vAlign w:val="bottom"/>
            <w:hideMark/>
          </w:tcPr>
          <w:p w14:paraId="2EBF4F87" w14:textId="77777777" w:rsidR="00741DF5" w:rsidRPr="00AB729D" w:rsidRDefault="00741DF5" w:rsidP="00741DF5">
            <w:pPr>
              <w:spacing w:after="0" w:line="240" w:lineRule="auto"/>
              <w:rPr>
                <w:rFonts w:ascii="Times New Roman" w:eastAsia="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7C5AB24D" w14:textId="77777777" w:rsidR="00741DF5" w:rsidRPr="00AB729D" w:rsidRDefault="00741DF5" w:rsidP="00741DF5">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3E772005"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5AF1CA64" w14:textId="77777777" w:rsidTr="00741DF5">
        <w:trPr>
          <w:trHeight w:val="300"/>
          <w:jc w:val="center"/>
        </w:trPr>
        <w:tc>
          <w:tcPr>
            <w:tcW w:w="1210" w:type="dxa"/>
            <w:tcBorders>
              <w:top w:val="single" w:sz="4" w:space="0" w:color="auto"/>
              <w:left w:val="nil"/>
              <w:bottom w:val="single" w:sz="4" w:space="0" w:color="auto"/>
              <w:right w:val="nil"/>
            </w:tcBorders>
            <w:shd w:val="clear" w:color="auto" w:fill="auto"/>
            <w:noWrap/>
            <w:vAlign w:val="bottom"/>
            <w:hideMark/>
          </w:tcPr>
          <w:p w14:paraId="518D385C"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 </w:t>
            </w:r>
          </w:p>
        </w:tc>
        <w:tc>
          <w:tcPr>
            <w:tcW w:w="1873" w:type="dxa"/>
            <w:gridSpan w:val="2"/>
            <w:tcBorders>
              <w:top w:val="single" w:sz="4" w:space="0" w:color="auto"/>
              <w:left w:val="nil"/>
              <w:bottom w:val="single" w:sz="4" w:space="0" w:color="auto"/>
              <w:right w:val="nil"/>
            </w:tcBorders>
            <w:shd w:val="clear" w:color="auto" w:fill="auto"/>
            <w:noWrap/>
            <w:vAlign w:val="bottom"/>
            <w:hideMark/>
          </w:tcPr>
          <w:p w14:paraId="31B7F5DE"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Q1 (Low PROP)</w:t>
            </w:r>
          </w:p>
        </w:tc>
        <w:tc>
          <w:tcPr>
            <w:tcW w:w="1873" w:type="dxa"/>
            <w:gridSpan w:val="2"/>
            <w:tcBorders>
              <w:top w:val="single" w:sz="4" w:space="0" w:color="auto"/>
              <w:left w:val="nil"/>
              <w:bottom w:val="single" w:sz="4" w:space="0" w:color="auto"/>
              <w:right w:val="nil"/>
            </w:tcBorders>
            <w:shd w:val="clear" w:color="auto" w:fill="auto"/>
            <w:noWrap/>
            <w:vAlign w:val="bottom"/>
            <w:hideMark/>
          </w:tcPr>
          <w:p w14:paraId="79601452"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Q2</w:t>
            </w:r>
          </w:p>
        </w:tc>
        <w:tc>
          <w:tcPr>
            <w:tcW w:w="1812" w:type="dxa"/>
            <w:gridSpan w:val="2"/>
            <w:tcBorders>
              <w:top w:val="single" w:sz="4" w:space="0" w:color="auto"/>
              <w:left w:val="nil"/>
              <w:bottom w:val="single" w:sz="4" w:space="0" w:color="auto"/>
              <w:right w:val="nil"/>
            </w:tcBorders>
            <w:shd w:val="clear" w:color="auto" w:fill="auto"/>
            <w:noWrap/>
            <w:vAlign w:val="bottom"/>
            <w:hideMark/>
          </w:tcPr>
          <w:p w14:paraId="75F88359"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Q3</w:t>
            </w:r>
          </w:p>
        </w:tc>
        <w:tc>
          <w:tcPr>
            <w:tcW w:w="2312" w:type="dxa"/>
            <w:gridSpan w:val="2"/>
            <w:tcBorders>
              <w:top w:val="single" w:sz="4" w:space="0" w:color="auto"/>
              <w:left w:val="nil"/>
              <w:bottom w:val="single" w:sz="4" w:space="0" w:color="auto"/>
              <w:right w:val="nil"/>
            </w:tcBorders>
            <w:shd w:val="clear" w:color="auto" w:fill="auto"/>
            <w:noWrap/>
            <w:vAlign w:val="bottom"/>
            <w:hideMark/>
          </w:tcPr>
          <w:p w14:paraId="59D3ED62" w14:textId="77777777" w:rsidR="00741DF5" w:rsidRPr="00AB729D" w:rsidRDefault="00741DF5" w:rsidP="00741DF5">
            <w:pPr>
              <w:spacing w:after="0" w:line="240" w:lineRule="auto"/>
              <w:jc w:val="center"/>
              <w:rPr>
                <w:rFonts w:ascii="Times New Roman" w:eastAsia="Times New Roman" w:hAnsi="Times New Roman"/>
                <w:b/>
                <w:bCs/>
              </w:rPr>
            </w:pPr>
            <w:r w:rsidRPr="00AB729D">
              <w:rPr>
                <w:rFonts w:ascii="Times New Roman" w:eastAsia="Times New Roman" w:hAnsi="Times New Roman"/>
                <w:b/>
                <w:bCs/>
              </w:rPr>
              <w:t>Q4 (High PROP)</w:t>
            </w:r>
          </w:p>
        </w:tc>
        <w:tc>
          <w:tcPr>
            <w:tcW w:w="1676" w:type="dxa"/>
            <w:tcBorders>
              <w:top w:val="single" w:sz="4" w:space="0" w:color="auto"/>
              <w:left w:val="nil"/>
              <w:bottom w:val="single" w:sz="4" w:space="0" w:color="auto"/>
              <w:right w:val="nil"/>
            </w:tcBorders>
            <w:shd w:val="clear" w:color="auto" w:fill="auto"/>
            <w:noWrap/>
            <w:vAlign w:val="bottom"/>
            <w:hideMark/>
          </w:tcPr>
          <w:p w14:paraId="3246B2C7" w14:textId="77777777" w:rsidR="00741DF5" w:rsidRPr="00AB729D" w:rsidRDefault="00741DF5" w:rsidP="00741DF5">
            <w:pPr>
              <w:spacing w:after="0" w:line="240" w:lineRule="auto"/>
              <w:rPr>
                <w:rFonts w:eastAsia="Times New Roman"/>
              </w:rPr>
            </w:pPr>
            <w:r w:rsidRPr="00AB729D">
              <w:rPr>
                <w:rFonts w:eastAsia="Times New Roman"/>
              </w:rPr>
              <w:t> </w:t>
            </w:r>
          </w:p>
        </w:tc>
        <w:tc>
          <w:tcPr>
            <w:tcW w:w="1736" w:type="dxa"/>
            <w:tcBorders>
              <w:top w:val="single" w:sz="4" w:space="0" w:color="auto"/>
              <w:left w:val="nil"/>
              <w:bottom w:val="single" w:sz="4" w:space="0" w:color="auto"/>
              <w:right w:val="nil"/>
            </w:tcBorders>
            <w:shd w:val="clear" w:color="auto" w:fill="auto"/>
            <w:noWrap/>
            <w:vAlign w:val="bottom"/>
            <w:hideMark/>
          </w:tcPr>
          <w:p w14:paraId="5D453E87" w14:textId="77777777" w:rsidR="00741DF5" w:rsidRPr="00AB729D" w:rsidRDefault="00741DF5" w:rsidP="00741DF5">
            <w:pPr>
              <w:spacing w:after="0" w:line="240" w:lineRule="auto"/>
              <w:rPr>
                <w:rFonts w:eastAsia="Times New Roman"/>
              </w:rPr>
            </w:pPr>
            <w:r w:rsidRPr="00AB729D">
              <w:rPr>
                <w:rFonts w:eastAsia="Times New Roman"/>
              </w:rPr>
              <w:t> </w:t>
            </w:r>
          </w:p>
        </w:tc>
        <w:tc>
          <w:tcPr>
            <w:tcW w:w="1156" w:type="dxa"/>
            <w:tcBorders>
              <w:top w:val="single" w:sz="4" w:space="0" w:color="auto"/>
              <w:left w:val="nil"/>
              <w:bottom w:val="single" w:sz="4" w:space="0" w:color="auto"/>
              <w:right w:val="nil"/>
            </w:tcBorders>
            <w:shd w:val="clear" w:color="auto" w:fill="auto"/>
            <w:noWrap/>
            <w:vAlign w:val="bottom"/>
            <w:hideMark/>
          </w:tcPr>
          <w:p w14:paraId="447CB0C3" w14:textId="77777777" w:rsidR="00741DF5" w:rsidRPr="00AB729D" w:rsidRDefault="00741DF5" w:rsidP="00741DF5">
            <w:pPr>
              <w:spacing w:after="0" w:line="240" w:lineRule="auto"/>
              <w:rPr>
                <w:rFonts w:eastAsia="Times New Roman"/>
              </w:rPr>
            </w:pPr>
            <w:r w:rsidRPr="00AB729D">
              <w:rPr>
                <w:rFonts w:eastAsia="Times New Roman"/>
              </w:rPr>
              <w:t> </w:t>
            </w:r>
          </w:p>
        </w:tc>
        <w:tc>
          <w:tcPr>
            <w:tcW w:w="1136" w:type="dxa"/>
            <w:tcBorders>
              <w:top w:val="single" w:sz="4" w:space="0" w:color="auto"/>
              <w:left w:val="nil"/>
              <w:bottom w:val="single" w:sz="4" w:space="0" w:color="auto"/>
              <w:right w:val="nil"/>
            </w:tcBorders>
            <w:shd w:val="clear" w:color="auto" w:fill="auto"/>
            <w:noWrap/>
            <w:vAlign w:val="bottom"/>
            <w:hideMark/>
          </w:tcPr>
          <w:p w14:paraId="7E95FC02" w14:textId="77777777" w:rsidR="00741DF5" w:rsidRPr="00AB729D" w:rsidRDefault="00741DF5" w:rsidP="00741DF5">
            <w:pPr>
              <w:spacing w:after="0" w:line="240" w:lineRule="auto"/>
              <w:rPr>
                <w:rFonts w:eastAsia="Times New Roman"/>
              </w:rPr>
            </w:pPr>
            <w:r w:rsidRPr="00AB729D">
              <w:rPr>
                <w:rFonts w:eastAsia="Times New Roman"/>
              </w:rPr>
              <w:t> </w:t>
            </w:r>
          </w:p>
        </w:tc>
      </w:tr>
      <w:tr w:rsidR="00272B18" w:rsidRPr="00AB729D" w14:paraId="13F79C15" w14:textId="77777777" w:rsidTr="00741DF5">
        <w:trPr>
          <w:trHeight w:val="300"/>
          <w:jc w:val="center"/>
        </w:trPr>
        <w:tc>
          <w:tcPr>
            <w:tcW w:w="1210" w:type="dxa"/>
            <w:tcBorders>
              <w:top w:val="nil"/>
              <w:left w:val="nil"/>
              <w:bottom w:val="single" w:sz="4" w:space="0" w:color="auto"/>
              <w:right w:val="nil"/>
            </w:tcBorders>
            <w:shd w:val="clear" w:color="auto" w:fill="auto"/>
            <w:noWrap/>
            <w:vAlign w:val="bottom"/>
            <w:hideMark/>
          </w:tcPr>
          <w:p w14:paraId="08EE4D4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Variable</w:t>
            </w:r>
          </w:p>
        </w:tc>
        <w:tc>
          <w:tcPr>
            <w:tcW w:w="799" w:type="dxa"/>
            <w:tcBorders>
              <w:top w:val="nil"/>
              <w:left w:val="nil"/>
              <w:bottom w:val="single" w:sz="4" w:space="0" w:color="auto"/>
              <w:right w:val="nil"/>
            </w:tcBorders>
            <w:shd w:val="clear" w:color="auto" w:fill="auto"/>
            <w:noWrap/>
            <w:vAlign w:val="bottom"/>
            <w:hideMark/>
          </w:tcPr>
          <w:p w14:paraId="391836D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1074" w:type="dxa"/>
            <w:tcBorders>
              <w:top w:val="nil"/>
              <w:left w:val="nil"/>
              <w:bottom w:val="single" w:sz="4" w:space="0" w:color="auto"/>
              <w:right w:val="nil"/>
            </w:tcBorders>
            <w:shd w:val="clear" w:color="auto" w:fill="auto"/>
            <w:noWrap/>
            <w:vAlign w:val="bottom"/>
            <w:hideMark/>
          </w:tcPr>
          <w:p w14:paraId="70FC0AC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799" w:type="dxa"/>
            <w:tcBorders>
              <w:top w:val="nil"/>
              <w:left w:val="nil"/>
              <w:bottom w:val="single" w:sz="4" w:space="0" w:color="auto"/>
              <w:right w:val="nil"/>
            </w:tcBorders>
            <w:shd w:val="clear" w:color="auto" w:fill="auto"/>
            <w:noWrap/>
            <w:vAlign w:val="bottom"/>
            <w:hideMark/>
          </w:tcPr>
          <w:p w14:paraId="103745A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1074" w:type="dxa"/>
            <w:tcBorders>
              <w:top w:val="nil"/>
              <w:left w:val="nil"/>
              <w:bottom w:val="single" w:sz="4" w:space="0" w:color="auto"/>
              <w:right w:val="nil"/>
            </w:tcBorders>
            <w:shd w:val="clear" w:color="auto" w:fill="auto"/>
            <w:noWrap/>
            <w:vAlign w:val="bottom"/>
            <w:hideMark/>
          </w:tcPr>
          <w:p w14:paraId="3376B50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896" w:type="dxa"/>
            <w:tcBorders>
              <w:top w:val="nil"/>
              <w:left w:val="nil"/>
              <w:bottom w:val="single" w:sz="4" w:space="0" w:color="auto"/>
              <w:right w:val="nil"/>
            </w:tcBorders>
            <w:shd w:val="clear" w:color="auto" w:fill="auto"/>
            <w:noWrap/>
            <w:vAlign w:val="bottom"/>
            <w:hideMark/>
          </w:tcPr>
          <w:p w14:paraId="6C0AFC2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916" w:type="dxa"/>
            <w:tcBorders>
              <w:top w:val="nil"/>
              <w:left w:val="nil"/>
              <w:bottom w:val="single" w:sz="4" w:space="0" w:color="auto"/>
              <w:right w:val="nil"/>
            </w:tcBorders>
            <w:shd w:val="clear" w:color="auto" w:fill="auto"/>
            <w:noWrap/>
            <w:vAlign w:val="bottom"/>
            <w:hideMark/>
          </w:tcPr>
          <w:p w14:paraId="7C78F3C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1016" w:type="dxa"/>
            <w:tcBorders>
              <w:top w:val="nil"/>
              <w:left w:val="nil"/>
              <w:bottom w:val="single" w:sz="4" w:space="0" w:color="auto"/>
              <w:right w:val="nil"/>
            </w:tcBorders>
            <w:shd w:val="clear" w:color="auto" w:fill="auto"/>
            <w:noWrap/>
            <w:vAlign w:val="bottom"/>
            <w:hideMark/>
          </w:tcPr>
          <w:p w14:paraId="472D2AB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Mean</w:t>
            </w:r>
          </w:p>
        </w:tc>
        <w:tc>
          <w:tcPr>
            <w:tcW w:w="1296" w:type="dxa"/>
            <w:tcBorders>
              <w:top w:val="nil"/>
              <w:left w:val="nil"/>
              <w:bottom w:val="single" w:sz="4" w:space="0" w:color="auto"/>
              <w:right w:val="nil"/>
            </w:tcBorders>
            <w:shd w:val="clear" w:color="auto" w:fill="auto"/>
            <w:noWrap/>
            <w:vAlign w:val="bottom"/>
            <w:hideMark/>
          </w:tcPr>
          <w:p w14:paraId="2ACD112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Median</w:t>
            </w:r>
          </w:p>
        </w:tc>
        <w:tc>
          <w:tcPr>
            <w:tcW w:w="1676" w:type="dxa"/>
            <w:tcBorders>
              <w:top w:val="nil"/>
              <w:left w:val="nil"/>
              <w:bottom w:val="single" w:sz="4" w:space="0" w:color="auto"/>
              <w:right w:val="nil"/>
            </w:tcBorders>
            <w:shd w:val="clear" w:color="auto" w:fill="auto"/>
            <w:noWrap/>
            <w:vAlign w:val="bottom"/>
            <w:hideMark/>
          </w:tcPr>
          <w:p w14:paraId="1817575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Mean Diff </w:t>
            </w:r>
          </w:p>
        </w:tc>
        <w:tc>
          <w:tcPr>
            <w:tcW w:w="1736" w:type="dxa"/>
            <w:tcBorders>
              <w:top w:val="nil"/>
              <w:left w:val="nil"/>
              <w:bottom w:val="single" w:sz="4" w:space="0" w:color="auto"/>
              <w:right w:val="nil"/>
            </w:tcBorders>
            <w:shd w:val="clear" w:color="auto" w:fill="auto"/>
            <w:noWrap/>
            <w:vAlign w:val="bottom"/>
            <w:hideMark/>
          </w:tcPr>
          <w:p w14:paraId="527D6B9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Median Diff </w:t>
            </w:r>
          </w:p>
        </w:tc>
        <w:tc>
          <w:tcPr>
            <w:tcW w:w="1156" w:type="dxa"/>
            <w:tcBorders>
              <w:top w:val="nil"/>
              <w:left w:val="nil"/>
              <w:bottom w:val="single" w:sz="4" w:space="0" w:color="auto"/>
              <w:right w:val="nil"/>
            </w:tcBorders>
            <w:shd w:val="clear" w:color="auto" w:fill="auto"/>
            <w:noWrap/>
            <w:vAlign w:val="bottom"/>
            <w:hideMark/>
          </w:tcPr>
          <w:p w14:paraId="3096077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t-test</w:t>
            </w:r>
          </w:p>
        </w:tc>
        <w:tc>
          <w:tcPr>
            <w:tcW w:w="1136" w:type="dxa"/>
            <w:tcBorders>
              <w:top w:val="nil"/>
              <w:left w:val="nil"/>
              <w:bottom w:val="single" w:sz="4" w:space="0" w:color="auto"/>
              <w:right w:val="nil"/>
            </w:tcBorders>
            <w:shd w:val="clear" w:color="auto" w:fill="auto"/>
            <w:noWrap/>
            <w:vAlign w:val="bottom"/>
            <w:hideMark/>
          </w:tcPr>
          <w:p w14:paraId="06A8C76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w-test</w:t>
            </w:r>
          </w:p>
        </w:tc>
      </w:tr>
      <w:tr w:rsidR="00272B18" w:rsidRPr="00AB729D" w14:paraId="736833FE" w14:textId="77777777" w:rsidTr="00741DF5">
        <w:trPr>
          <w:trHeight w:val="300"/>
          <w:jc w:val="center"/>
        </w:trPr>
        <w:tc>
          <w:tcPr>
            <w:tcW w:w="1210" w:type="dxa"/>
            <w:tcBorders>
              <w:top w:val="nil"/>
              <w:left w:val="nil"/>
              <w:bottom w:val="nil"/>
              <w:right w:val="nil"/>
            </w:tcBorders>
            <w:shd w:val="clear" w:color="auto" w:fill="auto"/>
            <w:noWrap/>
            <w:vAlign w:val="bottom"/>
            <w:hideMark/>
          </w:tcPr>
          <w:p w14:paraId="1D2B924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EXVRK</w:t>
            </w:r>
          </w:p>
        </w:tc>
        <w:tc>
          <w:tcPr>
            <w:tcW w:w="799" w:type="dxa"/>
            <w:tcBorders>
              <w:top w:val="nil"/>
              <w:left w:val="nil"/>
              <w:bottom w:val="nil"/>
              <w:right w:val="nil"/>
            </w:tcBorders>
            <w:shd w:val="clear" w:color="auto" w:fill="auto"/>
            <w:noWrap/>
            <w:vAlign w:val="bottom"/>
            <w:hideMark/>
          </w:tcPr>
          <w:p w14:paraId="2B9817B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0.579</w:t>
            </w:r>
          </w:p>
        </w:tc>
        <w:tc>
          <w:tcPr>
            <w:tcW w:w="1074" w:type="dxa"/>
            <w:tcBorders>
              <w:top w:val="nil"/>
              <w:left w:val="nil"/>
              <w:bottom w:val="nil"/>
              <w:right w:val="nil"/>
            </w:tcBorders>
            <w:shd w:val="clear" w:color="auto" w:fill="auto"/>
            <w:noWrap/>
            <w:vAlign w:val="bottom"/>
            <w:hideMark/>
          </w:tcPr>
          <w:p w14:paraId="04D2CAD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0.440</w:t>
            </w:r>
          </w:p>
        </w:tc>
        <w:tc>
          <w:tcPr>
            <w:tcW w:w="799" w:type="dxa"/>
            <w:tcBorders>
              <w:top w:val="nil"/>
              <w:left w:val="nil"/>
              <w:bottom w:val="nil"/>
              <w:right w:val="nil"/>
            </w:tcBorders>
            <w:shd w:val="clear" w:color="auto" w:fill="auto"/>
            <w:noWrap/>
            <w:vAlign w:val="bottom"/>
            <w:hideMark/>
          </w:tcPr>
          <w:p w14:paraId="25BC10D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0.521</w:t>
            </w:r>
          </w:p>
        </w:tc>
        <w:tc>
          <w:tcPr>
            <w:tcW w:w="1074" w:type="dxa"/>
            <w:tcBorders>
              <w:top w:val="nil"/>
              <w:left w:val="nil"/>
              <w:bottom w:val="nil"/>
              <w:right w:val="nil"/>
            </w:tcBorders>
            <w:shd w:val="clear" w:color="auto" w:fill="auto"/>
            <w:noWrap/>
            <w:vAlign w:val="bottom"/>
            <w:hideMark/>
          </w:tcPr>
          <w:p w14:paraId="3ADDE7A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0.397</w:t>
            </w:r>
          </w:p>
        </w:tc>
        <w:tc>
          <w:tcPr>
            <w:tcW w:w="896" w:type="dxa"/>
            <w:tcBorders>
              <w:top w:val="nil"/>
              <w:left w:val="nil"/>
              <w:bottom w:val="nil"/>
              <w:right w:val="nil"/>
            </w:tcBorders>
            <w:shd w:val="clear" w:color="auto" w:fill="auto"/>
            <w:noWrap/>
            <w:vAlign w:val="bottom"/>
            <w:hideMark/>
          </w:tcPr>
          <w:p w14:paraId="6E0E028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0.503</w:t>
            </w:r>
          </w:p>
        </w:tc>
        <w:tc>
          <w:tcPr>
            <w:tcW w:w="916" w:type="dxa"/>
            <w:tcBorders>
              <w:top w:val="nil"/>
              <w:left w:val="nil"/>
              <w:bottom w:val="nil"/>
              <w:right w:val="nil"/>
            </w:tcBorders>
            <w:shd w:val="clear" w:color="auto" w:fill="auto"/>
            <w:noWrap/>
            <w:vAlign w:val="bottom"/>
            <w:hideMark/>
          </w:tcPr>
          <w:p w14:paraId="2A84131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0.385</w:t>
            </w:r>
          </w:p>
        </w:tc>
        <w:tc>
          <w:tcPr>
            <w:tcW w:w="1016" w:type="dxa"/>
            <w:tcBorders>
              <w:top w:val="nil"/>
              <w:left w:val="nil"/>
              <w:bottom w:val="nil"/>
              <w:right w:val="nil"/>
            </w:tcBorders>
            <w:shd w:val="clear" w:color="auto" w:fill="auto"/>
            <w:noWrap/>
            <w:vAlign w:val="bottom"/>
            <w:hideMark/>
          </w:tcPr>
          <w:p w14:paraId="27DC502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0.474</w:t>
            </w:r>
          </w:p>
        </w:tc>
        <w:tc>
          <w:tcPr>
            <w:tcW w:w="1296" w:type="dxa"/>
            <w:tcBorders>
              <w:top w:val="nil"/>
              <w:left w:val="nil"/>
              <w:bottom w:val="nil"/>
              <w:right w:val="nil"/>
            </w:tcBorders>
            <w:shd w:val="clear" w:color="auto" w:fill="auto"/>
            <w:noWrap/>
            <w:vAlign w:val="bottom"/>
            <w:hideMark/>
          </w:tcPr>
          <w:p w14:paraId="49FC1EB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0.356</w:t>
            </w:r>
          </w:p>
        </w:tc>
        <w:tc>
          <w:tcPr>
            <w:tcW w:w="1676" w:type="dxa"/>
            <w:tcBorders>
              <w:top w:val="nil"/>
              <w:left w:val="nil"/>
              <w:bottom w:val="nil"/>
              <w:right w:val="nil"/>
            </w:tcBorders>
            <w:shd w:val="clear" w:color="auto" w:fill="auto"/>
            <w:noWrap/>
            <w:vAlign w:val="bottom"/>
            <w:hideMark/>
          </w:tcPr>
          <w:p w14:paraId="6832586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-0.105</w:t>
            </w:r>
          </w:p>
        </w:tc>
        <w:tc>
          <w:tcPr>
            <w:tcW w:w="1736" w:type="dxa"/>
            <w:tcBorders>
              <w:top w:val="nil"/>
              <w:left w:val="nil"/>
              <w:bottom w:val="nil"/>
              <w:right w:val="nil"/>
            </w:tcBorders>
            <w:shd w:val="clear" w:color="auto" w:fill="auto"/>
            <w:noWrap/>
            <w:vAlign w:val="bottom"/>
            <w:hideMark/>
          </w:tcPr>
          <w:p w14:paraId="6E77053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0.223</w:t>
            </w:r>
          </w:p>
        </w:tc>
        <w:tc>
          <w:tcPr>
            <w:tcW w:w="1156" w:type="dxa"/>
            <w:tcBorders>
              <w:top w:val="nil"/>
              <w:left w:val="nil"/>
              <w:bottom w:val="nil"/>
              <w:right w:val="nil"/>
            </w:tcBorders>
            <w:shd w:val="clear" w:color="auto" w:fill="auto"/>
            <w:noWrap/>
            <w:vAlign w:val="bottom"/>
            <w:hideMark/>
          </w:tcPr>
          <w:p w14:paraId="670F207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22.52***</w:t>
            </w:r>
          </w:p>
        </w:tc>
        <w:tc>
          <w:tcPr>
            <w:tcW w:w="1136" w:type="dxa"/>
            <w:tcBorders>
              <w:top w:val="nil"/>
              <w:left w:val="nil"/>
              <w:bottom w:val="nil"/>
              <w:right w:val="nil"/>
            </w:tcBorders>
            <w:shd w:val="clear" w:color="auto" w:fill="auto"/>
            <w:noWrap/>
            <w:vAlign w:val="bottom"/>
            <w:hideMark/>
          </w:tcPr>
          <w:p w14:paraId="4A5D2BD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 18.37***</w:t>
            </w:r>
          </w:p>
        </w:tc>
      </w:tr>
      <w:tr w:rsidR="00741DF5" w:rsidRPr="00AB729D" w14:paraId="618D272E" w14:textId="77777777" w:rsidTr="00741DF5">
        <w:trPr>
          <w:trHeight w:val="300"/>
          <w:jc w:val="center"/>
        </w:trPr>
        <w:tc>
          <w:tcPr>
            <w:tcW w:w="1210" w:type="dxa"/>
            <w:tcBorders>
              <w:top w:val="nil"/>
              <w:left w:val="nil"/>
              <w:bottom w:val="single" w:sz="4" w:space="0" w:color="auto"/>
              <w:right w:val="nil"/>
            </w:tcBorders>
            <w:shd w:val="clear" w:color="auto" w:fill="auto"/>
            <w:noWrap/>
            <w:vAlign w:val="bottom"/>
            <w:hideMark/>
          </w:tcPr>
          <w:p w14:paraId="7F9F836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EXVIA</w:t>
            </w:r>
          </w:p>
        </w:tc>
        <w:tc>
          <w:tcPr>
            <w:tcW w:w="799" w:type="dxa"/>
            <w:tcBorders>
              <w:top w:val="nil"/>
              <w:left w:val="nil"/>
              <w:bottom w:val="single" w:sz="4" w:space="0" w:color="auto"/>
              <w:right w:val="nil"/>
            </w:tcBorders>
            <w:shd w:val="clear" w:color="auto" w:fill="auto"/>
            <w:noWrap/>
            <w:vAlign w:val="bottom"/>
            <w:hideMark/>
          </w:tcPr>
          <w:p w14:paraId="258097B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0.369</w:t>
            </w:r>
          </w:p>
        </w:tc>
        <w:tc>
          <w:tcPr>
            <w:tcW w:w="1074" w:type="dxa"/>
            <w:tcBorders>
              <w:top w:val="nil"/>
              <w:left w:val="nil"/>
              <w:bottom w:val="single" w:sz="4" w:space="0" w:color="auto"/>
              <w:right w:val="nil"/>
            </w:tcBorders>
            <w:shd w:val="clear" w:color="auto" w:fill="auto"/>
            <w:noWrap/>
            <w:vAlign w:val="bottom"/>
            <w:hideMark/>
          </w:tcPr>
          <w:p w14:paraId="514992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0.238</w:t>
            </w:r>
          </w:p>
        </w:tc>
        <w:tc>
          <w:tcPr>
            <w:tcW w:w="799" w:type="dxa"/>
            <w:tcBorders>
              <w:top w:val="nil"/>
              <w:left w:val="nil"/>
              <w:bottom w:val="single" w:sz="4" w:space="0" w:color="auto"/>
              <w:right w:val="nil"/>
            </w:tcBorders>
            <w:shd w:val="clear" w:color="auto" w:fill="auto"/>
            <w:noWrap/>
            <w:vAlign w:val="bottom"/>
            <w:hideMark/>
          </w:tcPr>
          <w:p w14:paraId="0E95D46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0.341</w:t>
            </w:r>
          </w:p>
        </w:tc>
        <w:tc>
          <w:tcPr>
            <w:tcW w:w="1074" w:type="dxa"/>
            <w:tcBorders>
              <w:top w:val="nil"/>
              <w:left w:val="nil"/>
              <w:bottom w:val="single" w:sz="4" w:space="0" w:color="auto"/>
              <w:right w:val="nil"/>
            </w:tcBorders>
            <w:shd w:val="clear" w:color="auto" w:fill="auto"/>
            <w:noWrap/>
            <w:vAlign w:val="bottom"/>
            <w:hideMark/>
          </w:tcPr>
          <w:p w14:paraId="2502528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0.218</w:t>
            </w:r>
          </w:p>
        </w:tc>
        <w:tc>
          <w:tcPr>
            <w:tcW w:w="896" w:type="dxa"/>
            <w:tcBorders>
              <w:top w:val="nil"/>
              <w:left w:val="nil"/>
              <w:bottom w:val="single" w:sz="4" w:space="0" w:color="auto"/>
              <w:right w:val="nil"/>
            </w:tcBorders>
            <w:shd w:val="clear" w:color="auto" w:fill="auto"/>
            <w:noWrap/>
            <w:vAlign w:val="bottom"/>
            <w:hideMark/>
          </w:tcPr>
          <w:p w14:paraId="6523E59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0.312</w:t>
            </w:r>
          </w:p>
        </w:tc>
        <w:tc>
          <w:tcPr>
            <w:tcW w:w="916" w:type="dxa"/>
            <w:tcBorders>
              <w:top w:val="nil"/>
              <w:left w:val="nil"/>
              <w:bottom w:val="single" w:sz="4" w:space="0" w:color="auto"/>
              <w:right w:val="nil"/>
            </w:tcBorders>
            <w:shd w:val="clear" w:color="auto" w:fill="auto"/>
            <w:noWrap/>
            <w:vAlign w:val="bottom"/>
            <w:hideMark/>
          </w:tcPr>
          <w:p w14:paraId="2D2BE40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0.196</w:t>
            </w:r>
          </w:p>
        </w:tc>
        <w:tc>
          <w:tcPr>
            <w:tcW w:w="1016" w:type="dxa"/>
            <w:tcBorders>
              <w:top w:val="nil"/>
              <w:left w:val="nil"/>
              <w:bottom w:val="single" w:sz="4" w:space="0" w:color="auto"/>
              <w:right w:val="nil"/>
            </w:tcBorders>
            <w:shd w:val="clear" w:color="auto" w:fill="auto"/>
            <w:noWrap/>
            <w:vAlign w:val="bottom"/>
            <w:hideMark/>
          </w:tcPr>
          <w:p w14:paraId="07D83C1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0.299</w:t>
            </w:r>
          </w:p>
        </w:tc>
        <w:tc>
          <w:tcPr>
            <w:tcW w:w="1296" w:type="dxa"/>
            <w:tcBorders>
              <w:top w:val="nil"/>
              <w:left w:val="nil"/>
              <w:bottom w:val="single" w:sz="4" w:space="0" w:color="auto"/>
              <w:right w:val="nil"/>
            </w:tcBorders>
            <w:shd w:val="clear" w:color="auto" w:fill="auto"/>
            <w:noWrap/>
            <w:vAlign w:val="bottom"/>
            <w:hideMark/>
          </w:tcPr>
          <w:p w14:paraId="0D85D36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0.196</w:t>
            </w:r>
          </w:p>
        </w:tc>
        <w:tc>
          <w:tcPr>
            <w:tcW w:w="1676" w:type="dxa"/>
            <w:tcBorders>
              <w:top w:val="nil"/>
              <w:left w:val="nil"/>
              <w:bottom w:val="single" w:sz="4" w:space="0" w:color="auto"/>
              <w:right w:val="nil"/>
            </w:tcBorders>
            <w:shd w:val="clear" w:color="auto" w:fill="auto"/>
            <w:noWrap/>
            <w:vAlign w:val="bottom"/>
            <w:hideMark/>
          </w:tcPr>
          <w:p w14:paraId="620C3E8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-0.070</w:t>
            </w:r>
          </w:p>
        </w:tc>
        <w:tc>
          <w:tcPr>
            <w:tcW w:w="1736" w:type="dxa"/>
            <w:tcBorders>
              <w:top w:val="nil"/>
              <w:left w:val="nil"/>
              <w:bottom w:val="single" w:sz="4" w:space="0" w:color="auto"/>
              <w:right w:val="nil"/>
            </w:tcBorders>
            <w:shd w:val="clear" w:color="auto" w:fill="auto"/>
            <w:noWrap/>
            <w:vAlign w:val="bottom"/>
            <w:hideMark/>
          </w:tcPr>
          <w:p w14:paraId="0AC8BE8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0.173</w:t>
            </w:r>
          </w:p>
        </w:tc>
        <w:tc>
          <w:tcPr>
            <w:tcW w:w="1156" w:type="dxa"/>
            <w:tcBorders>
              <w:top w:val="nil"/>
              <w:left w:val="nil"/>
              <w:bottom w:val="single" w:sz="4" w:space="0" w:color="auto"/>
              <w:right w:val="nil"/>
            </w:tcBorders>
            <w:shd w:val="clear" w:color="auto" w:fill="auto"/>
            <w:noWrap/>
            <w:vAlign w:val="bottom"/>
            <w:hideMark/>
          </w:tcPr>
          <w:p w14:paraId="52412A7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 18.26***</w:t>
            </w:r>
          </w:p>
        </w:tc>
        <w:tc>
          <w:tcPr>
            <w:tcW w:w="1136" w:type="dxa"/>
            <w:tcBorders>
              <w:top w:val="nil"/>
              <w:left w:val="nil"/>
              <w:bottom w:val="single" w:sz="4" w:space="0" w:color="auto"/>
              <w:right w:val="nil"/>
            </w:tcBorders>
            <w:shd w:val="clear" w:color="auto" w:fill="auto"/>
            <w:noWrap/>
            <w:vAlign w:val="bottom"/>
            <w:hideMark/>
          </w:tcPr>
          <w:p w14:paraId="2905E0C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21.02***</w:t>
            </w:r>
          </w:p>
        </w:tc>
      </w:tr>
    </w:tbl>
    <w:p w14:paraId="7F24F755" w14:textId="77777777" w:rsidR="00741DF5" w:rsidRPr="00AB729D" w:rsidRDefault="00741DF5" w:rsidP="00741DF5">
      <w:pPr>
        <w:pStyle w:val="Default"/>
        <w:jc w:val="both"/>
        <w:rPr>
          <w:rFonts w:ascii="Calibri" w:hAnsi="Calibri"/>
          <w:color w:val="auto"/>
          <w:sz w:val="22"/>
          <w:szCs w:val="22"/>
        </w:rPr>
      </w:pPr>
    </w:p>
    <w:p w14:paraId="2E0C219D" w14:textId="41AA4BA7" w:rsidR="00741DF5" w:rsidRPr="00AB729D" w:rsidRDefault="00DA31E0" w:rsidP="00741DF5">
      <w:pPr>
        <w:rPr>
          <w:rFonts w:ascii="Times New Roman" w:hAnsi="Times New Roman"/>
        </w:rPr>
      </w:pPr>
      <w:r w:rsidRPr="00AB729D">
        <w:rPr>
          <w:rFonts w:ascii="Times New Roman" w:hAnsi="Times New Roman"/>
          <w:sz w:val="20"/>
          <w:szCs w:val="20"/>
        </w:rPr>
        <w:t xml:space="preserve">Table 4 reports the mean and median of the mispricing variables (i.e., EXVRK and EXVIA) by quartiles of the institutional ownership variables (IOV in Panel A and PROP in Panel B). EXVRK and EXVIA are </w:t>
      </w:r>
      <w:proofErr w:type="spellStart"/>
      <w:r w:rsidRPr="00AB729D">
        <w:rPr>
          <w:rFonts w:ascii="Times New Roman" w:hAnsi="Times New Roman"/>
          <w:sz w:val="20"/>
          <w:szCs w:val="20"/>
        </w:rPr>
        <w:t>winsorized</w:t>
      </w:r>
      <w:proofErr w:type="spellEnd"/>
      <w:r w:rsidRPr="00AB729D">
        <w:rPr>
          <w:rFonts w:ascii="Times New Roman" w:hAnsi="Times New Roman"/>
          <w:sz w:val="20"/>
          <w:szCs w:val="20"/>
        </w:rPr>
        <w:t xml:space="preserve"> at the 1% and 99% levels. *, **, *** represent statistical significance at the 10%, 5% and 1% level, respectively.</w:t>
      </w:r>
    </w:p>
    <w:p w14:paraId="22725868" w14:textId="77777777" w:rsidR="00741DF5" w:rsidRPr="00AB729D" w:rsidRDefault="00741DF5" w:rsidP="001F21FE"/>
    <w:p w14:paraId="17B6557E" w14:textId="77777777" w:rsidR="00741DF5" w:rsidRPr="00AB729D" w:rsidRDefault="00741DF5">
      <w:pPr>
        <w:spacing w:after="160" w:line="259" w:lineRule="auto"/>
      </w:pPr>
      <w:r w:rsidRPr="00AB729D">
        <w:br w:type="page"/>
      </w:r>
    </w:p>
    <w:tbl>
      <w:tblPr>
        <w:tblW w:w="13344" w:type="dxa"/>
        <w:tblLook w:val="04A0" w:firstRow="1" w:lastRow="0" w:firstColumn="1" w:lastColumn="0" w:noHBand="0" w:noVBand="1"/>
      </w:tblPr>
      <w:tblGrid>
        <w:gridCol w:w="2069"/>
        <w:gridCol w:w="326"/>
        <w:gridCol w:w="2161"/>
        <w:gridCol w:w="1690"/>
        <w:gridCol w:w="1690"/>
        <w:gridCol w:w="1690"/>
        <w:gridCol w:w="1456"/>
        <w:gridCol w:w="976"/>
        <w:gridCol w:w="1376"/>
      </w:tblGrid>
      <w:tr w:rsidR="00272B18" w:rsidRPr="00AB729D" w14:paraId="21B967D9" w14:textId="77777777" w:rsidTr="00741DF5">
        <w:trPr>
          <w:trHeight w:val="300"/>
        </w:trPr>
        <w:tc>
          <w:tcPr>
            <w:tcW w:w="9536" w:type="dxa"/>
            <w:gridSpan w:val="6"/>
            <w:tcBorders>
              <w:top w:val="nil"/>
              <w:left w:val="nil"/>
              <w:bottom w:val="nil"/>
              <w:right w:val="nil"/>
            </w:tcBorders>
            <w:shd w:val="clear" w:color="auto" w:fill="auto"/>
            <w:noWrap/>
            <w:vAlign w:val="bottom"/>
            <w:hideMark/>
          </w:tcPr>
          <w:p w14:paraId="48FA6FBB" w14:textId="3A54A29B" w:rsidR="00741DF5" w:rsidRPr="00AB729D" w:rsidRDefault="00741DF5" w:rsidP="00F13217">
            <w:pPr>
              <w:spacing w:after="0" w:line="240" w:lineRule="auto"/>
              <w:rPr>
                <w:rFonts w:ascii="Times New Roman" w:eastAsia="Times New Roman" w:hAnsi="Times New Roman"/>
                <w:b/>
                <w:bCs/>
              </w:rPr>
            </w:pPr>
            <w:r w:rsidRPr="00AB729D">
              <w:rPr>
                <w:rFonts w:ascii="Times New Roman" w:eastAsia="Times New Roman" w:hAnsi="Times New Roman"/>
                <w:b/>
                <w:bCs/>
              </w:rPr>
              <w:lastRenderedPageBreak/>
              <w:t xml:space="preserve">Table </w:t>
            </w:r>
            <w:r w:rsidR="00F13217" w:rsidRPr="00AB729D">
              <w:rPr>
                <w:rFonts w:ascii="Times New Roman" w:eastAsia="Times New Roman" w:hAnsi="Times New Roman"/>
                <w:b/>
                <w:bCs/>
              </w:rPr>
              <w:t>5</w:t>
            </w:r>
            <w:r w:rsidRPr="00AB729D">
              <w:rPr>
                <w:rFonts w:ascii="Times New Roman" w:eastAsia="Times New Roman" w:hAnsi="Times New Roman"/>
                <w:b/>
                <w:bCs/>
              </w:rPr>
              <w:t>:  EXVRK and EXVIA Sorted by Institutional Ownership Proportion and Stability</w:t>
            </w:r>
          </w:p>
        </w:tc>
        <w:tc>
          <w:tcPr>
            <w:tcW w:w="1456" w:type="dxa"/>
            <w:tcBorders>
              <w:top w:val="nil"/>
              <w:left w:val="nil"/>
              <w:bottom w:val="nil"/>
              <w:right w:val="nil"/>
            </w:tcBorders>
            <w:shd w:val="clear" w:color="auto" w:fill="auto"/>
            <w:noWrap/>
            <w:vAlign w:val="bottom"/>
            <w:hideMark/>
          </w:tcPr>
          <w:p w14:paraId="4A9D322C" w14:textId="77777777" w:rsidR="00741DF5" w:rsidRPr="00AB729D" w:rsidRDefault="00741DF5" w:rsidP="00741DF5">
            <w:pPr>
              <w:spacing w:after="0" w:line="240" w:lineRule="auto"/>
              <w:rPr>
                <w:rFonts w:ascii="Times New Roman" w:eastAsia="Times New Roman" w:hAnsi="Times New Roman"/>
                <w:b/>
                <w:bCs/>
              </w:rPr>
            </w:pPr>
          </w:p>
        </w:tc>
        <w:tc>
          <w:tcPr>
            <w:tcW w:w="976" w:type="dxa"/>
            <w:tcBorders>
              <w:top w:val="nil"/>
              <w:left w:val="nil"/>
              <w:bottom w:val="nil"/>
              <w:right w:val="nil"/>
            </w:tcBorders>
            <w:shd w:val="clear" w:color="auto" w:fill="auto"/>
            <w:noWrap/>
            <w:vAlign w:val="bottom"/>
            <w:hideMark/>
          </w:tcPr>
          <w:p w14:paraId="0B9AA8A4" w14:textId="77777777" w:rsidR="00741DF5" w:rsidRPr="00AB729D" w:rsidRDefault="00741DF5" w:rsidP="00741DF5">
            <w:pPr>
              <w:spacing w:after="0" w:line="240" w:lineRule="auto"/>
              <w:rPr>
                <w:rFonts w:ascii="Times New Roman" w:eastAsia="Times New Roman" w:hAnsi="Times New Roman"/>
                <w:sz w:val="20"/>
                <w:szCs w:val="20"/>
              </w:rPr>
            </w:pPr>
          </w:p>
        </w:tc>
        <w:tc>
          <w:tcPr>
            <w:tcW w:w="1376" w:type="dxa"/>
            <w:tcBorders>
              <w:top w:val="nil"/>
              <w:left w:val="nil"/>
              <w:bottom w:val="nil"/>
              <w:right w:val="nil"/>
            </w:tcBorders>
            <w:shd w:val="clear" w:color="auto" w:fill="auto"/>
            <w:noWrap/>
            <w:vAlign w:val="bottom"/>
            <w:hideMark/>
          </w:tcPr>
          <w:p w14:paraId="47444936"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D294B8E" w14:textId="77777777" w:rsidTr="00741DF5">
        <w:trPr>
          <w:trHeight w:val="315"/>
        </w:trPr>
        <w:tc>
          <w:tcPr>
            <w:tcW w:w="7846" w:type="dxa"/>
            <w:gridSpan w:val="5"/>
            <w:tcBorders>
              <w:top w:val="nil"/>
              <w:left w:val="nil"/>
              <w:bottom w:val="nil"/>
              <w:right w:val="nil"/>
            </w:tcBorders>
            <w:shd w:val="clear" w:color="auto" w:fill="auto"/>
            <w:noWrap/>
            <w:vAlign w:val="bottom"/>
            <w:hideMark/>
          </w:tcPr>
          <w:p w14:paraId="60D1B165"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Panel A -  EXVRK Sorted by Institutional Ownership Proportion and Stability</w:t>
            </w:r>
          </w:p>
        </w:tc>
        <w:tc>
          <w:tcPr>
            <w:tcW w:w="1690" w:type="dxa"/>
            <w:tcBorders>
              <w:top w:val="nil"/>
              <w:left w:val="nil"/>
              <w:bottom w:val="nil"/>
              <w:right w:val="nil"/>
            </w:tcBorders>
            <w:shd w:val="clear" w:color="auto" w:fill="auto"/>
            <w:noWrap/>
            <w:vAlign w:val="bottom"/>
            <w:hideMark/>
          </w:tcPr>
          <w:p w14:paraId="678F470E" w14:textId="77777777" w:rsidR="00741DF5" w:rsidRPr="00AB729D" w:rsidRDefault="00741DF5" w:rsidP="00741DF5">
            <w:pPr>
              <w:spacing w:after="0" w:line="240" w:lineRule="auto"/>
              <w:rPr>
                <w:rFonts w:ascii="Times New Roman" w:eastAsia="Times New Roman" w:hAnsi="Times New Roman"/>
                <w:b/>
                <w:bCs/>
              </w:rPr>
            </w:pPr>
          </w:p>
        </w:tc>
        <w:tc>
          <w:tcPr>
            <w:tcW w:w="1456" w:type="dxa"/>
            <w:tcBorders>
              <w:top w:val="nil"/>
              <w:left w:val="nil"/>
              <w:bottom w:val="nil"/>
              <w:right w:val="nil"/>
            </w:tcBorders>
            <w:shd w:val="clear" w:color="auto" w:fill="auto"/>
            <w:noWrap/>
            <w:vAlign w:val="bottom"/>
            <w:hideMark/>
          </w:tcPr>
          <w:p w14:paraId="7EA5DC58"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3C030A44" w14:textId="77777777" w:rsidR="00741DF5" w:rsidRPr="00AB729D" w:rsidRDefault="00741DF5" w:rsidP="00741DF5">
            <w:pPr>
              <w:spacing w:after="0" w:line="240" w:lineRule="auto"/>
              <w:rPr>
                <w:rFonts w:ascii="Times New Roman" w:eastAsia="Times New Roman" w:hAnsi="Times New Roman"/>
                <w:sz w:val="20"/>
                <w:szCs w:val="20"/>
              </w:rPr>
            </w:pPr>
          </w:p>
        </w:tc>
        <w:tc>
          <w:tcPr>
            <w:tcW w:w="1376" w:type="dxa"/>
            <w:tcBorders>
              <w:top w:val="nil"/>
              <w:left w:val="nil"/>
              <w:bottom w:val="nil"/>
              <w:right w:val="nil"/>
            </w:tcBorders>
            <w:shd w:val="clear" w:color="auto" w:fill="auto"/>
            <w:noWrap/>
            <w:vAlign w:val="bottom"/>
            <w:hideMark/>
          </w:tcPr>
          <w:p w14:paraId="5BAD9490"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1F1744BB" w14:textId="77777777" w:rsidTr="00741DF5">
        <w:trPr>
          <w:trHeight w:val="300"/>
        </w:trPr>
        <w:tc>
          <w:tcPr>
            <w:tcW w:w="2069" w:type="dxa"/>
            <w:tcBorders>
              <w:top w:val="nil"/>
              <w:left w:val="nil"/>
              <w:bottom w:val="nil"/>
              <w:right w:val="nil"/>
            </w:tcBorders>
            <w:shd w:val="clear" w:color="auto" w:fill="auto"/>
            <w:noWrap/>
            <w:vAlign w:val="bottom"/>
            <w:hideMark/>
          </w:tcPr>
          <w:p w14:paraId="24444800" w14:textId="77777777" w:rsidR="00741DF5" w:rsidRPr="00AB729D" w:rsidRDefault="00741DF5" w:rsidP="00741DF5">
            <w:pPr>
              <w:spacing w:after="0" w:line="240" w:lineRule="auto"/>
              <w:rPr>
                <w:rFonts w:ascii="Times New Roman" w:eastAsia="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6A8AF16D" w14:textId="77777777" w:rsidR="00741DF5" w:rsidRPr="00AB729D" w:rsidRDefault="00741DF5" w:rsidP="00741DF5">
            <w:pPr>
              <w:spacing w:after="0" w:line="240" w:lineRule="auto"/>
              <w:rPr>
                <w:rFonts w:ascii="Times New Roman" w:eastAsia="Times New Roman" w:hAnsi="Times New Roman"/>
                <w:sz w:val="20"/>
                <w:szCs w:val="20"/>
              </w:rPr>
            </w:pPr>
          </w:p>
        </w:tc>
        <w:tc>
          <w:tcPr>
            <w:tcW w:w="2161" w:type="dxa"/>
            <w:tcBorders>
              <w:top w:val="nil"/>
              <w:left w:val="nil"/>
              <w:bottom w:val="nil"/>
              <w:right w:val="nil"/>
            </w:tcBorders>
            <w:shd w:val="clear" w:color="auto" w:fill="auto"/>
            <w:noWrap/>
            <w:vAlign w:val="bottom"/>
            <w:hideMark/>
          </w:tcPr>
          <w:p w14:paraId="6F5CE31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598123A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4A40A08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2C5BD22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456" w:type="dxa"/>
            <w:tcBorders>
              <w:top w:val="nil"/>
              <w:left w:val="nil"/>
              <w:bottom w:val="nil"/>
              <w:right w:val="nil"/>
            </w:tcBorders>
            <w:shd w:val="clear" w:color="auto" w:fill="auto"/>
            <w:noWrap/>
            <w:vAlign w:val="bottom"/>
            <w:hideMark/>
          </w:tcPr>
          <w:p w14:paraId="599A245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097024D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376" w:type="dxa"/>
            <w:tcBorders>
              <w:top w:val="nil"/>
              <w:left w:val="nil"/>
              <w:bottom w:val="nil"/>
              <w:right w:val="nil"/>
            </w:tcBorders>
            <w:shd w:val="clear" w:color="auto" w:fill="auto"/>
            <w:noWrap/>
            <w:vAlign w:val="bottom"/>
            <w:hideMark/>
          </w:tcPr>
          <w:p w14:paraId="2E416D9F"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50E626E3" w14:textId="77777777" w:rsidTr="00741DF5">
        <w:trPr>
          <w:trHeight w:val="300"/>
        </w:trPr>
        <w:tc>
          <w:tcPr>
            <w:tcW w:w="2069" w:type="dxa"/>
            <w:tcBorders>
              <w:top w:val="nil"/>
              <w:left w:val="nil"/>
              <w:bottom w:val="nil"/>
              <w:right w:val="nil"/>
            </w:tcBorders>
            <w:shd w:val="clear" w:color="auto" w:fill="auto"/>
            <w:noWrap/>
            <w:vAlign w:val="bottom"/>
            <w:hideMark/>
          </w:tcPr>
          <w:p w14:paraId="5AB476D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5840568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161" w:type="dxa"/>
            <w:tcBorders>
              <w:top w:val="nil"/>
              <w:left w:val="nil"/>
              <w:bottom w:val="single" w:sz="4" w:space="0" w:color="auto"/>
              <w:right w:val="nil"/>
            </w:tcBorders>
            <w:shd w:val="clear" w:color="auto" w:fill="auto"/>
            <w:noWrap/>
            <w:vAlign w:val="bottom"/>
            <w:hideMark/>
          </w:tcPr>
          <w:p w14:paraId="3744178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PROP Low</w:t>
            </w:r>
          </w:p>
        </w:tc>
        <w:tc>
          <w:tcPr>
            <w:tcW w:w="1690" w:type="dxa"/>
            <w:tcBorders>
              <w:top w:val="nil"/>
              <w:left w:val="nil"/>
              <w:bottom w:val="single" w:sz="4" w:space="0" w:color="auto"/>
              <w:right w:val="nil"/>
            </w:tcBorders>
            <w:shd w:val="clear" w:color="auto" w:fill="auto"/>
            <w:noWrap/>
            <w:vAlign w:val="bottom"/>
            <w:hideMark/>
          </w:tcPr>
          <w:p w14:paraId="4A47E03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690" w:type="dxa"/>
            <w:tcBorders>
              <w:top w:val="nil"/>
              <w:left w:val="nil"/>
              <w:bottom w:val="single" w:sz="4" w:space="0" w:color="auto"/>
              <w:right w:val="nil"/>
            </w:tcBorders>
            <w:shd w:val="clear" w:color="auto" w:fill="auto"/>
            <w:noWrap/>
            <w:vAlign w:val="bottom"/>
            <w:hideMark/>
          </w:tcPr>
          <w:p w14:paraId="4270E0E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690" w:type="dxa"/>
            <w:tcBorders>
              <w:top w:val="nil"/>
              <w:left w:val="nil"/>
              <w:bottom w:val="single" w:sz="4" w:space="0" w:color="auto"/>
              <w:right w:val="nil"/>
            </w:tcBorders>
            <w:shd w:val="clear" w:color="auto" w:fill="auto"/>
            <w:noWrap/>
            <w:vAlign w:val="bottom"/>
            <w:hideMark/>
          </w:tcPr>
          <w:p w14:paraId="7F71496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456" w:type="dxa"/>
            <w:tcBorders>
              <w:top w:val="nil"/>
              <w:left w:val="nil"/>
              <w:bottom w:val="single" w:sz="4" w:space="0" w:color="auto"/>
              <w:right w:val="nil"/>
            </w:tcBorders>
            <w:shd w:val="clear" w:color="auto" w:fill="auto"/>
            <w:noWrap/>
            <w:vAlign w:val="bottom"/>
            <w:hideMark/>
          </w:tcPr>
          <w:p w14:paraId="381A9AF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PROP High</w:t>
            </w:r>
          </w:p>
        </w:tc>
        <w:tc>
          <w:tcPr>
            <w:tcW w:w="976" w:type="dxa"/>
            <w:tcBorders>
              <w:top w:val="nil"/>
              <w:left w:val="nil"/>
              <w:bottom w:val="single" w:sz="4" w:space="0" w:color="auto"/>
              <w:right w:val="nil"/>
            </w:tcBorders>
            <w:shd w:val="clear" w:color="auto" w:fill="auto"/>
            <w:noWrap/>
            <w:vAlign w:val="bottom"/>
            <w:hideMark/>
          </w:tcPr>
          <w:p w14:paraId="6FB7AA6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376" w:type="dxa"/>
            <w:tcBorders>
              <w:top w:val="nil"/>
              <w:left w:val="nil"/>
              <w:bottom w:val="single" w:sz="4" w:space="0" w:color="auto"/>
              <w:right w:val="nil"/>
            </w:tcBorders>
            <w:shd w:val="clear" w:color="auto" w:fill="auto"/>
            <w:noWrap/>
            <w:vAlign w:val="bottom"/>
            <w:hideMark/>
          </w:tcPr>
          <w:p w14:paraId="741125D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r>
      <w:tr w:rsidR="00272B18" w:rsidRPr="00AB729D" w14:paraId="527A3C02" w14:textId="77777777" w:rsidTr="00741DF5">
        <w:trPr>
          <w:trHeight w:val="300"/>
        </w:trPr>
        <w:tc>
          <w:tcPr>
            <w:tcW w:w="2069" w:type="dxa"/>
            <w:tcBorders>
              <w:top w:val="nil"/>
              <w:left w:val="nil"/>
              <w:bottom w:val="single" w:sz="4" w:space="0" w:color="auto"/>
              <w:right w:val="nil"/>
            </w:tcBorders>
            <w:shd w:val="clear" w:color="auto" w:fill="auto"/>
            <w:noWrap/>
            <w:vAlign w:val="bottom"/>
            <w:hideMark/>
          </w:tcPr>
          <w:p w14:paraId="286EB4B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236" w:type="dxa"/>
            <w:tcBorders>
              <w:top w:val="nil"/>
              <w:left w:val="nil"/>
              <w:bottom w:val="single" w:sz="4" w:space="0" w:color="auto"/>
              <w:right w:val="nil"/>
            </w:tcBorders>
            <w:shd w:val="clear" w:color="auto" w:fill="auto"/>
            <w:noWrap/>
            <w:vAlign w:val="bottom"/>
            <w:hideMark/>
          </w:tcPr>
          <w:p w14:paraId="3A16EF8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2161" w:type="dxa"/>
            <w:tcBorders>
              <w:top w:val="nil"/>
              <w:left w:val="nil"/>
              <w:bottom w:val="single" w:sz="4" w:space="0" w:color="auto"/>
              <w:right w:val="nil"/>
            </w:tcBorders>
            <w:shd w:val="clear" w:color="auto" w:fill="auto"/>
            <w:noWrap/>
            <w:vAlign w:val="bottom"/>
            <w:hideMark/>
          </w:tcPr>
          <w:p w14:paraId="1CEFBFD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690" w:type="dxa"/>
            <w:tcBorders>
              <w:top w:val="nil"/>
              <w:left w:val="nil"/>
              <w:bottom w:val="single" w:sz="4" w:space="0" w:color="auto"/>
              <w:right w:val="nil"/>
            </w:tcBorders>
            <w:shd w:val="clear" w:color="auto" w:fill="auto"/>
            <w:noWrap/>
            <w:vAlign w:val="bottom"/>
            <w:hideMark/>
          </w:tcPr>
          <w:p w14:paraId="34A09FD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w:t>
            </w:r>
          </w:p>
        </w:tc>
        <w:tc>
          <w:tcPr>
            <w:tcW w:w="1690" w:type="dxa"/>
            <w:tcBorders>
              <w:top w:val="nil"/>
              <w:left w:val="nil"/>
              <w:bottom w:val="single" w:sz="4" w:space="0" w:color="auto"/>
              <w:right w:val="nil"/>
            </w:tcBorders>
            <w:shd w:val="clear" w:color="auto" w:fill="auto"/>
            <w:noWrap/>
            <w:vAlign w:val="bottom"/>
            <w:hideMark/>
          </w:tcPr>
          <w:p w14:paraId="112095B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w:t>
            </w:r>
          </w:p>
        </w:tc>
        <w:tc>
          <w:tcPr>
            <w:tcW w:w="1690" w:type="dxa"/>
            <w:tcBorders>
              <w:top w:val="nil"/>
              <w:left w:val="nil"/>
              <w:bottom w:val="single" w:sz="4" w:space="0" w:color="auto"/>
              <w:right w:val="nil"/>
            </w:tcBorders>
            <w:shd w:val="clear" w:color="auto" w:fill="auto"/>
            <w:noWrap/>
            <w:vAlign w:val="bottom"/>
            <w:hideMark/>
          </w:tcPr>
          <w:p w14:paraId="2A1C06B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w:t>
            </w:r>
          </w:p>
        </w:tc>
        <w:tc>
          <w:tcPr>
            <w:tcW w:w="1456" w:type="dxa"/>
            <w:tcBorders>
              <w:top w:val="nil"/>
              <w:left w:val="nil"/>
              <w:bottom w:val="single" w:sz="4" w:space="0" w:color="auto"/>
              <w:right w:val="nil"/>
            </w:tcBorders>
            <w:shd w:val="clear" w:color="auto" w:fill="auto"/>
            <w:noWrap/>
            <w:vAlign w:val="bottom"/>
            <w:hideMark/>
          </w:tcPr>
          <w:p w14:paraId="103B4D2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w:t>
            </w:r>
          </w:p>
        </w:tc>
        <w:tc>
          <w:tcPr>
            <w:tcW w:w="976" w:type="dxa"/>
            <w:tcBorders>
              <w:top w:val="nil"/>
              <w:left w:val="nil"/>
              <w:bottom w:val="single" w:sz="4" w:space="0" w:color="auto"/>
              <w:right w:val="nil"/>
            </w:tcBorders>
            <w:shd w:val="clear" w:color="auto" w:fill="auto"/>
            <w:noWrap/>
            <w:vAlign w:val="bottom"/>
            <w:hideMark/>
          </w:tcPr>
          <w:p w14:paraId="4E0C093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H-L</w:t>
            </w:r>
          </w:p>
        </w:tc>
        <w:tc>
          <w:tcPr>
            <w:tcW w:w="1376" w:type="dxa"/>
            <w:tcBorders>
              <w:top w:val="nil"/>
              <w:left w:val="nil"/>
              <w:bottom w:val="single" w:sz="4" w:space="0" w:color="auto"/>
              <w:right w:val="nil"/>
            </w:tcBorders>
            <w:shd w:val="clear" w:color="auto" w:fill="auto"/>
            <w:noWrap/>
            <w:vAlign w:val="bottom"/>
            <w:hideMark/>
          </w:tcPr>
          <w:p w14:paraId="3EC97AD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T-statistics</w:t>
            </w:r>
          </w:p>
        </w:tc>
      </w:tr>
      <w:tr w:rsidR="00272B18" w:rsidRPr="00AB729D" w14:paraId="264934B6" w14:textId="77777777" w:rsidTr="00741DF5">
        <w:trPr>
          <w:trHeight w:val="300"/>
        </w:trPr>
        <w:tc>
          <w:tcPr>
            <w:tcW w:w="2069" w:type="dxa"/>
            <w:tcBorders>
              <w:top w:val="nil"/>
              <w:left w:val="nil"/>
              <w:bottom w:val="nil"/>
              <w:right w:val="nil"/>
            </w:tcBorders>
            <w:shd w:val="clear" w:color="auto" w:fill="auto"/>
            <w:noWrap/>
            <w:vAlign w:val="bottom"/>
            <w:hideMark/>
          </w:tcPr>
          <w:p w14:paraId="365CF18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IOV Low </w:t>
            </w:r>
          </w:p>
        </w:tc>
        <w:tc>
          <w:tcPr>
            <w:tcW w:w="236" w:type="dxa"/>
            <w:tcBorders>
              <w:top w:val="nil"/>
              <w:left w:val="nil"/>
              <w:bottom w:val="nil"/>
              <w:right w:val="nil"/>
            </w:tcBorders>
            <w:shd w:val="clear" w:color="auto" w:fill="auto"/>
            <w:noWrap/>
            <w:vAlign w:val="bottom"/>
            <w:hideMark/>
          </w:tcPr>
          <w:p w14:paraId="26AA382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2161" w:type="dxa"/>
            <w:tcBorders>
              <w:top w:val="nil"/>
              <w:left w:val="nil"/>
              <w:bottom w:val="nil"/>
              <w:right w:val="nil"/>
            </w:tcBorders>
            <w:shd w:val="clear" w:color="auto" w:fill="auto"/>
            <w:noWrap/>
            <w:vAlign w:val="bottom"/>
            <w:hideMark/>
          </w:tcPr>
          <w:p w14:paraId="6B39434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0.593</w:t>
            </w:r>
          </w:p>
        </w:tc>
        <w:tc>
          <w:tcPr>
            <w:tcW w:w="1690" w:type="dxa"/>
            <w:tcBorders>
              <w:top w:val="nil"/>
              <w:left w:val="nil"/>
              <w:bottom w:val="nil"/>
              <w:right w:val="nil"/>
            </w:tcBorders>
            <w:shd w:val="clear" w:color="auto" w:fill="auto"/>
            <w:noWrap/>
            <w:vAlign w:val="bottom"/>
            <w:hideMark/>
          </w:tcPr>
          <w:p w14:paraId="0ED5DD9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0.493</w:t>
            </w:r>
          </w:p>
        </w:tc>
        <w:tc>
          <w:tcPr>
            <w:tcW w:w="1690" w:type="dxa"/>
            <w:tcBorders>
              <w:top w:val="nil"/>
              <w:left w:val="nil"/>
              <w:bottom w:val="nil"/>
              <w:right w:val="nil"/>
            </w:tcBorders>
            <w:shd w:val="clear" w:color="auto" w:fill="auto"/>
            <w:noWrap/>
            <w:vAlign w:val="bottom"/>
            <w:hideMark/>
          </w:tcPr>
          <w:p w14:paraId="3DA2E71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0.461</w:t>
            </w:r>
          </w:p>
        </w:tc>
        <w:tc>
          <w:tcPr>
            <w:tcW w:w="1690" w:type="dxa"/>
            <w:tcBorders>
              <w:top w:val="nil"/>
              <w:left w:val="nil"/>
              <w:bottom w:val="nil"/>
              <w:right w:val="nil"/>
            </w:tcBorders>
            <w:shd w:val="clear" w:color="auto" w:fill="auto"/>
            <w:noWrap/>
            <w:vAlign w:val="bottom"/>
            <w:hideMark/>
          </w:tcPr>
          <w:p w14:paraId="2D87184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0.415</w:t>
            </w:r>
          </w:p>
        </w:tc>
        <w:tc>
          <w:tcPr>
            <w:tcW w:w="1456" w:type="dxa"/>
            <w:tcBorders>
              <w:top w:val="nil"/>
              <w:left w:val="nil"/>
              <w:bottom w:val="nil"/>
              <w:right w:val="nil"/>
            </w:tcBorders>
            <w:shd w:val="clear" w:color="auto" w:fill="auto"/>
            <w:noWrap/>
            <w:vAlign w:val="bottom"/>
            <w:hideMark/>
          </w:tcPr>
          <w:p w14:paraId="32BBDA0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0.393</w:t>
            </w:r>
          </w:p>
        </w:tc>
        <w:tc>
          <w:tcPr>
            <w:tcW w:w="976" w:type="dxa"/>
            <w:tcBorders>
              <w:top w:val="nil"/>
              <w:left w:val="nil"/>
              <w:bottom w:val="nil"/>
              <w:right w:val="nil"/>
            </w:tcBorders>
            <w:shd w:val="clear" w:color="auto" w:fill="auto"/>
            <w:noWrap/>
            <w:vAlign w:val="bottom"/>
            <w:hideMark/>
          </w:tcPr>
          <w:p w14:paraId="6BA7FDC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-0.200</w:t>
            </w:r>
          </w:p>
        </w:tc>
        <w:tc>
          <w:tcPr>
            <w:tcW w:w="1376" w:type="dxa"/>
            <w:tcBorders>
              <w:top w:val="nil"/>
              <w:left w:val="nil"/>
              <w:bottom w:val="nil"/>
              <w:right w:val="nil"/>
            </w:tcBorders>
            <w:shd w:val="clear" w:color="auto" w:fill="auto"/>
            <w:noWrap/>
            <w:vAlign w:val="bottom"/>
            <w:hideMark/>
          </w:tcPr>
          <w:p w14:paraId="26BFC73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14.65***</w:t>
            </w:r>
          </w:p>
        </w:tc>
      </w:tr>
      <w:tr w:rsidR="00272B18" w:rsidRPr="00AB729D" w14:paraId="10A11C6C" w14:textId="77777777" w:rsidTr="00741DF5">
        <w:trPr>
          <w:trHeight w:val="300"/>
        </w:trPr>
        <w:tc>
          <w:tcPr>
            <w:tcW w:w="2069" w:type="dxa"/>
            <w:tcBorders>
              <w:top w:val="nil"/>
              <w:left w:val="nil"/>
              <w:bottom w:val="nil"/>
              <w:right w:val="nil"/>
            </w:tcBorders>
            <w:shd w:val="clear" w:color="auto" w:fill="auto"/>
            <w:noWrap/>
            <w:vAlign w:val="bottom"/>
            <w:hideMark/>
          </w:tcPr>
          <w:p w14:paraId="6177ED67" w14:textId="77777777" w:rsidR="00741DF5" w:rsidRPr="00AB729D" w:rsidRDefault="00741DF5" w:rsidP="00741DF5">
            <w:pPr>
              <w:spacing w:after="0" w:line="240" w:lineRule="auto"/>
              <w:jc w:val="center"/>
              <w:rPr>
                <w:rFonts w:ascii="Times New Roman" w:eastAsia="Times New Roman" w:hAnsi="Times New Roman"/>
              </w:rPr>
            </w:pPr>
          </w:p>
        </w:tc>
        <w:tc>
          <w:tcPr>
            <w:tcW w:w="236" w:type="dxa"/>
            <w:tcBorders>
              <w:top w:val="nil"/>
              <w:left w:val="nil"/>
              <w:bottom w:val="nil"/>
              <w:right w:val="nil"/>
            </w:tcBorders>
            <w:shd w:val="clear" w:color="auto" w:fill="auto"/>
            <w:noWrap/>
            <w:vAlign w:val="bottom"/>
            <w:hideMark/>
          </w:tcPr>
          <w:p w14:paraId="50DB669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w:t>
            </w:r>
          </w:p>
        </w:tc>
        <w:tc>
          <w:tcPr>
            <w:tcW w:w="2161" w:type="dxa"/>
            <w:tcBorders>
              <w:top w:val="nil"/>
              <w:left w:val="nil"/>
              <w:bottom w:val="nil"/>
              <w:right w:val="nil"/>
            </w:tcBorders>
            <w:shd w:val="clear" w:color="auto" w:fill="auto"/>
            <w:noWrap/>
            <w:vAlign w:val="bottom"/>
            <w:hideMark/>
          </w:tcPr>
          <w:p w14:paraId="0BFC082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0.581</w:t>
            </w:r>
          </w:p>
        </w:tc>
        <w:tc>
          <w:tcPr>
            <w:tcW w:w="1690" w:type="dxa"/>
            <w:tcBorders>
              <w:top w:val="nil"/>
              <w:left w:val="nil"/>
              <w:bottom w:val="nil"/>
              <w:right w:val="nil"/>
            </w:tcBorders>
            <w:shd w:val="clear" w:color="auto" w:fill="auto"/>
            <w:noWrap/>
            <w:vAlign w:val="bottom"/>
            <w:hideMark/>
          </w:tcPr>
          <w:p w14:paraId="5ED16A5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0.535</w:t>
            </w:r>
          </w:p>
        </w:tc>
        <w:tc>
          <w:tcPr>
            <w:tcW w:w="1690" w:type="dxa"/>
            <w:tcBorders>
              <w:top w:val="nil"/>
              <w:left w:val="nil"/>
              <w:bottom w:val="nil"/>
              <w:right w:val="nil"/>
            </w:tcBorders>
            <w:shd w:val="clear" w:color="auto" w:fill="auto"/>
            <w:noWrap/>
            <w:vAlign w:val="bottom"/>
            <w:hideMark/>
          </w:tcPr>
          <w:p w14:paraId="22E9E2A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0.502</w:t>
            </w:r>
          </w:p>
        </w:tc>
        <w:tc>
          <w:tcPr>
            <w:tcW w:w="1690" w:type="dxa"/>
            <w:tcBorders>
              <w:top w:val="nil"/>
              <w:left w:val="nil"/>
              <w:bottom w:val="nil"/>
              <w:right w:val="nil"/>
            </w:tcBorders>
            <w:shd w:val="clear" w:color="auto" w:fill="auto"/>
            <w:noWrap/>
            <w:vAlign w:val="bottom"/>
            <w:hideMark/>
          </w:tcPr>
          <w:p w14:paraId="01A8DFF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0.451</w:t>
            </w:r>
          </w:p>
        </w:tc>
        <w:tc>
          <w:tcPr>
            <w:tcW w:w="1456" w:type="dxa"/>
            <w:tcBorders>
              <w:top w:val="nil"/>
              <w:left w:val="nil"/>
              <w:bottom w:val="nil"/>
              <w:right w:val="nil"/>
            </w:tcBorders>
            <w:shd w:val="clear" w:color="auto" w:fill="auto"/>
            <w:noWrap/>
            <w:vAlign w:val="bottom"/>
            <w:hideMark/>
          </w:tcPr>
          <w:p w14:paraId="46A58CA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0.447</w:t>
            </w:r>
          </w:p>
        </w:tc>
        <w:tc>
          <w:tcPr>
            <w:tcW w:w="976" w:type="dxa"/>
            <w:tcBorders>
              <w:top w:val="nil"/>
              <w:left w:val="nil"/>
              <w:bottom w:val="nil"/>
              <w:right w:val="nil"/>
            </w:tcBorders>
            <w:shd w:val="clear" w:color="auto" w:fill="auto"/>
            <w:noWrap/>
            <w:vAlign w:val="bottom"/>
            <w:hideMark/>
          </w:tcPr>
          <w:p w14:paraId="5812C9A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-0.133</w:t>
            </w:r>
          </w:p>
        </w:tc>
        <w:tc>
          <w:tcPr>
            <w:tcW w:w="1376" w:type="dxa"/>
            <w:tcBorders>
              <w:top w:val="nil"/>
              <w:left w:val="nil"/>
              <w:bottom w:val="nil"/>
              <w:right w:val="nil"/>
            </w:tcBorders>
            <w:shd w:val="clear" w:color="auto" w:fill="auto"/>
            <w:noWrap/>
            <w:vAlign w:val="bottom"/>
            <w:hideMark/>
          </w:tcPr>
          <w:p w14:paraId="63CED3D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11.5***</w:t>
            </w:r>
          </w:p>
        </w:tc>
      </w:tr>
      <w:tr w:rsidR="00272B18" w:rsidRPr="00AB729D" w14:paraId="23D565A3" w14:textId="77777777" w:rsidTr="00741DF5">
        <w:trPr>
          <w:trHeight w:val="300"/>
        </w:trPr>
        <w:tc>
          <w:tcPr>
            <w:tcW w:w="2069" w:type="dxa"/>
            <w:tcBorders>
              <w:top w:val="nil"/>
              <w:left w:val="nil"/>
              <w:bottom w:val="nil"/>
              <w:right w:val="nil"/>
            </w:tcBorders>
            <w:shd w:val="clear" w:color="auto" w:fill="auto"/>
            <w:noWrap/>
            <w:vAlign w:val="bottom"/>
            <w:hideMark/>
          </w:tcPr>
          <w:p w14:paraId="0FCC1BC0" w14:textId="77777777" w:rsidR="00741DF5" w:rsidRPr="00AB729D" w:rsidRDefault="00741DF5" w:rsidP="00741DF5">
            <w:pPr>
              <w:spacing w:after="0" w:line="240" w:lineRule="auto"/>
              <w:jc w:val="center"/>
              <w:rPr>
                <w:rFonts w:ascii="Times New Roman" w:eastAsia="Times New Roman" w:hAnsi="Times New Roman"/>
              </w:rPr>
            </w:pPr>
          </w:p>
        </w:tc>
        <w:tc>
          <w:tcPr>
            <w:tcW w:w="236" w:type="dxa"/>
            <w:tcBorders>
              <w:top w:val="nil"/>
              <w:left w:val="nil"/>
              <w:bottom w:val="nil"/>
              <w:right w:val="nil"/>
            </w:tcBorders>
            <w:shd w:val="clear" w:color="auto" w:fill="auto"/>
            <w:noWrap/>
            <w:vAlign w:val="bottom"/>
            <w:hideMark/>
          </w:tcPr>
          <w:p w14:paraId="2451574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w:t>
            </w:r>
          </w:p>
        </w:tc>
        <w:tc>
          <w:tcPr>
            <w:tcW w:w="2161" w:type="dxa"/>
            <w:tcBorders>
              <w:top w:val="nil"/>
              <w:left w:val="nil"/>
              <w:bottom w:val="nil"/>
              <w:right w:val="nil"/>
            </w:tcBorders>
            <w:shd w:val="clear" w:color="auto" w:fill="auto"/>
            <w:noWrap/>
            <w:vAlign w:val="bottom"/>
            <w:hideMark/>
          </w:tcPr>
          <w:p w14:paraId="5F8E70B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0.571</w:t>
            </w:r>
          </w:p>
        </w:tc>
        <w:tc>
          <w:tcPr>
            <w:tcW w:w="1690" w:type="dxa"/>
            <w:tcBorders>
              <w:top w:val="nil"/>
              <w:left w:val="nil"/>
              <w:bottom w:val="nil"/>
              <w:right w:val="nil"/>
            </w:tcBorders>
            <w:shd w:val="clear" w:color="auto" w:fill="auto"/>
            <w:noWrap/>
            <w:vAlign w:val="bottom"/>
            <w:hideMark/>
          </w:tcPr>
          <w:p w14:paraId="7688386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0.534</w:t>
            </w:r>
          </w:p>
        </w:tc>
        <w:tc>
          <w:tcPr>
            <w:tcW w:w="1690" w:type="dxa"/>
            <w:tcBorders>
              <w:top w:val="nil"/>
              <w:left w:val="nil"/>
              <w:bottom w:val="nil"/>
              <w:right w:val="nil"/>
            </w:tcBorders>
            <w:shd w:val="clear" w:color="auto" w:fill="auto"/>
            <w:noWrap/>
            <w:vAlign w:val="bottom"/>
            <w:hideMark/>
          </w:tcPr>
          <w:p w14:paraId="62E9ED7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0.510</w:t>
            </w:r>
          </w:p>
        </w:tc>
        <w:tc>
          <w:tcPr>
            <w:tcW w:w="1690" w:type="dxa"/>
            <w:tcBorders>
              <w:top w:val="nil"/>
              <w:left w:val="nil"/>
              <w:bottom w:val="nil"/>
              <w:right w:val="nil"/>
            </w:tcBorders>
            <w:shd w:val="clear" w:color="auto" w:fill="auto"/>
            <w:noWrap/>
            <w:vAlign w:val="bottom"/>
            <w:hideMark/>
          </w:tcPr>
          <w:p w14:paraId="4348B54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0.494</w:t>
            </w:r>
          </w:p>
        </w:tc>
        <w:tc>
          <w:tcPr>
            <w:tcW w:w="1456" w:type="dxa"/>
            <w:tcBorders>
              <w:top w:val="nil"/>
              <w:left w:val="nil"/>
              <w:bottom w:val="nil"/>
              <w:right w:val="nil"/>
            </w:tcBorders>
            <w:shd w:val="clear" w:color="auto" w:fill="auto"/>
            <w:noWrap/>
            <w:vAlign w:val="bottom"/>
            <w:hideMark/>
          </w:tcPr>
          <w:p w14:paraId="575FD2C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0.474</w:t>
            </w:r>
          </w:p>
        </w:tc>
        <w:tc>
          <w:tcPr>
            <w:tcW w:w="976" w:type="dxa"/>
            <w:tcBorders>
              <w:top w:val="nil"/>
              <w:left w:val="nil"/>
              <w:bottom w:val="nil"/>
              <w:right w:val="nil"/>
            </w:tcBorders>
            <w:shd w:val="clear" w:color="auto" w:fill="auto"/>
            <w:noWrap/>
            <w:vAlign w:val="bottom"/>
            <w:hideMark/>
          </w:tcPr>
          <w:p w14:paraId="12257ED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-0.097</w:t>
            </w:r>
          </w:p>
        </w:tc>
        <w:tc>
          <w:tcPr>
            <w:tcW w:w="1376" w:type="dxa"/>
            <w:tcBorders>
              <w:top w:val="nil"/>
              <w:left w:val="nil"/>
              <w:bottom w:val="nil"/>
              <w:right w:val="nil"/>
            </w:tcBorders>
            <w:shd w:val="clear" w:color="auto" w:fill="auto"/>
            <w:noWrap/>
            <w:vAlign w:val="bottom"/>
            <w:hideMark/>
          </w:tcPr>
          <w:p w14:paraId="438015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7.57***</w:t>
            </w:r>
          </w:p>
        </w:tc>
      </w:tr>
      <w:tr w:rsidR="00272B18" w:rsidRPr="00AB729D" w14:paraId="528550B6" w14:textId="77777777" w:rsidTr="00741DF5">
        <w:trPr>
          <w:trHeight w:val="300"/>
        </w:trPr>
        <w:tc>
          <w:tcPr>
            <w:tcW w:w="2069" w:type="dxa"/>
            <w:tcBorders>
              <w:top w:val="nil"/>
              <w:left w:val="nil"/>
              <w:bottom w:val="nil"/>
              <w:right w:val="nil"/>
            </w:tcBorders>
            <w:shd w:val="clear" w:color="auto" w:fill="auto"/>
            <w:noWrap/>
            <w:vAlign w:val="bottom"/>
            <w:hideMark/>
          </w:tcPr>
          <w:p w14:paraId="4CA8D776" w14:textId="77777777" w:rsidR="00741DF5" w:rsidRPr="00AB729D" w:rsidRDefault="00741DF5" w:rsidP="00741DF5">
            <w:pPr>
              <w:spacing w:after="0" w:line="240" w:lineRule="auto"/>
              <w:jc w:val="center"/>
              <w:rPr>
                <w:rFonts w:ascii="Times New Roman" w:eastAsia="Times New Roman" w:hAnsi="Times New Roman"/>
              </w:rPr>
            </w:pPr>
          </w:p>
        </w:tc>
        <w:tc>
          <w:tcPr>
            <w:tcW w:w="236" w:type="dxa"/>
            <w:tcBorders>
              <w:top w:val="nil"/>
              <w:left w:val="nil"/>
              <w:bottom w:val="nil"/>
              <w:right w:val="nil"/>
            </w:tcBorders>
            <w:shd w:val="clear" w:color="auto" w:fill="auto"/>
            <w:noWrap/>
            <w:vAlign w:val="bottom"/>
            <w:hideMark/>
          </w:tcPr>
          <w:p w14:paraId="045E9B0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w:t>
            </w:r>
          </w:p>
        </w:tc>
        <w:tc>
          <w:tcPr>
            <w:tcW w:w="2161" w:type="dxa"/>
            <w:tcBorders>
              <w:top w:val="nil"/>
              <w:left w:val="nil"/>
              <w:bottom w:val="nil"/>
              <w:right w:val="nil"/>
            </w:tcBorders>
            <w:shd w:val="clear" w:color="auto" w:fill="auto"/>
            <w:noWrap/>
            <w:vAlign w:val="bottom"/>
            <w:hideMark/>
          </w:tcPr>
          <w:p w14:paraId="3C6DB76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0.573</w:t>
            </w:r>
          </w:p>
        </w:tc>
        <w:tc>
          <w:tcPr>
            <w:tcW w:w="1690" w:type="dxa"/>
            <w:tcBorders>
              <w:top w:val="nil"/>
              <w:left w:val="nil"/>
              <w:bottom w:val="nil"/>
              <w:right w:val="nil"/>
            </w:tcBorders>
            <w:shd w:val="clear" w:color="auto" w:fill="auto"/>
            <w:noWrap/>
            <w:vAlign w:val="bottom"/>
            <w:hideMark/>
          </w:tcPr>
          <w:p w14:paraId="5822BBA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0.536</w:t>
            </w:r>
          </w:p>
        </w:tc>
        <w:tc>
          <w:tcPr>
            <w:tcW w:w="1690" w:type="dxa"/>
            <w:tcBorders>
              <w:top w:val="nil"/>
              <w:left w:val="nil"/>
              <w:bottom w:val="nil"/>
              <w:right w:val="nil"/>
            </w:tcBorders>
            <w:shd w:val="clear" w:color="auto" w:fill="auto"/>
            <w:noWrap/>
            <w:vAlign w:val="bottom"/>
            <w:hideMark/>
          </w:tcPr>
          <w:p w14:paraId="47867E9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0.509</w:t>
            </w:r>
          </w:p>
        </w:tc>
        <w:tc>
          <w:tcPr>
            <w:tcW w:w="1690" w:type="dxa"/>
            <w:tcBorders>
              <w:top w:val="nil"/>
              <w:left w:val="nil"/>
              <w:bottom w:val="nil"/>
              <w:right w:val="nil"/>
            </w:tcBorders>
            <w:shd w:val="clear" w:color="auto" w:fill="auto"/>
            <w:noWrap/>
            <w:vAlign w:val="bottom"/>
            <w:hideMark/>
          </w:tcPr>
          <w:p w14:paraId="0DB431A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0.491</w:t>
            </w:r>
          </w:p>
        </w:tc>
        <w:tc>
          <w:tcPr>
            <w:tcW w:w="1456" w:type="dxa"/>
            <w:tcBorders>
              <w:top w:val="nil"/>
              <w:left w:val="nil"/>
              <w:bottom w:val="nil"/>
              <w:right w:val="nil"/>
            </w:tcBorders>
            <w:shd w:val="clear" w:color="auto" w:fill="auto"/>
            <w:noWrap/>
            <w:vAlign w:val="bottom"/>
            <w:hideMark/>
          </w:tcPr>
          <w:p w14:paraId="54E21E6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0.487</w:t>
            </w:r>
          </w:p>
        </w:tc>
        <w:tc>
          <w:tcPr>
            <w:tcW w:w="976" w:type="dxa"/>
            <w:tcBorders>
              <w:top w:val="nil"/>
              <w:left w:val="nil"/>
              <w:bottom w:val="nil"/>
              <w:right w:val="nil"/>
            </w:tcBorders>
            <w:shd w:val="clear" w:color="auto" w:fill="auto"/>
            <w:noWrap/>
            <w:vAlign w:val="bottom"/>
            <w:hideMark/>
          </w:tcPr>
          <w:p w14:paraId="01B6030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-0.086</w:t>
            </w:r>
          </w:p>
        </w:tc>
        <w:tc>
          <w:tcPr>
            <w:tcW w:w="1376" w:type="dxa"/>
            <w:tcBorders>
              <w:top w:val="nil"/>
              <w:left w:val="nil"/>
              <w:bottom w:val="nil"/>
              <w:right w:val="nil"/>
            </w:tcBorders>
            <w:shd w:val="clear" w:color="auto" w:fill="auto"/>
            <w:noWrap/>
            <w:vAlign w:val="bottom"/>
            <w:hideMark/>
          </w:tcPr>
          <w:p w14:paraId="3E9E1B2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5.79***</w:t>
            </w:r>
          </w:p>
        </w:tc>
      </w:tr>
      <w:tr w:rsidR="00272B18" w:rsidRPr="00AB729D" w14:paraId="7B3715A1" w14:textId="77777777" w:rsidTr="00741DF5">
        <w:trPr>
          <w:trHeight w:val="300"/>
        </w:trPr>
        <w:tc>
          <w:tcPr>
            <w:tcW w:w="2069" w:type="dxa"/>
            <w:tcBorders>
              <w:top w:val="nil"/>
              <w:left w:val="nil"/>
              <w:bottom w:val="nil"/>
              <w:right w:val="nil"/>
            </w:tcBorders>
            <w:shd w:val="clear" w:color="auto" w:fill="auto"/>
            <w:noWrap/>
            <w:vAlign w:val="bottom"/>
            <w:hideMark/>
          </w:tcPr>
          <w:p w14:paraId="5F762B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IOV High</w:t>
            </w:r>
          </w:p>
        </w:tc>
        <w:tc>
          <w:tcPr>
            <w:tcW w:w="236" w:type="dxa"/>
            <w:tcBorders>
              <w:top w:val="nil"/>
              <w:left w:val="nil"/>
              <w:bottom w:val="nil"/>
              <w:right w:val="nil"/>
            </w:tcBorders>
            <w:shd w:val="clear" w:color="auto" w:fill="auto"/>
            <w:noWrap/>
            <w:vAlign w:val="bottom"/>
            <w:hideMark/>
          </w:tcPr>
          <w:p w14:paraId="537F62A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w:t>
            </w:r>
          </w:p>
        </w:tc>
        <w:tc>
          <w:tcPr>
            <w:tcW w:w="2161" w:type="dxa"/>
            <w:tcBorders>
              <w:top w:val="nil"/>
              <w:left w:val="nil"/>
              <w:bottom w:val="nil"/>
              <w:right w:val="nil"/>
            </w:tcBorders>
            <w:shd w:val="clear" w:color="auto" w:fill="auto"/>
            <w:noWrap/>
            <w:vAlign w:val="bottom"/>
            <w:hideMark/>
          </w:tcPr>
          <w:p w14:paraId="58F8BF2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0.594</w:t>
            </w:r>
          </w:p>
        </w:tc>
        <w:tc>
          <w:tcPr>
            <w:tcW w:w="1690" w:type="dxa"/>
            <w:tcBorders>
              <w:top w:val="nil"/>
              <w:left w:val="nil"/>
              <w:bottom w:val="nil"/>
              <w:right w:val="nil"/>
            </w:tcBorders>
            <w:shd w:val="clear" w:color="auto" w:fill="auto"/>
            <w:noWrap/>
            <w:vAlign w:val="bottom"/>
            <w:hideMark/>
          </w:tcPr>
          <w:p w14:paraId="59C9A86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0.571</w:t>
            </w:r>
          </w:p>
        </w:tc>
        <w:tc>
          <w:tcPr>
            <w:tcW w:w="1690" w:type="dxa"/>
            <w:tcBorders>
              <w:top w:val="nil"/>
              <w:left w:val="nil"/>
              <w:bottom w:val="nil"/>
              <w:right w:val="nil"/>
            </w:tcBorders>
            <w:shd w:val="clear" w:color="auto" w:fill="auto"/>
            <w:noWrap/>
            <w:vAlign w:val="bottom"/>
            <w:hideMark/>
          </w:tcPr>
          <w:p w14:paraId="284F9AC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0.541</w:t>
            </w:r>
          </w:p>
        </w:tc>
        <w:tc>
          <w:tcPr>
            <w:tcW w:w="1690" w:type="dxa"/>
            <w:tcBorders>
              <w:top w:val="nil"/>
              <w:left w:val="nil"/>
              <w:bottom w:val="nil"/>
              <w:right w:val="nil"/>
            </w:tcBorders>
            <w:shd w:val="clear" w:color="auto" w:fill="auto"/>
            <w:noWrap/>
            <w:vAlign w:val="bottom"/>
            <w:hideMark/>
          </w:tcPr>
          <w:p w14:paraId="10F229E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0.537</w:t>
            </w:r>
          </w:p>
        </w:tc>
        <w:tc>
          <w:tcPr>
            <w:tcW w:w="1456" w:type="dxa"/>
            <w:tcBorders>
              <w:top w:val="nil"/>
              <w:left w:val="nil"/>
              <w:bottom w:val="nil"/>
              <w:right w:val="nil"/>
            </w:tcBorders>
            <w:shd w:val="clear" w:color="auto" w:fill="auto"/>
            <w:noWrap/>
            <w:vAlign w:val="bottom"/>
            <w:hideMark/>
          </w:tcPr>
          <w:p w14:paraId="353D3ED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0.512</w:t>
            </w:r>
          </w:p>
        </w:tc>
        <w:tc>
          <w:tcPr>
            <w:tcW w:w="976" w:type="dxa"/>
            <w:tcBorders>
              <w:top w:val="nil"/>
              <w:left w:val="nil"/>
              <w:bottom w:val="nil"/>
              <w:right w:val="nil"/>
            </w:tcBorders>
            <w:shd w:val="clear" w:color="auto" w:fill="auto"/>
            <w:noWrap/>
            <w:vAlign w:val="bottom"/>
            <w:hideMark/>
          </w:tcPr>
          <w:p w14:paraId="09A03DA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-0.082</w:t>
            </w:r>
          </w:p>
        </w:tc>
        <w:tc>
          <w:tcPr>
            <w:tcW w:w="1376" w:type="dxa"/>
            <w:tcBorders>
              <w:top w:val="nil"/>
              <w:left w:val="nil"/>
              <w:bottom w:val="nil"/>
              <w:right w:val="nil"/>
            </w:tcBorders>
            <w:shd w:val="clear" w:color="auto" w:fill="auto"/>
            <w:noWrap/>
            <w:vAlign w:val="bottom"/>
            <w:hideMark/>
          </w:tcPr>
          <w:p w14:paraId="636A2C6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4.56***</w:t>
            </w:r>
          </w:p>
        </w:tc>
      </w:tr>
      <w:tr w:rsidR="00272B18" w:rsidRPr="00AB729D" w14:paraId="03E508B0" w14:textId="77777777" w:rsidTr="00741DF5">
        <w:trPr>
          <w:trHeight w:val="300"/>
        </w:trPr>
        <w:tc>
          <w:tcPr>
            <w:tcW w:w="2305" w:type="dxa"/>
            <w:gridSpan w:val="2"/>
            <w:tcBorders>
              <w:top w:val="nil"/>
              <w:left w:val="nil"/>
              <w:bottom w:val="single" w:sz="4" w:space="0" w:color="auto"/>
              <w:right w:val="nil"/>
            </w:tcBorders>
            <w:shd w:val="clear" w:color="auto" w:fill="auto"/>
            <w:noWrap/>
            <w:vAlign w:val="bottom"/>
            <w:hideMark/>
          </w:tcPr>
          <w:p w14:paraId="0B45BEFF" w14:textId="77777777" w:rsidR="00741DF5" w:rsidRPr="00AB729D" w:rsidRDefault="00741DF5" w:rsidP="00741DF5">
            <w:pPr>
              <w:spacing w:after="0" w:line="240" w:lineRule="auto"/>
              <w:jc w:val="right"/>
              <w:rPr>
                <w:rFonts w:ascii="Times New Roman" w:eastAsia="Times New Roman" w:hAnsi="Times New Roman"/>
              </w:rPr>
            </w:pPr>
            <w:r w:rsidRPr="00AB729D">
              <w:rPr>
                <w:rFonts w:ascii="Times New Roman" w:eastAsia="Times New Roman" w:hAnsi="Times New Roman"/>
              </w:rPr>
              <w:t>H-L</w:t>
            </w:r>
          </w:p>
        </w:tc>
        <w:tc>
          <w:tcPr>
            <w:tcW w:w="2161" w:type="dxa"/>
            <w:tcBorders>
              <w:top w:val="nil"/>
              <w:left w:val="nil"/>
              <w:bottom w:val="single" w:sz="4" w:space="0" w:color="auto"/>
              <w:right w:val="nil"/>
            </w:tcBorders>
            <w:shd w:val="clear" w:color="auto" w:fill="auto"/>
            <w:noWrap/>
            <w:vAlign w:val="bottom"/>
            <w:hideMark/>
          </w:tcPr>
          <w:p w14:paraId="0DBCF9B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0.000</w:t>
            </w:r>
          </w:p>
        </w:tc>
        <w:tc>
          <w:tcPr>
            <w:tcW w:w="1690" w:type="dxa"/>
            <w:tcBorders>
              <w:top w:val="nil"/>
              <w:left w:val="nil"/>
              <w:bottom w:val="single" w:sz="4" w:space="0" w:color="auto"/>
              <w:right w:val="nil"/>
            </w:tcBorders>
            <w:shd w:val="clear" w:color="auto" w:fill="auto"/>
            <w:noWrap/>
            <w:vAlign w:val="bottom"/>
            <w:hideMark/>
          </w:tcPr>
          <w:p w14:paraId="25C449A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0.078</w:t>
            </w:r>
          </w:p>
        </w:tc>
        <w:tc>
          <w:tcPr>
            <w:tcW w:w="1690" w:type="dxa"/>
            <w:tcBorders>
              <w:top w:val="nil"/>
              <w:left w:val="nil"/>
              <w:bottom w:val="single" w:sz="4" w:space="0" w:color="auto"/>
              <w:right w:val="nil"/>
            </w:tcBorders>
            <w:shd w:val="clear" w:color="auto" w:fill="auto"/>
            <w:noWrap/>
            <w:vAlign w:val="bottom"/>
            <w:hideMark/>
          </w:tcPr>
          <w:p w14:paraId="764A6EA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0.080</w:t>
            </w:r>
          </w:p>
        </w:tc>
        <w:tc>
          <w:tcPr>
            <w:tcW w:w="1690" w:type="dxa"/>
            <w:tcBorders>
              <w:top w:val="nil"/>
              <w:left w:val="nil"/>
              <w:bottom w:val="single" w:sz="4" w:space="0" w:color="auto"/>
              <w:right w:val="nil"/>
            </w:tcBorders>
            <w:shd w:val="clear" w:color="auto" w:fill="auto"/>
            <w:noWrap/>
            <w:vAlign w:val="bottom"/>
            <w:hideMark/>
          </w:tcPr>
          <w:p w14:paraId="2083AE1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0.122</w:t>
            </w:r>
          </w:p>
        </w:tc>
        <w:tc>
          <w:tcPr>
            <w:tcW w:w="1456" w:type="dxa"/>
            <w:tcBorders>
              <w:top w:val="nil"/>
              <w:left w:val="nil"/>
              <w:bottom w:val="single" w:sz="4" w:space="0" w:color="auto"/>
              <w:right w:val="nil"/>
            </w:tcBorders>
            <w:shd w:val="clear" w:color="auto" w:fill="auto"/>
            <w:noWrap/>
            <w:vAlign w:val="bottom"/>
            <w:hideMark/>
          </w:tcPr>
          <w:p w14:paraId="76BBB09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0.119</w:t>
            </w:r>
          </w:p>
        </w:tc>
        <w:tc>
          <w:tcPr>
            <w:tcW w:w="976" w:type="dxa"/>
            <w:tcBorders>
              <w:top w:val="nil"/>
              <w:left w:val="nil"/>
              <w:bottom w:val="nil"/>
              <w:right w:val="nil"/>
            </w:tcBorders>
            <w:shd w:val="clear" w:color="auto" w:fill="auto"/>
            <w:noWrap/>
            <w:vAlign w:val="bottom"/>
            <w:hideMark/>
          </w:tcPr>
          <w:p w14:paraId="1972FFE1" w14:textId="77777777" w:rsidR="00741DF5" w:rsidRPr="00AB729D" w:rsidRDefault="00741DF5" w:rsidP="00741DF5">
            <w:pPr>
              <w:spacing w:after="0" w:line="240" w:lineRule="auto"/>
              <w:jc w:val="center"/>
              <w:rPr>
                <w:rFonts w:ascii="Times New Roman" w:eastAsia="Times New Roman" w:hAnsi="Times New Roman"/>
              </w:rPr>
            </w:pPr>
          </w:p>
        </w:tc>
        <w:tc>
          <w:tcPr>
            <w:tcW w:w="1376" w:type="dxa"/>
            <w:tcBorders>
              <w:top w:val="nil"/>
              <w:left w:val="nil"/>
              <w:bottom w:val="nil"/>
              <w:right w:val="nil"/>
            </w:tcBorders>
            <w:shd w:val="clear" w:color="auto" w:fill="auto"/>
            <w:noWrap/>
            <w:vAlign w:val="bottom"/>
            <w:hideMark/>
          </w:tcPr>
          <w:p w14:paraId="6BCF1EFF"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57674651" w14:textId="77777777" w:rsidTr="00741DF5">
        <w:trPr>
          <w:trHeight w:val="285"/>
        </w:trPr>
        <w:tc>
          <w:tcPr>
            <w:tcW w:w="2069" w:type="dxa"/>
            <w:tcBorders>
              <w:top w:val="nil"/>
              <w:left w:val="nil"/>
              <w:bottom w:val="single" w:sz="4" w:space="0" w:color="auto"/>
              <w:right w:val="nil"/>
            </w:tcBorders>
            <w:shd w:val="clear" w:color="auto" w:fill="auto"/>
            <w:noWrap/>
            <w:vAlign w:val="bottom"/>
            <w:hideMark/>
          </w:tcPr>
          <w:p w14:paraId="048AF8B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T-statistics</w:t>
            </w:r>
          </w:p>
        </w:tc>
        <w:tc>
          <w:tcPr>
            <w:tcW w:w="236" w:type="dxa"/>
            <w:tcBorders>
              <w:top w:val="nil"/>
              <w:left w:val="nil"/>
              <w:bottom w:val="single" w:sz="4" w:space="0" w:color="auto"/>
              <w:right w:val="nil"/>
            </w:tcBorders>
            <w:shd w:val="clear" w:color="auto" w:fill="auto"/>
            <w:noWrap/>
            <w:vAlign w:val="bottom"/>
            <w:hideMark/>
          </w:tcPr>
          <w:p w14:paraId="627467D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2161" w:type="dxa"/>
            <w:tcBorders>
              <w:top w:val="nil"/>
              <w:left w:val="nil"/>
              <w:bottom w:val="single" w:sz="4" w:space="0" w:color="auto"/>
              <w:right w:val="nil"/>
            </w:tcBorders>
            <w:shd w:val="clear" w:color="auto" w:fill="auto"/>
            <w:noWrap/>
            <w:vAlign w:val="bottom"/>
            <w:hideMark/>
          </w:tcPr>
          <w:p w14:paraId="26C0510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w:t>
            </w:r>
          </w:p>
        </w:tc>
        <w:tc>
          <w:tcPr>
            <w:tcW w:w="1690" w:type="dxa"/>
            <w:tcBorders>
              <w:top w:val="nil"/>
              <w:left w:val="nil"/>
              <w:bottom w:val="single" w:sz="4" w:space="0" w:color="auto"/>
              <w:right w:val="nil"/>
            </w:tcBorders>
            <w:shd w:val="clear" w:color="auto" w:fill="auto"/>
            <w:noWrap/>
            <w:vAlign w:val="bottom"/>
            <w:hideMark/>
          </w:tcPr>
          <w:p w14:paraId="3AF1AD5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-6.49***</w:t>
            </w:r>
          </w:p>
        </w:tc>
        <w:tc>
          <w:tcPr>
            <w:tcW w:w="1690" w:type="dxa"/>
            <w:tcBorders>
              <w:top w:val="nil"/>
              <w:left w:val="nil"/>
              <w:bottom w:val="single" w:sz="4" w:space="0" w:color="auto"/>
              <w:right w:val="nil"/>
            </w:tcBorders>
            <w:shd w:val="clear" w:color="auto" w:fill="auto"/>
            <w:noWrap/>
            <w:vAlign w:val="bottom"/>
            <w:hideMark/>
          </w:tcPr>
          <w:p w14:paraId="6494ECF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-6.22***</w:t>
            </w:r>
          </w:p>
        </w:tc>
        <w:tc>
          <w:tcPr>
            <w:tcW w:w="1690" w:type="dxa"/>
            <w:tcBorders>
              <w:top w:val="nil"/>
              <w:left w:val="nil"/>
              <w:bottom w:val="single" w:sz="4" w:space="0" w:color="auto"/>
              <w:right w:val="nil"/>
            </w:tcBorders>
            <w:shd w:val="clear" w:color="auto" w:fill="auto"/>
            <w:noWrap/>
            <w:vAlign w:val="bottom"/>
            <w:hideMark/>
          </w:tcPr>
          <w:p w14:paraId="4053258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-9.11***</w:t>
            </w:r>
          </w:p>
        </w:tc>
        <w:tc>
          <w:tcPr>
            <w:tcW w:w="1456" w:type="dxa"/>
            <w:tcBorders>
              <w:top w:val="nil"/>
              <w:left w:val="nil"/>
              <w:bottom w:val="single" w:sz="4" w:space="0" w:color="auto"/>
              <w:right w:val="nil"/>
            </w:tcBorders>
            <w:shd w:val="clear" w:color="auto" w:fill="auto"/>
            <w:noWrap/>
            <w:vAlign w:val="bottom"/>
            <w:hideMark/>
          </w:tcPr>
          <w:p w14:paraId="50D2B00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-8.99***</w:t>
            </w:r>
          </w:p>
        </w:tc>
        <w:tc>
          <w:tcPr>
            <w:tcW w:w="976" w:type="dxa"/>
            <w:tcBorders>
              <w:top w:val="single" w:sz="4" w:space="0" w:color="auto"/>
              <w:left w:val="nil"/>
              <w:bottom w:val="single" w:sz="4" w:space="0" w:color="auto"/>
              <w:right w:val="nil"/>
            </w:tcBorders>
            <w:shd w:val="clear" w:color="auto" w:fill="auto"/>
            <w:noWrap/>
            <w:vAlign w:val="bottom"/>
            <w:hideMark/>
          </w:tcPr>
          <w:p w14:paraId="3DB831D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376" w:type="dxa"/>
            <w:tcBorders>
              <w:top w:val="single" w:sz="4" w:space="0" w:color="auto"/>
              <w:left w:val="nil"/>
              <w:bottom w:val="single" w:sz="4" w:space="0" w:color="auto"/>
              <w:right w:val="nil"/>
            </w:tcBorders>
            <w:shd w:val="clear" w:color="auto" w:fill="auto"/>
            <w:noWrap/>
            <w:vAlign w:val="bottom"/>
            <w:hideMark/>
          </w:tcPr>
          <w:p w14:paraId="5E5E015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r>
      <w:tr w:rsidR="00272B18" w:rsidRPr="00AB729D" w14:paraId="22BA7E1A" w14:textId="77777777" w:rsidTr="00741DF5">
        <w:trPr>
          <w:trHeight w:val="315"/>
        </w:trPr>
        <w:tc>
          <w:tcPr>
            <w:tcW w:w="2069" w:type="dxa"/>
            <w:tcBorders>
              <w:top w:val="nil"/>
              <w:left w:val="nil"/>
              <w:bottom w:val="nil"/>
              <w:right w:val="nil"/>
            </w:tcBorders>
            <w:shd w:val="clear" w:color="auto" w:fill="auto"/>
            <w:noWrap/>
            <w:vAlign w:val="bottom"/>
            <w:hideMark/>
          </w:tcPr>
          <w:p w14:paraId="30018318" w14:textId="77777777" w:rsidR="00741DF5" w:rsidRPr="00AB729D" w:rsidRDefault="00741DF5" w:rsidP="00741DF5">
            <w:pPr>
              <w:spacing w:after="0" w:line="240" w:lineRule="auto"/>
              <w:jc w:val="center"/>
              <w:rPr>
                <w:rFonts w:ascii="Times New Roman" w:eastAsia="Times New Roman" w:hAnsi="Times New Roman"/>
              </w:rPr>
            </w:pPr>
          </w:p>
        </w:tc>
        <w:tc>
          <w:tcPr>
            <w:tcW w:w="236" w:type="dxa"/>
            <w:tcBorders>
              <w:top w:val="nil"/>
              <w:left w:val="nil"/>
              <w:bottom w:val="nil"/>
              <w:right w:val="nil"/>
            </w:tcBorders>
            <w:shd w:val="clear" w:color="auto" w:fill="auto"/>
            <w:noWrap/>
            <w:vAlign w:val="bottom"/>
            <w:hideMark/>
          </w:tcPr>
          <w:p w14:paraId="450EF840" w14:textId="77777777" w:rsidR="00741DF5" w:rsidRPr="00AB729D" w:rsidRDefault="00741DF5" w:rsidP="00741DF5">
            <w:pPr>
              <w:spacing w:after="0" w:line="240" w:lineRule="auto"/>
              <w:rPr>
                <w:rFonts w:ascii="Times New Roman" w:eastAsia="Times New Roman" w:hAnsi="Times New Roman"/>
                <w:sz w:val="20"/>
                <w:szCs w:val="20"/>
              </w:rPr>
            </w:pPr>
          </w:p>
        </w:tc>
        <w:tc>
          <w:tcPr>
            <w:tcW w:w="2161" w:type="dxa"/>
            <w:tcBorders>
              <w:top w:val="nil"/>
              <w:left w:val="nil"/>
              <w:bottom w:val="nil"/>
              <w:right w:val="nil"/>
            </w:tcBorders>
            <w:shd w:val="clear" w:color="auto" w:fill="auto"/>
            <w:noWrap/>
            <w:vAlign w:val="bottom"/>
            <w:hideMark/>
          </w:tcPr>
          <w:p w14:paraId="6A56827E" w14:textId="77777777" w:rsidR="00741DF5" w:rsidRPr="00AB729D" w:rsidRDefault="00741DF5" w:rsidP="00741DF5">
            <w:pPr>
              <w:spacing w:after="0" w:line="240" w:lineRule="auto"/>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13D91469" w14:textId="77777777" w:rsidR="00741DF5" w:rsidRPr="00AB729D" w:rsidRDefault="00741DF5" w:rsidP="00741DF5">
            <w:pPr>
              <w:spacing w:after="0" w:line="240" w:lineRule="auto"/>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09F0C48F" w14:textId="77777777" w:rsidR="00741DF5" w:rsidRPr="00AB729D" w:rsidRDefault="00741DF5" w:rsidP="00741DF5">
            <w:pPr>
              <w:spacing w:after="0" w:line="240" w:lineRule="auto"/>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74B14F34" w14:textId="77777777" w:rsidR="00741DF5" w:rsidRPr="00AB729D" w:rsidRDefault="00741DF5" w:rsidP="00741DF5">
            <w:pPr>
              <w:spacing w:after="0" w:line="240" w:lineRule="auto"/>
              <w:rPr>
                <w:rFonts w:ascii="Times New Roman" w:eastAsia="Times New Roman" w:hAnsi="Times New Roman"/>
                <w:sz w:val="20"/>
                <w:szCs w:val="20"/>
              </w:rPr>
            </w:pPr>
          </w:p>
        </w:tc>
        <w:tc>
          <w:tcPr>
            <w:tcW w:w="1456" w:type="dxa"/>
            <w:tcBorders>
              <w:top w:val="nil"/>
              <w:left w:val="nil"/>
              <w:bottom w:val="nil"/>
              <w:right w:val="nil"/>
            </w:tcBorders>
            <w:shd w:val="clear" w:color="auto" w:fill="auto"/>
            <w:noWrap/>
            <w:vAlign w:val="bottom"/>
            <w:hideMark/>
          </w:tcPr>
          <w:p w14:paraId="51387301"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7DA0C39A" w14:textId="77777777" w:rsidR="00741DF5" w:rsidRPr="00AB729D" w:rsidRDefault="00741DF5" w:rsidP="00741DF5">
            <w:pPr>
              <w:spacing w:after="0" w:line="240" w:lineRule="auto"/>
              <w:rPr>
                <w:rFonts w:ascii="Times New Roman" w:eastAsia="Times New Roman" w:hAnsi="Times New Roman"/>
                <w:sz w:val="20"/>
                <w:szCs w:val="20"/>
              </w:rPr>
            </w:pPr>
          </w:p>
        </w:tc>
        <w:tc>
          <w:tcPr>
            <w:tcW w:w="1376" w:type="dxa"/>
            <w:tcBorders>
              <w:top w:val="nil"/>
              <w:left w:val="nil"/>
              <w:bottom w:val="nil"/>
              <w:right w:val="nil"/>
            </w:tcBorders>
            <w:shd w:val="clear" w:color="auto" w:fill="auto"/>
            <w:noWrap/>
            <w:vAlign w:val="bottom"/>
            <w:hideMark/>
          </w:tcPr>
          <w:p w14:paraId="1B7CEDC6"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0A0E564B" w14:textId="77777777" w:rsidTr="00741DF5">
        <w:trPr>
          <w:trHeight w:val="315"/>
        </w:trPr>
        <w:tc>
          <w:tcPr>
            <w:tcW w:w="7846" w:type="dxa"/>
            <w:gridSpan w:val="5"/>
            <w:tcBorders>
              <w:top w:val="nil"/>
              <w:left w:val="nil"/>
              <w:bottom w:val="nil"/>
              <w:right w:val="nil"/>
            </w:tcBorders>
            <w:shd w:val="clear" w:color="auto" w:fill="auto"/>
            <w:noWrap/>
            <w:vAlign w:val="bottom"/>
            <w:hideMark/>
          </w:tcPr>
          <w:p w14:paraId="6784759F" w14:textId="77777777" w:rsidR="00741DF5" w:rsidRPr="00AB729D" w:rsidRDefault="00741DF5" w:rsidP="00741DF5">
            <w:pPr>
              <w:spacing w:after="0" w:line="240" w:lineRule="auto"/>
              <w:rPr>
                <w:rFonts w:ascii="Times New Roman" w:eastAsia="Times New Roman" w:hAnsi="Times New Roman"/>
                <w:b/>
                <w:bCs/>
              </w:rPr>
            </w:pPr>
            <w:r w:rsidRPr="00AB729D">
              <w:rPr>
                <w:rFonts w:ascii="Times New Roman" w:eastAsia="Times New Roman" w:hAnsi="Times New Roman"/>
                <w:b/>
                <w:bCs/>
              </w:rPr>
              <w:t>Panel B -  EXVIA Sorted by Institutional Ownership Proportion and Stability</w:t>
            </w:r>
          </w:p>
        </w:tc>
        <w:tc>
          <w:tcPr>
            <w:tcW w:w="1690" w:type="dxa"/>
            <w:tcBorders>
              <w:top w:val="nil"/>
              <w:left w:val="nil"/>
              <w:bottom w:val="nil"/>
              <w:right w:val="nil"/>
            </w:tcBorders>
            <w:shd w:val="clear" w:color="auto" w:fill="auto"/>
            <w:noWrap/>
            <w:vAlign w:val="bottom"/>
            <w:hideMark/>
          </w:tcPr>
          <w:p w14:paraId="5FA14E38" w14:textId="77777777" w:rsidR="00741DF5" w:rsidRPr="00AB729D" w:rsidRDefault="00741DF5" w:rsidP="00741DF5">
            <w:pPr>
              <w:spacing w:after="0" w:line="240" w:lineRule="auto"/>
              <w:rPr>
                <w:rFonts w:ascii="Times New Roman" w:eastAsia="Times New Roman" w:hAnsi="Times New Roman"/>
                <w:b/>
                <w:bCs/>
              </w:rPr>
            </w:pPr>
          </w:p>
        </w:tc>
        <w:tc>
          <w:tcPr>
            <w:tcW w:w="1456" w:type="dxa"/>
            <w:tcBorders>
              <w:top w:val="nil"/>
              <w:left w:val="nil"/>
              <w:bottom w:val="nil"/>
              <w:right w:val="nil"/>
            </w:tcBorders>
            <w:shd w:val="clear" w:color="auto" w:fill="auto"/>
            <w:noWrap/>
            <w:vAlign w:val="bottom"/>
            <w:hideMark/>
          </w:tcPr>
          <w:p w14:paraId="4A42A50B" w14:textId="77777777" w:rsidR="00741DF5" w:rsidRPr="00AB729D" w:rsidRDefault="00741DF5" w:rsidP="00741DF5">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79C263A5" w14:textId="77777777" w:rsidR="00741DF5" w:rsidRPr="00AB729D" w:rsidRDefault="00741DF5" w:rsidP="00741DF5">
            <w:pPr>
              <w:spacing w:after="0" w:line="240" w:lineRule="auto"/>
              <w:rPr>
                <w:rFonts w:ascii="Times New Roman" w:eastAsia="Times New Roman" w:hAnsi="Times New Roman"/>
                <w:sz w:val="20"/>
                <w:szCs w:val="20"/>
              </w:rPr>
            </w:pPr>
          </w:p>
        </w:tc>
        <w:tc>
          <w:tcPr>
            <w:tcW w:w="1376" w:type="dxa"/>
            <w:tcBorders>
              <w:top w:val="nil"/>
              <w:left w:val="nil"/>
              <w:bottom w:val="nil"/>
              <w:right w:val="nil"/>
            </w:tcBorders>
            <w:shd w:val="clear" w:color="auto" w:fill="auto"/>
            <w:noWrap/>
            <w:vAlign w:val="bottom"/>
            <w:hideMark/>
          </w:tcPr>
          <w:p w14:paraId="3175AA2D"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73C67E4C" w14:textId="77777777" w:rsidTr="00741DF5">
        <w:trPr>
          <w:trHeight w:val="300"/>
        </w:trPr>
        <w:tc>
          <w:tcPr>
            <w:tcW w:w="2069" w:type="dxa"/>
            <w:tcBorders>
              <w:top w:val="nil"/>
              <w:left w:val="nil"/>
              <w:bottom w:val="nil"/>
              <w:right w:val="nil"/>
            </w:tcBorders>
            <w:shd w:val="clear" w:color="auto" w:fill="auto"/>
            <w:noWrap/>
            <w:vAlign w:val="bottom"/>
            <w:hideMark/>
          </w:tcPr>
          <w:p w14:paraId="63113BD5" w14:textId="77777777" w:rsidR="00741DF5" w:rsidRPr="00AB729D" w:rsidRDefault="00741DF5" w:rsidP="00741DF5">
            <w:pPr>
              <w:spacing w:after="0" w:line="240" w:lineRule="auto"/>
              <w:rPr>
                <w:rFonts w:ascii="Times New Roman" w:eastAsia="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27314A40" w14:textId="77777777" w:rsidR="00741DF5" w:rsidRPr="00AB729D" w:rsidRDefault="00741DF5" w:rsidP="00741DF5">
            <w:pPr>
              <w:spacing w:after="0" w:line="240" w:lineRule="auto"/>
              <w:rPr>
                <w:rFonts w:ascii="Times New Roman" w:eastAsia="Times New Roman" w:hAnsi="Times New Roman"/>
                <w:sz w:val="20"/>
                <w:szCs w:val="20"/>
              </w:rPr>
            </w:pPr>
          </w:p>
        </w:tc>
        <w:tc>
          <w:tcPr>
            <w:tcW w:w="2161" w:type="dxa"/>
            <w:tcBorders>
              <w:top w:val="nil"/>
              <w:left w:val="nil"/>
              <w:bottom w:val="nil"/>
              <w:right w:val="nil"/>
            </w:tcBorders>
            <w:shd w:val="clear" w:color="auto" w:fill="auto"/>
            <w:noWrap/>
            <w:vAlign w:val="bottom"/>
            <w:hideMark/>
          </w:tcPr>
          <w:p w14:paraId="28FA33F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21A980B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7EBB1C4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6B39CEE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456" w:type="dxa"/>
            <w:tcBorders>
              <w:top w:val="nil"/>
              <w:left w:val="nil"/>
              <w:bottom w:val="nil"/>
              <w:right w:val="nil"/>
            </w:tcBorders>
            <w:shd w:val="clear" w:color="auto" w:fill="auto"/>
            <w:noWrap/>
            <w:vAlign w:val="bottom"/>
            <w:hideMark/>
          </w:tcPr>
          <w:p w14:paraId="23C3436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4FE2F1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376" w:type="dxa"/>
            <w:tcBorders>
              <w:top w:val="nil"/>
              <w:left w:val="nil"/>
              <w:bottom w:val="nil"/>
              <w:right w:val="nil"/>
            </w:tcBorders>
            <w:shd w:val="clear" w:color="auto" w:fill="auto"/>
            <w:noWrap/>
            <w:vAlign w:val="bottom"/>
            <w:hideMark/>
          </w:tcPr>
          <w:p w14:paraId="76609F26"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4A4FD7B8" w14:textId="77777777" w:rsidTr="00741DF5">
        <w:trPr>
          <w:trHeight w:val="300"/>
        </w:trPr>
        <w:tc>
          <w:tcPr>
            <w:tcW w:w="2069" w:type="dxa"/>
            <w:tcBorders>
              <w:top w:val="nil"/>
              <w:left w:val="nil"/>
              <w:bottom w:val="nil"/>
              <w:right w:val="nil"/>
            </w:tcBorders>
            <w:shd w:val="clear" w:color="auto" w:fill="auto"/>
            <w:noWrap/>
            <w:vAlign w:val="bottom"/>
            <w:hideMark/>
          </w:tcPr>
          <w:p w14:paraId="20E80F7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01A50FD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161" w:type="dxa"/>
            <w:tcBorders>
              <w:top w:val="nil"/>
              <w:left w:val="nil"/>
              <w:bottom w:val="single" w:sz="4" w:space="0" w:color="auto"/>
              <w:right w:val="nil"/>
            </w:tcBorders>
            <w:shd w:val="clear" w:color="auto" w:fill="auto"/>
            <w:noWrap/>
            <w:vAlign w:val="bottom"/>
            <w:hideMark/>
          </w:tcPr>
          <w:p w14:paraId="345D378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PROP Low</w:t>
            </w:r>
          </w:p>
        </w:tc>
        <w:tc>
          <w:tcPr>
            <w:tcW w:w="1690" w:type="dxa"/>
            <w:tcBorders>
              <w:top w:val="nil"/>
              <w:left w:val="nil"/>
              <w:bottom w:val="single" w:sz="4" w:space="0" w:color="auto"/>
              <w:right w:val="nil"/>
            </w:tcBorders>
            <w:shd w:val="clear" w:color="auto" w:fill="auto"/>
            <w:noWrap/>
            <w:vAlign w:val="bottom"/>
            <w:hideMark/>
          </w:tcPr>
          <w:p w14:paraId="7728AF2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690" w:type="dxa"/>
            <w:tcBorders>
              <w:top w:val="nil"/>
              <w:left w:val="nil"/>
              <w:bottom w:val="single" w:sz="4" w:space="0" w:color="auto"/>
              <w:right w:val="nil"/>
            </w:tcBorders>
            <w:shd w:val="clear" w:color="auto" w:fill="auto"/>
            <w:noWrap/>
            <w:vAlign w:val="bottom"/>
            <w:hideMark/>
          </w:tcPr>
          <w:p w14:paraId="6ED55B5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690" w:type="dxa"/>
            <w:tcBorders>
              <w:top w:val="nil"/>
              <w:left w:val="nil"/>
              <w:bottom w:val="single" w:sz="4" w:space="0" w:color="auto"/>
              <w:right w:val="nil"/>
            </w:tcBorders>
            <w:shd w:val="clear" w:color="auto" w:fill="auto"/>
            <w:noWrap/>
            <w:vAlign w:val="bottom"/>
            <w:hideMark/>
          </w:tcPr>
          <w:p w14:paraId="0A1D7F0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456" w:type="dxa"/>
            <w:tcBorders>
              <w:top w:val="nil"/>
              <w:left w:val="nil"/>
              <w:bottom w:val="single" w:sz="4" w:space="0" w:color="auto"/>
              <w:right w:val="nil"/>
            </w:tcBorders>
            <w:shd w:val="clear" w:color="auto" w:fill="auto"/>
            <w:noWrap/>
            <w:vAlign w:val="bottom"/>
            <w:hideMark/>
          </w:tcPr>
          <w:p w14:paraId="28A0185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PROP High</w:t>
            </w:r>
          </w:p>
        </w:tc>
        <w:tc>
          <w:tcPr>
            <w:tcW w:w="976" w:type="dxa"/>
            <w:tcBorders>
              <w:top w:val="nil"/>
              <w:left w:val="nil"/>
              <w:bottom w:val="single" w:sz="4" w:space="0" w:color="auto"/>
              <w:right w:val="nil"/>
            </w:tcBorders>
            <w:shd w:val="clear" w:color="auto" w:fill="auto"/>
            <w:noWrap/>
            <w:vAlign w:val="bottom"/>
            <w:hideMark/>
          </w:tcPr>
          <w:p w14:paraId="20D1F2A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376" w:type="dxa"/>
            <w:tcBorders>
              <w:top w:val="nil"/>
              <w:left w:val="nil"/>
              <w:bottom w:val="single" w:sz="4" w:space="0" w:color="auto"/>
              <w:right w:val="nil"/>
            </w:tcBorders>
            <w:shd w:val="clear" w:color="auto" w:fill="auto"/>
            <w:noWrap/>
            <w:vAlign w:val="bottom"/>
            <w:hideMark/>
          </w:tcPr>
          <w:p w14:paraId="3155F97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r>
      <w:tr w:rsidR="00272B18" w:rsidRPr="00AB729D" w14:paraId="3F2B3CCF" w14:textId="77777777" w:rsidTr="00741DF5">
        <w:trPr>
          <w:trHeight w:val="300"/>
        </w:trPr>
        <w:tc>
          <w:tcPr>
            <w:tcW w:w="2069" w:type="dxa"/>
            <w:tcBorders>
              <w:top w:val="nil"/>
              <w:left w:val="nil"/>
              <w:bottom w:val="single" w:sz="4" w:space="0" w:color="auto"/>
              <w:right w:val="nil"/>
            </w:tcBorders>
            <w:shd w:val="clear" w:color="auto" w:fill="auto"/>
            <w:noWrap/>
            <w:vAlign w:val="bottom"/>
            <w:hideMark/>
          </w:tcPr>
          <w:p w14:paraId="74137BF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236" w:type="dxa"/>
            <w:tcBorders>
              <w:top w:val="nil"/>
              <w:left w:val="nil"/>
              <w:bottom w:val="single" w:sz="4" w:space="0" w:color="auto"/>
              <w:right w:val="nil"/>
            </w:tcBorders>
            <w:shd w:val="clear" w:color="auto" w:fill="auto"/>
            <w:noWrap/>
            <w:vAlign w:val="bottom"/>
            <w:hideMark/>
          </w:tcPr>
          <w:p w14:paraId="2A88AA6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2161" w:type="dxa"/>
            <w:tcBorders>
              <w:top w:val="nil"/>
              <w:left w:val="nil"/>
              <w:bottom w:val="single" w:sz="4" w:space="0" w:color="auto"/>
              <w:right w:val="nil"/>
            </w:tcBorders>
            <w:shd w:val="clear" w:color="auto" w:fill="auto"/>
            <w:noWrap/>
            <w:vAlign w:val="bottom"/>
            <w:hideMark/>
          </w:tcPr>
          <w:p w14:paraId="57FEC17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1690" w:type="dxa"/>
            <w:tcBorders>
              <w:top w:val="nil"/>
              <w:left w:val="nil"/>
              <w:bottom w:val="single" w:sz="4" w:space="0" w:color="auto"/>
              <w:right w:val="nil"/>
            </w:tcBorders>
            <w:shd w:val="clear" w:color="auto" w:fill="auto"/>
            <w:noWrap/>
            <w:vAlign w:val="bottom"/>
            <w:hideMark/>
          </w:tcPr>
          <w:p w14:paraId="63517A2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w:t>
            </w:r>
          </w:p>
        </w:tc>
        <w:tc>
          <w:tcPr>
            <w:tcW w:w="1690" w:type="dxa"/>
            <w:tcBorders>
              <w:top w:val="nil"/>
              <w:left w:val="nil"/>
              <w:bottom w:val="single" w:sz="4" w:space="0" w:color="auto"/>
              <w:right w:val="nil"/>
            </w:tcBorders>
            <w:shd w:val="clear" w:color="auto" w:fill="auto"/>
            <w:noWrap/>
            <w:vAlign w:val="bottom"/>
            <w:hideMark/>
          </w:tcPr>
          <w:p w14:paraId="47C713C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w:t>
            </w:r>
          </w:p>
        </w:tc>
        <w:tc>
          <w:tcPr>
            <w:tcW w:w="1690" w:type="dxa"/>
            <w:tcBorders>
              <w:top w:val="nil"/>
              <w:left w:val="nil"/>
              <w:bottom w:val="single" w:sz="4" w:space="0" w:color="auto"/>
              <w:right w:val="nil"/>
            </w:tcBorders>
            <w:shd w:val="clear" w:color="auto" w:fill="auto"/>
            <w:noWrap/>
            <w:vAlign w:val="bottom"/>
            <w:hideMark/>
          </w:tcPr>
          <w:p w14:paraId="3B4EF10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w:t>
            </w:r>
          </w:p>
        </w:tc>
        <w:tc>
          <w:tcPr>
            <w:tcW w:w="1456" w:type="dxa"/>
            <w:tcBorders>
              <w:top w:val="nil"/>
              <w:left w:val="nil"/>
              <w:bottom w:val="single" w:sz="4" w:space="0" w:color="auto"/>
              <w:right w:val="nil"/>
            </w:tcBorders>
            <w:shd w:val="clear" w:color="auto" w:fill="auto"/>
            <w:noWrap/>
            <w:vAlign w:val="bottom"/>
            <w:hideMark/>
          </w:tcPr>
          <w:p w14:paraId="5E810EF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w:t>
            </w:r>
          </w:p>
        </w:tc>
        <w:tc>
          <w:tcPr>
            <w:tcW w:w="976" w:type="dxa"/>
            <w:tcBorders>
              <w:top w:val="nil"/>
              <w:left w:val="nil"/>
              <w:bottom w:val="single" w:sz="4" w:space="0" w:color="auto"/>
              <w:right w:val="nil"/>
            </w:tcBorders>
            <w:shd w:val="clear" w:color="auto" w:fill="auto"/>
            <w:noWrap/>
            <w:vAlign w:val="bottom"/>
            <w:hideMark/>
          </w:tcPr>
          <w:p w14:paraId="1828759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H-L</w:t>
            </w:r>
          </w:p>
        </w:tc>
        <w:tc>
          <w:tcPr>
            <w:tcW w:w="1376" w:type="dxa"/>
            <w:tcBorders>
              <w:top w:val="nil"/>
              <w:left w:val="nil"/>
              <w:bottom w:val="single" w:sz="4" w:space="0" w:color="auto"/>
              <w:right w:val="nil"/>
            </w:tcBorders>
            <w:shd w:val="clear" w:color="auto" w:fill="auto"/>
            <w:noWrap/>
            <w:vAlign w:val="bottom"/>
            <w:hideMark/>
          </w:tcPr>
          <w:p w14:paraId="6333395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T-statistics</w:t>
            </w:r>
          </w:p>
        </w:tc>
      </w:tr>
      <w:tr w:rsidR="00272B18" w:rsidRPr="00AB729D" w14:paraId="78BFEABE" w14:textId="77777777" w:rsidTr="00741DF5">
        <w:trPr>
          <w:trHeight w:val="300"/>
        </w:trPr>
        <w:tc>
          <w:tcPr>
            <w:tcW w:w="2069" w:type="dxa"/>
            <w:tcBorders>
              <w:top w:val="nil"/>
              <w:left w:val="nil"/>
              <w:bottom w:val="nil"/>
              <w:right w:val="nil"/>
            </w:tcBorders>
            <w:shd w:val="clear" w:color="auto" w:fill="auto"/>
            <w:noWrap/>
            <w:vAlign w:val="bottom"/>
            <w:hideMark/>
          </w:tcPr>
          <w:p w14:paraId="78C89D4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xml:space="preserve">IOV Low </w:t>
            </w:r>
          </w:p>
        </w:tc>
        <w:tc>
          <w:tcPr>
            <w:tcW w:w="236" w:type="dxa"/>
            <w:tcBorders>
              <w:top w:val="nil"/>
              <w:left w:val="nil"/>
              <w:bottom w:val="nil"/>
              <w:right w:val="nil"/>
            </w:tcBorders>
            <w:shd w:val="clear" w:color="auto" w:fill="auto"/>
            <w:noWrap/>
            <w:vAlign w:val="bottom"/>
            <w:hideMark/>
          </w:tcPr>
          <w:p w14:paraId="4345881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w:t>
            </w:r>
          </w:p>
        </w:tc>
        <w:tc>
          <w:tcPr>
            <w:tcW w:w="2161" w:type="dxa"/>
            <w:tcBorders>
              <w:top w:val="nil"/>
              <w:left w:val="nil"/>
              <w:bottom w:val="nil"/>
              <w:right w:val="nil"/>
            </w:tcBorders>
            <w:shd w:val="clear" w:color="auto" w:fill="auto"/>
            <w:noWrap/>
            <w:vAlign w:val="bottom"/>
            <w:hideMark/>
          </w:tcPr>
          <w:p w14:paraId="5D831DF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0.361</w:t>
            </w:r>
          </w:p>
        </w:tc>
        <w:tc>
          <w:tcPr>
            <w:tcW w:w="1690" w:type="dxa"/>
            <w:tcBorders>
              <w:top w:val="nil"/>
              <w:left w:val="nil"/>
              <w:bottom w:val="nil"/>
              <w:right w:val="nil"/>
            </w:tcBorders>
            <w:shd w:val="clear" w:color="auto" w:fill="auto"/>
            <w:noWrap/>
            <w:vAlign w:val="bottom"/>
            <w:hideMark/>
          </w:tcPr>
          <w:p w14:paraId="0A227D3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0.290</w:t>
            </w:r>
          </w:p>
        </w:tc>
        <w:tc>
          <w:tcPr>
            <w:tcW w:w="1690" w:type="dxa"/>
            <w:tcBorders>
              <w:top w:val="nil"/>
              <w:left w:val="nil"/>
              <w:bottom w:val="nil"/>
              <w:right w:val="nil"/>
            </w:tcBorders>
            <w:shd w:val="clear" w:color="auto" w:fill="auto"/>
            <w:noWrap/>
            <w:vAlign w:val="bottom"/>
            <w:hideMark/>
          </w:tcPr>
          <w:p w14:paraId="682AFFB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0.246</w:t>
            </w:r>
          </w:p>
        </w:tc>
        <w:tc>
          <w:tcPr>
            <w:tcW w:w="1690" w:type="dxa"/>
            <w:tcBorders>
              <w:top w:val="nil"/>
              <w:left w:val="nil"/>
              <w:bottom w:val="nil"/>
              <w:right w:val="nil"/>
            </w:tcBorders>
            <w:shd w:val="clear" w:color="auto" w:fill="auto"/>
            <w:noWrap/>
            <w:vAlign w:val="bottom"/>
            <w:hideMark/>
          </w:tcPr>
          <w:p w14:paraId="54A22EE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0.239</w:t>
            </w:r>
          </w:p>
        </w:tc>
        <w:tc>
          <w:tcPr>
            <w:tcW w:w="1456" w:type="dxa"/>
            <w:tcBorders>
              <w:top w:val="nil"/>
              <w:left w:val="nil"/>
              <w:bottom w:val="nil"/>
              <w:right w:val="nil"/>
            </w:tcBorders>
            <w:shd w:val="clear" w:color="auto" w:fill="auto"/>
            <w:noWrap/>
            <w:vAlign w:val="bottom"/>
            <w:hideMark/>
          </w:tcPr>
          <w:p w14:paraId="6CED6E8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0.223</w:t>
            </w:r>
          </w:p>
        </w:tc>
        <w:tc>
          <w:tcPr>
            <w:tcW w:w="976" w:type="dxa"/>
            <w:tcBorders>
              <w:top w:val="nil"/>
              <w:left w:val="nil"/>
              <w:bottom w:val="nil"/>
              <w:right w:val="nil"/>
            </w:tcBorders>
            <w:shd w:val="clear" w:color="auto" w:fill="auto"/>
            <w:noWrap/>
            <w:vAlign w:val="bottom"/>
            <w:hideMark/>
          </w:tcPr>
          <w:p w14:paraId="6BB6873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-0.138</w:t>
            </w:r>
          </w:p>
        </w:tc>
        <w:tc>
          <w:tcPr>
            <w:tcW w:w="1376" w:type="dxa"/>
            <w:tcBorders>
              <w:top w:val="nil"/>
              <w:left w:val="nil"/>
              <w:bottom w:val="nil"/>
              <w:right w:val="nil"/>
            </w:tcBorders>
            <w:shd w:val="clear" w:color="auto" w:fill="auto"/>
            <w:noWrap/>
            <w:vAlign w:val="bottom"/>
            <w:hideMark/>
          </w:tcPr>
          <w:p w14:paraId="546D1B5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13.49***</w:t>
            </w:r>
          </w:p>
        </w:tc>
      </w:tr>
      <w:tr w:rsidR="00272B18" w:rsidRPr="00AB729D" w14:paraId="1658233C" w14:textId="77777777" w:rsidTr="00741DF5">
        <w:trPr>
          <w:trHeight w:val="300"/>
        </w:trPr>
        <w:tc>
          <w:tcPr>
            <w:tcW w:w="2069" w:type="dxa"/>
            <w:tcBorders>
              <w:top w:val="nil"/>
              <w:left w:val="nil"/>
              <w:bottom w:val="nil"/>
              <w:right w:val="nil"/>
            </w:tcBorders>
            <w:shd w:val="clear" w:color="auto" w:fill="auto"/>
            <w:noWrap/>
            <w:vAlign w:val="bottom"/>
            <w:hideMark/>
          </w:tcPr>
          <w:p w14:paraId="759D760E" w14:textId="77777777" w:rsidR="00741DF5" w:rsidRPr="00AB729D" w:rsidRDefault="00741DF5" w:rsidP="00741DF5">
            <w:pPr>
              <w:spacing w:after="0" w:line="240" w:lineRule="auto"/>
              <w:jc w:val="center"/>
              <w:rPr>
                <w:rFonts w:ascii="Times New Roman" w:eastAsia="Times New Roman" w:hAnsi="Times New Roman"/>
              </w:rPr>
            </w:pPr>
          </w:p>
        </w:tc>
        <w:tc>
          <w:tcPr>
            <w:tcW w:w="236" w:type="dxa"/>
            <w:tcBorders>
              <w:top w:val="nil"/>
              <w:left w:val="nil"/>
              <w:bottom w:val="nil"/>
              <w:right w:val="nil"/>
            </w:tcBorders>
            <w:shd w:val="clear" w:color="auto" w:fill="auto"/>
            <w:noWrap/>
            <w:vAlign w:val="bottom"/>
            <w:hideMark/>
          </w:tcPr>
          <w:p w14:paraId="34C6DAD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w:t>
            </w:r>
          </w:p>
        </w:tc>
        <w:tc>
          <w:tcPr>
            <w:tcW w:w="2161" w:type="dxa"/>
            <w:tcBorders>
              <w:top w:val="nil"/>
              <w:left w:val="nil"/>
              <w:bottom w:val="nil"/>
              <w:right w:val="nil"/>
            </w:tcBorders>
            <w:shd w:val="clear" w:color="auto" w:fill="auto"/>
            <w:noWrap/>
            <w:vAlign w:val="bottom"/>
            <w:hideMark/>
          </w:tcPr>
          <w:p w14:paraId="4BC554C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0.374</w:t>
            </w:r>
          </w:p>
        </w:tc>
        <w:tc>
          <w:tcPr>
            <w:tcW w:w="1690" w:type="dxa"/>
            <w:tcBorders>
              <w:top w:val="nil"/>
              <w:left w:val="nil"/>
              <w:bottom w:val="nil"/>
              <w:right w:val="nil"/>
            </w:tcBorders>
            <w:shd w:val="clear" w:color="auto" w:fill="auto"/>
            <w:noWrap/>
            <w:vAlign w:val="bottom"/>
            <w:hideMark/>
          </w:tcPr>
          <w:p w14:paraId="6C52096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0.316</w:t>
            </w:r>
          </w:p>
        </w:tc>
        <w:tc>
          <w:tcPr>
            <w:tcW w:w="1690" w:type="dxa"/>
            <w:tcBorders>
              <w:top w:val="nil"/>
              <w:left w:val="nil"/>
              <w:bottom w:val="nil"/>
              <w:right w:val="nil"/>
            </w:tcBorders>
            <w:shd w:val="clear" w:color="auto" w:fill="auto"/>
            <w:noWrap/>
            <w:vAlign w:val="bottom"/>
            <w:hideMark/>
          </w:tcPr>
          <w:p w14:paraId="223F3CE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0.278</w:t>
            </w:r>
          </w:p>
        </w:tc>
        <w:tc>
          <w:tcPr>
            <w:tcW w:w="1690" w:type="dxa"/>
            <w:tcBorders>
              <w:top w:val="nil"/>
              <w:left w:val="nil"/>
              <w:bottom w:val="nil"/>
              <w:right w:val="nil"/>
            </w:tcBorders>
            <w:shd w:val="clear" w:color="auto" w:fill="auto"/>
            <w:noWrap/>
            <w:vAlign w:val="bottom"/>
            <w:hideMark/>
          </w:tcPr>
          <w:p w14:paraId="6F0F982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0.257</w:t>
            </w:r>
          </w:p>
        </w:tc>
        <w:tc>
          <w:tcPr>
            <w:tcW w:w="1456" w:type="dxa"/>
            <w:tcBorders>
              <w:top w:val="nil"/>
              <w:left w:val="nil"/>
              <w:bottom w:val="nil"/>
              <w:right w:val="nil"/>
            </w:tcBorders>
            <w:shd w:val="clear" w:color="auto" w:fill="auto"/>
            <w:noWrap/>
            <w:vAlign w:val="bottom"/>
            <w:hideMark/>
          </w:tcPr>
          <w:p w14:paraId="444DA34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0.260</w:t>
            </w:r>
          </w:p>
        </w:tc>
        <w:tc>
          <w:tcPr>
            <w:tcW w:w="976" w:type="dxa"/>
            <w:tcBorders>
              <w:top w:val="nil"/>
              <w:left w:val="nil"/>
              <w:bottom w:val="nil"/>
              <w:right w:val="nil"/>
            </w:tcBorders>
            <w:shd w:val="clear" w:color="auto" w:fill="auto"/>
            <w:noWrap/>
            <w:vAlign w:val="bottom"/>
            <w:hideMark/>
          </w:tcPr>
          <w:p w14:paraId="717EC09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-0.114</w:t>
            </w:r>
          </w:p>
        </w:tc>
        <w:tc>
          <w:tcPr>
            <w:tcW w:w="1376" w:type="dxa"/>
            <w:tcBorders>
              <w:top w:val="nil"/>
              <w:left w:val="nil"/>
              <w:bottom w:val="nil"/>
              <w:right w:val="nil"/>
            </w:tcBorders>
            <w:shd w:val="clear" w:color="auto" w:fill="auto"/>
            <w:noWrap/>
            <w:vAlign w:val="bottom"/>
            <w:hideMark/>
          </w:tcPr>
          <w:p w14:paraId="26AEAE0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12.76***</w:t>
            </w:r>
          </w:p>
        </w:tc>
      </w:tr>
      <w:tr w:rsidR="00272B18" w:rsidRPr="00AB729D" w14:paraId="3D00E4DC" w14:textId="77777777" w:rsidTr="00741DF5">
        <w:trPr>
          <w:trHeight w:val="300"/>
        </w:trPr>
        <w:tc>
          <w:tcPr>
            <w:tcW w:w="2069" w:type="dxa"/>
            <w:tcBorders>
              <w:top w:val="nil"/>
              <w:left w:val="nil"/>
              <w:bottom w:val="nil"/>
              <w:right w:val="nil"/>
            </w:tcBorders>
            <w:shd w:val="clear" w:color="auto" w:fill="auto"/>
            <w:noWrap/>
            <w:vAlign w:val="bottom"/>
            <w:hideMark/>
          </w:tcPr>
          <w:p w14:paraId="4E4C6799" w14:textId="77777777" w:rsidR="00741DF5" w:rsidRPr="00AB729D" w:rsidRDefault="00741DF5" w:rsidP="00741DF5">
            <w:pPr>
              <w:spacing w:after="0" w:line="240" w:lineRule="auto"/>
              <w:jc w:val="center"/>
              <w:rPr>
                <w:rFonts w:ascii="Times New Roman" w:eastAsia="Times New Roman" w:hAnsi="Times New Roman"/>
              </w:rPr>
            </w:pPr>
          </w:p>
        </w:tc>
        <w:tc>
          <w:tcPr>
            <w:tcW w:w="236" w:type="dxa"/>
            <w:tcBorders>
              <w:top w:val="nil"/>
              <w:left w:val="nil"/>
              <w:bottom w:val="nil"/>
              <w:right w:val="nil"/>
            </w:tcBorders>
            <w:shd w:val="clear" w:color="auto" w:fill="auto"/>
            <w:noWrap/>
            <w:vAlign w:val="bottom"/>
            <w:hideMark/>
          </w:tcPr>
          <w:p w14:paraId="642F384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w:t>
            </w:r>
          </w:p>
        </w:tc>
        <w:tc>
          <w:tcPr>
            <w:tcW w:w="2161" w:type="dxa"/>
            <w:tcBorders>
              <w:top w:val="nil"/>
              <w:left w:val="nil"/>
              <w:bottom w:val="nil"/>
              <w:right w:val="nil"/>
            </w:tcBorders>
            <w:shd w:val="clear" w:color="auto" w:fill="auto"/>
            <w:noWrap/>
            <w:vAlign w:val="bottom"/>
            <w:hideMark/>
          </w:tcPr>
          <w:p w14:paraId="028E60D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0.384</w:t>
            </w:r>
          </w:p>
        </w:tc>
        <w:tc>
          <w:tcPr>
            <w:tcW w:w="1690" w:type="dxa"/>
            <w:tcBorders>
              <w:top w:val="nil"/>
              <w:left w:val="nil"/>
              <w:bottom w:val="nil"/>
              <w:right w:val="nil"/>
            </w:tcBorders>
            <w:shd w:val="clear" w:color="auto" w:fill="auto"/>
            <w:noWrap/>
            <w:vAlign w:val="bottom"/>
            <w:hideMark/>
          </w:tcPr>
          <w:p w14:paraId="2B25232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0.345</w:t>
            </w:r>
          </w:p>
        </w:tc>
        <w:tc>
          <w:tcPr>
            <w:tcW w:w="1690" w:type="dxa"/>
            <w:tcBorders>
              <w:top w:val="nil"/>
              <w:left w:val="nil"/>
              <w:bottom w:val="nil"/>
              <w:right w:val="nil"/>
            </w:tcBorders>
            <w:shd w:val="clear" w:color="auto" w:fill="auto"/>
            <w:noWrap/>
            <w:vAlign w:val="bottom"/>
            <w:hideMark/>
          </w:tcPr>
          <w:p w14:paraId="4AC2078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0.305</w:t>
            </w:r>
          </w:p>
        </w:tc>
        <w:tc>
          <w:tcPr>
            <w:tcW w:w="1690" w:type="dxa"/>
            <w:tcBorders>
              <w:top w:val="nil"/>
              <w:left w:val="nil"/>
              <w:bottom w:val="nil"/>
              <w:right w:val="nil"/>
            </w:tcBorders>
            <w:shd w:val="clear" w:color="auto" w:fill="auto"/>
            <w:noWrap/>
            <w:vAlign w:val="bottom"/>
            <w:hideMark/>
          </w:tcPr>
          <w:p w14:paraId="10A7A2A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0.283</w:t>
            </w:r>
          </w:p>
        </w:tc>
        <w:tc>
          <w:tcPr>
            <w:tcW w:w="1456" w:type="dxa"/>
            <w:tcBorders>
              <w:top w:val="nil"/>
              <w:left w:val="nil"/>
              <w:bottom w:val="nil"/>
              <w:right w:val="nil"/>
            </w:tcBorders>
            <w:shd w:val="clear" w:color="auto" w:fill="auto"/>
            <w:noWrap/>
            <w:vAlign w:val="bottom"/>
            <w:hideMark/>
          </w:tcPr>
          <w:p w14:paraId="0A17CDF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0.278</w:t>
            </w:r>
          </w:p>
        </w:tc>
        <w:tc>
          <w:tcPr>
            <w:tcW w:w="976" w:type="dxa"/>
            <w:tcBorders>
              <w:top w:val="nil"/>
              <w:left w:val="nil"/>
              <w:bottom w:val="nil"/>
              <w:right w:val="nil"/>
            </w:tcBorders>
            <w:shd w:val="clear" w:color="auto" w:fill="auto"/>
            <w:noWrap/>
            <w:vAlign w:val="bottom"/>
            <w:hideMark/>
          </w:tcPr>
          <w:p w14:paraId="4E463D4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-0.106</w:t>
            </w:r>
          </w:p>
        </w:tc>
        <w:tc>
          <w:tcPr>
            <w:tcW w:w="1376" w:type="dxa"/>
            <w:tcBorders>
              <w:top w:val="nil"/>
              <w:left w:val="nil"/>
              <w:bottom w:val="nil"/>
              <w:right w:val="nil"/>
            </w:tcBorders>
            <w:shd w:val="clear" w:color="auto" w:fill="auto"/>
            <w:noWrap/>
            <w:vAlign w:val="bottom"/>
            <w:hideMark/>
          </w:tcPr>
          <w:p w14:paraId="77A9828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11.23***</w:t>
            </w:r>
          </w:p>
        </w:tc>
      </w:tr>
      <w:tr w:rsidR="00272B18" w:rsidRPr="00AB729D" w14:paraId="1AECF6A5" w14:textId="77777777" w:rsidTr="00741DF5">
        <w:trPr>
          <w:trHeight w:val="300"/>
        </w:trPr>
        <w:tc>
          <w:tcPr>
            <w:tcW w:w="2069" w:type="dxa"/>
            <w:tcBorders>
              <w:top w:val="nil"/>
              <w:left w:val="nil"/>
              <w:bottom w:val="nil"/>
              <w:right w:val="nil"/>
            </w:tcBorders>
            <w:shd w:val="clear" w:color="auto" w:fill="auto"/>
            <w:noWrap/>
            <w:vAlign w:val="bottom"/>
            <w:hideMark/>
          </w:tcPr>
          <w:p w14:paraId="66589CC4" w14:textId="77777777" w:rsidR="00741DF5" w:rsidRPr="00AB729D" w:rsidRDefault="00741DF5" w:rsidP="00741DF5">
            <w:pPr>
              <w:spacing w:after="0" w:line="240" w:lineRule="auto"/>
              <w:jc w:val="center"/>
              <w:rPr>
                <w:rFonts w:ascii="Times New Roman" w:eastAsia="Times New Roman" w:hAnsi="Times New Roman"/>
              </w:rPr>
            </w:pPr>
          </w:p>
        </w:tc>
        <w:tc>
          <w:tcPr>
            <w:tcW w:w="236" w:type="dxa"/>
            <w:tcBorders>
              <w:top w:val="nil"/>
              <w:left w:val="nil"/>
              <w:bottom w:val="nil"/>
              <w:right w:val="nil"/>
            </w:tcBorders>
            <w:shd w:val="clear" w:color="auto" w:fill="auto"/>
            <w:noWrap/>
            <w:vAlign w:val="bottom"/>
            <w:hideMark/>
          </w:tcPr>
          <w:p w14:paraId="70830B0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w:t>
            </w:r>
          </w:p>
        </w:tc>
        <w:tc>
          <w:tcPr>
            <w:tcW w:w="2161" w:type="dxa"/>
            <w:tcBorders>
              <w:top w:val="nil"/>
              <w:left w:val="nil"/>
              <w:bottom w:val="nil"/>
              <w:right w:val="nil"/>
            </w:tcBorders>
            <w:shd w:val="clear" w:color="auto" w:fill="auto"/>
            <w:noWrap/>
            <w:vAlign w:val="bottom"/>
            <w:hideMark/>
          </w:tcPr>
          <w:p w14:paraId="6E4B071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0.392</w:t>
            </w:r>
          </w:p>
        </w:tc>
        <w:tc>
          <w:tcPr>
            <w:tcW w:w="1690" w:type="dxa"/>
            <w:tcBorders>
              <w:top w:val="nil"/>
              <w:left w:val="nil"/>
              <w:bottom w:val="nil"/>
              <w:right w:val="nil"/>
            </w:tcBorders>
            <w:shd w:val="clear" w:color="auto" w:fill="auto"/>
            <w:noWrap/>
            <w:vAlign w:val="bottom"/>
            <w:hideMark/>
          </w:tcPr>
          <w:p w14:paraId="4F5C382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0.389</w:t>
            </w:r>
          </w:p>
        </w:tc>
        <w:tc>
          <w:tcPr>
            <w:tcW w:w="1690" w:type="dxa"/>
            <w:tcBorders>
              <w:top w:val="nil"/>
              <w:left w:val="nil"/>
              <w:bottom w:val="nil"/>
              <w:right w:val="nil"/>
            </w:tcBorders>
            <w:shd w:val="clear" w:color="auto" w:fill="auto"/>
            <w:noWrap/>
            <w:vAlign w:val="bottom"/>
            <w:hideMark/>
          </w:tcPr>
          <w:p w14:paraId="1FE3039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0.324</w:t>
            </w:r>
          </w:p>
        </w:tc>
        <w:tc>
          <w:tcPr>
            <w:tcW w:w="1690" w:type="dxa"/>
            <w:tcBorders>
              <w:top w:val="nil"/>
              <w:left w:val="nil"/>
              <w:bottom w:val="nil"/>
              <w:right w:val="nil"/>
            </w:tcBorders>
            <w:shd w:val="clear" w:color="auto" w:fill="auto"/>
            <w:noWrap/>
            <w:vAlign w:val="bottom"/>
            <w:hideMark/>
          </w:tcPr>
          <w:p w14:paraId="630C8B8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0.296</w:t>
            </w:r>
          </w:p>
        </w:tc>
        <w:tc>
          <w:tcPr>
            <w:tcW w:w="1456" w:type="dxa"/>
            <w:tcBorders>
              <w:top w:val="nil"/>
              <w:left w:val="nil"/>
              <w:bottom w:val="nil"/>
              <w:right w:val="nil"/>
            </w:tcBorders>
            <w:shd w:val="clear" w:color="auto" w:fill="auto"/>
            <w:noWrap/>
            <w:vAlign w:val="bottom"/>
            <w:hideMark/>
          </w:tcPr>
          <w:p w14:paraId="73514FD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0.303</w:t>
            </w:r>
          </w:p>
        </w:tc>
        <w:tc>
          <w:tcPr>
            <w:tcW w:w="976" w:type="dxa"/>
            <w:tcBorders>
              <w:top w:val="nil"/>
              <w:left w:val="nil"/>
              <w:bottom w:val="nil"/>
              <w:right w:val="nil"/>
            </w:tcBorders>
            <w:shd w:val="clear" w:color="auto" w:fill="auto"/>
            <w:noWrap/>
            <w:vAlign w:val="bottom"/>
            <w:hideMark/>
          </w:tcPr>
          <w:p w14:paraId="11710C3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-0.089</w:t>
            </w:r>
          </w:p>
        </w:tc>
        <w:tc>
          <w:tcPr>
            <w:tcW w:w="1376" w:type="dxa"/>
            <w:tcBorders>
              <w:top w:val="nil"/>
              <w:left w:val="nil"/>
              <w:bottom w:val="nil"/>
              <w:right w:val="nil"/>
            </w:tcBorders>
            <w:shd w:val="clear" w:color="auto" w:fill="auto"/>
            <w:noWrap/>
            <w:vAlign w:val="bottom"/>
            <w:hideMark/>
          </w:tcPr>
          <w:p w14:paraId="38EDEEB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7.1***</w:t>
            </w:r>
          </w:p>
        </w:tc>
      </w:tr>
      <w:tr w:rsidR="00272B18" w:rsidRPr="00AB729D" w14:paraId="7ED1BA99" w14:textId="77777777" w:rsidTr="00741DF5">
        <w:trPr>
          <w:trHeight w:val="300"/>
        </w:trPr>
        <w:tc>
          <w:tcPr>
            <w:tcW w:w="2069" w:type="dxa"/>
            <w:tcBorders>
              <w:top w:val="nil"/>
              <w:left w:val="nil"/>
              <w:bottom w:val="nil"/>
              <w:right w:val="nil"/>
            </w:tcBorders>
            <w:shd w:val="clear" w:color="auto" w:fill="auto"/>
            <w:noWrap/>
            <w:vAlign w:val="bottom"/>
            <w:hideMark/>
          </w:tcPr>
          <w:p w14:paraId="0FBEE8F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IOV High</w:t>
            </w:r>
          </w:p>
        </w:tc>
        <w:tc>
          <w:tcPr>
            <w:tcW w:w="236" w:type="dxa"/>
            <w:tcBorders>
              <w:top w:val="nil"/>
              <w:left w:val="nil"/>
              <w:bottom w:val="nil"/>
              <w:right w:val="nil"/>
            </w:tcBorders>
            <w:shd w:val="clear" w:color="auto" w:fill="auto"/>
            <w:noWrap/>
            <w:vAlign w:val="bottom"/>
            <w:hideMark/>
          </w:tcPr>
          <w:p w14:paraId="29FB269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w:t>
            </w:r>
          </w:p>
        </w:tc>
        <w:tc>
          <w:tcPr>
            <w:tcW w:w="2161" w:type="dxa"/>
            <w:tcBorders>
              <w:top w:val="nil"/>
              <w:left w:val="nil"/>
              <w:bottom w:val="nil"/>
              <w:right w:val="nil"/>
            </w:tcBorders>
            <w:shd w:val="clear" w:color="auto" w:fill="auto"/>
            <w:noWrap/>
            <w:vAlign w:val="bottom"/>
            <w:hideMark/>
          </w:tcPr>
          <w:p w14:paraId="23043BC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0.414</w:t>
            </w:r>
          </w:p>
        </w:tc>
        <w:tc>
          <w:tcPr>
            <w:tcW w:w="1690" w:type="dxa"/>
            <w:tcBorders>
              <w:top w:val="nil"/>
              <w:left w:val="nil"/>
              <w:bottom w:val="nil"/>
              <w:right w:val="nil"/>
            </w:tcBorders>
            <w:shd w:val="clear" w:color="auto" w:fill="auto"/>
            <w:noWrap/>
            <w:vAlign w:val="bottom"/>
            <w:hideMark/>
          </w:tcPr>
          <w:p w14:paraId="74773C9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0.421</w:t>
            </w:r>
          </w:p>
        </w:tc>
        <w:tc>
          <w:tcPr>
            <w:tcW w:w="1690" w:type="dxa"/>
            <w:tcBorders>
              <w:top w:val="nil"/>
              <w:left w:val="nil"/>
              <w:bottom w:val="nil"/>
              <w:right w:val="nil"/>
            </w:tcBorders>
            <w:shd w:val="clear" w:color="auto" w:fill="auto"/>
            <w:noWrap/>
            <w:vAlign w:val="bottom"/>
            <w:hideMark/>
          </w:tcPr>
          <w:p w14:paraId="1D5BE57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0.391</w:t>
            </w:r>
          </w:p>
        </w:tc>
        <w:tc>
          <w:tcPr>
            <w:tcW w:w="1690" w:type="dxa"/>
            <w:tcBorders>
              <w:top w:val="nil"/>
              <w:left w:val="nil"/>
              <w:bottom w:val="nil"/>
              <w:right w:val="nil"/>
            </w:tcBorders>
            <w:shd w:val="clear" w:color="auto" w:fill="auto"/>
            <w:noWrap/>
            <w:vAlign w:val="bottom"/>
            <w:hideMark/>
          </w:tcPr>
          <w:p w14:paraId="697DD44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0.388</w:t>
            </w:r>
          </w:p>
        </w:tc>
        <w:tc>
          <w:tcPr>
            <w:tcW w:w="1456" w:type="dxa"/>
            <w:tcBorders>
              <w:top w:val="nil"/>
              <w:left w:val="nil"/>
              <w:bottom w:val="nil"/>
              <w:right w:val="nil"/>
            </w:tcBorders>
            <w:shd w:val="clear" w:color="auto" w:fill="auto"/>
            <w:noWrap/>
            <w:vAlign w:val="bottom"/>
            <w:hideMark/>
          </w:tcPr>
          <w:p w14:paraId="1B45726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0.395</w:t>
            </w:r>
          </w:p>
        </w:tc>
        <w:tc>
          <w:tcPr>
            <w:tcW w:w="976" w:type="dxa"/>
            <w:tcBorders>
              <w:top w:val="nil"/>
              <w:left w:val="nil"/>
              <w:bottom w:val="nil"/>
              <w:right w:val="nil"/>
            </w:tcBorders>
            <w:shd w:val="clear" w:color="auto" w:fill="auto"/>
            <w:noWrap/>
            <w:vAlign w:val="bottom"/>
            <w:hideMark/>
          </w:tcPr>
          <w:p w14:paraId="52436FC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-0.019</w:t>
            </w:r>
          </w:p>
        </w:tc>
        <w:tc>
          <w:tcPr>
            <w:tcW w:w="1376" w:type="dxa"/>
            <w:tcBorders>
              <w:top w:val="nil"/>
              <w:left w:val="nil"/>
              <w:bottom w:val="nil"/>
              <w:right w:val="nil"/>
            </w:tcBorders>
            <w:shd w:val="clear" w:color="auto" w:fill="auto"/>
            <w:noWrap/>
            <w:vAlign w:val="bottom"/>
            <w:hideMark/>
          </w:tcPr>
          <w:p w14:paraId="0023F74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1.030</w:t>
            </w:r>
          </w:p>
        </w:tc>
      </w:tr>
      <w:tr w:rsidR="00741DF5" w:rsidRPr="00AB729D" w14:paraId="2FDB8B98" w14:textId="77777777" w:rsidTr="00741DF5">
        <w:trPr>
          <w:trHeight w:val="300"/>
        </w:trPr>
        <w:tc>
          <w:tcPr>
            <w:tcW w:w="2305" w:type="dxa"/>
            <w:gridSpan w:val="2"/>
            <w:tcBorders>
              <w:top w:val="nil"/>
              <w:left w:val="nil"/>
              <w:bottom w:val="single" w:sz="4" w:space="0" w:color="auto"/>
              <w:right w:val="nil"/>
            </w:tcBorders>
            <w:shd w:val="clear" w:color="auto" w:fill="auto"/>
            <w:noWrap/>
            <w:vAlign w:val="bottom"/>
            <w:hideMark/>
          </w:tcPr>
          <w:p w14:paraId="4EF08A0D" w14:textId="77777777" w:rsidR="00741DF5" w:rsidRPr="00AB729D" w:rsidRDefault="00741DF5" w:rsidP="00741DF5">
            <w:pPr>
              <w:spacing w:after="0" w:line="240" w:lineRule="auto"/>
              <w:jc w:val="right"/>
              <w:rPr>
                <w:rFonts w:ascii="Times New Roman" w:eastAsia="Times New Roman" w:hAnsi="Times New Roman"/>
              </w:rPr>
            </w:pPr>
            <w:r w:rsidRPr="00AB729D">
              <w:rPr>
                <w:rFonts w:ascii="Times New Roman" w:eastAsia="Times New Roman" w:hAnsi="Times New Roman"/>
              </w:rPr>
              <w:t>H-L</w:t>
            </w:r>
          </w:p>
        </w:tc>
        <w:tc>
          <w:tcPr>
            <w:tcW w:w="2161" w:type="dxa"/>
            <w:tcBorders>
              <w:top w:val="nil"/>
              <w:left w:val="nil"/>
              <w:bottom w:val="single" w:sz="4" w:space="0" w:color="auto"/>
              <w:right w:val="nil"/>
            </w:tcBorders>
            <w:shd w:val="clear" w:color="auto" w:fill="auto"/>
            <w:noWrap/>
            <w:vAlign w:val="bottom"/>
            <w:hideMark/>
          </w:tcPr>
          <w:p w14:paraId="7CECF05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0.053</w:t>
            </w:r>
          </w:p>
        </w:tc>
        <w:tc>
          <w:tcPr>
            <w:tcW w:w="1690" w:type="dxa"/>
            <w:tcBorders>
              <w:top w:val="nil"/>
              <w:left w:val="nil"/>
              <w:bottom w:val="single" w:sz="4" w:space="0" w:color="auto"/>
              <w:right w:val="nil"/>
            </w:tcBorders>
            <w:shd w:val="clear" w:color="auto" w:fill="auto"/>
            <w:noWrap/>
            <w:vAlign w:val="bottom"/>
            <w:hideMark/>
          </w:tcPr>
          <w:p w14:paraId="28CDD8E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0.131</w:t>
            </w:r>
          </w:p>
        </w:tc>
        <w:tc>
          <w:tcPr>
            <w:tcW w:w="1690" w:type="dxa"/>
            <w:tcBorders>
              <w:top w:val="nil"/>
              <w:left w:val="nil"/>
              <w:bottom w:val="single" w:sz="4" w:space="0" w:color="auto"/>
              <w:right w:val="nil"/>
            </w:tcBorders>
            <w:shd w:val="clear" w:color="auto" w:fill="auto"/>
            <w:noWrap/>
            <w:vAlign w:val="bottom"/>
            <w:hideMark/>
          </w:tcPr>
          <w:p w14:paraId="7C06197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0.146</w:t>
            </w:r>
          </w:p>
        </w:tc>
        <w:tc>
          <w:tcPr>
            <w:tcW w:w="1690" w:type="dxa"/>
            <w:tcBorders>
              <w:top w:val="nil"/>
              <w:left w:val="nil"/>
              <w:bottom w:val="single" w:sz="4" w:space="0" w:color="auto"/>
              <w:right w:val="nil"/>
            </w:tcBorders>
            <w:shd w:val="clear" w:color="auto" w:fill="auto"/>
            <w:noWrap/>
            <w:vAlign w:val="bottom"/>
            <w:hideMark/>
          </w:tcPr>
          <w:p w14:paraId="110BA90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0.149</w:t>
            </w:r>
          </w:p>
        </w:tc>
        <w:tc>
          <w:tcPr>
            <w:tcW w:w="1456" w:type="dxa"/>
            <w:tcBorders>
              <w:top w:val="nil"/>
              <w:left w:val="nil"/>
              <w:bottom w:val="single" w:sz="4" w:space="0" w:color="auto"/>
              <w:right w:val="nil"/>
            </w:tcBorders>
            <w:shd w:val="clear" w:color="auto" w:fill="auto"/>
            <w:noWrap/>
            <w:vAlign w:val="bottom"/>
            <w:hideMark/>
          </w:tcPr>
          <w:p w14:paraId="0760070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0.172</w:t>
            </w:r>
          </w:p>
        </w:tc>
        <w:tc>
          <w:tcPr>
            <w:tcW w:w="976" w:type="dxa"/>
            <w:tcBorders>
              <w:top w:val="nil"/>
              <w:left w:val="nil"/>
              <w:bottom w:val="nil"/>
              <w:right w:val="nil"/>
            </w:tcBorders>
            <w:shd w:val="clear" w:color="auto" w:fill="auto"/>
            <w:noWrap/>
            <w:vAlign w:val="bottom"/>
            <w:hideMark/>
          </w:tcPr>
          <w:p w14:paraId="09FB3639" w14:textId="77777777" w:rsidR="00741DF5" w:rsidRPr="00AB729D" w:rsidRDefault="00741DF5" w:rsidP="00741DF5">
            <w:pPr>
              <w:spacing w:after="0" w:line="240" w:lineRule="auto"/>
              <w:jc w:val="center"/>
              <w:rPr>
                <w:rFonts w:ascii="Times New Roman" w:eastAsia="Times New Roman" w:hAnsi="Times New Roman"/>
              </w:rPr>
            </w:pPr>
          </w:p>
        </w:tc>
        <w:tc>
          <w:tcPr>
            <w:tcW w:w="1376" w:type="dxa"/>
            <w:tcBorders>
              <w:top w:val="nil"/>
              <w:left w:val="nil"/>
              <w:bottom w:val="nil"/>
              <w:right w:val="nil"/>
            </w:tcBorders>
            <w:shd w:val="clear" w:color="auto" w:fill="auto"/>
            <w:noWrap/>
            <w:vAlign w:val="bottom"/>
            <w:hideMark/>
          </w:tcPr>
          <w:p w14:paraId="055BDA8A" w14:textId="77777777" w:rsidR="00741DF5" w:rsidRPr="00AB729D" w:rsidRDefault="00741DF5" w:rsidP="00741DF5">
            <w:pPr>
              <w:spacing w:after="0" w:line="240" w:lineRule="auto"/>
              <w:jc w:val="center"/>
              <w:rPr>
                <w:rFonts w:ascii="Times New Roman" w:eastAsia="Times New Roman" w:hAnsi="Times New Roman"/>
                <w:sz w:val="20"/>
                <w:szCs w:val="20"/>
              </w:rPr>
            </w:pPr>
          </w:p>
        </w:tc>
      </w:tr>
    </w:tbl>
    <w:p w14:paraId="1487072F" w14:textId="77777777" w:rsidR="00741DF5" w:rsidRPr="00AB729D" w:rsidRDefault="00741DF5" w:rsidP="00741DF5">
      <w:pPr>
        <w:spacing w:after="0" w:line="240" w:lineRule="auto"/>
        <w:rPr>
          <w:rFonts w:ascii="Times New Roman" w:eastAsia="Times New Roman" w:hAnsi="Times New Roman"/>
          <w:sz w:val="24"/>
          <w:szCs w:val="24"/>
        </w:rPr>
      </w:pPr>
    </w:p>
    <w:p w14:paraId="1B2B5C0F" w14:textId="28EC4B89" w:rsidR="00741DF5" w:rsidRPr="00AB729D" w:rsidRDefault="00101C81" w:rsidP="00101C81">
      <w:pPr>
        <w:spacing w:after="0" w:line="240" w:lineRule="auto"/>
        <w:jc w:val="both"/>
        <w:rPr>
          <w:rFonts w:asciiTheme="majorBidi" w:eastAsia="Times New Roman" w:hAnsiTheme="majorBidi" w:cstheme="majorBidi"/>
          <w:sz w:val="20"/>
          <w:szCs w:val="20"/>
        </w:rPr>
      </w:pPr>
      <w:r w:rsidRPr="00AB729D">
        <w:rPr>
          <w:rFonts w:asciiTheme="majorBidi" w:eastAsia="Times New Roman" w:hAnsiTheme="majorBidi" w:cstheme="majorBidi"/>
          <w:sz w:val="20"/>
          <w:szCs w:val="20"/>
        </w:rPr>
        <w:t xml:space="preserve">The sample is partitioned into five quintiles using PROP (i.e., the variable measuring institutional ownership proportion) first. Each quintile is then broken down into five sub-quintiles based on ownership volatility (i.e., IOV). </w:t>
      </w:r>
      <w:r w:rsidR="007458E0" w:rsidRPr="00AB729D">
        <w:rPr>
          <w:rFonts w:asciiTheme="majorBidi" w:eastAsia="Times New Roman" w:hAnsiTheme="majorBidi" w:cstheme="majorBidi"/>
          <w:sz w:val="20"/>
          <w:szCs w:val="20"/>
        </w:rPr>
        <w:t>The end result is</w:t>
      </w:r>
      <w:r w:rsidRPr="00AB729D">
        <w:rPr>
          <w:rFonts w:asciiTheme="majorBidi" w:eastAsia="Times New Roman" w:hAnsiTheme="majorBidi" w:cstheme="majorBidi"/>
          <w:sz w:val="20"/>
          <w:szCs w:val="20"/>
        </w:rPr>
        <w:t xml:space="preserve"> a 5×5 matrix. Each cell represents the corresponding mean value of EXVRK in Panel A and EXVIA in Panel B. </w:t>
      </w:r>
      <w:r w:rsidR="00DA31E0" w:rsidRPr="00AB729D">
        <w:rPr>
          <w:rFonts w:asciiTheme="majorBidi" w:eastAsia="Times New Roman" w:hAnsiTheme="majorBidi" w:cstheme="majorBidi"/>
          <w:sz w:val="20"/>
          <w:szCs w:val="20"/>
        </w:rPr>
        <w:t>*, **, *** represent statistical significance at the 10%, 5% and 1% level, respectively.</w:t>
      </w:r>
    </w:p>
    <w:p w14:paraId="697777F3" w14:textId="77777777" w:rsidR="00741DF5" w:rsidRPr="00AB729D" w:rsidRDefault="00741DF5">
      <w:pPr>
        <w:spacing w:after="160" w:line="259" w:lineRule="auto"/>
        <w:rPr>
          <w:rFonts w:asciiTheme="majorBidi" w:eastAsia="Times New Roman" w:hAnsiTheme="majorBidi" w:cstheme="majorBidi"/>
          <w:sz w:val="20"/>
          <w:szCs w:val="20"/>
        </w:rPr>
      </w:pPr>
      <w:r w:rsidRPr="00AB729D">
        <w:rPr>
          <w:rFonts w:asciiTheme="majorBidi" w:eastAsia="Times New Roman" w:hAnsiTheme="majorBidi" w:cstheme="majorBidi"/>
          <w:sz w:val="20"/>
          <w:szCs w:val="20"/>
        </w:rPr>
        <w:br w:type="page"/>
      </w:r>
    </w:p>
    <w:p w14:paraId="27419094" w14:textId="77777777" w:rsidR="00741DF5" w:rsidRPr="00AB729D" w:rsidRDefault="00741DF5" w:rsidP="00741DF5">
      <w:pPr>
        <w:spacing w:after="0" w:line="240" w:lineRule="auto"/>
        <w:jc w:val="both"/>
        <w:rPr>
          <w:rFonts w:asciiTheme="majorBidi" w:eastAsia="Times New Roman" w:hAnsiTheme="majorBidi" w:cstheme="majorBidi"/>
          <w:sz w:val="20"/>
          <w:szCs w:val="20"/>
        </w:rPr>
        <w:sectPr w:rsidR="00741DF5" w:rsidRPr="00AB729D" w:rsidSect="008D4216">
          <w:pgSz w:w="15840" w:h="12240" w:orient="landscape"/>
          <w:pgMar w:top="1440" w:right="1440" w:bottom="1440" w:left="1440" w:header="720" w:footer="720" w:gutter="0"/>
          <w:cols w:space="720"/>
          <w:docGrid w:linePitch="360"/>
        </w:sectPr>
      </w:pPr>
    </w:p>
    <w:tbl>
      <w:tblPr>
        <w:tblW w:w="6480" w:type="dxa"/>
        <w:jc w:val="center"/>
        <w:tblLook w:val="04A0" w:firstRow="1" w:lastRow="0" w:firstColumn="1" w:lastColumn="0" w:noHBand="0" w:noVBand="1"/>
      </w:tblPr>
      <w:tblGrid>
        <w:gridCol w:w="3220"/>
        <w:gridCol w:w="480"/>
        <w:gridCol w:w="480"/>
        <w:gridCol w:w="1180"/>
        <w:gridCol w:w="1120"/>
      </w:tblGrid>
      <w:tr w:rsidR="00272B18" w:rsidRPr="00AB729D" w14:paraId="37CF90FB" w14:textId="77777777" w:rsidTr="00741DF5">
        <w:trPr>
          <w:trHeight w:val="315"/>
          <w:jc w:val="center"/>
        </w:trPr>
        <w:tc>
          <w:tcPr>
            <w:tcW w:w="4180" w:type="dxa"/>
            <w:gridSpan w:val="3"/>
            <w:tcBorders>
              <w:top w:val="nil"/>
              <w:left w:val="nil"/>
              <w:bottom w:val="nil"/>
              <w:right w:val="nil"/>
            </w:tcBorders>
            <w:shd w:val="clear" w:color="auto" w:fill="auto"/>
            <w:noWrap/>
            <w:vAlign w:val="bottom"/>
            <w:hideMark/>
          </w:tcPr>
          <w:p w14:paraId="19543571" w14:textId="77B19F4B" w:rsidR="00741DF5" w:rsidRPr="00AB729D" w:rsidRDefault="00741DF5" w:rsidP="00F13217">
            <w:pPr>
              <w:spacing w:after="0" w:line="240" w:lineRule="auto"/>
              <w:rPr>
                <w:rFonts w:ascii="Times New Roman" w:eastAsia="Times New Roman" w:hAnsi="Times New Roman"/>
                <w:b/>
                <w:bCs/>
                <w:sz w:val="24"/>
                <w:szCs w:val="24"/>
              </w:rPr>
            </w:pPr>
            <w:r w:rsidRPr="00AB729D">
              <w:rPr>
                <w:rFonts w:ascii="Times New Roman" w:eastAsia="Times New Roman" w:hAnsi="Times New Roman"/>
                <w:b/>
                <w:bCs/>
                <w:sz w:val="24"/>
                <w:szCs w:val="24"/>
              </w:rPr>
              <w:lastRenderedPageBreak/>
              <w:t xml:space="preserve">Table </w:t>
            </w:r>
            <w:r w:rsidR="00F13217" w:rsidRPr="00AB729D">
              <w:rPr>
                <w:rFonts w:ascii="Times New Roman" w:eastAsia="Times New Roman" w:hAnsi="Times New Roman"/>
                <w:b/>
                <w:bCs/>
                <w:sz w:val="24"/>
                <w:szCs w:val="24"/>
              </w:rPr>
              <w:t>6</w:t>
            </w:r>
            <w:r w:rsidRPr="00AB729D">
              <w:rPr>
                <w:rFonts w:ascii="Times New Roman" w:eastAsia="Times New Roman" w:hAnsi="Times New Roman"/>
                <w:b/>
                <w:bCs/>
                <w:sz w:val="24"/>
                <w:szCs w:val="24"/>
              </w:rPr>
              <w:t>: OLS Regressions</w:t>
            </w:r>
          </w:p>
          <w:p w14:paraId="4E92E1F4" w14:textId="77777777" w:rsidR="00741DF5" w:rsidRPr="00AB729D" w:rsidRDefault="00741DF5" w:rsidP="00741DF5">
            <w:pPr>
              <w:spacing w:after="0" w:line="240" w:lineRule="auto"/>
              <w:rPr>
                <w:rFonts w:ascii="Times New Roman" w:eastAsia="Times New Roman" w:hAnsi="Times New Roman"/>
                <w:b/>
                <w:bCs/>
                <w:sz w:val="24"/>
                <w:szCs w:val="24"/>
              </w:rPr>
            </w:pPr>
          </w:p>
        </w:tc>
        <w:tc>
          <w:tcPr>
            <w:tcW w:w="1180" w:type="dxa"/>
            <w:tcBorders>
              <w:top w:val="nil"/>
              <w:left w:val="nil"/>
              <w:bottom w:val="nil"/>
              <w:right w:val="nil"/>
            </w:tcBorders>
            <w:shd w:val="clear" w:color="auto" w:fill="auto"/>
            <w:noWrap/>
            <w:vAlign w:val="bottom"/>
            <w:hideMark/>
          </w:tcPr>
          <w:p w14:paraId="73F3266E" w14:textId="77777777" w:rsidR="00741DF5" w:rsidRPr="00AB729D" w:rsidRDefault="00741DF5" w:rsidP="00741DF5">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52162D2A"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4CF4CF9C" w14:textId="77777777" w:rsidTr="00741DF5">
        <w:trPr>
          <w:trHeight w:val="315"/>
          <w:jc w:val="center"/>
        </w:trPr>
        <w:tc>
          <w:tcPr>
            <w:tcW w:w="3220" w:type="dxa"/>
            <w:tcBorders>
              <w:top w:val="single" w:sz="4" w:space="0" w:color="auto"/>
              <w:left w:val="nil"/>
              <w:bottom w:val="nil"/>
              <w:right w:val="nil"/>
            </w:tcBorders>
            <w:shd w:val="clear" w:color="auto" w:fill="auto"/>
            <w:noWrap/>
            <w:vAlign w:val="bottom"/>
            <w:hideMark/>
          </w:tcPr>
          <w:p w14:paraId="30F9B62A"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480" w:type="dxa"/>
            <w:tcBorders>
              <w:top w:val="single" w:sz="4" w:space="0" w:color="auto"/>
              <w:left w:val="nil"/>
              <w:bottom w:val="nil"/>
              <w:right w:val="nil"/>
            </w:tcBorders>
            <w:shd w:val="clear" w:color="auto" w:fill="auto"/>
            <w:noWrap/>
            <w:vAlign w:val="bottom"/>
            <w:hideMark/>
          </w:tcPr>
          <w:p w14:paraId="76CE3FF2"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480" w:type="dxa"/>
            <w:tcBorders>
              <w:top w:val="single" w:sz="4" w:space="0" w:color="auto"/>
              <w:left w:val="nil"/>
              <w:bottom w:val="nil"/>
              <w:right w:val="nil"/>
            </w:tcBorders>
            <w:shd w:val="clear" w:color="auto" w:fill="auto"/>
            <w:noWrap/>
            <w:vAlign w:val="bottom"/>
            <w:hideMark/>
          </w:tcPr>
          <w:p w14:paraId="61782D2F"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180" w:type="dxa"/>
            <w:tcBorders>
              <w:top w:val="single" w:sz="4" w:space="0" w:color="auto"/>
              <w:left w:val="nil"/>
              <w:bottom w:val="nil"/>
              <w:right w:val="nil"/>
            </w:tcBorders>
            <w:shd w:val="clear" w:color="auto" w:fill="auto"/>
            <w:noWrap/>
            <w:vAlign w:val="bottom"/>
            <w:hideMark/>
          </w:tcPr>
          <w:p w14:paraId="5A6A5118"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120" w:type="dxa"/>
            <w:tcBorders>
              <w:top w:val="single" w:sz="4" w:space="0" w:color="auto"/>
              <w:left w:val="nil"/>
              <w:bottom w:val="nil"/>
              <w:right w:val="nil"/>
            </w:tcBorders>
            <w:shd w:val="clear" w:color="auto" w:fill="auto"/>
            <w:noWrap/>
            <w:vAlign w:val="bottom"/>
            <w:hideMark/>
          </w:tcPr>
          <w:p w14:paraId="3BB5EA93"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r>
      <w:tr w:rsidR="00272B18" w:rsidRPr="00AB729D" w14:paraId="04E8A47D" w14:textId="77777777" w:rsidTr="00741DF5">
        <w:trPr>
          <w:trHeight w:val="315"/>
          <w:jc w:val="center"/>
        </w:trPr>
        <w:tc>
          <w:tcPr>
            <w:tcW w:w="3220" w:type="dxa"/>
            <w:tcBorders>
              <w:top w:val="nil"/>
              <w:left w:val="nil"/>
              <w:bottom w:val="single" w:sz="4" w:space="0" w:color="auto"/>
              <w:right w:val="nil"/>
            </w:tcBorders>
            <w:shd w:val="clear" w:color="auto" w:fill="auto"/>
            <w:noWrap/>
            <w:vAlign w:val="bottom"/>
            <w:hideMark/>
          </w:tcPr>
          <w:p w14:paraId="66CD7514"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480" w:type="dxa"/>
            <w:tcBorders>
              <w:top w:val="nil"/>
              <w:left w:val="nil"/>
              <w:bottom w:val="single" w:sz="4" w:space="0" w:color="auto"/>
              <w:right w:val="nil"/>
            </w:tcBorders>
            <w:shd w:val="clear" w:color="auto" w:fill="auto"/>
            <w:noWrap/>
            <w:vAlign w:val="bottom"/>
            <w:hideMark/>
          </w:tcPr>
          <w:p w14:paraId="73115F32"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480" w:type="dxa"/>
            <w:tcBorders>
              <w:top w:val="nil"/>
              <w:left w:val="nil"/>
              <w:bottom w:val="single" w:sz="4" w:space="0" w:color="auto"/>
              <w:right w:val="nil"/>
            </w:tcBorders>
            <w:shd w:val="clear" w:color="auto" w:fill="auto"/>
            <w:noWrap/>
            <w:vAlign w:val="bottom"/>
            <w:hideMark/>
          </w:tcPr>
          <w:p w14:paraId="7C7E06AF"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180" w:type="dxa"/>
            <w:tcBorders>
              <w:top w:val="nil"/>
              <w:left w:val="nil"/>
              <w:bottom w:val="single" w:sz="4" w:space="0" w:color="auto"/>
              <w:right w:val="nil"/>
            </w:tcBorders>
            <w:shd w:val="clear" w:color="auto" w:fill="auto"/>
            <w:noWrap/>
            <w:vAlign w:val="bottom"/>
            <w:hideMark/>
          </w:tcPr>
          <w:p w14:paraId="09D35BCB"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(1)</w:t>
            </w:r>
          </w:p>
        </w:tc>
        <w:tc>
          <w:tcPr>
            <w:tcW w:w="1120" w:type="dxa"/>
            <w:tcBorders>
              <w:top w:val="nil"/>
              <w:left w:val="nil"/>
              <w:bottom w:val="single" w:sz="4" w:space="0" w:color="auto"/>
              <w:right w:val="nil"/>
            </w:tcBorders>
            <w:shd w:val="clear" w:color="auto" w:fill="auto"/>
            <w:noWrap/>
            <w:vAlign w:val="bottom"/>
            <w:hideMark/>
          </w:tcPr>
          <w:p w14:paraId="0C7523BC"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(2)</w:t>
            </w:r>
          </w:p>
        </w:tc>
      </w:tr>
      <w:tr w:rsidR="00272B18" w:rsidRPr="00AB729D" w14:paraId="39BDFDD9"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6BFB03EF" w14:textId="77777777" w:rsidR="00741DF5" w:rsidRPr="00AB729D" w:rsidRDefault="00476E5F" w:rsidP="00741DF5">
            <w:pPr>
              <w:spacing w:after="0" w:line="240" w:lineRule="auto"/>
              <w:rPr>
                <w:rFonts w:ascii="Times New Roman" w:eastAsia="Times New Roman" w:hAnsi="Times New Roman"/>
                <w:i/>
                <w:iCs/>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IOV</m:t>
                    </m:r>
                  </m:e>
                  <m:sub>
                    <m:r>
                      <w:rPr>
                        <w:rFonts w:ascii="Cambria Math" w:eastAsia="Times New Roman" w:hAnsi="Cambria Math"/>
                        <w:sz w:val="24"/>
                        <w:szCs w:val="24"/>
                      </w:rPr>
                      <m:t>t</m:t>
                    </m:r>
                  </m:sub>
                </m:sSub>
              </m:oMath>
            </m:oMathPara>
          </w:p>
        </w:tc>
        <w:tc>
          <w:tcPr>
            <w:tcW w:w="480" w:type="dxa"/>
            <w:tcBorders>
              <w:top w:val="nil"/>
              <w:left w:val="nil"/>
              <w:bottom w:val="nil"/>
              <w:right w:val="nil"/>
            </w:tcBorders>
            <w:shd w:val="clear" w:color="auto" w:fill="auto"/>
            <w:noWrap/>
            <w:vAlign w:val="bottom"/>
            <w:hideMark/>
          </w:tcPr>
          <w:p w14:paraId="17D2CE54"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0D42329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3F9B04D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0.947***</w:t>
            </w:r>
          </w:p>
        </w:tc>
        <w:tc>
          <w:tcPr>
            <w:tcW w:w="1120" w:type="dxa"/>
            <w:tcBorders>
              <w:top w:val="nil"/>
              <w:left w:val="nil"/>
              <w:bottom w:val="nil"/>
              <w:right w:val="nil"/>
            </w:tcBorders>
            <w:shd w:val="clear" w:color="auto" w:fill="auto"/>
            <w:noWrap/>
            <w:vAlign w:val="bottom"/>
            <w:hideMark/>
          </w:tcPr>
          <w:p w14:paraId="3916C63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2.977***</w:t>
            </w:r>
          </w:p>
        </w:tc>
      </w:tr>
      <w:tr w:rsidR="00272B18" w:rsidRPr="00AB729D" w14:paraId="13BED99B"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48C04293"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12C6EBF4"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7456AE5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3C6BB42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(3.68)</w:t>
            </w:r>
          </w:p>
        </w:tc>
        <w:tc>
          <w:tcPr>
            <w:tcW w:w="1120" w:type="dxa"/>
            <w:tcBorders>
              <w:top w:val="nil"/>
              <w:left w:val="nil"/>
              <w:bottom w:val="nil"/>
              <w:right w:val="nil"/>
            </w:tcBorders>
            <w:shd w:val="clear" w:color="auto" w:fill="auto"/>
            <w:noWrap/>
            <w:vAlign w:val="bottom"/>
            <w:hideMark/>
          </w:tcPr>
          <w:p w14:paraId="0AEBD10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(7.731)</w:t>
            </w:r>
          </w:p>
        </w:tc>
      </w:tr>
      <w:tr w:rsidR="00272B18" w:rsidRPr="00AB729D" w14:paraId="76D999B5"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1BAEBD8B" w14:textId="77777777" w:rsidR="00741DF5" w:rsidRPr="00AB729D" w:rsidRDefault="00476E5F" w:rsidP="00741DF5">
            <w:pPr>
              <w:spacing w:after="0" w:line="240" w:lineRule="auto"/>
              <w:rPr>
                <w:rFonts w:ascii="Times New Roman" w:eastAsia="Times New Roman" w:hAnsi="Times New Roman"/>
                <w:i/>
                <w:iCs/>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PROP</m:t>
                    </m:r>
                  </m:e>
                  <m:sub>
                    <m:r>
                      <w:rPr>
                        <w:rFonts w:ascii="Cambria Math" w:eastAsia="Times New Roman" w:hAnsi="Cambria Math"/>
                        <w:sz w:val="24"/>
                        <w:szCs w:val="24"/>
                      </w:rPr>
                      <m:t>t</m:t>
                    </m:r>
                  </m:sub>
                </m:sSub>
              </m:oMath>
            </m:oMathPara>
          </w:p>
        </w:tc>
        <w:tc>
          <w:tcPr>
            <w:tcW w:w="480" w:type="dxa"/>
            <w:tcBorders>
              <w:top w:val="nil"/>
              <w:left w:val="nil"/>
              <w:bottom w:val="nil"/>
              <w:right w:val="nil"/>
            </w:tcBorders>
            <w:shd w:val="clear" w:color="auto" w:fill="auto"/>
            <w:noWrap/>
            <w:vAlign w:val="bottom"/>
            <w:hideMark/>
          </w:tcPr>
          <w:p w14:paraId="19AA33BF"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318FED5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7991235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-0.038**</w:t>
            </w:r>
          </w:p>
        </w:tc>
        <w:tc>
          <w:tcPr>
            <w:tcW w:w="1120" w:type="dxa"/>
            <w:tcBorders>
              <w:top w:val="nil"/>
              <w:left w:val="nil"/>
              <w:bottom w:val="nil"/>
              <w:right w:val="nil"/>
            </w:tcBorders>
            <w:shd w:val="clear" w:color="auto" w:fill="auto"/>
            <w:noWrap/>
            <w:vAlign w:val="bottom"/>
            <w:hideMark/>
          </w:tcPr>
          <w:p w14:paraId="50054FF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-0.167***</w:t>
            </w:r>
          </w:p>
        </w:tc>
      </w:tr>
      <w:tr w:rsidR="00272B18" w:rsidRPr="00AB729D" w14:paraId="28465959"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14EAB2F0"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0ADF502C"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3413573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6504B6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(-2.175)</w:t>
            </w:r>
          </w:p>
        </w:tc>
        <w:tc>
          <w:tcPr>
            <w:tcW w:w="1120" w:type="dxa"/>
            <w:tcBorders>
              <w:top w:val="nil"/>
              <w:left w:val="nil"/>
              <w:bottom w:val="nil"/>
              <w:right w:val="nil"/>
            </w:tcBorders>
            <w:shd w:val="clear" w:color="auto" w:fill="auto"/>
            <w:noWrap/>
            <w:vAlign w:val="bottom"/>
            <w:hideMark/>
          </w:tcPr>
          <w:p w14:paraId="00E9E6C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(-10.455)</w:t>
            </w:r>
          </w:p>
        </w:tc>
      </w:tr>
      <w:tr w:rsidR="00272B18" w:rsidRPr="00AB729D" w14:paraId="2CCF7464"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2DDE8001" w14:textId="77777777" w:rsidR="00741DF5" w:rsidRPr="00AB729D" w:rsidRDefault="00476E5F" w:rsidP="00741DF5">
            <w:pPr>
              <w:spacing w:after="0" w:line="240" w:lineRule="auto"/>
              <w:rPr>
                <w:rFonts w:ascii="Times New Roman" w:eastAsia="Times New Roman" w:hAnsi="Times New Roman"/>
                <w:i/>
                <w:iCs/>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LN_SALE</m:t>
                    </m:r>
                  </m:e>
                  <m:sub>
                    <m:r>
                      <w:rPr>
                        <w:rFonts w:ascii="Cambria Math" w:eastAsia="Times New Roman" w:hAnsi="Cambria Math"/>
                        <w:sz w:val="24"/>
                        <w:szCs w:val="24"/>
                      </w:rPr>
                      <m:t>t</m:t>
                    </m:r>
                  </m:sub>
                </m:sSub>
              </m:oMath>
            </m:oMathPara>
          </w:p>
        </w:tc>
        <w:tc>
          <w:tcPr>
            <w:tcW w:w="480" w:type="dxa"/>
            <w:tcBorders>
              <w:top w:val="nil"/>
              <w:left w:val="nil"/>
              <w:bottom w:val="nil"/>
              <w:right w:val="nil"/>
            </w:tcBorders>
            <w:shd w:val="clear" w:color="auto" w:fill="auto"/>
            <w:noWrap/>
            <w:vAlign w:val="bottom"/>
            <w:hideMark/>
          </w:tcPr>
          <w:p w14:paraId="4BE16F15"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226F4A1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27B15A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-0.034***</w:t>
            </w:r>
          </w:p>
        </w:tc>
        <w:tc>
          <w:tcPr>
            <w:tcW w:w="1120" w:type="dxa"/>
            <w:tcBorders>
              <w:top w:val="nil"/>
              <w:left w:val="nil"/>
              <w:bottom w:val="nil"/>
              <w:right w:val="nil"/>
            </w:tcBorders>
            <w:shd w:val="clear" w:color="auto" w:fill="auto"/>
            <w:noWrap/>
            <w:vAlign w:val="bottom"/>
            <w:hideMark/>
          </w:tcPr>
          <w:p w14:paraId="66FA565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-0.001</w:t>
            </w:r>
          </w:p>
        </w:tc>
      </w:tr>
      <w:tr w:rsidR="00272B18" w:rsidRPr="00AB729D" w14:paraId="38754141"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2DB0F4EC"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78B0DE58"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344EC34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4CA6C85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(-12.397)</w:t>
            </w:r>
          </w:p>
        </w:tc>
        <w:tc>
          <w:tcPr>
            <w:tcW w:w="1120" w:type="dxa"/>
            <w:tcBorders>
              <w:top w:val="nil"/>
              <w:left w:val="nil"/>
              <w:bottom w:val="nil"/>
              <w:right w:val="nil"/>
            </w:tcBorders>
            <w:shd w:val="clear" w:color="auto" w:fill="auto"/>
            <w:noWrap/>
            <w:vAlign w:val="bottom"/>
            <w:hideMark/>
          </w:tcPr>
          <w:p w14:paraId="355FD4D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(-0.168)</w:t>
            </w:r>
          </w:p>
        </w:tc>
      </w:tr>
      <w:tr w:rsidR="00272B18" w:rsidRPr="00AB729D" w14:paraId="74AAA627"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05552BD7" w14:textId="77777777" w:rsidR="00741DF5" w:rsidRPr="00AB729D" w:rsidRDefault="00476E5F" w:rsidP="00741DF5">
            <w:pPr>
              <w:spacing w:after="0" w:line="240" w:lineRule="auto"/>
              <w:rPr>
                <w:rFonts w:ascii="Times New Roman" w:eastAsia="Times New Roman" w:hAnsi="Times New Roman"/>
                <w:i/>
                <w:iCs/>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LEV</m:t>
                    </m:r>
                  </m:e>
                  <m:sub>
                    <m:r>
                      <w:rPr>
                        <w:rFonts w:ascii="Cambria Math" w:eastAsia="Times New Roman" w:hAnsi="Cambria Math"/>
                        <w:sz w:val="24"/>
                        <w:szCs w:val="24"/>
                      </w:rPr>
                      <m:t>t</m:t>
                    </m:r>
                  </m:sub>
                </m:sSub>
              </m:oMath>
            </m:oMathPara>
          </w:p>
        </w:tc>
        <w:tc>
          <w:tcPr>
            <w:tcW w:w="480" w:type="dxa"/>
            <w:tcBorders>
              <w:top w:val="nil"/>
              <w:left w:val="nil"/>
              <w:bottom w:val="nil"/>
              <w:right w:val="nil"/>
            </w:tcBorders>
            <w:shd w:val="clear" w:color="auto" w:fill="auto"/>
            <w:noWrap/>
            <w:vAlign w:val="bottom"/>
            <w:hideMark/>
          </w:tcPr>
          <w:p w14:paraId="2F7F86B0"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4A5ECE8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3225DA8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0.120*</w:t>
            </w:r>
          </w:p>
        </w:tc>
        <w:tc>
          <w:tcPr>
            <w:tcW w:w="1120" w:type="dxa"/>
            <w:tcBorders>
              <w:top w:val="nil"/>
              <w:left w:val="nil"/>
              <w:bottom w:val="nil"/>
              <w:right w:val="nil"/>
            </w:tcBorders>
            <w:shd w:val="clear" w:color="auto" w:fill="auto"/>
            <w:noWrap/>
            <w:vAlign w:val="bottom"/>
            <w:hideMark/>
          </w:tcPr>
          <w:p w14:paraId="713E0DF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0.212**</w:t>
            </w:r>
          </w:p>
        </w:tc>
      </w:tr>
      <w:tr w:rsidR="00272B18" w:rsidRPr="00AB729D" w14:paraId="0C9276C8"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51B515E3"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2B1578B6"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71C4B06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1AFB0B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(1.839)</w:t>
            </w:r>
          </w:p>
        </w:tc>
        <w:tc>
          <w:tcPr>
            <w:tcW w:w="1120" w:type="dxa"/>
            <w:tcBorders>
              <w:top w:val="nil"/>
              <w:left w:val="nil"/>
              <w:bottom w:val="nil"/>
              <w:right w:val="nil"/>
            </w:tcBorders>
            <w:shd w:val="clear" w:color="auto" w:fill="auto"/>
            <w:noWrap/>
            <w:vAlign w:val="bottom"/>
            <w:hideMark/>
          </w:tcPr>
          <w:p w14:paraId="6C1C165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(2.099)</w:t>
            </w:r>
          </w:p>
        </w:tc>
      </w:tr>
      <w:tr w:rsidR="00272B18" w:rsidRPr="00AB729D" w14:paraId="1A04A037"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69E38256" w14:textId="77777777" w:rsidR="00741DF5" w:rsidRPr="00AB729D" w:rsidRDefault="00476E5F" w:rsidP="00741DF5">
            <w:pPr>
              <w:spacing w:after="0" w:line="240" w:lineRule="auto"/>
              <w:rPr>
                <w:rFonts w:ascii="Times New Roman" w:eastAsia="Times New Roman" w:hAnsi="Times New Roman"/>
                <w:i/>
                <w:iCs/>
                <w:sz w:val="24"/>
                <w:szCs w:val="24"/>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LN_AGE</m:t>
                    </m:r>
                  </m:e>
                  <m:sub>
                    <m:r>
                      <w:rPr>
                        <w:rFonts w:ascii="Cambria Math" w:eastAsia="Times New Roman" w:hAnsi="Cambria Math"/>
                        <w:sz w:val="24"/>
                        <w:szCs w:val="24"/>
                      </w:rPr>
                      <m:t>t</m:t>
                    </m:r>
                  </m:sub>
                </m:sSub>
              </m:oMath>
            </m:oMathPara>
          </w:p>
        </w:tc>
        <w:tc>
          <w:tcPr>
            <w:tcW w:w="480" w:type="dxa"/>
            <w:tcBorders>
              <w:top w:val="nil"/>
              <w:left w:val="nil"/>
              <w:bottom w:val="nil"/>
              <w:right w:val="nil"/>
            </w:tcBorders>
            <w:shd w:val="clear" w:color="auto" w:fill="auto"/>
            <w:noWrap/>
            <w:vAlign w:val="bottom"/>
            <w:hideMark/>
          </w:tcPr>
          <w:p w14:paraId="580C1979"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633A16F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468EE92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-0.037***</w:t>
            </w:r>
          </w:p>
        </w:tc>
        <w:tc>
          <w:tcPr>
            <w:tcW w:w="1120" w:type="dxa"/>
            <w:tcBorders>
              <w:top w:val="nil"/>
              <w:left w:val="nil"/>
              <w:bottom w:val="nil"/>
              <w:right w:val="nil"/>
            </w:tcBorders>
            <w:shd w:val="clear" w:color="auto" w:fill="auto"/>
            <w:noWrap/>
            <w:vAlign w:val="bottom"/>
            <w:hideMark/>
          </w:tcPr>
          <w:p w14:paraId="7394441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0.018***</w:t>
            </w:r>
          </w:p>
        </w:tc>
      </w:tr>
      <w:tr w:rsidR="00272B18" w:rsidRPr="00AB729D" w14:paraId="6669AD14"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3E8315A7"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45E27FEF"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1D52CC9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0C80863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(-9.073)</w:t>
            </w:r>
          </w:p>
        </w:tc>
        <w:tc>
          <w:tcPr>
            <w:tcW w:w="1120" w:type="dxa"/>
            <w:tcBorders>
              <w:top w:val="nil"/>
              <w:left w:val="nil"/>
              <w:bottom w:val="nil"/>
              <w:right w:val="nil"/>
            </w:tcBorders>
            <w:shd w:val="clear" w:color="auto" w:fill="auto"/>
            <w:noWrap/>
            <w:vAlign w:val="bottom"/>
            <w:hideMark/>
          </w:tcPr>
          <w:p w14:paraId="39AABEE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(4.848)</w:t>
            </w:r>
          </w:p>
        </w:tc>
      </w:tr>
      <w:tr w:rsidR="00272B18" w:rsidRPr="00AB729D" w14:paraId="23728208"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7F21D551" w14:textId="77777777" w:rsidR="00741DF5" w:rsidRPr="00AB729D" w:rsidRDefault="00476E5F" w:rsidP="00741DF5">
            <w:pPr>
              <w:spacing w:after="0" w:line="240" w:lineRule="auto"/>
              <w:rPr>
                <w:rFonts w:ascii="Times New Roman" w:eastAsia="Times New Roman" w:hAnsi="Times New Roman"/>
                <w:i/>
                <w:iCs/>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ROA</m:t>
                    </m:r>
                  </m:e>
                  <m:sub>
                    <m:r>
                      <w:rPr>
                        <w:rFonts w:ascii="Cambria Math" w:eastAsia="Times New Roman" w:hAnsi="Cambria Math"/>
                        <w:sz w:val="24"/>
                        <w:szCs w:val="24"/>
                      </w:rPr>
                      <m:t>t</m:t>
                    </m:r>
                  </m:sub>
                </m:sSub>
              </m:oMath>
            </m:oMathPara>
          </w:p>
        </w:tc>
        <w:tc>
          <w:tcPr>
            <w:tcW w:w="480" w:type="dxa"/>
            <w:tcBorders>
              <w:top w:val="nil"/>
              <w:left w:val="nil"/>
              <w:bottom w:val="nil"/>
              <w:right w:val="nil"/>
            </w:tcBorders>
            <w:shd w:val="clear" w:color="auto" w:fill="auto"/>
            <w:noWrap/>
            <w:vAlign w:val="bottom"/>
            <w:hideMark/>
          </w:tcPr>
          <w:p w14:paraId="50018AB2"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6632BBA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43570D6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0.009</w:t>
            </w:r>
          </w:p>
        </w:tc>
        <w:tc>
          <w:tcPr>
            <w:tcW w:w="1120" w:type="dxa"/>
            <w:tcBorders>
              <w:top w:val="nil"/>
              <w:left w:val="nil"/>
              <w:bottom w:val="nil"/>
              <w:right w:val="nil"/>
            </w:tcBorders>
            <w:shd w:val="clear" w:color="auto" w:fill="auto"/>
            <w:noWrap/>
            <w:vAlign w:val="bottom"/>
            <w:hideMark/>
          </w:tcPr>
          <w:p w14:paraId="7DAAFB2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0.037**</w:t>
            </w:r>
          </w:p>
        </w:tc>
      </w:tr>
      <w:tr w:rsidR="00272B18" w:rsidRPr="00AB729D" w14:paraId="62974DC6"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7AF32579"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5CF1987A"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3B73748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574A7B0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(1.036)</w:t>
            </w:r>
          </w:p>
        </w:tc>
        <w:tc>
          <w:tcPr>
            <w:tcW w:w="1120" w:type="dxa"/>
            <w:tcBorders>
              <w:top w:val="nil"/>
              <w:left w:val="nil"/>
              <w:bottom w:val="nil"/>
              <w:right w:val="nil"/>
            </w:tcBorders>
            <w:shd w:val="clear" w:color="auto" w:fill="auto"/>
            <w:noWrap/>
            <w:vAlign w:val="bottom"/>
            <w:hideMark/>
          </w:tcPr>
          <w:p w14:paraId="5F5F359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(2.060)</w:t>
            </w:r>
          </w:p>
        </w:tc>
      </w:tr>
      <w:tr w:rsidR="00272B18" w:rsidRPr="00AB729D" w14:paraId="20B5DA0B"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618F8B0E" w14:textId="77777777" w:rsidR="00741DF5" w:rsidRPr="00AB729D" w:rsidRDefault="00476E5F" w:rsidP="00741DF5">
            <w:pPr>
              <w:spacing w:after="0" w:line="240" w:lineRule="auto"/>
              <w:rPr>
                <w:rFonts w:ascii="Times New Roman" w:eastAsia="Times New Roman" w:hAnsi="Times New Roman"/>
                <w:i/>
                <w:iCs/>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DY</m:t>
                    </m:r>
                  </m:e>
                  <m:sub>
                    <m:r>
                      <w:rPr>
                        <w:rFonts w:ascii="Cambria Math" w:eastAsia="Times New Roman" w:hAnsi="Cambria Math"/>
                        <w:sz w:val="24"/>
                        <w:szCs w:val="24"/>
                      </w:rPr>
                      <m:t>t</m:t>
                    </m:r>
                  </m:sub>
                </m:sSub>
              </m:oMath>
            </m:oMathPara>
          </w:p>
        </w:tc>
        <w:tc>
          <w:tcPr>
            <w:tcW w:w="480" w:type="dxa"/>
            <w:tcBorders>
              <w:top w:val="nil"/>
              <w:left w:val="nil"/>
              <w:bottom w:val="nil"/>
              <w:right w:val="nil"/>
            </w:tcBorders>
            <w:shd w:val="clear" w:color="auto" w:fill="auto"/>
            <w:noWrap/>
            <w:vAlign w:val="bottom"/>
            <w:hideMark/>
          </w:tcPr>
          <w:p w14:paraId="5AD68807"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732D5C9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E46FEB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-0.042*</w:t>
            </w:r>
          </w:p>
        </w:tc>
        <w:tc>
          <w:tcPr>
            <w:tcW w:w="1120" w:type="dxa"/>
            <w:tcBorders>
              <w:top w:val="nil"/>
              <w:left w:val="nil"/>
              <w:bottom w:val="nil"/>
              <w:right w:val="nil"/>
            </w:tcBorders>
            <w:shd w:val="clear" w:color="auto" w:fill="auto"/>
            <w:noWrap/>
            <w:vAlign w:val="bottom"/>
            <w:hideMark/>
          </w:tcPr>
          <w:p w14:paraId="74A6090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-0.038</w:t>
            </w:r>
          </w:p>
        </w:tc>
      </w:tr>
      <w:tr w:rsidR="00272B18" w:rsidRPr="00AB729D" w14:paraId="0004B314"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7B7A92F6"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2864E5B3"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41CCC11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671890F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(-1.894)</w:t>
            </w:r>
          </w:p>
        </w:tc>
        <w:tc>
          <w:tcPr>
            <w:tcW w:w="1120" w:type="dxa"/>
            <w:tcBorders>
              <w:top w:val="nil"/>
              <w:left w:val="nil"/>
              <w:bottom w:val="nil"/>
              <w:right w:val="nil"/>
            </w:tcBorders>
            <w:shd w:val="clear" w:color="auto" w:fill="auto"/>
            <w:noWrap/>
            <w:vAlign w:val="bottom"/>
            <w:hideMark/>
          </w:tcPr>
          <w:p w14:paraId="347ED02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(-1.411)</w:t>
            </w:r>
          </w:p>
        </w:tc>
      </w:tr>
      <w:tr w:rsidR="00272B18" w:rsidRPr="00AB729D" w14:paraId="685FB907"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4F56B53F" w14:textId="77777777" w:rsidR="00741DF5" w:rsidRPr="00AB729D" w:rsidRDefault="00741DF5" w:rsidP="00741DF5">
            <w:pPr>
              <w:spacing w:after="0" w:line="240" w:lineRule="auto"/>
              <w:jc w:val="center"/>
              <w:rPr>
                <w:rFonts w:ascii="Times New Roman" w:eastAsia="Times New Roman" w:hAnsi="Times New Roman"/>
              </w:rPr>
            </w:pPr>
          </w:p>
        </w:tc>
        <w:tc>
          <w:tcPr>
            <w:tcW w:w="480" w:type="dxa"/>
            <w:tcBorders>
              <w:top w:val="nil"/>
              <w:left w:val="nil"/>
              <w:bottom w:val="nil"/>
              <w:right w:val="nil"/>
            </w:tcBorders>
            <w:shd w:val="clear" w:color="auto" w:fill="auto"/>
            <w:noWrap/>
            <w:vAlign w:val="bottom"/>
            <w:hideMark/>
          </w:tcPr>
          <w:p w14:paraId="4C740775"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1A4EE57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5FC6483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54CD7072"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7B359AB9" w14:textId="77777777" w:rsidTr="00741DF5">
        <w:trPr>
          <w:trHeight w:val="300"/>
          <w:jc w:val="center"/>
        </w:trPr>
        <w:tc>
          <w:tcPr>
            <w:tcW w:w="3220" w:type="dxa"/>
            <w:tcBorders>
              <w:top w:val="nil"/>
              <w:left w:val="nil"/>
              <w:bottom w:val="nil"/>
              <w:right w:val="nil"/>
            </w:tcBorders>
            <w:shd w:val="clear" w:color="auto" w:fill="auto"/>
            <w:noWrap/>
            <w:vAlign w:val="bottom"/>
            <w:hideMark/>
          </w:tcPr>
          <w:p w14:paraId="3B4A25C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2698DE4D"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5194E59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5839E0B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3F6E07FF"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71F4D59D"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527DAA4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39FA8EC2"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5C4372F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29DE99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1F17DFE3"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05EEFF82"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58B3D32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05B98254"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38C9723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330379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0BD1AD38"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14D32AE7"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3CCCE09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1AD1BE54" w14:textId="77777777" w:rsidR="00741DF5" w:rsidRPr="00AB729D" w:rsidRDefault="00741DF5" w:rsidP="00741DF5">
            <w:pPr>
              <w:spacing w:after="0" w:line="240" w:lineRule="auto"/>
              <w:rPr>
                <w:rFonts w:ascii="Times New Roman" w:eastAsia="Times New Roman" w:hAnsi="Times New Roman"/>
                <w:sz w:val="20"/>
                <w:szCs w:val="20"/>
              </w:rPr>
            </w:pPr>
          </w:p>
        </w:tc>
        <w:tc>
          <w:tcPr>
            <w:tcW w:w="480" w:type="dxa"/>
            <w:tcBorders>
              <w:top w:val="nil"/>
              <w:left w:val="nil"/>
              <w:bottom w:val="nil"/>
              <w:right w:val="nil"/>
            </w:tcBorders>
            <w:shd w:val="clear" w:color="auto" w:fill="auto"/>
            <w:noWrap/>
            <w:vAlign w:val="bottom"/>
            <w:hideMark/>
          </w:tcPr>
          <w:p w14:paraId="7B7F677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61B04C7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43725928"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31FDE16E"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04218B75"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xml:space="preserve">Year </w:t>
            </w:r>
          </w:p>
        </w:tc>
        <w:tc>
          <w:tcPr>
            <w:tcW w:w="480" w:type="dxa"/>
            <w:tcBorders>
              <w:top w:val="nil"/>
              <w:left w:val="nil"/>
              <w:bottom w:val="nil"/>
              <w:right w:val="nil"/>
            </w:tcBorders>
            <w:shd w:val="clear" w:color="auto" w:fill="auto"/>
            <w:noWrap/>
            <w:vAlign w:val="bottom"/>
            <w:hideMark/>
          </w:tcPr>
          <w:p w14:paraId="15EFA913"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2635FFC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00A1CF1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20" w:type="dxa"/>
            <w:tcBorders>
              <w:top w:val="nil"/>
              <w:left w:val="nil"/>
              <w:bottom w:val="nil"/>
              <w:right w:val="nil"/>
            </w:tcBorders>
            <w:shd w:val="clear" w:color="auto" w:fill="auto"/>
            <w:noWrap/>
            <w:vAlign w:val="bottom"/>
            <w:hideMark/>
          </w:tcPr>
          <w:p w14:paraId="5A921A0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0BF57136"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73BDF833"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Industry</w:t>
            </w:r>
          </w:p>
        </w:tc>
        <w:tc>
          <w:tcPr>
            <w:tcW w:w="480" w:type="dxa"/>
            <w:tcBorders>
              <w:top w:val="nil"/>
              <w:left w:val="nil"/>
              <w:bottom w:val="nil"/>
              <w:right w:val="nil"/>
            </w:tcBorders>
            <w:shd w:val="clear" w:color="auto" w:fill="auto"/>
            <w:noWrap/>
            <w:vAlign w:val="bottom"/>
            <w:hideMark/>
          </w:tcPr>
          <w:p w14:paraId="59E7A20E"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2640D1B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1FBA697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20" w:type="dxa"/>
            <w:tcBorders>
              <w:top w:val="nil"/>
              <w:left w:val="nil"/>
              <w:bottom w:val="nil"/>
              <w:right w:val="nil"/>
            </w:tcBorders>
            <w:shd w:val="clear" w:color="auto" w:fill="auto"/>
            <w:noWrap/>
            <w:vAlign w:val="bottom"/>
            <w:hideMark/>
          </w:tcPr>
          <w:p w14:paraId="4D6DE4F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7F97A4B6" w14:textId="77777777" w:rsidTr="00741DF5">
        <w:trPr>
          <w:trHeight w:val="315"/>
          <w:jc w:val="center"/>
        </w:trPr>
        <w:tc>
          <w:tcPr>
            <w:tcW w:w="3220" w:type="dxa"/>
            <w:tcBorders>
              <w:top w:val="nil"/>
              <w:left w:val="nil"/>
              <w:bottom w:val="nil"/>
              <w:right w:val="nil"/>
            </w:tcBorders>
            <w:shd w:val="clear" w:color="auto" w:fill="auto"/>
            <w:noWrap/>
            <w:vAlign w:val="bottom"/>
            <w:hideMark/>
          </w:tcPr>
          <w:p w14:paraId="6204CECD"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No. of obs.</w:t>
            </w:r>
          </w:p>
        </w:tc>
        <w:tc>
          <w:tcPr>
            <w:tcW w:w="480" w:type="dxa"/>
            <w:tcBorders>
              <w:top w:val="nil"/>
              <w:left w:val="nil"/>
              <w:bottom w:val="nil"/>
              <w:right w:val="nil"/>
            </w:tcBorders>
            <w:shd w:val="clear" w:color="auto" w:fill="auto"/>
            <w:noWrap/>
            <w:vAlign w:val="bottom"/>
            <w:hideMark/>
          </w:tcPr>
          <w:p w14:paraId="6D7E726D" w14:textId="77777777" w:rsidR="00741DF5" w:rsidRPr="00AB729D" w:rsidRDefault="00741DF5" w:rsidP="00741DF5">
            <w:pPr>
              <w:spacing w:after="0" w:line="240" w:lineRule="auto"/>
              <w:rPr>
                <w:rFonts w:ascii="Times New Roman" w:eastAsia="Times New Roman" w:hAnsi="Times New Roman"/>
                <w:sz w:val="24"/>
                <w:szCs w:val="24"/>
              </w:rPr>
            </w:pPr>
          </w:p>
        </w:tc>
        <w:tc>
          <w:tcPr>
            <w:tcW w:w="480" w:type="dxa"/>
            <w:tcBorders>
              <w:top w:val="nil"/>
              <w:left w:val="nil"/>
              <w:bottom w:val="nil"/>
              <w:right w:val="nil"/>
            </w:tcBorders>
            <w:shd w:val="clear" w:color="auto" w:fill="auto"/>
            <w:noWrap/>
            <w:vAlign w:val="bottom"/>
            <w:hideMark/>
          </w:tcPr>
          <w:p w14:paraId="26F8A547" w14:textId="77777777" w:rsidR="00741DF5" w:rsidRPr="00AB729D" w:rsidRDefault="00741DF5" w:rsidP="00741DF5">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2BE95B0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120" w:type="dxa"/>
            <w:tcBorders>
              <w:top w:val="nil"/>
              <w:left w:val="nil"/>
              <w:bottom w:val="nil"/>
              <w:right w:val="nil"/>
            </w:tcBorders>
            <w:shd w:val="clear" w:color="auto" w:fill="auto"/>
            <w:noWrap/>
            <w:vAlign w:val="bottom"/>
            <w:hideMark/>
          </w:tcPr>
          <w:p w14:paraId="3254F06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r>
      <w:tr w:rsidR="00741DF5" w:rsidRPr="00AB729D" w14:paraId="2545421C" w14:textId="77777777" w:rsidTr="00741DF5">
        <w:trPr>
          <w:trHeight w:val="315"/>
          <w:jc w:val="center"/>
        </w:trPr>
        <w:tc>
          <w:tcPr>
            <w:tcW w:w="3220" w:type="dxa"/>
            <w:tcBorders>
              <w:top w:val="nil"/>
              <w:left w:val="nil"/>
              <w:bottom w:val="single" w:sz="4" w:space="0" w:color="auto"/>
              <w:right w:val="nil"/>
            </w:tcBorders>
            <w:shd w:val="clear" w:color="auto" w:fill="auto"/>
            <w:noWrap/>
            <w:vAlign w:val="bottom"/>
            <w:hideMark/>
          </w:tcPr>
          <w:p w14:paraId="7796DFA3"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Adj.R2</w:t>
            </w:r>
          </w:p>
        </w:tc>
        <w:tc>
          <w:tcPr>
            <w:tcW w:w="480" w:type="dxa"/>
            <w:tcBorders>
              <w:top w:val="nil"/>
              <w:left w:val="nil"/>
              <w:bottom w:val="single" w:sz="4" w:space="0" w:color="auto"/>
              <w:right w:val="nil"/>
            </w:tcBorders>
            <w:shd w:val="clear" w:color="auto" w:fill="auto"/>
            <w:noWrap/>
            <w:vAlign w:val="bottom"/>
            <w:hideMark/>
          </w:tcPr>
          <w:p w14:paraId="720E646D"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480" w:type="dxa"/>
            <w:tcBorders>
              <w:top w:val="nil"/>
              <w:left w:val="nil"/>
              <w:bottom w:val="single" w:sz="4" w:space="0" w:color="auto"/>
              <w:right w:val="nil"/>
            </w:tcBorders>
            <w:shd w:val="clear" w:color="auto" w:fill="auto"/>
            <w:noWrap/>
            <w:vAlign w:val="bottom"/>
            <w:hideMark/>
          </w:tcPr>
          <w:p w14:paraId="2D2F9F5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180" w:type="dxa"/>
            <w:tcBorders>
              <w:top w:val="nil"/>
              <w:left w:val="nil"/>
              <w:bottom w:val="single" w:sz="4" w:space="0" w:color="auto"/>
              <w:right w:val="nil"/>
            </w:tcBorders>
            <w:shd w:val="clear" w:color="auto" w:fill="auto"/>
            <w:noWrap/>
            <w:vAlign w:val="bottom"/>
            <w:hideMark/>
          </w:tcPr>
          <w:p w14:paraId="16FF815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0.0742</w:t>
            </w:r>
          </w:p>
        </w:tc>
        <w:tc>
          <w:tcPr>
            <w:tcW w:w="1120" w:type="dxa"/>
            <w:tcBorders>
              <w:top w:val="nil"/>
              <w:left w:val="nil"/>
              <w:bottom w:val="single" w:sz="4" w:space="0" w:color="auto"/>
              <w:right w:val="nil"/>
            </w:tcBorders>
            <w:shd w:val="clear" w:color="auto" w:fill="auto"/>
            <w:noWrap/>
            <w:vAlign w:val="bottom"/>
            <w:hideMark/>
          </w:tcPr>
          <w:p w14:paraId="63112F0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0.148</w:t>
            </w:r>
          </w:p>
        </w:tc>
      </w:tr>
    </w:tbl>
    <w:p w14:paraId="6D05F29A" w14:textId="77777777" w:rsidR="00741DF5" w:rsidRPr="00AB729D" w:rsidRDefault="00741DF5" w:rsidP="00741DF5">
      <w:pPr>
        <w:spacing w:after="0" w:line="240" w:lineRule="auto"/>
        <w:rPr>
          <w:rFonts w:ascii="Times New Roman" w:eastAsia="Times New Roman" w:hAnsi="Times New Roman"/>
          <w:sz w:val="20"/>
          <w:szCs w:val="20"/>
        </w:rPr>
      </w:pPr>
    </w:p>
    <w:p w14:paraId="1838F443" w14:textId="1CC1E16B" w:rsidR="00741DF5" w:rsidRPr="00AB729D" w:rsidRDefault="005B779F" w:rsidP="00B11248">
      <w:pPr>
        <w:spacing w:after="0" w:line="240" w:lineRule="auto"/>
        <w:jc w:val="both"/>
        <w:rPr>
          <w:rFonts w:ascii="Times New Roman" w:eastAsia="Times New Roman" w:hAnsi="Times New Roman"/>
          <w:sz w:val="20"/>
          <w:szCs w:val="20"/>
        </w:rPr>
      </w:pPr>
      <w:r w:rsidRPr="00AB729D">
        <w:rPr>
          <w:rFonts w:ascii="Times New Roman" w:eastAsia="Times New Roman" w:hAnsi="Times New Roman"/>
          <w:sz w:val="20"/>
          <w:szCs w:val="20"/>
        </w:rPr>
        <w:t>This table presents the findings of the OLS regressions. The dependent variable in Model 1 is EXVRK and in Model 2, it is EXVIA. The variables are defined in Table 2.</w:t>
      </w:r>
      <w:r w:rsidRPr="00AB729D">
        <w:t xml:space="preserve"> </w:t>
      </w:r>
      <w:r w:rsidRPr="00AB729D">
        <w:rPr>
          <w:rFonts w:ascii="Times New Roman" w:eastAsia="Times New Roman" w:hAnsi="Times New Roman"/>
          <w:sz w:val="20"/>
          <w:szCs w:val="20"/>
        </w:rPr>
        <w:t>YEAR and INDUSTRY dummy variables are used to control for the effect of unobserved economic variables and industry-specific effects, respectively. The standard errors are clustered by firms. T-statistics are reported in parentheses. *, **, *** represent statistical significance at the 10%, 5% and 1% level, respectively.</w:t>
      </w:r>
    </w:p>
    <w:p w14:paraId="5BFF5A9F" w14:textId="77777777" w:rsidR="00741DF5" w:rsidRPr="00AB729D" w:rsidRDefault="00741DF5">
      <w:pPr>
        <w:spacing w:after="160" w:line="259" w:lineRule="auto"/>
        <w:rPr>
          <w:rFonts w:ascii="Times New Roman" w:eastAsia="Times New Roman" w:hAnsi="Times New Roman"/>
          <w:sz w:val="20"/>
          <w:szCs w:val="20"/>
        </w:rPr>
      </w:pPr>
      <w:r w:rsidRPr="00AB729D">
        <w:rPr>
          <w:rFonts w:ascii="Times New Roman" w:eastAsia="Times New Roman" w:hAnsi="Times New Roman"/>
          <w:sz w:val="20"/>
          <w:szCs w:val="20"/>
        </w:rPr>
        <w:br w:type="page"/>
      </w:r>
    </w:p>
    <w:tbl>
      <w:tblPr>
        <w:tblW w:w="5934" w:type="dxa"/>
        <w:jc w:val="center"/>
        <w:tblLook w:val="04A0" w:firstRow="1" w:lastRow="0" w:firstColumn="1" w:lastColumn="0" w:noHBand="0" w:noVBand="1"/>
      </w:tblPr>
      <w:tblGrid>
        <w:gridCol w:w="2229"/>
        <w:gridCol w:w="276"/>
        <w:gridCol w:w="276"/>
        <w:gridCol w:w="1877"/>
        <w:gridCol w:w="1276"/>
      </w:tblGrid>
      <w:tr w:rsidR="00272B18" w:rsidRPr="00AB729D" w14:paraId="3A805DC6" w14:textId="77777777" w:rsidTr="00741DF5">
        <w:trPr>
          <w:trHeight w:val="315"/>
          <w:jc w:val="center"/>
        </w:trPr>
        <w:tc>
          <w:tcPr>
            <w:tcW w:w="4658" w:type="dxa"/>
            <w:gridSpan w:val="4"/>
            <w:tcBorders>
              <w:top w:val="nil"/>
              <w:left w:val="nil"/>
              <w:bottom w:val="nil"/>
              <w:right w:val="nil"/>
            </w:tcBorders>
            <w:shd w:val="clear" w:color="auto" w:fill="auto"/>
            <w:noWrap/>
            <w:vAlign w:val="bottom"/>
            <w:hideMark/>
          </w:tcPr>
          <w:p w14:paraId="6E446D03" w14:textId="380F0132" w:rsidR="00741DF5" w:rsidRDefault="00741DF5" w:rsidP="00F13217">
            <w:pPr>
              <w:spacing w:after="0" w:line="240" w:lineRule="auto"/>
              <w:rPr>
                <w:rFonts w:ascii="Times New Roman" w:eastAsia="Times New Roman" w:hAnsi="Times New Roman"/>
                <w:b/>
                <w:bCs/>
                <w:sz w:val="24"/>
                <w:szCs w:val="24"/>
              </w:rPr>
            </w:pPr>
            <w:r w:rsidRPr="00AB729D">
              <w:rPr>
                <w:rFonts w:ascii="Times New Roman" w:eastAsia="Times New Roman" w:hAnsi="Times New Roman"/>
                <w:sz w:val="24"/>
                <w:szCs w:val="24"/>
              </w:rPr>
              <w:lastRenderedPageBreak/>
              <w:br w:type="page"/>
            </w:r>
            <w:r w:rsidRPr="00AB729D">
              <w:rPr>
                <w:rFonts w:ascii="Times New Roman" w:eastAsia="Times New Roman" w:hAnsi="Times New Roman"/>
                <w:b/>
                <w:bCs/>
                <w:sz w:val="24"/>
                <w:szCs w:val="24"/>
              </w:rPr>
              <w:t xml:space="preserve">Table </w:t>
            </w:r>
            <w:r w:rsidR="00F13217" w:rsidRPr="00AB729D">
              <w:rPr>
                <w:rFonts w:ascii="Times New Roman" w:eastAsia="Times New Roman" w:hAnsi="Times New Roman"/>
                <w:b/>
                <w:bCs/>
                <w:sz w:val="24"/>
                <w:szCs w:val="24"/>
              </w:rPr>
              <w:t>7</w:t>
            </w:r>
            <w:r w:rsidRPr="00AB729D">
              <w:rPr>
                <w:rFonts w:ascii="Times New Roman" w:eastAsia="Times New Roman" w:hAnsi="Times New Roman"/>
                <w:b/>
                <w:bCs/>
                <w:sz w:val="24"/>
                <w:szCs w:val="24"/>
              </w:rPr>
              <w:t>: Fixed-effect Regressions</w:t>
            </w:r>
          </w:p>
          <w:p w14:paraId="32ADA651" w14:textId="77777777" w:rsidR="00D6312C" w:rsidRPr="00AB729D" w:rsidRDefault="00D6312C" w:rsidP="00F13217">
            <w:pPr>
              <w:spacing w:after="0" w:line="240" w:lineRule="auto"/>
              <w:rPr>
                <w:rFonts w:ascii="Times New Roman" w:eastAsia="Times New Roman" w:hAnsi="Times New Roman"/>
                <w:b/>
                <w:bCs/>
                <w:sz w:val="24"/>
                <w:szCs w:val="24"/>
              </w:rPr>
            </w:pPr>
          </w:p>
          <w:p w14:paraId="5216F178" w14:textId="77777777" w:rsidR="00741DF5" w:rsidRPr="00AB729D" w:rsidRDefault="00741DF5" w:rsidP="00741DF5">
            <w:pPr>
              <w:spacing w:after="0" w:line="240" w:lineRule="auto"/>
              <w:rPr>
                <w:rFonts w:ascii="Times New Roman" w:eastAsia="Times New Roman" w:hAnsi="Times New Roman"/>
                <w:b/>
                <w:bCs/>
                <w:sz w:val="24"/>
                <w:szCs w:val="24"/>
              </w:rPr>
            </w:pPr>
          </w:p>
        </w:tc>
        <w:tc>
          <w:tcPr>
            <w:tcW w:w="1276" w:type="dxa"/>
            <w:tcBorders>
              <w:top w:val="nil"/>
              <w:left w:val="nil"/>
              <w:bottom w:val="nil"/>
              <w:right w:val="nil"/>
            </w:tcBorders>
            <w:shd w:val="clear" w:color="auto" w:fill="auto"/>
            <w:noWrap/>
            <w:vAlign w:val="bottom"/>
            <w:hideMark/>
          </w:tcPr>
          <w:p w14:paraId="553A594A" w14:textId="77777777" w:rsidR="00741DF5" w:rsidRPr="00AB729D" w:rsidRDefault="00741DF5" w:rsidP="00741DF5">
            <w:pPr>
              <w:spacing w:after="0" w:line="240" w:lineRule="auto"/>
              <w:rPr>
                <w:rFonts w:ascii="Times New Roman" w:eastAsia="Times New Roman" w:hAnsi="Times New Roman"/>
                <w:b/>
                <w:bCs/>
                <w:sz w:val="24"/>
                <w:szCs w:val="24"/>
              </w:rPr>
            </w:pPr>
          </w:p>
        </w:tc>
      </w:tr>
      <w:tr w:rsidR="00272B18" w:rsidRPr="00AB729D" w14:paraId="152218E5" w14:textId="77777777" w:rsidTr="00741DF5">
        <w:trPr>
          <w:trHeight w:val="315"/>
          <w:jc w:val="center"/>
        </w:trPr>
        <w:tc>
          <w:tcPr>
            <w:tcW w:w="2229" w:type="dxa"/>
            <w:tcBorders>
              <w:top w:val="single" w:sz="4" w:space="0" w:color="auto"/>
              <w:left w:val="nil"/>
              <w:bottom w:val="nil"/>
              <w:right w:val="nil"/>
            </w:tcBorders>
            <w:shd w:val="clear" w:color="auto" w:fill="auto"/>
            <w:noWrap/>
            <w:vAlign w:val="bottom"/>
            <w:hideMark/>
          </w:tcPr>
          <w:p w14:paraId="699A525D"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276" w:type="dxa"/>
            <w:tcBorders>
              <w:top w:val="single" w:sz="4" w:space="0" w:color="auto"/>
              <w:left w:val="nil"/>
              <w:bottom w:val="nil"/>
              <w:right w:val="nil"/>
            </w:tcBorders>
            <w:shd w:val="clear" w:color="auto" w:fill="auto"/>
            <w:noWrap/>
            <w:vAlign w:val="bottom"/>
            <w:hideMark/>
          </w:tcPr>
          <w:p w14:paraId="6056A707"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276" w:type="dxa"/>
            <w:tcBorders>
              <w:top w:val="single" w:sz="4" w:space="0" w:color="auto"/>
              <w:left w:val="nil"/>
              <w:bottom w:val="nil"/>
              <w:right w:val="nil"/>
            </w:tcBorders>
            <w:shd w:val="clear" w:color="auto" w:fill="auto"/>
            <w:noWrap/>
            <w:vAlign w:val="bottom"/>
            <w:hideMark/>
          </w:tcPr>
          <w:p w14:paraId="7752B14C"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877" w:type="dxa"/>
            <w:tcBorders>
              <w:top w:val="single" w:sz="4" w:space="0" w:color="auto"/>
              <w:left w:val="nil"/>
              <w:bottom w:val="nil"/>
              <w:right w:val="nil"/>
            </w:tcBorders>
            <w:shd w:val="clear" w:color="auto" w:fill="auto"/>
            <w:noWrap/>
            <w:vAlign w:val="bottom"/>
            <w:hideMark/>
          </w:tcPr>
          <w:p w14:paraId="3A68B72E"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276" w:type="dxa"/>
            <w:tcBorders>
              <w:top w:val="single" w:sz="4" w:space="0" w:color="auto"/>
              <w:left w:val="nil"/>
              <w:bottom w:val="nil"/>
              <w:right w:val="nil"/>
            </w:tcBorders>
            <w:shd w:val="clear" w:color="auto" w:fill="auto"/>
            <w:noWrap/>
            <w:vAlign w:val="bottom"/>
            <w:hideMark/>
          </w:tcPr>
          <w:p w14:paraId="5E48423D"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r>
      <w:tr w:rsidR="00272B18" w:rsidRPr="00AB729D" w14:paraId="3E39C40D" w14:textId="77777777" w:rsidTr="00741DF5">
        <w:trPr>
          <w:trHeight w:val="315"/>
          <w:jc w:val="center"/>
        </w:trPr>
        <w:tc>
          <w:tcPr>
            <w:tcW w:w="2229" w:type="dxa"/>
            <w:tcBorders>
              <w:top w:val="nil"/>
              <w:left w:val="nil"/>
              <w:bottom w:val="single" w:sz="4" w:space="0" w:color="auto"/>
              <w:right w:val="nil"/>
            </w:tcBorders>
            <w:shd w:val="clear" w:color="auto" w:fill="auto"/>
            <w:noWrap/>
            <w:vAlign w:val="bottom"/>
            <w:hideMark/>
          </w:tcPr>
          <w:p w14:paraId="5821D0E6"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276" w:type="dxa"/>
            <w:tcBorders>
              <w:top w:val="nil"/>
              <w:left w:val="nil"/>
              <w:bottom w:val="single" w:sz="4" w:space="0" w:color="auto"/>
              <w:right w:val="nil"/>
            </w:tcBorders>
            <w:shd w:val="clear" w:color="auto" w:fill="auto"/>
            <w:noWrap/>
            <w:vAlign w:val="bottom"/>
            <w:hideMark/>
          </w:tcPr>
          <w:p w14:paraId="2457DAE1"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276" w:type="dxa"/>
            <w:tcBorders>
              <w:top w:val="nil"/>
              <w:left w:val="nil"/>
              <w:bottom w:val="single" w:sz="4" w:space="0" w:color="auto"/>
              <w:right w:val="nil"/>
            </w:tcBorders>
            <w:shd w:val="clear" w:color="auto" w:fill="auto"/>
            <w:noWrap/>
            <w:vAlign w:val="bottom"/>
            <w:hideMark/>
          </w:tcPr>
          <w:p w14:paraId="59749C9D"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877" w:type="dxa"/>
            <w:tcBorders>
              <w:top w:val="nil"/>
              <w:left w:val="nil"/>
              <w:bottom w:val="single" w:sz="4" w:space="0" w:color="auto"/>
              <w:right w:val="nil"/>
            </w:tcBorders>
            <w:shd w:val="clear" w:color="auto" w:fill="auto"/>
            <w:noWrap/>
            <w:vAlign w:val="bottom"/>
            <w:hideMark/>
          </w:tcPr>
          <w:p w14:paraId="69A919AF"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(1)</w:t>
            </w:r>
          </w:p>
        </w:tc>
        <w:tc>
          <w:tcPr>
            <w:tcW w:w="1276" w:type="dxa"/>
            <w:tcBorders>
              <w:top w:val="nil"/>
              <w:left w:val="nil"/>
              <w:bottom w:val="single" w:sz="4" w:space="0" w:color="auto"/>
              <w:right w:val="nil"/>
            </w:tcBorders>
            <w:shd w:val="clear" w:color="auto" w:fill="auto"/>
            <w:noWrap/>
            <w:vAlign w:val="bottom"/>
            <w:hideMark/>
          </w:tcPr>
          <w:p w14:paraId="174B48EF"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(2)</w:t>
            </w:r>
          </w:p>
        </w:tc>
      </w:tr>
      <w:tr w:rsidR="00272B18" w:rsidRPr="00AB729D" w14:paraId="64265CBA"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49230EA6"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IOV</m:t>
                    </m:r>
                  </m:e>
                  <m:sub>
                    <m:r>
                      <w:rPr>
                        <w:rFonts w:ascii="Cambria Math" w:eastAsia="Times New Roman" w:hAnsi="Cambria Math"/>
                        <w:sz w:val="24"/>
                        <w:szCs w:val="24"/>
                      </w:rPr>
                      <m:t>t</m:t>
                    </m:r>
                  </m:sub>
                </m:sSub>
              </m:oMath>
            </m:oMathPara>
          </w:p>
        </w:tc>
        <w:tc>
          <w:tcPr>
            <w:tcW w:w="276" w:type="dxa"/>
            <w:tcBorders>
              <w:top w:val="nil"/>
              <w:left w:val="nil"/>
              <w:bottom w:val="nil"/>
              <w:right w:val="nil"/>
            </w:tcBorders>
            <w:shd w:val="clear" w:color="auto" w:fill="auto"/>
            <w:noWrap/>
            <w:vAlign w:val="bottom"/>
            <w:hideMark/>
          </w:tcPr>
          <w:p w14:paraId="60F5CDAB"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50E0116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3F07A48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0.667***</w:t>
            </w:r>
          </w:p>
        </w:tc>
        <w:tc>
          <w:tcPr>
            <w:tcW w:w="1276" w:type="dxa"/>
            <w:tcBorders>
              <w:top w:val="nil"/>
              <w:left w:val="nil"/>
              <w:bottom w:val="nil"/>
              <w:right w:val="nil"/>
            </w:tcBorders>
            <w:shd w:val="clear" w:color="auto" w:fill="auto"/>
            <w:noWrap/>
            <w:vAlign w:val="bottom"/>
            <w:hideMark/>
          </w:tcPr>
          <w:p w14:paraId="233FDDA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1.237***</w:t>
            </w:r>
          </w:p>
        </w:tc>
      </w:tr>
      <w:tr w:rsidR="00272B18" w:rsidRPr="00AB729D" w14:paraId="71680F8C"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2EC03359"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1E7EA6C4"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7BD060F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0425445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(4.972)</w:t>
            </w:r>
          </w:p>
        </w:tc>
        <w:tc>
          <w:tcPr>
            <w:tcW w:w="1276" w:type="dxa"/>
            <w:tcBorders>
              <w:top w:val="nil"/>
              <w:left w:val="nil"/>
              <w:bottom w:val="nil"/>
              <w:right w:val="nil"/>
            </w:tcBorders>
            <w:shd w:val="clear" w:color="auto" w:fill="auto"/>
            <w:noWrap/>
            <w:vAlign w:val="bottom"/>
            <w:hideMark/>
          </w:tcPr>
          <w:p w14:paraId="24BC933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(6.519)</w:t>
            </w:r>
          </w:p>
        </w:tc>
      </w:tr>
      <w:tr w:rsidR="00272B18" w:rsidRPr="00AB729D" w14:paraId="70711C9F"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40297003"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PROP</m:t>
                    </m:r>
                  </m:e>
                  <m:sub>
                    <m:r>
                      <w:rPr>
                        <w:rFonts w:ascii="Cambria Math" w:eastAsia="Times New Roman" w:hAnsi="Cambria Math"/>
                        <w:sz w:val="24"/>
                        <w:szCs w:val="24"/>
                      </w:rPr>
                      <m:t>t</m:t>
                    </m:r>
                  </m:sub>
                </m:sSub>
              </m:oMath>
            </m:oMathPara>
          </w:p>
        </w:tc>
        <w:tc>
          <w:tcPr>
            <w:tcW w:w="276" w:type="dxa"/>
            <w:tcBorders>
              <w:top w:val="nil"/>
              <w:left w:val="nil"/>
              <w:bottom w:val="nil"/>
              <w:right w:val="nil"/>
            </w:tcBorders>
            <w:shd w:val="clear" w:color="auto" w:fill="auto"/>
            <w:noWrap/>
            <w:vAlign w:val="bottom"/>
            <w:hideMark/>
          </w:tcPr>
          <w:p w14:paraId="10BAEA33"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6DB7687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302F711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-0.061***</w:t>
            </w:r>
          </w:p>
        </w:tc>
        <w:tc>
          <w:tcPr>
            <w:tcW w:w="1276" w:type="dxa"/>
            <w:tcBorders>
              <w:top w:val="nil"/>
              <w:left w:val="nil"/>
              <w:bottom w:val="nil"/>
              <w:right w:val="nil"/>
            </w:tcBorders>
            <w:shd w:val="clear" w:color="auto" w:fill="auto"/>
            <w:noWrap/>
            <w:vAlign w:val="bottom"/>
            <w:hideMark/>
          </w:tcPr>
          <w:p w14:paraId="2711C9A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-0.245***</w:t>
            </w:r>
          </w:p>
        </w:tc>
      </w:tr>
      <w:tr w:rsidR="00272B18" w:rsidRPr="00AB729D" w14:paraId="10468B37"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3E63F89F"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1C45C527"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3BA9376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65BEE97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(-3.586)</w:t>
            </w:r>
          </w:p>
        </w:tc>
        <w:tc>
          <w:tcPr>
            <w:tcW w:w="1276" w:type="dxa"/>
            <w:tcBorders>
              <w:top w:val="nil"/>
              <w:left w:val="nil"/>
              <w:bottom w:val="nil"/>
              <w:right w:val="nil"/>
            </w:tcBorders>
            <w:shd w:val="clear" w:color="auto" w:fill="auto"/>
            <w:noWrap/>
            <w:vAlign w:val="bottom"/>
            <w:hideMark/>
          </w:tcPr>
          <w:p w14:paraId="680E866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(-21.742)</w:t>
            </w:r>
          </w:p>
        </w:tc>
      </w:tr>
      <w:tr w:rsidR="00272B18" w:rsidRPr="00AB729D" w14:paraId="315ABF2B"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7D576B22"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LN_SALE</m:t>
                    </m:r>
                  </m:e>
                  <m:sub>
                    <m:r>
                      <w:rPr>
                        <w:rFonts w:ascii="Cambria Math" w:eastAsia="Times New Roman" w:hAnsi="Cambria Math"/>
                        <w:sz w:val="24"/>
                        <w:szCs w:val="24"/>
                      </w:rPr>
                      <m:t>t</m:t>
                    </m:r>
                  </m:sub>
                </m:sSub>
              </m:oMath>
            </m:oMathPara>
          </w:p>
        </w:tc>
        <w:tc>
          <w:tcPr>
            <w:tcW w:w="276" w:type="dxa"/>
            <w:tcBorders>
              <w:top w:val="nil"/>
              <w:left w:val="nil"/>
              <w:bottom w:val="nil"/>
              <w:right w:val="nil"/>
            </w:tcBorders>
            <w:shd w:val="clear" w:color="auto" w:fill="auto"/>
            <w:noWrap/>
            <w:vAlign w:val="bottom"/>
            <w:hideMark/>
          </w:tcPr>
          <w:p w14:paraId="1DB5F35C"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6845DB9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5B05775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-0.047***</w:t>
            </w:r>
          </w:p>
        </w:tc>
        <w:tc>
          <w:tcPr>
            <w:tcW w:w="1276" w:type="dxa"/>
            <w:tcBorders>
              <w:top w:val="nil"/>
              <w:left w:val="nil"/>
              <w:bottom w:val="nil"/>
              <w:right w:val="nil"/>
            </w:tcBorders>
            <w:shd w:val="clear" w:color="auto" w:fill="auto"/>
            <w:noWrap/>
            <w:vAlign w:val="bottom"/>
            <w:hideMark/>
          </w:tcPr>
          <w:p w14:paraId="7BC0DFE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-0.024***</w:t>
            </w:r>
          </w:p>
        </w:tc>
      </w:tr>
      <w:tr w:rsidR="00272B18" w:rsidRPr="00AB729D" w14:paraId="746A7076"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0164A014"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0C5DCF60"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05E93A8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5F76B87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(-15.434)</w:t>
            </w:r>
          </w:p>
        </w:tc>
        <w:tc>
          <w:tcPr>
            <w:tcW w:w="1276" w:type="dxa"/>
            <w:tcBorders>
              <w:top w:val="nil"/>
              <w:left w:val="nil"/>
              <w:bottom w:val="nil"/>
              <w:right w:val="nil"/>
            </w:tcBorders>
            <w:shd w:val="clear" w:color="auto" w:fill="auto"/>
            <w:noWrap/>
            <w:vAlign w:val="bottom"/>
            <w:hideMark/>
          </w:tcPr>
          <w:p w14:paraId="688FEC5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(-11.737)</w:t>
            </w:r>
          </w:p>
        </w:tc>
      </w:tr>
      <w:tr w:rsidR="00272B18" w:rsidRPr="00AB729D" w14:paraId="6CD170E6"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32695B2D"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LEV</m:t>
                    </m:r>
                  </m:e>
                  <m:sub>
                    <m:r>
                      <w:rPr>
                        <w:rFonts w:ascii="Cambria Math" w:eastAsia="Times New Roman" w:hAnsi="Cambria Math"/>
                        <w:sz w:val="24"/>
                        <w:szCs w:val="24"/>
                      </w:rPr>
                      <m:t>t</m:t>
                    </m:r>
                  </m:sub>
                </m:sSub>
              </m:oMath>
            </m:oMathPara>
          </w:p>
        </w:tc>
        <w:tc>
          <w:tcPr>
            <w:tcW w:w="276" w:type="dxa"/>
            <w:tcBorders>
              <w:top w:val="nil"/>
              <w:left w:val="nil"/>
              <w:bottom w:val="nil"/>
              <w:right w:val="nil"/>
            </w:tcBorders>
            <w:shd w:val="clear" w:color="auto" w:fill="auto"/>
            <w:noWrap/>
            <w:vAlign w:val="bottom"/>
            <w:hideMark/>
          </w:tcPr>
          <w:p w14:paraId="0EDB8E04"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17E3D99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1B1E464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0.063***</w:t>
            </w:r>
          </w:p>
        </w:tc>
        <w:tc>
          <w:tcPr>
            <w:tcW w:w="1276" w:type="dxa"/>
            <w:tcBorders>
              <w:top w:val="nil"/>
              <w:left w:val="nil"/>
              <w:bottom w:val="nil"/>
              <w:right w:val="nil"/>
            </w:tcBorders>
            <w:shd w:val="clear" w:color="auto" w:fill="auto"/>
            <w:noWrap/>
            <w:vAlign w:val="bottom"/>
            <w:hideMark/>
          </w:tcPr>
          <w:p w14:paraId="737BBB6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0.111***</w:t>
            </w:r>
          </w:p>
        </w:tc>
      </w:tr>
      <w:tr w:rsidR="00272B18" w:rsidRPr="00AB729D" w14:paraId="648FB5BC"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39E52BF4"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27D407FC"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0C4307F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029487A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(11.985)</w:t>
            </w:r>
          </w:p>
        </w:tc>
        <w:tc>
          <w:tcPr>
            <w:tcW w:w="1276" w:type="dxa"/>
            <w:tcBorders>
              <w:top w:val="nil"/>
              <w:left w:val="nil"/>
              <w:bottom w:val="nil"/>
              <w:right w:val="nil"/>
            </w:tcBorders>
            <w:shd w:val="clear" w:color="auto" w:fill="auto"/>
            <w:noWrap/>
            <w:vAlign w:val="bottom"/>
            <w:hideMark/>
          </w:tcPr>
          <w:p w14:paraId="17243EF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(31.728)</w:t>
            </w:r>
          </w:p>
        </w:tc>
      </w:tr>
      <w:tr w:rsidR="00272B18" w:rsidRPr="00AB729D" w14:paraId="48423771"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783BECBF"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LN_AGE</m:t>
                    </m:r>
                  </m:e>
                  <m:sub>
                    <m:r>
                      <w:rPr>
                        <w:rFonts w:ascii="Cambria Math" w:eastAsia="Times New Roman" w:hAnsi="Cambria Math"/>
                        <w:sz w:val="24"/>
                        <w:szCs w:val="24"/>
                      </w:rPr>
                      <m:t>t</m:t>
                    </m:r>
                  </m:sub>
                </m:sSub>
              </m:oMath>
            </m:oMathPara>
          </w:p>
        </w:tc>
        <w:tc>
          <w:tcPr>
            <w:tcW w:w="276" w:type="dxa"/>
            <w:tcBorders>
              <w:top w:val="nil"/>
              <w:left w:val="nil"/>
              <w:bottom w:val="nil"/>
              <w:right w:val="nil"/>
            </w:tcBorders>
            <w:shd w:val="clear" w:color="auto" w:fill="auto"/>
            <w:noWrap/>
            <w:vAlign w:val="bottom"/>
            <w:hideMark/>
          </w:tcPr>
          <w:p w14:paraId="2DF65A77"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5EF9637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2069BD1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-0.023***</w:t>
            </w:r>
          </w:p>
        </w:tc>
        <w:tc>
          <w:tcPr>
            <w:tcW w:w="1276" w:type="dxa"/>
            <w:tcBorders>
              <w:top w:val="nil"/>
              <w:left w:val="nil"/>
              <w:bottom w:val="nil"/>
              <w:right w:val="nil"/>
            </w:tcBorders>
            <w:shd w:val="clear" w:color="auto" w:fill="auto"/>
            <w:noWrap/>
            <w:vAlign w:val="bottom"/>
            <w:hideMark/>
          </w:tcPr>
          <w:p w14:paraId="13874A8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0.053***</w:t>
            </w:r>
          </w:p>
        </w:tc>
      </w:tr>
      <w:tr w:rsidR="00272B18" w:rsidRPr="00AB729D" w14:paraId="1644F9AE"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2F55B834"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068867AE"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39FE27F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664F4F6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(-2.955)</w:t>
            </w:r>
          </w:p>
        </w:tc>
        <w:tc>
          <w:tcPr>
            <w:tcW w:w="1276" w:type="dxa"/>
            <w:tcBorders>
              <w:top w:val="nil"/>
              <w:left w:val="nil"/>
              <w:bottom w:val="nil"/>
              <w:right w:val="nil"/>
            </w:tcBorders>
            <w:shd w:val="clear" w:color="auto" w:fill="auto"/>
            <w:noWrap/>
            <w:vAlign w:val="bottom"/>
            <w:hideMark/>
          </w:tcPr>
          <w:p w14:paraId="0BA6BA4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(10.300)</w:t>
            </w:r>
          </w:p>
        </w:tc>
      </w:tr>
      <w:tr w:rsidR="00272B18" w:rsidRPr="00AB729D" w14:paraId="3BF88BA6"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6F2B516A"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ROA</m:t>
                    </m:r>
                  </m:e>
                  <m:sub>
                    <m:r>
                      <w:rPr>
                        <w:rFonts w:ascii="Cambria Math" w:eastAsia="Times New Roman" w:hAnsi="Cambria Math"/>
                        <w:sz w:val="24"/>
                        <w:szCs w:val="24"/>
                      </w:rPr>
                      <m:t>t</m:t>
                    </m:r>
                  </m:sub>
                </m:sSub>
              </m:oMath>
            </m:oMathPara>
          </w:p>
        </w:tc>
        <w:tc>
          <w:tcPr>
            <w:tcW w:w="276" w:type="dxa"/>
            <w:tcBorders>
              <w:top w:val="nil"/>
              <w:left w:val="nil"/>
              <w:bottom w:val="nil"/>
              <w:right w:val="nil"/>
            </w:tcBorders>
            <w:shd w:val="clear" w:color="auto" w:fill="auto"/>
            <w:noWrap/>
            <w:vAlign w:val="bottom"/>
            <w:hideMark/>
          </w:tcPr>
          <w:p w14:paraId="6BDF3B1A"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6DEB4E5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7729C0E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0.110***</w:t>
            </w:r>
          </w:p>
        </w:tc>
        <w:tc>
          <w:tcPr>
            <w:tcW w:w="1276" w:type="dxa"/>
            <w:tcBorders>
              <w:top w:val="nil"/>
              <w:left w:val="nil"/>
              <w:bottom w:val="nil"/>
              <w:right w:val="nil"/>
            </w:tcBorders>
            <w:shd w:val="clear" w:color="auto" w:fill="auto"/>
            <w:noWrap/>
            <w:vAlign w:val="bottom"/>
            <w:hideMark/>
          </w:tcPr>
          <w:p w14:paraId="17DAB25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0.090***</w:t>
            </w:r>
          </w:p>
        </w:tc>
      </w:tr>
      <w:tr w:rsidR="00272B18" w:rsidRPr="00AB729D" w14:paraId="444D74AC"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49122331"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57DCD801"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4E5789F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0F5475E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(10.020)</w:t>
            </w:r>
          </w:p>
        </w:tc>
        <w:tc>
          <w:tcPr>
            <w:tcW w:w="1276" w:type="dxa"/>
            <w:tcBorders>
              <w:top w:val="nil"/>
              <w:left w:val="nil"/>
              <w:bottom w:val="nil"/>
              <w:right w:val="nil"/>
            </w:tcBorders>
            <w:shd w:val="clear" w:color="auto" w:fill="auto"/>
            <w:noWrap/>
            <w:vAlign w:val="bottom"/>
            <w:hideMark/>
          </w:tcPr>
          <w:p w14:paraId="363C59C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(12.301)</w:t>
            </w:r>
          </w:p>
        </w:tc>
      </w:tr>
      <w:tr w:rsidR="00272B18" w:rsidRPr="00AB729D" w14:paraId="75EB32BC"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6A81BF9A"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DY</m:t>
                    </m:r>
                  </m:e>
                  <m:sub>
                    <m:r>
                      <w:rPr>
                        <w:rFonts w:ascii="Cambria Math" w:eastAsia="Times New Roman" w:hAnsi="Cambria Math"/>
                        <w:sz w:val="24"/>
                        <w:szCs w:val="24"/>
                      </w:rPr>
                      <m:t>t</m:t>
                    </m:r>
                  </m:sub>
                </m:sSub>
              </m:oMath>
            </m:oMathPara>
          </w:p>
        </w:tc>
        <w:tc>
          <w:tcPr>
            <w:tcW w:w="276" w:type="dxa"/>
            <w:tcBorders>
              <w:top w:val="nil"/>
              <w:left w:val="nil"/>
              <w:bottom w:val="nil"/>
              <w:right w:val="nil"/>
            </w:tcBorders>
            <w:shd w:val="clear" w:color="auto" w:fill="auto"/>
            <w:noWrap/>
            <w:vAlign w:val="bottom"/>
            <w:hideMark/>
          </w:tcPr>
          <w:p w14:paraId="0EA05DFA"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3941E9E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30B82C7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-0.029</w:t>
            </w:r>
          </w:p>
        </w:tc>
        <w:tc>
          <w:tcPr>
            <w:tcW w:w="1276" w:type="dxa"/>
            <w:tcBorders>
              <w:top w:val="nil"/>
              <w:left w:val="nil"/>
              <w:bottom w:val="nil"/>
              <w:right w:val="nil"/>
            </w:tcBorders>
            <w:shd w:val="clear" w:color="auto" w:fill="auto"/>
            <w:noWrap/>
            <w:vAlign w:val="bottom"/>
            <w:hideMark/>
          </w:tcPr>
          <w:p w14:paraId="248DFB3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-0.071***</w:t>
            </w:r>
          </w:p>
        </w:tc>
      </w:tr>
      <w:tr w:rsidR="00272B18" w:rsidRPr="00AB729D" w14:paraId="2FFA1819"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5B065A9E"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1DCF5736"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3651771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6E52FB0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(-1.337)</w:t>
            </w:r>
          </w:p>
        </w:tc>
        <w:tc>
          <w:tcPr>
            <w:tcW w:w="1276" w:type="dxa"/>
            <w:tcBorders>
              <w:top w:val="nil"/>
              <w:left w:val="nil"/>
              <w:bottom w:val="nil"/>
              <w:right w:val="nil"/>
            </w:tcBorders>
            <w:shd w:val="clear" w:color="auto" w:fill="auto"/>
            <w:noWrap/>
            <w:vAlign w:val="bottom"/>
            <w:hideMark/>
          </w:tcPr>
          <w:p w14:paraId="007552E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(-4.918)</w:t>
            </w:r>
          </w:p>
        </w:tc>
      </w:tr>
      <w:tr w:rsidR="00272B18" w:rsidRPr="00AB729D" w14:paraId="1ADF3156"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287B490E" w14:textId="77777777" w:rsidR="00741DF5" w:rsidRPr="00AB729D" w:rsidRDefault="00741DF5" w:rsidP="00741DF5">
            <w:pPr>
              <w:spacing w:after="0" w:line="240" w:lineRule="auto"/>
              <w:jc w:val="center"/>
              <w:rPr>
                <w:rFonts w:ascii="Times New Roman" w:eastAsia="Times New Roman" w:hAnsi="Times New Roman"/>
              </w:rPr>
            </w:pPr>
          </w:p>
        </w:tc>
        <w:tc>
          <w:tcPr>
            <w:tcW w:w="276" w:type="dxa"/>
            <w:tcBorders>
              <w:top w:val="nil"/>
              <w:left w:val="nil"/>
              <w:bottom w:val="nil"/>
              <w:right w:val="nil"/>
            </w:tcBorders>
            <w:shd w:val="clear" w:color="auto" w:fill="auto"/>
            <w:noWrap/>
            <w:vAlign w:val="bottom"/>
            <w:hideMark/>
          </w:tcPr>
          <w:p w14:paraId="1CAE787D"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6C511FC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7F3DC92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005A14DE"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295BA841" w14:textId="77777777" w:rsidTr="00741DF5">
        <w:trPr>
          <w:trHeight w:val="300"/>
          <w:jc w:val="center"/>
        </w:trPr>
        <w:tc>
          <w:tcPr>
            <w:tcW w:w="2229" w:type="dxa"/>
            <w:tcBorders>
              <w:top w:val="nil"/>
              <w:left w:val="nil"/>
              <w:bottom w:val="nil"/>
              <w:right w:val="nil"/>
            </w:tcBorders>
            <w:shd w:val="clear" w:color="auto" w:fill="auto"/>
            <w:noWrap/>
            <w:vAlign w:val="bottom"/>
            <w:hideMark/>
          </w:tcPr>
          <w:p w14:paraId="7F747BE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32C2E021"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791D324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701E6A9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59EB0CEC"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1F6A0C3C"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3C529C6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48461C1D"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44B16D6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65C0208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16ADAA46"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6675F51B"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4264143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14695C14"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28FE1EA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37EB50D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59888C29"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1F425AFA"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5649027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49EFAFFF" w14:textId="77777777" w:rsidR="00741DF5" w:rsidRPr="00AB729D" w:rsidRDefault="00741DF5" w:rsidP="00741DF5">
            <w:pPr>
              <w:spacing w:after="0" w:line="240" w:lineRule="auto"/>
              <w:rPr>
                <w:rFonts w:ascii="Times New Roman" w:eastAsia="Times New Roman" w:hAnsi="Times New Roman"/>
                <w:sz w:val="20"/>
                <w:szCs w:val="20"/>
              </w:rPr>
            </w:pPr>
          </w:p>
        </w:tc>
        <w:tc>
          <w:tcPr>
            <w:tcW w:w="276" w:type="dxa"/>
            <w:tcBorders>
              <w:top w:val="nil"/>
              <w:left w:val="nil"/>
              <w:bottom w:val="nil"/>
              <w:right w:val="nil"/>
            </w:tcBorders>
            <w:shd w:val="clear" w:color="auto" w:fill="auto"/>
            <w:noWrap/>
            <w:vAlign w:val="bottom"/>
            <w:hideMark/>
          </w:tcPr>
          <w:p w14:paraId="0B3FA8A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2435A81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397D841F" w14:textId="77777777" w:rsidR="00741DF5" w:rsidRPr="00AB729D" w:rsidRDefault="00741DF5" w:rsidP="00741DF5">
            <w:pPr>
              <w:spacing w:after="0" w:line="240" w:lineRule="auto"/>
              <w:jc w:val="center"/>
              <w:rPr>
                <w:rFonts w:ascii="Times New Roman" w:eastAsia="Times New Roman" w:hAnsi="Times New Roman"/>
                <w:sz w:val="20"/>
                <w:szCs w:val="20"/>
              </w:rPr>
            </w:pPr>
          </w:p>
        </w:tc>
      </w:tr>
      <w:tr w:rsidR="00272B18" w:rsidRPr="00AB729D" w14:paraId="6B3DB40C"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4FA8E7C2"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xml:space="preserve">Year </w:t>
            </w:r>
          </w:p>
        </w:tc>
        <w:tc>
          <w:tcPr>
            <w:tcW w:w="276" w:type="dxa"/>
            <w:tcBorders>
              <w:top w:val="nil"/>
              <w:left w:val="nil"/>
              <w:bottom w:val="nil"/>
              <w:right w:val="nil"/>
            </w:tcBorders>
            <w:shd w:val="clear" w:color="auto" w:fill="auto"/>
            <w:noWrap/>
            <w:vAlign w:val="bottom"/>
            <w:hideMark/>
          </w:tcPr>
          <w:p w14:paraId="1DCFED7F"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4CD6E9D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6BD4D81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76" w:type="dxa"/>
            <w:tcBorders>
              <w:top w:val="nil"/>
              <w:left w:val="nil"/>
              <w:bottom w:val="nil"/>
              <w:right w:val="nil"/>
            </w:tcBorders>
            <w:shd w:val="clear" w:color="auto" w:fill="auto"/>
            <w:noWrap/>
            <w:vAlign w:val="bottom"/>
            <w:hideMark/>
          </w:tcPr>
          <w:p w14:paraId="5F73743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7FFD169D"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3931234D"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Industry</w:t>
            </w:r>
          </w:p>
        </w:tc>
        <w:tc>
          <w:tcPr>
            <w:tcW w:w="276" w:type="dxa"/>
            <w:tcBorders>
              <w:top w:val="nil"/>
              <w:left w:val="nil"/>
              <w:bottom w:val="nil"/>
              <w:right w:val="nil"/>
            </w:tcBorders>
            <w:shd w:val="clear" w:color="auto" w:fill="auto"/>
            <w:noWrap/>
            <w:vAlign w:val="bottom"/>
            <w:hideMark/>
          </w:tcPr>
          <w:p w14:paraId="2D240D07"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5B14870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3D8D0E4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76" w:type="dxa"/>
            <w:tcBorders>
              <w:top w:val="nil"/>
              <w:left w:val="nil"/>
              <w:bottom w:val="nil"/>
              <w:right w:val="nil"/>
            </w:tcBorders>
            <w:shd w:val="clear" w:color="auto" w:fill="auto"/>
            <w:noWrap/>
            <w:vAlign w:val="bottom"/>
            <w:hideMark/>
          </w:tcPr>
          <w:p w14:paraId="676A9C5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21C24FA1" w14:textId="77777777" w:rsidTr="00741DF5">
        <w:trPr>
          <w:trHeight w:val="315"/>
          <w:jc w:val="center"/>
        </w:trPr>
        <w:tc>
          <w:tcPr>
            <w:tcW w:w="2229" w:type="dxa"/>
            <w:tcBorders>
              <w:top w:val="nil"/>
              <w:left w:val="nil"/>
              <w:bottom w:val="nil"/>
              <w:right w:val="nil"/>
            </w:tcBorders>
            <w:shd w:val="clear" w:color="auto" w:fill="auto"/>
            <w:noWrap/>
            <w:vAlign w:val="bottom"/>
            <w:hideMark/>
          </w:tcPr>
          <w:p w14:paraId="2B5970C9"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No. of obs.</w:t>
            </w:r>
          </w:p>
        </w:tc>
        <w:tc>
          <w:tcPr>
            <w:tcW w:w="276" w:type="dxa"/>
            <w:tcBorders>
              <w:top w:val="nil"/>
              <w:left w:val="nil"/>
              <w:bottom w:val="nil"/>
              <w:right w:val="nil"/>
            </w:tcBorders>
            <w:shd w:val="clear" w:color="auto" w:fill="auto"/>
            <w:noWrap/>
            <w:vAlign w:val="bottom"/>
            <w:hideMark/>
          </w:tcPr>
          <w:p w14:paraId="21488A4A" w14:textId="77777777" w:rsidR="00741DF5" w:rsidRPr="00AB729D" w:rsidRDefault="00741DF5" w:rsidP="00741DF5">
            <w:pPr>
              <w:spacing w:after="0" w:line="240" w:lineRule="auto"/>
              <w:rPr>
                <w:rFonts w:ascii="Times New Roman" w:eastAsia="Times New Roman" w:hAnsi="Times New Roman"/>
                <w:sz w:val="24"/>
                <w:szCs w:val="24"/>
              </w:rPr>
            </w:pPr>
          </w:p>
        </w:tc>
        <w:tc>
          <w:tcPr>
            <w:tcW w:w="276" w:type="dxa"/>
            <w:tcBorders>
              <w:top w:val="nil"/>
              <w:left w:val="nil"/>
              <w:bottom w:val="nil"/>
              <w:right w:val="nil"/>
            </w:tcBorders>
            <w:shd w:val="clear" w:color="auto" w:fill="auto"/>
            <w:noWrap/>
            <w:vAlign w:val="bottom"/>
            <w:hideMark/>
          </w:tcPr>
          <w:p w14:paraId="76EE065B" w14:textId="77777777" w:rsidR="00741DF5" w:rsidRPr="00AB729D" w:rsidRDefault="00741DF5" w:rsidP="00741DF5">
            <w:pPr>
              <w:spacing w:after="0" w:line="240" w:lineRule="auto"/>
              <w:rPr>
                <w:rFonts w:ascii="Times New Roman" w:eastAsia="Times New Roman" w:hAnsi="Times New Roman"/>
                <w:sz w:val="20"/>
                <w:szCs w:val="20"/>
              </w:rPr>
            </w:pPr>
          </w:p>
        </w:tc>
        <w:tc>
          <w:tcPr>
            <w:tcW w:w="1877" w:type="dxa"/>
            <w:tcBorders>
              <w:top w:val="nil"/>
              <w:left w:val="nil"/>
              <w:bottom w:val="nil"/>
              <w:right w:val="nil"/>
            </w:tcBorders>
            <w:shd w:val="clear" w:color="auto" w:fill="auto"/>
            <w:noWrap/>
            <w:vAlign w:val="bottom"/>
            <w:hideMark/>
          </w:tcPr>
          <w:p w14:paraId="2476CA3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276" w:type="dxa"/>
            <w:tcBorders>
              <w:top w:val="nil"/>
              <w:left w:val="nil"/>
              <w:bottom w:val="nil"/>
              <w:right w:val="nil"/>
            </w:tcBorders>
            <w:shd w:val="clear" w:color="auto" w:fill="auto"/>
            <w:noWrap/>
            <w:vAlign w:val="bottom"/>
            <w:hideMark/>
          </w:tcPr>
          <w:p w14:paraId="7C38953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r>
      <w:tr w:rsidR="00741DF5" w:rsidRPr="00AB729D" w14:paraId="53933390" w14:textId="77777777" w:rsidTr="00741DF5">
        <w:trPr>
          <w:trHeight w:val="315"/>
          <w:jc w:val="center"/>
        </w:trPr>
        <w:tc>
          <w:tcPr>
            <w:tcW w:w="2229" w:type="dxa"/>
            <w:tcBorders>
              <w:top w:val="nil"/>
              <w:left w:val="nil"/>
              <w:bottom w:val="single" w:sz="4" w:space="0" w:color="auto"/>
              <w:right w:val="nil"/>
            </w:tcBorders>
            <w:shd w:val="clear" w:color="auto" w:fill="auto"/>
            <w:noWrap/>
            <w:vAlign w:val="bottom"/>
            <w:hideMark/>
          </w:tcPr>
          <w:p w14:paraId="3675A0BE"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Adj.R2</w:t>
            </w:r>
          </w:p>
        </w:tc>
        <w:tc>
          <w:tcPr>
            <w:tcW w:w="276" w:type="dxa"/>
            <w:tcBorders>
              <w:top w:val="nil"/>
              <w:left w:val="nil"/>
              <w:bottom w:val="single" w:sz="4" w:space="0" w:color="auto"/>
              <w:right w:val="nil"/>
            </w:tcBorders>
            <w:shd w:val="clear" w:color="auto" w:fill="auto"/>
            <w:noWrap/>
            <w:vAlign w:val="bottom"/>
            <w:hideMark/>
          </w:tcPr>
          <w:p w14:paraId="59A456EA"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276" w:type="dxa"/>
            <w:tcBorders>
              <w:top w:val="nil"/>
              <w:left w:val="nil"/>
              <w:bottom w:val="single" w:sz="4" w:space="0" w:color="auto"/>
              <w:right w:val="nil"/>
            </w:tcBorders>
            <w:shd w:val="clear" w:color="auto" w:fill="auto"/>
            <w:noWrap/>
            <w:vAlign w:val="bottom"/>
            <w:hideMark/>
          </w:tcPr>
          <w:p w14:paraId="10A72A3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877" w:type="dxa"/>
            <w:tcBorders>
              <w:top w:val="nil"/>
              <w:left w:val="nil"/>
              <w:bottom w:val="single" w:sz="4" w:space="0" w:color="auto"/>
              <w:right w:val="nil"/>
            </w:tcBorders>
            <w:shd w:val="clear" w:color="auto" w:fill="auto"/>
            <w:noWrap/>
            <w:vAlign w:val="bottom"/>
            <w:hideMark/>
          </w:tcPr>
          <w:p w14:paraId="780A9C2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0.128</w:t>
            </w:r>
          </w:p>
        </w:tc>
        <w:tc>
          <w:tcPr>
            <w:tcW w:w="1276" w:type="dxa"/>
            <w:tcBorders>
              <w:top w:val="nil"/>
              <w:left w:val="nil"/>
              <w:bottom w:val="single" w:sz="4" w:space="0" w:color="auto"/>
              <w:right w:val="nil"/>
            </w:tcBorders>
            <w:shd w:val="clear" w:color="auto" w:fill="auto"/>
            <w:noWrap/>
            <w:vAlign w:val="bottom"/>
            <w:hideMark/>
          </w:tcPr>
          <w:p w14:paraId="4A16464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0.084</w:t>
            </w:r>
          </w:p>
        </w:tc>
      </w:tr>
    </w:tbl>
    <w:p w14:paraId="512DFB5F" w14:textId="77777777" w:rsidR="00741DF5" w:rsidRPr="00AB729D" w:rsidRDefault="00741DF5" w:rsidP="00741DF5">
      <w:pPr>
        <w:spacing w:after="0" w:line="240" w:lineRule="auto"/>
        <w:rPr>
          <w:rFonts w:ascii="Times New Roman" w:eastAsia="Times New Roman" w:hAnsi="Times New Roman"/>
          <w:sz w:val="24"/>
          <w:szCs w:val="24"/>
        </w:rPr>
      </w:pPr>
    </w:p>
    <w:p w14:paraId="6C11401A" w14:textId="463657CC" w:rsidR="00741DF5" w:rsidRPr="00AB729D" w:rsidRDefault="005B779F" w:rsidP="00B11248">
      <w:pPr>
        <w:spacing w:after="0" w:line="240" w:lineRule="auto"/>
        <w:jc w:val="both"/>
        <w:rPr>
          <w:rFonts w:ascii="Times New Roman" w:eastAsia="Times New Roman" w:hAnsi="Times New Roman"/>
          <w:sz w:val="20"/>
          <w:szCs w:val="20"/>
        </w:rPr>
      </w:pPr>
      <w:r w:rsidRPr="00AB729D">
        <w:rPr>
          <w:rFonts w:ascii="Times New Roman" w:eastAsia="Times New Roman" w:hAnsi="Times New Roman"/>
          <w:sz w:val="20"/>
          <w:szCs w:val="20"/>
        </w:rPr>
        <w:t>This table presents the findings of the fixed-effect regressions. The dependent variable in Model 1 is EXVRK and in Model 2, it is EXVIA. The variables are defined in Table 2. T-statistics are reported in parentheses. *, **, *** represent statistical significance at the 10%, 5% and 1% level, respectively.</w:t>
      </w:r>
    </w:p>
    <w:p w14:paraId="6CD5286B" w14:textId="77777777" w:rsidR="00741DF5" w:rsidRPr="00AB729D" w:rsidRDefault="00741DF5">
      <w:pPr>
        <w:spacing w:after="160" w:line="259" w:lineRule="auto"/>
        <w:rPr>
          <w:rFonts w:ascii="Times New Roman" w:eastAsia="Times New Roman" w:hAnsi="Times New Roman"/>
          <w:sz w:val="20"/>
          <w:szCs w:val="20"/>
        </w:rPr>
      </w:pPr>
      <w:r w:rsidRPr="00AB729D">
        <w:rPr>
          <w:rFonts w:ascii="Times New Roman" w:eastAsia="Times New Roman" w:hAnsi="Times New Roman"/>
          <w:sz w:val="20"/>
          <w:szCs w:val="20"/>
        </w:rPr>
        <w:br w:type="page"/>
      </w:r>
    </w:p>
    <w:tbl>
      <w:tblPr>
        <w:tblW w:w="9913" w:type="dxa"/>
        <w:jc w:val="center"/>
        <w:tblLook w:val="04A0" w:firstRow="1" w:lastRow="0" w:firstColumn="1" w:lastColumn="0" w:noHBand="0" w:noVBand="1"/>
      </w:tblPr>
      <w:tblGrid>
        <w:gridCol w:w="2801"/>
        <w:gridCol w:w="276"/>
        <w:gridCol w:w="276"/>
        <w:gridCol w:w="1196"/>
        <w:gridCol w:w="1116"/>
        <w:gridCol w:w="1116"/>
        <w:gridCol w:w="1096"/>
        <w:gridCol w:w="1076"/>
        <w:gridCol w:w="1196"/>
      </w:tblGrid>
      <w:tr w:rsidR="00272B18" w:rsidRPr="00AB729D" w14:paraId="3BCF070F" w14:textId="77777777" w:rsidTr="00741DF5">
        <w:trPr>
          <w:trHeight w:val="315"/>
          <w:jc w:val="center"/>
        </w:trPr>
        <w:tc>
          <w:tcPr>
            <w:tcW w:w="3117" w:type="dxa"/>
            <w:gridSpan w:val="3"/>
            <w:tcBorders>
              <w:top w:val="nil"/>
              <w:left w:val="nil"/>
              <w:bottom w:val="nil"/>
              <w:right w:val="nil"/>
            </w:tcBorders>
            <w:shd w:val="clear" w:color="auto" w:fill="auto"/>
            <w:noWrap/>
            <w:vAlign w:val="bottom"/>
            <w:hideMark/>
          </w:tcPr>
          <w:p w14:paraId="487C7E31" w14:textId="3A4F7344" w:rsidR="00741DF5" w:rsidRPr="00AB729D" w:rsidRDefault="00741DF5" w:rsidP="00F13217">
            <w:pPr>
              <w:spacing w:after="0" w:line="240" w:lineRule="auto"/>
              <w:rPr>
                <w:rFonts w:ascii="Times New Roman" w:eastAsia="Times New Roman" w:hAnsi="Times New Roman"/>
                <w:b/>
                <w:bCs/>
                <w:sz w:val="24"/>
                <w:szCs w:val="24"/>
              </w:rPr>
            </w:pPr>
            <w:r w:rsidRPr="00AB729D">
              <w:rPr>
                <w:rFonts w:ascii="Times New Roman" w:eastAsia="Times New Roman" w:hAnsi="Times New Roman"/>
                <w:b/>
                <w:bCs/>
                <w:sz w:val="24"/>
                <w:szCs w:val="24"/>
              </w:rPr>
              <w:lastRenderedPageBreak/>
              <w:t xml:space="preserve">Table </w:t>
            </w:r>
            <w:r w:rsidR="00F13217" w:rsidRPr="00AB729D">
              <w:rPr>
                <w:rFonts w:ascii="Times New Roman" w:eastAsia="Times New Roman" w:hAnsi="Times New Roman"/>
                <w:b/>
                <w:bCs/>
                <w:sz w:val="24"/>
                <w:szCs w:val="24"/>
              </w:rPr>
              <w:t>8</w:t>
            </w:r>
            <w:r w:rsidRPr="00AB729D">
              <w:rPr>
                <w:rFonts w:ascii="Times New Roman" w:eastAsia="Times New Roman" w:hAnsi="Times New Roman"/>
                <w:b/>
                <w:bCs/>
                <w:sz w:val="24"/>
                <w:szCs w:val="24"/>
              </w:rPr>
              <w:t>: OLS Regressions</w:t>
            </w:r>
          </w:p>
          <w:p w14:paraId="6B01F83D" w14:textId="77777777" w:rsidR="00741DF5" w:rsidRPr="00AB729D" w:rsidRDefault="00741DF5" w:rsidP="00741DF5">
            <w:pPr>
              <w:spacing w:after="0" w:line="240" w:lineRule="auto"/>
              <w:rPr>
                <w:rFonts w:ascii="Times New Roman" w:eastAsia="Times New Roman" w:hAnsi="Times New Roman"/>
                <w:b/>
                <w:bCs/>
                <w:sz w:val="24"/>
                <w:szCs w:val="24"/>
              </w:rPr>
            </w:pPr>
          </w:p>
        </w:tc>
        <w:tc>
          <w:tcPr>
            <w:tcW w:w="1196" w:type="dxa"/>
            <w:tcBorders>
              <w:top w:val="nil"/>
              <w:left w:val="nil"/>
              <w:bottom w:val="nil"/>
              <w:right w:val="nil"/>
            </w:tcBorders>
            <w:shd w:val="clear" w:color="auto" w:fill="auto"/>
            <w:noWrap/>
            <w:vAlign w:val="bottom"/>
            <w:hideMark/>
          </w:tcPr>
          <w:p w14:paraId="459D1F37" w14:textId="77777777" w:rsidR="00741DF5" w:rsidRPr="00AB729D" w:rsidRDefault="00741DF5" w:rsidP="00741DF5">
            <w:pPr>
              <w:spacing w:after="0" w:line="240" w:lineRule="auto"/>
              <w:rPr>
                <w:rFonts w:ascii="Times New Roman" w:eastAsia="Times New Roman" w:hAnsi="Times New Roman"/>
                <w:b/>
                <w:bCs/>
                <w:sz w:val="24"/>
                <w:szCs w:val="24"/>
              </w:rPr>
            </w:pPr>
          </w:p>
        </w:tc>
        <w:tc>
          <w:tcPr>
            <w:tcW w:w="1116" w:type="dxa"/>
            <w:tcBorders>
              <w:top w:val="nil"/>
              <w:left w:val="nil"/>
              <w:bottom w:val="nil"/>
              <w:right w:val="nil"/>
            </w:tcBorders>
            <w:shd w:val="clear" w:color="auto" w:fill="auto"/>
            <w:noWrap/>
            <w:vAlign w:val="bottom"/>
            <w:hideMark/>
          </w:tcPr>
          <w:p w14:paraId="37C35FEA" w14:textId="77777777" w:rsidR="00741DF5" w:rsidRPr="00AB729D" w:rsidRDefault="00741DF5" w:rsidP="00741DF5">
            <w:pPr>
              <w:spacing w:after="0" w:line="240" w:lineRule="auto"/>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5D43732A" w14:textId="77777777" w:rsidR="00741DF5" w:rsidRPr="00AB729D" w:rsidRDefault="00741DF5" w:rsidP="00741DF5">
            <w:pPr>
              <w:spacing w:after="0" w:line="240" w:lineRule="auto"/>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7FA60651" w14:textId="77777777" w:rsidR="00741DF5" w:rsidRPr="00AB729D" w:rsidRDefault="00741DF5" w:rsidP="00741DF5">
            <w:pPr>
              <w:spacing w:after="0" w:line="240" w:lineRule="auto"/>
              <w:rPr>
                <w:rFonts w:ascii="Times New Roman" w:eastAsia="Times New Roman" w:hAnsi="Times New Roman"/>
                <w:sz w:val="20"/>
                <w:szCs w:val="20"/>
              </w:rPr>
            </w:pPr>
          </w:p>
        </w:tc>
        <w:tc>
          <w:tcPr>
            <w:tcW w:w="1076" w:type="dxa"/>
            <w:tcBorders>
              <w:top w:val="nil"/>
              <w:left w:val="nil"/>
              <w:bottom w:val="nil"/>
              <w:right w:val="nil"/>
            </w:tcBorders>
            <w:shd w:val="clear" w:color="auto" w:fill="auto"/>
            <w:noWrap/>
            <w:vAlign w:val="bottom"/>
            <w:hideMark/>
          </w:tcPr>
          <w:p w14:paraId="1F4D5F7E" w14:textId="77777777" w:rsidR="00741DF5" w:rsidRPr="00AB729D" w:rsidRDefault="00741DF5" w:rsidP="00741DF5">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655273B"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4A613501" w14:textId="77777777" w:rsidTr="00741DF5">
        <w:trPr>
          <w:trHeight w:val="315"/>
          <w:jc w:val="center"/>
        </w:trPr>
        <w:tc>
          <w:tcPr>
            <w:tcW w:w="2801" w:type="dxa"/>
            <w:tcBorders>
              <w:top w:val="single" w:sz="4" w:space="0" w:color="auto"/>
              <w:left w:val="nil"/>
              <w:bottom w:val="nil"/>
              <w:right w:val="nil"/>
            </w:tcBorders>
            <w:shd w:val="clear" w:color="auto" w:fill="auto"/>
            <w:noWrap/>
            <w:vAlign w:val="bottom"/>
            <w:hideMark/>
          </w:tcPr>
          <w:p w14:paraId="104E9169"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58" w:type="dxa"/>
            <w:tcBorders>
              <w:top w:val="single" w:sz="4" w:space="0" w:color="auto"/>
              <w:left w:val="nil"/>
              <w:bottom w:val="nil"/>
              <w:right w:val="nil"/>
            </w:tcBorders>
            <w:shd w:val="clear" w:color="auto" w:fill="auto"/>
            <w:noWrap/>
            <w:vAlign w:val="bottom"/>
            <w:hideMark/>
          </w:tcPr>
          <w:p w14:paraId="312D1D25"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58" w:type="dxa"/>
            <w:tcBorders>
              <w:top w:val="single" w:sz="4" w:space="0" w:color="auto"/>
              <w:left w:val="nil"/>
              <w:bottom w:val="nil"/>
              <w:right w:val="nil"/>
            </w:tcBorders>
            <w:shd w:val="clear" w:color="auto" w:fill="auto"/>
            <w:noWrap/>
            <w:vAlign w:val="bottom"/>
            <w:hideMark/>
          </w:tcPr>
          <w:p w14:paraId="2AC3F088"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196" w:type="dxa"/>
            <w:tcBorders>
              <w:top w:val="single" w:sz="4" w:space="0" w:color="auto"/>
              <w:left w:val="nil"/>
              <w:bottom w:val="nil"/>
              <w:right w:val="nil"/>
            </w:tcBorders>
            <w:shd w:val="clear" w:color="auto" w:fill="auto"/>
            <w:noWrap/>
            <w:vAlign w:val="bottom"/>
            <w:hideMark/>
          </w:tcPr>
          <w:p w14:paraId="39EF4DF3"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116" w:type="dxa"/>
            <w:tcBorders>
              <w:top w:val="single" w:sz="4" w:space="0" w:color="auto"/>
              <w:left w:val="nil"/>
              <w:bottom w:val="nil"/>
              <w:right w:val="nil"/>
            </w:tcBorders>
            <w:shd w:val="clear" w:color="auto" w:fill="auto"/>
            <w:noWrap/>
            <w:vAlign w:val="bottom"/>
            <w:hideMark/>
          </w:tcPr>
          <w:p w14:paraId="2C8E3420"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116" w:type="dxa"/>
            <w:tcBorders>
              <w:top w:val="single" w:sz="4" w:space="0" w:color="auto"/>
              <w:left w:val="nil"/>
              <w:bottom w:val="nil"/>
              <w:right w:val="nil"/>
            </w:tcBorders>
            <w:shd w:val="clear" w:color="auto" w:fill="auto"/>
            <w:noWrap/>
            <w:vAlign w:val="bottom"/>
            <w:hideMark/>
          </w:tcPr>
          <w:p w14:paraId="66728916"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096" w:type="dxa"/>
            <w:tcBorders>
              <w:top w:val="single" w:sz="4" w:space="0" w:color="auto"/>
              <w:left w:val="nil"/>
              <w:bottom w:val="nil"/>
              <w:right w:val="nil"/>
            </w:tcBorders>
            <w:shd w:val="clear" w:color="auto" w:fill="auto"/>
            <w:noWrap/>
            <w:vAlign w:val="bottom"/>
            <w:hideMark/>
          </w:tcPr>
          <w:p w14:paraId="53020C8C"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c>
          <w:tcPr>
            <w:tcW w:w="1076" w:type="dxa"/>
            <w:tcBorders>
              <w:top w:val="single" w:sz="4" w:space="0" w:color="auto"/>
              <w:left w:val="nil"/>
              <w:bottom w:val="nil"/>
              <w:right w:val="nil"/>
            </w:tcBorders>
            <w:shd w:val="clear" w:color="auto" w:fill="auto"/>
            <w:noWrap/>
            <w:vAlign w:val="bottom"/>
            <w:hideMark/>
          </w:tcPr>
          <w:p w14:paraId="10A844DB"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c>
          <w:tcPr>
            <w:tcW w:w="1196" w:type="dxa"/>
            <w:tcBorders>
              <w:top w:val="single" w:sz="4" w:space="0" w:color="auto"/>
              <w:left w:val="nil"/>
              <w:bottom w:val="nil"/>
              <w:right w:val="nil"/>
            </w:tcBorders>
            <w:shd w:val="clear" w:color="auto" w:fill="auto"/>
            <w:noWrap/>
            <w:vAlign w:val="bottom"/>
            <w:hideMark/>
          </w:tcPr>
          <w:p w14:paraId="226651EA"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r>
      <w:tr w:rsidR="00272B18" w:rsidRPr="00AB729D" w14:paraId="19FBB318" w14:textId="77777777" w:rsidTr="00741DF5">
        <w:trPr>
          <w:trHeight w:val="315"/>
          <w:jc w:val="center"/>
        </w:trPr>
        <w:tc>
          <w:tcPr>
            <w:tcW w:w="2801" w:type="dxa"/>
            <w:tcBorders>
              <w:top w:val="nil"/>
              <w:left w:val="nil"/>
              <w:bottom w:val="single" w:sz="4" w:space="0" w:color="auto"/>
              <w:right w:val="nil"/>
            </w:tcBorders>
            <w:shd w:val="clear" w:color="auto" w:fill="auto"/>
            <w:noWrap/>
            <w:vAlign w:val="bottom"/>
            <w:hideMark/>
          </w:tcPr>
          <w:p w14:paraId="0E3B4DA5"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58" w:type="dxa"/>
            <w:tcBorders>
              <w:top w:val="nil"/>
              <w:left w:val="nil"/>
              <w:bottom w:val="single" w:sz="4" w:space="0" w:color="auto"/>
              <w:right w:val="nil"/>
            </w:tcBorders>
            <w:shd w:val="clear" w:color="auto" w:fill="auto"/>
            <w:noWrap/>
            <w:vAlign w:val="bottom"/>
            <w:hideMark/>
          </w:tcPr>
          <w:p w14:paraId="141E6419"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58" w:type="dxa"/>
            <w:tcBorders>
              <w:top w:val="nil"/>
              <w:left w:val="nil"/>
              <w:bottom w:val="single" w:sz="4" w:space="0" w:color="auto"/>
              <w:right w:val="nil"/>
            </w:tcBorders>
            <w:shd w:val="clear" w:color="auto" w:fill="auto"/>
            <w:noWrap/>
            <w:vAlign w:val="bottom"/>
            <w:hideMark/>
          </w:tcPr>
          <w:p w14:paraId="6CF2CC8D"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196" w:type="dxa"/>
            <w:tcBorders>
              <w:top w:val="nil"/>
              <w:left w:val="nil"/>
              <w:bottom w:val="single" w:sz="4" w:space="0" w:color="auto"/>
              <w:right w:val="nil"/>
            </w:tcBorders>
            <w:shd w:val="clear" w:color="auto" w:fill="auto"/>
            <w:noWrap/>
            <w:vAlign w:val="bottom"/>
            <w:hideMark/>
          </w:tcPr>
          <w:p w14:paraId="399E2347"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(1)</w:t>
            </w:r>
          </w:p>
        </w:tc>
        <w:tc>
          <w:tcPr>
            <w:tcW w:w="1116" w:type="dxa"/>
            <w:tcBorders>
              <w:top w:val="nil"/>
              <w:left w:val="nil"/>
              <w:bottom w:val="single" w:sz="4" w:space="0" w:color="auto"/>
              <w:right w:val="nil"/>
            </w:tcBorders>
            <w:shd w:val="clear" w:color="auto" w:fill="auto"/>
            <w:noWrap/>
            <w:vAlign w:val="bottom"/>
            <w:hideMark/>
          </w:tcPr>
          <w:p w14:paraId="02BC1D8F"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(2)</w:t>
            </w:r>
          </w:p>
        </w:tc>
        <w:tc>
          <w:tcPr>
            <w:tcW w:w="1116" w:type="dxa"/>
            <w:tcBorders>
              <w:top w:val="nil"/>
              <w:left w:val="nil"/>
              <w:bottom w:val="single" w:sz="4" w:space="0" w:color="auto"/>
              <w:right w:val="nil"/>
            </w:tcBorders>
            <w:shd w:val="clear" w:color="auto" w:fill="auto"/>
            <w:noWrap/>
            <w:vAlign w:val="bottom"/>
            <w:hideMark/>
          </w:tcPr>
          <w:p w14:paraId="05C6A45C"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(3)</w:t>
            </w:r>
          </w:p>
        </w:tc>
        <w:tc>
          <w:tcPr>
            <w:tcW w:w="1096" w:type="dxa"/>
            <w:tcBorders>
              <w:top w:val="nil"/>
              <w:left w:val="nil"/>
              <w:bottom w:val="single" w:sz="4" w:space="0" w:color="auto"/>
              <w:right w:val="nil"/>
            </w:tcBorders>
            <w:shd w:val="clear" w:color="auto" w:fill="auto"/>
            <w:noWrap/>
            <w:vAlign w:val="bottom"/>
            <w:hideMark/>
          </w:tcPr>
          <w:p w14:paraId="309C13C0"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(4)</w:t>
            </w:r>
          </w:p>
        </w:tc>
        <w:tc>
          <w:tcPr>
            <w:tcW w:w="1076" w:type="dxa"/>
            <w:tcBorders>
              <w:top w:val="nil"/>
              <w:left w:val="nil"/>
              <w:bottom w:val="single" w:sz="4" w:space="0" w:color="auto"/>
              <w:right w:val="nil"/>
            </w:tcBorders>
            <w:shd w:val="clear" w:color="auto" w:fill="auto"/>
            <w:noWrap/>
            <w:vAlign w:val="bottom"/>
            <w:hideMark/>
          </w:tcPr>
          <w:p w14:paraId="6EAE6B4E"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(5)</w:t>
            </w:r>
          </w:p>
        </w:tc>
        <w:tc>
          <w:tcPr>
            <w:tcW w:w="1196" w:type="dxa"/>
            <w:tcBorders>
              <w:top w:val="nil"/>
              <w:left w:val="nil"/>
              <w:bottom w:val="single" w:sz="4" w:space="0" w:color="auto"/>
              <w:right w:val="nil"/>
            </w:tcBorders>
            <w:shd w:val="clear" w:color="auto" w:fill="auto"/>
            <w:noWrap/>
            <w:vAlign w:val="bottom"/>
            <w:hideMark/>
          </w:tcPr>
          <w:p w14:paraId="345773A1"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(6)</w:t>
            </w:r>
          </w:p>
        </w:tc>
      </w:tr>
      <w:tr w:rsidR="00272B18" w:rsidRPr="00AB729D" w14:paraId="3B2C4320"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68125DC2"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DED</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23A3C49A"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5CBA1BB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6AC6182A" w14:textId="77777777" w:rsidR="00741DF5" w:rsidRPr="00AB729D" w:rsidRDefault="00D63698" w:rsidP="00741DF5">
            <w:pPr>
              <w:spacing w:after="0" w:line="240" w:lineRule="auto"/>
              <w:jc w:val="center"/>
              <w:rPr>
                <w:rFonts w:ascii="Times New Roman" w:eastAsia="Times New Roman" w:hAnsi="Times New Roman"/>
              </w:rPr>
            </w:pPr>
            <w:r w:rsidRPr="00AB729D">
              <w:rPr>
                <w:rFonts w:ascii="Times New Roman" w:eastAsia="Times New Roman" w:hAnsi="Times New Roman"/>
              </w:rPr>
              <w:t>-0.0</w:t>
            </w:r>
            <w:r w:rsidR="00741DF5" w:rsidRPr="00AB729D">
              <w:rPr>
                <w:rFonts w:ascii="Times New Roman" w:eastAsia="Times New Roman" w:hAnsi="Times New Roman"/>
              </w:rPr>
              <w:t>8</w:t>
            </w:r>
          </w:p>
        </w:tc>
        <w:tc>
          <w:tcPr>
            <w:tcW w:w="1116" w:type="dxa"/>
            <w:tcBorders>
              <w:top w:val="nil"/>
              <w:left w:val="nil"/>
              <w:bottom w:val="nil"/>
              <w:right w:val="nil"/>
            </w:tcBorders>
            <w:shd w:val="clear" w:color="auto" w:fill="auto"/>
            <w:noWrap/>
            <w:vAlign w:val="bottom"/>
            <w:hideMark/>
          </w:tcPr>
          <w:p w14:paraId="4C99F78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49BA8C1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96" w:type="dxa"/>
            <w:tcBorders>
              <w:top w:val="nil"/>
              <w:left w:val="nil"/>
              <w:bottom w:val="nil"/>
              <w:right w:val="nil"/>
            </w:tcBorders>
            <w:shd w:val="clear" w:color="auto" w:fill="auto"/>
            <w:noWrap/>
            <w:vAlign w:val="bottom"/>
            <w:hideMark/>
          </w:tcPr>
          <w:p w14:paraId="149D9DE9" w14:textId="77777777" w:rsidR="00741DF5" w:rsidRPr="00AB729D" w:rsidRDefault="00D63698" w:rsidP="00741DF5">
            <w:pPr>
              <w:spacing w:after="0" w:line="240" w:lineRule="auto"/>
              <w:jc w:val="center"/>
              <w:rPr>
                <w:rFonts w:ascii="Times New Roman" w:eastAsia="Times New Roman" w:hAnsi="Times New Roman"/>
              </w:rPr>
            </w:pPr>
            <w:r w:rsidRPr="00AB729D">
              <w:rPr>
                <w:rFonts w:ascii="Times New Roman" w:eastAsia="Times New Roman" w:hAnsi="Times New Roman"/>
              </w:rPr>
              <w:t>-0.09</w:t>
            </w:r>
            <w:r w:rsidR="00741DF5" w:rsidRPr="00AB729D">
              <w:rPr>
                <w:rFonts w:ascii="Times New Roman" w:eastAsia="Times New Roman" w:hAnsi="Times New Roman"/>
              </w:rPr>
              <w:t>***</w:t>
            </w:r>
          </w:p>
        </w:tc>
        <w:tc>
          <w:tcPr>
            <w:tcW w:w="1076" w:type="dxa"/>
            <w:tcBorders>
              <w:top w:val="nil"/>
              <w:left w:val="nil"/>
              <w:bottom w:val="nil"/>
              <w:right w:val="nil"/>
            </w:tcBorders>
            <w:shd w:val="clear" w:color="auto" w:fill="auto"/>
            <w:noWrap/>
            <w:vAlign w:val="bottom"/>
            <w:hideMark/>
          </w:tcPr>
          <w:p w14:paraId="7DBFACA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3D4FD85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0B180997"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2C17E636"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2BE77950"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6A25C7C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466E15B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(-0.243)</w:t>
            </w:r>
          </w:p>
        </w:tc>
        <w:tc>
          <w:tcPr>
            <w:tcW w:w="1116" w:type="dxa"/>
            <w:tcBorders>
              <w:top w:val="nil"/>
              <w:left w:val="nil"/>
              <w:bottom w:val="nil"/>
              <w:right w:val="nil"/>
            </w:tcBorders>
            <w:shd w:val="clear" w:color="auto" w:fill="auto"/>
            <w:noWrap/>
            <w:vAlign w:val="bottom"/>
            <w:hideMark/>
          </w:tcPr>
          <w:p w14:paraId="0843704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1E3673F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96" w:type="dxa"/>
            <w:tcBorders>
              <w:top w:val="nil"/>
              <w:left w:val="nil"/>
              <w:bottom w:val="nil"/>
              <w:right w:val="nil"/>
            </w:tcBorders>
            <w:shd w:val="clear" w:color="auto" w:fill="auto"/>
            <w:noWrap/>
            <w:vAlign w:val="bottom"/>
            <w:hideMark/>
          </w:tcPr>
          <w:p w14:paraId="2A0B71F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(-2.643)</w:t>
            </w:r>
          </w:p>
        </w:tc>
        <w:tc>
          <w:tcPr>
            <w:tcW w:w="1076" w:type="dxa"/>
            <w:tcBorders>
              <w:top w:val="nil"/>
              <w:left w:val="nil"/>
              <w:bottom w:val="nil"/>
              <w:right w:val="nil"/>
            </w:tcBorders>
            <w:shd w:val="clear" w:color="auto" w:fill="auto"/>
            <w:noWrap/>
            <w:vAlign w:val="bottom"/>
            <w:hideMark/>
          </w:tcPr>
          <w:p w14:paraId="1420FE0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50BD594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6B8454C4"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343489D2"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QIX</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5E981E52"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0CD0124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2558C84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5A088AB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-0.122***</w:t>
            </w:r>
          </w:p>
        </w:tc>
        <w:tc>
          <w:tcPr>
            <w:tcW w:w="1116" w:type="dxa"/>
            <w:tcBorders>
              <w:top w:val="nil"/>
              <w:left w:val="nil"/>
              <w:bottom w:val="nil"/>
              <w:right w:val="nil"/>
            </w:tcBorders>
            <w:shd w:val="clear" w:color="auto" w:fill="auto"/>
            <w:noWrap/>
            <w:vAlign w:val="bottom"/>
            <w:hideMark/>
          </w:tcPr>
          <w:p w14:paraId="14BE3B1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96" w:type="dxa"/>
            <w:tcBorders>
              <w:top w:val="nil"/>
              <w:left w:val="nil"/>
              <w:bottom w:val="nil"/>
              <w:right w:val="nil"/>
            </w:tcBorders>
            <w:shd w:val="clear" w:color="auto" w:fill="auto"/>
            <w:noWrap/>
            <w:vAlign w:val="bottom"/>
            <w:hideMark/>
          </w:tcPr>
          <w:p w14:paraId="60ECB19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76" w:type="dxa"/>
            <w:tcBorders>
              <w:top w:val="nil"/>
              <w:left w:val="nil"/>
              <w:bottom w:val="nil"/>
              <w:right w:val="nil"/>
            </w:tcBorders>
            <w:shd w:val="clear" w:color="auto" w:fill="auto"/>
            <w:noWrap/>
            <w:vAlign w:val="bottom"/>
            <w:hideMark/>
          </w:tcPr>
          <w:p w14:paraId="7365294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-0.20***</w:t>
            </w:r>
          </w:p>
        </w:tc>
        <w:tc>
          <w:tcPr>
            <w:tcW w:w="1196" w:type="dxa"/>
            <w:tcBorders>
              <w:top w:val="nil"/>
              <w:left w:val="nil"/>
              <w:bottom w:val="nil"/>
              <w:right w:val="nil"/>
            </w:tcBorders>
            <w:shd w:val="clear" w:color="auto" w:fill="auto"/>
            <w:noWrap/>
            <w:vAlign w:val="bottom"/>
            <w:hideMark/>
          </w:tcPr>
          <w:p w14:paraId="0AEE1AB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6AB9C12B"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4EB4E56E"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0CD27B1D"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01C9CC5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5B035E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441025F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(-6.407)</w:t>
            </w:r>
          </w:p>
        </w:tc>
        <w:tc>
          <w:tcPr>
            <w:tcW w:w="1116" w:type="dxa"/>
            <w:tcBorders>
              <w:top w:val="nil"/>
              <w:left w:val="nil"/>
              <w:bottom w:val="nil"/>
              <w:right w:val="nil"/>
            </w:tcBorders>
            <w:shd w:val="clear" w:color="auto" w:fill="auto"/>
            <w:noWrap/>
            <w:vAlign w:val="bottom"/>
            <w:hideMark/>
          </w:tcPr>
          <w:p w14:paraId="3A8DB08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96" w:type="dxa"/>
            <w:tcBorders>
              <w:top w:val="nil"/>
              <w:left w:val="nil"/>
              <w:bottom w:val="nil"/>
              <w:right w:val="nil"/>
            </w:tcBorders>
            <w:shd w:val="clear" w:color="auto" w:fill="auto"/>
            <w:noWrap/>
            <w:vAlign w:val="bottom"/>
            <w:hideMark/>
          </w:tcPr>
          <w:p w14:paraId="68B8FFA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76" w:type="dxa"/>
            <w:tcBorders>
              <w:top w:val="nil"/>
              <w:left w:val="nil"/>
              <w:bottom w:val="nil"/>
              <w:right w:val="nil"/>
            </w:tcBorders>
            <w:shd w:val="clear" w:color="auto" w:fill="auto"/>
            <w:noWrap/>
            <w:vAlign w:val="bottom"/>
            <w:hideMark/>
          </w:tcPr>
          <w:p w14:paraId="1C35A69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(-9.147)</w:t>
            </w:r>
          </w:p>
        </w:tc>
        <w:tc>
          <w:tcPr>
            <w:tcW w:w="1196" w:type="dxa"/>
            <w:tcBorders>
              <w:top w:val="nil"/>
              <w:left w:val="nil"/>
              <w:bottom w:val="nil"/>
              <w:right w:val="nil"/>
            </w:tcBorders>
            <w:shd w:val="clear" w:color="auto" w:fill="auto"/>
            <w:noWrap/>
            <w:vAlign w:val="bottom"/>
            <w:hideMark/>
          </w:tcPr>
          <w:p w14:paraId="51454D7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5233C947"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733480E2"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TRA</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40415E61"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26CE87E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5C3F980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0EB7535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2A0485C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0.098***</w:t>
            </w:r>
          </w:p>
        </w:tc>
        <w:tc>
          <w:tcPr>
            <w:tcW w:w="1096" w:type="dxa"/>
            <w:tcBorders>
              <w:top w:val="nil"/>
              <w:left w:val="nil"/>
              <w:bottom w:val="nil"/>
              <w:right w:val="nil"/>
            </w:tcBorders>
            <w:shd w:val="clear" w:color="auto" w:fill="auto"/>
            <w:noWrap/>
            <w:vAlign w:val="bottom"/>
            <w:hideMark/>
          </w:tcPr>
          <w:p w14:paraId="0A8BCE2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76" w:type="dxa"/>
            <w:tcBorders>
              <w:top w:val="nil"/>
              <w:left w:val="nil"/>
              <w:bottom w:val="nil"/>
              <w:right w:val="nil"/>
            </w:tcBorders>
            <w:shd w:val="clear" w:color="auto" w:fill="auto"/>
            <w:noWrap/>
            <w:vAlign w:val="bottom"/>
            <w:hideMark/>
          </w:tcPr>
          <w:p w14:paraId="306F5E0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3B76A8B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0.202***</w:t>
            </w:r>
          </w:p>
        </w:tc>
      </w:tr>
      <w:tr w:rsidR="00272B18" w:rsidRPr="00AB729D" w14:paraId="2677BA93"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27BD7D3D"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2B7A5BD6"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1021EFF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00FECA2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499E906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16" w:type="dxa"/>
            <w:tcBorders>
              <w:top w:val="nil"/>
              <w:left w:val="nil"/>
              <w:bottom w:val="nil"/>
              <w:right w:val="nil"/>
            </w:tcBorders>
            <w:shd w:val="clear" w:color="auto" w:fill="auto"/>
            <w:noWrap/>
            <w:vAlign w:val="bottom"/>
            <w:hideMark/>
          </w:tcPr>
          <w:p w14:paraId="63160BB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(3.347)</w:t>
            </w:r>
          </w:p>
        </w:tc>
        <w:tc>
          <w:tcPr>
            <w:tcW w:w="1096" w:type="dxa"/>
            <w:tcBorders>
              <w:top w:val="nil"/>
              <w:left w:val="nil"/>
              <w:bottom w:val="nil"/>
              <w:right w:val="nil"/>
            </w:tcBorders>
            <w:shd w:val="clear" w:color="auto" w:fill="auto"/>
            <w:noWrap/>
            <w:vAlign w:val="bottom"/>
            <w:hideMark/>
          </w:tcPr>
          <w:p w14:paraId="5FCC6A6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076" w:type="dxa"/>
            <w:tcBorders>
              <w:top w:val="nil"/>
              <w:left w:val="nil"/>
              <w:bottom w:val="nil"/>
              <w:right w:val="nil"/>
            </w:tcBorders>
            <w:shd w:val="clear" w:color="auto" w:fill="auto"/>
            <w:noWrap/>
            <w:vAlign w:val="bottom"/>
            <w:hideMark/>
          </w:tcPr>
          <w:p w14:paraId="401B0C7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68B9442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(7.974)</w:t>
            </w:r>
          </w:p>
        </w:tc>
      </w:tr>
      <w:tr w:rsidR="00272B18" w:rsidRPr="00AB729D" w14:paraId="111D899C"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5A3D544B"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LN_SALE</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7DD7B89A"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57D1F9B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2D65881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-0.036***</w:t>
            </w:r>
          </w:p>
        </w:tc>
        <w:tc>
          <w:tcPr>
            <w:tcW w:w="1116" w:type="dxa"/>
            <w:tcBorders>
              <w:top w:val="nil"/>
              <w:left w:val="nil"/>
              <w:bottom w:val="nil"/>
              <w:right w:val="nil"/>
            </w:tcBorders>
            <w:shd w:val="clear" w:color="auto" w:fill="auto"/>
            <w:noWrap/>
            <w:vAlign w:val="bottom"/>
            <w:hideMark/>
          </w:tcPr>
          <w:p w14:paraId="2B21E2E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-0.031***</w:t>
            </w:r>
          </w:p>
        </w:tc>
        <w:tc>
          <w:tcPr>
            <w:tcW w:w="1116" w:type="dxa"/>
            <w:tcBorders>
              <w:top w:val="nil"/>
              <w:left w:val="nil"/>
              <w:bottom w:val="nil"/>
              <w:right w:val="nil"/>
            </w:tcBorders>
            <w:shd w:val="clear" w:color="auto" w:fill="auto"/>
            <w:noWrap/>
            <w:vAlign w:val="bottom"/>
            <w:hideMark/>
          </w:tcPr>
          <w:p w14:paraId="4E0B3D0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-0.037***</w:t>
            </w:r>
          </w:p>
        </w:tc>
        <w:tc>
          <w:tcPr>
            <w:tcW w:w="1096" w:type="dxa"/>
            <w:tcBorders>
              <w:top w:val="nil"/>
              <w:left w:val="nil"/>
              <w:bottom w:val="nil"/>
              <w:right w:val="nil"/>
            </w:tcBorders>
            <w:shd w:val="clear" w:color="auto" w:fill="auto"/>
            <w:noWrap/>
            <w:vAlign w:val="bottom"/>
            <w:hideMark/>
          </w:tcPr>
          <w:p w14:paraId="2031A98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-0.008**</w:t>
            </w:r>
          </w:p>
        </w:tc>
        <w:tc>
          <w:tcPr>
            <w:tcW w:w="1076" w:type="dxa"/>
            <w:tcBorders>
              <w:top w:val="nil"/>
              <w:left w:val="nil"/>
              <w:bottom w:val="nil"/>
              <w:right w:val="nil"/>
            </w:tcBorders>
            <w:shd w:val="clear" w:color="auto" w:fill="auto"/>
            <w:noWrap/>
            <w:vAlign w:val="bottom"/>
            <w:hideMark/>
          </w:tcPr>
          <w:p w14:paraId="2C40CA4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-0.001</w:t>
            </w:r>
          </w:p>
        </w:tc>
        <w:tc>
          <w:tcPr>
            <w:tcW w:w="1196" w:type="dxa"/>
            <w:tcBorders>
              <w:top w:val="nil"/>
              <w:left w:val="nil"/>
              <w:bottom w:val="nil"/>
              <w:right w:val="nil"/>
            </w:tcBorders>
            <w:shd w:val="clear" w:color="auto" w:fill="auto"/>
            <w:noWrap/>
            <w:vAlign w:val="bottom"/>
            <w:hideMark/>
          </w:tcPr>
          <w:p w14:paraId="4C9BD3E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-0.006*</w:t>
            </w:r>
          </w:p>
        </w:tc>
      </w:tr>
      <w:tr w:rsidR="00272B18" w:rsidRPr="00AB729D" w14:paraId="52FCD92A"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3534D1BB"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465EC548"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3CC3268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25AA254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(-14.468)</w:t>
            </w:r>
          </w:p>
        </w:tc>
        <w:tc>
          <w:tcPr>
            <w:tcW w:w="1116" w:type="dxa"/>
            <w:tcBorders>
              <w:top w:val="nil"/>
              <w:left w:val="nil"/>
              <w:bottom w:val="nil"/>
              <w:right w:val="nil"/>
            </w:tcBorders>
            <w:shd w:val="clear" w:color="auto" w:fill="auto"/>
            <w:noWrap/>
            <w:vAlign w:val="bottom"/>
            <w:hideMark/>
          </w:tcPr>
          <w:p w14:paraId="0B64973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(-11.027)</w:t>
            </w:r>
          </w:p>
        </w:tc>
        <w:tc>
          <w:tcPr>
            <w:tcW w:w="1116" w:type="dxa"/>
            <w:tcBorders>
              <w:top w:val="nil"/>
              <w:left w:val="nil"/>
              <w:bottom w:val="nil"/>
              <w:right w:val="nil"/>
            </w:tcBorders>
            <w:shd w:val="clear" w:color="auto" w:fill="auto"/>
            <w:noWrap/>
            <w:vAlign w:val="bottom"/>
            <w:hideMark/>
          </w:tcPr>
          <w:p w14:paraId="2D09057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(-14.231)</w:t>
            </w:r>
          </w:p>
        </w:tc>
        <w:tc>
          <w:tcPr>
            <w:tcW w:w="1096" w:type="dxa"/>
            <w:tcBorders>
              <w:top w:val="nil"/>
              <w:left w:val="nil"/>
              <w:bottom w:val="nil"/>
              <w:right w:val="nil"/>
            </w:tcBorders>
            <w:shd w:val="clear" w:color="auto" w:fill="auto"/>
            <w:noWrap/>
            <w:vAlign w:val="bottom"/>
            <w:hideMark/>
          </w:tcPr>
          <w:p w14:paraId="4E22CDA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(-2.431)</w:t>
            </w:r>
          </w:p>
        </w:tc>
        <w:tc>
          <w:tcPr>
            <w:tcW w:w="1076" w:type="dxa"/>
            <w:tcBorders>
              <w:top w:val="nil"/>
              <w:left w:val="nil"/>
              <w:bottom w:val="nil"/>
              <w:right w:val="nil"/>
            </w:tcBorders>
            <w:shd w:val="clear" w:color="auto" w:fill="auto"/>
            <w:noWrap/>
            <w:vAlign w:val="bottom"/>
            <w:hideMark/>
          </w:tcPr>
          <w:p w14:paraId="2838D82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(-0.297)</w:t>
            </w:r>
          </w:p>
        </w:tc>
        <w:tc>
          <w:tcPr>
            <w:tcW w:w="1196" w:type="dxa"/>
            <w:tcBorders>
              <w:top w:val="nil"/>
              <w:left w:val="nil"/>
              <w:bottom w:val="nil"/>
              <w:right w:val="nil"/>
            </w:tcBorders>
            <w:shd w:val="clear" w:color="auto" w:fill="auto"/>
            <w:noWrap/>
            <w:vAlign w:val="bottom"/>
            <w:hideMark/>
          </w:tcPr>
          <w:p w14:paraId="27C8875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(-1.775)</w:t>
            </w:r>
          </w:p>
        </w:tc>
      </w:tr>
      <w:tr w:rsidR="00272B18" w:rsidRPr="00AB729D" w14:paraId="02D8BBCB"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492401D0"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LEV</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05667570"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46B3FA3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0193EAF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0.120*</w:t>
            </w:r>
          </w:p>
        </w:tc>
        <w:tc>
          <w:tcPr>
            <w:tcW w:w="1116" w:type="dxa"/>
            <w:tcBorders>
              <w:top w:val="nil"/>
              <w:left w:val="nil"/>
              <w:bottom w:val="nil"/>
              <w:right w:val="nil"/>
            </w:tcBorders>
            <w:shd w:val="clear" w:color="auto" w:fill="auto"/>
            <w:noWrap/>
            <w:vAlign w:val="bottom"/>
            <w:hideMark/>
          </w:tcPr>
          <w:p w14:paraId="22AA331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0.116*</w:t>
            </w:r>
          </w:p>
        </w:tc>
        <w:tc>
          <w:tcPr>
            <w:tcW w:w="1116" w:type="dxa"/>
            <w:tcBorders>
              <w:top w:val="nil"/>
              <w:left w:val="nil"/>
              <w:bottom w:val="nil"/>
              <w:right w:val="nil"/>
            </w:tcBorders>
            <w:shd w:val="clear" w:color="auto" w:fill="auto"/>
            <w:noWrap/>
            <w:vAlign w:val="bottom"/>
            <w:hideMark/>
          </w:tcPr>
          <w:p w14:paraId="7677C58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0.121*</w:t>
            </w:r>
          </w:p>
        </w:tc>
        <w:tc>
          <w:tcPr>
            <w:tcW w:w="1096" w:type="dxa"/>
            <w:tcBorders>
              <w:top w:val="nil"/>
              <w:left w:val="nil"/>
              <w:bottom w:val="nil"/>
              <w:right w:val="nil"/>
            </w:tcBorders>
            <w:shd w:val="clear" w:color="auto" w:fill="auto"/>
            <w:noWrap/>
            <w:vAlign w:val="bottom"/>
            <w:hideMark/>
          </w:tcPr>
          <w:p w14:paraId="6BE1201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0.216**</w:t>
            </w:r>
          </w:p>
        </w:tc>
        <w:tc>
          <w:tcPr>
            <w:tcW w:w="1076" w:type="dxa"/>
            <w:tcBorders>
              <w:top w:val="nil"/>
              <w:left w:val="nil"/>
              <w:bottom w:val="nil"/>
              <w:right w:val="nil"/>
            </w:tcBorders>
            <w:shd w:val="clear" w:color="auto" w:fill="auto"/>
            <w:noWrap/>
            <w:vAlign w:val="bottom"/>
            <w:hideMark/>
          </w:tcPr>
          <w:p w14:paraId="369937B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0.210**</w:t>
            </w:r>
          </w:p>
        </w:tc>
        <w:tc>
          <w:tcPr>
            <w:tcW w:w="1196" w:type="dxa"/>
            <w:tcBorders>
              <w:top w:val="nil"/>
              <w:left w:val="nil"/>
              <w:bottom w:val="nil"/>
              <w:right w:val="nil"/>
            </w:tcBorders>
            <w:shd w:val="clear" w:color="auto" w:fill="auto"/>
            <w:noWrap/>
            <w:vAlign w:val="bottom"/>
            <w:hideMark/>
          </w:tcPr>
          <w:p w14:paraId="2EFB898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0.214**</w:t>
            </w:r>
          </w:p>
        </w:tc>
      </w:tr>
      <w:tr w:rsidR="00272B18" w:rsidRPr="00AB729D" w14:paraId="08B6CF72"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4FA91EDB"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261195AC"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0BA7B75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C32100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(1.845)</w:t>
            </w:r>
          </w:p>
        </w:tc>
        <w:tc>
          <w:tcPr>
            <w:tcW w:w="1116" w:type="dxa"/>
            <w:tcBorders>
              <w:top w:val="nil"/>
              <w:left w:val="nil"/>
              <w:bottom w:val="nil"/>
              <w:right w:val="nil"/>
            </w:tcBorders>
            <w:shd w:val="clear" w:color="auto" w:fill="auto"/>
            <w:noWrap/>
            <w:vAlign w:val="bottom"/>
            <w:hideMark/>
          </w:tcPr>
          <w:p w14:paraId="679D9A9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(1.826)</w:t>
            </w:r>
          </w:p>
        </w:tc>
        <w:tc>
          <w:tcPr>
            <w:tcW w:w="1116" w:type="dxa"/>
            <w:tcBorders>
              <w:top w:val="nil"/>
              <w:left w:val="nil"/>
              <w:bottom w:val="nil"/>
              <w:right w:val="nil"/>
            </w:tcBorders>
            <w:shd w:val="clear" w:color="auto" w:fill="auto"/>
            <w:noWrap/>
            <w:vAlign w:val="bottom"/>
            <w:hideMark/>
          </w:tcPr>
          <w:p w14:paraId="24402F4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(1.845)</w:t>
            </w:r>
          </w:p>
        </w:tc>
        <w:tc>
          <w:tcPr>
            <w:tcW w:w="1096" w:type="dxa"/>
            <w:tcBorders>
              <w:top w:val="nil"/>
              <w:left w:val="nil"/>
              <w:bottom w:val="nil"/>
              <w:right w:val="nil"/>
            </w:tcBorders>
            <w:shd w:val="clear" w:color="auto" w:fill="auto"/>
            <w:noWrap/>
            <w:vAlign w:val="bottom"/>
            <w:hideMark/>
          </w:tcPr>
          <w:p w14:paraId="4D61A46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(2.105)</w:t>
            </w:r>
          </w:p>
        </w:tc>
        <w:tc>
          <w:tcPr>
            <w:tcW w:w="1076" w:type="dxa"/>
            <w:tcBorders>
              <w:top w:val="nil"/>
              <w:left w:val="nil"/>
              <w:bottom w:val="nil"/>
              <w:right w:val="nil"/>
            </w:tcBorders>
            <w:shd w:val="clear" w:color="auto" w:fill="auto"/>
            <w:noWrap/>
            <w:vAlign w:val="bottom"/>
            <w:hideMark/>
          </w:tcPr>
          <w:p w14:paraId="35EC204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(2.093)</w:t>
            </w:r>
          </w:p>
        </w:tc>
        <w:tc>
          <w:tcPr>
            <w:tcW w:w="1196" w:type="dxa"/>
            <w:tcBorders>
              <w:top w:val="nil"/>
              <w:left w:val="nil"/>
              <w:bottom w:val="nil"/>
              <w:right w:val="nil"/>
            </w:tcBorders>
            <w:shd w:val="clear" w:color="auto" w:fill="auto"/>
            <w:noWrap/>
            <w:vAlign w:val="bottom"/>
            <w:hideMark/>
          </w:tcPr>
          <w:p w14:paraId="3E9F84C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(2.102)</w:t>
            </w:r>
          </w:p>
        </w:tc>
      </w:tr>
      <w:tr w:rsidR="00272B18" w:rsidRPr="00AB729D" w14:paraId="1441A7A5"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6840FE83"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LN_AGE</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2070C6FA"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218E211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64973E2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-0.036***</w:t>
            </w:r>
          </w:p>
        </w:tc>
        <w:tc>
          <w:tcPr>
            <w:tcW w:w="1116" w:type="dxa"/>
            <w:tcBorders>
              <w:top w:val="nil"/>
              <w:left w:val="nil"/>
              <w:bottom w:val="nil"/>
              <w:right w:val="nil"/>
            </w:tcBorders>
            <w:shd w:val="clear" w:color="auto" w:fill="auto"/>
            <w:noWrap/>
            <w:vAlign w:val="bottom"/>
            <w:hideMark/>
          </w:tcPr>
          <w:p w14:paraId="193821C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-0.034***</w:t>
            </w:r>
          </w:p>
        </w:tc>
        <w:tc>
          <w:tcPr>
            <w:tcW w:w="1116" w:type="dxa"/>
            <w:tcBorders>
              <w:top w:val="nil"/>
              <w:left w:val="nil"/>
              <w:bottom w:val="nil"/>
              <w:right w:val="nil"/>
            </w:tcBorders>
            <w:shd w:val="clear" w:color="auto" w:fill="auto"/>
            <w:noWrap/>
            <w:vAlign w:val="bottom"/>
            <w:hideMark/>
          </w:tcPr>
          <w:p w14:paraId="1973BCD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-0.034***</w:t>
            </w:r>
          </w:p>
        </w:tc>
        <w:tc>
          <w:tcPr>
            <w:tcW w:w="1096" w:type="dxa"/>
            <w:tcBorders>
              <w:top w:val="nil"/>
              <w:left w:val="nil"/>
              <w:bottom w:val="nil"/>
              <w:right w:val="nil"/>
            </w:tcBorders>
            <w:shd w:val="clear" w:color="auto" w:fill="auto"/>
            <w:noWrap/>
            <w:vAlign w:val="bottom"/>
            <w:hideMark/>
          </w:tcPr>
          <w:p w14:paraId="081F26E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0.014***</w:t>
            </w:r>
          </w:p>
        </w:tc>
        <w:tc>
          <w:tcPr>
            <w:tcW w:w="1076" w:type="dxa"/>
            <w:tcBorders>
              <w:top w:val="nil"/>
              <w:left w:val="nil"/>
              <w:bottom w:val="nil"/>
              <w:right w:val="nil"/>
            </w:tcBorders>
            <w:shd w:val="clear" w:color="auto" w:fill="auto"/>
            <w:noWrap/>
            <w:vAlign w:val="bottom"/>
            <w:hideMark/>
          </w:tcPr>
          <w:p w14:paraId="2E24D76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0.017***</w:t>
            </w:r>
          </w:p>
        </w:tc>
        <w:tc>
          <w:tcPr>
            <w:tcW w:w="1196" w:type="dxa"/>
            <w:tcBorders>
              <w:top w:val="nil"/>
              <w:left w:val="nil"/>
              <w:bottom w:val="nil"/>
              <w:right w:val="nil"/>
            </w:tcBorders>
            <w:shd w:val="clear" w:color="auto" w:fill="auto"/>
            <w:noWrap/>
            <w:vAlign w:val="bottom"/>
            <w:hideMark/>
          </w:tcPr>
          <w:p w14:paraId="5668F9B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0.010***</w:t>
            </w:r>
          </w:p>
        </w:tc>
      </w:tr>
      <w:tr w:rsidR="00272B18" w:rsidRPr="00AB729D" w14:paraId="3CEFC731"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35C93291"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02A5C56A"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2C9313B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2168A47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(-8.970)</w:t>
            </w:r>
          </w:p>
        </w:tc>
        <w:tc>
          <w:tcPr>
            <w:tcW w:w="1116" w:type="dxa"/>
            <w:tcBorders>
              <w:top w:val="nil"/>
              <w:left w:val="nil"/>
              <w:bottom w:val="nil"/>
              <w:right w:val="nil"/>
            </w:tcBorders>
            <w:shd w:val="clear" w:color="auto" w:fill="auto"/>
            <w:noWrap/>
            <w:vAlign w:val="bottom"/>
            <w:hideMark/>
          </w:tcPr>
          <w:p w14:paraId="4679FDD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(-8.434)</w:t>
            </w:r>
          </w:p>
        </w:tc>
        <w:tc>
          <w:tcPr>
            <w:tcW w:w="1116" w:type="dxa"/>
            <w:tcBorders>
              <w:top w:val="nil"/>
              <w:left w:val="nil"/>
              <w:bottom w:val="nil"/>
              <w:right w:val="nil"/>
            </w:tcBorders>
            <w:shd w:val="clear" w:color="auto" w:fill="auto"/>
            <w:noWrap/>
            <w:vAlign w:val="bottom"/>
            <w:hideMark/>
          </w:tcPr>
          <w:p w14:paraId="510BD2B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(-8.525)</w:t>
            </w:r>
          </w:p>
        </w:tc>
        <w:tc>
          <w:tcPr>
            <w:tcW w:w="1096" w:type="dxa"/>
            <w:tcBorders>
              <w:top w:val="nil"/>
              <w:left w:val="nil"/>
              <w:bottom w:val="nil"/>
              <w:right w:val="nil"/>
            </w:tcBorders>
            <w:shd w:val="clear" w:color="auto" w:fill="auto"/>
            <w:noWrap/>
            <w:vAlign w:val="bottom"/>
            <w:hideMark/>
          </w:tcPr>
          <w:p w14:paraId="4D9F4D0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(3.743)</w:t>
            </w:r>
          </w:p>
        </w:tc>
        <w:tc>
          <w:tcPr>
            <w:tcW w:w="1076" w:type="dxa"/>
            <w:tcBorders>
              <w:top w:val="nil"/>
              <w:left w:val="nil"/>
              <w:bottom w:val="nil"/>
              <w:right w:val="nil"/>
            </w:tcBorders>
            <w:shd w:val="clear" w:color="auto" w:fill="auto"/>
            <w:noWrap/>
            <w:vAlign w:val="bottom"/>
            <w:hideMark/>
          </w:tcPr>
          <w:p w14:paraId="735B1F9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(4.578)</w:t>
            </w:r>
          </w:p>
        </w:tc>
        <w:tc>
          <w:tcPr>
            <w:tcW w:w="1196" w:type="dxa"/>
            <w:tcBorders>
              <w:top w:val="nil"/>
              <w:left w:val="nil"/>
              <w:bottom w:val="nil"/>
              <w:right w:val="nil"/>
            </w:tcBorders>
            <w:shd w:val="clear" w:color="auto" w:fill="auto"/>
            <w:noWrap/>
            <w:vAlign w:val="bottom"/>
            <w:hideMark/>
          </w:tcPr>
          <w:p w14:paraId="09D7F57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(2.807)</w:t>
            </w:r>
          </w:p>
        </w:tc>
      </w:tr>
      <w:tr w:rsidR="00272B18" w:rsidRPr="00AB729D" w14:paraId="1ECF1B69"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55B98628"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ROA</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495C80D3"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7CC705C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A34948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0.009</w:t>
            </w:r>
          </w:p>
        </w:tc>
        <w:tc>
          <w:tcPr>
            <w:tcW w:w="1116" w:type="dxa"/>
            <w:tcBorders>
              <w:top w:val="nil"/>
              <w:left w:val="nil"/>
              <w:bottom w:val="nil"/>
              <w:right w:val="nil"/>
            </w:tcBorders>
            <w:shd w:val="clear" w:color="auto" w:fill="auto"/>
            <w:noWrap/>
            <w:vAlign w:val="bottom"/>
            <w:hideMark/>
          </w:tcPr>
          <w:p w14:paraId="4E33E48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0.008</w:t>
            </w:r>
          </w:p>
        </w:tc>
        <w:tc>
          <w:tcPr>
            <w:tcW w:w="1116" w:type="dxa"/>
            <w:tcBorders>
              <w:top w:val="nil"/>
              <w:left w:val="nil"/>
              <w:bottom w:val="nil"/>
              <w:right w:val="nil"/>
            </w:tcBorders>
            <w:shd w:val="clear" w:color="auto" w:fill="auto"/>
            <w:noWrap/>
            <w:vAlign w:val="bottom"/>
            <w:hideMark/>
          </w:tcPr>
          <w:p w14:paraId="37D2D9E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0.009</w:t>
            </w:r>
          </w:p>
        </w:tc>
        <w:tc>
          <w:tcPr>
            <w:tcW w:w="1096" w:type="dxa"/>
            <w:tcBorders>
              <w:top w:val="nil"/>
              <w:left w:val="nil"/>
              <w:bottom w:val="nil"/>
              <w:right w:val="nil"/>
            </w:tcBorders>
            <w:shd w:val="clear" w:color="auto" w:fill="auto"/>
            <w:noWrap/>
            <w:vAlign w:val="bottom"/>
            <w:hideMark/>
          </w:tcPr>
          <w:p w14:paraId="2EFE11A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0.039**</w:t>
            </w:r>
          </w:p>
        </w:tc>
        <w:tc>
          <w:tcPr>
            <w:tcW w:w="1076" w:type="dxa"/>
            <w:tcBorders>
              <w:top w:val="nil"/>
              <w:left w:val="nil"/>
              <w:bottom w:val="nil"/>
              <w:right w:val="nil"/>
            </w:tcBorders>
            <w:shd w:val="clear" w:color="auto" w:fill="auto"/>
            <w:noWrap/>
            <w:vAlign w:val="bottom"/>
            <w:hideMark/>
          </w:tcPr>
          <w:p w14:paraId="63F7862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0.037**</w:t>
            </w:r>
          </w:p>
        </w:tc>
        <w:tc>
          <w:tcPr>
            <w:tcW w:w="1196" w:type="dxa"/>
            <w:tcBorders>
              <w:top w:val="nil"/>
              <w:left w:val="nil"/>
              <w:bottom w:val="nil"/>
              <w:right w:val="nil"/>
            </w:tcBorders>
            <w:shd w:val="clear" w:color="auto" w:fill="auto"/>
            <w:noWrap/>
            <w:vAlign w:val="bottom"/>
            <w:hideMark/>
          </w:tcPr>
          <w:p w14:paraId="29E3AF7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0.039**</w:t>
            </w:r>
          </w:p>
        </w:tc>
      </w:tr>
      <w:tr w:rsidR="00272B18" w:rsidRPr="00AB729D" w14:paraId="43751926"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0A5B40F2"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69D7476C"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02DBED5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4A2C62F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(1.061)</w:t>
            </w:r>
          </w:p>
        </w:tc>
        <w:tc>
          <w:tcPr>
            <w:tcW w:w="1116" w:type="dxa"/>
            <w:tcBorders>
              <w:top w:val="nil"/>
              <w:left w:val="nil"/>
              <w:bottom w:val="nil"/>
              <w:right w:val="nil"/>
            </w:tcBorders>
            <w:shd w:val="clear" w:color="auto" w:fill="auto"/>
            <w:noWrap/>
            <w:vAlign w:val="bottom"/>
            <w:hideMark/>
          </w:tcPr>
          <w:p w14:paraId="23DE7BF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(0.961)</w:t>
            </w:r>
          </w:p>
        </w:tc>
        <w:tc>
          <w:tcPr>
            <w:tcW w:w="1116" w:type="dxa"/>
            <w:tcBorders>
              <w:top w:val="nil"/>
              <w:left w:val="nil"/>
              <w:bottom w:val="nil"/>
              <w:right w:val="nil"/>
            </w:tcBorders>
            <w:shd w:val="clear" w:color="auto" w:fill="auto"/>
            <w:noWrap/>
            <w:vAlign w:val="bottom"/>
            <w:hideMark/>
          </w:tcPr>
          <w:p w14:paraId="2945E34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(1.042)</w:t>
            </w:r>
          </w:p>
        </w:tc>
        <w:tc>
          <w:tcPr>
            <w:tcW w:w="1096" w:type="dxa"/>
            <w:tcBorders>
              <w:top w:val="nil"/>
              <w:left w:val="nil"/>
              <w:bottom w:val="nil"/>
              <w:right w:val="nil"/>
            </w:tcBorders>
            <w:shd w:val="clear" w:color="auto" w:fill="auto"/>
            <w:noWrap/>
            <w:vAlign w:val="bottom"/>
            <w:hideMark/>
          </w:tcPr>
          <w:p w14:paraId="792E12D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(2.057)</w:t>
            </w:r>
          </w:p>
        </w:tc>
        <w:tc>
          <w:tcPr>
            <w:tcW w:w="1076" w:type="dxa"/>
            <w:tcBorders>
              <w:top w:val="nil"/>
              <w:left w:val="nil"/>
              <w:bottom w:val="nil"/>
              <w:right w:val="nil"/>
            </w:tcBorders>
            <w:shd w:val="clear" w:color="auto" w:fill="auto"/>
            <w:noWrap/>
            <w:vAlign w:val="bottom"/>
            <w:hideMark/>
          </w:tcPr>
          <w:p w14:paraId="77964E7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(2.045)</w:t>
            </w:r>
          </w:p>
        </w:tc>
        <w:tc>
          <w:tcPr>
            <w:tcW w:w="1196" w:type="dxa"/>
            <w:tcBorders>
              <w:top w:val="nil"/>
              <w:left w:val="nil"/>
              <w:bottom w:val="nil"/>
              <w:right w:val="nil"/>
            </w:tcBorders>
            <w:shd w:val="clear" w:color="auto" w:fill="auto"/>
            <w:noWrap/>
            <w:vAlign w:val="bottom"/>
            <w:hideMark/>
          </w:tcPr>
          <w:p w14:paraId="5C4E508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(2.045)</w:t>
            </w:r>
          </w:p>
        </w:tc>
      </w:tr>
      <w:tr w:rsidR="00272B18" w:rsidRPr="00AB729D" w14:paraId="3E02AEE2"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7E529E2B"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DY</m:t>
                    </m:r>
                  </m:e>
                  <m:sub>
                    <m:r>
                      <w:rPr>
                        <w:rFonts w:ascii="Cambria Math" w:eastAsia="Times New Roman" w:hAnsi="Cambria Math"/>
                        <w:sz w:val="24"/>
                        <w:szCs w:val="24"/>
                      </w:rPr>
                      <m:t>t</m:t>
                    </m:r>
                  </m:sub>
                </m:sSub>
              </m:oMath>
            </m:oMathPara>
          </w:p>
        </w:tc>
        <w:tc>
          <w:tcPr>
            <w:tcW w:w="158" w:type="dxa"/>
            <w:tcBorders>
              <w:top w:val="nil"/>
              <w:left w:val="nil"/>
              <w:bottom w:val="nil"/>
              <w:right w:val="nil"/>
            </w:tcBorders>
            <w:shd w:val="clear" w:color="auto" w:fill="auto"/>
            <w:noWrap/>
            <w:vAlign w:val="bottom"/>
            <w:hideMark/>
          </w:tcPr>
          <w:p w14:paraId="428ACFE2"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6255D91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1276D00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-0.041*</w:t>
            </w:r>
          </w:p>
        </w:tc>
        <w:tc>
          <w:tcPr>
            <w:tcW w:w="1116" w:type="dxa"/>
            <w:tcBorders>
              <w:top w:val="nil"/>
              <w:left w:val="nil"/>
              <w:bottom w:val="nil"/>
              <w:right w:val="nil"/>
            </w:tcBorders>
            <w:shd w:val="clear" w:color="auto" w:fill="auto"/>
            <w:noWrap/>
            <w:vAlign w:val="bottom"/>
            <w:hideMark/>
          </w:tcPr>
          <w:p w14:paraId="73167F1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-0.045**</w:t>
            </w:r>
          </w:p>
        </w:tc>
        <w:tc>
          <w:tcPr>
            <w:tcW w:w="1116" w:type="dxa"/>
            <w:tcBorders>
              <w:top w:val="nil"/>
              <w:left w:val="nil"/>
              <w:bottom w:val="nil"/>
              <w:right w:val="nil"/>
            </w:tcBorders>
            <w:shd w:val="clear" w:color="auto" w:fill="auto"/>
            <w:noWrap/>
            <w:vAlign w:val="bottom"/>
            <w:hideMark/>
          </w:tcPr>
          <w:p w14:paraId="41178A0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-0.038*</w:t>
            </w:r>
          </w:p>
        </w:tc>
        <w:tc>
          <w:tcPr>
            <w:tcW w:w="1096" w:type="dxa"/>
            <w:tcBorders>
              <w:top w:val="nil"/>
              <w:left w:val="nil"/>
              <w:bottom w:val="nil"/>
              <w:right w:val="nil"/>
            </w:tcBorders>
            <w:shd w:val="clear" w:color="auto" w:fill="auto"/>
            <w:noWrap/>
            <w:vAlign w:val="bottom"/>
            <w:hideMark/>
          </w:tcPr>
          <w:p w14:paraId="3F17DAC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-0.032</w:t>
            </w:r>
          </w:p>
        </w:tc>
        <w:tc>
          <w:tcPr>
            <w:tcW w:w="1076" w:type="dxa"/>
            <w:tcBorders>
              <w:top w:val="nil"/>
              <w:left w:val="nil"/>
              <w:bottom w:val="nil"/>
              <w:right w:val="nil"/>
            </w:tcBorders>
            <w:shd w:val="clear" w:color="auto" w:fill="auto"/>
            <w:noWrap/>
            <w:vAlign w:val="bottom"/>
            <w:hideMark/>
          </w:tcPr>
          <w:p w14:paraId="1130FE2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-0.038</w:t>
            </w:r>
          </w:p>
        </w:tc>
        <w:tc>
          <w:tcPr>
            <w:tcW w:w="1196" w:type="dxa"/>
            <w:tcBorders>
              <w:top w:val="nil"/>
              <w:left w:val="nil"/>
              <w:bottom w:val="nil"/>
              <w:right w:val="nil"/>
            </w:tcBorders>
            <w:shd w:val="clear" w:color="auto" w:fill="auto"/>
            <w:noWrap/>
            <w:vAlign w:val="bottom"/>
            <w:hideMark/>
          </w:tcPr>
          <w:p w14:paraId="1F91F8C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-0.037</w:t>
            </w:r>
          </w:p>
        </w:tc>
      </w:tr>
      <w:tr w:rsidR="00272B18" w:rsidRPr="00AB729D" w14:paraId="6867B4EA"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07FBE8D9"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66209104"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0A682B8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595ADB8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(-1.869)</w:t>
            </w:r>
          </w:p>
        </w:tc>
        <w:tc>
          <w:tcPr>
            <w:tcW w:w="1116" w:type="dxa"/>
            <w:tcBorders>
              <w:top w:val="nil"/>
              <w:left w:val="nil"/>
              <w:bottom w:val="nil"/>
              <w:right w:val="nil"/>
            </w:tcBorders>
            <w:shd w:val="clear" w:color="auto" w:fill="auto"/>
            <w:noWrap/>
            <w:vAlign w:val="bottom"/>
            <w:hideMark/>
          </w:tcPr>
          <w:p w14:paraId="0DA4525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(-2.039)</w:t>
            </w:r>
          </w:p>
        </w:tc>
        <w:tc>
          <w:tcPr>
            <w:tcW w:w="1116" w:type="dxa"/>
            <w:tcBorders>
              <w:top w:val="nil"/>
              <w:left w:val="nil"/>
              <w:bottom w:val="nil"/>
              <w:right w:val="nil"/>
            </w:tcBorders>
            <w:shd w:val="clear" w:color="auto" w:fill="auto"/>
            <w:noWrap/>
            <w:vAlign w:val="bottom"/>
            <w:hideMark/>
          </w:tcPr>
          <w:p w14:paraId="73F8737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(-1.752)</w:t>
            </w:r>
          </w:p>
        </w:tc>
        <w:tc>
          <w:tcPr>
            <w:tcW w:w="1096" w:type="dxa"/>
            <w:tcBorders>
              <w:top w:val="nil"/>
              <w:left w:val="nil"/>
              <w:bottom w:val="nil"/>
              <w:right w:val="nil"/>
            </w:tcBorders>
            <w:shd w:val="clear" w:color="auto" w:fill="auto"/>
            <w:noWrap/>
            <w:vAlign w:val="bottom"/>
            <w:hideMark/>
          </w:tcPr>
          <w:p w14:paraId="1D730A4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(-1.279)</w:t>
            </w:r>
          </w:p>
        </w:tc>
        <w:tc>
          <w:tcPr>
            <w:tcW w:w="1076" w:type="dxa"/>
            <w:tcBorders>
              <w:top w:val="nil"/>
              <w:left w:val="nil"/>
              <w:bottom w:val="nil"/>
              <w:right w:val="nil"/>
            </w:tcBorders>
            <w:shd w:val="clear" w:color="auto" w:fill="auto"/>
            <w:noWrap/>
            <w:vAlign w:val="bottom"/>
            <w:hideMark/>
          </w:tcPr>
          <w:p w14:paraId="615E227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(-1.451)</w:t>
            </w:r>
          </w:p>
        </w:tc>
        <w:tc>
          <w:tcPr>
            <w:tcW w:w="1196" w:type="dxa"/>
            <w:tcBorders>
              <w:top w:val="nil"/>
              <w:left w:val="nil"/>
              <w:bottom w:val="nil"/>
              <w:right w:val="nil"/>
            </w:tcBorders>
            <w:shd w:val="clear" w:color="auto" w:fill="auto"/>
            <w:noWrap/>
            <w:vAlign w:val="bottom"/>
            <w:hideMark/>
          </w:tcPr>
          <w:p w14:paraId="735D969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(-1.422)</w:t>
            </w:r>
          </w:p>
        </w:tc>
      </w:tr>
      <w:tr w:rsidR="00272B18" w:rsidRPr="00AB729D" w14:paraId="0090A207"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6D94518B" w14:textId="77777777" w:rsidR="00741DF5" w:rsidRPr="00AB729D" w:rsidRDefault="00741DF5" w:rsidP="00741DF5">
            <w:pPr>
              <w:spacing w:after="0" w:line="240" w:lineRule="auto"/>
              <w:jc w:val="center"/>
              <w:rPr>
                <w:rFonts w:ascii="Times New Roman" w:eastAsia="Times New Roman" w:hAnsi="Times New Roman"/>
              </w:rPr>
            </w:pPr>
          </w:p>
        </w:tc>
        <w:tc>
          <w:tcPr>
            <w:tcW w:w="158" w:type="dxa"/>
            <w:tcBorders>
              <w:top w:val="nil"/>
              <w:left w:val="nil"/>
              <w:bottom w:val="nil"/>
              <w:right w:val="nil"/>
            </w:tcBorders>
            <w:shd w:val="clear" w:color="auto" w:fill="auto"/>
            <w:noWrap/>
            <w:vAlign w:val="bottom"/>
            <w:hideMark/>
          </w:tcPr>
          <w:p w14:paraId="6E0927D8"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704A8E7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74854F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2CEFF9D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0D51A2C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0FDE59B4" w14:textId="77777777" w:rsidR="00741DF5" w:rsidRPr="00AB729D" w:rsidRDefault="00741DF5" w:rsidP="00741DF5">
            <w:pPr>
              <w:spacing w:after="0" w:line="240" w:lineRule="auto"/>
              <w:rPr>
                <w:rFonts w:ascii="Times New Roman" w:eastAsia="Times New Roman" w:hAnsi="Times New Roman"/>
                <w:sz w:val="20"/>
                <w:szCs w:val="20"/>
              </w:rPr>
            </w:pPr>
          </w:p>
        </w:tc>
        <w:tc>
          <w:tcPr>
            <w:tcW w:w="1076" w:type="dxa"/>
            <w:tcBorders>
              <w:top w:val="nil"/>
              <w:left w:val="nil"/>
              <w:bottom w:val="nil"/>
              <w:right w:val="nil"/>
            </w:tcBorders>
            <w:shd w:val="clear" w:color="auto" w:fill="auto"/>
            <w:noWrap/>
            <w:vAlign w:val="bottom"/>
            <w:hideMark/>
          </w:tcPr>
          <w:p w14:paraId="602404B6" w14:textId="77777777" w:rsidR="00741DF5" w:rsidRPr="00AB729D" w:rsidRDefault="00741DF5" w:rsidP="00741DF5">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60D5AE67"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6DF3A65C" w14:textId="77777777" w:rsidTr="00741DF5">
        <w:trPr>
          <w:trHeight w:val="300"/>
          <w:jc w:val="center"/>
        </w:trPr>
        <w:tc>
          <w:tcPr>
            <w:tcW w:w="2801" w:type="dxa"/>
            <w:tcBorders>
              <w:top w:val="nil"/>
              <w:left w:val="nil"/>
              <w:bottom w:val="nil"/>
              <w:right w:val="nil"/>
            </w:tcBorders>
            <w:shd w:val="clear" w:color="auto" w:fill="auto"/>
            <w:noWrap/>
            <w:vAlign w:val="bottom"/>
            <w:hideMark/>
          </w:tcPr>
          <w:p w14:paraId="47A49CA4"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111A1EF7"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3222B17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7FDE90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2E0CAF7"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4D74C7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329CFF78" w14:textId="77777777" w:rsidR="00741DF5" w:rsidRPr="00AB729D" w:rsidRDefault="00741DF5" w:rsidP="00741DF5">
            <w:pPr>
              <w:spacing w:after="0" w:line="240" w:lineRule="auto"/>
              <w:rPr>
                <w:rFonts w:ascii="Times New Roman" w:eastAsia="Times New Roman" w:hAnsi="Times New Roman"/>
                <w:sz w:val="20"/>
                <w:szCs w:val="20"/>
              </w:rPr>
            </w:pPr>
          </w:p>
        </w:tc>
        <w:tc>
          <w:tcPr>
            <w:tcW w:w="1076" w:type="dxa"/>
            <w:tcBorders>
              <w:top w:val="nil"/>
              <w:left w:val="nil"/>
              <w:bottom w:val="nil"/>
              <w:right w:val="nil"/>
            </w:tcBorders>
            <w:shd w:val="clear" w:color="auto" w:fill="auto"/>
            <w:noWrap/>
            <w:vAlign w:val="bottom"/>
            <w:hideMark/>
          </w:tcPr>
          <w:p w14:paraId="4C0165B3" w14:textId="77777777" w:rsidR="00741DF5" w:rsidRPr="00AB729D" w:rsidRDefault="00741DF5" w:rsidP="00741DF5">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6CA76C53"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178DBF41"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3741FB27"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794CD803"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1407EAE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0ECC0EB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455D580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2907AED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26CAFF7E" w14:textId="77777777" w:rsidR="00741DF5" w:rsidRPr="00AB729D" w:rsidRDefault="00741DF5" w:rsidP="00741DF5">
            <w:pPr>
              <w:spacing w:after="0" w:line="240" w:lineRule="auto"/>
              <w:rPr>
                <w:rFonts w:ascii="Times New Roman" w:eastAsia="Times New Roman" w:hAnsi="Times New Roman"/>
                <w:sz w:val="20"/>
                <w:szCs w:val="20"/>
              </w:rPr>
            </w:pPr>
          </w:p>
        </w:tc>
        <w:tc>
          <w:tcPr>
            <w:tcW w:w="1076" w:type="dxa"/>
            <w:tcBorders>
              <w:top w:val="nil"/>
              <w:left w:val="nil"/>
              <w:bottom w:val="nil"/>
              <w:right w:val="nil"/>
            </w:tcBorders>
            <w:shd w:val="clear" w:color="auto" w:fill="auto"/>
            <w:noWrap/>
            <w:vAlign w:val="bottom"/>
            <w:hideMark/>
          </w:tcPr>
          <w:p w14:paraId="54B83DA5" w14:textId="77777777" w:rsidR="00741DF5" w:rsidRPr="00AB729D" w:rsidRDefault="00741DF5" w:rsidP="00741DF5">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B21B79C"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119E3F4"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33EEE373"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6E988D83"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6D79D98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69A91C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22D6ECF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2A4C79D9"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52EB3852" w14:textId="77777777" w:rsidR="00741DF5" w:rsidRPr="00AB729D" w:rsidRDefault="00741DF5" w:rsidP="00741DF5">
            <w:pPr>
              <w:spacing w:after="0" w:line="240" w:lineRule="auto"/>
              <w:rPr>
                <w:rFonts w:ascii="Times New Roman" w:eastAsia="Times New Roman" w:hAnsi="Times New Roman"/>
                <w:sz w:val="20"/>
                <w:szCs w:val="20"/>
              </w:rPr>
            </w:pPr>
          </w:p>
        </w:tc>
        <w:tc>
          <w:tcPr>
            <w:tcW w:w="1076" w:type="dxa"/>
            <w:tcBorders>
              <w:top w:val="nil"/>
              <w:left w:val="nil"/>
              <w:bottom w:val="nil"/>
              <w:right w:val="nil"/>
            </w:tcBorders>
            <w:shd w:val="clear" w:color="auto" w:fill="auto"/>
            <w:noWrap/>
            <w:vAlign w:val="bottom"/>
            <w:hideMark/>
          </w:tcPr>
          <w:p w14:paraId="24DC8E5D" w14:textId="77777777" w:rsidR="00741DF5" w:rsidRPr="00AB729D" w:rsidRDefault="00741DF5" w:rsidP="00741DF5">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C4E40D4"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00CB4EE5"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794AC06F"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43C55663" w14:textId="77777777" w:rsidR="00741DF5" w:rsidRPr="00AB729D" w:rsidRDefault="00741DF5" w:rsidP="00741DF5">
            <w:pPr>
              <w:spacing w:after="0" w:line="240" w:lineRule="auto"/>
              <w:rPr>
                <w:rFonts w:ascii="Times New Roman" w:eastAsia="Times New Roman" w:hAnsi="Times New Roman"/>
                <w:sz w:val="20"/>
                <w:szCs w:val="20"/>
              </w:rPr>
            </w:pPr>
          </w:p>
        </w:tc>
        <w:tc>
          <w:tcPr>
            <w:tcW w:w="158" w:type="dxa"/>
            <w:tcBorders>
              <w:top w:val="nil"/>
              <w:left w:val="nil"/>
              <w:bottom w:val="nil"/>
              <w:right w:val="nil"/>
            </w:tcBorders>
            <w:shd w:val="clear" w:color="auto" w:fill="auto"/>
            <w:noWrap/>
            <w:vAlign w:val="bottom"/>
            <w:hideMark/>
          </w:tcPr>
          <w:p w14:paraId="048FFBBF"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22B9717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3F42494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D02165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14:paraId="041FD084" w14:textId="77777777" w:rsidR="00741DF5" w:rsidRPr="00AB729D" w:rsidRDefault="00741DF5" w:rsidP="00741DF5">
            <w:pPr>
              <w:spacing w:after="0" w:line="240" w:lineRule="auto"/>
              <w:rPr>
                <w:rFonts w:ascii="Times New Roman" w:eastAsia="Times New Roman" w:hAnsi="Times New Roman"/>
                <w:sz w:val="20"/>
                <w:szCs w:val="20"/>
              </w:rPr>
            </w:pPr>
          </w:p>
        </w:tc>
        <w:tc>
          <w:tcPr>
            <w:tcW w:w="1076" w:type="dxa"/>
            <w:tcBorders>
              <w:top w:val="nil"/>
              <w:left w:val="nil"/>
              <w:bottom w:val="nil"/>
              <w:right w:val="nil"/>
            </w:tcBorders>
            <w:shd w:val="clear" w:color="auto" w:fill="auto"/>
            <w:noWrap/>
            <w:vAlign w:val="bottom"/>
            <w:hideMark/>
          </w:tcPr>
          <w:p w14:paraId="538F0163" w14:textId="77777777" w:rsidR="00741DF5" w:rsidRPr="00AB729D" w:rsidRDefault="00741DF5" w:rsidP="00741DF5">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0351DF7"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6687E0D4"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129E6995"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xml:space="preserve">Year </w:t>
            </w:r>
          </w:p>
        </w:tc>
        <w:tc>
          <w:tcPr>
            <w:tcW w:w="158" w:type="dxa"/>
            <w:tcBorders>
              <w:top w:val="nil"/>
              <w:left w:val="nil"/>
              <w:bottom w:val="nil"/>
              <w:right w:val="nil"/>
            </w:tcBorders>
            <w:shd w:val="clear" w:color="auto" w:fill="auto"/>
            <w:noWrap/>
            <w:vAlign w:val="bottom"/>
            <w:hideMark/>
          </w:tcPr>
          <w:p w14:paraId="62452A0E"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126B57E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B172D6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16" w:type="dxa"/>
            <w:tcBorders>
              <w:top w:val="nil"/>
              <w:left w:val="nil"/>
              <w:bottom w:val="nil"/>
              <w:right w:val="nil"/>
            </w:tcBorders>
            <w:shd w:val="clear" w:color="auto" w:fill="auto"/>
            <w:noWrap/>
            <w:vAlign w:val="bottom"/>
            <w:hideMark/>
          </w:tcPr>
          <w:p w14:paraId="03359A0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16" w:type="dxa"/>
            <w:tcBorders>
              <w:top w:val="nil"/>
              <w:left w:val="nil"/>
              <w:bottom w:val="nil"/>
              <w:right w:val="nil"/>
            </w:tcBorders>
            <w:shd w:val="clear" w:color="auto" w:fill="auto"/>
            <w:noWrap/>
            <w:vAlign w:val="bottom"/>
            <w:hideMark/>
          </w:tcPr>
          <w:p w14:paraId="3A625DE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096" w:type="dxa"/>
            <w:tcBorders>
              <w:top w:val="nil"/>
              <w:left w:val="nil"/>
              <w:bottom w:val="nil"/>
              <w:right w:val="nil"/>
            </w:tcBorders>
            <w:shd w:val="clear" w:color="auto" w:fill="auto"/>
            <w:noWrap/>
            <w:vAlign w:val="bottom"/>
            <w:hideMark/>
          </w:tcPr>
          <w:p w14:paraId="6AB82CB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076" w:type="dxa"/>
            <w:tcBorders>
              <w:top w:val="nil"/>
              <w:left w:val="nil"/>
              <w:bottom w:val="nil"/>
              <w:right w:val="nil"/>
            </w:tcBorders>
            <w:shd w:val="clear" w:color="auto" w:fill="auto"/>
            <w:noWrap/>
            <w:vAlign w:val="bottom"/>
            <w:hideMark/>
          </w:tcPr>
          <w:p w14:paraId="3698979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96" w:type="dxa"/>
            <w:tcBorders>
              <w:top w:val="nil"/>
              <w:left w:val="nil"/>
              <w:bottom w:val="nil"/>
              <w:right w:val="nil"/>
            </w:tcBorders>
            <w:shd w:val="clear" w:color="auto" w:fill="auto"/>
            <w:noWrap/>
            <w:vAlign w:val="bottom"/>
            <w:hideMark/>
          </w:tcPr>
          <w:p w14:paraId="16FC424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1CF489D0"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05C91DF4"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Industry</w:t>
            </w:r>
          </w:p>
        </w:tc>
        <w:tc>
          <w:tcPr>
            <w:tcW w:w="158" w:type="dxa"/>
            <w:tcBorders>
              <w:top w:val="nil"/>
              <w:left w:val="nil"/>
              <w:bottom w:val="nil"/>
              <w:right w:val="nil"/>
            </w:tcBorders>
            <w:shd w:val="clear" w:color="auto" w:fill="auto"/>
            <w:noWrap/>
            <w:vAlign w:val="bottom"/>
            <w:hideMark/>
          </w:tcPr>
          <w:p w14:paraId="0F8ED390"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7556FE7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256C520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16" w:type="dxa"/>
            <w:tcBorders>
              <w:top w:val="nil"/>
              <w:left w:val="nil"/>
              <w:bottom w:val="nil"/>
              <w:right w:val="nil"/>
            </w:tcBorders>
            <w:shd w:val="clear" w:color="auto" w:fill="auto"/>
            <w:noWrap/>
            <w:vAlign w:val="bottom"/>
            <w:hideMark/>
          </w:tcPr>
          <w:p w14:paraId="47939EB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16" w:type="dxa"/>
            <w:tcBorders>
              <w:top w:val="nil"/>
              <w:left w:val="nil"/>
              <w:bottom w:val="nil"/>
              <w:right w:val="nil"/>
            </w:tcBorders>
            <w:shd w:val="clear" w:color="auto" w:fill="auto"/>
            <w:noWrap/>
            <w:vAlign w:val="bottom"/>
            <w:hideMark/>
          </w:tcPr>
          <w:p w14:paraId="053C0FC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096" w:type="dxa"/>
            <w:tcBorders>
              <w:top w:val="nil"/>
              <w:left w:val="nil"/>
              <w:bottom w:val="nil"/>
              <w:right w:val="nil"/>
            </w:tcBorders>
            <w:shd w:val="clear" w:color="auto" w:fill="auto"/>
            <w:noWrap/>
            <w:vAlign w:val="bottom"/>
            <w:hideMark/>
          </w:tcPr>
          <w:p w14:paraId="6C36C59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076" w:type="dxa"/>
            <w:tcBorders>
              <w:top w:val="nil"/>
              <w:left w:val="nil"/>
              <w:bottom w:val="nil"/>
              <w:right w:val="nil"/>
            </w:tcBorders>
            <w:shd w:val="clear" w:color="auto" w:fill="auto"/>
            <w:noWrap/>
            <w:vAlign w:val="bottom"/>
            <w:hideMark/>
          </w:tcPr>
          <w:p w14:paraId="0C484DA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96" w:type="dxa"/>
            <w:tcBorders>
              <w:top w:val="nil"/>
              <w:left w:val="nil"/>
              <w:bottom w:val="nil"/>
              <w:right w:val="nil"/>
            </w:tcBorders>
            <w:shd w:val="clear" w:color="auto" w:fill="auto"/>
            <w:noWrap/>
            <w:vAlign w:val="bottom"/>
            <w:hideMark/>
          </w:tcPr>
          <w:p w14:paraId="4CD8319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4CC7C524" w14:textId="77777777" w:rsidTr="00741DF5">
        <w:trPr>
          <w:trHeight w:val="315"/>
          <w:jc w:val="center"/>
        </w:trPr>
        <w:tc>
          <w:tcPr>
            <w:tcW w:w="2801" w:type="dxa"/>
            <w:tcBorders>
              <w:top w:val="nil"/>
              <w:left w:val="nil"/>
              <w:bottom w:val="nil"/>
              <w:right w:val="nil"/>
            </w:tcBorders>
            <w:shd w:val="clear" w:color="auto" w:fill="auto"/>
            <w:noWrap/>
            <w:vAlign w:val="bottom"/>
            <w:hideMark/>
          </w:tcPr>
          <w:p w14:paraId="6C57BD5D"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No. of obs.</w:t>
            </w:r>
          </w:p>
        </w:tc>
        <w:tc>
          <w:tcPr>
            <w:tcW w:w="158" w:type="dxa"/>
            <w:tcBorders>
              <w:top w:val="nil"/>
              <w:left w:val="nil"/>
              <w:bottom w:val="nil"/>
              <w:right w:val="nil"/>
            </w:tcBorders>
            <w:shd w:val="clear" w:color="auto" w:fill="auto"/>
            <w:noWrap/>
            <w:vAlign w:val="bottom"/>
            <w:hideMark/>
          </w:tcPr>
          <w:p w14:paraId="7D087997" w14:textId="77777777" w:rsidR="00741DF5" w:rsidRPr="00AB729D" w:rsidRDefault="00741DF5" w:rsidP="00741DF5">
            <w:pPr>
              <w:spacing w:after="0" w:line="240" w:lineRule="auto"/>
              <w:rPr>
                <w:rFonts w:ascii="Times New Roman" w:eastAsia="Times New Roman" w:hAnsi="Times New Roman"/>
                <w:sz w:val="24"/>
                <w:szCs w:val="24"/>
              </w:rPr>
            </w:pPr>
          </w:p>
        </w:tc>
        <w:tc>
          <w:tcPr>
            <w:tcW w:w="158" w:type="dxa"/>
            <w:tcBorders>
              <w:top w:val="nil"/>
              <w:left w:val="nil"/>
              <w:bottom w:val="nil"/>
              <w:right w:val="nil"/>
            </w:tcBorders>
            <w:shd w:val="clear" w:color="auto" w:fill="auto"/>
            <w:noWrap/>
            <w:vAlign w:val="bottom"/>
            <w:hideMark/>
          </w:tcPr>
          <w:p w14:paraId="492D89C5" w14:textId="77777777" w:rsidR="00741DF5" w:rsidRPr="00AB729D" w:rsidRDefault="00741DF5" w:rsidP="00741DF5">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30B246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116" w:type="dxa"/>
            <w:tcBorders>
              <w:top w:val="nil"/>
              <w:left w:val="nil"/>
              <w:bottom w:val="nil"/>
              <w:right w:val="nil"/>
            </w:tcBorders>
            <w:shd w:val="clear" w:color="auto" w:fill="auto"/>
            <w:noWrap/>
            <w:vAlign w:val="bottom"/>
            <w:hideMark/>
          </w:tcPr>
          <w:p w14:paraId="0D807B7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116" w:type="dxa"/>
            <w:tcBorders>
              <w:top w:val="nil"/>
              <w:left w:val="nil"/>
              <w:bottom w:val="nil"/>
              <w:right w:val="nil"/>
            </w:tcBorders>
            <w:shd w:val="clear" w:color="auto" w:fill="auto"/>
            <w:noWrap/>
            <w:vAlign w:val="bottom"/>
            <w:hideMark/>
          </w:tcPr>
          <w:p w14:paraId="150CEAA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096" w:type="dxa"/>
            <w:tcBorders>
              <w:top w:val="nil"/>
              <w:left w:val="nil"/>
              <w:bottom w:val="nil"/>
              <w:right w:val="nil"/>
            </w:tcBorders>
            <w:shd w:val="clear" w:color="auto" w:fill="auto"/>
            <w:noWrap/>
            <w:vAlign w:val="bottom"/>
            <w:hideMark/>
          </w:tcPr>
          <w:p w14:paraId="2B93F16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076" w:type="dxa"/>
            <w:tcBorders>
              <w:top w:val="nil"/>
              <w:left w:val="nil"/>
              <w:bottom w:val="nil"/>
              <w:right w:val="nil"/>
            </w:tcBorders>
            <w:shd w:val="clear" w:color="auto" w:fill="auto"/>
            <w:noWrap/>
            <w:vAlign w:val="bottom"/>
            <w:hideMark/>
          </w:tcPr>
          <w:p w14:paraId="659FB36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196" w:type="dxa"/>
            <w:tcBorders>
              <w:top w:val="nil"/>
              <w:left w:val="nil"/>
              <w:bottom w:val="nil"/>
              <w:right w:val="nil"/>
            </w:tcBorders>
            <w:shd w:val="clear" w:color="auto" w:fill="auto"/>
            <w:noWrap/>
            <w:vAlign w:val="bottom"/>
            <w:hideMark/>
          </w:tcPr>
          <w:p w14:paraId="3AB1A9B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r>
      <w:tr w:rsidR="00741DF5" w:rsidRPr="00AB729D" w14:paraId="4414529A" w14:textId="77777777" w:rsidTr="00741DF5">
        <w:trPr>
          <w:trHeight w:val="315"/>
          <w:jc w:val="center"/>
        </w:trPr>
        <w:tc>
          <w:tcPr>
            <w:tcW w:w="2801" w:type="dxa"/>
            <w:tcBorders>
              <w:top w:val="nil"/>
              <w:left w:val="nil"/>
              <w:bottom w:val="single" w:sz="4" w:space="0" w:color="auto"/>
              <w:right w:val="nil"/>
            </w:tcBorders>
            <w:shd w:val="clear" w:color="auto" w:fill="auto"/>
            <w:noWrap/>
            <w:vAlign w:val="bottom"/>
            <w:hideMark/>
          </w:tcPr>
          <w:p w14:paraId="26E2C7C0"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Adj.R2</w:t>
            </w:r>
          </w:p>
        </w:tc>
        <w:tc>
          <w:tcPr>
            <w:tcW w:w="158" w:type="dxa"/>
            <w:tcBorders>
              <w:top w:val="nil"/>
              <w:left w:val="nil"/>
              <w:bottom w:val="single" w:sz="4" w:space="0" w:color="auto"/>
              <w:right w:val="nil"/>
            </w:tcBorders>
            <w:shd w:val="clear" w:color="auto" w:fill="auto"/>
            <w:noWrap/>
            <w:vAlign w:val="bottom"/>
            <w:hideMark/>
          </w:tcPr>
          <w:p w14:paraId="6515EA23"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158" w:type="dxa"/>
            <w:tcBorders>
              <w:top w:val="nil"/>
              <w:left w:val="nil"/>
              <w:bottom w:val="single" w:sz="4" w:space="0" w:color="auto"/>
              <w:right w:val="nil"/>
            </w:tcBorders>
            <w:shd w:val="clear" w:color="auto" w:fill="auto"/>
            <w:noWrap/>
            <w:vAlign w:val="bottom"/>
            <w:hideMark/>
          </w:tcPr>
          <w:p w14:paraId="14C4354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196" w:type="dxa"/>
            <w:tcBorders>
              <w:top w:val="nil"/>
              <w:left w:val="nil"/>
              <w:bottom w:val="single" w:sz="4" w:space="0" w:color="auto"/>
              <w:right w:val="nil"/>
            </w:tcBorders>
            <w:shd w:val="clear" w:color="auto" w:fill="auto"/>
            <w:noWrap/>
            <w:vAlign w:val="bottom"/>
            <w:hideMark/>
          </w:tcPr>
          <w:p w14:paraId="463DBD1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0.0737</w:t>
            </w:r>
          </w:p>
        </w:tc>
        <w:tc>
          <w:tcPr>
            <w:tcW w:w="1116" w:type="dxa"/>
            <w:tcBorders>
              <w:top w:val="nil"/>
              <w:left w:val="nil"/>
              <w:bottom w:val="single" w:sz="4" w:space="0" w:color="auto"/>
              <w:right w:val="nil"/>
            </w:tcBorders>
            <w:shd w:val="clear" w:color="auto" w:fill="auto"/>
            <w:noWrap/>
            <w:vAlign w:val="bottom"/>
            <w:hideMark/>
          </w:tcPr>
          <w:p w14:paraId="498BE75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0.0753</w:t>
            </w:r>
          </w:p>
        </w:tc>
        <w:tc>
          <w:tcPr>
            <w:tcW w:w="1116" w:type="dxa"/>
            <w:tcBorders>
              <w:top w:val="nil"/>
              <w:left w:val="nil"/>
              <w:bottom w:val="single" w:sz="4" w:space="0" w:color="auto"/>
              <w:right w:val="nil"/>
            </w:tcBorders>
            <w:shd w:val="clear" w:color="auto" w:fill="auto"/>
            <w:noWrap/>
            <w:vAlign w:val="bottom"/>
            <w:hideMark/>
          </w:tcPr>
          <w:p w14:paraId="173688C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0.0740</w:t>
            </w:r>
          </w:p>
        </w:tc>
        <w:tc>
          <w:tcPr>
            <w:tcW w:w="1096" w:type="dxa"/>
            <w:tcBorders>
              <w:top w:val="nil"/>
              <w:left w:val="nil"/>
              <w:bottom w:val="single" w:sz="4" w:space="0" w:color="auto"/>
              <w:right w:val="nil"/>
            </w:tcBorders>
            <w:shd w:val="clear" w:color="auto" w:fill="auto"/>
            <w:noWrap/>
            <w:vAlign w:val="bottom"/>
            <w:hideMark/>
          </w:tcPr>
          <w:p w14:paraId="2229755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0.140</w:t>
            </w:r>
          </w:p>
        </w:tc>
        <w:tc>
          <w:tcPr>
            <w:tcW w:w="1076" w:type="dxa"/>
            <w:tcBorders>
              <w:top w:val="nil"/>
              <w:left w:val="nil"/>
              <w:bottom w:val="single" w:sz="4" w:space="0" w:color="auto"/>
              <w:right w:val="nil"/>
            </w:tcBorders>
            <w:shd w:val="clear" w:color="auto" w:fill="auto"/>
            <w:noWrap/>
            <w:vAlign w:val="bottom"/>
            <w:hideMark/>
          </w:tcPr>
          <w:p w14:paraId="2B88201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0.147</w:t>
            </w:r>
          </w:p>
        </w:tc>
        <w:tc>
          <w:tcPr>
            <w:tcW w:w="1196" w:type="dxa"/>
            <w:tcBorders>
              <w:top w:val="nil"/>
              <w:left w:val="nil"/>
              <w:bottom w:val="single" w:sz="4" w:space="0" w:color="auto"/>
              <w:right w:val="nil"/>
            </w:tcBorders>
            <w:shd w:val="clear" w:color="auto" w:fill="auto"/>
            <w:noWrap/>
            <w:vAlign w:val="bottom"/>
            <w:hideMark/>
          </w:tcPr>
          <w:p w14:paraId="2042F74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0.142</w:t>
            </w:r>
          </w:p>
        </w:tc>
      </w:tr>
    </w:tbl>
    <w:p w14:paraId="5AB1BD8D" w14:textId="77777777" w:rsidR="00741DF5" w:rsidRPr="00AB729D" w:rsidRDefault="00741DF5" w:rsidP="00741DF5">
      <w:pPr>
        <w:spacing w:after="0" w:line="240" w:lineRule="auto"/>
        <w:rPr>
          <w:rFonts w:ascii="Times New Roman" w:eastAsia="Times New Roman" w:hAnsi="Times New Roman"/>
          <w:sz w:val="24"/>
          <w:szCs w:val="24"/>
        </w:rPr>
      </w:pPr>
    </w:p>
    <w:p w14:paraId="6FC1C1BB" w14:textId="795A8BBD" w:rsidR="00741DF5" w:rsidRPr="00AB729D" w:rsidRDefault="001175CF" w:rsidP="00A46DBA">
      <w:pPr>
        <w:spacing w:after="0" w:line="240" w:lineRule="auto"/>
        <w:jc w:val="both"/>
        <w:rPr>
          <w:rFonts w:ascii="Times New Roman" w:eastAsia="Times New Roman" w:hAnsi="Times New Roman"/>
          <w:sz w:val="20"/>
          <w:szCs w:val="20"/>
        </w:rPr>
      </w:pPr>
      <w:r w:rsidRPr="00AB729D">
        <w:rPr>
          <w:rFonts w:ascii="Times New Roman" w:eastAsia="Times New Roman" w:hAnsi="Times New Roman"/>
          <w:sz w:val="20"/>
          <w:szCs w:val="20"/>
        </w:rPr>
        <w:t>This table presents the findings of the OLS regressions. The dependent variable in Models 1-3 is EXVRK and in Models 4-6, it is EXVIA. The variables are defined in Table 2. YEAR and INDUSTRY dummy variables are used to control for the effect of unobserved economic variables and industry-specific effects, respectively. The standard errors are clustered by firms. T-statistics are reported in parentheses. *, **, *** represent statistical significance at the 10%, 5% and 1% level, respectively.</w:t>
      </w:r>
    </w:p>
    <w:p w14:paraId="77321845" w14:textId="77777777" w:rsidR="00741DF5" w:rsidRPr="00AB729D" w:rsidRDefault="00741DF5">
      <w:pPr>
        <w:spacing w:after="160" w:line="259" w:lineRule="auto"/>
        <w:rPr>
          <w:rFonts w:ascii="Times New Roman" w:eastAsia="Times New Roman" w:hAnsi="Times New Roman"/>
          <w:sz w:val="20"/>
          <w:szCs w:val="20"/>
        </w:rPr>
      </w:pPr>
      <w:r w:rsidRPr="00AB729D">
        <w:rPr>
          <w:rFonts w:ascii="Times New Roman" w:eastAsia="Times New Roman" w:hAnsi="Times New Roman"/>
          <w:sz w:val="20"/>
          <w:szCs w:val="20"/>
        </w:rPr>
        <w:br w:type="page"/>
      </w:r>
    </w:p>
    <w:tbl>
      <w:tblPr>
        <w:tblW w:w="10376" w:type="dxa"/>
        <w:jc w:val="center"/>
        <w:tblLook w:val="04A0" w:firstRow="1" w:lastRow="0" w:firstColumn="1" w:lastColumn="0" w:noHBand="0" w:noVBand="1"/>
      </w:tblPr>
      <w:tblGrid>
        <w:gridCol w:w="2157"/>
        <w:gridCol w:w="276"/>
        <w:gridCol w:w="276"/>
        <w:gridCol w:w="1817"/>
        <w:gridCol w:w="1196"/>
        <w:gridCol w:w="1256"/>
        <w:gridCol w:w="1176"/>
        <w:gridCol w:w="1256"/>
        <w:gridCol w:w="1276"/>
      </w:tblGrid>
      <w:tr w:rsidR="00272B18" w:rsidRPr="00AB729D" w14:paraId="6E45A6F4" w14:textId="77777777" w:rsidTr="00741DF5">
        <w:trPr>
          <w:trHeight w:val="315"/>
          <w:jc w:val="center"/>
        </w:trPr>
        <w:tc>
          <w:tcPr>
            <w:tcW w:w="4216" w:type="dxa"/>
            <w:gridSpan w:val="4"/>
            <w:tcBorders>
              <w:top w:val="nil"/>
              <w:left w:val="nil"/>
              <w:bottom w:val="nil"/>
              <w:right w:val="nil"/>
            </w:tcBorders>
            <w:shd w:val="clear" w:color="auto" w:fill="auto"/>
            <w:noWrap/>
            <w:vAlign w:val="bottom"/>
            <w:hideMark/>
          </w:tcPr>
          <w:p w14:paraId="57D9FA4A" w14:textId="1A925B30" w:rsidR="00741DF5" w:rsidRPr="00AB729D" w:rsidRDefault="00741DF5" w:rsidP="00F13217">
            <w:pPr>
              <w:spacing w:after="0" w:line="240" w:lineRule="auto"/>
              <w:rPr>
                <w:rFonts w:ascii="Times New Roman" w:eastAsia="Times New Roman" w:hAnsi="Times New Roman"/>
                <w:b/>
                <w:bCs/>
                <w:sz w:val="24"/>
                <w:szCs w:val="24"/>
              </w:rPr>
            </w:pPr>
            <w:r w:rsidRPr="00AB729D">
              <w:rPr>
                <w:rFonts w:ascii="Times New Roman" w:eastAsia="Times New Roman" w:hAnsi="Times New Roman"/>
                <w:b/>
                <w:bCs/>
                <w:sz w:val="24"/>
                <w:szCs w:val="24"/>
              </w:rPr>
              <w:lastRenderedPageBreak/>
              <w:t xml:space="preserve">Table </w:t>
            </w:r>
            <w:r w:rsidR="00F13217" w:rsidRPr="00AB729D">
              <w:rPr>
                <w:rFonts w:ascii="Times New Roman" w:eastAsia="Times New Roman" w:hAnsi="Times New Roman"/>
                <w:b/>
                <w:bCs/>
                <w:sz w:val="24"/>
                <w:szCs w:val="24"/>
              </w:rPr>
              <w:t>9</w:t>
            </w:r>
            <w:r w:rsidRPr="00AB729D">
              <w:rPr>
                <w:rFonts w:ascii="Times New Roman" w:eastAsia="Times New Roman" w:hAnsi="Times New Roman"/>
                <w:b/>
                <w:bCs/>
                <w:sz w:val="24"/>
                <w:szCs w:val="24"/>
              </w:rPr>
              <w:t>: Fixed-effect Regressions</w:t>
            </w:r>
          </w:p>
          <w:p w14:paraId="6063C006" w14:textId="77777777" w:rsidR="00741DF5" w:rsidRPr="00AB729D" w:rsidRDefault="00741DF5" w:rsidP="00741DF5">
            <w:pPr>
              <w:spacing w:after="0" w:line="240" w:lineRule="auto"/>
              <w:rPr>
                <w:rFonts w:ascii="Times New Roman" w:eastAsia="Times New Roman" w:hAnsi="Times New Roman"/>
                <w:b/>
                <w:bCs/>
                <w:sz w:val="24"/>
                <w:szCs w:val="24"/>
              </w:rPr>
            </w:pPr>
          </w:p>
        </w:tc>
        <w:tc>
          <w:tcPr>
            <w:tcW w:w="1196" w:type="dxa"/>
            <w:tcBorders>
              <w:top w:val="nil"/>
              <w:left w:val="nil"/>
              <w:bottom w:val="nil"/>
              <w:right w:val="nil"/>
            </w:tcBorders>
            <w:shd w:val="clear" w:color="auto" w:fill="auto"/>
            <w:noWrap/>
            <w:vAlign w:val="bottom"/>
            <w:hideMark/>
          </w:tcPr>
          <w:p w14:paraId="6DCA8988" w14:textId="77777777" w:rsidR="00741DF5" w:rsidRPr="00AB729D" w:rsidRDefault="00741DF5" w:rsidP="00741DF5">
            <w:pPr>
              <w:spacing w:after="0" w:line="240" w:lineRule="auto"/>
              <w:rPr>
                <w:rFonts w:ascii="Times New Roman" w:eastAsia="Times New Roman" w:hAnsi="Times New Roman"/>
                <w:b/>
                <w:bCs/>
                <w:sz w:val="24"/>
                <w:szCs w:val="24"/>
              </w:rPr>
            </w:pPr>
          </w:p>
        </w:tc>
        <w:tc>
          <w:tcPr>
            <w:tcW w:w="1256" w:type="dxa"/>
            <w:tcBorders>
              <w:top w:val="nil"/>
              <w:left w:val="nil"/>
              <w:bottom w:val="nil"/>
              <w:right w:val="nil"/>
            </w:tcBorders>
            <w:shd w:val="clear" w:color="auto" w:fill="auto"/>
            <w:noWrap/>
            <w:vAlign w:val="bottom"/>
            <w:hideMark/>
          </w:tcPr>
          <w:p w14:paraId="0E0B2111" w14:textId="77777777" w:rsidR="00741DF5" w:rsidRPr="00AB729D" w:rsidRDefault="00741DF5" w:rsidP="00741DF5">
            <w:pPr>
              <w:spacing w:after="0" w:line="240" w:lineRule="auto"/>
              <w:rPr>
                <w:rFonts w:ascii="Times New Roman" w:eastAsia="Times New Roman" w:hAnsi="Times New Roman"/>
                <w:sz w:val="20"/>
                <w:szCs w:val="20"/>
              </w:rPr>
            </w:pPr>
          </w:p>
        </w:tc>
        <w:tc>
          <w:tcPr>
            <w:tcW w:w="1176" w:type="dxa"/>
            <w:tcBorders>
              <w:top w:val="nil"/>
              <w:left w:val="nil"/>
              <w:bottom w:val="nil"/>
              <w:right w:val="nil"/>
            </w:tcBorders>
            <w:shd w:val="clear" w:color="auto" w:fill="auto"/>
            <w:noWrap/>
            <w:vAlign w:val="bottom"/>
            <w:hideMark/>
          </w:tcPr>
          <w:p w14:paraId="5C0049FD" w14:textId="77777777" w:rsidR="00741DF5" w:rsidRPr="00AB729D" w:rsidRDefault="00741DF5" w:rsidP="00741DF5">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12234D53" w14:textId="77777777" w:rsidR="00741DF5" w:rsidRPr="00AB729D" w:rsidRDefault="00741DF5" w:rsidP="00741DF5">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6F5A1788"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5A2717F5" w14:textId="77777777" w:rsidTr="00741DF5">
        <w:trPr>
          <w:trHeight w:val="315"/>
          <w:jc w:val="center"/>
        </w:trPr>
        <w:tc>
          <w:tcPr>
            <w:tcW w:w="2157" w:type="dxa"/>
            <w:tcBorders>
              <w:top w:val="single" w:sz="4" w:space="0" w:color="auto"/>
              <w:left w:val="nil"/>
              <w:bottom w:val="nil"/>
              <w:right w:val="nil"/>
            </w:tcBorders>
            <w:shd w:val="clear" w:color="auto" w:fill="auto"/>
            <w:noWrap/>
            <w:vAlign w:val="bottom"/>
            <w:hideMark/>
          </w:tcPr>
          <w:p w14:paraId="0122C3DF"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21" w:type="dxa"/>
            <w:tcBorders>
              <w:top w:val="single" w:sz="4" w:space="0" w:color="auto"/>
              <w:left w:val="nil"/>
              <w:bottom w:val="nil"/>
              <w:right w:val="nil"/>
            </w:tcBorders>
            <w:shd w:val="clear" w:color="auto" w:fill="auto"/>
            <w:noWrap/>
            <w:vAlign w:val="bottom"/>
            <w:hideMark/>
          </w:tcPr>
          <w:p w14:paraId="2DC104C6"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21" w:type="dxa"/>
            <w:tcBorders>
              <w:top w:val="single" w:sz="4" w:space="0" w:color="auto"/>
              <w:left w:val="nil"/>
              <w:bottom w:val="nil"/>
              <w:right w:val="nil"/>
            </w:tcBorders>
            <w:shd w:val="clear" w:color="auto" w:fill="auto"/>
            <w:noWrap/>
            <w:vAlign w:val="bottom"/>
            <w:hideMark/>
          </w:tcPr>
          <w:p w14:paraId="60E0F3B3"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817" w:type="dxa"/>
            <w:tcBorders>
              <w:top w:val="single" w:sz="4" w:space="0" w:color="auto"/>
              <w:left w:val="nil"/>
              <w:bottom w:val="nil"/>
              <w:right w:val="nil"/>
            </w:tcBorders>
            <w:shd w:val="clear" w:color="auto" w:fill="auto"/>
            <w:noWrap/>
            <w:vAlign w:val="bottom"/>
            <w:hideMark/>
          </w:tcPr>
          <w:p w14:paraId="30F20237"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196" w:type="dxa"/>
            <w:tcBorders>
              <w:top w:val="single" w:sz="4" w:space="0" w:color="auto"/>
              <w:left w:val="nil"/>
              <w:bottom w:val="nil"/>
              <w:right w:val="nil"/>
            </w:tcBorders>
            <w:shd w:val="clear" w:color="auto" w:fill="auto"/>
            <w:noWrap/>
            <w:vAlign w:val="bottom"/>
            <w:hideMark/>
          </w:tcPr>
          <w:p w14:paraId="4F4BD497"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256" w:type="dxa"/>
            <w:tcBorders>
              <w:top w:val="single" w:sz="4" w:space="0" w:color="auto"/>
              <w:left w:val="nil"/>
              <w:bottom w:val="nil"/>
              <w:right w:val="nil"/>
            </w:tcBorders>
            <w:shd w:val="clear" w:color="auto" w:fill="auto"/>
            <w:noWrap/>
            <w:vAlign w:val="bottom"/>
            <w:hideMark/>
          </w:tcPr>
          <w:p w14:paraId="2B27922D"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EXVRK</w:t>
            </w:r>
          </w:p>
        </w:tc>
        <w:tc>
          <w:tcPr>
            <w:tcW w:w="1176" w:type="dxa"/>
            <w:tcBorders>
              <w:top w:val="single" w:sz="4" w:space="0" w:color="auto"/>
              <w:left w:val="nil"/>
              <w:bottom w:val="nil"/>
              <w:right w:val="nil"/>
            </w:tcBorders>
            <w:shd w:val="clear" w:color="auto" w:fill="auto"/>
            <w:noWrap/>
            <w:vAlign w:val="bottom"/>
            <w:hideMark/>
          </w:tcPr>
          <w:p w14:paraId="281FA2B7"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c>
          <w:tcPr>
            <w:tcW w:w="1256" w:type="dxa"/>
            <w:tcBorders>
              <w:top w:val="single" w:sz="4" w:space="0" w:color="auto"/>
              <w:left w:val="nil"/>
              <w:bottom w:val="nil"/>
              <w:right w:val="nil"/>
            </w:tcBorders>
            <w:shd w:val="clear" w:color="auto" w:fill="auto"/>
            <w:noWrap/>
            <w:vAlign w:val="bottom"/>
            <w:hideMark/>
          </w:tcPr>
          <w:p w14:paraId="60B1FC34"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c>
          <w:tcPr>
            <w:tcW w:w="1276" w:type="dxa"/>
            <w:tcBorders>
              <w:top w:val="single" w:sz="4" w:space="0" w:color="auto"/>
              <w:left w:val="nil"/>
              <w:bottom w:val="nil"/>
              <w:right w:val="nil"/>
            </w:tcBorders>
            <w:shd w:val="clear" w:color="auto" w:fill="auto"/>
            <w:noWrap/>
            <w:vAlign w:val="bottom"/>
            <w:hideMark/>
          </w:tcPr>
          <w:p w14:paraId="272539CC"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EXVIA</w:t>
            </w:r>
          </w:p>
        </w:tc>
      </w:tr>
      <w:tr w:rsidR="00272B18" w:rsidRPr="00AB729D" w14:paraId="602CBEC4" w14:textId="77777777" w:rsidTr="00741DF5">
        <w:trPr>
          <w:trHeight w:val="315"/>
          <w:jc w:val="center"/>
        </w:trPr>
        <w:tc>
          <w:tcPr>
            <w:tcW w:w="2157" w:type="dxa"/>
            <w:tcBorders>
              <w:top w:val="nil"/>
              <w:left w:val="nil"/>
              <w:bottom w:val="single" w:sz="4" w:space="0" w:color="auto"/>
              <w:right w:val="nil"/>
            </w:tcBorders>
            <w:shd w:val="clear" w:color="auto" w:fill="auto"/>
            <w:noWrap/>
            <w:vAlign w:val="bottom"/>
            <w:hideMark/>
          </w:tcPr>
          <w:p w14:paraId="28CEEB78"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21" w:type="dxa"/>
            <w:tcBorders>
              <w:top w:val="nil"/>
              <w:left w:val="nil"/>
              <w:bottom w:val="single" w:sz="4" w:space="0" w:color="auto"/>
              <w:right w:val="nil"/>
            </w:tcBorders>
            <w:shd w:val="clear" w:color="auto" w:fill="auto"/>
            <w:noWrap/>
            <w:vAlign w:val="bottom"/>
            <w:hideMark/>
          </w:tcPr>
          <w:p w14:paraId="252C2FCA"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21" w:type="dxa"/>
            <w:tcBorders>
              <w:top w:val="nil"/>
              <w:left w:val="nil"/>
              <w:bottom w:val="single" w:sz="4" w:space="0" w:color="auto"/>
              <w:right w:val="nil"/>
            </w:tcBorders>
            <w:shd w:val="clear" w:color="auto" w:fill="auto"/>
            <w:noWrap/>
            <w:vAlign w:val="bottom"/>
            <w:hideMark/>
          </w:tcPr>
          <w:p w14:paraId="2B322004"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 </w:t>
            </w:r>
          </w:p>
        </w:tc>
        <w:tc>
          <w:tcPr>
            <w:tcW w:w="1817" w:type="dxa"/>
            <w:tcBorders>
              <w:top w:val="nil"/>
              <w:left w:val="nil"/>
              <w:bottom w:val="single" w:sz="4" w:space="0" w:color="auto"/>
              <w:right w:val="nil"/>
            </w:tcBorders>
            <w:shd w:val="clear" w:color="auto" w:fill="auto"/>
            <w:noWrap/>
            <w:vAlign w:val="bottom"/>
            <w:hideMark/>
          </w:tcPr>
          <w:p w14:paraId="3D0305CE"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(1)</w:t>
            </w:r>
          </w:p>
        </w:tc>
        <w:tc>
          <w:tcPr>
            <w:tcW w:w="1196" w:type="dxa"/>
            <w:tcBorders>
              <w:top w:val="nil"/>
              <w:left w:val="nil"/>
              <w:bottom w:val="single" w:sz="4" w:space="0" w:color="auto"/>
              <w:right w:val="nil"/>
            </w:tcBorders>
            <w:shd w:val="clear" w:color="auto" w:fill="auto"/>
            <w:noWrap/>
            <w:vAlign w:val="bottom"/>
            <w:hideMark/>
          </w:tcPr>
          <w:p w14:paraId="38028D33"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(2)</w:t>
            </w:r>
          </w:p>
        </w:tc>
        <w:tc>
          <w:tcPr>
            <w:tcW w:w="1256" w:type="dxa"/>
            <w:tcBorders>
              <w:top w:val="nil"/>
              <w:left w:val="nil"/>
              <w:bottom w:val="single" w:sz="4" w:space="0" w:color="auto"/>
              <w:right w:val="nil"/>
            </w:tcBorders>
            <w:shd w:val="clear" w:color="auto" w:fill="auto"/>
            <w:noWrap/>
            <w:vAlign w:val="bottom"/>
            <w:hideMark/>
          </w:tcPr>
          <w:p w14:paraId="54EF9D71"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(3)</w:t>
            </w:r>
          </w:p>
        </w:tc>
        <w:tc>
          <w:tcPr>
            <w:tcW w:w="1176" w:type="dxa"/>
            <w:tcBorders>
              <w:top w:val="nil"/>
              <w:left w:val="nil"/>
              <w:bottom w:val="single" w:sz="4" w:space="0" w:color="auto"/>
              <w:right w:val="nil"/>
            </w:tcBorders>
            <w:shd w:val="clear" w:color="auto" w:fill="auto"/>
            <w:noWrap/>
            <w:vAlign w:val="bottom"/>
            <w:hideMark/>
          </w:tcPr>
          <w:p w14:paraId="0777CF92"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(4)</w:t>
            </w:r>
          </w:p>
        </w:tc>
        <w:tc>
          <w:tcPr>
            <w:tcW w:w="1256" w:type="dxa"/>
            <w:tcBorders>
              <w:top w:val="nil"/>
              <w:left w:val="nil"/>
              <w:bottom w:val="single" w:sz="4" w:space="0" w:color="auto"/>
              <w:right w:val="nil"/>
            </w:tcBorders>
            <w:shd w:val="clear" w:color="auto" w:fill="auto"/>
            <w:noWrap/>
            <w:vAlign w:val="bottom"/>
            <w:hideMark/>
          </w:tcPr>
          <w:p w14:paraId="1A62CD83"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(5)</w:t>
            </w:r>
          </w:p>
        </w:tc>
        <w:tc>
          <w:tcPr>
            <w:tcW w:w="1276" w:type="dxa"/>
            <w:tcBorders>
              <w:top w:val="nil"/>
              <w:left w:val="nil"/>
              <w:bottom w:val="single" w:sz="4" w:space="0" w:color="auto"/>
              <w:right w:val="nil"/>
            </w:tcBorders>
            <w:shd w:val="clear" w:color="auto" w:fill="auto"/>
            <w:noWrap/>
            <w:vAlign w:val="bottom"/>
            <w:hideMark/>
          </w:tcPr>
          <w:p w14:paraId="5B72DA47" w14:textId="77777777" w:rsidR="00741DF5" w:rsidRPr="00AB729D" w:rsidRDefault="00741DF5" w:rsidP="00741DF5">
            <w:pPr>
              <w:spacing w:after="0" w:line="240" w:lineRule="auto"/>
              <w:jc w:val="center"/>
              <w:rPr>
                <w:rFonts w:ascii="Times New Roman" w:eastAsia="Times New Roman" w:hAnsi="Times New Roman"/>
                <w:sz w:val="24"/>
                <w:szCs w:val="24"/>
              </w:rPr>
            </w:pPr>
            <w:r w:rsidRPr="00AB729D">
              <w:rPr>
                <w:rFonts w:ascii="Times New Roman" w:eastAsia="Times New Roman" w:hAnsi="Times New Roman"/>
                <w:sz w:val="24"/>
                <w:szCs w:val="24"/>
              </w:rPr>
              <w:t>(6)</w:t>
            </w:r>
          </w:p>
        </w:tc>
      </w:tr>
      <w:tr w:rsidR="00272B18" w:rsidRPr="00AB729D" w14:paraId="3E625586"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2F9F5167"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DED</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0E029AFD"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150082B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4FA3D07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-0.080**</w:t>
            </w:r>
          </w:p>
        </w:tc>
        <w:tc>
          <w:tcPr>
            <w:tcW w:w="1196" w:type="dxa"/>
            <w:tcBorders>
              <w:top w:val="nil"/>
              <w:left w:val="nil"/>
              <w:bottom w:val="nil"/>
              <w:right w:val="nil"/>
            </w:tcBorders>
            <w:shd w:val="clear" w:color="auto" w:fill="auto"/>
            <w:noWrap/>
            <w:vAlign w:val="bottom"/>
            <w:hideMark/>
          </w:tcPr>
          <w:p w14:paraId="5A82511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546D6E4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76" w:type="dxa"/>
            <w:tcBorders>
              <w:top w:val="nil"/>
              <w:left w:val="nil"/>
              <w:bottom w:val="nil"/>
              <w:right w:val="nil"/>
            </w:tcBorders>
            <w:shd w:val="clear" w:color="auto" w:fill="auto"/>
            <w:noWrap/>
            <w:vAlign w:val="bottom"/>
            <w:hideMark/>
          </w:tcPr>
          <w:p w14:paraId="052C062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-0.220***</w:t>
            </w:r>
          </w:p>
        </w:tc>
        <w:tc>
          <w:tcPr>
            <w:tcW w:w="1256" w:type="dxa"/>
            <w:tcBorders>
              <w:top w:val="nil"/>
              <w:left w:val="nil"/>
              <w:bottom w:val="nil"/>
              <w:right w:val="nil"/>
            </w:tcBorders>
            <w:shd w:val="clear" w:color="auto" w:fill="auto"/>
            <w:noWrap/>
            <w:vAlign w:val="bottom"/>
            <w:hideMark/>
          </w:tcPr>
          <w:p w14:paraId="04F53C7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76" w:type="dxa"/>
            <w:tcBorders>
              <w:top w:val="nil"/>
              <w:left w:val="nil"/>
              <w:bottom w:val="nil"/>
              <w:right w:val="nil"/>
            </w:tcBorders>
            <w:shd w:val="clear" w:color="auto" w:fill="auto"/>
            <w:noWrap/>
            <w:vAlign w:val="bottom"/>
            <w:hideMark/>
          </w:tcPr>
          <w:p w14:paraId="4F1D9EC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11D6E77F"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5D77C5DA"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56EE23AC"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08DB516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60CEC70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(-2.575)</w:t>
            </w:r>
          </w:p>
        </w:tc>
        <w:tc>
          <w:tcPr>
            <w:tcW w:w="1196" w:type="dxa"/>
            <w:tcBorders>
              <w:top w:val="nil"/>
              <w:left w:val="nil"/>
              <w:bottom w:val="nil"/>
              <w:right w:val="nil"/>
            </w:tcBorders>
            <w:shd w:val="clear" w:color="auto" w:fill="auto"/>
            <w:noWrap/>
            <w:vAlign w:val="bottom"/>
            <w:hideMark/>
          </w:tcPr>
          <w:p w14:paraId="77B6B6A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378B083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76" w:type="dxa"/>
            <w:tcBorders>
              <w:top w:val="nil"/>
              <w:left w:val="nil"/>
              <w:bottom w:val="nil"/>
              <w:right w:val="nil"/>
            </w:tcBorders>
            <w:shd w:val="clear" w:color="auto" w:fill="auto"/>
            <w:noWrap/>
            <w:vAlign w:val="bottom"/>
            <w:hideMark/>
          </w:tcPr>
          <w:p w14:paraId="6BC6886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(-10.704)</w:t>
            </w:r>
          </w:p>
        </w:tc>
        <w:tc>
          <w:tcPr>
            <w:tcW w:w="1256" w:type="dxa"/>
            <w:tcBorders>
              <w:top w:val="nil"/>
              <w:left w:val="nil"/>
              <w:bottom w:val="nil"/>
              <w:right w:val="nil"/>
            </w:tcBorders>
            <w:shd w:val="clear" w:color="auto" w:fill="auto"/>
            <w:noWrap/>
            <w:vAlign w:val="bottom"/>
            <w:hideMark/>
          </w:tcPr>
          <w:p w14:paraId="3A6AFB1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76" w:type="dxa"/>
            <w:tcBorders>
              <w:top w:val="nil"/>
              <w:left w:val="nil"/>
              <w:bottom w:val="nil"/>
              <w:right w:val="nil"/>
            </w:tcBorders>
            <w:shd w:val="clear" w:color="auto" w:fill="auto"/>
            <w:noWrap/>
            <w:vAlign w:val="bottom"/>
            <w:hideMark/>
          </w:tcPr>
          <w:p w14:paraId="35301D0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600754E0"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7C7BA4F6"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QIX</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2E74698E"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43022D8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459A403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499DFDC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-0.079***</w:t>
            </w:r>
          </w:p>
        </w:tc>
        <w:tc>
          <w:tcPr>
            <w:tcW w:w="1256" w:type="dxa"/>
            <w:tcBorders>
              <w:top w:val="nil"/>
              <w:left w:val="nil"/>
              <w:bottom w:val="nil"/>
              <w:right w:val="nil"/>
            </w:tcBorders>
            <w:shd w:val="clear" w:color="auto" w:fill="auto"/>
            <w:noWrap/>
            <w:vAlign w:val="bottom"/>
            <w:hideMark/>
          </w:tcPr>
          <w:p w14:paraId="4D1CC06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76" w:type="dxa"/>
            <w:tcBorders>
              <w:top w:val="nil"/>
              <w:left w:val="nil"/>
              <w:bottom w:val="nil"/>
              <w:right w:val="nil"/>
            </w:tcBorders>
            <w:shd w:val="clear" w:color="auto" w:fill="auto"/>
            <w:noWrap/>
            <w:vAlign w:val="bottom"/>
            <w:hideMark/>
          </w:tcPr>
          <w:p w14:paraId="630E5A2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38A66EF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-0.259***</w:t>
            </w:r>
          </w:p>
        </w:tc>
        <w:tc>
          <w:tcPr>
            <w:tcW w:w="1276" w:type="dxa"/>
            <w:tcBorders>
              <w:top w:val="nil"/>
              <w:left w:val="nil"/>
              <w:bottom w:val="nil"/>
              <w:right w:val="nil"/>
            </w:tcBorders>
            <w:shd w:val="clear" w:color="auto" w:fill="auto"/>
            <w:noWrap/>
            <w:vAlign w:val="bottom"/>
            <w:hideMark/>
          </w:tcPr>
          <w:p w14:paraId="63FC459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4B291269"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14500219"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5C6D4210"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668C368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2C13D2C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0F89BC9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(-5.196)</w:t>
            </w:r>
          </w:p>
        </w:tc>
        <w:tc>
          <w:tcPr>
            <w:tcW w:w="1256" w:type="dxa"/>
            <w:tcBorders>
              <w:top w:val="nil"/>
              <w:left w:val="nil"/>
              <w:bottom w:val="nil"/>
              <w:right w:val="nil"/>
            </w:tcBorders>
            <w:shd w:val="clear" w:color="auto" w:fill="auto"/>
            <w:noWrap/>
            <w:vAlign w:val="bottom"/>
            <w:hideMark/>
          </w:tcPr>
          <w:p w14:paraId="3214AB5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76" w:type="dxa"/>
            <w:tcBorders>
              <w:top w:val="nil"/>
              <w:left w:val="nil"/>
              <w:bottom w:val="nil"/>
              <w:right w:val="nil"/>
            </w:tcBorders>
            <w:shd w:val="clear" w:color="auto" w:fill="auto"/>
            <w:noWrap/>
            <w:vAlign w:val="bottom"/>
            <w:hideMark/>
          </w:tcPr>
          <w:p w14:paraId="5DFE3B8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7D3EFE8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(-25.555)</w:t>
            </w:r>
          </w:p>
        </w:tc>
        <w:tc>
          <w:tcPr>
            <w:tcW w:w="1276" w:type="dxa"/>
            <w:tcBorders>
              <w:top w:val="nil"/>
              <w:left w:val="nil"/>
              <w:bottom w:val="nil"/>
              <w:right w:val="nil"/>
            </w:tcBorders>
            <w:shd w:val="clear" w:color="auto" w:fill="auto"/>
            <w:noWrap/>
            <w:vAlign w:val="bottom"/>
            <w:hideMark/>
          </w:tcPr>
          <w:p w14:paraId="74B7D31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r>
      <w:tr w:rsidR="00272B18" w:rsidRPr="00AB729D" w14:paraId="0263B1F8"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01B41AE4"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TRA</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75786103"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262E952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641D84B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5B7A12A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7529D81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0.113***</w:t>
            </w:r>
          </w:p>
        </w:tc>
        <w:tc>
          <w:tcPr>
            <w:tcW w:w="1176" w:type="dxa"/>
            <w:tcBorders>
              <w:top w:val="nil"/>
              <w:left w:val="nil"/>
              <w:bottom w:val="nil"/>
              <w:right w:val="nil"/>
            </w:tcBorders>
            <w:shd w:val="clear" w:color="auto" w:fill="auto"/>
            <w:noWrap/>
            <w:vAlign w:val="bottom"/>
            <w:hideMark/>
          </w:tcPr>
          <w:p w14:paraId="61540B9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704DE89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76" w:type="dxa"/>
            <w:tcBorders>
              <w:top w:val="nil"/>
              <w:left w:val="nil"/>
              <w:bottom w:val="nil"/>
              <w:right w:val="nil"/>
            </w:tcBorders>
            <w:shd w:val="clear" w:color="auto" w:fill="auto"/>
            <w:noWrap/>
            <w:vAlign w:val="bottom"/>
            <w:hideMark/>
          </w:tcPr>
          <w:p w14:paraId="77E0B3E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0.252***</w:t>
            </w:r>
          </w:p>
        </w:tc>
      </w:tr>
      <w:tr w:rsidR="00272B18" w:rsidRPr="00AB729D" w14:paraId="4093F754"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45AF17FD"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693814C9"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278245A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4BB5E67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196" w:type="dxa"/>
            <w:tcBorders>
              <w:top w:val="nil"/>
              <w:left w:val="nil"/>
              <w:bottom w:val="nil"/>
              <w:right w:val="nil"/>
            </w:tcBorders>
            <w:shd w:val="clear" w:color="auto" w:fill="auto"/>
            <w:noWrap/>
            <w:vAlign w:val="bottom"/>
            <w:hideMark/>
          </w:tcPr>
          <w:p w14:paraId="1C5726D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5678F39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(4.536)</w:t>
            </w:r>
          </w:p>
        </w:tc>
        <w:tc>
          <w:tcPr>
            <w:tcW w:w="1176" w:type="dxa"/>
            <w:tcBorders>
              <w:top w:val="nil"/>
              <w:left w:val="nil"/>
              <w:bottom w:val="nil"/>
              <w:right w:val="nil"/>
            </w:tcBorders>
            <w:shd w:val="clear" w:color="auto" w:fill="auto"/>
            <w:noWrap/>
            <w:vAlign w:val="bottom"/>
            <w:hideMark/>
          </w:tcPr>
          <w:p w14:paraId="7926F07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56" w:type="dxa"/>
            <w:tcBorders>
              <w:top w:val="nil"/>
              <w:left w:val="nil"/>
              <w:bottom w:val="nil"/>
              <w:right w:val="nil"/>
            </w:tcBorders>
            <w:shd w:val="clear" w:color="auto" w:fill="auto"/>
            <w:noWrap/>
            <w:vAlign w:val="bottom"/>
            <w:hideMark/>
          </w:tcPr>
          <w:p w14:paraId="65E470B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w:t>
            </w:r>
          </w:p>
        </w:tc>
        <w:tc>
          <w:tcPr>
            <w:tcW w:w="1276" w:type="dxa"/>
            <w:tcBorders>
              <w:top w:val="nil"/>
              <w:left w:val="nil"/>
              <w:bottom w:val="nil"/>
              <w:right w:val="nil"/>
            </w:tcBorders>
            <w:shd w:val="clear" w:color="auto" w:fill="auto"/>
            <w:noWrap/>
            <w:vAlign w:val="bottom"/>
            <w:hideMark/>
          </w:tcPr>
          <w:p w14:paraId="07C58BE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(15.263)</w:t>
            </w:r>
          </w:p>
        </w:tc>
      </w:tr>
      <w:tr w:rsidR="00272B18" w:rsidRPr="00AB729D" w14:paraId="7A0527A3"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07841B06"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LN_SALE</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720D6FEC"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088B9A2A"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6EA5E03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-0.049***</w:t>
            </w:r>
          </w:p>
        </w:tc>
        <w:tc>
          <w:tcPr>
            <w:tcW w:w="1196" w:type="dxa"/>
            <w:tcBorders>
              <w:top w:val="nil"/>
              <w:left w:val="nil"/>
              <w:bottom w:val="nil"/>
              <w:right w:val="nil"/>
            </w:tcBorders>
            <w:shd w:val="clear" w:color="auto" w:fill="auto"/>
            <w:noWrap/>
            <w:vAlign w:val="bottom"/>
            <w:hideMark/>
          </w:tcPr>
          <w:p w14:paraId="6C98CA6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-0.046***</w:t>
            </w:r>
          </w:p>
        </w:tc>
        <w:tc>
          <w:tcPr>
            <w:tcW w:w="1256" w:type="dxa"/>
            <w:tcBorders>
              <w:top w:val="nil"/>
              <w:left w:val="nil"/>
              <w:bottom w:val="nil"/>
              <w:right w:val="nil"/>
            </w:tcBorders>
            <w:shd w:val="clear" w:color="auto" w:fill="auto"/>
            <w:noWrap/>
            <w:vAlign w:val="bottom"/>
            <w:hideMark/>
          </w:tcPr>
          <w:p w14:paraId="3C9A5CB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-0.052***</w:t>
            </w:r>
          </w:p>
        </w:tc>
        <w:tc>
          <w:tcPr>
            <w:tcW w:w="1176" w:type="dxa"/>
            <w:tcBorders>
              <w:top w:val="nil"/>
              <w:left w:val="nil"/>
              <w:bottom w:val="nil"/>
              <w:right w:val="nil"/>
            </w:tcBorders>
            <w:shd w:val="clear" w:color="auto" w:fill="auto"/>
            <w:noWrap/>
            <w:vAlign w:val="bottom"/>
            <w:hideMark/>
          </w:tcPr>
          <w:p w14:paraId="08E2A27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-0.033***</w:t>
            </w:r>
          </w:p>
        </w:tc>
        <w:tc>
          <w:tcPr>
            <w:tcW w:w="1256" w:type="dxa"/>
            <w:tcBorders>
              <w:top w:val="nil"/>
              <w:left w:val="nil"/>
              <w:bottom w:val="nil"/>
              <w:right w:val="nil"/>
            </w:tcBorders>
            <w:shd w:val="clear" w:color="auto" w:fill="auto"/>
            <w:noWrap/>
            <w:vAlign w:val="bottom"/>
            <w:hideMark/>
          </w:tcPr>
          <w:p w14:paraId="79801AA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-0.021***</w:t>
            </w:r>
          </w:p>
        </w:tc>
        <w:tc>
          <w:tcPr>
            <w:tcW w:w="1276" w:type="dxa"/>
            <w:tcBorders>
              <w:top w:val="nil"/>
              <w:left w:val="nil"/>
              <w:bottom w:val="nil"/>
              <w:right w:val="nil"/>
            </w:tcBorders>
            <w:shd w:val="clear" w:color="auto" w:fill="auto"/>
            <w:noWrap/>
            <w:vAlign w:val="bottom"/>
            <w:hideMark/>
          </w:tcPr>
          <w:p w14:paraId="428B6DE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-0.030***</w:t>
            </w:r>
          </w:p>
        </w:tc>
      </w:tr>
      <w:tr w:rsidR="00272B18" w:rsidRPr="00AB729D" w14:paraId="55F26144"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32CE92CC"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39E27C3E"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40C5321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681F4E7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(-16.516)</w:t>
            </w:r>
          </w:p>
        </w:tc>
        <w:tc>
          <w:tcPr>
            <w:tcW w:w="1196" w:type="dxa"/>
            <w:tcBorders>
              <w:top w:val="nil"/>
              <w:left w:val="nil"/>
              <w:bottom w:val="nil"/>
              <w:right w:val="nil"/>
            </w:tcBorders>
            <w:shd w:val="clear" w:color="auto" w:fill="auto"/>
            <w:noWrap/>
            <w:vAlign w:val="bottom"/>
            <w:hideMark/>
          </w:tcPr>
          <w:p w14:paraId="1412B26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(-14.908)</w:t>
            </w:r>
          </w:p>
        </w:tc>
        <w:tc>
          <w:tcPr>
            <w:tcW w:w="1256" w:type="dxa"/>
            <w:tcBorders>
              <w:top w:val="nil"/>
              <w:left w:val="nil"/>
              <w:bottom w:val="nil"/>
              <w:right w:val="nil"/>
            </w:tcBorders>
            <w:shd w:val="clear" w:color="auto" w:fill="auto"/>
            <w:noWrap/>
            <w:vAlign w:val="bottom"/>
            <w:hideMark/>
          </w:tcPr>
          <w:p w14:paraId="2C520A1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(-17.304)</w:t>
            </w:r>
          </w:p>
        </w:tc>
        <w:tc>
          <w:tcPr>
            <w:tcW w:w="1176" w:type="dxa"/>
            <w:tcBorders>
              <w:top w:val="nil"/>
              <w:left w:val="nil"/>
              <w:bottom w:val="nil"/>
              <w:right w:val="nil"/>
            </w:tcBorders>
            <w:shd w:val="clear" w:color="auto" w:fill="auto"/>
            <w:noWrap/>
            <w:vAlign w:val="bottom"/>
            <w:hideMark/>
          </w:tcPr>
          <w:p w14:paraId="62598F1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(-16.603)</w:t>
            </w:r>
          </w:p>
        </w:tc>
        <w:tc>
          <w:tcPr>
            <w:tcW w:w="1256" w:type="dxa"/>
            <w:tcBorders>
              <w:top w:val="nil"/>
              <w:left w:val="nil"/>
              <w:bottom w:val="nil"/>
              <w:right w:val="nil"/>
            </w:tcBorders>
            <w:shd w:val="clear" w:color="auto" w:fill="auto"/>
            <w:noWrap/>
            <w:vAlign w:val="bottom"/>
            <w:hideMark/>
          </w:tcPr>
          <w:p w14:paraId="20D409F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(-10.514)</w:t>
            </w:r>
          </w:p>
        </w:tc>
        <w:tc>
          <w:tcPr>
            <w:tcW w:w="1276" w:type="dxa"/>
            <w:tcBorders>
              <w:top w:val="nil"/>
              <w:left w:val="nil"/>
              <w:bottom w:val="nil"/>
              <w:right w:val="nil"/>
            </w:tcBorders>
            <w:shd w:val="clear" w:color="auto" w:fill="auto"/>
            <w:noWrap/>
            <w:vAlign w:val="bottom"/>
            <w:hideMark/>
          </w:tcPr>
          <w:p w14:paraId="018E94E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(-15.259)</w:t>
            </w:r>
          </w:p>
        </w:tc>
      </w:tr>
      <w:tr w:rsidR="00272B18" w:rsidRPr="00AB729D" w14:paraId="32F37491"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4E8A4C43"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LEV</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2A9C947C"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53F9335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1A333F5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0.064***</w:t>
            </w:r>
          </w:p>
        </w:tc>
        <w:tc>
          <w:tcPr>
            <w:tcW w:w="1196" w:type="dxa"/>
            <w:tcBorders>
              <w:top w:val="nil"/>
              <w:left w:val="nil"/>
              <w:bottom w:val="nil"/>
              <w:right w:val="nil"/>
            </w:tcBorders>
            <w:shd w:val="clear" w:color="auto" w:fill="auto"/>
            <w:noWrap/>
            <w:vAlign w:val="bottom"/>
            <w:hideMark/>
          </w:tcPr>
          <w:p w14:paraId="3B12937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0.062***</w:t>
            </w:r>
          </w:p>
        </w:tc>
        <w:tc>
          <w:tcPr>
            <w:tcW w:w="1256" w:type="dxa"/>
            <w:tcBorders>
              <w:top w:val="nil"/>
              <w:left w:val="nil"/>
              <w:bottom w:val="nil"/>
              <w:right w:val="nil"/>
            </w:tcBorders>
            <w:shd w:val="clear" w:color="auto" w:fill="auto"/>
            <w:noWrap/>
            <w:vAlign w:val="bottom"/>
            <w:hideMark/>
          </w:tcPr>
          <w:p w14:paraId="52AF734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0.065***</w:t>
            </w:r>
          </w:p>
        </w:tc>
        <w:tc>
          <w:tcPr>
            <w:tcW w:w="1176" w:type="dxa"/>
            <w:tcBorders>
              <w:top w:val="nil"/>
              <w:left w:val="nil"/>
              <w:bottom w:val="nil"/>
              <w:right w:val="nil"/>
            </w:tcBorders>
            <w:shd w:val="clear" w:color="auto" w:fill="auto"/>
            <w:noWrap/>
            <w:vAlign w:val="bottom"/>
            <w:hideMark/>
          </w:tcPr>
          <w:p w14:paraId="2FE53B3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0.115***</w:t>
            </w:r>
          </w:p>
        </w:tc>
        <w:tc>
          <w:tcPr>
            <w:tcW w:w="1256" w:type="dxa"/>
            <w:tcBorders>
              <w:top w:val="nil"/>
              <w:left w:val="nil"/>
              <w:bottom w:val="nil"/>
              <w:right w:val="nil"/>
            </w:tcBorders>
            <w:shd w:val="clear" w:color="auto" w:fill="auto"/>
            <w:noWrap/>
            <w:vAlign w:val="bottom"/>
            <w:hideMark/>
          </w:tcPr>
          <w:p w14:paraId="081E569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0.108***</w:t>
            </w:r>
          </w:p>
        </w:tc>
        <w:tc>
          <w:tcPr>
            <w:tcW w:w="1276" w:type="dxa"/>
            <w:tcBorders>
              <w:top w:val="nil"/>
              <w:left w:val="nil"/>
              <w:bottom w:val="nil"/>
              <w:right w:val="nil"/>
            </w:tcBorders>
            <w:shd w:val="clear" w:color="auto" w:fill="auto"/>
            <w:noWrap/>
            <w:vAlign w:val="bottom"/>
            <w:hideMark/>
          </w:tcPr>
          <w:p w14:paraId="0EECF15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0.115***</w:t>
            </w:r>
          </w:p>
        </w:tc>
      </w:tr>
      <w:tr w:rsidR="00272B18" w:rsidRPr="00AB729D" w14:paraId="03F0BEF0"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40CBAFF9"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612AC05E"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4022B8F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0F1F3F1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(12.177)</w:t>
            </w:r>
          </w:p>
        </w:tc>
        <w:tc>
          <w:tcPr>
            <w:tcW w:w="1196" w:type="dxa"/>
            <w:tcBorders>
              <w:top w:val="nil"/>
              <w:left w:val="nil"/>
              <w:bottom w:val="nil"/>
              <w:right w:val="nil"/>
            </w:tcBorders>
            <w:shd w:val="clear" w:color="auto" w:fill="auto"/>
            <w:noWrap/>
            <w:vAlign w:val="bottom"/>
            <w:hideMark/>
          </w:tcPr>
          <w:p w14:paraId="3CC3266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(11.780)</w:t>
            </w:r>
          </w:p>
        </w:tc>
        <w:tc>
          <w:tcPr>
            <w:tcW w:w="1256" w:type="dxa"/>
            <w:tcBorders>
              <w:top w:val="nil"/>
              <w:left w:val="nil"/>
              <w:bottom w:val="nil"/>
              <w:right w:val="nil"/>
            </w:tcBorders>
            <w:shd w:val="clear" w:color="auto" w:fill="auto"/>
            <w:noWrap/>
            <w:vAlign w:val="bottom"/>
            <w:hideMark/>
          </w:tcPr>
          <w:p w14:paraId="25A4EBE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(12.327)</w:t>
            </w:r>
          </w:p>
        </w:tc>
        <w:tc>
          <w:tcPr>
            <w:tcW w:w="1176" w:type="dxa"/>
            <w:tcBorders>
              <w:top w:val="nil"/>
              <w:left w:val="nil"/>
              <w:bottom w:val="nil"/>
              <w:right w:val="nil"/>
            </w:tcBorders>
            <w:shd w:val="clear" w:color="auto" w:fill="auto"/>
            <w:noWrap/>
            <w:vAlign w:val="bottom"/>
            <w:hideMark/>
          </w:tcPr>
          <w:p w14:paraId="42F9BB8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(32.726)</w:t>
            </w:r>
          </w:p>
        </w:tc>
        <w:tc>
          <w:tcPr>
            <w:tcW w:w="1256" w:type="dxa"/>
            <w:tcBorders>
              <w:top w:val="nil"/>
              <w:left w:val="nil"/>
              <w:bottom w:val="nil"/>
              <w:right w:val="nil"/>
            </w:tcBorders>
            <w:shd w:val="clear" w:color="auto" w:fill="auto"/>
            <w:noWrap/>
            <w:vAlign w:val="bottom"/>
            <w:hideMark/>
          </w:tcPr>
          <w:p w14:paraId="019C0B0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(30.931)</w:t>
            </w:r>
          </w:p>
        </w:tc>
        <w:tc>
          <w:tcPr>
            <w:tcW w:w="1276" w:type="dxa"/>
            <w:tcBorders>
              <w:top w:val="nil"/>
              <w:left w:val="nil"/>
              <w:bottom w:val="nil"/>
              <w:right w:val="nil"/>
            </w:tcBorders>
            <w:shd w:val="clear" w:color="auto" w:fill="auto"/>
            <w:noWrap/>
            <w:vAlign w:val="bottom"/>
            <w:hideMark/>
          </w:tcPr>
          <w:p w14:paraId="5A5EDA7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(32.756)</w:t>
            </w:r>
          </w:p>
        </w:tc>
      </w:tr>
      <w:tr w:rsidR="00272B18" w:rsidRPr="00AB729D" w14:paraId="04A06126"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45D9ADBE"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LN_AGE</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4AEB2079"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3949A29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58F0470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-0.020**</w:t>
            </w:r>
          </w:p>
        </w:tc>
        <w:tc>
          <w:tcPr>
            <w:tcW w:w="1196" w:type="dxa"/>
            <w:tcBorders>
              <w:top w:val="nil"/>
              <w:left w:val="nil"/>
              <w:bottom w:val="nil"/>
              <w:right w:val="nil"/>
            </w:tcBorders>
            <w:shd w:val="clear" w:color="auto" w:fill="auto"/>
            <w:noWrap/>
            <w:vAlign w:val="bottom"/>
            <w:hideMark/>
          </w:tcPr>
          <w:p w14:paraId="14E1201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-0.021***</w:t>
            </w:r>
          </w:p>
        </w:tc>
        <w:tc>
          <w:tcPr>
            <w:tcW w:w="1256" w:type="dxa"/>
            <w:tcBorders>
              <w:top w:val="nil"/>
              <w:left w:val="nil"/>
              <w:bottom w:val="nil"/>
              <w:right w:val="nil"/>
            </w:tcBorders>
            <w:shd w:val="clear" w:color="auto" w:fill="auto"/>
            <w:noWrap/>
            <w:vAlign w:val="bottom"/>
            <w:hideMark/>
          </w:tcPr>
          <w:p w14:paraId="1B99290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-0.018**</w:t>
            </w:r>
          </w:p>
        </w:tc>
        <w:tc>
          <w:tcPr>
            <w:tcW w:w="1176" w:type="dxa"/>
            <w:tcBorders>
              <w:top w:val="nil"/>
              <w:left w:val="nil"/>
              <w:bottom w:val="nil"/>
              <w:right w:val="nil"/>
            </w:tcBorders>
            <w:shd w:val="clear" w:color="auto" w:fill="auto"/>
            <w:noWrap/>
            <w:vAlign w:val="bottom"/>
            <w:hideMark/>
          </w:tcPr>
          <w:p w14:paraId="5DC822D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0.071***</w:t>
            </w:r>
          </w:p>
        </w:tc>
        <w:tc>
          <w:tcPr>
            <w:tcW w:w="1256" w:type="dxa"/>
            <w:tcBorders>
              <w:top w:val="nil"/>
              <w:left w:val="nil"/>
              <w:bottom w:val="nil"/>
              <w:right w:val="nil"/>
            </w:tcBorders>
            <w:shd w:val="clear" w:color="auto" w:fill="auto"/>
            <w:noWrap/>
            <w:vAlign w:val="bottom"/>
            <w:hideMark/>
          </w:tcPr>
          <w:p w14:paraId="61ECC95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0.067***</w:t>
            </w:r>
          </w:p>
        </w:tc>
        <w:tc>
          <w:tcPr>
            <w:tcW w:w="1276" w:type="dxa"/>
            <w:tcBorders>
              <w:top w:val="nil"/>
              <w:left w:val="nil"/>
              <w:bottom w:val="nil"/>
              <w:right w:val="nil"/>
            </w:tcBorders>
            <w:shd w:val="clear" w:color="auto" w:fill="auto"/>
            <w:noWrap/>
            <w:vAlign w:val="bottom"/>
            <w:hideMark/>
          </w:tcPr>
          <w:p w14:paraId="53F54D3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0.068***</w:t>
            </w:r>
          </w:p>
        </w:tc>
      </w:tr>
      <w:tr w:rsidR="00272B18" w:rsidRPr="00AB729D" w14:paraId="3C5C8076"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17BB8F54"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1176368D"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7F177910"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428C63B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(-2.545)</w:t>
            </w:r>
          </w:p>
        </w:tc>
        <w:tc>
          <w:tcPr>
            <w:tcW w:w="1196" w:type="dxa"/>
            <w:tcBorders>
              <w:top w:val="nil"/>
              <w:left w:val="nil"/>
              <w:bottom w:val="nil"/>
              <w:right w:val="nil"/>
            </w:tcBorders>
            <w:shd w:val="clear" w:color="auto" w:fill="auto"/>
            <w:noWrap/>
            <w:vAlign w:val="bottom"/>
            <w:hideMark/>
          </w:tcPr>
          <w:p w14:paraId="1ED9EB3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(-2.674)</w:t>
            </w:r>
          </w:p>
        </w:tc>
        <w:tc>
          <w:tcPr>
            <w:tcW w:w="1256" w:type="dxa"/>
            <w:tcBorders>
              <w:top w:val="nil"/>
              <w:left w:val="nil"/>
              <w:bottom w:val="nil"/>
              <w:right w:val="nil"/>
            </w:tcBorders>
            <w:shd w:val="clear" w:color="auto" w:fill="auto"/>
            <w:noWrap/>
            <w:vAlign w:val="bottom"/>
            <w:hideMark/>
          </w:tcPr>
          <w:p w14:paraId="2920D23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(-2.284)</w:t>
            </w:r>
          </w:p>
        </w:tc>
        <w:tc>
          <w:tcPr>
            <w:tcW w:w="1176" w:type="dxa"/>
            <w:tcBorders>
              <w:top w:val="nil"/>
              <w:left w:val="nil"/>
              <w:bottom w:val="nil"/>
              <w:right w:val="nil"/>
            </w:tcBorders>
            <w:shd w:val="clear" w:color="auto" w:fill="auto"/>
            <w:noWrap/>
            <w:vAlign w:val="bottom"/>
            <w:hideMark/>
          </w:tcPr>
          <w:p w14:paraId="6B2CE41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(13.862)</w:t>
            </w:r>
          </w:p>
        </w:tc>
        <w:tc>
          <w:tcPr>
            <w:tcW w:w="1256" w:type="dxa"/>
            <w:tcBorders>
              <w:top w:val="nil"/>
              <w:left w:val="nil"/>
              <w:bottom w:val="nil"/>
              <w:right w:val="nil"/>
            </w:tcBorders>
            <w:shd w:val="clear" w:color="auto" w:fill="auto"/>
            <w:noWrap/>
            <w:vAlign w:val="bottom"/>
            <w:hideMark/>
          </w:tcPr>
          <w:p w14:paraId="34371FF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(13.236)</w:t>
            </w:r>
          </w:p>
        </w:tc>
        <w:tc>
          <w:tcPr>
            <w:tcW w:w="1276" w:type="dxa"/>
            <w:tcBorders>
              <w:top w:val="nil"/>
              <w:left w:val="nil"/>
              <w:bottom w:val="nil"/>
              <w:right w:val="nil"/>
            </w:tcBorders>
            <w:shd w:val="clear" w:color="auto" w:fill="auto"/>
            <w:noWrap/>
            <w:vAlign w:val="bottom"/>
            <w:hideMark/>
          </w:tcPr>
          <w:p w14:paraId="41D2503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(13.365)</w:t>
            </w:r>
          </w:p>
        </w:tc>
      </w:tr>
      <w:tr w:rsidR="00272B18" w:rsidRPr="00AB729D" w14:paraId="1200E10B"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43B8FBF8"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ROA</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2AA72F6A"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6AD2B29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30198CA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0.113***</w:t>
            </w:r>
          </w:p>
        </w:tc>
        <w:tc>
          <w:tcPr>
            <w:tcW w:w="1196" w:type="dxa"/>
            <w:tcBorders>
              <w:top w:val="nil"/>
              <w:left w:val="nil"/>
              <w:bottom w:val="nil"/>
              <w:right w:val="nil"/>
            </w:tcBorders>
            <w:shd w:val="clear" w:color="auto" w:fill="auto"/>
            <w:noWrap/>
            <w:vAlign w:val="bottom"/>
            <w:hideMark/>
          </w:tcPr>
          <w:p w14:paraId="5F3638E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0.110***</w:t>
            </w:r>
          </w:p>
        </w:tc>
        <w:tc>
          <w:tcPr>
            <w:tcW w:w="1256" w:type="dxa"/>
            <w:tcBorders>
              <w:top w:val="nil"/>
              <w:left w:val="nil"/>
              <w:bottom w:val="nil"/>
              <w:right w:val="nil"/>
            </w:tcBorders>
            <w:shd w:val="clear" w:color="auto" w:fill="auto"/>
            <w:noWrap/>
            <w:vAlign w:val="bottom"/>
            <w:hideMark/>
          </w:tcPr>
          <w:p w14:paraId="3E31423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0.111***</w:t>
            </w:r>
          </w:p>
        </w:tc>
        <w:tc>
          <w:tcPr>
            <w:tcW w:w="1176" w:type="dxa"/>
            <w:tcBorders>
              <w:top w:val="nil"/>
              <w:left w:val="nil"/>
              <w:bottom w:val="nil"/>
              <w:right w:val="nil"/>
            </w:tcBorders>
            <w:shd w:val="clear" w:color="auto" w:fill="auto"/>
            <w:noWrap/>
            <w:vAlign w:val="bottom"/>
            <w:hideMark/>
          </w:tcPr>
          <w:p w14:paraId="02C62B7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0.098***</w:t>
            </w:r>
          </w:p>
        </w:tc>
        <w:tc>
          <w:tcPr>
            <w:tcW w:w="1256" w:type="dxa"/>
            <w:tcBorders>
              <w:top w:val="nil"/>
              <w:left w:val="nil"/>
              <w:bottom w:val="nil"/>
              <w:right w:val="nil"/>
            </w:tcBorders>
            <w:shd w:val="clear" w:color="auto" w:fill="auto"/>
            <w:noWrap/>
            <w:vAlign w:val="bottom"/>
            <w:hideMark/>
          </w:tcPr>
          <w:p w14:paraId="077D8AB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0.087***</w:t>
            </w:r>
          </w:p>
        </w:tc>
        <w:tc>
          <w:tcPr>
            <w:tcW w:w="1276" w:type="dxa"/>
            <w:tcBorders>
              <w:top w:val="nil"/>
              <w:left w:val="nil"/>
              <w:bottom w:val="nil"/>
              <w:right w:val="nil"/>
            </w:tcBorders>
            <w:shd w:val="clear" w:color="auto" w:fill="auto"/>
            <w:noWrap/>
            <w:vAlign w:val="bottom"/>
            <w:hideMark/>
          </w:tcPr>
          <w:p w14:paraId="76400B5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0.105***</w:t>
            </w:r>
          </w:p>
        </w:tc>
      </w:tr>
      <w:tr w:rsidR="00272B18" w:rsidRPr="00AB729D" w14:paraId="094BC124"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46C62DB3"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3BD4098A"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507EC0F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29BE52D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(10.248)</w:t>
            </w:r>
          </w:p>
        </w:tc>
        <w:tc>
          <w:tcPr>
            <w:tcW w:w="1196" w:type="dxa"/>
            <w:tcBorders>
              <w:top w:val="nil"/>
              <w:left w:val="nil"/>
              <w:bottom w:val="nil"/>
              <w:right w:val="nil"/>
            </w:tcBorders>
            <w:shd w:val="clear" w:color="auto" w:fill="auto"/>
            <w:noWrap/>
            <w:vAlign w:val="bottom"/>
            <w:hideMark/>
          </w:tcPr>
          <w:p w14:paraId="057C22E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(9.933)</w:t>
            </w:r>
          </w:p>
        </w:tc>
        <w:tc>
          <w:tcPr>
            <w:tcW w:w="1256" w:type="dxa"/>
            <w:tcBorders>
              <w:top w:val="nil"/>
              <w:left w:val="nil"/>
              <w:bottom w:val="nil"/>
              <w:right w:val="nil"/>
            </w:tcBorders>
            <w:shd w:val="clear" w:color="auto" w:fill="auto"/>
            <w:noWrap/>
            <w:vAlign w:val="bottom"/>
            <w:hideMark/>
          </w:tcPr>
          <w:p w14:paraId="0652A40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(10.072)</w:t>
            </w:r>
          </w:p>
        </w:tc>
        <w:tc>
          <w:tcPr>
            <w:tcW w:w="1176" w:type="dxa"/>
            <w:tcBorders>
              <w:top w:val="nil"/>
              <w:left w:val="nil"/>
              <w:bottom w:val="nil"/>
              <w:right w:val="nil"/>
            </w:tcBorders>
            <w:shd w:val="clear" w:color="auto" w:fill="auto"/>
            <w:noWrap/>
            <w:vAlign w:val="bottom"/>
            <w:hideMark/>
          </w:tcPr>
          <w:p w14:paraId="2B6B39F2"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(13.406)</w:t>
            </w:r>
          </w:p>
        </w:tc>
        <w:tc>
          <w:tcPr>
            <w:tcW w:w="1256" w:type="dxa"/>
            <w:tcBorders>
              <w:top w:val="nil"/>
              <w:left w:val="nil"/>
              <w:bottom w:val="nil"/>
              <w:right w:val="nil"/>
            </w:tcBorders>
            <w:shd w:val="clear" w:color="auto" w:fill="auto"/>
            <w:noWrap/>
            <w:vAlign w:val="bottom"/>
            <w:hideMark/>
          </w:tcPr>
          <w:p w14:paraId="4B9AC27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(11.938)</w:t>
            </w:r>
          </w:p>
        </w:tc>
        <w:tc>
          <w:tcPr>
            <w:tcW w:w="1276" w:type="dxa"/>
            <w:tcBorders>
              <w:top w:val="nil"/>
              <w:left w:val="nil"/>
              <w:bottom w:val="nil"/>
              <w:right w:val="nil"/>
            </w:tcBorders>
            <w:shd w:val="clear" w:color="auto" w:fill="auto"/>
            <w:noWrap/>
            <w:vAlign w:val="bottom"/>
            <w:hideMark/>
          </w:tcPr>
          <w:p w14:paraId="0B2443D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(14.379)</w:t>
            </w:r>
          </w:p>
        </w:tc>
      </w:tr>
      <w:tr w:rsidR="00272B18" w:rsidRPr="00AB729D" w14:paraId="508BE4BA"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3A3D255F" w14:textId="77777777" w:rsidR="00741DF5" w:rsidRPr="00AB729D" w:rsidRDefault="00476E5F" w:rsidP="00741DF5">
            <w:pPr>
              <w:spacing w:after="0" w:line="240" w:lineRule="auto"/>
              <w:rPr>
                <w:rFonts w:ascii="Times New Roman" w:eastAsia="Times New Roman" w:hAnsi="Times New Roman"/>
                <w:sz w:val="24"/>
                <w:szCs w:val="24"/>
              </w:rPr>
            </w:pPr>
            <m:oMathPara>
              <m:oMathParaPr>
                <m:jc m:val="left"/>
              </m:oMathParaPr>
              <m:oMath>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DY</m:t>
                    </m:r>
                  </m:e>
                  <m:sub>
                    <m:r>
                      <w:rPr>
                        <w:rFonts w:ascii="Cambria Math" w:eastAsia="Times New Roman" w:hAnsi="Cambria Math"/>
                        <w:sz w:val="24"/>
                        <w:szCs w:val="24"/>
                      </w:rPr>
                      <m:t>t</m:t>
                    </m:r>
                  </m:sub>
                </m:sSub>
              </m:oMath>
            </m:oMathPara>
          </w:p>
        </w:tc>
        <w:tc>
          <w:tcPr>
            <w:tcW w:w="121" w:type="dxa"/>
            <w:tcBorders>
              <w:top w:val="nil"/>
              <w:left w:val="nil"/>
              <w:bottom w:val="nil"/>
              <w:right w:val="nil"/>
            </w:tcBorders>
            <w:shd w:val="clear" w:color="auto" w:fill="auto"/>
            <w:noWrap/>
            <w:vAlign w:val="bottom"/>
            <w:hideMark/>
          </w:tcPr>
          <w:p w14:paraId="56CF7631"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6FF616F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4EDC8B9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-0.029</w:t>
            </w:r>
          </w:p>
        </w:tc>
        <w:tc>
          <w:tcPr>
            <w:tcW w:w="1196" w:type="dxa"/>
            <w:tcBorders>
              <w:top w:val="nil"/>
              <w:left w:val="nil"/>
              <w:bottom w:val="nil"/>
              <w:right w:val="nil"/>
            </w:tcBorders>
            <w:shd w:val="clear" w:color="auto" w:fill="auto"/>
            <w:noWrap/>
            <w:vAlign w:val="bottom"/>
            <w:hideMark/>
          </w:tcPr>
          <w:p w14:paraId="7DE371EC"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-0.029</w:t>
            </w:r>
          </w:p>
        </w:tc>
        <w:tc>
          <w:tcPr>
            <w:tcW w:w="1256" w:type="dxa"/>
            <w:tcBorders>
              <w:top w:val="nil"/>
              <w:left w:val="nil"/>
              <w:bottom w:val="nil"/>
              <w:right w:val="nil"/>
            </w:tcBorders>
            <w:shd w:val="clear" w:color="auto" w:fill="auto"/>
            <w:noWrap/>
            <w:vAlign w:val="bottom"/>
            <w:hideMark/>
          </w:tcPr>
          <w:p w14:paraId="19965DA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-0.028</w:t>
            </w:r>
          </w:p>
        </w:tc>
        <w:tc>
          <w:tcPr>
            <w:tcW w:w="1176" w:type="dxa"/>
            <w:tcBorders>
              <w:top w:val="nil"/>
              <w:left w:val="nil"/>
              <w:bottom w:val="nil"/>
              <w:right w:val="nil"/>
            </w:tcBorders>
            <w:shd w:val="clear" w:color="auto" w:fill="auto"/>
            <w:noWrap/>
            <w:vAlign w:val="bottom"/>
            <w:hideMark/>
          </w:tcPr>
          <w:p w14:paraId="389481E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-0.069***</w:t>
            </w:r>
          </w:p>
        </w:tc>
        <w:tc>
          <w:tcPr>
            <w:tcW w:w="1256" w:type="dxa"/>
            <w:tcBorders>
              <w:top w:val="nil"/>
              <w:left w:val="nil"/>
              <w:bottom w:val="nil"/>
              <w:right w:val="nil"/>
            </w:tcBorders>
            <w:shd w:val="clear" w:color="auto" w:fill="auto"/>
            <w:noWrap/>
            <w:vAlign w:val="bottom"/>
            <w:hideMark/>
          </w:tcPr>
          <w:p w14:paraId="34483C6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-0.071***</w:t>
            </w:r>
          </w:p>
        </w:tc>
        <w:tc>
          <w:tcPr>
            <w:tcW w:w="1276" w:type="dxa"/>
            <w:tcBorders>
              <w:top w:val="nil"/>
              <w:left w:val="nil"/>
              <w:bottom w:val="nil"/>
              <w:right w:val="nil"/>
            </w:tcBorders>
            <w:shd w:val="clear" w:color="auto" w:fill="auto"/>
            <w:noWrap/>
            <w:vAlign w:val="bottom"/>
            <w:hideMark/>
          </w:tcPr>
          <w:p w14:paraId="5242322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-0.071***</w:t>
            </w:r>
          </w:p>
        </w:tc>
      </w:tr>
      <w:tr w:rsidR="00272B18" w:rsidRPr="00AB729D" w14:paraId="49E19FB9"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21D2A17E"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288A2429"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5699F40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6B32FCF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(-1.323)</w:t>
            </w:r>
          </w:p>
        </w:tc>
        <w:tc>
          <w:tcPr>
            <w:tcW w:w="1196" w:type="dxa"/>
            <w:tcBorders>
              <w:top w:val="nil"/>
              <w:left w:val="nil"/>
              <w:bottom w:val="nil"/>
              <w:right w:val="nil"/>
            </w:tcBorders>
            <w:shd w:val="clear" w:color="auto" w:fill="auto"/>
            <w:noWrap/>
            <w:vAlign w:val="bottom"/>
            <w:hideMark/>
          </w:tcPr>
          <w:p w14:paraId="1E20775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(-1.348)</w:t>
            </w:r>
          </w:p>
        </w:tc>
        <w:tc>
          <w:tcPr>
            <w:tcW w:w="1256" w:type="dxa"/>
            <w:tcBorders>
              <w:top w:val="nil"/>
              <w:left w:val="nil"/>
              <w:bottom w:val="nil"/>
              <w:right w:val="nil"/>
            </w:tcBorders>
            <w:shd w:val="clear" w:color="auto" w:fill="auto"/>
            <w:noWrap/>
            <w:vAlign w:val="bottom"/>
            <w:hideMark/>
          </w:tcPr>
          <w:p w14:paraId="5E8E063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(-1.285)</w:t>
            </w:r>
          </w:p>
        </w:tc>
        <w:tc>
          <w:tcPr>
            <w:tcW w:w="1176" w:type="dxa"/>
            <w:tcBorders>
              <w:top w:val="nil"/>
              <w:left w:val="nil"/>
              <w:bottom w:val="nil"/>
              <w:right w:val="nil"/>
            </w:tcBorders>
            <w:shd w:val="clear" w:color="auto" w:fill="auto"/>
            <w:noWrap/>
            <w:vAlign w:val="bottom"/>
            <w:hideMark/>
          </w:tcPr>
          <w:p w14:paraId="099130C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(-4.779)</w:t>
            </w:r>
          </w:p>
        </w:tc>
        <w:tc>
          <w:tcPr>
            <w:tcW w:w="1256" w:type="dxa"/>
            <w:tcBorders>
              <w:top w:val="nil"/>
              <w:left w:val="nil"/>
              <w:bottom w:val="nil"/>
              <w:right w:val="nil"/>
            </w:tcBorders>
            <w:shd w:val="clear" w:color="auto" w:fill="auto"/>
            <w:noWrap/>
            <w:vAlign w:val="bottom"/>
            <w:hideMark/>
          </w:tcPr>
          <w:p w14:paraId="22089F4E"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(-4.922)</w:t>
            </w:r>
          </w:p>
        </w:tc>
        <w:tc>
          <w:tcPr>
            <w:tcW w:w="1276" w:type="dxa"/>
            <w:tcBorders>
              <w:top w:val="nil"/>
              <w:left w:val="nil"/>
              <w:bottom w:val="nil"/>
              <w:right w:val="nil"/>
            </w:tcBorders>
            <w:shd w:val="clear" w:color="auto" w:fill="auto"/>
            <w:noWrap/>
            <w:vAlign w:val="bottom"/>
            <w:hideMark/>
          </w:tcPr>
          <w:p w14:paraId="3FD42D7B"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(-4.889)</w:t>
            </w:r>
          </w:p>
        </w:tc>
      </w:tr>
      <w:tr w:rsidR="00272B18" w:rsidRPr="00AB729D" w14:paraId="26501193"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6FB96674" w14:textId="77777777" w:rsidR="00741DF5" w:rsidRPr="00AB729D" w:rsidRDefault="00741DF5" w:rsidP="00741DF5">
            <w:pPr>
              <w:spacing w:after="0" w:line="240" w:lineRule="auto"/>
              <w:jc w:val="center"/>
              <w:rPr>
                <w:rFonts w:ascii="Times New Roman" w:eastAsia="Times New Roman" w:hAnsi="Times New Roman"/>
              </w:rPr>
            </w:pPr>
          </w:p>
        </w:tc>
        <w:tc>
          <w:tcPr>
            <w:tcW w:w="121" w:type="dxa"/>
            <w:tcBorders>
              <w:top w:val="nil"/>
              <w:left w:val="nil"/>
              <w:bottom w:val="nil"/>
              <w:right w:val="nil"/>
            </w:tcBorders>
            <w:shd w:val="clear" w:color="auto" w:fill="auto"/>
            <w:noWrap/>
            <w:vAlign w:val="bottom"/>
            <w:hideMark/>
          </w:tcPr>
          <w:p w14:paraId="369C5FB6"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28108E6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1E34C61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69A10A31"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6210FAD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76" w:type="dxa"/>
            <w:tcBorders>
              <w:top w:val="nil"/>
              <w:left w:val="nil"/>
              <w:bottom w:val="nil"/>
              <w:right w:val="nil"/>
            </w:tcBorders>
            <w:shd w:val="clear" w:color="auto" w:fill="auto"/>
            <w:noWrap/>
            <w:vAlign w:val="bottom"/>
            <w:hideMark/>
          </w:tcPr>
          <w:p w14:paraId="4073689D" w14:textId="77777777" w:rsidR="00741DF5" w:rsidRPr="00AB729D" w:rsidRDefault="00741DF5" w:rsidP="00741DF5">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26812175" w14:textId="77777777" w:rsidR="00741DF5" w:rsidRPr="00AB729D" w:rsidRDefault="00741DF5" w:rsidP="00741DF5">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42ED57DA"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770E0B87" w14:textId="77777777" w:rsidTr="00741DF5">
        <w:trPr>
          <w:trHeight w:val="300"/>
          <w:jc w:val="center"/>
        </w:trPr>
        <w:tc>
          <w:tcPr>
            <w:tcW w:w="2157" w:type="dxa"/>
            <w:tcBorders>
              <w:top w:val="nil"/>
              <w:left w:val="nil"/>
              <w:bottom w:val="nil"/>
              <w:right w:val="nil"/>
            </w:tcBorders>
            <w:shd w:val="clear" w:color="auto" w:fill="auto"/>
            <w:noWrap/>
            <w:vAlign w:val="bottom"/>
            <w:hideMark/>
          </w:tcPr>
          <w:p w14:paraId="68BF03E6"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0305840C"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05A76CA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02FFB6D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2715DF64"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0D27B7A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76" w:type="dxa"/>
            <w:tcBorders>
              <w:top w:val="nil"/>
              <w:left w:val="nil"/>
              <w:bottom w:val="nil"/>
              <w:right w:val="nil"/>
            </w:tcBorders>
            <w:shd w:val="clear" w:color="auto" w:fill="auto"/>
            <w:noWrap/>
            <w:vAlign w:val="bottom"/>
            <w:hideMark/>
          </w:tcPr>
          <w:p w14:paraId="47BC7D32" w14:textId="77777777" w:rsidR="00741DF5" w:rsidRPr="00AB729D" w:rsidRDefault="00741DF5" w:rsidP="00741DF5">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251BBB9C" w14:textId="77777777" w:rsidR="00741DF5" w:rsidRPr="00AB729D" w:rsidRDefault="00741DF5" w:rsidP="00741DF5">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33F91E59"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7D1FD8E"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70DD3A05"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7207B4F2"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2CB58DB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4C0B862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126F8C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7F2316B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76" w:type="dxa"/>
            <w:tcBorders>
              <w:top w:val="nil"/>
              <w:left w:val="nil"/>
              <w:bottom w:val="nil"/>
              <w:right w:val="nil"/>
            </w:tcBorders>
            <w:shd w:val="clear" w:color="auto" w:fill="auto"/>
            <w:noWrap/>
            <w:vAlign w:val="bottom"/>
            <w:hideMark/>
          </w:tcPr>
          <w:p w14:paraId="002ACF96" w14:textId="77777777" w:rsidR="00741DF5" w:rsidRPr="00AB729D" w:rsidRDefault="00741DF5" w:rsidP="00741DF5">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056A5908" w14:textId="77777777" w:rsidR="00741DF5" w:rsidRPr="00AB729D" w:rsidRDefault="00741DF5" w:rsidP="00741DF5">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5BE62979"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B39E4E1"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3DF9082D"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15BB8D27"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5722CCB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6D1531A5"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611E6F9D"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67ACD0CB"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76" w:type="dxa"/>
            <w:tcBorders>
              <w:top w:val="nil"/>
              <w:left w:val="nil"/>
              <w:bottom w:val="nil"/>
              <w:right w:val="nil"/>
            </w:tcBorders>
            <w:shd w:val="clear" w:color="auto" w:fill="auto"/>
            <w:noWrap/>
            <w:vAlign w:val="bottom"/>
            <w:hideMark/>
          </w:tcPr>
          <w:p w14:paraId="6BD2F820" w14:textId="77777777" w:rsidR="00741DF5" w:rsidRPr="00AB729D" w:rsidRDefault="00741DF5" w:rsidP="00741DF5">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1785D18C" w14:textId="77777777" w:rsidR="00741DF5" w:rsidRPr="00AB729D" w:rsidRDefault="00741DF5" w:rsidP="00741DF5">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03C4AD52"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2E4144AB"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670E4728"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29CCA4F2" w14:textId="77777777" w:rsidR="00741DF5" w:rsidRPr="00AB729D" w:rsidRDefault="00741DF5" w:rsidP="00741DF5">
            <w:pPr>
              <w:spacing w:after="0" w:line="240" w:lineRule="auto"/>
              <w:rPr>
                <w:rFonts w:ascii="Times New Roman" w:eastAsia="Times New Roman" w:hAnsi="Times New Roman"/>
                <w:sz w:val="20"/>
                <w:szCs w:val="20"/>
              </w:rPr>
            </w:pPr>
          </w:p>
        </w:tc>
        <w:tc>
          <w:tcPr>
            <w:tcW w:w="121" w:type="dxa"/>
            <w:tcBorders>
              <w:top w:val="nil"/>
              <w:left w:val="nil"/>
              <w:bottom w:val="nil"/>
              <w:right w:val="nil"/>
            </w:tcBorders>
            <w:shd w:val="clear" w:color="auto" w:fill="auto"/>
            <w:noWrap/>
            <w:vAlign w:val="bottom"/>
            <w:hideMark/>
          </w:tcPr>
          <w:p w14:paraId="2AE0A278"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06C5A52C"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675E38B6"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24B29302"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176" w:type="dxa"/>
            <w:tcBorders>
              <w:top w:val="nil"/>
              <w:left w:val="nil"/>
              <w:bottom w:val="nil"/>
              <w:right w:val="nil"/>
            </w:tcBorders>
            <w:shd w:val="clear" w:color="auto" w:fill="auto"/>
            <w:noWrap/>
            <w:vAlign w:val="bottom"/>
            <w:hideMark/>
          </w:tcPr>
          <w:p w14:paraId="71BE74FD" w14:textId="77777777" w:rsidR="00741DF5" w:rsidRPr="00AB729D" w:rsidRDefault="00741DF5" w:rsidP="00741DF5">
            <w:pPr>
              <w:spacing w:after="0" w:line="240" w:lineRule="auto"/>
              <w:rPr>
                <w:rFonts w:ascii="Times New Roman" w:eastAsia="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329AEFC5" w14:textId="77777777" w:rsidR="00741DF5" w:rsidRPr="00AB729D" w:rsidRDefault="00741DF5" w:rsidP="00741DF5">
            <w:pPr>
              <w:spacing w:after="0" w:line="240" w:lineRule="auto"/>
              <w:rPr>
                <w:rFonts w:ascii="Times New Roman" w:eastAsia="Times New Roman" w:hAnsi="Times New Roman"/>
                <w:sz w:val="20"/>
                <w:szCs w:val="20"/>
              </w:rPr>
            </w:pPr>
          </w:p>
        </w:tc>
        <w:tc>
          <w:tcPr>
            <w:tcW w:w="1276" w:type="dxa"/>
            <w:tcBorders>
              <w:top w:val="nil"/>
              <w:left w:val="nil"/>
              <w:bottom w:val="nil"/>
              <w:right w:val="nil"/>
            </w:tcBorders>
            <w:shd w:val="clear" w:color="auto" w:fill="auto"/>
            <w:noWrap/>
            <w:vAlign w:val="bottom"/>
            <w:hideMark/>
          </w:tcPr>
          <w:p w14:paraId="7CED14BB" w14:textId="77777777" w:rsidR="00741DF5" w:rsidRPr="00AB729D" w:rsidRDefault="00741DF5" w:rsidP="00741DF5">
            <w:pPr>
              <w:spacing w:after="0" w:line="240" w:lineRule="auto"/>
              <w:rPr>
                <w:rFonts w:ascii="Times New Roman" w:eastAsia="Times New Roman" w:hAnsi="Times New Roman"/>
                <w:sz w:val="20"/>
                <w:szCs w:val="20"/>
              </w:rPr>
            </w:pPr>
          </w:p>
        </w:tc>
      </w:tr>
      <w:tr w:rsidR="00272B18" w:rsidRPr="00AB729D" w14:paraId="72A523B1"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18F41BFB"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 xml:space="preserve">Year </w:t>
            </w:r>
          </w:p>
        </w:tc>
        <w:tc>
          <w:tcPr>
            <w:tcW w:w="121" w:type="dxa"/>
            <w:tcBorders>
              <w:top w:val="nil"/>
              <w:left w:val="nil"/>
              <w:bottom w:val="nil"/>
              <w:right w:val="nil"/>
            </w:tcBorders>
            <w:shd w:val="clear" w:color="auto" w:fill="auto"/>
            <w:noWrap/>
            <w:vAlign w:val="bottom"/>
            <w:hideMark/>
          </w:tcPr>
          <w:p w14:paraId="67E22713"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6A01FB43"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691120B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96" w:type="dxa"/>
            <w:tcBorders>
              <w:top w:val="nil"/>
              <w:left w:val="nil"/>
              <w:bottom w:val="nil"/>
              <w:right w:val="nil"/>
            </w:tcBorders>
            <w:shd w:val="clear" w:color="auto" w:fill="auto"/>
            <w:noWrap/>
            <w:vAlign w:val="bottom"/>
            <w:hideMark/>
          </w:tcPr>
          <w:p w14:paraId="5121E5F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56" w:type="dxa"/>
            <w:tcBorders>
              <w:top w:val="nil"/>
              <w:left w:val="nil"/>
              <w:bottom w:val="nil"/>
              <w:right w:val="nil"/>
            </w:tcBorders>
            <w:shd w:val="clear" w:color="auto" w:fill="auto"/>
            <w:noWrap/>
            <w:vAlign w:val="bottom"/>
            <w:hideMark/>
          </w:tcPr>
          <w:p w14:paraId="1C80703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76" w:type="dxa"/>
            <w:tcBorders>
              <w:top w:val="nil"/>
              <w:left w:val="nil"/>
              <w:bottom w:val="nil"/>
              <w:right w:val="nil"/>
            </w:tcBorders>
            <w:shd w:val="clear" w:color="auto" w:fill="auto"/>
            <w:noWrap/>
            <w:vAlign w:val="bottom"/>
            <w:hideMark/>
          </w:tcPr>
          <w:p w14:paraId="065D403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56" w:type="dxa"/>
            <w:tcBorders>
              <w:top w:val="nil"/>
              <w:left w:val="nil"/>
              <w:bottom w:val="nil"/>
              <w:right w:val="nil"/>
            </w:tcBorders>
            <w:shd w:val="clear" w:color="auto" w:fill="auto"/>
            <w:noWrap/>
            <w:vAlign w:val="bottom"/>
            <w:hideMark/>
          </w:tcPr>
          <w:p w14:paraId="4274BF0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76" w:type="dxa"/>
            <w:tcBorders>
              <w:top w:val="nil"/>
              <w:left w:val="nil"/>
              <w:bottom w:val="nil"/>
              <w:right w:val="nil"/>
            </w:tcBorders>
            <w:shd w:val="clear" w:color="auto" w:fill="auto"/>
            <w:noWrap/>
            <w:vAlign w:val="bottom"/>
            <w:hideMark/>
          </w:tcPr>
          <w:p w14:paraId="13D1CCA9"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4FD84113"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44573543"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Industry</w:t>
            </w:r>
          </w:p>
        </w:tc>
        <w:tc>
          <w:tcPr>
            <w:tcW w:w="121" w:type="dxa"/>
            <w:tcBorders>
              <w:top w:val="nil"/>
              <w:left w:val="nil"/>
              <w:bottom w:val="nil"/>
              <w:right w:val="nil"/>
            </w:tcBorders>
            <w:shd w:val="clear" w:color="auto" w:fill="auto"/>
            <w:noWrap/>
            <w:vAlign w:val="bottom"/>
            <w:hideMark/>
          </w:tcPr>
          <w:p w14:paraId="60A31DD6"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6CBC740E" w14:textId="77777777" w:rsidR="00741DF5" w:rsidRPr="00AB729D" w:rsidRDefault="00741DF5" w:rsidP="00741DF5">
            <w:pPr>
              <w:spacing w:after="0" w:line="240" w:lineRule="auto"/>
              <w:jc w:val="center"/>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14BD2AB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96" w:type="dxa"/>
            <w:tcBorders>
              <w:top w:val="nil"/>
              <w:left w:val="nil"/>
              <w:bottom w:val="nil"/>
              <w:right w:val="nil"/>
            </w:tcBorders>
            <w:shd w:val="clear" w:color="auto" w:fill="auto"/>
            <w:noWrap/>
            <w:vAlign w:val="bottom"/>
            <w:hideMark/>
          </w:tcPr>
          <w:p w14:paraId="381C31B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56" w:type="dxa"/>
            <w:tcBorders>
              <w:top w:val="nil"/>
              <w:left w:val="nil"/>
              <w:bottom w:val="nil"/>
              <w:right w:val="nil"/>
            </w:tcBorders>
            <w:shd w:val="clear" w:color="auto" w:fill="auto"/>
            <w:noWrap/>
            <w:vAlign w:val="bottom"/>
            <w:hideMark/>
          </w:tcPr>
          <w:p w14:paraId="2CAB98F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176" w:type="dxa"/>
            <w:tcBorders>
              <w:top w:val="nil"/>
              <w:left w:val="nil"/>
              <w:bottom w:val="nil"/>
              <w:right w:val="nil"/>
            </w:tcBorders>
            <w:shd w:val="clear" w:color="auto" w:fill="auto"/>
            <w:noWrap/>
            <w:vAlign w:val="bottom"/>
            <w:hideMark/>
          </w:tcPr>
          <w:p w14:paraId="4E17F5A6"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56" w:type="dxa"/>
            <w:tcBorders>
              <w:top w:val="nil"/>
              <w:left w:val="nil"/>
              <w:bottom w:val="nil"/>
              <w:right w:val="nil"/>
            </w:tcBorders>
            <w:shd w:val="clear" w:color="auto" w:fill="auto"/>
            <w:noWrap/>
            <w:vAlign w:val="bottom"/>
            <w:hideMark/>
          </w:tcPr>
          <w:p w14:paraId="0837CAC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c>
          <w:tcPr>
            <w:tcW w:w="1276" w:type="dxa"/>
            <w:tcBorders>
              <w:top w:val="nil"/>
              <w:left w:val="nil"/>
              <w:bottom w:val="nil"/>
              <w:right w:val="nil"/>
            </w:tcBorders>
            <w:shd w:val="clear" w:color="auto" w:fill="auto"/>
            <w:noWrap/>
            <w:vAlign w:val="bottom"/>
            <w:hideMark/>
          </w:tcPr>
          <w:p w14:paraId="5F6C111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YES</w:t>
            </w:r>
          </w:p>
        </w:tc>
      </w:tr>
      <w:tr w:rsidR="00272B18" w:rsidRPr="00AB729D" w14:paraId="3FC56255" w14:textId="77777777" w:rsidTr="00741DF5">
        <w:trPr>
          <w:trHeight w:val="315"/>
          <w:jc w:val="center"/>
        </w:trPr>
        <w:tc>
          <w:tcPr>
            <w:tcW w:w="2157" w:type="dxa"/>
            <w:tcBorders>
              <w:top w:val="nil"/>
              <w:left w:val="nil"/>
              <w:bottom w:val="nil"/>
              <w:right w:val="nil"/>
            </w:tcBorders>
            <w:shd w:val="clear" w:color="auto" w:fill="auto"/>
            <w:noWrap/>
            <w:vAlign w:val="bottom"/>
            <w:hideMark/>
          </w:tcPr>
          <w:p w14:paraId="364545B4"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No. of obs.</w:t>
            </w:r>
          </w:p>
        </w:tc>
        <w:tc>
          <w:tcPr>
            <w:tcW w:w="121" w:type="dxa"/>
            <w:tcBorders>
              <w:top w:val="nil"/>
              <w:left w:val="nil"/>
              <w:bottom w:val="nil"/>
              <w:right w:val="nil"/>
            </w:tcBorders>
            <w:shd w:val="clear" w:color="auto" w:fill="auto"/>
            <w:noWrap/>
            <w:vAlign w:val="bottom"/>
            <w:hideMark/>
          </w:tcPr>
          <w:p w14:paraId="1A8FCF07" w14:textId="77777777" w:rsidR="00741DF5" w:rsidRPr="00AB729D" w:rsidRDefault="00741DF5" w:rsidP="00741DF5">
            <w:pPr>
              <w:spacing w:after="0" w:line="240" w:lineRule="auto"/>
              <w:rPr>
                <w:rFonts w:ascii="Times New Roman" w:eastAsia="Times New Roman" w:hAnsi="Times New Roman"/>
                <w:sz w:val="24"/>
                <w:szCs w:val="24"/>
              </w:rPr>
            </w:pPr>
          </w:p>
        </w:tc>
        <w:tc>
          <w:tcPr>
            <w:tcW w:w="121" w:type="dxa"/>
            <w:tcBorders>
              <w:top w:val="nil"/>
              <w:left w:val="nil"/>
              <w:bottom w:val="nil"/>
              <w:right w:val="nil"/>
            </w:tcBorders>
            <w:shd w:val="clear" w:color="auto" w:fill="auto"/>
            <w:noWrap/>
            <w:vAlign w:val="bottom"/>
            <w:hideMark/>
          </w:tcPr>
          <w:p w14:paraId="1A0601B5" w14:textId="77777777" w:rsidR="00741DF5" w:rsidRPr="00AB729D" w:rsidRDefault="00741DF5" w:rsidP="00741DF5">
            <w:pPr>
              <w:spacing w:after="0" w:line="240" w:lineRule="auto"/>
              <w:rPr>
                <w:rFonts w:ascii="Times New Roman" w:eastAsia="Times New Roman" w:hAnsi="Times New Roman"/>
                <w:sz w:val="20"/>
                <w:szCs w:val="20"/>
              </w:rPr>
            </w:pPr>
          </w:p>
        </w:tc>
        <w:tc>
          <w:tcPr>
            <w:tcW w:w="1817" w:type="dxa"/>
            <w:tcBorders>
              <w:top w:val="nil"/>
              <w:left w:val="nil"/>
              <w:bottom w:val="nil"/>
              <w:right w:val="nil"/>
            </w:tcBorders>
            <w:shd w:val="clear" w:color="auto" w:fill="auto"/>
            <w:noWrap/>
            <w:vAlign w:val="bottom"/>
            <w:hideMark/>
          </w:tcPr>
          <w:p w14:paraId="737C3F2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196" w:type="dxa"/>
            <w:tcBorders>
              <w:top w:val="nil"/>
              <w:left w:val="nil"/>
              <w:bottom w:val="nil"/>
              <w:right w:val="nil"/>
            </w:tcBorders>
            <w:shd w:val="clear" w:color="auto" w:fill="auto"/>
            <w:noWrap/>
            <w:vAlign w:val="bottom"/>
            <w:hideMark/>
          </w:tcPr>
          <w:p w14:paraId="008F1F60"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256" w:type="dxa"/>
            <w:tcBorders>
              <w:top w:val="nil"/>
              <w:left w:val="nil"/>
              <w:bottom w:val="nil"/>
              <w:right w:val="nil"/>
            </w:tcBorders>
            <w:shd w:val="clear" w:color="auto" w:fill="auto"/>
            <w:noWrap/>
            <w:vAlign w:val="bottom"/>
            <w:hideMark/>
          </w:tcPr>
          <w:p w14:paraId="0DB34A85"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176" w:type="dxa"/>
            <w:tcBorders>
              <w:top w:val="nil"/>
              <w:left w:val="nil"/>
              <w:bottom w:val="nil"/>
              <w:right w:val="nil"/>
            </w:tcBorders>
            <w:shd w:val="clear" w:color="auto" w:fill="auto"/>
            <w:noWrap/>
            <w:vAlign w:val="bottom"/>
            <w:hideMark/>
          </w:tcPr>
          <w:p w14:paraId="323E7CFA"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256" w:type="dxa"/>
            <w:tcBorders>
              <w:top w:val="nil"/>
              <w:left w:val="nil"/>
              <w:bottom w:val="nil"/>
              <w:right w:val="nil"/>
            </w:tcBorders>
            <w:shd w:val="clear" w:color="auto" w:fill="auto"/>
            <w:noWrap/>
            <w:vAlign w:val="bottom"/>
            <w:hideMark/>
          </w:tcPr>
          <w:p w14:paraId="224D4BB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c>
          <w:tcPr>
            <w:tcW w:w="1276" w:type="dxa"/>
            <w:tcBorders>
              <w:top w:val="nil"/>
              <w:left w:val="nil"/>
              <w:bottom w:val="nil"/>
              <w:right w:val="nil"/>
            </w:tcBorders>
            <w:shd w:val="clear" w:color="auto" w:fill="auto"/>
            <w:noWrap/>
            <w:vAlign w:val="bottom"/>
            <w:hideMark/>
          </w:tcPr>
          <w:p w14:paraId="0A5D7E5D"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78,115</w:t>
            </w:r>
          </w:p>
        </w:tc>
      </w:tr>
      <w:tr w:rsidR="00741DF5" w:rsidRPr="00AB729D" w14:paraId="1611F45A" w14:textId="77777777" w:rsidTr="00741DF5">
        <w:trPr>
          <w:trHeight w:val="315"/>
          <w:jc w:val="center"/>
        </w:trPr>
        <w:tc>
          <w:tcPr>
            <w:tcW w:w="2157" w:type="dxa"/>
            <w:tcBorders>
              <w:top w:val="nil"/>
              <w:left w:val="nil"/>
              <w:bottom w:val="single" w:sz="4" w:space="0" w:color="auto"/>
              <w:right w:val="nil"/>
            </w:tcBorders>
            <w:shd w:val="clear" w:color="auto" w:fill="auto"/>
            <w:noWrap/>
            <w:vAlign w:val="bottom"/>
            <w:hideMark/>
          </w:tcPr>
          <w:p w14:paraId="125A1CFA" w14:textId="77777777" w:rsidR="00741DF5" w:rsidRPr="00AB729D" w:rsidRDefault="00741DF5" w:rsidP="00741DF5">
            <w:pPr>
              <w:spacing w:after="0" w:line="240" w:lineRule="auto"/>
              <w:rPr>
                <w:rFonts w:ascii="Times New Roman" w:eastAsia="Times New Roman" w:hAnsi="Times New Roman"/>
                <w:sz w:val="24"/>
                <w:szCs w:val="24"/>
              </w:rPr>
            </w:pPr>
            <w:r w:rsidRPr="00AB729D">
              <w:rPr>
                <w:rFonts w:ascii="Times New Roman" w:eastAsia="Times New Roman" w:hAnsi="Times New Roman"/>
                <w:sz w:val="24"/>
                <w:szCs w:val="24"/>
              </w:rPr>
              <w:t>Adj.R2</w:t>
            </w:r>
          </w:p>
        </w:tc>
        <w:tc>
          <w:tcPr>
            <w:tcW w:w="121" w:type="dxa"/>
            <w:tcBorders>
              <w:top w:val="nil"/>
              <w:left w:val="nil"/>
              <w:bottom w:val="single" w:sz="4" w:space="0" w:color="auto"/>
              <w:right w:val="nil"/>
            </w:tcBorders>
            <w:shd w:val="clear" w:color="auto" w:fill="auto"/>
            <w:noWrap/>
            <w:vAlign w:val="bottom"/>
            <w:hideMark/>
          </w:tcPr>
          <w:p w14:paraId="2616668F" w14:textId="77777777" w:rsidR="00741DF5" w:rsidRPr="00AB729D" w:rsidRDefault="00741DF5" w:rsidP="00741DF5">
            <w:pPr>
              <w:spacing w:after="0" w:line="240" w:lineRule="auto"/>
              <w:rPr>
                <w:rFonts w:ascii="Times New Roman" w:eastAsia="Times New Roman" w:hAnsi="Times New Roman"/>
              </w:rPr>
            </w:pPr>
            <w:r w:rsidRPr="00AB729D">
              <w:rPr>
                <w:rFonts w:ascii="Times New Roman" w:eastAsia="Times New Roman" w:hAnsi="Times New Roman"/>
              </w:rPr>
              <w:t> </w:t>
            </w:r>
          </w:p>
        </w:tc>
        <w:tc>
          <w:tcPr>
            <w:tcW w:w="121" w:type="dxa"/>
            <w:tcBorders>
              <w:top w:val="nil"/>
              <w:left w:val="nil"/>
              <w:bottom w:val="single" w:sz="4" w:space="0" w:color="auto"/>
              <w:right w:val="nil"/>
            </w:tcBorders>
            <w:shd w:val="clear" w:color="auto" w:fill="auto"/>
            <w:noWrap/>
            <w:vAlign w:val="bottom"/>
            <w:hideMark/>
          </w:tcPr>
          <w:p w14:paraId="44693738"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 </w:t>
            </w:r>
          </w:p>
        </w:tc>
        <w:tc>
          <w:tcPr>
            <w:tcW w:w="1817" w:type="dxa"/>
            <w:tcBorders>
              <w:top w:val="nil"/>
              <w:left w:val="nil"/>
              <w:bottom w:val="single" w:sz="4" w:space="0" w:color="auto"/>
              <w:right w:val="nil"/>
            </w:tcBorders>
            <w:shd w:val="clear" w:color="auto" w:fill="auto"/>
            <w:noWrap/>
            <w:vAlign w:val="bottom"/>
            <w:hideMark/>
          </w:tcPr>
          <w:p w14:paraId="13782CD3"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0.129</w:t>
            </w:r>
          </w:p>
        </w:tc>
        <w:tc>
          <w:tcPr>
            <w:tcW w:w="1196" w:type="dxa"/>
            <w:tcBorders>
              <w:top w:val="nil"/>
              <w:left w:val="nil"/>
              <w:bottom w:val="single" w:sz="4" w:space="0" w:color="auto"/>
              <w:right w:val="nil"/>
            </w:tcBorders>
            <w:shd w:val="clear" w:color="auto" w:fill="auto"/>
            <w:noWrap/>
            <w:vAlign w:val="bottom"/>
            <w:hideMark/>
          </w:tcPr>
          <w:p w14:paraId="045C4717"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0.128</w:t>
            </w:r>
          </w:p>
        </w:tc>
        <w:tc>
          <w:tcPr>
            <w:tcW w:w="1256" w:type="dxa"/>
            <w:tcBorders>
              <w:top w:val="nil"/>
              <w:left w:val="nil"/>
              <w:bottom w:val="single" w:sz="4" w:space="0" w:color="auto"/>
              <w:right w:val="nil"/>
            </w:tcBorders>
            <w:shd w:val="clear" w:color="auto" w:fill="auto"/>
            <w:noWrap/>
            <w:vAlign w:val="bottom"/>
            <w:hideMark/>
          </w:tcPr>
          <w:p w14:paraId="631FE5D1"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0.148</w:t>
            </w:r>
          </w:p>
        </w:tc>
        <w:tc>
          <w:tcPr>
            <w:tcW w:w="1176" w:type="dxa"/>
            <w:tcBorders>
              <w:top w:val="nil"/>
              <w:left w:val="nil"/>
              <w:bottom w:val="single" w:sz="4" w:space="0" w:color="auto"/>
              <w:right w:val="nil"/>
            </w:tcBorders>
            <w:shd w:val="clear" w:color="auto" w:fill="auto"/>
            <w:noWrap/>
            <w:vAlign w:val="bottom"/>
            <w:hideMark/>
          </w:tcPr>
          <w:p w14:paraId="59C0600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0.072</w:t>
            </w:r>
          </w:p>
        </w:tc>
        <w:tc>
          <w:tcPr>
            <w:tcW w:w="1256" w:type="dxa"/>
            <w:tcBorders>
              <w:top w:val="nil"/>
              <w:left w:val="nil"/>
              <w:bottom w:val="single" w:sz="4" w:space="0" w:color="auto"/>
              <w:right w:val="nil"/>
            </w:tcBorders>
            <w:shd w:val="clear" w:color="auto" w:fill="auto"/>
            <w:noWrap/>
            <w:vAlign w:val="bottom"/>
            <w:hideMark/>
          </w:tcPr>
          <w:p w14:paraId="4432172F"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0.064</w:t>
            </w:r>
          </w:p>
        </w:tc>
        <w:tc>
          <w:tcPr>
            <w:tcW w:w="1276" w:type="dxa"/>
            <w:tcBorders>
              <w:top w:val="nil"/>
              <w:left w:val="nil"/>
              <w:bottom w:val="single" w:sz="4" w:space="0" w:color="auto"/>
              <w:right w:val="nil"/>
            </w:tcBorders>
            <w:shd w:val="clear" w:color="auto" w:fill="auto"/>
            <w:noWrap/>
            <w:vAlign w:val="bottom"/>
            <w:hideMark/>
          </w:tcPr>
          <w:p w14:paraId="50B049F4" w14:textId="77777777" w:rsidR="00741DF5" w:rsidRPr="00AB729D" w:rsidRDefault="00741DF5" w:rsidP="00741DF5">
            <w:pPr>
              <w:spacing w:after="0" w:line="240" w:lineRule="auto"/>
              <w:jc w:val="center"/>
              <w:rPr>
                <w:rFonts w:ascii="Times New Roman" w:eastAsia="Times New Roman" w:hAnsi="Times New Roman"/>
              </w:rPr>
            </w:pPr>
            <w:r w:rsidRPr="00AB729D">
              <w:rPr>
                <w:rFonts w:ascii="Times New Roman" w:eastAsia="Times New Roman" w:hAnsi="Times New Roman"/>
              </w:rPr>
              <w:t>0.07</w:t>
            </w:r>
          </w:p>
        </w:tc>
      </w:tr>
    </w:tbl>
    <w:p w14:paraId="49D7EAF3" w14:textId="77777777" w:rsidR="00741DF5" w:rsidRPr="00AB729D" w:rsidRDefault="00741DF5" w:rsidP="00741DF5">
      <w:pPr>
        <w:spacing w:after="0" w:line="240" w:lineRule="auto"/>
        <w:rPr>
          <w:rFonts w:ascii="Times New Roman" w:eastAsia="Times New Roman" w:hAnsi="Times New Roman"/>
          <w:sz w:val="24"/>
          <w:szCs w:val="24"/>
        </w:rPr>
      </w:pPr>
    </w:p>
    <w:p w14:paraId="7B5D4656" w14:textId="5F799374" w:rsidR="0068678B" w:rsidRPr="00AB729D" w:rsidRDefault="001175CF" w:rsidP="00A46DBA">
      <w:pPr>
        <w:spacing w:after="0" w:line="240" w:lineRule="auto"/>
        <w:jc w:val="both"/>
        <w:rPr>
          <w:rFonts w:ascii="Times New Roman" w:eastAsia="Times New Roman" w:hAnsi="Times New Roman"/>
          <w:sz w:val="20"/>
          <w:szCs w:val="20"/>
        </w:rPr>
      </w:pPr>
      <w:r w:rsidRPr="00AB729D">
        <w:rPr>
          <w:rFonts w:ascii="Times New Roman" w:eastAsia="Times New Roman" w:hAnsi="Times New Roman"/>
          <w:sz w:val="20"/>
          <w:szCs w:val="20"/>
        </w:rPr>
        <w:t>This table presents the findings of the fixed-effect regressions. The dependent variable in Model 1 is EXVRK and in Model 2, it is EXVIA. The variables are defined in Table 2. T-statistics are reported in parentheses. *, **, *** represent statistical significance at the 10%, 5% and 1% level, respectively.</w:t>
      </w:r>
    </w:p>
    <w:p w14:paraId="3B72B71C" w14:textId="77777777" w:rsidR="0068678B" w:rsidRPr="00AB729D" w:rsidRDefault="0068678B">
      <w:pPr>
        <w:spacing w:after="160" w:line="259" w:lineRule="auto"/>
        <w:rPr>
          <w:rFonts w:ascii="Times New Roman" w:eastAsia="Times New Roman" w:hAnsi="Times New Roman"/>
          <w:sz w:val="20"/>
          <w:szCs w:val="20"/>
        </w:rPr>
      </w:pPr>
      <w:r w:rsidRPr="00AB729D">
        <w:rPr>
          <w:rFonts w:ascii="Times New Roman" w:eastAsia="Times New Roman" w:hAnsi="Times New Roman"/>
          <w:sz w:val="20"/>
          <w:szCs w:val="20"/>
        </w:rPr>
        <w:br w:type="page"/>
      </w:r>
    </w:p>
    <w:p w14:paraId="77BB7CAF" w14:textId="731221C8" w:rsidR="00741DF5" w:rsidRPr="00AB729D" w:rsidRDefault="0068678B" w:rsidP="0068678B">
      <w:pPr>
        <w:spacing w:after="0" w:line="240" w:lineRule="auto"/>
        <w:jc w:val="center"/>
        <w:rPr>
          <w:rFonts w:ascii="Times New Roman" w:eastAsia="Times New Roman" w:hAnsi="Times New Roman"/>
          <w:b/>
          <w:bCs/>
          <w:sz w:val="24"/>
          <w:szCs w:val="24"/>
        </w:rPr>
      </w:pPr>
      <w:r w:rsidRPr="00AB729D">
        <w:rPr>
          <w:rFonts w:ascii="Times New Roman" w:eastAsia="Times New Roman" w:hAnsi="Times New Roman"/>
          <w:b/>
          <w:bCs/>
          <w:sz w:val="24"/>
          <w:szCs w:val="24"/>
        </w:rPr>
        <w:lastRenderedPageBreak/>
        <w:t>Table 10 – Three-stage least squared regressions</w:t>
      </w:r>
    </w:p>
    <w:p w14:paraId="23C62233" w14:textId="77777777" w:rsidR="0068678B" w:rsidRPr="00AB729D" w:rsidRDefault="0068678B" w:rsidP="0068678B">
      <w:pPr>
        <w:spacing w:after="0" w:line="240" w:lineRule="auto"/>
        <w:jc w:val="center"/>
        <w:rPr>
          <w:rFonts w:ascii="Times New Roman" w:eastAsia="Times New Roman" w:hAnsi="Times New Roman"/>
          <w:b/>
          <w:bCs/>
          <w:sz w:val="24"/>
          <w:szCs w:val="24"/>
        </w:rPr>
      </w:pPr>
    </w:p>
    <w:tbl>
      <w:tblPr>
        <w:tblW w:w="5640" w:type="dxa"/>
        <w:jc w:val="center"/>
        <w:tblLook w:val="04A0" w:firstRow="1" w:lastRow="0" w:firstColumn="1" w:lastColumn="0" w:noHBand="0" w:noVBand="1"/>
      </w:tblPr>
      <w:tblGrid>
        <w:gridCol w:w="1577"/>
        <w:gridCol w:w="1116"/>
        <w:gridCol w:w="1100"/>
        <w:gridCol w:w="1236"/>
        <w:gridCol w:w="1140"/>
      </w:tblGrid>
      <w:tr w:rsidR="0068678B" w:rsidRPr="00AB729D" w14:paraId="12F60E09" w14:textId="77777777" w:rsidTr="00BB03FC">
        <w:trPr>
          <w:trHeight w:val="315"/>
          <w:jc w:val="center"/>
        </w:trPr>
        <w:tc>
          <w:tcPr>
            <w:tcW w:w="1480" w:type="dxa"/>
            <w:tcBorders>
              <w:top w:val="single" w:sz="4" w:space="0" w:color="auto"/>
              <w:left w:val="nil"/>
              <w:bottom w:val="nil"/>
              <w:right w:val="nil"/>
            </w:tcBorders>
            <w:shd w:val="clear" w:color="auto" w:fill="auto"/>
            <w:noWrap/>
            <w:vAlign w:val="bottom"/>
            <w:hideMark/>
          </w:tcPr>
          <w:p w14:paraId="048CE3C2" w14:textId="77777777" w:rsidR="0068678B" w:rsidRPr="00AB729D" w:rsidRDefault="0068678B" w:rsidP="00BB03FC">
            <w:pPr>
              <w:spacing w:after="0" w:line="240" w:lineRule="auto"/>
              <w:rPr>
                <w:rFonts w:ascii="Times New Roman" w:eastAsia="Times New Roman" w:hAnsi="Times New Roman"/>
                <w:color w:val="000000"/>
                <w:sz w:val="24"/>
                <w:szCs w:val="24"/>
              </w:rPr>
            </w:pPr>
            <w:bookmarkStart w:id="13" w:name="_Hlk61006173"/>
            <w:r w:rsidRPr="00AB729D">
              <w:rPr>
                <w:rFonts w:ascii="Times New Roman" w:eastAsia="Times New Roman" w:hAnsi="Times New Roman"/>
                <w:color w:val="000000"/>
                <w:sz w:val="24"/>
                <w:szCs w:val="24"/>
              </w:rPr>
              <w:t> </w:t>
            </w:r>
          </w:p>
        </w:tc>
        <w:tc>
          <w:tcPr>
            <w:tcW w:w="960" w:type="dxa"/>
            <w:tcBorders>
              <w:top w:val="single" w:sz="4" w:space="0" w:color="auto"/>
              <w:left w:val="nil"/>
              <w:bottom w:val="nil"/>
              <w:right w:val="nil"/>
            </w:tcBorders>
            <w:shd w:val="clear" w:color="auto" w:fill="auto"/>
            <w:noWrap/>
            <w:vAlign w:val="bottom"/>
            <w:hideMark/>
          </w:tcPr>
          <w:p w14:paraId="2C0A4E0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EXVRK</w:t>
            </w:r>
          </w:p>
        </w:tc>
        <w:tc>
          <w:tcPr>
            <w:tcW w:w="1100" w:type="dxa"/>
            <w:tcBorders>
              <w:top w:val="single" w:sz="4" w:space="0" w:color="auto"/>
              <w:left w:val="nil"/>
              <w:bottom w:val="nil"/>
              <w:right w:val="nil"/>
            </w:tcBorders>
            <w:shd w:val="clear" w:color="auto" w:fill="auto"/>
            <w:noWrap/>
            <w:vAlign w:val="bottom"/>
            <w:hideMark/>
          </w:tcPr>
          <w:p w14:paraId="226090D4"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IOV</w:t>
            </w:r>
          </w:p>
        </w:tc>
        <w:tc>
          <w:tcPr>
            <w:tcW w:w="960" w:type="dxa"/>
            <w:tcBorders>
              <w:top w:val="single" w:sz="4" w:space="0" w:color="auto"/>
              <w:left w:val="nil"/>
              <w:bottom w:val="nil"/>
              <w:right w:val="nil"/>
            </w:tcBorders>
            <w:shd w:val="clear" w:color="auto" w:fill="auto"/>
            <w:noWrap/>
            <w:vAlign w:val="bottom"/>
            <w:hideMark/>
          </w:tcPr>
          <w:p w14:paraId="6DA0DB8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EXVIA</w:t>
            </w:r>
          </w:p>
        </w:tc>
        <w:tc>
          <w:tcPr>
            <w:tcW w:w="1140" w:type="dxa"/>
            <w:tcBorders>
              <w:top w:val="single" w:sz="4" w:space="0" w:color="auto"/>
              <w:left w:val="nil"/>
              <w:bottom w:val="nil"/>
              <w:right w:val="nil"/>
            </w:tcBorders>
            <w:shd w:val="clear" w:color="auto" w:fill="auto"/>
            <w:noWrap/>
            <w:vAlign w:val="bottom"/>
            <w:hideMark/>
          </w:tcPr>
          <w:p w14:paraId="4F127A9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IOV</w:t>
            </w:r>
          </w:p>
        </w:tc>
      </w:tr>
      <w:tr w:rsidR="0068678B" w:rsidRPr="00AB729D" w14:paraId="2B4D2C51" w14:textId="77777777" w:rsidTr="00BB03FC">
        <w:trPr>
          <w:trHeight w:val="315"/>
          <w:jc w:val="center"/>
        </w:trPr>
        <w:tc>
          <w:tcPr>
            <w:tcW w:w="1480" w:type="dxa"/>
            <w:tcBorders>
              <w:top w:val="nil"/>
              <w:left w:val="nil"/>
              <w:bottom w:val="single" w:sz="4" w:space="0" w:color="auto"/>
              <w:right w:val="nil"/>
            </w:tcBorders>
            <w:shd w:val="clear" w:color="auto" w:fill="auto"/>
            <w:noWrap/>
            <w:vAlign w:val="bottom"/>
            <w:hideMark/>
          </w:tcPr>
          <w:p w14:paraId="04852991"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14:paraId="03985F4B"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w:t>
            </w:r>
          </w:p>
        </w:tc>
        <w:tc>
          <w:tcPr>
            <w:tcW w:w="1100" w:type="dxa"/>
            <w:tcBorders>
              <w:top w:val="nil"/>
              <w:left w:val="nil"/>
              <w:bottom w:val="single" w:sz="4" w:space="0" w:color="auto"/>
              <w:right w:val="nil"/>
            </w:tcBorders>
            <w:shd w:val="clear" w:color="auto" w:fill="auto"/>
            <w:noWrap/>
            <w:vAlign w:val="bottom"/>
            <w:hideMark/>
          </w:tcPr>
          <w:p w14:paraId="078C7BE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w:t>
            </w:r>
          </w:p>
        </w:tc>
        <w:tc>
          <w:tcPr>
            <w:tcW w:w="960" w:type="dxa"/>
            <w:tcBorders>
              <w:top w:val="nil"/>
              <w:left w:val="nil"/>
              <w:bottom w:val="single" w:sz="4" w:space="0" w:color="auto"/>
              <w:right w:val="nil"/>
            </w:tcBorders>
            <w:shd w:val="clear" w:color="auto" w:fill="auto"/>
            <w:noWrap/>
            <w:vAlign w:val="bottom"/>
            <w:hideMark/>
          </w:tcPr>
          <w:p w14:paraId="3379A3C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(3)</w:t>
            </w:r>
          </w:p>
        </w:tc>
        <w:tc>
          <w:tcPr>
            <w:tcW w:w="1140" w:type="dxa"/>
            <w:tcBorders>
              <w:top w:val="nil"/>
              <w:left w:val="nil"/>
              <w:bottom w:val="single" w:sz="4" w:space="0" w:color="auto"/>
              <w:right w:val="nil"/>
            </w:tcBorders>
            <w:shd w:val="clear" w:color="auto" w:fill="auto"/>
            <w:noWrap/>
            <w:vAlign w:val="bottom"/>
            <w:hideMark/>
          </w:tcPr>
          <w:p w14:paraId="5C8D143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(4)</w:t>
            </w:r>
          </w:p>
        </w:tc>
      </w:tr>
      <w:tr w:rsidR="0068678B" w:rsidRPr="00AB729D" w14:paraId="5841717A"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4AA9EAF4"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IOV</w:t>
            </w:r>
          </w:p>
        </w:tc>
        <w:tc>
          <w:tcPr>
            <w:tcW w:w="960" w:type="dxa"/>
            <w:tcBorders>
              <w:top w:val="nil"/>
              <w:left w:val="nil"/>
              <w:bottom w:val="nil"/>
              <w:right w:val="nil"/>
            </w:tcBorders>
            <w:shd w:val="clear" w:color="auto" w:fill="auto"/>
            <w:noWrap/>
            <w:vAlign w:val="bottom"/>
            <w:hideMark/>
          </w:tcPr>
          <w:p w14:paraId="73A7701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0.824***</w:t>
            </w:r>
          </w:p>
        </w:tc>
        <w:tc>
          <w:tcPr>
            <w:tcW w:w="1100" w:type="dxa"/>
            <w:tcBorders>
              <w:top w:val="nil"/>
              <w:left w:val="nil"/>
              <w:bottom w:val="nil"/>
              <w:right w:val="nil"/>
            </w:tcBorders>
            <w:shd w:val="clear" w:color="auto" w:fill="auto"/>
            <w:noWrap/>
            <w:vAlign w:val="bottom"/>
            <w:hideMark/>
          </w:tcPr>
          <w:p w14:paraId="7983762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4358635A" w14:textId="0A57DD53" w:rsidR="0068678B" w:rsidRPr="00AB729D" w:rsidRDefault="00336805"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w:t>
            </w:r>
            <w:r w:rsidR="0068678B" w:rsidRPr="00AB729D">
              <w:rPr>
                <w:rFonts w:ascii="Times New Roman" w:eastAsia="Times New Roman" w:hAnsi="Times New Roman"/>
                <w:color w:val="000000"/>
                <w:sz w:val="24"/>
                <w:szCs w:val="24"/>
              </w:rPr>
              <w:t>.628***</w:t>
            </w:r>
          </w:p>
        </w:tc>
        <w:tc>
          <w:tcPr>
            <w:tcW w:w="1140" w:type="dxa"/>
            <w:tcBorders>
              <w:top w:val="nil"/>
              <w:left w:val="nil"/>
              <w:bottom w:val="nil"/>
              <w:right w:val="nil"/>
            </w:tcBorders>
            <w:shd w:val="clear" w:color="auto" w:fill="auto"/>
            <w:noWrap/>
            <w:vAlign w:val="bottom"/>
            <w:hideMark/>
          </w:tcPr>
          <w:p w14:paraId="30E83B8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63B9B319"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61AB4CA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03A9969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(4.832)</w:t>
            </w:r>
          </w:p>
        </w:tc>
        <w:tc>
          <w:tcPr>
            <w:tcW w:w="1100" w:type="dxa"/>
            <w:tcBorders>
              <w:top w:val="nil"/>
              <w:left w:val="nil"/>
              <w:bottom w:val="nil"/>
              <w:right w:val="nil"/>
            </w:tcBorders>
            <w:shd w:val="clear" w:color="auto" w:fill="auto"/>
            <w:noWrap/>
            <w:vAlign w:val="bottom"/>
            <w:hideMark/>
          </w:tcPr>
          <w:p w14:paraId="1C03D1FD"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599B9F4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(9.715)</w:t>
            </w:r>
          </w:p>
        </w:tc>
        <w:tc>
          <w:tcPr>
            <w:tcW w:w="1140" w:type="dxa"/>
            <w:tcBorders>
              <w:top w:val="nil"/>
              <w:left w:val="nil"/>
              <w:bottom w:val="nil"/>
              <w:right w:val="nil"/>
            </w:tcBorders>
            <w:shd w:val="clear" w:color="auto" w:fill="auto"/>
            <w:noWrap/>
            <w:vAlign w:val="bottom"/>
            <w:hideMark/>
          </w:tcPr>
          <w:p w14:paraId="423AC58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2C49C648"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6618B01B"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PROP</w:t>
            </w:r>
          </w:p>
        </w:tc>
        <w:tc>
          <w:tcPr>
            <w:tcW w:w="960" w:type="dxa"/>
            <w:tcBorders>
              <w:top w:val="nil"/>
              <w:left w:val="nil"/>
              <w:bottom w:val="nil"/>
              <w:right w:val="nil"/>
            </w:tcBorders>
            <w:shd w:val="clear" w:color="auto" w:fill="auto"/>
            <w:noWrap/>
            <w:vAlign w:val="bottom"/>
            <w:hideMark/>
          </w:tcPr>
          <w:p w14:paraId="5C28D678" w14:textId="385643DA"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-0.054**</w:t>
            </w:r>
          </w:p>
        </w:tc>
        <w:tc>
          <w:tcPr>
            <w:tcW w:w="1100" w:type="dxa"/>
            <w:tcBorders>
              <w:top w:val="nil"/>
              <w:left w:val="nil"/>
              <w:bottom w:val="nil"/>
              <w:right w:val="nil"/>
            </w:tcBorders>
            <w:shd w:val="clear" w:color="auto" w:fill="auto"/>
            <w:noWrap/>
            <w:vAlign w:val="bottom"/>
            <w:hideMark/>
          </w:tcPr>
          <w:p w14:paraId="25B8B18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39806702"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-0.167***</w:t>
            </w:r>
          </w:p>
        </w:tc>
        <w:tc>
          <w:tcPr>
            <w:tcW w:w="1140" w:type="dxa"/>
            <w:tcBorders>
              <w:top w:val="nil"/>
              <w:left w:val="nil"/>
              <w:bottom w:val="nil"/>
              <w:right w:val="nil"/>
            </w:tcBorders>
            <w:shd w:val="clear" w:color="auto" w:fill="auto"/>
            <w:noWrap/>
            <w:vAlign w:val="bottom"/>
            <w:hideMark/>
          </w:tcPr>
          <w:p w14:paraId="0DFC8A1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1FF450FE"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254887A8"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6A89072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(-7.529)</w:t>
            </w:r>
          </w:p>
        </w:tc>
        <w:tc>
          <w:tcPr>
            <w:tcW w:w="1100" w:type="dxa"/>
            <w:tcBorders>
              <w:top w:val="nil"/>
              <w:left w:val="nil"/>
              <w:bottom w:val="nil"/>
              <w:right w:val="nil"/>
            </w:tcBorders>
            <w:shd w:val="clear" w:color="auto" w:fill="auto"/>
            <w:noWrap/>
            <w:vAlign w:val="bottom"/>
            <w:hideMark/>
          </w:tcPr>
          <w:p w14:paraId="25E45C2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44B1119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(-12.723)</w:t>
            </w:r>
          </w:p>
        </w:tc>
        <w:tc>
          <w:tcPr>
            <w:tcW w:w="1140" w:type="dxa"/>
            <w:tcBorders>
              <w:top w:val="nil"/>
              <w:left w:val="nil"/>
              <w:bottom w:val="nil"/>
              <w:right w:val="nil"/>
            </w:tcBorders>
            <w:shd w:val="clear" w:color="auto" w:fill="auto"/>
            <w:noWrap/>
            <w:vAlign w:val="bottom"/>
            <w:hideMark/>
          </w:tcPr>
          <w:p w14:paraId="57FCFFF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512434D4"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7AD3E4D4"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EXVRK</w:t>
            </w:r>
          </w:p>
        </w:tc>
        <w:tc>
          <w:tcPr>
            <w:tcW w:w="960" w:type="dxa"/>
            <w:tcBorders>
              <w:top w:val="nil"/>
              <w:left w:val="nil"/>
              <w:bottom w:val="nil"/>
              <w:right w:val="nil"/>
            </w:tcBorders>
            <w:shd w:val="clear" w:color="auto" w:fill="auto"/>
            <w:noWrap/>
            <w:vAlign w:val="bottom"/>
            <w:hideMark/>
          </w:tcPr>
          <w:p w14:paraId="2DFEA0F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center"/>
            <w:hideMark/>
          </w:tcPr>
          <w:p w14:paraId="1C70DDD9" w14:textId="6E9DA2C0"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r w:rsidR="0017474B" w:rsidRPr="00AB729D">
              <w:rPr>
                <w:rFonts w:ascii="Times New Roman" w:eastAsia="Times New Roman" w:hAnsi="Times New Roman"/>
                <w:color w:val="000000"/>
                <w:sz w:val="24"/>
                <w:szCs w:val="24"/>
              </w:rPr>
              <w:t>3</w:t>
            </w:r>
            <w:r w:rsidRPr="00AB729D">
              <w:rPr>
                <w:rFonts w:ascii="Times New Roman" w:eastAsia="Times New Roman" w:hAnsi="Times New Roman"/>
                <w:color w:val="000000"/>
                <w:sz w:val="24"/>
                <w:szCs w:val="24"/>
              </w:rPr>
              <w:t>.</w:t>
            </w:r>
            <w:r w:rsidR="0017474B" w:rsidRPr="00AB729D">
              <w:rPr>
                <w:rFonts w:ascii="Times New Roman" w:eastAsia="Times New Roman" w:hAnsi="Times New Roman"/>
                <w:color w:val="000000"/>
                <w:sz w:val="24"/>
                <w:szCs w:val="24"/>
              </w:rPr>
              <w:t>297</w:t>
            </w:r>
          </w:p>
        </w:tc>
        <w:tc>
          <w:tcPr>
            <w:tcW w:w="960" w:type="dxa"/>
            <w:tcBorders>
              <w:top w:val="nil"/>
              <w:left w:val="nil"/>
              <w:bottom w:val="nil"/>
              <w:right w:val="nil"/>
            </w:tcBorders>
            <w:shd w:val="clear" w:color="auto" w:fill="auto"/>
            <w:noWrap/>
            <w:vAlign w:val="bottom"/>
            <w:hideMark/>
          </w:tcPr>
          <w:p w14:paraId="30FB8C5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bottom"/>
            <w:hideMark/>
          </w:tcPr>
          <w:p w14:paraId="3D43125C"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7ABF1388"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750B87F2"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566B546F"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center"/>
            <w:hideMark/>
          </w:tcPr>
          <w:p w14:paraId="6E931A89" w14:textId="30B658DE"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r w:rsidR="004A2544" w:rsidRPr="00AB729D">
              <w:rPr>
                <w:rFonts w:ascii="Times New Roman" w:eastAsia="Times New Roman" w:hAnsi="Times New Roman"/>
                <w:color w:val="000000"/>
                <w:sz w:val="24"/>
                <w:szCs w:val="24"/>
              </w:rPr>
              <w:t>1.323</w:t>
            </w: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1C6DEF6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bottom"/>
            <w:hideMark/>
          </w:tcPr>
          <w:p w14:paraId="40864984"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5A45B1BE"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0F5D4CA8"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EXVIA</w:t>
            </w:r>
          </w:p>
        </w:tc>
        <w:tc>
          <w:tcPr>
            <w:tcW w:w="960" w:type="dxa"/>
            <w:tcBorders>
              <w:top w:val="nil"/>
              <w:left w:val="nil"/>
              <w:bottom w:val="nil"/>
              <w:right w:val="nil"/>
            </w:tcBorders>
            <w:shd w:val="clear" w:color="auto" w:fill="auto"/>
            <w:noWrap/>
            <w:vAlign w:val="bottom"/>
            <w:hideMark/>
          </w:tcPr>
          <w:p w14:paraId="0952937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bottom"/>
            <w:hideMark/>
          </w:tcPr>
          <w:p w14:paraId="3FEEF15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4CACDB7D"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center"/>
            <w:hideMark/>
          </w:tcPr>
          <w:p w14:paraId="1E6D1830" w14:textId="52DDF504"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r w:rsidR="0017474B" w:rsidRPr="00AB729D">
              <w:rPr>
                <w:rFonts w:ascii="Times New Roman" w:eastAsia="Times New Roman" w:hAnsi="Times New Roman"/>
                <w:color w:val="000000"/>
                <w:sz w:val="24"/>
                <w:szCs w:val="24"/>
              </w:rPr>
              <w:t>2</w:t>
            </w:r>
            <w:r w:rsidRPr="00AB729D">
              <w:rPr>
                <w:rFonts w:ascii="Times New Roman" w:eastAsia="Times New Roman" w:hAnsi="Times New Roman"/>
                <w:color w:val="000000"/>
                <w:sz w:val="24"/>
                <w:szCs w:val="24"/>
              </w:rPr>
              <w:t>.</w:t>
            </w:r>
            <w:r w:rsidR="0017474B" w:rsidRPr="00AB729D">
              <w:rPr>
                <w:rFonts w:ascii="Times New Roman" w:eastAsia="Times New Roman" w:hAnsi="Times New Roman"/>
                <w:color w:val="000000"/>
                <w:sz w:val="24"/>
                <w:szCs w:val="24"/>
              </w:rPr>
              <w:t>675</w:t>
            </w:r>
          </w:p>
        </w:tc>
      </w:tr>
      <w:tr w:rsidR="0068678B" w:rsidRPr="00AB729D" w14:paraId="34600D35"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3EC0AAB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0062803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bottom"/>
            <w:hideMark/>
          </w:tcPr>
          <w:p w14:paraId="5DDD348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0A35705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center"/>
            <w:hideMark/>
          </w:tcPr>
          <w:p w14:paraId="3F22C804" w14:textId="280D78DD"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r w:rsidR="0017474B" w:rsidRPr="00AB729D">
              <w:rPr>
                <w:rFonts w:ascii="Times New Roman" w:eastAsia="Times New Roman" w:hAnsi="Times New Roman"/>
                <w:sz w:val="24"/>
                <w:szCs w:val="24"/>
              </w:rPr>
              <w:t>1.285</w:t>
            </w:r>
            <w:r w:rsidRPr="00AB729D">
              <w:rPr>
                <w:rFonts w:ascii="Times New Roman" w:eastAsia="Times New Roman" w:hAnsi="Times New Roman"/>
                <w:color w:val="000000"/>
                <w:sz w:val="24"/>
                <w:szCs w:val="24"/>
              </w:rPr>
              <w:t>)</w:t>
            </w:r>
          </w:p>
        </w:tc>
      </w:tr>
      <w:tr w:rsidR="0068678B" w:rsidRPr="00AB729D" w14:paraId="6E1C8588"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63E7763B"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LN_SALE</w:t>
            </w:r>
          </w:p>
        </w:tc>
        <w:tc>
          <w:tcPr>
            <w:tcW w:w="960" w:type="dxa"/>
            <w:tcBorders>
              <w:top w:val="nil"/>
              <w:left w:val="nil"/>
              <w:bottom w:val="nil"/>
              <w:right w:val="nil"/>
            </w:tcBorders>
            <w:shd w:val="clear" w:color="auto" w:fill="auto"/>
            <w:noWrap/>
            <w:vAlign w:val="bottom"/>
            <w:hideMark/>
          </w:tcPr>
          <w:p w14:paraId="41AF9651" w14:textId="21B2B789"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-0.541**</w:t>
            </w:r>
          </w:p>
        </w:tc>
        <w:tc>
          <w:tcPr>
            <w:tcW w:w="1100" w:type="dxa"/>
            <w:tcBorders>
              <w:top w:val="nil"/>
              <w:left w:val="nil"/>
              <w:bottom w:val="nil"/>
              <w:right w:val="nil"/>
            </w:tcBorders>
            <w:shd w:val="clear" w:color="auto" w:fill="auto"/>
            <w:noWrap/>
            <w:vAlign w:val="bottom"/>
            <w:hideMark/>
          </w:tcPr>
          <w:p w14:paraId="082675F3" w14:textId="6037B87E"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-0.962**</w:t>
            </w:r>
          </w:p>
        </w:tc>
        <w:tc>
          <w:tcPr>
            <w:tcW w:w="960" w:type="dxa"/>
            <w:tcBorders>
              <w:top w:val="nil"/>
              <w:left w:val="nil"/>
              <w:bottom w:val="nil"/>
              <w:right w:val="nil"/>
            </w:tcBorders>
            <w:shd w:val="clear" w:color="auto" w:fill="auto"/>
            <w:noWrap/>
            <w:vAlign w:val="bottom"/>
            <w:hideMark/>
          </w:tcPr>
          <w:p w14:paraId="46879A8F"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-0.622***</w:t>
            </w:r>
          </w:p>
        </w:tc>
        <w:tc>
          <w:tcPr>
            <w:tcW w:w="1140" w:type="dxa"/>
            <w:tcBorders>
              <w:top w:val="nil"/>
              <w:left w:val="nil"/>
              <w:bottom w:val="nil"/>
              <w:right w:val="nil"/>
            </w:tcBorders>
            <w:shd w:val="clear" w:color="auto" w:fill="auto"/>
            <w:noWrap/>
            <w:vAlign w:val="bottom"/>
            <w:hideMark/>
          </w:tcPr>
          <w:p w14:paraId="5B412B07" w14:textId="6075C92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-0.873**</w:t>
            </w:r>
          </w:p>
        </w:tc>
      </w:tr>
      <w:tr w:rsidR="0068678B" w:rsidRPr="00AB729D" w14:paraId="730F2F1F"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573B920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235D749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(-17.524)</w:t>
            </w:r>
          </w:p>
        </w:tc>
        <w:tc>
          <w:tcPr>
            <w:tcW w:w="1100" w:type="dxa"/>
            <w:tcBorders>
              <w:top w:val="nil"/>
              <w:left w:val="nil"/>
              <w:bottom w:val="nil"/>
              <w:right w:val="nil"/>
            </w:tcBorders>
            <w:shd w:val="clear" w:color="auto" w:fill="auto"/>
            <w:noWrap/>
            <w:vAlign w:val="bottom"/>
            <w:hideMark/>
          </w:tcPr>
          <w:p w14:paraId="534F06EB" w14:textId="24808909"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(-12.37)</w:t>
            </w:r>
          </w:p>
        </w:tc>
        <w:tc>
          <w:tcPr>
            <w:tcW w:w="960" w:type="dxa"/>
            <w:tcBorders>
              <w:top w:val="nil"/>
              <w:left w:val="nil"/>
              <w:bottom w:val="nil"/>
              <w:right w:val="nil"/>
            </w:tcBorders>
            <w:shd w:val="clear" w:color="auto" w:fill="auto"/>
            <w:noWrap/>
            <w:vAlign w:val="bottom"/>
            <w:hideMark/>
          </w:tcPr>
          <w:p w14:paraId="19C95072"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(-16.824)</w:t>
            </w:r>
          </w:p>
        </w:tc>
        <w:tc>
          <w:tcPr>
            <w:tcW w:w="1140" w:type="dxa"/>
            <w:tcBorders>
              <w:top w:val="nil"/>
              <w:left w:val="nil"/>
              <w:bottom w:val="nil"/>
              <w:right w:val="nil"/>
            </w:tcBorders>
            <w:shd w:val="clear" w:color="auto" w:fill="auto"/>
            <w:noWrap/>
            <w:vAlign w:val="bottom"/>
            <w:hideMark/>
          </w:tcPr>
          <w:p w14:paraId="5B1FEE8B"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(-11.168)</w:t>
            </w:r>
          </w:p>
        </w:tc>
      </w:tr>
      <w:tr w:rsidR="0068678B" w:rsidRPr="00AB729D" w14:paraId="676F399F"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288FB64B"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LEV</w:t>
            </w:r>
          </w:p>
        </w:tc>
        <w:tc>
          <w:tcPr>
            <w:tcW w:w="960" w:type="dxa"/>
            <w:tcBorders>
              <w:top w:val="nil"/>
              <w:left w:val="nil"/>
              <w:bottom w:val="nil"/>
              <w:right w:val="nil"/>
            </w:tcBorders>
            <w:shd w:val="clear" w:color="auto" w:fill="auto"/>
            <w:noWrap/>
            <w:vAlign w:val="bottom"/>
            <w:hideMark/>
          </w:tcPr>
          <w:p w14:paraId="2C5122C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0.237***</w:t>
            </w:r>
          </w:p>
        </w:tc>
        <w:tc>
          <w:tcPr>
            <w:tcW w:w="1100" w:type="dxa"/>
            <w:tcBorders>
              <w:top w:val="nil"/>
              <w:left w:val="nil"/>
              <w:bottom w:val="nil"/>
              <w:right w:val="nil"/>
            </w:tcBorders>
            <w:shd w:val="clear" w:color="auto" w:fill="auto"/>
            <w:noWrap/>
            <w:vAlign w:val="bottom"/>
            <w:hideMark/>
          </w:tcPr>
          <w:p w14:paraId="3FB0FE38"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04158BD4"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0.263**</w:t>
            </w:r>
          </w:p>
        </w:tc>
        <w:tc>
          <w:tcPr>
            <w:tcW w:w="1140" w:type="dxa"/>
            <w:tcBorders>
              <w:top w:val="nil"/>
              <w:left w:val="nil"/>
              <w:bottom w:val="nil"/>
              <w:right w:val="nil"/>
            </w:tcBorders>
            <w:shd w:val="clear" w:color="auto" w:fill="auto"/>
            <w:noWrap/>
            <w:vAlign w:val="bottom"/>
            <w:hideMark/>
          </w:tcPr>
          <w:p w14:paraId="49A2038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01751D5E"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31027D34"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4789F1B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(3.322)</w:t>
            </w:r>
          </w:p>
        </w:tc>
        <w:tc>
          <w:tcPr>
            <w:tcW w:w="1100" w:type="dxa"/>
            <w:tcBorders>
              <w:top w:val="nil"/>
              <w:left w:val="nil"/>
              <w:bottom w:val="nil"/>
              <w:right w:val="nil"/>
            </w:tcBorders>
            <w:shd w:val="clear" w:color="auto" w:fill="auto"/>
            <w:noWrap/>
            <w:vAlign w:val="bottom"/>
            <w:hideMark/>
          </w:tcPr>
          <w:p w14:paraId="120A80F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3802B09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(2.934)</w:t>
            </w:r>
          </w:p>
        </w:tc>
        <w:tc>
          <w:tcPr>
            <w:tcW w:w="1140" w:type="dxa"/>
            <w:tcBorders>
              <w:top w:val="nil"/>
              <w:left w:val="nil"/>
              <w:bottom w:val="nil"/>
              <w:right w:val="nil"/>
            </w:tcBorders>
            <w:shd w:val="clear" w:color="auto" w:fill="auto"/>
            <w:noWrap/>
            <w:vAlign w:val="bottom"/>
            <w:hideMark/>
          </w:tcPr>
          <w:p w14:paraId="5A3D6C6B"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0BB3D34E"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04F4401F"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LN_AGE</w:t>
            </w:r>
          </w:p>
        </w:tc>
        <w:tc>
          <w:tcPr>
            <w:tcW w:w="960" w:type="dxa"/>
            <w:tcBorders>
              <w:top w:val="nil"/>
              <w:left w:val="nil"/>
              <w:bottom w:val="nil"/>
              <w:right w:val="nil"/>
            </w:tcBorders>
            <w:shd w:val="clear" w:color="auto" w:fill="auto"/>
            <w:noWrap/>
            <w:vAlign w:val="bottom"/>
            <w:hideMark/>
          </w:tcPr>
          <w:p w14:paraId="294C95B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0.041***</w:t>
            </w:r>
          </w:p>
        </w:tc>
        <w:tc>
          <w:tcPr>
            <w:tcW w:w="1100" w:type="dxa"/>
            <w:tcBorders>
              <w:top w:val="nil"/>
              <w:left w:val="nil"/>
              <w:bottom w:val="nil"/>
              <w:right w:val="nil"/>
            </w:tcBorders>
            <w:shd w:val="clear" w:color="auto" w:fill="auto"/>
            <w:noWrap/>
            <w:vAlign w:val="bottom"/>
            <w:hideMark/>
          </w:tcPr>
          <w:p w14:paraId="7A196D0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3C7784C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0.038***</w:t>
            </w:r>
          </w:p>
        </w:tc>
        <w:tc>
          <w:tcPr>
            <w:tcW w:w="1140" w:type="dxa"/>
            <w:tcBorders>
              <w:top w:val="nil"/>
              <w:left w:val="nil"/>
              <w:bottom w:val="nil"/>
              <w:right w:val="nil"/>
            </w:tcBorders>
            <w:shd w:val="clear" w:color="auto" w:fill="auto"/>
            <w:noWrap/>
            <w:vAlign w:val="bottom"/>
            <w:hideMark/>
          </w:tcPr>
          <w:p w14:paraId="502DE4E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1D982F5E"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0CBE1934"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73D9866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(-8.324)</w:t>
            </w:r>
          </w:p>
        </w:tc>
        <w:tc>
          <w:tcPr>
            <w:tcW w:w="1100" w:type="dxa"/>
            <w:tcBorders>
              <w:top w:val="nil"/>
              <w:left w:val="nil"/>
              <w:bottom w:val="nil"/>
              <w:right w:val="nil"/>
            </w:tcBorders>
            <w:shd w:val="clear" w:color="auto" w:fill="auto"/>
            <w:noWrap/>
            <w:vAlign w:val="bottom"/>
            <w:hideMark/>
          </w:tcPr>
          <w:p w14:paraId="7B060531"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310218AC"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(4.983)</w:t>
            </w:r>
          </w:p>
        </w:tc>
        <w:tc>
          <w:tcPr>
            <w:tcW w:w="1140" w:type="dxa"/>
            <w:tcBorders>
              <w:top w:val="nil"/>
              <w:left w:val="nil"/>
              <w:bottom w:val="nil"/>
              <w:right w:val="nil"/>
            </w:tcBorders>
            <w:shd w:val="clear" w:color="auto" w:fill="auto"/>
            <w:noWrap/>
            <w:vAlign w:val="bottom"/>
            <w:hideMark/>
          </w:tcPr>
          <w:p w14:paraId="3879394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05E50376"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725DEE4E"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ROA</w:t>
            </w:r>
          </w:p>
        </w:tc>
        <w:tc>
          <w:tcPr>
            <w:tcW w:w="960" w:type="dxa"/>
            <w:tcBorders>
              <w:top w:val="nil"/>
              <w:left w:val="nil"/>
              <w:bottom w:val="nil"/>
              <w:right w:val="nil"/>
            </w:tcBorders>
            <w:shd w:val="clear" w:color="auto" w:fill="auto"/>
            <w:noWrap/>
            <w:vAlign w:val="bottom"/>
            <w:hideMark/>
          </w:tcPr>
          <w:p w14:paraId="188C194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0.032***</w:t>
            </w:r>
          </w:p>
        </w:tc>
        <w:tc>
          <w:tcPr>
            <w:tcW w:w="1100" w:type="dxa"/>
            <w:tcBorders>
              <w:top w:val="nil"/>
              <w:left w:val="nil"/>
              <w:bottom w:val="nil"/>
              <w:right w:val="nil"/>
            </w:tcBorders>
            <w:shd w:val="clear" w:color="auto" w:fill="auto"/>
            <w:noWrap/>
            <w:vAlign w:val="bottom"/>
            <w:hideMark/>
          </w:tcPr>
          <w:p w14:paraId="51B284D8"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489F3A52"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0.0431***</w:t>
            </w:r>
          </w:p>
        </w:tc>
        <w:tc>
          <w:tcPr>
            <w:tcW w:w="1140" w:type="dxa"/>
            <w:tcBorders>
              <w:top w:val="nil"/>
              <w:left w:val="nil"/>
              <w:bottom w:val="nil"/>
              <w:right w:val="nil"/>
            </w:tcBorders>
            <w:shd w:val="clear" w:color="auto" w:fill="auto"/>
            <w:noWrap/>
            <w:vAlign w:val="bottom"/>
            <w:hideMark/>
          </w:tcPr>
          <w:p w14:paraId="1F8D2C3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2BDB2661"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3DC2671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65F89632"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(2.764)</w:t>
            </w:r>
          </w:p>
        </w:tc>
        <w:tc>
          <w:tcPr>
            <w:tcW w:w="1100" w:type="dxa"/>
            <w:tcBorders>
              <w:top w:val="nil"/>
              <w:left w:val="nil"/>
              <w:bottom w:val="nil"/>
              <w:right w:val="nil"/>
            </w:tcBorders>
            <w:shd w:val="clear" w:color="auto" w:fill="auto"/>
            <w:noWrap/>
            <w:vAlign w:val="bottom"/>
            <w:hideMark/>
          </w:tcPr>
          <w:p w14:paraId="0CA6DDA6"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7891E8D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(2.765)</w:t>
            </w:r>
          </w:p>
        </w:tc>
        <w:tc>
          <w:tcPr>
            <w:tcW w:w="1140" w:type="dxa"/>
            <w:tcBorders>
              <w:top w:val="nil"/>
              <w:left w:val="nil"/>
              <w:bottom w:val="nil"/>
              <w:right w:val="nil"/>
            </w:tcBorders>
            <w:shd w:val="clear" w:color="auto" w:fill="auto"/>
            <w:noWrap/>
            <w:vAlign w:val="bottom"/>
            <w:hideMark/>
          </w:tcPr>
          <w:p w14:paraId="109E818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1B1B83C2"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115C1C07"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DY</w:t>
            </w:r>
          </w:p>
        </w:tc>
        <w:tc>
          <w:tcPr>
            <w:tcW w:w="960" w:type="dxa"/>
            <w:tcBorders>
              <w:top w:val="nil"/>
              <w:left w:val="nil"/>
              <w:bottom w:val="nil"/>
              <w:right w:val="nil"/>
            </w:tcBorders>
            <w:shd w:val="clear" w:color="auto" w:fill="auto"/>
            <w:noWrap/>
            <w:vAlign w:val="bottom"/>
            <w:hideMark/>
          </w:tcPr>
          <w:p w14:paraId="15ABE248"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-0.062**</w:t>
            </w:r>
          </w:p>
        </w:tc>
        <w:tc>
          <w:tcPr>
            <w:tcW w:w="1100" w:type="dxa"/>
            <w:tcBorders>
              <w:top w:val="nil"/>
              <w:left w:val="nil"/>
              <w:bottom w:val="nil"/>
              <w:right w:val="nil"/>
            </w:tcBorders>
            <w:shd w:val="clear" w:color="auto" w:fill="auto"/>
            <w:noWrap/>
            <w:vAlign w:val="bottom"/>
            <w:hideMark/>
          </w:tcPr>
          <w:p w14:paraId="7E149E4C"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7809C80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-0.078**</w:t>
            </w:r>
          </w:p>
        </w:tc>
        <w:tc>
          <w:tcPr>
            <w:tcW w:w="1140" w:type="dxa"/>
            <w:tcBorders>
              <w:top w:val="nil"/>
              <w:left w:val="nil"/>
              <w:bottom w:val="nil"/>
              <w:right w:val="nil"/>
            </w:tcBorders>
            <w:shd w:val="clear" w:color="auto" w:fill="auto"/>
            <w:noWrap/>
            <w:vAlign w:val="bottom"/>
            <w:hideMark/>
          </w:tcPr>
          <w:p w14:paraId="2A4B056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0539122C"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099A719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05034AC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(-3.424)</w:t>
            </w:r>
          </w:p>
        </w:tc>
        <w:tc>
          <w:tcPr>
            <w:tcW w:w="1100" w:type="dxa"/>
            <w:tcBorders>
              <w:top w:val="nil"/>
              <w:left w:val="nil"/>
              <w:bottom w:val="nil"/>
              <w:right w:val="nil"/>
            </w:tcBorders>
            <w:shd w:val="clear" w:color="auto" w:fill="auto"/>
            <w:noWrap/>
            <w:vAlign w:val="bottom"/>
            <w:hideMark/>
          </w:tcPr>
          <w:p w14:paraId="6A576C62"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960" w:type="dxa"/>
            <w:tcBorders>
              <w:top w:val="nil"/>
              <w:left w:val="nil"/>
              <w:bottom w:val="nil"/>
              <w:right w:val="nil"/>
            </w:tcBorders>
            <w:shd w:val="clear" w:color="auto" w:fill="auto"/>
            <w:noWrap/>
            <w:vAlign w:val="bottom"/>
            <w:hideMark/>
          </w:tcPr>
          <w:p w14:paraId="36E5D421"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(-2.114)</w:t>
            </w:r>
          </w:p>
        </w:tc>
        <w:tc>
          <w:tcPr>
            <w:tcW w:w="1140" w:type="dxa"/>
            <w:tcBorders>
              <w:top w:val="nil"/>
              <w:left w:val="nil"/>
              <w:bottom w:val="nil"/>
              <w:right w:val="nil"/>
            </w:tcBorders>
            <w:shd w:val="clear" w:color="auto" w:fill="auto"/>
            <w:noWrap/>
            <w:vAlign w:val="bottom"/>
            <w:hideMark/>
          </w:tcPr>
          <w:p w14:paraId="2A07B86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68678B" w:rsidRPr="00AB729D" w14:paraId="3F1EF2F5"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797AC68C"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LN_SHARES</w:t>
            </w:r>
          </w:p>
        </w:tc>
        <w:tc>
          <w:tcPr>
            <w:tcW w:w="960" w:type="dxa"/>
            <w:tcBorders>
              <w:top w:val="nil"/>
              <w:left w:val="nil"/>
              <w:bottom w:val="nil"/>
              <w:right w:val="nil"/>
            </w:tcBorders>
            <w:shd w:val="clear" w:color="auto" w:fill="auto"/>
            <w:noWrap/>
            <w:vAlign w:val="bottom"/>
            <w:hideMark/>
          </w:tcPr>
          <w:p w14:paraId="761FDB46"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bottom"/>
            <w:hideMark/>
          </w:tcPr>
          <w:p w14:paraId="3F2BF45B" w14:textId="54AD9CAE"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-0.074**</w:t>
            </w:r>
          </w:p>
        </w:tc>
        <w:tc>
          <w:tcPr>
            <w:tcW w:w="960" w:type="dxa"/>
            <w:tcBorders>
              <w:top w:val="nil"/>
              <w:left w:val="nil"/>
              <w:bottom w:val="nil"/>
              <w:right w:val="nil"/>
            </w:tcBorders>
            <w:shd w:val="clear" w:color="auto" w:fill="auto"/>
            <w:noWrap/>
            <w:vAlign w:val="bottom"/>
            <w:hideMark/>
          </w:tcPr>
          <w:p w14:paraId="144A1E81"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bottom"/>
            <w:hideMark/>
          </w:tcPr>
          <w:p w14:paraId="7A80ED5D" w14:textId="23609010"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-0.083**</w:t>
            </w:r>
          </w:p>
        </w:tc>
      </w:tr>
      <w:tr w:rsidR="0068678B" w:rsidRPr="00AB729D" w14:paraId="432B0E73"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215B89A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4FBDA88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bottom"/>
            <w:hideMark/>
          </w:tcPr>
          <w:p w14:paraId="39F75ED2" w14:textId="2E5CAE34"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(-32.13)</w:t>
            </w:r>
          </w:p>
        </w:tc>
        <w:tc>
          <w:tcPr>
            <w:tcW w:w="960" w:type="dxa"/>
            <w:tcBorders>
              <w:top w:val="nil"/>
              <w:left w:val="nil"/>
              <w:bottom w:val="nil"/>
              <w:right w:val="nil"/>
            </w:tcBorders>
            <w:shd w:val="clear" w:color="auto" w:fill="auto"/>
            <w:noWrap/>
            <w:vAlign w:val="bottom"/>
            <w:hideMark/>
          </w:tcPr>
          <w:p w14:paraId="61FD69F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bottom"/>
            <w:hideMark/>
          </w:tcPr>
          <w:p w14:paraId="51D7141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(-28.517)</w:t>
            </w:r>
          </w:p>
        </w:tc>
      </w:tr>
      <w:tr w:rsidR="0068678B" w:rsidRPr="00AB729D" w14:paraId="31B28164"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65D625EB"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TURNOVER</w:t>
            </w:r>
          </w:p>
        </w:tc>
        <w:tc>
          <w:tcPr>
            <w:tcW w:w="960" w:type="dxa"/>
            <w:tcBorders>
              <w:top w:val="nil"/>
              <w:left w:val="nil"/>
              <w:bottom w:val="nil"/>
              <w:right w:val="nil"/>
            </w:tcBorders>
            <w:shd w:val="clear" w:color="auto" w:fill="auto"/>
            <w:noWrap/>
            <w:vAlign w:val="bottom"/>
            <w:hideMark/>
          </w:tcPr>
          <w:p w14:paraId="6379A7E6"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bottom"/>
            <w:hideMark/>
          </w:tcPr>
          <w:p w14:paraId="4D2B023D" w14:textId="4A8368EA"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-0.018**</w:t>
            </w:r>
          </w:p>
        </w:tc>
        <w:tc>
          <w:tcPr>
            <w:tcW w:w="960" w:type="dxa"/>
            <w:tcBorders>
              <w:top w:val="nil"/>
              <w:left w:val="nil"/>
              <w:bottom w:val="nil"/>
              <w:right w:val="nil"/>
            </w:tcBorders>
            <w:shd w:val="clear" w:color="auto" w:fill="auto"/>
            <w:noWrap/>
            <w:vAlign w:val="bottom"/>
            <w:hideMark/>
          </w:tcPr>
          <w:p w14:paraId="0601B648"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bottom"/>
            <w:hideMark/>
          </w:tcPr>
          <w:p w14:paraId="0ABA8CA6" w14:textId="3493C886"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-0.019**</w:t>
            </w:r>
          </w:p>
        </w:tc>
      </w:tr>
      <w:tr w:rsidR="0068678B" w:rsidRPr="00AB729D" w14:paraId="7006D712"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281A9EF0"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20502D3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00" w:type="dxa"/>
            <w:tcBorders>
              <w:top w:val="nil"/>
              <w:left w:val="nil"/>
              <w:bottom w:val="nil"/>
              <w:right w:val="nil"/>
            </w:tcBorders>
            <w:shd w:val="clear" w:color="auto" w:fill="auto"/>
            <w:noWrap/>
            <w:vAlign w:val="bottom"/>
            <w:hideMark/>
          </w:tcPr>
          <w:p w14:paraId="3EE34A28"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(-1.932)</w:t>
            </w:r>
          </w:p>
        </w:tc>
        <w:tc>
          <w:tcPr>
            <w:tcW w:w="960" w:type="dxa"/>
            <w:tcBorders>
              <w:top w:val="nil"/>
              <w:left w:val="nil"/>
              <w:bottom w:val="nil"/>
              <w:right w:val="nil"/>
            </w:tcBorders>
            <w:shd w:val="clear" w:color="auto" w:fill="auto"/>
            <w:noWrap/>
            <w:vAlign w:val="bottom"/>
            <w:hideMark/>
          </w:tcPr>
          <w:p w14:paraId="30A0BCB2"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40" w:type="dxa"/>
            <w:tcBorders>
              <w:top w:val="nil"/>
              <w:left w:val="nil"/>
              <w:bottom w:val="nil"/>
              <w:right w:val="nil"/>
            </w:tcBorders>
            <w:shd w:val="clear" w:color="auto" w:fill="auto"/>
            <w:noWrap/>
            <w:vAlign w:val="bottom"/>
            <w:hideMark/>
          </w:tcPr>
          <w:p w14:paraId="2173BC2D"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(-2.163)</w:t>
            </w:r>
          </w:p>
        </w:tc>
      </w:tr>
      <w:tr w:rsidR="0068678B" w:rsidRPr="00AB729D" w14:paraId="664AAD24"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5175CDBE"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2F62C3C6" w14:textId="77777777" w:rsidR="0068678B" w:rsidRPr="00AB729D" w:rsidRDefault="0068678B" w:rsidP="00BB03FC">
            <w:pPr>
              <w:spacing w:after="0" w:line="240" w:lineRule="auto"/>
              <w:rPr>
                <w:rFonts w:ascii="Times New Roman" w:eastAsia="Times New Roman" w:hAnsi="Times New Roman"/>
                <w:sz w:val="24"/>
                <w:szCs w:val="24"/>
              </w:rPr>
            </w:pPr>
          </w:p>
        </w:tc>
        <w:tc>
          <w:tcPr>
            <w:tcW w:w="1100" w:type="dxa"/>
            <w:tcBorders>
              <w:top w:val="nil"/>
              <w:left w:val="nil"/>
              <w:bottom w:val="nil"/>
              <w:right w:val="nil"/>
            </w:tcBorders>
            <w:shd w:val="clear" w:color="auto" w:fill="auto"/>
            <w:noWrap/>
            <w:vAlign w:val="bottom"/>
            <w:hideMark/>
          </w:tcPr>
          <w:p w14:paraId="7AFD3CEC" w14:textId="77777777" w:rsidR="0068678B" w:rsidRPr="00AB729D" w:rsidRDefault="0068678B" w:rsidP="00BB03FC">
            <w:pPr>
              <w:spacing w:after="0" w:line="240" w:lineRule="auto"/>
              <w:jc w:val="center"/>
              <w:rPr>
                <w:rFonts w:ascii="Times New Roman" w:eastAsia="Times New Roman" w:hAnsi="Times New Roman"/>
                <w:sz w:val="24"/>
                <w:szCs w:val="24"/>
              </w:rPr>
            </w:pPr>
          </w:p>
        </w:tc>
        <w:tc>
          <w:tcPr>
            <w:tcW w:w="960" w:type="dxa"/>
            <w:tcBorders>
              <w:top w:val="nil"/>
              <w:left w:val="nil"/>
              <w:bottom w:val="nil"/>
              <w:right w:val="nil"/>
            </w:tcBorders>
            <w:shd w:val="clear" w:color="auto" w:fill="auto"/>
            <w:noWrap/>
            <w:vAlign w:val="bottom"/>
            <w:hideMark/>
          </w:tcPr>
          <w:p w14:paraId="60171A33" w14:textId="77777777" w:rsidR="0068678B" w:rsidRPr="00AB729D" w:rsidRDefault="0068678B" w:rsidP="00BB03FC">
            <w:pPr>
              <w:spacing w:after="0" w:line="240" w:lineRule="auto"/>
              <w:rPr>
                <w:rFonts w:ascii="Times New Roman" w:eastAsia="Times New Roman" w:hAnsi="Times New Roman"/>
                <w:sz w:val="24"/>
                <w:szCs w:val="24"/>
              </w:rPr>
            </w:pPr>
          </w:p>
        </w:tc>
        <w:tc>
          <w:tcPr>
            <w:tcW w:w="1140" w:type="dxa"/>
            <w:tcBorders>
              <w:top w:val="nil"/>
              <w:left w:val="nil"/>
              <w:bottom w:val="nil"/>
              <w:right w:val="nil"/>
            </w:tcBorders>
            <w:shd w:val="clear" w:color="auto" w:fill="auto"/>
            <w:noWrap/>
            <w:vAlign w:val="bottom"/>
            <w:hideMark/>
          </w:tcPr>
          <w:p w14:paraId="71550917" w14:textId="77777777" w:rsidR="0068678B" w:rsidRPr="00AB729D" w:rsidRDefault="0068678B" w:rsidP="00BB03FC">
            <w:pPr>
              <w:spacing w:after="0" w:line="240" w:lineRule="auto"/>
              <w:jc w:val="center"/>
              <w:rPr>
                <w:rFonts w:ascii="Times New Roman" w:eastAsia="Times New Roman" w:hAnsi="Times New Roman"/>
                <w:sz w:val="24"/>
                <w:szCs w:val="24"/>
              </w:rPr>
            </w:pPr>
          </w:p>
        </w:tc>
      </w:tr>
      <w:tr w:rsidR="0068678B" w:rsidRPr="00AB729D" w14:paraId="5B49CFBD"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59E12C99"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xml:space="preserve">Year </w:t>
            </w:r>
          </w:p>
        </w:tc>
        <w:tc>
          <w:tcPr>
            <w:tcW w:w="960" w:type="dxa"/>
            <w:tcBorders>
              <w:top w:val="nil"/>
              <w:left w:val="nil"/>
              <w:bottom w:val="nil"/>
              <w:right w:val="nil"/>
            </w:tcBorders>
            <w:shd w:val="clear" w:color="auto" w:fill="auto"/>
            <w:noWrap/>
            <w:vAlign w:val="bottom"/>
            <w:hideMark/>
          </w:tcPr>
          <w:p w14:paraId="2E78C05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c>
          <w:tcPr>
            <w:tcW w:w="1100" w:type="dxa"/>
            <w:tcBorders>
              <w:top w:val="nil"/>
              <w:left w:val="nil"/>
              <w:bottom w:val="nil"/>
              <w:right w:val="nil"/>
            </w:tcBorders>
            <w:shd w:val="clear" w:color="auto" w:fill="auto"/>
            <w:noWrap/>
            <w:vAlign w:val="bottom"/>
            <w:hideMark/>
          </w:tcPr>
          <w:p w14:paraId="6977FD35"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c>
          <w:tcPr>
            <w:tcW w:w="960" w:type="dxa"/>
            <w:tcBorders>
              <w:top w:val="nil"/>
              <w:left w:val="nil"/>
              <w:bottom w:val="nil"/>
              <w:right w:val="nil"/>
            </w:tcBorders>
            <w:shd w:val="clear" w:color="auto" w:fill="auto"/>
            <w:noWrap/>
            <w:vAlign w:val="bottom"/>
            <w:hideMark/>
          </w:tcPr>
          <w:p w14:paraId="3B39C32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c>
          <w:tcPr>
            <w:tcW w:w="1140" w:type="dxa"/>
            <w:tcBorders>
              <w:top w:val="nil"/>
              <w:left w:val="nil"/>
              <w:bottom w:val="nil"/>
              <w:right w:val="nil"/>
            </w:tcBorders>
            <w:shd w:val="clear" w:color="auto" w:fill="auto"/>
            <w:noWrap/>
            <w:vAlign w:val="bottom"/>
            <w:hideMark/>
          </w:tcPr>
          <w:p w14:paraId="32009466"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r>
      <w:tr w:rsidR="0068678B" w:rsidRPr="00AB729D" w14:paraId="0291B4E3"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39B378D3"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Industry</w:t>
            </w:r>
          </w:p>
        </w:tc>
        <w:tc>
          <w:tcPr>
            <w:tcW w:w="960" w:type="dxa"/>
            <w:tcBorders>
              <w:top w:val="nil"/>
              <w:left w:val="nil"/>
              <w:bottom w:val="nil"/>
              <w:right w:val="nil"/>
            </w:tcBorders>
            <w:shd w:val="clear" w:color="auto" w:fill="auto"/>
            <w:noWrap/>
            <w:vAlign w:val="bottom"/>
            <w:hideMark/>
          </w:tcPr>
          <w:p w14:paraId="352F1776"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c>
          <w:tcPr>
            <w:tcW w:w="1100" w:type="dxa"/>
            <w:tcBorders>
              <w:top w:val="nil"/>
              <w:left w:val="nil"/>
              <w:bottom w:val="nil"/>
              <w:right w:val="nil"/>
            </w:tcBorders>
            <w:shd w:val="clear" w:color="auto" w:fill="auto"/>
            <w:noWrap/>
            <w:vAlign w:val="bottom"/>
            <w:hideMark/>
          </w:tcPr>
          <w:p w14:paraId="6AA3D76A"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c>
          <w:tcPr>
            <w:tcW w:w="960" w:type="dxa"/>
            <w:tcBorders>
              <w:top w:val="nil"/>
              <w:left w:val="nil"/>
              <w:bottom w:val="nil"/>
              <w:right w:val="nil"/>
            </w:tcBorders>
            <w:shd w:val="clear" w:color="auto" w:fill="auto"/>
            <w:noWrap/>
            <w:vAlign w:val="bottom"/>
            <w:hideMark/>
          </w:tcPr>
          <w:p w14:paraId="2A8BFDA3"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c>
          <w:tcPr>
            <w:tcW w:w="1140" w:type="dxa"/>
            <w:tcBorders>
              <w:top w:val="nil"/>
              <w:left w:val="nil"/>
              <w:bottom w:val="nil"/>
              <w:right w:val="nil"/>
            </w:tcBorders>
            <w:shd w:val="clear" w:color="auto" w:fill="auto"/>
            <w:noWrap/>
            <w:vAlign w:val="bottom"/>
            <w:hideMark/>
          </w:tcPr>
          <w:p w14:paraId="578E20EB"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YES</w:t>
            </w:r>
          </w:p>
        </w:tc>
      </w:tr>
      <w:tr w:rsidR="0068678B" w:rsidRPr="00AB729D" w14:paraId="68970C48" w14:textId="77777777" w:rsidTr="00BB03FC">
        <w:trPr>
          <w:trHeight w:val="315"/>
          <w:jc w:val="center"/>
        </w:trPr>
        <w:tc>
          <w:tcPr>
            <w:tcW w:w="1480" w:type="dxa"/>
            <w:tcBorders>
              <w:top w:val="nil"/>
              <w:left w:val="nil"/>
              <w:bottom w:val="nil"/>
              <w:right w:val="nil"/>
            </w:tcBorders>
            <w:shd w:val="clear" w:color="auto" w:fill="auto"/>
            <w:noWrap/>
            <w:vAlign w:val="bottom"/>
            <w:hideMark/>
          </w:tcPr>
          <w:p w14:paraId="2AD50FF4"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No. of obs.</w:t>
            </w:r>
          </w:p>
        </w:tc>
        <w:tc>
          <w:tcPr>
            <w:tcW w:w="960" w:type="dxa"/>
            <w:tcBorders>
              <w:top w:val="nil"/>
              <w:left w:val="nil"/>
              <w:bottom w:val="nil"/>
              <w:right w:val="nil"/>
            </w:tcBorders>
            <w:shd w:val="clear" w:color="auto" w:fill="auto"/>
            <w:noWrap/>
            <w:vAlign w:val="bottom"/>
            <w:hideMark/>
          </w:tcPr>
          <w:p w14:paraId="4AD1D2EB"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56,335</w:t>
            </w:r>
          </w:p>
        </w:tc>
        <w:tc>
          <w:tcPr>
            <w:tcW w:w="1100" w:type="dxa"/>
            <w:tcBorders>
              <w:top w:val="nil"/>
              <w:left w:val="nil"/>
              <w:bottom w:val="nil"/>
              <w:right w:val="nil"/>
            </w:tcBorders>
            <w:shd w:val="clear" w:color="auto" w:fill="auto"/>
            <w:noWrap/>
            <w:vAlign w:val="bottom"/>
            <w:hideMark/>
          </w:tcPr>
          <w:p w14:paraId="6E95529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56,335</w:t>
            </w:r>
          </w:p>
        </w:tc>
        <w:tc>
          <w:tcPr>
            <w:tcW w:w="960" w:type="dxa"/>
            <w:tcBorders>
              <w:top w:val="nil"/>
              <w:left w:val="nil"/>
              <w:bottom w:val="nil"/>
              <w:right w:val="nil"/>
            </w:tcBorders>
            <w:shd w:val="clear" w:color="auto" w:fill="auto"/>
            <w:noWrap/>
            <w:vAlign w:val="bottom"/>
            <w:hideMark/>
          </w:tcPr>
          <w:p w14:paraId="718E672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56,335</w:t>
            </w:r>
          </w:p>
        </w:tc>
        <w:tc>
          <w:tcPr>
            <w:tcW w:w="1140" w:type="dxa"/>
            <w:tcBorders>
              <w:top w:val="nil"/>
              <w:left w:val="nil"/>
              <w:bottom w:val="nil"/>
              <w:right w:val="nil"/>
            </w:tcBorders>
            <w:shd w:val="clear" w:color="auto" w:fill="auto"/>
            <w:noWrap/>
            <w:vAlign w:val="bottom"/>
            <w:hideMark/>
          </w:tcPr>
          <w:p w14:paraId="7F1876EB"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56,335</w:t>
            </w:r>
          </w:p>
        </w:tc>
      </w:tr>
      <w:tr w:rsidR="0068678B" w:rsidRPr="00AB729D" w14:paraId="27D3C35B" w14:textId="77777777" w:rsidTr="00BB03FC">
        <w:trPr>
          <w:trHeight w:val="315"/>
          <w:jc w:val="center"/>
        </w:trPr>
        <w:tc>
          <w:tcPr>
            <w:tcW w:w="1480" w:type="dxa"/>
            <w:tcBorders>
              <w:top w:val="nil"/>
              <w:left w:val="nil"/>
              <w:bottom w:val="single" w:sz="4" w:space="0" w:color="auto"/>
              <w:right w:val="nil"/>
            </w:tcBorders>
            <w:shd w:val="clear" w:color="auto" w:fill="auto"/>
            <w:noWrap/>
            <w:vAlign w:val="bottom"/>
            <w:hideMark/>
          </w:tcPr>
          <w:p w14:paraId="05BF0A30" w14:textId="77777777" w:rsidR="0068678B" w:rsidRPr="00AB729D" w:rsidRDefault="0068678B" w:rsidP="00BB03FC">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Adj.R2</w:t>
            </w:r>
          </w:p>
        </w:tc>
        <w:tc>
          <w:tcPr>
            <w:tcW w:w="960" w:type="dxa"/>
            <w:tcBorders>
              <w:top w:val="nil"/>
              <w:left w:val="nil"/>
              <w:bottom w:val="single" w:sz="4" w:space="0" w:color="auto"/>
              <w:right w:val="nil"/>
            </w:tcBorders>
            <w:shd w:val="clear" w:color="auto" w:fill="auto"/>
            <w:noWrap/>
            <w:vAlign w:val="bottom"/>
            <w:hideMark/>
          </w:tcPr>
          <w:p w14:paraId="0CF699B9"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0.276</w:t>
            </w:r>
          </w:p>
        </w:tc>
        <w:tc>
          <w:tcPr>
            <w:tcW w:w="1100" w:type="dxa"/>
            <w:tcBorders>
              <w:top w:val="nil"/>
              <w:left w:val="nil"/>
              <w:bottom w:val="single" w:sz="4" w:space="0" w:color="auto"/>
              <w:right w:val="nil"/>
            </w:tcBorders>
            <w:shd w:val="clear" w:color="auto" w:fill="auto"/>
            <w:noWrap/>
            <w:vAlign w:val="bottom"/>
            <w:hideMark/>
          </w:tcPr>
          <w:p w14:paraId="6B741037"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0.314</w:t>
            </w:r>
          </w:p>
        </w:tc>
        <w:tc>
          <w:tcPr>
            <w:tcW w:w="960" w:type="dxa"/>
            <w:tcBorders>
              <w:top w:val="nil"/>
              <w:left w:val="nil"/>
              <w:bottom w:val="single" w:sz="4" w:space="0" w:color="auto"/>
              <w:right w:val="nil"/>
            </w:tcBorders>
            <w:shd w:val="clear" w:color="auto" w:fill="auto"/>
            <w:noWrap/>
            <w:vAlign w:val="bottom"/>
            <w:hideMark/>
          </w:tcPr>
          <w:p w14:paraId="5E9F0F28"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0.281</w:t>
            </w:r>
          </w:p>
        </w:tc>
        <w:tc>
          <w:tcPr>
            <w:tcW w:w="1140" w:type="dxa"/>
            <w:tcBorders>
              <w:top w:val="nil"/>
              <w:left w:val="nil"/>
              <w:bottom w:val="single" w:sz="4" w:space="0" w:color="auto"/>
              <w:right w:val="nil"/>
            </w:tcBorders>
            <w:shd w:val="clear" w:color="auto" w:fill="auto"/>
            <w:noWrap/>
            <w:vAlign w:val="bottom"/>
            <w:hideMark/>
          </w:tcPr>
          <w:p w14:paraId="17155111" w14:textId="77777777" w:rsidR="0068678B" w:rsidRPr="00AB729D" w:rsidRDefault="0068678B" w:rsidP="00BB03FC">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0.361</w:t>
            </w:r>
          </w:p>
        </w:tc>
      </w:tr>
      <w:bookmarkEnd w:id="13"/>
    </w:tbl>
    <w:p w14:paraId="44605E2F" w14:textId="77777777" w:rsidR="006E0716" w:rsidRPr="00AB729D" w:rsidRDefault="006E0716" w:rsidP="00741DF5">
      <w:pPr>
        <w:spacing w:after="0" w:line="240" w:lineRule="auto"/>
        <w:jc w:val="both"/>
        <w:rPr>
          <w:rFonts w:ascii="Times New Roman" w:eastAsia="Times New Roman" w:hAnsi="Times New Roman"/>
          <w:sz w:val="24"/>
          <w:szCs w:val="24"/>
        </w:rPr>
      </w:pPr>
    </w:p>
    <w:p w14:paraId="24FC9239" w14:textId="77777777" w:rsidR="00765077" w:rsidRPr="00AB729D" w:rsidRDefault="00EB66CB">
      <w:pPr>
        <w:spacing w:after="160" w:line="259" w:lineRule="auto"/>
        <w:rPr>
          <w:rFonts w:ascii="Times New Roman" w:eastAsia="Times New Roman" w:hAnsi="Times New Roman"/>
          <w:sz w:val="20"/>
          <w:szCs w:val="20"/>
        </w:rPr>
      </w:pPr>
      <w:r w:rsidRPr="00AB729D">
        <w:rPr>
          <w:rFonts w:ascii="Times New Roman" w:eastAsia="Times New Roman" w:hAnsi="Times New Roman"/>
          <w:sz w:val="20"/>
          <w:szCs w:val="20"/>
        </w:rPr>
        <w:t xml:space="preserve">This table reports the results from the </w:t>
      </w:r>
      <w:r w:rsidR="006079E2" w:rsidRPr="00AB729D">
        <w:rPr>
          <w:rFonts w:ascii="Times New Roman" w:eastAsia="Times New Roman" w:hAnsi="Times New Roman"/>
          <w:sz w:val="20"/>
          <w:szCs w:val="20"/>
        </w:rPr>
        <w:t xml:space="preserve">three-stage least </w:t>
      </w:r>
      <w:r w:rsidR="00765077" w:rsidRPr="00AB729D">
        <w:rPr>
          <w:rFonts w:ascii="Times New Roman" w:eastAsia="Times New Roman" w:hAnsi="Times New Roman"/>
          <w:sz w:val="20"/>
          <w:szCs w:val="20"/>
        </w:rPr>
        <w:t>squares</w:t>
      </w:r>
      <w:r w:rsidRPr="00AB729D">
        <w:rPr>
          <w:rFonts w:ascii="Times New Roman" w:eastAsia="Times New Roman" w:hAnsi="Times New Roman"/>
          <w:sz w:val="20"/>
          <w:szCs w:val="20"/>
        </w:rPr>
        <w:t xml:space="preserve"> regressions. The definitions of variables are provided in Table 2. Additionally, LN_SHARES is the natural log of the number of shares outstanding of the firm. TURNOVER is the average of the daily ratio of trading volume to the total number of shares outstanding. *, ** and *** indicate statistical significance at the 10%, 5%, and 1% level, respectively.</w:t>
      </w:r>
    </w:p>
    <w:p w14:paraId="092943F9" w14:textId="77777777" w:rsidR="00765077" w:rsidRPr="00AB729D" w:rsidRDefault="00765077">
      <w:pPr>
        <w:spacing w:after="160" w:line="259" w:lineRule="auto"/>
        <w:rPr>
          <w:rFonts w:ascii="Times New Roman" w:eastAsia="Times New Roman" w:hAnsi="Times New Roman"/>
          <w:sz w:val="20"/>
          <w:szCs w:val="20"/>
        </w:rPr>
      </w:pPr>
      <w:r w:rsidRPr="00AB729D">
        <w:rPr>
          <w:rFonts w:ascii="Times New Roman" w:eastAsia="Times New Roman" w:hAnsi="Times New Roman"/>
          <w:sz w:val="20"/>
          <w:szCs w:val="20"/>
        </w:rPr>
        <w:br w:type="page"/>
      </w:r>
    </w:p>
    <w:tbl>
      <w:tblPr>
        <w:tblW w:w="7661" w:type="dxa"/>
        <w:jc w:val="center"/>
        <w:tblLook w:val="04A0" w:firstRow="1" w:lastRow="0" w:firstColumn="1" w:lastColumn="0" w:noHBand="0" w:noVBand="1"/>
      </w:tblPr>
      <w:tblGrid>
        <w:gridCol w:w="2819"/>
        <w:gridCol w:w="276"/>
        <w:gridCol w:w="276"/>
        <w:gridCol w:w="1116"/>
        <w:gridCol w:w="1136"/>
        <w:gridCol w:w="1136"/>
        <w:gridCol w:w="1136"/>
      </w:tblGrid>
      <w:tr w:rsidR="00765077" w:rsidRPr="00AB729D" w14:paraId="20E5C000" w14:textId="77777777" w:rsidTr="00765077">
        <w:trPr>
          <w:trHeight w:val="312"/>
          <w:jc w:val="center"/>
        </w:trPr>
        <w:tc>
          <w:tcPr>
            <w:tcW w:w="3137" w:type="dxa"/>
            <w:gridSpan w:val="3"/>
            <w:tcBorders>
              <w:top w:val="nil"/>
              <w:left w:val="nil"/>
              <w:bottom w:val="nil"/>
              <w:right w:val="nil"/>
            </w:tcBorders>
            <w:shd w:val="clear" w:color="auto" w:fill="auto"/>
            <w:noWrap/>
            <w:vAlign w:val="bottom"/>
            <w:hideMark/>
          </w:tcPr>
          <w:p w14:paraId="2C54DFB4" w14:textId="26550BFD" w:rsidR="00765077" w:rsidRPr="00AB729D" w:rsidRDefault="00765077" w:rsidP="00765077">
            <w:pPr>
              <w:spacing w:after="0" w:line="240" w:lineRule="auto"/>
              <w:rPr>
                <w:rFonts w:ascii="Times New Roman" w:eastAsia="Times New Roman" w:hAnsi="Times New Roman"/>
                <w:b/>
                <w:bCs/>
                <w:color w:val="000000"/>
                <w:sz w:val="24"/>
                <w:szCs w:val="24"/>
              </w:rPr>
            </w:pPr>
            <w:r w:rsidRPr="00AB729D">
              <w:rPr>
                <w:rFonts w:ascii="Times New Roman" w:eastAsia="Times New Roman" w:hAnsi="Times New Roman"/>
                <w:b/>
                <w:bCs/>
                <w:color w:val="000000"/>
                <w:sz w:val="24"/>
                <w:szCs w:val="24"/>
              </w:rPr>
              <w:lastRenderedPageBreak/>
              <w:t>Table 11 – Robustness check</w:t>
            </w:r>
          </w:p>
          <w:p w14:paraId="27B9ACB9" w14:textId="77777777" w:rsidR="00EC2B9C" w:rsidRPr="00AB729D" w:rsidRDefault="00EC2B9C" w:rsidP="00765077">
            <w:pPr>
              <w:spacing w:after="0" w:line="240" w:lineRule="auto"/>
              <w:rPr>
                <w:rFonts w:ascii="Times New Roman" w:eastAsia="Times New Roman" w:hAnsi="Times New Roman"/>
                <w:b/>
                <w:bCs/>
                <w:color w:val="000000"/>
                <w:sz w:val="24"/>
                <w:szCs w:val="24"/>
              </w:rPr>
            </w:pPr>
          </w:p>
          <w:p w14:paraId="72D0F616" w14:textId="14982875" w:rsidR="00765077" w:rsidRPr="00AB729D" w:rsidRDefault="00765077" w:rsidP="00765077">
            <w:pPr>
              <w:spacing w:after="0" w:line="240" w:lineRule="auto"/>
              <w:rPr>
                <w:rFonts w:ascii="Times New Roman" w:eastAsia="Times New Roman" w:hAnsi="Times New Roman"/>
                <w:b/>
                <w:bCs/>
                <w:color w:val="000000"/>
                <w:sz w:val="24"/>
                <w:szCs w:val="24"/>
              </w:rPr>
            </w:pPr>
          </w:p>
        </w:tc>
        <w:tc>
          <w:tcPr>
            <w:tcW w:w="1116" w:type="dxa"/>
            <w:tcBorders>
              <w:top w:val="nil"/>
              <w:left w:val="nil"/>
              <w:bottom w:val="nil"/>
              <w:right w:val="nil"/>
            </w:tcBorders>
            <w:shd w:val="clear" w:color="auto" w:fill="auto"/>
            <w:noWrap/>
            <w:vAlign w:val="bottom"/>
            <w:hideMark/>
          </w:tcPr>
          <w:p w14:paraId="557D9630" w14:textId="77777777" w:rsidR="00765077" w:rsidRPr="00AB729D" w:rsidRDefault="00765077" w:rsidP="00765077">
            <w:pPr>
              <w:spacing w:after="0" w:line="240" w:lineRule="auto"/>
              <w:rPr>
                <w:rFonts w:ascii="Times New Roman" w:eastAsia="Times New Roman" w:hAnsi="Times New Roman"/>
                <w:b/>
                <w:bCs/>
                <w:color w:val="000000"/>
                <w:sz w:val="24"/>
                <w:szCs w:val="24"/>
              </w:rPr>
            </w:pPr>
          </w:p>
        </w:tc>
        <w:tc>
          <w:tcPr>
            <w:tcW w:w="1136" w:type="dxa"/>
            <w:tcBorders>
              <w:top w:val="nil"/>
              <w:left w:val="nil"/>
              <w:bottom w:val="nil"/>
              <w:right w:val="nil"/>
            </w:tcBorders>
            <w:shd w:val="clear" w:color="auto" w:fill="auto"/>
            <w:noWrap/>
            <w:vAlign w:val="bottom"/>
            <w:hideMark/>
          </w:tcPr>
          <w:p w14:paraId="4DF7945E" w14:textId="77777777" w:rsidR="00765077" w:rsidRPr="00AB729D" w:rsidRDefault="00765077" w:rsidP="00765077">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2E03A753" w14:textId="77777777" w:rsidR="00765077" w:rsidRPr="00AB729D" w:rsidRDefault="00765077" w:rsidP="00765077">
            <w:pPr>
              <w:spacing w:after="0" w:line="240" w:lineRule="auto"/>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5D36F870" w14:textId="77777777" w:rsidR="00765077" w:rsidRPr="00AB729D" w:rsidRDefault="00765077" w:rsidP="00765077">
            <w:pPr>
              <w:spacing w:after="0" w:line="240" w:lineRule="auto"/>
              <w:rPr>
                <w:rFonts w:ascii="Times New Roman" w:eastAsia="Times New Roman" w:hAnsi="Times New Roman"/>
                <w:sz w:val="20"/>
                <w:szCs w:val="20"/>
              </w:rPr>
            </w:pPr>
          </w:p>
        </w:tc>
      </w:tr>
      <w:tr w:rsidR="00765077" w:rsidRPr="00AB729D" w14:paraId="18538292" w14:textId="77777777" w:rsidTr="00765077">
        <w:trPr>
          <w:trHeight w:val="312"/>
          <w:jc w:val="center"/>
        </w:trPr>
        <w:tc>
          <w:tcPr>
            <w:tcW w:w="2819" w:type="dxa"/>
            <w:tcBorders>
              <w:top w:val="single" w:sz="4" w:space="0" w:color="auto"/>
              <w:left w:val="nil"/>
              <w:bottom w:val="nil"/>
              <w:right w:val="nil"/>
            </w:tcBorders>
            <w:shd w:val="clear" w:color="auto" w:fill="auto"/>
            <w:noWrap/>
            <w:vAlign w:val="bottom"/>
            <w:hideMark/>
          </w:tcPr>
          <w:p w14:paraId="29037547"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w:t>
            </w:r>
          </w:p>
        </w:tc>
        <w:tc>
          <w:tcPr>
            <w:tcW w:w="159" w:type="dxa"/>
            <w:tcBorders>
              <w:top w:val="single" w:sz="4" w:space="0" w:color="auto"/>
              <w:left w:val="nil"/>
              <w:bottom w:val="nil"/>
              <w:right w:val="nil"/>
            </w:tcBorders>
            <w:shd w:val="clear" w:color="auto" w:fill="auto"/>
            <w:noWrap/>
            <w:vAlign w:val="bottom"/>
            <w:hideMark/>
          </w:tcPr>
          <w:p w14:paraId="04B6DDE4"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w:t>
            </w:r>
          </w:p>
        </w:tc>
        <w:tc>
          <w:tcPr>
            <w:tcW w:w="159" w:type="dxa"/>
            <w:tcBorders>
              <w:top w:val="single" w:sz="4" w:space="0" w:color="auto"/>
              <w:left w:val="nil"/>
              <w:bottom w:val="nil"/>
              <w:right w:val="nil"/>
            </w:tcBorders>
            <w:shd w:val="clear" w:color="auto" w:fill="auto"/>
            <w:noWrap/>
            <w:vAlign w:val="bottom"/>
            <w:hideMark/>
          </w:tcPr>
          <w:p w14:paraId="766B3709"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w:t>
            </w:r>
          </w:p>
        </w:tc>
        <w:tc>
          <w:tcPr>
            <w:tcW w:w="1116" w:type="dxa"/>
            <w:tcBorders>
              <w:top w:val="single" w:sz="4" w:space="0" w:color="auto"/>
              <w:left w:val="nil"/>
              <w:bottom w:val="nil"/>
              <w:right w:val="nil"/>
            </w:tcBorders>
            <w:shd w:val="clear" w:color="auto" w:fill="auto"/>
            <w:noWrap/>
            <w:vAlign w:val="bottom"/>
            <w:hideMark/>
          </w:tcPr>
          <w:p w14:paraId="0A2B51DA"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EXVRI</w:t>
            </w:r>
          </w:p>
        </w:tc>
        <w:tc>
          <w:tcPr>
            <w:tcW w:w="1136" w:type="dxa"/>
            <w:tcBorders>
              <w:top w:val="single" w:sz="4" w:space="0" w:color="auto"/>
              <w:left w:val="nil"/>
              <w:bottom w:val="nil"/>
              <w:right w:val="nil"/>
            </w:tcBorders>
            <w:shd w:val="clear" w:color="auto" w:fill="auto"/>
            <w:noWrap/>
            <w:vAlign w:val="bottom"/>
            <w:hideMark/>
          </w:tcPr>
          <w:p w14:paraId="3AEFDC28"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EXVRI</w:t>
            </w:r>
          </w:p>
        </w:tc>
        <w:tc>
          <w:tcPr>
            <w:tcW w:w="1136" w:type="dxa"/>
            <w:tcBorders>
              <w:top w:val="single" w:sz="4" w:space="0" w:color="auto"/>
              <w:left w:val="nil"/>
              <w:bottom w:val="nil"/>
              <w:right w:val="nil"/>
            </w:tcBorders>
            <w:shd w:val="clear" w:color="auto" w:fill="auto"/>
            <w:noWrap/>
            <w:vAlign w:val="bottom"/>
            <w:hideMark/>
          </w:tcPr>
          <w:p w14:paraId="1EDDBAB5"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EXVRI</w:t>
            </w:r>
          </w:p>
        </w:tc>
        <w:tc>
          <w:tcPr>
            <w:tcW w:w="1136" w:type="dxa"/>
            <w:tcBorders>
              <w:top w:val="single" w:sz="4" w:space="0" w:color="auto"/>
              <w:left w:val="nil"/>
              <w:bottom w:val="nil"/>
              <w:right w:val="nil"/>
            </w:tcBorders>
            <w:shd w:val="clear" w:color="auto" w:fill="auto"/>
            <w:noWrap/>
            <w:vAlign w:val="bottom"/>
            <w:hideMark/>
          </w:tcPr>
          <w:p w14:paraId="3B5072DE"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EXVRI</w:t>
            </w:r>
          </w:p>
        </w:tc>
      </w:tr>
      <w:tr w:rsidR="00765077" w:rsidRPr="00AB729D" w14:paraId="47872915" w14:textId="77777777" w:rsidTr="00765077">
        <w:trPr>
          <w:trHeight w:val="312"/>
          <w:jc w:val="center"/>
        </w:trPr>
        <w:tc>
          <w:tcPr>
            <w:tcW w:w="2819" w:type="dxa"/>
            <w:tcBorders>
              <w:top w:val="nil"/>
              <w:left w:val="nil"/>
              <w:bottom w:val="single" w:sz="4" w:space="0" w:color="auto"/>
              <w:right w:val="nil"/>
            </w:tcBorders>
            <w:shd w:val="clear" w:color="auto" w:fill="auto"/>
            <w:noWrap/>
            <w:vAlign w:val="bottom"/>
            <w:hideMark/>
          </w:tcPr>
          <w:p w14:paraId="56C4DF4C"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w:t>
            </w:r>
          </w:p>
        </w:tc>
        <w:tc>
          <w:tcPr>
            <w:tcW w:w="159" w:type="dxa"/>
            <w:tcBorders>
              <w:top w:val="nil"/>
              <w:left w:val="nil"/>
              <w:bottom w:val="single" w:sz="4" w:space="0" w:color="auto"/>
              <w:right w:val="nil"/>
            </w:tcBorders>
            <w:shd w:val="clear" w:color="auto" w:fill="auto"/>
            <w:noWrap/>
            <w:vAlign w:val="bottom"/>
            <w:hideMark/>
          </w:tcPr>
          <w:p w14:paraId="59B752A8"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w:t>
            </w:r>
          </w:p>
        </w:tc>
        <w:tc>
          <w:tcPr>
            <w:tcW w:w="159" w:type="dxa"/>
            <w:tcBorders>
              <w:top w:val="nil"/>
              <w:left w:val="nil"/>
              <w:bottom w:val="single" w:sz="4" w:space="0" w:color="auto"/>
              <w:right w:val="nil"/>
            </w:tcBorders>
            <w:shd w:val="clear" w:color="auto" w:fill="auto"/>
            <w:noWrap/>
            <w:vAlign w:val="bottom"/>
            <w:hideMark/>
          </w:tcPr>
          <w:p w14:paraId="68EACE05"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w:t>
            </w:r>
          </w:p>
        </w:tc>
        <w:tc>
          <w:tcPr>
            <w:tcW w:w="1116" w:type="dxa"/>
            <w:tcBorders>
              <w:top w:val="nil"/>
              <w:left w:val="nil"/>
              <w:bottom w:val="single" w:sz="4" w:space="0" w:color="auto"/>
              <w:right w:val="nil"/>
            </w:tcBorders>
            <w:shd w:val="clear" w:color="auto" w:fill="auto"/>
            <w:noWrap/>
            <w:vAlign w:val="bottom"/>
            <w:hideMark/>
          </w:tcPr>
          <w:p w14:paraId="12EE919A"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(1)</w:t>
            </w:r>
          </w:p>
        </w:tc>
        <w:tc>
          <w:tcPr>
            <w:tcW w:w="1136" w:type="dxa"/>
            <w:tcBorders>
              <w:top w:val="nil"/>
              <w:left w:val="nil"/>
              <w:bottom w:val="single" w:sz="4" w:space="0" w:color="auto"/>
              <w:right w:val="nil"/>
            </w:tcBorders>
            <w:shd w:val="clear" w:color="auto" w:fill="auto"/>
            <w:noWrap/>
            <w:vAlign w:val="bottom"/>
            <w:hideMark/>
          </w:tcPr>
          <w:p w14:paraId="6554771E"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(2)</w:t>
            </w:r>
          </w:p>
        </w:tc>
        <w:tc>
          <w:tcPr>
            <w:tcW w:w="1136" w:type="dxa"/>
            <w:tcBorders>
              <w:top w:val="nil"/>
              <w:left w:val="nil"/>
              <w:bottom w:val="single" w:sz="4" w:space="0" w:color="auto"/>
              <w:right w:val="nil"/>
            </w:tcBorders>
            <w:shd w:val="clear" w:color="auto" w:fill="auto"/>
            <w:noWrap/>
            <w:vAlign w:val="bottom"/>
            <w:hideMark/>
          </w:tcPr>
          <w:p w14:paraId="746AA03F"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(3)</w:t>
            </w:r>
          </w:p>
        </w:tc>
        <w:tc>
          <w:tcPr>
            <w:tcW w:w="1136" w:type="dxa"/>
            <w:tcBorders>
              <w:top w:val="nil"/>
              <w:left w:val="nil"/>
              <w:bottom w:val="single" w:sz="4" w:space="0" w:color="auto"/>
              <w:right w:val="nil"/>
            </w:tcBorders>
            <w:shd w:val="clear" w:color="auto" w:fill="auto"/>
            <w:noWrap/>
            <w:vAlign w:val="bottom"/>
            <w:hideMark/>
          </w:tcPr>
          <w:p w14:paraId="399295BC"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(4)</w:t>
            </w:r>
          </w:p>
        </w:tc>
      </w:tr>
      <w:tr w:rsidR="00765077" w:rsidRPr="00AB729D" w14:paraId="44AA402E"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273FF807"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IOV</w:t>
            </w:r>
          </w:p>
        </w:tc>
        <w:tc>
          <w:tcPr>
            <w:tcW w:w="159" w:type="dxa"/>
            <w:tcBorders>
              <w:top w:val="nil"/>
              <w:left w:val="nil"/>
              <w:bottom w:val="nil"/>
              <w:right w:val="nil"/>
            </w:tcBorders>
            <w:shd w:val="clear" w:color="auto" w:fill="auto"/>
            <w:noWrap/>
            <w:vAlign w:val="bottom"/>
            <w:hideMark/>
          </w:tcPr>
          <w:p w14:paraId="5C1ADF83"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0DFD7C8F"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50A036DD"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0.193***</w:t>
            </w:r>
          </w:p>
        </w:tc>
        <w:tc>
          <w:tcPr>
            <w:tcW w:w="1136" w:type="dxa"/>
            <w:tcBorders>
              <w:top w:val="nil"/>
              <w:left w:val="nil"/>
              <w:bottom w:val="nil"/>
              <w:right w:val="nil"/>
            </w:tcBorders>
            <w:shd w:val="clear" w:color="auto" w:fill="auto"/>
            <w:noWrap/>
            <w:vAlign w:val="bottom"/>
            <w:hideMark/>
          </w:tcPr>
          <w:p w14:paraId="2D65AFFA"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311CCEAE"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3931C047"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4735B8DE"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526CFD20"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3A379B5A"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024FA6AA"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44B9688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(-9.389)</w:t>
            </w:r>
          </w:p>
        </w:tc>
        <w:tc>
          <w:tcPr>
            <w:tcW w:w="1136" w:type="dxa"/>
            <w:tcBorders>
              <w:top w:val="nil"/>
              <w:left w:val="nil"/>
              <w:bottom w:val="nil"/>
              <w:right w:val="nil"/>
            </w:tcBorders>
            <w:shd w:val="clear" w:color="auto" w:fill="auto"/>
            <w:noWrap/>
            <w:vAlign w:val="bottom"/>
            <w:hideMark/>
          </w:tcPr>
          <w:p w14:paraId="17EADECE"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28724952"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4373A961"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585D6643"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7301F330"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PROP</w:t>
            </w:r>
          </w:p>
        </w:tc>
        <w:tc>
          <w:tcPr>
            <w:tcW w:w="159" w:type="dxa"/>
            <w:tcBorders>
              <w:top w:val="nil"/>
              <w:left w:val="nil"/>
              <w:bottom w:val="nil"/>
              <w:right w:val="nil"/>
            </w:tcBorders>
            <w:shd w:val="clear" w:color="auto" w:fill="auto"/>
            <w:noWrap/>
            <w:vAlign w:val="bottom"/>
            <w:hideMark/>
          </w:tcPr>
          <w:p w14:paraId="2CDB70C6"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79822AFA"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11B7AADD"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-0.254***</w:t>
            </w:r>
          </w:p>
        </w:tc>
        <w:tc>
          <w:tcPr>
            <w:tcW w:w="1136" w:type="dxa"/>
            <w:tcBorders>
              <w:top w:val="nil"/>
              <w:left w:val="nil"/>
              <w:bottom w:val="nil"/>
              <w:right w:val="nil"/>
            </w:tcBorders>
            <w:shd w:val="clear" w:color="auto" w:fill="auto"/>
            <w:noWrap/>
            <w:vAlign w:val="bottom"/>
            <w:hideMark/>
          </w:tcPr>
          <w:p w14:paraId="4E22A572"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2231D2FE"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6C78262C"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3E0D6E6A"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1228F0FC"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47B1A274"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04B20ABF"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3D52E341"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(-25.029)</w:t>
            </w:r>
          </w:p>
        </w:tc>
        <w:tc>
          <w:tcPr>
            <w:tcW w:w="1136" w:type="dxa"/>
            <w:tcBorders>
              <w:top w:val="nil"/>
              <w:left w:val="nil"/>
              <w:bottom w:val="nil"/>
              <w:right w:val="nil"/>
            </w:tcBorders>
            <w:shd w:val="clear" w:color="auto" w:fill="auto"/>
            <w:noWrap/>
            <w:vAlign w:val="bottom"/>
            <w:hideMark/>
          </w:tcPr>
          <w:p w14:paraId="2FE5125A"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01FDC317"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7F320C43"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798D40D1"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24519DAB"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DED</w:t>
            </w:r>
          </w:p>
        </w:tc>
        <w:tc>
          <w:tcPr>
            <w:tcW w:w="159" w:type="dxa"/>
            <w:tcBorders>
              <w:top w:val="nil"/>
              <w:left w:val="nil"/>
              <w:bottom w:val="nil"/>
              <w:right w:val="nil"/>
            </w:tcBorders>
            <w:shd w:val="clear" w:color="auto" w:fill="auto"/>
            <w:noWrap/>
            <w:vAlign w:val="bottom"/>
            <w:hideMark/>
          </w:tcPr>
          <w:p w14:paraId="6A1A75B2"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14221FEF"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C2FC75F"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w:t>
            </w:r>
          </w:p>
        </w:tc>
        <w:tc>
          <w:tcPr>
            <w:tcW w:w="1136" w:type="dxa"/>
            <w:tcBorders>
              <w:top w:val="nil"/>
              <w:left w:val="nil"/>
              <w:bottom w:val="nil"/>
              <w:right w:val="nil"/>
            </w:tcBorders>
            <w:shd w:val="clear" w:color="auto" w:fill="auto"/>
            <w:noWrap/>
            <w:vAlign w:val="bottom"/>
            <w:hideMark/>
          </w:tcPr>
          <w:p w14:paraId="5000868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-0.197***</w:t>
            </w:r>
          </w:p>
        </w:tc>
        <w:tc>
          <w:tcPr>
            <w:tcW w:w="1136" w:type="dxa"/>
            <w:tcBorders>
              <w:top w:val="nil"/>
              <w:left w:val="nil"/>
              <w:bottom w:val="nil"/>
              <w:right w:val="nil"/>
            </w:tcBorders>
            <w:shd w:val="clear" w:color="auto" w:fill="auto"/>
            <w:noWrap/>
            <w:vAlign w:val="bottom"/>
            <w:hideMark/>
          </w:tcPr>
          <w:p w14:paraId="3F354B4C"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7A96782D"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546F1A96"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3AFC9679"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0725863D"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459B8350"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A0973E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w:t>
            </w:r>
          </w:p>
        </w:tc>
        <w:tc>
          <w:tcPr>
            <w:tcW w:w="1136" w:type="dxa"/>
            <w:tcBorders>
              <w:top w:val="nil"/>
              <w:left w:val="nil"/>
              <w:bottom w:val="nil"/>
              <w:right w:val="nil"/>
            </w:tcBorders>
            <w:shd w:val="clear" w:color="auto" w:fill="auto"/>
            <w:noWrap/>
            <w:vAlign w:val="bottom"/>
            <w:hideMark/>
          </w:tcPr>
          <w:p w14:paraId="57AFFE3E"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(-9.601)</w:t>
            </w:r>
          </w:p>
        </w:tc>
        <w:tc>
          <w:tcPr>
            <w:tcW w:w="1136" w:type="dxa"/>
            <w:tcBorders>
              <w:top w:val="nil"/>
              <w:left w:val="nil"/>
              <w:bottom w:val="nil"/>
              <w:right w:val="nil"/>
            </w:tcBorders>
            <w:shd w:val="clear" w:color="auto" w:fill="auto"/>
            <w:noWrap/>
            <w:vAlign w:val="bottom"/>
            <w:hideMark/>
          </w:tcPr>
          <w:p w14:paraId="15B979A7"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077CA914"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320ACDF9"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455BE0C8"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QIX</w:t>
            </w:r>
          </w:p>
        </w:tc>
        <w:tc>
          <w:tcPr>
            <w:tcW w:w="159" w:type="dxa"/>
            <w:tcBorders>
              <w:top w:val="nil"/>
              <w:left w:val="nil"/>
              <w:bottom w:val="nil"/>
              <w:right w:val="nil"/>
            </w:tcBorders>
            <w:shd w:val="clear" w:color="auto" w:fill="auto"/>
            <w:noWrap/>
            <w:vAlign w:val="bottom"/>
            <w:hideMark/>
          </w:tcPr>
          <w:p w14:paraId="70CB2EE5"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3DD30A04"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4341AFC"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w:t>
            </w:r>
          </w:p>
        </w:tc>
        <w:tc>
          <w:tcPr>
            <w:tcW w:w="1136" w:type="dxa"/>
            <w:tcBorders>
              <w:top w:val="nil"/>
              <w:left w:val="nil"/>
              <w:bottom w:val="nil"/>
              <w:right w:val="nil"/>
            </w:tcBorders>
            <w:shd w:val="clear" w:color="auto" w:fill="auto"/>
            <w:noWrap/>
            <w:vAlign w:val="bottom"/>
            <w:hideMark/>
          </w:tcPr>
          <w:p w14:paraId="3DFC2617"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0D4E137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-0.242***</w:t>
            </w:r>
          </w:p>
        </w:tc>
        <w:tc>
          <w:tcPr>
            <w:tcW w:w="1136" w:type="dxa"/>
            <w:tcBorders>
              <w:top w:val="nil"/>
              <w:left w:val="nil"/>
              <w:bottom w:val="nil"/>
              <w:right w:val="nil"/>
            </w:tcBorders>
            <w:shd w:val="clear" w:color="auto" w:fill="auto"/>
            <w:noWrap/>
            <w:vAlign w:val="bottom"/>
            <w:hideMark/>
          </w:tcPr>
          <w:p w14:paraId="074D0D7B"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782C34CA"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638C9C53"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2456184F"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15EF67B8"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1C6AA93B"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w:t>
            </w:r>
          </w:p>
        </w:tc>
        <w:tc>
          <w:tcPr>
            <w:tcW w:w="1136" w:type="dxa"/>
            <w:tcBorders>
              <w:top w:val="nil"/>
              <w:left w:val="nil"/>
              <w:bottom w:val="nil"/>
              <w:right w:val="nil"/>
            </w:tcBorders>
            <w:shd w:val="clear" w:color="auto" w:fill="auto"/>
            <w:noWrap/>
            <w:vAlign w:val="bottom"/>
            <w:hideMark/>
          </w:tcPr>
          <w:p w14:paraId="42EAF66E"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4AFCA411"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(-23.599)</w:t>
            </w:r>
          </w:p>
        </w:tc>
        <w:tc>
          <w:tcPr>
            <w:tcW w:w="1136" w:type="dxa"/>
            <w:tcBorders>
              <w:top w:val="nil"/>
              <w:left w:val="nil"/>
              <w:bottom w:val="nil"/>
              <w:right w:val="nil"/>
            </w:tcBorders>
            <w:shd w:val="clear" w:color="auto" w:fill="auto"/>
            <w:noWrap/>
            <w:vAlign w:val="bottom"/>
            <w:hideMark/>
          </w:tcPr>
          <w:p w14:paraId="592EEC4D"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r>
      <w:tr w:rsidR="00765077" w:rsidRPr="00AB729D" w14:paraId="17B71DF1"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52F21C06"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TRA</w:t>
            </w:r>
          </w:p>
        </w:tc>
        <w:tc>
          <w:tcPr>
            <w:tcW w:w="159" w:type="dxa"/>
            <w:tcBorders>
              <w:top w:val="nil"/>
              <w:left w:val="nil"/>
              <w:bottom w:val="nil"/>
              <w:right w:val="nil"/>
            </w:tcBorders>
            <w:shd w:val="clear" w:color="auto" w:fill="auto"/>
            <w:noWrap/>
            <w:vAlign w:val="bottom"/>
            <w:hideMark/>
          </w:tcPr>
          <w:p w14:paraId="2D29E8B9"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3BD1D32E"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B9F5A9B"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w:t>
            </w:r>
          </w:p>
        </w:tc>
        <w:tc>
          <w:tcPr>
            <w:tcW w:w="1136" w:type="dxa"/>
            <w:tcBorders>
              <w:top w:val="nil"/>
              <w:left w:val="nil"/>
              <w:bottom w:val="nil"/>
              <w:right w:val="nil"/>
            </w:tcBorders>
            <w:shd w:val="clear" w:color="auto" w:fill="auto"/>
            <w:noWrap/>
            <w:vAlign w:val="bottom"/>
            <w:hideMark/>
          </w:tcPr>
          <w:p w14:paraId="2B63F6C7"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34FEFD8C"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3551A1C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0.223***</w:t>
            </w:r>
          </w:p>
        </w:tc>
      </w:tr>
      <w:tr w:rsidR="00765077" w:rsidRPr="00AB729D" w14:paraId="485A4FC0"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67045C33" w14:textId="77777777" w:rsidR="00765077" w:rsidRPr="00AB729D" w:rsidRDefault="00765077" w:rsidP="00765077">
            <w:pPr>
              <w:spacing w:after="0" w:line="240" w:lineRule="auto"/>
              <w:jc w:val="center"/>
              <w:rPr>
                <w:rFonts w:ascii="Times New Roman" w:eastAsia="Times New Roman" w:hAnsi="Times New Roman"/>
                <w:color w:val="000000"/>
              </w:rPr>
            </w:pPr>
          </w:p>
        </w:tc>
        <w:tc>
          <w:tcPr>
            <w:tcW w:w="159" w:type="dxa"/>
            <w:tcBorders>
              <w:top w:val="nil"/>
              <w:left w:val="nil"/>
              <w:bottom w:val="nil"/>
              <w:right w:val="nil"/>
            </w:tcBorders>
            <w:shd w:val="clear" w:color="auto" w:fill="auto"/>
            <w:noWrap/>
            <w:vAlign w:val="bottom"/>
            <w:hideMark/>
          </w:tcPr>
          <w:p w14:paraId="2D51EC77"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3AE96633"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27028B9E"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w:t>
            </w:r>
          </w:p>
        </w:tc>
        <w:tc>
          <w:tcPr>
            <w:tcW w:w="1136" w:type="dxa"/>
            <w:tcBorders>
              <w:top w:val="nil"/>
              <w:left w:val="nil"/>
              <w:bottom w:val="nil"/>
              <w:right w:val="nil"/>
            </w:tcBorders>
            <w:shd w:val="clear" w:color="auto" w:fill="auto"/>
            <w:noWrap/>
            <w:vAlign w:val="bottom"/>
            <w:hideMark/>
          </w:tcPr>
          <w:p w14:paraId="27B3051E"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19D805C6" w14:textId="77777777" w:rsidR="00765077" w:rsidRPr="00AB729D" w:rsidRDefault="00765077" w:rsidP="00765077">
            <w:pPr>
              <w:spacing w:after="0" w:line="240" w:lineRule="auto"/>
              <w:jc w:val="center"/>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w:t>
            </w:r>
          </w:p>
        </w:tc>
        <w:tc>
          <w:tcPr>
            <w:tcW w:w="1136" w:type="dxa"/>
            <w:tcBorders>
              <w:top w:val="nil"/>
              <w:left w:val="nil"/>
              <w:bottom w:val="nil"/>
              <w:right w:val="nil"/>
            </w:tcBorders>
            <w:shd w:val="clear" w:color="auto" w:fill="auto"/>
            <w:noWrap/>
            <w:vAlign w:val="bottom"/>
            <w:hideMark/>
          </w:tcPr>
          <w:p w14:paraId="0F624769"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(-10.861)</w:t>
            </w:r>
          </w:p>
        </w:tc>
      </w:tr>
      <w:tr w:rsidR="00765077" w:rsidRPr="00AB729D" w14:paraId="08DBED69"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4BB252F7"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LN_SALE</w:t>
            </w:r>
          </w:p>
        </w:tc>
        <w:tc>
          <w:tcPr>
            <w:tcW w:w="159" w:type="dxa"/>
            <w:tcBorders>
              <w:top w:val="nil"/>
              <w:left w:val="nil"/>
              <w:bottom w:val="nil"/>
              <w:right w:val="nil"/>
            </w:tcBorders>
            <w:shd w:val="clear" w:color="auto" w:fill="auto"/>
            <w:noWrap/>
            <w:vAlign w:val="bottom"/>
            <w:hideMark/>
          </w:tcPr>
          <w:p w14:paraId="13259BE2"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24D9F1E3"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5821619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-0.020***</w:t>
            </w:r>
          </w:p>
        </w:tc>
        <w:tc>
          <w:tcPr>
            <w:tcW w:w="1136" w:type="dxa"/>
            <w:tcBorders>
              <w:top w:val="nil"/>
              <w:left w:val="nil"/>
              <w:bottom w:val="nil"/>
              <w:right w:val="nil"/>
            </w:tcBorders>
            <w:shd w:val="clear" w:color="auto" w:fill="auto"/>
            <w:noWrap/>
            <w:vAlign w:val="bottom"/>
            <w:hideMark/>
          </w:tcPr>
          <w:p w14:paraId="13A8B1D3"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-0.017***</w:t>
            </w:r>
          </w:p>
        </w:tc>
        <w:tc>
          <w:tcPr>
            <w:tcW w:w="1136" w:type="dxa"/>
            <w:tcBorders>
              <w:top w:val="nil"/>
              <w:left w:val="nil"/>
              <w:bottom w:val="nil"/>
              <w:right w:val="nil"/>
            </w:tcBorders>
            <w:shd w:val="clear" w:color="auto" w:fill="auto"/>
            <w:noWrap/>
            <w:vAlign w:val="bottom"/>
            <w:hideMark/>
          </w:tcPr>
          <w:p w14:paraId="49BA9D5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-0.019***</w:t>
            </w:r>
          </w:p>
        </w:tc>
        <w:tc>
          <w:tcPr>
            <w:tcW w:w="1136" w:type="dxa"/>
            <w:tcBorders>
              <w:top w:val="nil"/>
              <w:left w:val="nil"/>
              <w:bottom w:val="nil"/>
              <w:right w:val="nil"/>
            </w:tcBorders>
            <w:shd w:val="clear" w:color="auto" w:fill="auto"/>
            <w:noWrap/>
            <w:vAlign w:val="bottom"/>
            <w:hideMark/>
          </w:tcPr>
          <w:p w14:paraId="173289C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-0.028***</w:t>
            </w:r>
          </w:p>
        </w:tc>
      </w:tr>
      <w:tr w:rsidR="00765077" w:rsidRPr="00AB729D" w14:paraId="6247D76D"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782F9A60" w14:textId="77777777" w:rsidR="00765077" w:rsidRPr="00AB729D" w:rsidRDefault="00765077" w:rsidP="00765077">
            <w:pPr>
              <w:spacing w:after="0" w:line="240" w:lineRule="auto"/>
              <w:jc w:val="center"/>
              <w:rPr>
                <w:rFonts w:ascii="Times New Roman" w:eastAsia="Times New Roman" w:hAnsi="Times New Roman"/>
                <w:color w:val="000000"/>
              </w:rPr>
            </w:pPr>
          </w:p>
        </w:tc>
        <w:tc>
          <w:tcPr>
            <w:tcW w:w="159" w:type="dxa"/>
            <w:tcBorders>
              <w:top w:val="nil"/>
              <w:left w:val="nil"/>
              <w:bottom w:val="nil"/>
              <w:right w:val="nil"/>
            </w:tcBorders>
            <w:shd w:val="clear" w:color="auto" w:fill="auto"/>
            <w:noWrap/>
            <w:vAlign w:val="bottom"/>
            <w:hideMark/>
          </w:tcPr>
          <w:p w14:paraId="55424EC8"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6BD53CE0"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E8D3EA1"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(-9.791)</w:t>
            </w:r>
          </w:p>
        </w:tc>
        <w:tc>
          <w:tcPr>
            <w:tcW w:w="1136" w:type="dxa"/>
            <w:tcBorders>
              <w:top w:val="nil"/>
              <w:left w:val="nil"/>
              <w:bottom w:val="nil"/>
              <w:right w:val="nil"/>
            </w:tcBorders>
            <w:shd w:val="clear" w:color="auto" w:fill="auto"/>
            <w:noWrap/>
            <w:vAlign w:val="bottom"/>
            <w:hideMark/>
          </w:tcPr>
          <w:p w14:paraId="3BA89E0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(-8.485)</w:t>
            </w:r>
          </w:p>
        </w:tc>
        <w:tc>
          <w:tcPr>
            <w:tcW w:w="1136" w:type="dxa"/>
            <w:tcBorders>
              <w:top w:val="nil"/>
              <w:left w:val="nil"/>
              <w:bottom w:val="nil"/>
              <w:right w:val="nil"/>
            </w:tcBorders>
            <w:shd w:val="clear" w:color="auto" w:fill="auto"/>
            <w:noWrap/>
            <w:vAlign w:val="bottom"/>
            <w:hideMark/>
          </w:tcPr>
          <w:p w14:paraId="4EC2350C"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(-9.235)</w:t>
            </w:r>
          </w:p>
        </w:tc>
        <w:tc>
          <w:tcPr>
            <w:tcW w:w="1136" w:type="dxa"/>
            <w:tcBorders>
              <w:top w:val="nil"/>
              <w:left w:val="nil"/>
              <w:bottom w:val="nil"/>
              <w:right w:val="nil"/>
            </w:tcBorders>
            <w:shd w:val="clear" w:color="auto" w:fill="auto"/>
            <w:noWrap/>
            <w:vAlign w:val="bottom"/>
            <w:hideMark/>
          </w:tcPr>
          <w:p w14:paraId="0B79FF67"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(-14.212)</w:t>
            </w:r>
          </w:p>
        </w:tc>
      </w:tr>
      <w:tr w:rsidR="00765077" w:rsidRPr="00AB729D" w14:paraId="4F5B2AEF"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79205599"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LEV</w:t>
            </w:r>
          </w:p>
        </w:tc>
        <w:tc>
          <w:tcPr>
            <w:tcW w:w="159" w:type="dxa"/>
            <w:tcBorders>
              <w:top w:val="nil"/>
              <w:left w:val="nil"/>
              <w:bottom w:val="nil"/>
              <w:right w:val="nil"/>
            </w:tcBorders>
            <w:shd w:val="clear" w:color="auto" w:fill="auto"/>
            <w:noWrap/>
            <w:vAlign w:val="bottom"/>
            <w:hideMark/>
          </w:tcPr>
          <w:p w14:paraId="6880C916"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2FAF5099"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3B3BDDE"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0.108***</w:t>
            </w:r>
          </w:p>
        </w:tc>
        <w:tc>
          <w:tcPr>
            <w:tcW w:w="1136" w:type="dxa"/>
            <w:tcBorders>
              <w:top w:val="nil"/>
              <w:left w:val="nil"/>
              <w:bottom w:val="nil"/>
              <w:right w:val="nil"/>
            </w:tcBorders>
            <w:shd w:val="clear" w:color="auto" w:fill="auto"/>
            <w:noWrap/>
            <w:vAlign w:val="bottom"/>
            <w:hideMark/>
          </w:tcPr>
          <w:p w14:paraId="5187E801"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0.107***</w:t>
            </w:r>
          </w:p>
        </w:tc>
        <w:tc>
          <w:tcPr>
            <w:tcW w:w="1136" w:type="dxa"/>
            <w:tcBorders>
              <w:top w:val="nil"/>
              <w:left w:val="nil"/>
              <w:bottom w:val="nil"/>
              <w:right w:val="nil"/>
            </w:tcBorders>
            <w:shd w:val="clear" w:color="auto" w:fill="auto"/>
            <w:noWrap/>
            <w:vAlign w:val="bottom"/>
            <w:hideMark/>
          </w:tcPr>
          <w:p w14:paraId="65DC6007"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0.108***</w:t>
            </w:r>
          </w:p>
        </w:tc>
        <w:tc>
          <w:tcPr>
            <w:tcW w:w="1136" w:type="dxa"/>
            <w:tcBorders>
              <w:top w:val="nil"/>
              <w:left w:val="nil"/>
              <w:bottom w:val="nil"/>
              <w:right w:val="nil"/>
            </w:tcBorders>
            <w:shd w:val="clear" w:color="auto" w:fill="auto"/>
            <w:noWrap/>
            <w:vAlign w:val="bottom"/>
            <w:hideMark/>
          </w:tcPr>
          <w:p w14:paraId="525CDB7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0.114***</w:t>
            </w:r>
          </w:p>
        </w:tc>
      </w:tr>
      <w:tr w:rsidR="00765077" w:rsidRPr="00AB729D" w14:paraId="2FDB80EB"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778AE518" w14:textId="77777777" w:rsidR="00765077" w:rsidRPr="00AB729D" w:rsidRDefault="00765077" w:rsidP="00765077">
            <w:pPr>
              <w:spacing w:after="0" w:line="240" w:lineRule="auto"/>
              <w:jc w:val="center"/>
              <w:rPr>
                <w:rFonts w:ascii="Times New Roman" w:eastAsia="Times New Roman" w:hAnsi="Times New Roman"/>
                <w:color w:val="000000"/>
              </w:rPr>
            </w:pPr>
          </w:p>
        </w:tc>
        <w:tc>
          <w:tcPr>
            <w:tcW w:w="159" w:type="dxa"/>
            <w:tcBorders>
              <w:top w:val="nil"/>
              <w:left w:val="nil"/>
              <w:bottom w:val="nil"/>
              <w:right w:val="nil"/>
            </w:tcBorders>
            <w:shd w:val="clear" w:color="auto" w:fill="auto"/>
            <w:noWrap/>
            <w:vAlign w:val="bottom"/>
            <w:hideMark/>
          </w:tcPr>
          <w:p w14:paraId="2683B47E"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25B01978"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FCDE64F"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(30.749)</w:t>
            </w:r>
          </w:p>
        </w:tc>
        <w:tc>
          <w:tcPr>
            <w:tcW w:w="1136" w:type="dxa"/>
            <w:tcBorders>
              <w:top w:val="nil"/>
              <w:left w:val="nil"/>
              <w:bottom w:val="nil"/>
              <w:right w:val="nil"/>
            </w:tcBorders>
            <w:shd w:val="clear" w:color="auto" w:fill="auto"/>
            <w:noWrap/>
            <w:vAlign w:val="bottom"/>
            <w:hideMark/>
          </w:tcPr>
          <w:p w14:paraId="49095D1C"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(30.704)</w:t>
            </w:r>
          </w:p>
        </w:tc>
        <w:tc>
          <w:tcPr>
            <w:tcW w:w="1136" w:type="dxa"/>
            <w:tcBorders>
              <w:top w:val="nil"/>
              <w:left w:val="nil"/>
              <w:bottom w:val="nil"/>
              <w:right w:val="nil"/>
            </w:tcBorders>
            <w:shd w:val="clear" w:color="auto" w:fill="auto"/>
            <w:noWrap/>
            <w:vAlign w:val="bottom"/>
            <w:hideMark/>
          </w:tcPr>
          <w:p w14:paraId="0745D11E"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(30.891)</w:t>
            </w:r>
          </w:p>
        </w:tc>
        <w:tc>
          <w:tcPr>
            <w:tcW w:w="1136" w:type="dxa"/>
            <w:tcBorders>
              <w:top w:val="nil"/>
              <w:left w:val="nil"/>
              <w:bottom w:val="nil"/>
              <w:right w:val="nil"/>
            </w:tcBorders>
            <w:shd w:val="clear" w:color="auto" w:fill="auto"/>
            <w:noWrap/>
            <w:vAlign w:val="bottom"/>
            <w:hideMark/>
          </w:tcPr>
          <w:p w14:paraId="1C742C7D"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(32.497)</w:t>
            </w:r>
          </w:p>
        </w:tc>
      </w:tr>
      <w:tr w:rsidR="00765077" w:rsidRPr="00AB729D" w14:paraId="49D36DBF"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12ED721E"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LN_AGE</w:t>
            </w:r>
          </w:p>
        </w:tc>
        <w:tc>
          <w:tcPr>
            <w:tcW w:w="159" w:type="dxa"/>
            <w:tcBorders>
              <w:top w:val="nil"/>
              <w:left w:val="nil"/>
              <w:bottom w:val="nil"/>
              <w:right w:val="nil"/>
            </w:tcBorders>
            <w:shd w:val="clear" w:color="auto" w:fill="auto"/>
            <w:noWrap/>
            <w:vAlign w:val="bottom"/>
            <w:hideMark/>
          </w:tcPr>
          <w:p w14:paraId="3A3FABF6"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37B4C5A6"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2D0F3D8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0.067***</w:t>
            </w:r>
          </w:p>
        </w:tc>
        <w:tc>
          <w:tcPr>
            <w:tcW w:w="1136" w:type="dxa"/>
            <w:tcBorders>
              <w:top w:val="nil"/>
              <w:left w:val="nil"/>
              <w:bottom w:val="nil"/>
              <w:right w:val="nil"/>
            </w:tcBorders>
            <w:shd w:val="clear" w:color="auto" w:fill="auto"/>
            <w:noWrap/>
            <w:vAlign w:val="bottom"/>
            <w:hideMark/>
          </w:tcPr>
          <w:p w14:paraId="3CB773A7"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0.064***</w:t>
            </w:r>
          </w:p>
        </w:tc>
        <w:tc>
          <w:tcPr>
            <w:tcW w:w="1136" w:type="dxa"/>
            <w:tcBorders>
              <w:top w:val="nil"/>
              <w:left w:val="nil"/>
              <w:bottom w:val="nil"/>
              <w:right w:val="nil"/>
            </w:tcBorders>
            <w:shd w:val="clear" w:color="auto" w:fill="auto"/>
            <w:noWrap/>
            <w:vAlign w:val="bottom"/>
            <w:hideMark/>
          </w:tcPr>
          <w:p w14:paraId="64DC95D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0.065***</w:t>
            </w:r>
          </w:p>
        </w:tc>
        <w:tc>
          <w:tcPr>
            <w:tcW w:w="1136" w:type="dxa"/>
            <w:tcBorders>
              <w:top w:val="nil"/>
              <w:left w:val="nil"/>
              <w:bottom w:val="nil"/>
              <w:right w:val="nil"/>
            </w:tcBorders>
            <w:shd w:val="clear" w:color="auto" w:fill="auto"/>
            <w:noWrap/>
            <w:vAlign w:val="bottom"/>
            <w:hideMark/>
          </w:tcPr>
          <w:p w14:paraId="7D6C966A"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0.067***</w:t>
            </w:r>
          </w:p>
        </w:tc>
      </w:tr>
      <w:tr w:rsidR="00765077" w:rsidRPr="00AB729D" w14:paraId="27546E86"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4F26215C" w14:textId="77777777" w:rsidR="00765077" w:rsidRPr="00AB729D" w:rsidRDefault="00765077" w:rsidP="00765077">
            <w:pPr>
              <w:spacing w:after="0" w:line="240" w:lineRule="auto"/>
              <w:jc w:val="center"/>
              <w:rPr>
                <w:rFonts w:ascii="Times New Roman" w:eastAsia="Times New Roman" w:hAnsi="Times New Roman"/>
                <w:color w:val="000000"/>
              </w:rPr>
            </w:pPr>
          </w:p>
        </w:tc>
        <w:tc>
          <w:tcPr>
            <w:tcW w:w="159" w:type="dxa"/>
            <w:tcBorders>
              <w:top w:val="nil"/>
              <w:left w:val="nil"/>
              <w:bottom w:val="nil"/>
              <w:right w:val="nil"/>
            </w:tcBorders>
            <w:shd w:val="clear" w:color="auto" w:fill="auto"/>
            <w:noWrap/>
            <w:vAlign w:val="bottom"/>
            <w:hideMark/>
          </w:tcPr>
          <w:p w14:paraId="04DAB29F"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55033C53"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82E2FB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(13.079)</w:t>
            </w:r>
          </w:p>
        </w:tc>
        <w:tc>
          <w:tcPr>
            <w:tcW w:w="1136" w:type="dxa"/>
            <w:tcBorders>
              <w:top w:val="nil"/>
              <w:left w:val="nil"/>
              <w:bottom w:val="nil"/>
              <w:right w:val="nil"/>
            </w:tcBorders>
            <w:shd w:val="clear" w:color="auto" w:fill="auto"/>
            <w:noWrap/>
            <w:vAlign w:val="bottom"/>
            <w:hideMark/>
          </w:tcPr>
          <w:p w14:paraId="1EE87697"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(12.584)</w:t>
            </w:r>
          </w:p>
        </w:tc>
        <w:tc>
          <w:tcPr>
            <w:tcW w:w="1136" w:type="dxa"/>
            <w:tcBorders>
              <w:top w:val="nil"/>
              <w:left w:val="nil"/>
              <w:bottom w:val="nil"/>
              <w:right w:val="nil"/>
            </w:tcBorders>
            <w:shd w:val="clear" w:color="auto" w:fill="auto"/>
            <w:noWrap/>
            <w:vAlign w:val="bottom"/>
            <w:hideMark/>
          </w:tcPr>
          <w:p w14:paraId="571A37E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(12.752)</w:t>
            </w:r>
          </w:p>
        </w:tc>
        <w:tc>
          <w:tcPr>
            <w:tcW w:w="1136" w:type="dxa"/>
            <w:tcBorders>
              <w:top w:val="nil"/>
              <w:left w:val="nil"/>
              <w:bottom w:val="nil"/>
              <w:right w:val="nil"/>
            </w:tcBorders>
            <w:shd w:val="clear" w:color="auto" w:fill="auto"/>
            <w:noWrap/>
            <w:vAlign w:val="bottom"/>
            <w:hideMark/>
          </w:tcPr>
          <w:p w14:paraId="23DE6EFC"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(13.160)</w:t>
            </w:r>
          </w:p>
        </w:tc>
      </w:tr>
      <w:tr w:rsidR="00765077" w:rsidRPr="00AB729D" w14:paraId="2527E5D3"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6D20CE43"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ROA</w:t>
            </w:r>
          </w:p>
        </w:tc>
        <w:tc>
          <w:tcPr>
            <w:tcW w:w="159" w:type="dxa"/>
            <w:tcBorders>
              <w:top w:val="nil"/>
              <w:left w:val="nil"/>
              <w:bottom w:val="nil"/>
              <w:right w:val="nil"/>
            </w:tcBorders>
            <w:shd w:val="clear" w:color="auto" w:fill="auto"/>
            <w:noWrap/>
            <w:vAlign w:val="bottom"/>
            <w:hideMark/>
          </w:tcPr>
          <w:p w14:paraId="1E95DA67"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75E850D8"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C726DD8"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0.086***</w:t>
            </w:r>
          </w:p>
        </w:tc>
        <w:tc>
          <w:tcPr>
            <w:tcW w:w="1136" w:type="dxa"/>
            <w:tcBorders>
              <w:top w:val="nil"/>
              <w:left w:val="nil"/>
              <w:bottom w:val="nil"/>
              <w:right w:val="nil"/>
            </w:tcBorders>
            <w:shd w:val="clear" w:color="auto" w:fill="auto"/>
            <w:noWrap/>
            <w:vAlign w:val="bottom"/>
            <w:hideMark/>
          </w:tcPr>
          <w:p w14:paraId="7CECEF93"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0.091***</w:t>
            </w:r>
          </w:p>
        </w:tc>
        <w:tc>
          <w:tcPr>
            <w:tcW w:w="1136" w:type="dxa"/>
            <w:tcBorders>
              <w:top w:val="nil"/>
              <w:left w:val="nil"/>
              <w:bottom w:val="nil"/>
              <w:right w:val="nil"/>
            </w:tcBorders>
            <w:shd w:val="clear" w:color="auto" w:fill="auto"/>
            <w:noWrap/>
            <w:vAlign w:val="bottom"/>
            <w:hideMark/>
          </w:tcPr>
          <w:p w14:paraId="28AFE133"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0.092***</w:t>
            </w:r>
          </w:p>
        </w:tc>
        <w:tc>
          <w:tcPr>
            <w:tcW w:w="1136" w:type="dxa"/>
            <w:tcBorders>
              <w:top w:val="nil"/>
              <w:left w:val="nil"/>
              <w:bottom w:val="nil"/>
              <w:right w:val="nil"/>
            </w:tcBorders>
            <w:shd w:val="clear" w:color="auto" w:fill="auto"/>
            <w:noWrap/>
            <w:vAlign w:val="bottom"/>
            <w:hideMark/>
          </w:tcPr>
          <w:p w14:paraId="7E5F32AC"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0.104***</w:t>
            </w:r>
          </w:p>
        </w:tc>
      </w:tr>
      <w:tr w:rsidR="00765077" w:rsidRPr="00AB729D" w14:paraId="45F49404"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06A89484" w14:textId="77777777" w:rsidR="00765077" w:rsidRPr="00AB729D" w:rsidRDefault="00765077" w:rsidP="00765077">
            <w:pPr>
              <w:spacing w:after="0" w:line="240" w:lineRule="auto"/>
              <w:jc w:val="center"/>
              <w:rPr>
                <w:rFonts w:ascii="Times New Roman" w:eastAsia="Times New Roman" w:hAnsi="Times New Roman"/>
                <w:color w:val="000000"/>
              </w:rPr>
            </w:pPr>
          </w:p>
        </w:tc>
        <w:tc>
          <w:tcPr>
            <w:tcW w:w="159" w:type="dxa"/>
            <w:tcBorders>
              <w:top w:val="nil"/>
              <w:left w:val="nil"/>
              <w:bottom w:val="nil"/>
              <w:right w:val="nil"/>
            </w:tcBorders>
            <w:shd w:val="clear" w:color="auto" w:fill="auto"/>
            <w:noWrap/>
            <w:vAlign w:val="bottom"/>
            <w:hideMark/>
          </w:tcPr>
          <w:p w14:paraId="0C563CA9"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6361D56A"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3B454249"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(11.778)</w:t>
            </w:r>
          </w:p>
        </w:tc>
        <w:tc>
          <w:tcPr>
            <w:tcW w:w="1136" w:type="dxa"/>
            <w:tcBorders>
              <w:top w:val="nil"/>
              <w:left w:val="nil"/>
              <w:bottom w:val="nil"/>
              <w:right w:val="nil"/>
            </w:tcBorders>
            <w:shd w:val="clear" w:color="auto" w:fill="auto"/>
            <w:noWrap/>
            <w:vAlign w:val="bottom"/>
            <w:hideMark/>
          </w:tcPr>
          <w:p w14:paraId="6B0CD13E"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(12.470)</w:t>
            </w:r>
          </w:p>
        </w:tc>
        <w:tc>
          <w:tcPr>
            <w:tcW w:w="1136" w:type="dxa"/>
            <w:tcBorders>
              <w:top w:val="nil"/>
              <w:left w:val="nil"/>
              <w:bottom w:val="nil"/>
              <w:right w:val="nil"/>
            </w:tcBorders>
            <w:shd w:val="clear" w:color="auto" w:fill="auto"/>
            <w:noWrap/>
            <w:vAlign w:val="bottom"/>
            <w:hideMark/>
          </w:tcPr>
          <w:p w14:paraId="65C438D9"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(12.623)</w:t>
            </w:r>
          </w:p>
        </w:tc>
        <w:tc>
          <w:tcPr>
            <w:tcW w:w="1136" w:type="dxa"/>
            <w:tcBorders>
              <w:top w:val="nil"/>
              <w:left w:val="nil"/>
              <w:bottom w:val="nil"/>
              <w:right w:val="nil"/>
            </w:tcBorders>
            <w:shd w:val="clear" w:color="auto" w:fill="auto"/>
            <w:noWrap/>
            <w:vAlign w:val="bottom"/>
            <w:hideMark/>
          </w:tcPr>
          <w:p w14:paraId="33C5CA7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(14.162)</w:t>
            </w:r>
          </w:p>
        </w:tc>
      </w:tr>
      <w:tr w:rsidR="00765077" w:rsidRPr="00AB729D" w14:paraId="6973EE0F"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52DF290E"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DY</w:t>
            </w:r>
          </w:p>
        </w:tc>
        <w:tc>
          <w:tcPr>
            <w:tcW w:w="159" w:type="dxa"/>
            <w:tcBorders>
              <w:top w:val="nil"/>
              <w:left w:val="nil"/>
              <w:bottom w:val="nil"/>
              <w:right w:val="nil"/>
            </w:tcBorders>
            <w:shd w:val="clear" w:color="auto" w:fill="auto"/>
            <w:noWrap/>
            <w:vAlign w:val="bottom"/>
            <w:hideMark/>
          </w:tcPr>
          <w:p w14:paraId="5636E27D"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129BBE8A"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BE96189"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-0.071***</w:t>
            </w:r>
          </w:p>
        </w:tc>
        <w:tc>
          <w:tcPr>
            <w:tcW w:w="1136" w:type="dxa"/>
            <w:tcBorders>
              <w:top w:val="nil"/>
              <w:left w:val="nil"/>
              <w:bottom w:val="nil"/>
              <w:right w:val="nil"/>
            </w:tcBorders>
            <w:shd w:val="clear" w:color="auto" w:fill="auto"/>
            <w:noWrap/>
            <w:vAlign w:val="bottom"/>
            <w:hideMark/>
          </w:tcPr>
          <w:p w14:paraId="434FC7D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-0.072***</w:t>
            </w:r>
          </w:p>
        </w:tc>
        <w:tc>
          <w:tcPr>
            <w:tcW w:w="1136" w:type="dxa"/>
            <w:tcBorders>
              <w:top w:val="nil"/>
              <w:left w:val="nil"/>
              <w:bottom w:val="nil"/>
              <w:right w:val="nil"/>
            </w:tcBorders>
            <w:shd w:val="clear" w:color="auto" w:fill="auto"/>
            <w:noWrap/>
            <w:vAlign w:val="bottom"/>
            <w:hideMark/>
          </w:tcPr>
          <w:p w14:paraId="66B1914A"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-0.072***</w:t>
            </w:r>
          </w:p>
        </w:tc>
        <w:tc>
          <w:tcPr>
            <w:tcW w:w="1136" w:type="dxa"/>
            <w:tcBorders>
              <w:top w:val="nil"/>
              <w:left w:val="nil"/>
              <w:bottom w:val="nil"/>
              <w:right w:val="nil"/>
            </w:tcBorders>
            <w:shd w:val="clear" w:color="auto" w:fill="auto"/>
            <w:noWrap/>
            <w:vAlign w:val="bottom"/>
            <w:hideMark/>
          </w:tcPr>
          <w:p w14:paraId="451FA118"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-0.071***</w:t>
            </w:r>
          </w:p>
        </w:tc>
      </w:tr>
      <w:tr w:rsidR="00765077" w:rsidRPr="00AB729D" w14:paraId="2116F556"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1F809536" w14:textId="77777777" w:rsidR="00765077" w:rsidRPr="00AB729D" w:rsidRDefault="00765077" w:rsidP="00765077">
            <w:pPr>
              <w:spacing w:after="0" w:line="240" w:lineRule="auto"/>
              <w:jc w:val="center"/>
              <w:rPr>
                <w:rFonts w:ascii="Times New Roman" w:eastAsia="Times New Roman" w:hAnsi="Times New Roman"/>
                <w:color w:val="000000"/>
              </w:rPr>
            </w:pPr>
          </w:p>
        </w:tc>
        <w:tc>
          <w:tcPr>
            <w:tcW w:w="159" w:type="dxa"/>
            <w:tcBorders>
              <w:top w:val="nil"/>
              <w:left w:val="nil"/>
              <w:bottom w:val="nil"/>
              <w:right w:val="nil"/>
            </w:tcBorders>
            <w:shd w:val="clear" w:color="auto" w:fill="auto"/>
            <w:noWrap/>
            <w:vAlign w:val="bottom"/>
            <w:hideMark/>
          </w:tcPr>
          <w:p w14:paraId="22E8F157"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5D7F5D56"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A2C9810"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(-4.933)</w:t>
            </w:r>
          </w:p>
        </w:tc>
        <w:tc>
          <w:tcPr>
            <w:tcW w:w="1136" w:type="dxa"/>
            <w:tcBorders>
              <w:top w:val="nil"/>
              <w:left w:val="nil"/>
              <w:bottom w:val="nil"/>
              <w:right w:val="nil"/>
            </w:tcBorders>
            <w:shd w:val="clear" w:color="auto" w:fill="auto"/>
            <w:noWrap/>
            <w:vAlign w:val="bottom"/>
            <w:hideMark/>
          </w:tcPr>
          <w:p w14:paraId="1BD2864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(-5.021)</w:t>
            </w:r>
          </w:p>
        </w:tc>
        <w:tc>
          <w:tcPr>
            <w:tcW w:w="1136" w:type="dxa"/>
            <w:tcBorders>
              <w:top w:val="nil"/>
              <w:left w:val="nil"/>
              <w:bottom w:val="nil"/>
              <w:right w:val="nil"/>
            </w:tcBorders>
            <w:shd w:val="clear" w:color="auto" w:fill="auto"/>
            <w:noWrap/>
            <w:vAlign w:val="bottom"/>
            <w:hideMark/>
          </w:tcPr>
          <w:p w14:paraId="76759A45"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(-5.009)</w:t>
            </w:r>
          </w:p>
        </w:tc>
        <w:tc>
          <w:tcPr>
            <w:tcW w:w="1136" w:type="dxa"/>
            <w:tcBorders>
              <w:top w:val="nil"/>
              <w:left w:val="nil"/>
              <w:bottom w:val="nil"/>
              <w:right w:val="nil"/>
            </w:tcBorders>
            <w:shd w:val="clear" w:color="auto" w:fill="auto"/>
            <w:noWrap/>
            <w:vAlign w:val="bottom"/>
            <w:hideMark/>
          </w:tcPr>
          <w:p w14:paraId="18AC326B"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(-4.906)</w:t>
            </w:r>
          </w:p>
        </w:tc>
      </w:tr>
      <w:tr w:rsidR="00765077" w:rsidRPr="00AB729D" w14:paraId="779D922A"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08CE9C24" w14:textId="77777777" w:rsidR="00765077" w:rsidRPr="00AB729D" w:rsidRDefault="00765077" w:rsidP="00765077">
            <w:pPr>
              <w:spacing w:after="0" w:line="240" w:lineRule="auto"/>
              <w:jc w:val="center"/>
              <w:rPr>
                <w:rFonts w:ascii="Times New Roman" w:eastAsia="Times New Roman" w:hAnsi="Times New Roman"/>
                <w:color w:val="000000"/>
              </w:rPr>
            </w:pPr>
          </w:p>
        </w:tc>
        <w:tc>
          <w:tcPr>
            <w:tcW w:w="159" w:type="dxa"/>
            <w:tcBorders>
              <w:top w:val="nil"/>
              <w:left w:val="nil"/>
              <w:bottom w:val="nil"/>
              <w:right w:val="nil"/>
            </w:tcBorders>
            <w:shd w:val="clear" w:color="auto" w:fill="auto"/>
            <w:noWrap/>
            <w:vAlign w:val="bottom"/>
            <w:hideMark/>
          </w:tcPr>
          <w:p w14:paraId="7948D7E2"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7A8EEBE3"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57FC6E28"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0A1AD6C4"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2ADD5B3"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21EC0C38" w14:textId="77777777" w:rsidR="00765077" w:rsidRPr="00AB729D" w:rsidRDefault="00765077" w:rsidP="00765077">
            <w:pPr>
              <w:spacing w:after="0" w:line="240" w:lineRule="auto"/>
              <w:rPr>
                <w:rFonts w:ascii="Times New Roman" w:eastAsia="Times New Roman" w:hAnsi="Times New Roman"/>
                <w:sz w:val="20"/>
                <w:szCs w:val="20"/>
              </w:rPr>
            </w:pPr>
          </w:p>
        </w:tc>
      </w:tr>
      <w:tr w:rsidR="00765077" w:rsidRPr="00AB729D" w14:paraId="08DF320C" w14:textId="77777777" w:rsidTr="00765077">
        <w:trPr>
          <w:trHeight w:val="276"/>
          <w:jc w:val="center"/>
        </w:trPr>
        <w:tc>
          <w:tcPr>
            <w:tcW w:w="2819" w:type="dxa"/>
            <w:tcBorders>
              <w:top w:val="nil"/>
              <w:left w:val="nil"/>
              <w:bottom w:val="nil"/>
              <w:right w:val="nil"/>
            </w:tcBorders>
            <w:shd w:val="clear" w:color="auto" w:fill="auto"/>
            <w:noWrap/>
            <w:vAlign w:val="bottom"/>
            <w:hideMark/>
          </w:tcPr>
          <w:p w14:paraId="72FD3C95"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780A0C8C"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349050C5"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1F775D6D"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147D97E"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7C6F87C4"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5DB877F7" w14:textId="77777777" w:rsidR="00765077" w:rsidRPr="00AB729D" w:rsidRDefault="00765077" w:rsidP="00765077">
            <w:pPr>
              <w:spacing w:after="0" w:line="240" w:lineRule="auto"/>
              <w:rPr>
                <w:rFonts w:ascii="Times New Roman" w:eastAsia="Times New Roman" w:hAnsi="Times New Roman"/>
                <w:sz w:val="20"/>
                <w:szCs w:val="20"/>
              </w:rPr>
            </w:pPr>
          </w:p>
        </w:tc>
      </w:tr>
      <w:tr w:rsidR="00765077" w:rsidRPr="00AB729D" w14:paraId="09E4484F"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758FBEBD"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26954456"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476B4B78"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A3B0538"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5443240"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6448934B"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F47A07A" w14:textId="77777777" w:rsidR="00765077" w:rsidRPr="00AB729D" w:rsidRDefault="00765077" w:rsidP="00765077">
            <w:pPr>
              <w:spacing w:after="0" w:line="240" w:lineRule="auto"/>
              <w:rPr>
                <w:rFonts w:ascii="Times New Roman" w:eastAsia="Times New Roman" w:hAnsi="Times New Roman"/>
                <w:sz w:val="20"/>
                <w:szCs w:val="20"/>
              </w:rPr>
            </w:pPr>
          </w:p>
        </w:tc>
      </w:tr>
      <w:tr w:rsidR="00765077" w:rsidRPr="00AB729D" w14:paraId="036D93A3"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15B6A5F7"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1B09AF1A"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5D8F3F07"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5B71CD6D"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37E2BF4A"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10D15AEB"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A99A577" w14:textId="77777777" w:rsidR="00765077" w:rsidRPr="00AB729D" w:rsidRDefault="00765077" w:rsidP="00765077">
            <w:pPr>
              <w:spacing w:after="0" w:line="240" w:lineRule="auto"/>
              <w:rPr>
                <w:rFonts w:ascii="Times New Roman" w:eastAsia="Times New Roman" w:hAnsi="Times New Roman"/>
                <w:sz w:val="20"/>
                <w:szCs w:val="20"/>
              </w:rPr>
            </w:pPr>
          </w:p>
        </w:tc>
      </w:tr>
      <w:tr w:rsidR="00765077" w:rsidRPr="00AB729D" w14:paraId="1D137D2E"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1DC579AE"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3BD9DB28" w14:textId="77777777" w:rsidR="00765077" w:rsidRPr="00AB729D" w:rsidRDefault="00765077" w:rsidP="00765077">
            <w:pPr>
              <w:spacing w:after="0" w:line="240" w:lineRule="auto"/>
              <w:rPr>
                <w:rFonts w:ascii="Times New Roman" w:eastAsia="Times New Roman" w:hAnsi="Times New Roman"/>
                <w:sz w:val="20"/>
                <w:szCs w:val="20"/>
              </w:rPr>
            </w:pPr>
          </w:p>
        </w:tc>
        <w:tc>
          <w:tcPr>
            <w:tcW w:w="159" w:type="dxa"/>
            <w:tcBorders>
              <w:top w:val="nil"/>
              <w:left w:val="nil"/>
              <w:bottom w:val="nil"/>
              <w:right w:val="nil"/>
            </w:tcBorders>
            <w:shd w:val="clear" w:color="auto" w:fill="auto"/>
            <w:noWrap/>
            <w:vAlign w:val="bottom"/>
            <w:hideMark/>
          </w:tcPr>
          <w:p w14:paraId="2FB96A4B"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72F9423"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7752FB32"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457BB05D"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36" w:type="dxa"/>
            <w:tcBorders>
              <w:top w:val="nil"/>
              <w:left w:val="nil"/>
              <w:bottom w:val="nil"/>
              <w:right w:val="nil"/>
            </w:tcBorders>
            <w:shd w:val="clear" w:color="auto" w:fill="auto"/>
            <w:noWrap/>
            <w:vAlign w:val="bottom"/>
            <w:hideMark/>
          </w:tcPr>
          <w:p w14:paraId="3529BBB9" w14:textId="77777777" w:rsidR="00765077" w:rsidRPr="00AB729D" w:rsidRDefault="00765077" w:rsidP="00765077">
            <w:pPr>
              <w:spacing w:after="0" w:line="240" w:lineRule="auto"/>
              <w:rPr>
                <w:rFonts w:ascii="Times New Roman" w:eastAsia="Times New Roman" w:hAnsi="Times New Roman"/>
                <w:sz w:val="20"/>
                <w:szCs w:val="20"/>
              </w:rPr>
            </w:pPr>
          </w:p>
        </w:tc>
      </w:tr>
      <w:tr w:rsidR="00765077" w:rsidRPr="00AB729D" w14:paraId="15E5BF01"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0FB60071"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 xml:space="preserve">Year </w:t>
            </w:r>
          </w:p>
        </w:tc>
        <w:tc>
          <w:tcPr>
            <w:tcW w:w="159" w:type="dxa"/>
            <w:tcBorders>
              <w:top w:val="nil"/>
              <w:left w:val="nil"/>
              <w:bottom w:val="nil"/>
              <w:right w:val="nil"/>
            </w:tcBorders>
            <w:shd w:val="clear" w:color="auto" w:fill="auto"/>
            <w:noWrap/>
            <w:vAlign w:val="bottom"/>
            <w:hideMark/>
          </w:tcPr>
          <w:p w14:paraId="543BA167"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0EABC8A8"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6F3D9F8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c>
          <w:tcPr>
            <w:tcW w:w="1136" w:type="dxa"/>
            <w:tcBorders>
              <w:top w:val="nil"/>
              <w:left w:val="nil"/>
              <w:bottom w:val="nil"/>
              <w:right w:val="nil"/>
            </w:tcBorders>
            <w:shd w:val="clear" w:color="auto" w:fill="auto"/>
            <w:noWrap/>
            <w:vAlign w:val="bottom"/>
            <w:hideMark/>
          </w:tcPr>
          <w:p w14:paraId="2A1D2D3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c>
          <w:tcPr>
            <w:tcW w:w="1136" w:type="dxa"/>
            <w:tcBorders>
              <w:top w:val="nil"/>
              <w:left w:val="nil"/>
              <w:bottom w:val="nil"/>
              <w:right w:val="nil"/>
            </w:tcBorders>
            <w:shd w:val="clear" w:color="auto" w:fill="auto"/>
            <w:noWrap/>
            <w:vAlign w:val="bottom"/>
            <w:hideMark/>
          </w:tcPr>
          <w:p w14:paraId="3C5BB17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c>
          <w:tcPr>
            <w:tcW w:w="1136" w:type="dxa"/>
            <w:tcBorders>
              <w:top w:val="nil"/>
              <w:left w:val="nil"/>
              <w:bottom w:val="nil"/>
              <w:right w:val="nil"/>
            </w:tcBorders>
            <w:shd w:val="clear" w:color="auto" w:fill="auto"/>
            <w:noWrap/>
            <w:vAlign w:val="bottom"/>
            <w:hideMark/>
          </w:tcPr>
          <w:p w14:paraId="24B38443"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r>
      <w:tr w:rsidR="00765077" w:rsidRPr="00AB729D" w14:paraId="620EED48"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29DD59D7"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Industry</w:t>
            </w:r>
          </w:p>
        </w:tc>
        <w:tc>
          <w:tcPr>
            <w:tcW w:w="159" w:type="dxa"/>
            <w:tcBorders>
              <w:top w:val="nil"/>
              <w:left w:val="nil"/>
              <w:bottom w:val="nil"/>
              <w:right w:val="nil"/>
            </w:tcBorders>
            <w:shd w:val="clear" w:color="auto" w:fill="auto"/>
            <w:noWrap/>
            <w:vAlign w:val="bottom"/>
            <w:hideMark/>
          </w:tcPr>
          <w:p w14:paraId="2BCC43BB"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564F205E" w14:textId="77777777" w:rsidR="00765077" w:rsidRPr="00AB729D" w:rsidRDefault="00765077" w:rsidP="00765077">
            <w:pPr>
              <w:spacing w:after="0" w:line="240" w:lineRule="auto"/>
              <w:jc w:val="center"/>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3499A245"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c>
          <w:tcPr>
            <w:tcW w:w="1136" w:type="dxa"/>
            <w:tcBorders>
              <w:top w:val="nil"/>
              <w:left w:val="nil"/>
              <w:bottom w:val="nil"/>
              <w:right w:val="nil"/>
            </w:tcBorders>
            <w:shd w:val="clear" w:color="auto" w:fill="auto"/>
            <w:noWrap/>
            <w:vAlign w:val="bottom"/>
            <w:hideMark/>
          </w:tcPr>
          <w:p w14:paraId="04F30F08"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c>
          <w:tcPr>
            <w:tcW w:w="1136" w:type="dxa"/>
            <w:tcBorders>
              <w:top w:val="nil"/>
              <w:left w:val="nil"/>
              <w:bottom w:val="nil"/>
              <w:right w:val="nil"/>
            </w:tcBorders>
            <w:shd w:val="clear" w:color="auto" w:fill="auto"/>
            <w:noWrap/>
            <w:vAlign w:val="bottom"/>
            <w:hideMark/>
          </w:tcPr>
          <w:p w14:paraId="7B9450D6"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c>
          <w:tcPr>
            <w:tcW w:w="1136" w:type="dxa"/>
            <w:tcBorders>
              <w:top w:val="nil"/>
              <w:left w:val="nil"/>
              <w:bottom w:val="nil"/>
              <w:right w:val="nil"/>
            </w:tcBorders>
            <w:shd w:val="clear" w:color="auto" w:fill="auto"/>
            <w:noWrap/>
            <w:vAlign w:val="bottom"/>
            <w:hideMark/>
          </w:tcPr>
          <w:p w14:paraId="03EE2505"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Y</w:t>
            </w:r>
          </w:p>
        </w:tc>
      </w:tr>
      <w:tr w:rsidR="00765077" w:rsidRPr="00AB729D" w14:paraId="3F530447" w14:textId="77777777" w:rsidTr="00765077">
        <w:trPr>
          <w:trHeight w:val="312"/>
          <w:jc w:val="center"/>
        </w:trPr>
        <w:tc>
          <w:tcPr>
            <w:tcW w:w="2819" w:type="dxa"/>
            <w:tcBorders>
              <w:top w:val="nil"/>
              <w:left w:val="nil"/>
              <w:bottom w:val="nil"/>
              <w:right w:val="nil"/>
            </w:tcBorders>
            <w:shd w:val="clear" w:color="auto" w:fill="auto"/>
            <w:noWrap/>
            <w:vAlign w:val="bottom"/>
            <w:hideMark/>
          </w:tcPr>
          <w:p w14:paraId="71B1D365"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No. of obs.</w:t>
            </w:r>
          </w:p>
        </w:tc>
        <w:tc>
          <w:tcPr>
            <w:tcW w:w="159" w:type="dxa"/>
            <w:tcBorders>
              <w:top w:val="nil"/>
              <w:left w:val="nil"/>
              <w:bottom w:val="nil"/>
              <w:right w:val="nil"/>
            </w:tcBorders>
            <w:shd w:val="clear" w:color="auto" w:fill="auto"/>
            <w:noWrap/>
            <w:vAlign w:val="bottom"/>
            <w:hideMark/>
          </w:tcPr>
          <w:p w14:paraId="4E07CDA4" w14:textId="77777777" w:rsidR="00765077" w:rsidRPr="00AB729D" w:rsidRDefault="00765077" w:rsidP="00765077">
            <w:pPr>
              <w:spacing w:after="0" w:line="240" w:lineRule="auto"/>
              <w:rPr>
                <w:rFonts w:ascii="Times New Roman" w:eastAsia="Times New Roman" w:hAnsi="Times New Roman"/>
                <w:color w:val="000000"/>
                <w:sz w:val="24"/>
                <w:szCs w:val="24"/>
              </w:rPr>
            </w:pPr>
          </w:p>
        </w:tc>
        <w:tc>
          <w:tcPr>
            <w:tcW w:w="159" w:type="dxa"/>
            <w:tcBorders>
              <w:top w:val="nil"/>
              <w:left w:val="nil"/>
              <w:bottom w:val="nil"/>
              <w:right w:val="nil"/>
            </w:tcBorders>
            <w:shd w:val="clear" w:color="auto" w:fill="auto"/>
            <w:noWrap/>
            <w:vAlign w:val="bottom"/>
            <w:hideMark/>
          </w:tcPr>
          <w:p w14:paraId="1C68E179" w14:textId="77777777" w:rsidR="00765077" w:rsidRPr="00AB729D" w:rsidRDefault="00765077" w:rsidP="00765077">
            <w:pPr>
              <w:spacing w:after="0" w:line="240" w:lineRule="auto"/>
              <w:rPr>
                <w:rFonts w:ascii="Times New Roman" w:eastAsia="Times New Roman" w:hAnsi="Times New Roman"/>
                <w:sz w:val="20"/>
                <w:szCs w:val="20"/>
              </w:rPr>
            </w:pPr>
          </w:p>
        </w:tc>
        <w:tc>
          <w:tcPr>
            <w:tcW w:w="1116" w:type="dxa"/>
            <w:tcBorders>
              <w:top w:val="nil"/>
              <w:left w:val="nil"/>
              <w:bottom w:val="nil"/>
              <w:right w:val="nil"/>
            </w:tcBorders>
            <w:shd w:val="clear" w:color="auto" w:fill="auto"/>
            <w:noWrap/>
            <w:vAlign w:val="bottom"/>
            <w:hideMark/>
          </w:tcPr>
          <w:p w14:paraId="7E9EB113"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78,115</w:t>
            </w:r>
          </w:p>
        </w:tc>
        <w:tc>
          <w:tcPr>
            <w:tcW w:w="1136" w:type="dxa"/>
            <w:tcBorders>
              <w:top w:val="nil"/>
              <w:left w:val="nil"/>
              <w:bottom w:val="nil"/>
              <w:right w:val="nil"/>
            </w:tcBorders>
            <w:shd w:val="clear" w:color="auto" w:fill="auto"/>
            <w:noWrap/>
            <w:vAlign w:val="bottom"/>
            <w:hideMark/>
          </w:tcPr>
          <w:p w14:paraId="28FC291B"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78,115</w:t>
            </w:r>
          </w:p>
        </w:tc>
        <w:tc>
          <w:tcPr>
            <w:tcW w:w="1136" w:type="dxa"/>
            <w:tcBorders>
              <w:top w:val="nil"/>
              <w:left w:val="nil"/>
              <w:bottom w:val="nil"/>
              <w:right w:val="nil"/>
            </w:tcBorders>
            <w:shd w:val="clear" w:color="auto" w:fill="auto"/>
            <w:noWrap/>
            <w:vAlign w:val="bottom"/>
            <w:hideMark/>
          </w:tcPr>
          <w:p w14:paraId="6CC1A661"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78,115</w:t>
            </w:r>
          </w:p>
        </w:tc>
        <w:tc>
          <w:tcPr>
            <w:tcW w:w="1136" w:type="dxa"/>
            <w:tcBorders>
              <w:top w:val="nil"/>
              <w:left w:val="nil"/>
              <w:bottom w:val="nil"/>
              <w:right w:val="nil"/>
            </w:tcBorders>
            <w:shd w:val="clear" w:color="auto" w:fill="auto"/>
            <w:noWrap/>
            <w:vAlign w:val="bottom"/>
            <w:hideMark/>
          </w:tcPr>
          <w:p w14:paraId="5C18D29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78,115</w:t>
            </w:r>
          </w:p>
        </w:tc>
      </w:tr>
      <w:tr w:rsidR="00765077" w:rsidRPr="00AB729D" w14:paraId="4AB799D2" w14:textId="77777777" w:rsidTr="00765077">
        <w:trPr>
          <w:trHeight w:val="312"/>
          <w:jc w:val="center"/>
        </w:trPr>
        <w:tc>
          <w:tcPr>
            <w:tcW w:w="2819" w:type="dxa"/>
            <w:tcBorders>
              <w:top w:val="nil"/>
              <w:left w:val="nil"/>
              <w:bottom w:val="single" w:sz="4" w:space="0" w:color="auto"/>
              <w:right w:val="nil"/>
            </w:tcBorders>
            <w:shd w:val="clear" w:color="auto" w:fill="auto"/>
            <w:noWrap/>
            <w:vAlign w:val="bottom"/>
            <w:hideMark/>
          </w:tcPr>
          <w:p w14:paraId="6ED7FE71" w14:textId="77777777" w:rsidR="00765077" w:rsidRPr="00AB729D" w:rsidRDefault="00765077" w:rsidP="00765077">
            <w:pPr>
              <w:spacing w:after="0" w:line="240" w:lineRule="auto"/>
              <w:rPr>
                <w:rFonts w:ascii="Times New Roman" w:eastAsia="Times New Roman" w:hAnsi="Times New Roman"/>
                <w:color w:val="000000"/>
                <w:sz w:val="24"/>
                <w:szCs w:val="24"/>
              </w:rPr>
            </w:pPr>
            <w:r w:rsidRPr="00AB729D">
              <w:rPr>
                <w:rFonts w:ascii="Times New Roman" w:eastAsia="Times New Roman" w:hAnsi="Times New Roman"/>
                <w:color w:val="000000"/>
                <w:sz w:val="24"/>
                <w:szCs w:val="24"/>
              </w:rPr>
              <w:t>Adj.R2</w:t>
            </w:r>
          </w:p>
        </w:tc>
        <w:tc>
          <w:tcPr>
            <w:tcW w:w="159" w:type="dxa"/>
            <w:tcBorders>
              <w:top w:val="nil"/>
              <w:left w:val="nil"/>
              <w:bottom w:val="single" w:sz="4" w:space="0" w:color="auto"/>
              <w:right w:val="nil"/>
            </w:tcBorders>
            <w:shd w:val="clear" w:color="auto" w:fill="auto"/>
            <w:noWrap/>
            <w:vAlign w:val="bottom"/>
            <w:hideMark/>
          </w:tcPr>
          <w:p w14:paraId="6F492F68" w14:textId="77777777" w:rsidR="00765077" w:rsidRPr="00AB729D" w:rsidRDefault="00765077" w:rsidP="00765077">
            <w:pPr>
              <w:spacing w:after="0" w:line="240" w:lineRule="auto"/>
              <w:rPr>
                <w:rFonts w:ascii="Times New Roman" w:eastAsia="Times New Roman" w:hAnsi="Times New Roman"/>
                <w:color w:val="000000"/>
              </w:rPr>
            </w:pPr>
            <w:r w:rsidRPr="00AB729D">
              <w:rPr>
                <w:rFonts w:ascii="Times New Roman" w:eastAsia="Times New Roman" w:hAnsi="Times New Roman"/>
                <w:color w:val="000000"/>
              </w:rPr>
              <w:t> </w:t>
            </w:r>
          </w:p>
        </w:tc>
        <w:tc>
          <w:tcPr>
            <w:tcW w:w="159" w:type="dxa"/>
            <w:tcBorders>
              <w:top w:val="nil"/>
              <w:left w:val="nil"/>
              <w:bottom w:val="single" w:sz="4" w:space="0" w:color="auto"/>
              <w:right w:val="nil"/>
            </w:tcBorders>
            <w:shd w:val="clear" w:color="auto" w:fill="auto"/>
            <w:noWrap/>
            <w:vAlign w:val="bottom"/>
            <w:hideMark/>
          </w:tcPr>
          <w:p w14:paraId="65AC9A7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 </w:t>
            </w:r>
          </w:p>
        </w:tc>
        <w:tc>
          <w:tcPr>
            <w:tcW w:w="1116" w:type="dxa"/>
            <w:tcBorders>
              <w:top w:val="nil"/>
              <w:left w:val="nil"/>
              <w:bottom w:val="single" w:sz="4" w:space="0" w:color="auto"/>
              <w:right w:val="nil"/>
            </w:tcBorders>
            <w:shd w:val="clear" w:color="auto" w:fill="auto"/>
            <w:noWrap/>
            <w:vAlign w:val="bottom"/>
            <w:hideMark/>
          </w:tcPr>
          <w:p w14:paraId="29ADF66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0.087</w:t>
            </w:r>
          </w:p>
        </w:tc>
        <w:tc>
          <w:tcPr>
            <w:tcW w:w="1136" w:type="dxa"/>
            <w:tcBorders>
              <w:top w:val="nil"/>
              <w:left w:val="nil"/>
              <w:bottom w:val="single" w:sz="4" w:space="0" w:color="auto"/>
              <w:right w:val="nil"/>
            </w:tcBorders>
            <w:shd w:val="clear" w:color="auto" w:fill="auto"/>
            <w:noWrap/>
            <w:vAlign w:val="bottom"/>
            <w:hideMark/>
          </w:tcPr>
          <w:p w14:paraId="11D1E7D2"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0.089</w:t>
            </w:r>
          </w:p>
        </w:tc>
        <w:tc>
          <w:tcPr>
            <w:tcW w:w="1136" w:type="dxa"/>
            <w:tcBorders>
              <w:top w:val="nil"/>
              <w:left w:val="nil"/>
              <w:bottom w:val="single" w:sz="4" w:space="0" w:color="auto"/>
              <w:right w:val="nil"/>
            </w:tcBorders>
            <w:shd w:val="clear" w:color="auto" w:fill="auto"/>
            <w:noWrap/>
            <w:vAlign w:val="bottom"/>
            <w:hideMark/>
          </w:tcPr>
          <w:p w14:paraId="3CB70B14"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0.088</w:t>
            </w:r>
          </w:p>
        </w:tc>
        <w:tc>
          <w:tcPr>
            <w:tcW w:w="1136" w:type="dxa"/>
            <w:tcBorders>
              <w:top w:val="nil"/>
              <w:left w:val="nil"/>
              <w:bottom w:val="single" w:sz="4" w:space="0" w:color="auto"/>
              <w:right w:val="nil"/>
            </w:tcBorders>
            <w:shd w:val="clear" w:color="auto" w:fill="auto"/>
            <w:noWrap/>
            <w:vAlign w:val="bottom"/>
            <w:hideMark/>
          </w:tcPr>
          <w:p w14:paraId="5530C30D" w14:textId="77777777" w:rsidR="00765077" w:rsidRPr="00AB729D" w:rsidRDefault="00765077" w:rsidP="00765077">
            <w:pPr>
              <w:spacing w:after="0" w:line="240" w:lineRule="auto"/>
              <w:jc w:val="center"/>
              <w:rPr>
                <w:rFonts w:ascii="Times New Roman" w:eastAsia="Times New Roman" w:hAnsi="Times New Roman"/>
                <w:color w:val="000000"/>
              </w:rPr>
            </w:pPr>
            <w:r w:rsidRPr="00AB729D">
              <w:rPr>
                <w:rFonts w:ascii="Times New Roman" w:eastAsia="Times New Roman" w:hAnsi="Times New Roman"/>
                <w:color w:val="000000"/>
              </w:rPr>
              <w:t>0.082</w:t>
            </w:r>
          </w:p>
        </w:tc>
      </w:tr>
    </w:tbl>
    <w:p w14:paraId="4D366D81" w14:textId="7D1E1286" w:rsidR="00765077" w:rsidRPr="00AB729D" w:rsidRDefault="00765077" w:rsidP="00765077">
      <w:pPr>
        <w:spacing w:after="0" w:line="240" w:lineRule="auto"/>
        <w:jc w:val="both"/>
        <w:rPr>
          <w:rFonts w:ascii="Times New Roman" w:eastAsia="Times New Roman" w:hAnsi="Times New Roman"/>
          <w:sz w:val="20"/>
          <w:szCs w:val="20"/>
        </w:rPr>
      </w:pPr>
      <w:bookmarkStart w:id="14" w:name="_Toc474489302"/>
    </w:p>
    <w:p w14:paraId="3B286BD6" w14:textId="05578533" w:rsidR="00765077" w:rsidRPr="00AB729D" w:rsidRDefault="00765077" w:rsidP="00765077">
      <w:pPr>
        <w:spacing w:after="0" w:line="240" w:lineRule="auto"/>
        <w:jc w:val="both"/>
        <w:rPr>
          <w:rFonts w:ascii="Times New Roman" w:eastAsia="Times New Roman" w:hAnsi="Times New Roman"/>
          <w:sz w:val="20"/>
          <w:szCs w:val="20"/>
        </w:rPr>
      </w:pPr>
      <w:r w:rsidRPr="00AB729D">
        <w:rPr>
          <w:rFonts w:ascii="Times New Roman" w:eastAsia="Times New Roman" w:hAnsi="Times New Roman"/>
          <w:sz w:val="20"/>
          <w:szCs w:val="20"/>
        </w:rPr>
        <w:t>This table presents the findings of the fixed-effect regressions. The dependent variable is EXVRI</w:t>
      </w:r>
      <w:r w:rsidR="00847515" w:rsidRPr="00AB729D">
        <w:rPr>
          <w:rFonts w:ascii="Times New Roman" w:eastAsia="Times New Roman" w:hAnsi="Times New Roman"/>
          <w:sz w:val="20"/>
          <w:szCs w:val="20"/>
        </w:rPr>
        <w:t xml:space="preserve"> which is the absolute value of the natural log of the ratio between the stock price and its intrinsic value from the Ohlson’s (1995) residual income value approach. EXVRI = Ln[Price / I(V)], where Price is the stock price at the end of June of each year from CRSP, and I(V) is intrinsic value using the residual income model (Ohlson, 1995) and median values of analysts’ forecasts issued in June, as in Frankel and Lee (1998). </w:t>
      </w:r>
      <w:r w:rsidRPr="00AB729D">
        <w:rPr>
          <w:rFonts w:ascii="Times New Roman" w:eastAsia="Times New Roman" w:hAnsi="Times New Roman"/>
          <w:sz w:val="20"/>
          <w:szCs w:val="20"/>
        </w:rPr>
        <w:t xml:space="preserve"> The variables are defined in Table 2. T-statistics are reported in parentheses. *, **, *** represent statistical significance at the 10%, 5% and 1% level, respectively.</w:t>
      </w:r>
    </w:p>
    <w:p w14:paraId="28B6F403" w14:textId="1B48E4E7" w:rsidR="00765077" w:rsidRPr="00AB729D" w:rsidRDefault="00765077" w:rsidP="00765077"/>
    <w:p w14:paraId="56823BCC" w14:textId="77777777" w:rsidR="00765077" w:rsidRPr="00AB729D" w:rsidRDefault="00765077">
      <w:pPr>
        <w:spacing w:after="160" w:line="259" w:lineRule="auto"/>
      </w:pPr>
      <w:r w:rsidRPr="00AB729D">
        <w:br w:type="page"/>
      </w:r>
    </w:p>
    <w:tbl>
      <w:tblPr>
        <w:tblW w:w="10704" w:type="dxa"/>
        <w:jc w:val="center"/>
        <w:tblLook w:val="04A0" w:firstRow="1" w:lastRow="0" w:firstColumn="1" w:lastColumn="0" w:noHBand="0" w:noVBand="1"/>
      </w:tblPr>
      <w:tblGrid>
        <w:gridCol w:w="1217"/>
        <w:gridCol w:w="1118"/>
        <w:gridCol w:w="1118"/>
        <w:gridCol w:w="943"/>
        <w:gridCol w:w="1196"/>
        <w:gridCol w:w="1196"/>
        <w:gridCol w:w="980"/>
        <w:gridCol w:w="980"/>
        <w:gridCol w:w="980"/>
        <w:gridCol w:w="976"/>
      </w:tblGrid>
      <w:tr w:rsidR="00CA61FB" w:rsidRPr="00AB729D" w14:paraId="7A4DAD92" w14:textId="77777777" w:rsidTr="00CA61FB">
        <w:trPr>
          <w:trHeight w:val="312"/>
          <w:jc w:val="center"/>
        </w:trPr>
        <w:tc>
          <w:tcPr>
            <w:tcW w:w="4396" w:type="dxa"/>
            <w:gridSpan w:val="4"/>
            <w:tcBorders>
              <w:top w:val="nil"/>
              <w:left w:val="nil"/>
              <w:bottom w:val="nil"/>
              <w:right w:val="nil"/>
            </w:tcBorders>
            <w:shd w:val="clear" w:color="auto" w:fill="auto"/>
            <w:noWrap/>
            <w:vAlign w:val="bottom"/>
            <w:hideMark/>
          </w:tcPr>
          <w:p w14:paraId="6A5CD372" w14:textId="77777777" w:rsidR="00CA61FB" w:rsidRPr="00AB729D" w:rsidRDefault="00CA61FB" w:rsidP="00CA61FB">
            <w:pPr>
              <w:spacing w:after="0" w:line="240" w:lineRule="auto"/>
              <w:rPr>
                <w:rFonts w:ascii="Times New Roman" w:eastAsia="Times New Roman" w:hAnsi="Times New Roman"/>
                <w:b/>
                <w:bCs/>
                <w:color w:val="000000"/>
                <w:sz w:val="20"/>
                <w:szCs w:val="20"/>
              </w:rPr>
            </w:pPr>
            <w:r w:rsidRPr="00AB729D">
              <w:rPr>
                <w:rFonts w:ascii="Times New Roman" w:eastAsia="Times New Roman" w:hAnsi="Times New Roman"/>
                <w:b/>
                <w:bCs/>
                <w:color w:val="000000"/>
                <w:sz w:val="20"/>
                <w:szCs w:val="20"/>
              </w:rPr>
              <w:lastRenderedPageBreak/>
              <w:t>Table 12 - Fixed-effect Regressions</w:t>
            </w:r>
          </w:p>
        </w:tc>
        <w:tc>
          <w:tcPr>
            <w:tcW w:w="1196" w:type="dxa"/>
            <w:tcBorders>
              <w:top w:val="nil"/>
              <w:left w:val="nil"/>
              <w:bottom w:val="nil"/>
              <w:right w:val="nil"/>
            </w:tcBorders>
            <w:shd w:val="clear" w:color="auto" w:fill="auto"/>
            <w:noWrap/>
            <w:vAlign w:val="bottom"/>
            <w:hideMark/>
          </w:tcPr>
          <w:p w14:paraId="0628AA43" w14:textId="77777777" w:rsidR="00CA61FB" w:rsidRPr="00AB729D" w:rsidRDefault="00CA61FB" w:rsidP="00CA61FB">
            <w:pPr>
              <w:spacing w:after="0" w:line="240" w:lineRule="auto"/>
              <w:rPr>
                <w:rFonts w:ascii="Times New Roman" w:eastAsia="Times New Roman" w:hAnsi="Times New Roman"/>
                <w:b/>
                <w:bCs/>
                <w:color w:val="000000"/>
                <w:sz w:val="20"/>
                <w:szCs w:val="20"/>
              </w:rPr>
            </w:pPr>
          </w:p>
        </w:tc>
        <w:tc>
          <w:tcPr>
            <w:tcW w:w="1196" w:type="dxa"/>
            <w:tcBorders>
              <w:top w:val="nil"/>
              <w:left w:val="nil"/>
              <w:bottom w:val="nil"/>
              <w:right w:val="nil"/>
            </w:tcBorders>
            <w:shd w:val="clear" w:color="auto" w:fill="auto"/>
            <w:noWrap/>
            <w:vAlign w:val="bottom"/>
            <w:hideMark/>
          </w:tcPr>
          <w:p w14:paraId="61188AC1"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58FF3B8"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E859901"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664BC049"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031C935B"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4112E325" w14:textId="77777777" w:rsidTr="00CA61FB">
        <w:trPr>
          <w:trHeight w:val="312"/>
          <w:jc w:val="center"/>
        </w:trPr>
        <w:tc>
          <w:tcPr>
            <w:tcW w:w="2335" w:type="dxa"/>
            <w:gridSpan w:val="2"/>
            <w:tcBorders>
              <w:top w:val="nil"/>
              <w:left w:val="nil"/>
              <w:bottom w:val="nil"/>
              <w:right w:val="nil"/>
            </w:tcBorders>
            <w:shd w:val="clear" w:color="auto" w:fill="auto"/>
            <w:noWrap/>
            <w:vAlign w:val="bottom"/>
            <w:hideMark/>
          </w:tcPr>
          <w:p w14:paraId="1108BDFE" w14:textId="77777777" w:rsidR="00CA61FB" w:rsidRPr="00AB729D" w:rsidRDefault="00CA61FB" w:rsidP="00CA61FB">
            <w:pPr>
              <w:spacing w:after="0" w:line="240" w:lineRule="auto"/>
              <w:rPr>
                <w:rFonts w:ascii="Times New Roman" w:eastAsia="Times New Roman" w:hAnsi="Times New Roman"/>
                <w:b/>
                <w:bCs/>
                <w:color w:val="000000"/>
                <w:sz w:val="20"/>
                <w:szCs w:val="20"/>
              </w:rPr>
            </w:pPr>
            <w:r w:rsidRPr="00AB729D">
              <w:rPr>
                <w:rFonts w:ascii="Times New Roman" w:eastAsia="Times New Roman" w:hAnsi="Times New Roman"/>
                <w:b/>
                <w:bCs/>
                <w:color w:val="000000"/>
                <w:sz w:val="20"/>
                <w:szCs w:val="20"/>
              </w:rPr>
              <w:t>Panel A: 1981-1990</w:t>
            </w:r>
          </w:p>
        </w:tc>
        <w:tc>
          <w:tcPr>
            <w:tcW w:w="1118" w:type="dxa"/>
            <w:tcBorders>
              <w:top w:val="nil"/>
              <w:left w:val="nil"/>
              <w:bottom w:val="nil"/>
              <w:right w:val="nil"/>
            </w:tcBorders>
            <w:shd w:val="clear" w:color="auto" w:fill="auto"/>
            <w:noWrap/>
            <w:vAlign w:val="bottom"/>
            <w:hideMark/>
          </w:tcPr>
          <w:p w14:paraId="176D7EBC" w14:textId="77777777" w:rsidR="00CA61FB" w:rsidRPr="00AB729D" w:rsidRDefault="00CA61FB" w:rsidP="00CA61FB">
            <w:pPr>
              <w:spacing w:after="0" w:line="240" w:lineRule="auto"/>
              <w:rPr>
                <w:rFonts w:ascii="Times New Roman" w:eastAsia="Times New Roman" w:hAnsi="Times New Roman"/>
                <w:b/>
                <w:bCs/>
                <w:color w:val="000000"/>
                <w:sz w:val="20"/>
                <w:szCs w:val="20"/>
              </w:rPr>
            </w:pPr>
          </w:p>
        </w:tc>
        <w:tc>
          <w:tcPr>
            <w:tcW w:w="943" w:type="dxa"/>
            <w:tcBorders>
              <w:top w:val="nil"/>
              <w:left w:val="nil"/>
              <w:bottom w:val="nil"/>
              <w:right w:val="nil"/>
            </w:tcBorders>
            <w:shd w:val="clear" w:color="auto" w:fill="auto"/>
            <w:noWrap/>
            <w:vAlign w:val="bottom"/>
            <w:hideMark/>
          </w:tcPr>
          <w:p w14:paraId="5EA3B462"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494BF562"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02118C05" w14:textId="77777777" w:rsidR="00CA61FB" w:rsidRPr="00AB729D" w:rsidRDefault="00CA61FB" w:rsidP="00CA61FB">
            <w:pPr>
              <w:spacing w:after="0" w:line="240" w:lineRule="auto"/>
              <w:rPr>
                <w:rFonts w:ascii="Times New Roman" w:eastAsia="Times New Roman" w:hAnsi="Times New Roman"/>
                <w:sz w:val="20"/>
                <w:szCs w:val="20"/>
              </w:rPr>
            </w:pPr>
          </w:p>
        </w:tc>
        <w:tc>
          <w:tcPr>
            <w:tcW w:w="2940" w:type="dxa"/>
            <w:gridSpan w:val="3"/>
            <w:tcBorders>
              <w:top w:val="nil"/>
              <w:left w:val="nil"/>
              <w:bottom w:val="nil"/>
              <w:right w:val="nil"/>
            </w:tcBorders>
            <w:shd w:val="clear" w:color="auto" w:fill="auto"/>
            <w:noWrap/>
            <w:vAlign w:val="bottom"/>
            <w:hideMark/>
          </w:tcPr>
          <w:p w14:paraId="76354001" w14:textId="77777777" w:rsidR="00CA61FB" w:rsidRPr="00AB729D" w:rsidRDefault="00CA61FB" w:rsidP="00CA61FB">
            <w:pPr>
              <w:spacing w:after="0" w:line="240" w:lineRule="auto"/>
              <w:rPr>
                <w:rFonts w:ascii="Times New Roman" w:eastAsia="Times New Roman" w:hAnsi="Times New Roman"/>
                <w:b/>
                <w:bCs/>
                <w:color w:val="000000"/>
                <w:sz w:val="20"/>
                <w:szCs w:val="20"/>
              </w:rPr>
            </w:pPr>
            <w:r w:rsidRPr="00AB729D">
              <w:rPr>
                <w:rFonts w:ascii="Times New Roman" w:eastAsia="Times New Roman" w:hAnsi="Times New Roman"/>
                <w:b/>
                <w:bCs/>
                <w:color w:val="000000"/>
                <w:sz w:val="20"/>
                <w:szCs w:val="20"/>
              </w:rPr>
              <w:t>Panel D: 2001-2007</w:t>
            </w:r>
          </w:p>
        </w:tc>
        <w:tc>
          <w:tcPr>
            <w:tcW w:w="976" w:type="dxa"/>
            <w:tcBorders>
              <w:top w:val="nil"/>
              <w:left w:val="nil"/>
              <w:bottom w:val="nil"/>
              <w:right w:val="nil"/>
            </w:tcBorders>
            <w:shd w:val="clear" w:color="auto" w:fill="auto"/>
            <w:noWrap/>
            <w:vAlign w:val="bottom"/>
            <w:hideMark/>
          </w:tcPr>
          <w:p w14:paraId="73E55C4D" w14:textId="77777777" w:rsidR="00CA61FB" w:rsidRPr="00AB729D" w:rsidRDefault="00CA61FB" w:rsidP="00CA61FB">
            <w:pPr>
              <w:spacing w:after="0" w:line="240" w:lineRule="auto"/>
              <w:rPr>
                <w:rFonts w:ascii="Times New Roman" w:eastAsia="Times New Roman" w:hAnsi="Times New Roman"/>
                <w:b/>
                <w:bCs/>
                <w:color w:val="000000"/>
                <w:sz w:val="20"/>
                <w:szCs w:val="20"/>
              </w:rPr>
            </w:pPr>
          </w:p>
        </w:tc>
      </w:tr>
      <w:tr w:rsidR="00CA61FB" w:rsidRPr="00AB729D" w14:paraId="3CC2305A" w14:textId="77777777" w:rsidTr="00CA61FB">
        <w:trPr>
          <w:trHeight w:val="312"/>
          <w:jc w:val="center"/>
        </w:trPr>
        <w:tc>
          <w:tcPr>
            <w:tcW w:w="1217" w:type="dxa"/>
            <w:tcBorders>
              <w:top w:val="single" w:sz="4" w:space="0" w:color="auto"/>
              <w:left w:val="nil"/>
              <w:bottom w:val="nil"/>
              <w:right w:val="nil"/>
            </w:tcBorders>
            <w:shd w:val="clear" w:color="auto" w:fill="auto"/>
            <w:noWrap/>
            <w:vAlign w:val="bottom"/>
            <w:hideMark/>
          </w:tcPr>
          <w:p w14:paraId="0CA0CEF2"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w:t>
            </w:r>
          </w:p>
        </w:tc>
        <w:tc>
          <w:tcPr>
            <w:tcW w:w="1118" w:type="dxa"/>
            <w:tcBorders>
              <w:top w:val="single" w:sz="4" w:space="0" w:color="auto"/>
              <w:left w:val="nil"/>
              <w:bottom w:val="nil"/>
              <w:right w:val="nil"/>
            </w:tcBorders>
            <w:shd w:val="clear" w:color="auto" w:fill="auto"/>
            <w:noWrap/>
            <w:vAlign w:val="bottom"/>
            <w:hideMark/>
          </w:tcPr>
          <w:p w14:paraId="102FDED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18" w:type="dxa"/>
            <w:tcBorders>
              <w:top w:val="single" w:sz="4" w:space="0" w:color="auto"/>
              <w:left w:val="nil"/>
              <w:bottom w:val="nil"/>
              <w:right w:val="nil"/>
            </w:tcBorders>
            <w:shd w:val="clear" w:color="auto" w:fill="auto"/>
            <w:noWrap/>
            <w:vAlign w:val="bottom"/>
            <w:hideMark/>
          </w:tcPr>
          <w:p w14:paraId="178508D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43" w:type="dxa"/>
            <w:tcBorders>
              <w:top w:val="single" w:sz="4" w:space="0" w:color="auto"/>
              <w:left w:val="nil"/>
              <w:bottom w:val="nil"/>
              <w:right w:val="nil"/>
            </w:tcBorders>
            <w:shd w:val="clear" w:color="auto" w:fill="auto"/>
            <w:noWrap/>
            <w:vAlign w:val="bottom"/>
            <w:hideMark/>
          </w:tcPr>
          <w:p w14:paraId="65B204E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96" w:type="dxa"/>
            <w:tcBorders>
              <w:top w:val="single" w:sz="4" w:space="0" w:color="auto"/>
              <w:left w:val="nil"/>
              <w:bottom w:val="nil"/>
              <w:right w:val="nil"/>
            </w:tcBorders>
            <w:shd w:val="clear" w:color="auto" w:fill="auto"/>
            <w:noWrap/>
            <w:vAlign w:val="bottom"/>
            <w:hideMark/>
          </w:tcPr>
          <w:p w14:paraId="79735DC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96" w:type="dxa"/>
            <w:tcBorders>
              <w:top w:val="nil"/>
              <w:left w:val="nil"/>
              <w:bottom w:val="nil"/>
              <w:right w:val="nil"/>
            </w:tcBorders>
            <w:shd w:val="clear" w:color="auto" w:fill="auto"/>
            <w:noWrap/>
            <w:vAlign w:val="bottom"/>
            <w:hideMark/>
          </w:tcPr>
          <w:p w14:paraId="59E23E5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single" w:sz="4" w:space="0" w:color="auto"/>
              <w:left w:val="nil"/>
              <w:bottom w:val="nil"/>
              <w:right w:val="nil"/>
            </w:tcBorders>
            <w:shd w:val="clear" w:color="auto" w:fill="auto"/>
            <w:noWrap/>
            <w:vAlign w:val="bottom"/>
            <w:hideMark/>
          </w:tcPr>
          <w:p w14:paraId="577D6FC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80" w:type="dxa"/>
            <w:tcBorders>
              <w:top w:val="single" w:sz="4" w:space="0" w:color="auto"/>
              <w:left w:val="nil"/>
              <w:bottom w:val="nil"/>
              <w:right w:val="nil"/>
            </w:tcBorders>
            <w:shd w:val="clear" w:color="auto" w:fill="auto"/>
            <w:noWrap/>
            <w:vAlign w:val="bottom"/>
            <w:hideMark/>
          </w:tcPr>
          <w:p w14:paraId="02363B0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80" w:type="dxa"/>
            <w:tcBorders>
              <w:top w:val="single" w:sz="4" w:space="0" w:color="auto"/>
              <w:left w:val="nil"/>
              <w:bottom w:val="nil"/>
              <w:right w:val="nil"/>
            </w:tcBorders>
            <w:shd w:val="clear" w:color="auto" w:fill="auto"/>
            <w:noWrap/>
            <w:vAlign w:val="bottom"/>
            <w:hideMark/>
          </w:tcPr>
          <w:p w14:paraId="758245B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76" w:type="dxa"/>
            <w:tcBorders>
              <w:top w:val="single" w:sz="4" w:space="0" w:color="auto"/>
              <w:left w:val="nil"/>
              <w:bottom w:val="nil"/>
              <w:right w:val="nil"/>
            </w:tcBorders>
            <w:shd w:val="clear" w:color="auto" w:fill="auto"/>
            <w:noWrap/>
            <w:vAlign w:val="bottom"/>
            <w:hideMark/>
          </w:tcPr>
          <w:p w14:paraId="21B8773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r>
      <w:tr w:rsidR="00CA61FB" w:rsidRPr="00AB729D" w14:paraId="057A09AB" w14:textId="77777777" w:rsidTr="00CA61FB">
        <w:trPr>
          <w:trHeight w:val="312"/>
          <w:jc w:val="center"/>
        </w:trPr>
        <w:tc>
          <w:tcPr>
            <w:tcW w:w="1217" w:type="dxa"/>
            <w:tcBorders>
              <w:top w:val="nil"/>
              <w:left w:val="nil"/>
              <w:bottom w:val="single" w:sz="4" w:space="0" w:color="auto"/>
              <w:right w:val="nil"/>
            </w:tcBorders>
            <w:shd w:val="clear" w:color="auto" w:fill="auto"/>
            <w:noWrap/>
            <w:vAlign w:val="bottom"/>
            <w:hideMark/>
          </w:tcPr>
          <w:p w14:paraId="00C5CF74"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w:t>
            </w:r>
          </w:p>
        </w:tc>
        <w:tc>
          <w:tcPr>
            <w:tcW w:w="1118" w:type="dxa"/>
            <w:tcBorders>
              <w:top w:val="nil"/>
              <w:left w:val="nil"/>
              <w:bottom w:val="single" w:sz="4" w:space="0" w:color="auto"/>
              <w:right w:val="nil"/>
            </w:tcBorders>
            <w:shd w:val="clear" w:color="auto" w:fill="auto"/>
            <w:noWrap/>
            <w:vAlign w:val="bottom"/>
            <w:hideMark/>
          </w:tcPr>
          <w:p w14:paraId="3FB4580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w:t>
            </w:r>
          </w:p>
        </w:tc>
        <w:tc>
          <w:tcPr>
            <w:tcW w:w="1118" w:type="dxa"/>
            <w:tcBorders>
              <w:top w:val="nil"/>
              <w:left w:val="nil"/>
              <w:bottom w:val="single" w:sz="4" w:space="0" w:color="auto"/>
              <w:right w:val="nil"/>
            </w:tcBorders>
            <w:shd w:val="clear" w:color="auto" w:fill="auto"/>
            <w:noWrap/>
            <w:vAlign w:val="bottom"/>
            <w:hideMark/>
          </w:tcPr>
          <w:p w14:paraId="04A2CC6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w:t>
            </w:r>
          </w:p>
        </w:tc>
        <w:tc>
          <w:tcPr>
            <w:tcW w:w="943" w:type="dxa"/>
            <w:tcBorders>
              <w:top w:val="nil"/>
              <w:left w:val="nil"/>
              <w:bottom w:val="single" w:sz="4" w:space="0" w:color="auto"/>
              <w:right w:val="nil"/>
            </w:tcBorders>
            <w:shd w:val="clear" w:color="auto" w:fill="auto"/>
            <w:noWrap/>
            <w:vAlign w:val="bottom"/>
            <w:hideMark/>
          </w:tcPr>
          <w:p w14:paraId="748977D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(3)</w:t>
            </w:r>
          </w:p>
        </w:tc>
        <w:tc>
          <w:tcPr>
            <w:tcW w:w="1196" w:type="dxa"/>
            <w:tcBorders>
              <w:top w:val="nil"/>
              <w:left w:val="nil"/>
              <w:bottom w:val="single" w:sz="4" w:space="0" w:color="auto"/>
              <w:right w:val="nil"/>
            </w:tcBorders>
            <w:shd w:val="clear" w:color="auto" w:fill="auto"/>
            <w:noWrap/>
            <w:vAlign w:val="bottom"/>
            <w:hideMark/>
          </w:tcPr>
          <w:p w14:paraId="58C86CA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w:t>
            </w:r>
          </w:p>
        </w:tc>
        <w:tc>
          <w:tcPr>
            <w:tcW w:w="1196" w:type="dxa"/>
            <w:tcBorders>
              <w:top w:val="nil"/>
              <w:left w:val="nil"/>
              <w:bottom w:val="nil"/>
              <w:right w:val="nil"/>
            </w:tcBorders>
            <w:shd w:val="clear" w:color="auto" w:fill="auto"/>
            <w:noWrap/>
            <w:vAlign w:val="bottom"/>
            <w:hideMark/>
          </w:tcPr>
          <w:p w14:paraId="1BFDC10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single" w:sz="4" w:space="0" w:color="auto"/>
              <w:right w:val="nil"/>
            </w:tcBorders>
            <w:shd w:val="clear" w:color="auto" w:fill="auto"/>
            <w:noWrap/>
            <w:vAlign w:val="bottom"/>
            <w:hideMark/>
          </w:tcPr>
          <w:p w14:paraId="70E3DCE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w:t>
            </w:r>
          </w:p>
        </w:tc>
        <w:tc>
          <w:tcPr>
            <w:tcW w:w="980" w:type="dxa"/>
            <w:tcBorders>
              <w:top w:val="nil"/>
              <w:left w:val="nil"/>
              <w:bottom w:val="single" w:sz="4" w:space="0" w:color="auto"/>
              <w:right w:val="nil"/>
            </w:tcBorders>
            <w:shd w:val="clear" w:color="auto" w:fill="auto"/>
            <w:noWrap/>
            <w:vAlign w:val="bottom"/>
            <w:hideMark/>
          </w:tcPr>
          <w:p w14:paraId="709E40D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w:t>
            </w:r>
          </w:p>
        </w:tc>
        <w:tc>
          <w:tcPr>
            <w:tcW w:w="980" w:type="dxa"/>
            <w:tcBorders>
              <w:top w:val="nil"/>
              <w:left w:val="nil"/>
              <w:bottom w:val="single" w:sz="4" w:space="0" w:color="auto"/>
              <w:right w:val="nil"/>
            </w:tcBorders>
            <w:shd w:val="clear" w:color="auto" w:fill="auto"/>
            <w:noWrap/>
            <w:vAlign w:val="bottom"/>
            <w:hideMark/>
          </w:tcPr>
          <w:p w14:paraId="022A577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(3)</w:t>
            </w:r>
          </w:p>
        </w:tc>
        <w:tc>
          <w:tcPr>
            <w:tcW w:w="976" w:type="dxa"/>
            <w:tcBorders>
              <w:top w:val="nil"/>
              <w:left w:val="nil"/>
              <w:bottom w:val="single" w:sz="4" w:space="0" w:color="auto"/>
              <w:right w:val="nil"/>
            </w:tcBorders>
            <w:shd w:val="clear" w:color="auto" w:fill="auto"/>
            <w:noWrap/>
            <w:vAlign w:val="bottom"/>
            <w:hideMark/>
          </w:tcPr>
          <w:p w14:paraId="2D6B391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w:t>
            </w:r>
          </w:p>
        </w:tc>
      </w:tr>
      <w:tr w:rsidR="00CA61FB" w:rsidRPr="00AB729D" w14:paraId="7BD425BB"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35D1953A"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IOV</w:t>
            </w:r>
          </w:p>
        </w:tc>
        <w:tc>
          <w:tcPr>
            <w:tcW w:w="1118" w:type="dxa"/>
            <w:tcBorders>
              <w:top w:val="nil"/>
              <w:left w:val="nil"/>
              <w:bottom w:val="nil"/>
              <w:right w:val="nil"/>
            </w:tcBorders>
            <w:shd w:val="clear" w:color="auto" w:fill="auto"/>
            <w:noWrap/>
            <w:vAlign w:val="bottom"/>
            <w:hideMark/>
          </w:tcPr>
          <w:p w14:paraId="44569D1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-0.154</w:t>
            </w:r>
          </w:p>
        </w:tc>
        <w:tc>
          <w:tcPr>
            <w:tcW w:w="1118" w:type="dxa"/>
            <w:tcBorders>
              <w:top w:val="nil"/>
              <w:left w:val="nil"/>
              <w:bottom w:val="nil"/>
              <w:right w:val="nil"/>
            </w:tcBorders>
            <w:shd w:val="clear" w:color="auto" w:fill="auto"/>
            <w:noWrap/>
            <w:vAlign w:val="bottom"/>
            <w:hideMark/>
          </w:tcPr>
          <w:p w14:paraId="49D4B4E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002DA57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231970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37AD3D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A1E86B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-0.262</w:t>
            </w:r>
          </w:p>
        </w:tc>
        <w:tc>
          <w:tcPr>
            <w:tcW w:w="980" w:type="dxa"/>
            <w:tcBorders>
              <w:top w:val="nil"/>
              <w:left w:val="nil"/>
              <w:bottom w:val="nil"/>
              <w:right w:val="nil"/>
            </w:tcBorders>
            <w:shd w:val="clear" w:color="auto" w:fill="auto"/>
            <w:noWrap/>
            <w:vAlign w:val="bottom"/>
            <w:hideMark/>
          </w:tcPr>
          <w:p w14:paraId="10224A8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0E92248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178F9F0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19B3A62C"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14B8698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01B4230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(-0.278)</w:t>
            </w:r>
          </w:p>
        </w:tc>
        <w:tc>
          <w:tcPr>
            <w:tcW w:w="1118" w:type="dxa"/>
            <w:tcBorders>
              <w:top w:val="nil"/>
              <w:left w:val="nil"/>
              <w:bottom w:val="nil"/>
              <w:right w:val="nil"/>
            </w:tcBorders>
            <w:shd w:val="clear" w:color="auto" w:fill="auto"/>
            <w:noWrap/>
            <w:vAlign w:val="bottom"/>
            <w:hideMark/>
          </w:tcPr>
          <w:p w14:paraId="76AF861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46B94C4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4DAFF15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1C9B31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61E8BDE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(-0.444)</w:t>
            </w:r>
          </w:p>
        </w:tc>
        <w:tc>
          <w:tcPr>
            <w:tcW w:w="980" w:type="dxa"/>
            <w:tcBorders>
              <w:top w:val="nil"/>
              <w:left w:val="nil"/>
              <w:bottom w:val="nil"/>
              <w:right w:val="nil"/>
            </w:tcBorders>
            <w:shd w:val="clear" w:color="auto" w:fill="auto"/>
            <w:noWrap/>
            <w:vAlign w:val="bottom"/>
            <w:hideMark/>
          </w:tcPr>
          <w:p w14:paraId="38C9BEC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2EA7AD4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71B0763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196C155F"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1BFAB470"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PROP</w:t>
            </w:r>
          </w:p>
        </w:tc>
        <w:tc>
          <w:tcPr>
            <w:tcW w:w="1118" w:type="dxa"/>
            <w:tcBorders>
              <w:top w:val="nil"/>
              <w:left w:val="nil"/>
              <w:bottom w:val="nil"/>
              <w:right w:val="nil"/>
            </w:tcBorders>
            <w:shd w:val="clear" w:color="auto" w:fill="auto"/>
            <w:noWrap/>
            <w:vAlign w:val="bottom"/>
            <w:hideMark/>
          </w:tcPr>
          <w:p w14:paraId="7BE8E6F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-0.198***</w:t>
            </w:r>
          </w:p>
        </w:tc>
        <w:tc>
          <w:tcPr>
            <w:tcW w:w="1118" w:type="dxa"/>
            <w:tcBorders>
              <w:top w:val="nil"/>
              <w:left w:val="nil"/>
              <w:bottom w:val="nil"/>
              <w:right w:val="nil"/>
            </w:tcBorders>
            <w:shd w:val="clear" w:color="auto" w:fill="auto"/>
            <w:noWrap/>
            <w:vAlign w:val="bottom"/>
            <w:hideMark/>
          </w:tcPr>
          <w:p w14:paraId="30F2112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518933F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179BCEB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4F572F7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EC46C9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-0.080*</w:t>
            </w:r>
          </w:p>
        </w:tc>
        <w:tc>
          <w:tcPr>
            <w:tcW w:w="980" w:type="dxa"/>
            <w:tcBorders>
              <w:top w:val="nil"/>
              <w:left w:val="nil"/>
              <w:bottom w:val="nil"/>
              <w:right w:val="nil"/>
            </w:tcBorders>
            <w:shd w:val="clear" w:color="auto" w:fill="auto"/>
            <w:noWrap/>
            <w:vAlign w:val="bottom"/>
            <w:hideMark/>
          </w:tcPr>
          <w:p w14:paraId="308631C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273041C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01579E9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50071945"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627CA36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6296374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(-2.782)</w:t>
            </w:r>
          </w:p>
        </w:tc>
        <w:tc>
          <w:tcPr>
            <w:tcW w:w="1118" w:type="dxa"/>
            <w:tcBorders>
              <w:top w:val="nil"/>
              <w:left w:val="nil"/>
              <w:bottom w:val="nil"/>
              <w:right w:val="nil"/>
            </w:tcBorders>
            <w:shd w:val="clear" w:color="auto" w:fill="auto"/>
            <w:noWrap/>
            <w:vAlign w:val="bottom"/>
            <w:hideMark/>
          </w:tcPr>
          <w:p w14:paraId="37D329B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3AF4D8B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5E2A4F3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182D414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1B2D196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(-1.771)</w:t>
            </w:r>
          </w:p>
        </w:tc>
        <w:tc>
          <w:tcPr>
            <w:tcW w:w="980" w:type="dxa"/>
            <w:tcBorders>
              <w:top w:val="nil"/>
              <w:left w:val="nil"/>
              <w:bottom w:val="nil"/>
              <w:right w:val="nil"/>
            </w:tcBorders>
            <w:shd w:val="clear" w:color="auto" w:fill="auto"/>
            <w:noWrap/>
            <w:vAlign w:val="bottom"/>
            <w:hideMark/>
          </w:tcPr>
          <w:p w14:paraId="2C34668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714D0D6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3408C8A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0E70013A"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3B613B0B"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DED</w:t>
            </w:r>
          </w:p>
        </w:tc>
        <w:tc>
          <w:tcPr>
            <w:tcW w:w="1118" w:type="dxa"/>
            <w:tcBorders>
              <w:top w:val="nil"/>
              <w:left w:val="nil"/>
              <w:bottom w:val="nil"/>
              <w:right w:val="nil"/>
            </w:tcBorders>
            <w:shd w:val="clear" w:color="auto" w:fill="auto"/>
            <w:noWrap/>
            <w:vAlign w:val="bottom"/>
            <w:hideMark/>
          </w:tcPr>
          <w:p w14:paraId="1C22D9B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0006BDE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-0.240**</w:t>
            </w:r>
          </w:p>
        </w:tc>
        <w:tc>
          <w:tcPr>
            <w:tcW w:w="943" w:type="dxa"/>
            <w:tcBorders>
              <w:top w:val="nil"/>
              <w:left w:val="nil"/>
              <w:bottom w:val="nil"/>
              <w:right w:val="nil"/>
            </w:tcBorders>
            <w:shd w:val="clear" w:color="auto" w:fill="auto"/>
            <w:noWrap/>
            <w:vAlign w:val="bottom"/>
            <w:hideMark/>
          </w:tcPr>
          <w:p w14:paraId="1DAF6BB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6DC4BC9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2F8434F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DF1AE0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3BAEB78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-0.023</w:t>
            </w:r>
          </w:p>
        </w:tc>
        <w:tc>
          <w:tcPr>
            <w:tcW w:w="980" w:type="dxa"/>
            <w:tcBorders>
              <w:top w:val="nil"/>
              <w:left w:val="nil"/>
              <w:bottom w:val="nil"/>
              <w:right w:val="nil"/>
            </w:tcBorders>
            <w:shd w:val="clear" w:color="auto" w:fill="auto"/>
            <w:noWrap/>
            <w:vAlign w:val="bottom"/>
            <w:hideMark/>
          </w:tcPr>
          <w:p w14:paraId="38C4C19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6F43931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78D8DF21"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79EBD65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678C059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01BEDD6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(-2.491)</w:t>
            </w:r>
          </w:p>
        </w:tc>
        <w:tc>
          <w:tcPr>
            <w:tcW w:w="943" w:type="dxa"/>
            <w:tcBorders>
              <w:top w:val="nil"/>
              <w:left w:val="nil"/>
              <w:bottom w:val="nil"/>
              <w:right w:val="nil"/>
            </w:tcBorders>
            <w:shd w:val="clear" w:color="auto" w:fill="auto"/>
            <w:noWrap/>
            <w:vAlign w:val="bottom"/>
            <w:hideMark/>
          </w:tcPr>
          <w:p w14:paraId="12407BB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4ED6869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16F5B29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6AD1D22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0E7806F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(-0.358)</w:t>
            </w:r>
          </w:p>
        </w:tc>
        <w:tc>
          <w:tcPr>
            <w:tcW w:w="980" w:type="dxa"/>
            <w:tcBorders>
              <w:top w:val="nil"/>
              <w:left w:val="nil"/>
              <w:bottom w:val="nil"/>
              <w:right w:val="nil"/>
            </w:tcBorders>
            <w:shd w:val="clear" w:color="auto" w:fill="auto"/>
            <w:noWrap/>
            <w:vAlign w:val="bottom"/>
            <w:hideMark/>
          </w:tcPr>
          <w:p w14:paraId="2DAF579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3AC0285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1774157D"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32F4FE68"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QIX</w:t>
            </w:r>
          </w:p>
        </w:tc>
        <w:tc>
          <w:tcPr>
            <w:tcW w:w="1118" w:type="dxa"/>
            <w:tcBorders>
              <w:top w:val="nil"/>
              <w:left w:val="nil"/>
              <w:bottom w:val="nil"/>
              <w:right w:val="nil"/>
            </w:tcBorders>
            <w:shd w:val="clear" w:color="auto" w:fill="auto"/>
            <w:noWrap/>
            <w:vAlign w:val="bottom"/>
            <w:hideMark/>
          </w:tcPr>
          <w:p w14:paraId="7BD0BAB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1197DDA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0A1EAA6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-0.054</w:t>
            </w:r>
          </w:p>
        </w:tc>
        <w:tc>
          <w:tcPr>
            <w:tcW w:w="1196" w:type="dxa"/>
            <w:tcBorders>
              <w:top w:val="nil"/>
              <w:left w:val="nil"/>
              <w:bottom w:val="nil"/>
              <w:right w:val="nil"/>
            </w:tcBorders>
            <w:shd w:val="clear" w:color="auto" w:fill="auto"/>
            <w:noWrap/>
            <w:vAlign w:val="bottom"/>
            <w:hideMark/>
          </w:tcPr>
          <w:p w14:paraId="557D0D3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971976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5C9433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2525AE0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3191990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-0.074**</w:t>
            </w:r>
          </w:p>
        </w:tc>
        <w:tc>
          <w:tcPr>
            <w:tcW w:w="976" w:type="dxa"/>
            <w:tcBorders>
              <w:top w:val="nil"/>
              <w:left w:val="nil"/>
              <w:bottom w:val="nil"/>
              <w:right w:val="nil"/>
            </w:tcBorders>
            <w:shd w:val="clear" w:color="auto" w:fill="auto"/>
            <w:noWrap/>
            <w:vAlign w:val="bottom"/>
            <w:hideMark/>
          </w:tcPr>
          <w:p w14:paraId="39A8AFF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621A9ED6"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5B69261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6BE622D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76D40CB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3FF99F2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(-1.080)</w:t>
            </w:r>
          </w:p>
        </w:tc>
        <w:tc>
          <w:tcPr>
            <w:tcW w:w="1196" w:type="dxa"/>
            <w:tcBorders>
              <w:top w:val="nil"/>
              <w:left w:val="nil"/>
              <w:bottom w:val="nil"/>
              <w:right w:val="nil"/>
            </w:tcBorders>
            <w:shd w:val="clear" w:color="auto" w:fill="auto"/>
            <w:noWrap/>
            <w:vAlign w:val="bottom"/>
            <w:hideMark/>
          </w:tcPr>
          <w:p w14:paraId="665A813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91B043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C7DED3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6602A0D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0DE1189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(-2.246)</w:t>
            </w:r>
          </w:p>
        </w:tc>
        <w:tc>
          <w:tcPr>
            <w:tcW w:w="976" w:type="dxa"/>
            <w:tcBorders>
              <w:top w:val="nil"/>
              <w:left w:val="nil"/>
              <w:bottom w:val="nil"/>
              <w:right w:val="nil"/>
            </w:tcBorders>
            <w:shd w:val="clear" w:color="auto" w:fill="auto"/>
            <w:noWrap/>
            <w:vAlign w:val="bottom"/>
            <w:hideMark/>
          </w:tcPr>
          <w:p w14:paraId="0F7A4E4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7890C432"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324C60CB"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TRA</w:t>
            </w:r>
          </w:p>
        </w:tc>
        <w:tc>
          <w:tcPr>
            <w:tcW w:w="1118" w:type="dxa"/>
            <w:tcBorders>
              <w:top w:val="nil"/>
              <w:left w:val="nil"/>
              <w:bottom w:val="nil"/>
              <w:right w:val="nil"/>
            </w:tcBorders>
            <w:shd w:val="clear" w:color="auto" w:fill="auto"/>
            <w:noWrap/>
            <w:vAlign w:val="bottom"/>
            <w:hideMark/>
          </w:tcPr>
          <w:p w14:paraId="372A188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64FC93A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48B9D4A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1C20A44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0.040</w:t>
            </w:r>
          </w:p>
        </w:tc>
        <w:tc>
          <w:tcPr>
            <w:tcW w:w="1196" w:type="dxa"/>
            <w:tcBorders>
              <w:top w:val="nil"/>
              <w:left w:val="nil"/>
              <w:bottom w:val="nil"/>
              <w:right w:val="nil"/>
            </w:tcBorders>
            <w:shd w:val="clear" w:color="auto" w:fill="auto"/>
            <w:noWrap/>
            <w:vAlign w:val="bottom"/>
            <w:hideMark/>
          </w:tcPr>
          <w:p w14:paraId="2B49F5F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F6D6F2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344DF90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2E57041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5B44C6F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0.098**</w:t>
            </w:r>
          </w:p>
        </w:tc>
      </w:tr>
      <w:tr w:rsidR="00CA61FB" w:rsidRPr="00AB729D" w14:paraId="3EB70FAA"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64C3984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3EB63EE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7097EC9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0F5C8AC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6C444B4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(0.466)</w:t>
            </w:r>
          </w:p>
        </w:tc>
        <w:tc>
          <w:tcPr>
            <w:tcW w:w="1196" w:type="dxa"/>
            <w:tcBorders>
              <w:top w:val="nil"/>
              <w:left w:val="nil"/>
              <w:bottom w:val="nil"/>
              <w:right w:val="nil"/>
            </w:tcBorders>
            <w:shd w:val="clear" w:color="auto" w:fill="auto"/>
            <w:noWrap/>
            <w:vAlign w:val="bottom"/>
            <w:hideMark/>
          </w:tcPr>
          <w:p w14:paraId="1309E1D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D294A7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341AD03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03B3645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141D2F9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(2.102)</w:t>
            </w:r>
          </w:p>
        </w:tc>
      </w:tr>
      <w:tr w:rsidR="00CA61FB" w:rsidRPr="00AB729D" w14:paraId="7BBF6816"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0FE0D0DE"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Controls</w:t>
            </w:r>
          </w:p>
        </w:tc>
        <w:tc>
          <w:tcPr>
            <w:tcW w:w="1118" w:type="dxa"/>
            <w:tcBorders>
              <w:top w:val="nil"/>
              <w:left w:val="nil"/>
              <w:bottom w:val="nil"/>
              <w:right w:val="nil"/>
            </w:tcBorders>
            <w:shd w:val="clear" w:color="auto" w:fill="auto"/>
            <w:noWrap/>
            <w:vAlign w:val="bottom"/>
            <w:hideMark/>
          </w:tcPr>
          <w:p w14:paraId="3EB97B8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6CC51B0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60AA905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0A71423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3606DAB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000FC3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00D989A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3481945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76" w:type="dxa"/>
            <w:tcBorders>
              <w:top w:val="nil"/>
              <w:left w:val="nil"/>
              <w:bottom w:val="nil"/>
              <w:right w:val="nil"/>
            </w:tcBorders>
            <w:shd w:val="clear" w:color="auto" w:fill="auto"/>
            <w:noWrap/>
            <w:vAlign w:val="bottom"/>
            <w:hideMark/>
          </w:tcPr>
          <w:p w14:paraId="6A23D56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r>
      <w:tr w:rsidR="00CA61FB" w:rsidRPr="00AB729D" w14:paraId="7BEABB88"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79090009"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xml:space="preserve">Year </w:t>
            </w:r>
          </w:p>
        </w:tc>
        <w:tc>
          <w:tcPr>
            <w:tcW w:w="1118" w:type="dxa"/>
            <w:tcBorders>
              <w:top w:val="nil"/>
              <w:left w:val="nil"/>
              <w:bottom w:val="nil"/>
              <w:right w:val="nil"/>
            </w:tcBorders>
            <w:shd w:val="clear" w:color="auto" w:fill="auto"/>
            <w:noWrap/>
            <w:vAlign w:val="bottom"/>
            <w:hideMark/>
          </w:tcPr>
          <w:p w14:paraId="695356C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3D34CD5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2DB71DB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64FAA58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7EAE106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6B814C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0F01527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40C62A3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76" w:type="dxa"/>
            <w:tcBorders>
              <w:top w:val="nil"/>
              <w:left w:val="nil"/>
              <w:bottom w:val="nil"/>
              <w:right w:val="nil"/>
            </w:tcBorders>
            <w:shd w:val="clear" w:color="auto" w:fill="auto"/>
            <w:noWrap/>
            <w:vAlign w:val="bottom"/>
            <w:hideMark/>
          </w:tcPr>
          <w:p w14:paraId="0D4DC77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r>
      <w:tr w:rsidR="00CA61FB" w:rsidRPr="00AB729D" w14:paraId="6DD2BCEF"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7729484A"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Industry</w:t>
            </w:r>
          </w:p>
        </w:tc>
        <w:tc>
          <w:tcPr>
            <w:tcW w:w="1118" w:type="dxa"/>
            <w:tcBorders>
              <w:top w:val="nil"/>
              <w:left w:val="nil"/>
              <w:bottom w:val="nil"/>
              <w:right w:val="nil"/>
            </w:tcBorders>
            <w:shd w:val="clear" w:color="auto" w:fill="auto"/>
            <w:noWrap/>
            <w:vAlign w:val="bottom"/>
            <w:hideMark/>
          </w:tcPr>
          <w:p w14:paraId="05C730B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45A4199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4375C80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1886E9F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0ACB730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3A082DB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66CE36A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1013332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76" w:type="dxa"/>
            <w:tcBorders>
              <w:top w:val="nil"/>
              <w:left w:val="nil"/>
              <w:bottom w:val="nil"/>
              <w:right w:val="nil"/>
            </w:tcBorders>
            <w:shd w:val="clear" w:color="auto" w:fill="auto"/>
            <w:noWrap/>
            <w:vAlign w:val="bottom"/>
            <w:hideMark/>
          </w:tcPr>
          <w:p w14:paraId="4B9D550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r>
      <w:tr w:rsidR="00CA61FB" w:rsidRPr="00AB729D" w14:paraId="5A91D755"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48A71828"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No. of obs.</w:t>
            </w:r>
          </w:p>
        </w:tc>
        <w:tc>
          <w:tcPr>
            <w:tcW w:w="1118" w:type="dxa"/>
            <w:tcBorders>
              <w:top w:val="nil"/>
              <w:left w:val="nil"/>
              <w:bottom w:val="nil"/>
              <w:right w:val="nil"/>
            </w:tcBorders>
            <w:shd w:val="clear" w:color="auto" w:fill="auto"/>
            <w:noWrap/>
            <w:vAlign w:val="bottom"/>
            <w:hideMark/>
          </w:tcPr>
          <w:p w14:paraId="4D568FC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17,879</w:t>
            </w:r>
          </w:p>
        </w:tc>
        <w:tc>
          <w:tcPr>
            <w:tcW w:w="1118" w:type="dxa"/>
            <w:tcBorders>
              <w:top w:val="nil"/>
              <w:left w:val="nil"/>
              <w:bottom w:val="nil"/>
              <w:right w:val="nil"/>
            </w:tcBorders>
            <w:shd w:val="clear" w:color="auto" w:fill="auto"/>
            <w:noWrap/>
            <w:vAlign w:val="bottom"/>
            <w:hideMark/>
          </w:tcPr>
          <w:p w14:paraId="0CD65F3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17,879</w:t>
            </w:r>
          </w:p>
        </w:tc>
        <w:tc>
          <w:tcPr>
            <w:tcW w:w="943" w:type="dxa"/>
            <w:tcBorders>
              <w:top w:val="nil"/>
              <w:left w:val="nil"/>
              <w:bottom w:val="nil"/>
              <w:right w:val="nil"/>
            </w:tcBorders>
            <w:shd w:val="clear" w:color="auto" w:fill="auto"/>
            <w:noWrap/>
            <w:vAlign w:val="bottom"/>
            <w:hideMark/>
          </w:tcPr>
          <w:p w14:paraId="170FBB5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17,879</w:t>
            </w:r>
          </w:p>
        </w:tc>
        <w:tc>
          <w:tcPr>
            <w:tcW w:w="1196" w:type="dxa"/>
            <w:tcBorders>
              <w:top w:val="nil"/>
              <w:left w:val="nil"/>
              <w:bottom w:val="nil"/>
              <w:right w:val="nil"/>
            </w:tcBorders>
            <w:shd w:val="clear" w:color="auto" w:fill="auto"/>
            <w:noWrap/>
            <w:vAlign w:val="bottom"/>
            <w:hideMark/>
          </w:tcPr>
          <w:p w14:paraId="5192C3D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3,932</w:t>
            </w:r>
          </w:p>
        </w:tc>
        <w:tc>
          <w:tcPr>
            <w:tcW w:w="1196" w:type="dxa"/>
            <w:tcBorders>
              <w:top w:val="nil"/>
              <w:left w:val="nil"/>
              <w:bottom w:val="nil"/>
              <w:right w:val="nil"/>
            </w:tcBorders>
            <w:shd w:val="clear" w:color="auto" w:fill="auto"/>
            <w:noWrap/>
            <w:vAlign w:val="bottom"/>
            <w:hideMark/>
          </w:tcPr>
          <w:p w14:paraId="066FAA4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04E549B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4,717</w:t>
            </w:r>
          </w:p>
        </w:tc>
        <w:tc>
          <w:tcPr>
            <w:tcW w:w="980" w:type="dxa"/>
            <w:tcBorders>
              <w:top w:val="nil"/>
              <w:left w:val="nil"/>
              <w:bottom w:val="nil"/>
              <w:right w:val="nil"/>
            </w:tcBorders>
            <w:shd w:val="clear" w:color="auto" w:fill="auto"/>
            <w:noWrap/>
            <w:vAlign w:val="bottom"/>
            <w:hideMark/>
          </w:tcPr>
          <w:p w14:paraId="6B49504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4,717</w:t>
            </w:r>
          </w:p>
        </w:tc>
        <w:tc>
          <w:tcPr>
            <w:tcW w:w="980" w:type="dxa"/>
            <w:tcBorders>
              <w:top w:val="nil"/>
              <w:left w:val="nil"/>
              <w:bottom w:val="nil"/>
              <w:right w:val="nil"/>
            </w:tcBorders>
            <w:shd w:val="clear" w:color="auto" w:fill="auto"/>
            <w:noWrap/>
            <w:vAlign w:val="bottom"/>
            <w:hideMark/>
          </w:tcPr>
          <w:p w14:paraId="7699EED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4,717</w:t>
            </w:r>
          </w:p>
        </w:tc>
        <w:tc>
          <w:tcPr>
            <w:tcW w:w="976" w:type="dxa"/>
            <w:tcBorders>
              <w:top w:val="nil"/>
              <w:left w:val="nil"/>
              <w:bottom w:val="nil"/>
              <w:right w:val="nil"/>
            </w:tcBorders>
            <w:shd w:val="clear" w:color="auto" w:fill="auto"/>
            <w:noWrap/>
            <w:vAlign w:val="bottom"/>
            <w:hideMark/>
          </w:tcPr>
          <w:p w14:paraId="0A6B89C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4,717</w:t>
            </w:r>
          </w:p>
        </w:tc>
      </w:tr>
      <w:tr w:rsidR="00CA61FB" w:rsidRPr="00AB729D" w14:paraId="4D01D805" w14:textId="77777777" w:rsidTr="00CA61FB">
        <w:trPr>
          <w:trHeight w:val="312"/>
          <w:jc w:val="center"/>
        </w:trPr>
        <w:tc>
          <w:tcPr>
            <w:tcW w:w="1217" w:type="dxa"/>
            <w:tcBorders>
              <w:top w:val="nil"/>
              <w:left w:val="nil"/>
              <w:bottom w:val="single" w:sz="4" w:space="0" w:color="auto"/>
              <w:right w:val="nil"/>
            </w:tcBorders>
            <w:shd w:val="clear" w:color="auto" w:fill="auto"/>
            <w:noWrap/>
            <w:vAlign w:val="bottom"/>
            <w:hideMark/>
          </w:tcPr>
          <w:p w14:paraId="27FEC6A0"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Adj.R2</w:t>
            </w:r>
          </w:p>
        </w:tc>
        <w:tc>
          <w:tcPr>
            <w:tcW w:w="1118" w:type="dxa"/>
            <w:tcBorders>
              <w:top w:val="nil"/>
              <w:left w:val="nil"/>
              <w:bottom w:val="single" w:sz="4" w:space="0" w:color="auto"/>
              <w:right w:val="nil"/>
            </w:tcBorders>
            <w:shd w:val="clear" w:color="auto" w:fill="auto"/>
            <w:noWrap/>
            <w:vAlign w:val="bottom"/>
            <w:hideMark/>
          </w:tcPr>
          <w:p w14:paraId="7416AD6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0.033</w:t>
            </w:r>
          </w:p>
        </w:tc>
        <w:tc>
          <w:tcPr>
            <w:tcW w:w="1118" w:type="dxa"/>
            <w:tcBorders>
              <w:top w:val="nil"/>
              <w:left w:val="nil"/>
              <w:bottom w:val="single" w:sz="4" w:space="0" w:color="auto"/>
              <w:right w:val="nil"/>
            </w:tcBorders>
            <w:shd w:val="clear" w:color="auto" w:fill="auto"/>
            <w:noWrap/>
            <w:vAlign w:val="bottom"/>
            <w:hideMark/>
          </w:tcPr>
          <w:p w14:paraId="250855D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0.033</w:t>
            </w:r>
          </w:p>
        </w:tc>
        <w:tc>
          <w:tcPr>
            <w:tcW w:w="943" w:type="dxa"/>
            <w:tcBorders>
              <w:top w:val="nil"/>
              <w:left w:val="nil"/>
              <w:bottom w:val="single" w:sz="4" w:space="0" w:color="auto"/>
              <w:right w:val="nil"/>
            </w:tcBorders>
            <w:shd w:val="clear" w:color="auto" w:fill="auto"/>
            <w:noWrap/>
            <w:vAlign w:val="bottom"/>
            <w:hideMark/>
          </w:tcPr>
          <w:p w14:paraId="4BD1DCC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0.032</w:t>
            </w:r>
          </w:p>
        </w:tc>
        <w:tc>
          <w:tcPr>
            <w:tcW w:w="1196" w:type="dxa"/>
            <w:tcBorders>
              <w:top w:val="nil"/>
              <w:left w:val="nil"/>
              <w:bottom w:val="single" w:sz="4" w:space="0" w:color="auto"/>
              <w:right w:val="nil"/>
            </w:tcBorders>
            <w:shd w:val="clear" w:color="auto" w:fill="auto"/>
            <w:noWrap/>
            <w:vAlign w:val="bottom"/>
            <w:hideMark/>
          </w:tcPr>
          <w:p w14:paraId="4D0F25D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0.032</w:t>
            </w:r>
          </w:p>
        </w:tc>
        <w:tc>
          <w:tcPr>
            <w:tcW w:w="1196" w:type="dxa"/>
            <w:tcBorders>
              <w:top w:val="nil"/>
              <w:left w:val="nil"/>
              <w:bottom w:val="nil"/>
              <w:right w:val="nil"/>
            </w:tcBorders>
            <w:shd w:val="clear" w:color="auto" w:fill="auto"/>
            <w:noWrap/>
            <w:vAlign w:val="bottom"/>
            <w:hideMark/>
          </w:tcPr>
          <w:p w14:paraId="592C873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single" w:sz="4" w:space="0" w:color="auto"/>
              <w:right w:val="nil"/>
            </w:tcBorders>
            <w:shd w:val="clear" w:color="auto" w:fill="auto"/>
            <w:noWrap/>
            <w:vAlign w:val="bottom"/>
            <w:hideMark/>
          </w:tcPr>
          <w:p w14:paraId="1C4D4E4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0.055</w:t>
            </w:r>
          </w:p>
        </w:tc>
        <w:tc>
          <w:tcPr>
            <w:tcW w:w="980" w:type="dxa"/>
            <w:tcBorders>
              <w:top w:val="nil"/>
              <w:left w:val="nil"/>
              <w:bottom w:val="single" w:sz="4" w:space="0" w:color="auto"/>
              <w:right w:val="nil"/>
            </w:tcBorders>
            <w:shd w:val="clear" w:color="auto" w:fill="auto"/>
            <w:noWrap/>
            <w:vAlign w:val="bottom"/>
            <w:hideMark/>
          </w:tcPr>
          <w:p w14:paraId="5CC1FF0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0.055</w:t>
            </w:r>
          </w:p>
        </w:tc>
        <w:tc>
          <w:tcPr>
            <w:tcW w:w="980" w:type="dxa"/>
            <w:tcBorders>
              <w:top w:val="nil"/>
              <w:left w:val="nil"/>
              <w:bottom w:val="single" w:sz="4" w:space="0" w:color="auto"/>
              <w:right w:val="nil"/>
            </w:tcBorders>
            <w:shd w:val="clear" w:color="auto" w:fill="auto"/>
            <w:noWrap/>
            <w:vAlign w:val="bottom"/>
            <w:hideMark/>
          </w:tcPr>
          <w:p w14:paraId="19623AB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0.055</w:t>
            </w:r>
          </w:p>
        </w:tc>
        <w:tc>
          <w:tcPr>
            <w:tcW w:w="976" w:type="dxa"/>
            <w:tcBorders>
              <w:top w:val="nil"/>
              <w:left w:val="nil"/>
              <w:bottom w:val="single" w:sz="4" w:space="0" w:color="auto"/>
              <w:right w:val="nil"/>
            </w:tcBorders>
            <w:shd w:val="clear" w:color="auto" w:fill="auto"/>
            <w:noWrap/>
            <w:vAlign w:val="bottom"/>
            <w:hideMark/>
          </w:tcPr>
          <w:p w14:paraId="6874342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0.055</w:t>
            </w:r>
          </w:p>
        </w:tc>
      </w:tr>
      <w:tr w:rsidR="00CA61FB" w:rsidRPr="00AB729D" w14:paraId="657E20E0"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5AC90A7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6DA3381E" w14:textId="77777777" w:rsidR="00CA61FB" w:rsidRPr="00AB729D" w:rsidRDefault="00CA61FB" w:rsidP="00CA61FB">
            <w:pPr>
              <w:spacing w:after="0" w:line="240" w:lineRule="auto"/>
              <w:rPr>
                <w:rFonts w:ascii="Times New Roman" w:eastAsia="Times New Roman" w:hAnsi="Times New Roman"/>
                <w:sz w:val="20"/>
                <w:szCs w:val="20"/>
              </w:rPr>
            </w:pPr>
          </w:p>
        </w:tc>
        <w:tc>
          <w:tcPr>
            <w:tcW w:w="1118" w:type="dxa"/>
            <w:tcBorders>
              <w:top w:val="nil"/>
              <w:left w:val="nil"/>
              <w:bottom w:val="nil"/>
              <w:right w:val="nil"/>
            </w:tcBorders>
            <w:shd w:val="clear" w:color="auto" w:fill="auto"/>
            <w:noWrap/>
            <w:vAlign w:val="bottom"/>
            <w:hideMark/>
          </w:tcPr>
          <w:p w14:paraId="29ACBC47" w14:textId="77777777" w:rsidR="00CA61FB" w:rsidRPr="00AB729D" w:rsidRDefault="00CA61FB" w:rsidP="00CA61FB">
            <w:pPr>
              <w:spacing w:after="0" w:line="240" w:lineRule="auto"/>
              <w:rPr>
                <w:rFonts w:ascii="Times New Roman" w:eastAsia="Times New Roman" w:hAnsi="Times New Roman"/>
                <w:sz w:val="20"/>
                <w:szCs w:val="20"/>
              </w:rPr>
            </w:pPr>
          </w:p>
        </w:tc>
        <w:tc>
          <w:tcPr>
            <w:tcW w:w="943" w:type="dxa"/>
            <w:tcBorders>
              <w:top w:val="nil"/>
              <w:left w:val="nil"/>
              <w:bottom w:val="nil"/>
              <w:right w:val="nil"/>
            </w:tcBorders>
            <w:shd w:val="clear" w:color="auto" w:fill="auto"/>
            <w:noWrap/>
            <w:vAlign w:val="bottom"/>
            <w:hideMark/>
          </w:tcPr>
          <w:p w14:paraId="62BFC07D"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71486D4C"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0296006A"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F9A831A"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5A456CF"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CA3364A"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5C668EB8"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0EA2DD03" w14:textId="77777777" w:rsidTr="00CA61FB">
        <w:trPr>
          <w:trHeight w:val="312"/>
          <w:jc w:val="center"/>
        </w:trPr>
        <w:tc>
          <w:tcPr>
            <w:tcW w:w="2335" w:type="dxa"/>
            <w:gridSpan w:val="2"/>
            <w:tcBorders>
              <w:top w:val="nil"/>
              <w:left w:val="nil"/>
              <w:bottom w:val="nil"/>
              <w:right w:val="nil"/>
            </w:tcBorders>
            <w:shd w:val="clear" w:color="auto" w:fill="auto"/>
            <w:noWrap/>
            <w:vAlign w:val="bottom"/>
            <w:hideMark/>
          </w:tcPr>
          <w:p w14:paraId="32C03121" w14:textId="77777777" w:rsidR="00CA61FB" w:rsidRPr="00AB729D" w:rsidRDefault="00CA61FB" w:rsidP="00CA61FB">
            <w:pPr>
              <w:spacing w:after="0" w:line="240" w:lineRule="auto"/>
              <w:rPr>
                <w:rFonts w:ascii="Times New Roman" w:eastAsia="Times New Roman" w:hAnsi="Times New Roman"/>
                <w:b/>
                <w:bCs/>
                <w:color w:val="000000"/>
                <w:sz w:val="20"/>
                <w:szCs w:val="20"/>
              </w:rPr>
            </w:pPr>
            <w:r w:rsidRPr="00AB729D">
              <w:rPr>
                <w:rFonts w:ascii="Times New Roman" w:eastAsia="Times New Roman" w:hAnsi="Times New Roman"/>
                <w:b/>
                <w:bCs/>
                <w:color w:val="000000"/>
                <w:sz w:val="20"/>
                <w:szCs w:val="20"/>
              </w:rPr>
              <w:t>Panel B: 1991-2000</w:t>
            </w:r>
          </w:p>
        </w:tc>
        <w:tc>
          <w:tcPr>
            <w:tcW w:w="1118" w:type="dxa"/>
            <w:tcBorders>
              <w:top w:val="nil"/>
              <w:left w:val="nil"/>
              <w:bottom w:val="nil"/>
              <w:right w:val="nil"/>
            </w:tcBorders>
            <w:shd w:val="clear" w:color="auto" w:fill="auto"/>
            <w:noWrap/>
            <w:vAlign w:val="bottom"/>
            <w:hideMark/>
          </w:tcPr>
          <w:p w14:paraId="12298D37" w14:textId="77777777" w:rsidR="00CA61FB" w:rsidRPr="00AB729D" w:rsidRDefault="00CA61FB" w:rsidP="00CA61FB">
            <w:pPr>
              <w:spacing w:after="0" w:line="240" w:lineRule="auto"/>
              <w:rPr>
                <w:rFonts w:ascii="Times New Roman" w:eastAsia="Times New Roman" w:hAnsi="Times New Roman"/>
                <w:b/>
                <w:bCs/>
                <w:color w:val="000000"/>
                <w:sz w:val="20"/>
                <w:szCs w:val="20"/>
              </w:rPr>
            </w:pPr>
          </w:p>
        </w:tc>
        <w:tc>
          <w:tcPr>
            <w:tcW w:w="943" w:type="dxa"/>
            <w:tcBorders>
              <w:top w:val="nil"/>
              <w:left w:val="nil"/>
              <w:bottom w:val="nil"/>
              <w:right w:val="nil"/>
            </w:tcBorders>
            <w:shd w:val="clear" w:color="auto" w:fill="auto"/>
            <w:noWrap/>
            <w:vAlign w:val="bottom"/>
            <w:hideMark/>
          </w:tcPr>
          <w:p w14:paraId="5F1B42BB"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3DBF246"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17EA4851" w14:textId="77777777" w:rsidR="00CA61FB" w:rsidRPr="00AB729D" w:rsidRDefault="00CA61FB" w:rsidP="00CA61FB">
            <w:pPr>
              <w:spacing w:after="0" w:line="240" w:lineRule="auto"/>
              <w:rPr>
                <w:rFonts w:ascii="Times New Roman" w:eastAsia="Times New Roman" w:hAnsi="Times New Roman"/>
                <w:sz w:val="20"/>
                <w:szCs w:val="20"/>
              </w:rPr>
            </w:pPr>
          </w:p>
        </w:tc>
        <w:tc>
          <w:tcPr>
            <w:tcW w:w="2940" w:type="dxa"/>
            <w:gridSpan w:val="3"/>
            <w:tcBorders>
              <w:top w:val="nil"/>
              <w:left w:val="nil"/>
              <w:bottom w:val="nil"/>
              <w:right w:val="nil"/>
            </w:tcBorders>
            <w:shd w:val="clear" w:color="auto" w:fill="auto"/>
            <w:noWrap/>
            <w:vAlign w:val="bottom"/>
            <w:hideMark/>
          </w:tcPr>
          <w:p w14:paraId="11E4F996" w14:textId="77777777" w:rsidR="00CA61FB" w:rsidRPr="00AB729D" w:rsidRDefault="00CA61FB" w:rsidP="00CA61FB">
            <w:pPr>
              <w:spacing w:after="0" w:line="240" w:lineRule="auto"/>
              <w:rPr>
                <w:rFonts w:ascii="Times New Roman" w:eastAsia="Times New Roman" w:hAnsi="Times New Roman"/>
                <w:b/>
                <w:bCs/>
                <w:color w:val="000000"/>
                <w:sz w:val="20"/>
                <w:szCs w:val="20"/>
              </w:rPr>
            </w:pPr>
            <w:r w:rsidRPr="00AB729D">
              <w:rPr>
                <w:rFonts w:ascii="Times New Roman" w:eastAsia="Times New Roman" w:hAnsi="Times New Roman"/>
                <w:b/>
                <w:bCs/>
                <w:color w:val="000000"/>
                <w:sz w:val="20"/>
                <w:szCs w:val="20"/>
              </w:rPr>
              <w:t>Panel E: 1981-2007</w:t>
            </w:r>
          </w:p>
        </w:tc>
        <w:tc>
          <w:tcPr>
            <w:tcW w:w="976" w:type="dxa"/>
            <w:tcBorders>
              <w:top w:val="nil"/>
              <w:left w:val="nil"/>
              <w:bottom w:val="nil"/>
              <w:right w:val="nil"/>
            </w:tcBorders>
            <w:shd w:val="clear" w:color="auto" w:fill="auto"/>
            <w:noWrap/>
            <w:vAlign w:val="bottom"/>
            <w:hideMark/>
          </w:tcPr>
          <w:p w14:paraId="18479EC6" w14:textId="77777777" w:rsidR="00CA61FB" w:rsidRPr="00AB729D" w:rsidRDefault="00CA61FB" w:rsidP="00CA61FB">
            <w:pPr>
              <w:spacing w:after="0" w:line="240" w:lineRule="auto"/>
              <w:rPr>
                <w:rFonts w:ascii="Times New Roman" w:eastAsia="Times New Roman" w:hAnsi="Times New Roman"/>
                <w:b/>
                <w:bCs/>
                <w:color w:val="000000"/>
                <w:sz w:val="20"/>
                <w:szCs w:val="20"/>
              </w:rPr>
            </w:pPr>
          </w:p>
        </w:tc>
      </w:tr>
      <w:tr w:rsidR="00CA61FB" w:rsidRPr="00AB729D" w14:paraId="06BEFA1D" w14:textId="77777777" w:rsidTr="00CA61FB">
        <w:trPr>
          <w:trHeight w:val="312"/>
          <w:jc w:val="center"/>
        </w:trPr>
        <w:tc>
          <w:tcPr>
            <w:tcW w:w="1217" w:type="dxa"/>
            <w:tcBorders>
              <w:top w:val="single" w:sz="4" w:space="0" w:color="auto"/>
              <w:left w:val="nil"/>
              <w:bottom w:val="nil"/>
              <w:right w:val="nil"/>
            </w:tcBorders>
            <w:shd w:val="clear" w:color="auto" w:fill="auto"/>
            <w:noWrap/>
            <w:vAlign w:val="bottom"/>
            <w:hideMark/>
          </w:tcPr>
          <w:p w14:paraId="19056FB8"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w:t>
            </w:r>
          </w:p>
        </w:tc>
        <w:tc>
          <w:tcPr>
            <w:tcW w:w="1118" w:type="dxa"/>
            <w:tcBorders>
              <w:top w:val="single" w:sz="4" w:space="0" w:color="auto"/>
              <w:left w:val="nil"/>
              <w:bottom w:val="nil"/>
              <w:right w:val="nil"/>
            </w:tcBorders>
            <w:shd w:val="clear" w:color="auto" w:fill="auto"/>
            <w:noWrap/>
            <w:vAlign w:val="bottom"/>
            <w:hideMark/>
          </w:tcPr>
          <w:p w14:paraId="009B9F1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18" w:type="dxa"/>
            <w:tcBorders>
              <w:top w:val="single" w:sz="4" w:space="0" w:color="auto"/>
              <w:left w:val="nil"/>
              <w:bottom w:val="nil"/>
              <w:right w:val="nil"/>
            </w:tcBorders>
            <w:shd w:val="clear" w:color="auto" w:fill="auto"/>
            <w:noWrap/>
            <w:vAlign w:val="bottom"/>
            <w:hideMark/>
          </w:tcPr>
          <w:p w14:paraId="6D33068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43" w:type="dxa"/>
            <w:tcBorders>
              <w:top w:val="single" w:sz="4" w:space="0" w:color="auto"/>
              <w:left w:val="nil"/>
              <w:bottom w:val="nil"/>
              <w:right w:val="nil"/>
            </w:tcBorders>
            <w:shd w:val="clear" w:color="auto" w:fill="auto"/>
            <w:noWrap/>
            <w:vAlign w:val="bottom"/>
            <w:hideMark/>
          </w:tcPr>
          <w:p w14:paraId="598D51D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96" w:type="dxa"/>
            <w:tcBorders>
              <w:top w:val="single" w:sz="4" w:space="0" w:color="auto"/>
              <w:left w:val="nil"/>
              <w:bottom w:val="nil"/>
              <w:right w:val="nil"/>
            </w:tcBorders>
            <w:shd w:val="clear" w:color="auto" w:fill="auto"/>
            <w:noWrap/>
            <w:vAlign w:val="bottom"/>
            <w:hideMark/>
          </w:tcPr>
          <w:p w14:paraId="1D89755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96" w:type="dxa"/>
            <w:tcBorders>
              <w:top w:val="nil"/>
              <w:left w:val="nil"/>
              <w:bottom w:val="nil"/>
              <w:right w:val="nil"/>
            </w:tcBorders>
            <w:shd w:val="clear" w:color="auto" w:fill="auto"/>
            <w:noWrap/>
            <w:vAlign w:val="bottom"/>
            <w:hideMark/>
          </w:tcPr>
          <w:p w14:paraId="3D67EC2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single" w:sz="4" w:space="0" w:color="auto"/>
              <w:left w:val="nil"/>
              <w:bottom w:val="nil"/>
              <w:right w:val="nil"/>
            </w:tcBorders>
            <w:shd w:val="clear" w:color="auto" w:fill="auto"/>
            <w:noWrap/>
            <w:vAlign w:val="bottom"/>
            <w:hideMark/>
          </w:tcPr>
          <w:p w14:paraId="56DAF0E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80" w:type="dxa"/>
            <w:tcBorders>
              <w:top w:val="single" w:sz="4" w:space="0" w:color="auto"/>
              <w:left w:val="nil"/>
              <w:bottom w:val="nil"/>
              <w:right w:val="nil"/>
            </w:tcBorders>
            <w:shd w:val="clear" w:color="auto" w:fill="auto"/>
            <w:noWrap/>
            <w:vAlign w:val="bottom"/>
            <w:hideMark/>
          </w:tcPr>
          <w:p w14:paraId="2857AC6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80" w:type="dxa"/>
            <w:tcBorders>
              <w:top w:val="single" w:sz="4" w:space="0" w:color="auto"/>
              <w:left w:val="nil"/>
              <w:bottom w:val="nil"/>
              <w:right w:val="nil"/>
            </w:tcBorders>
            <w:shd w:val="clear" w:color="auto" w:fill="auto"/>
            <w:noWrap/>
            <w:vAlign w:val="bottom"/>
            <w:hideMark/>
          </w:tcPr>
          <w:p w14:paraId="467CA10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76" w:type="dxa"/>
            <w:tcBorders>
              <w:top w:val="single" w:sz="4" w:space="0" w:color="auto"/>
              <w:left w:val="nil"/>
              <w:bottom w:val="nil"/>
              <w:right w:val="nil"/>
            </w:tcBorders>
            <w:shd w:val="clear" w:color="auto" w:fill="auto"/>
            <w:noWrap/>
            <w:vAlign w:val="bottom"/>
            <w:hideMark/>
          </w:tcPr>
          <w:p w14:paraId="363ABF0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r>
      <w:tr w:rsidR="00CA61FB" w:rsidRPr="00AB729D" w14:paraId="7D6E02D7" w14:textId="77777777" w:rsidTr="00CA61FB">
        <w:trPr>
          <w:trHeight w:val="312"/>
          <w:jc w:val="center"/>
        </w:trPr>
        <w:tc>
          <w:tcPr>
            <w:tcW w:w="1217" w:type="dxa"/>
            <w:tcBorders>
              <w:top w:val="nil"/>
              <w:left w:val="nil"/>
              <w:bottom w:val="single" w:sz="4" w:space="0" w:color="auto"/>
              <w:right w:val="nil"/>
            </w:tcBorders>
            <w:shd w:val="clear" w:color="auto" w:fill="auto"/>
            <w:noWrap/>
            <w:vAlign w:val="bottom"/>
            <w:hideMark/>
          </w:tcPr>
          <w:p w14:paraId="678DCF19"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w:t>
            </w:r>
          </w:p>
        </w:tc>
        <w:tc>
          <w:tcPr>
            <w:tcW w:w="1118" w:type="dxa"/>
            <w:tcBorders>
              <w:top w:val="nil"/>
              <w:left w:val="nil"/>
              <w:bottom w:val="single" w:sz="4" w:space="0" w:color="auto"/>
              <w:right w:val="nil"/>
            </w:tcBorders>
            <w:shd w:val="clear" w:color="auto" w:fill="auto"/>
            <w:noWrap/>
            <w:vAlign w:val="bottom"/>
            <w:hideMark/>
          </w:tcPr>
          <w:p w14:paraId="464EE47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w:t>
            </w:r>
          </w:p>
        </w:tc>
        <w:tc>
          <w:tcPr>
            <w:tcW w:w="1118" w:type="dxa"/>
            <w:tcBorders>
              <w:top w:val="nil"/>
              <w:left w:val="nil"/>
              <w:bottom w:val="single" w:sz="4" w:space="0" w:color="auto"/>
              <w:right w:val="nil"/>
            </w:tcBorders>
            <w:shd w:val="clear" w:color="auto" w:fill="auto"/>
            <w:noWrap/>
            <w:vAlign w:val="bottom"/>
            <w:hideMark/>
          </w:tcPr>
          <w:p w14:paraId="5BA0C3F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w:t>
            </w:r>
          </w:p>
        </w:tc>
        <w:tc>
          <w:tcPr>
            <w:tcW w:w="943" w:type="dxa"/>
            <w:tcBorders>
              <w:top w:val="nil"/>
              <w:left w:val="nil"/>
              <w:bottom w:val="single" w:sz="4" w:space="0" w:color="auto"/>
              <w:right w:val="nil"/>
            </w:tcBorders>
            <w:shd w:val="clear" w:color="auto" w:fill="auto"/>
            <w:noWrap/>
            <w:vAlign w:val="bottom"/>
            <w:hideMark/>
          </w:tcPr>
          <w:p w14:paraId="418B914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(3)</w:t>
            </w:r>
          </w:p>
        </w:tc>
        <w:tc>
          <w:tcPr>
            <w:tcW w:w="1196" w:type="dxa"/>
            <w:tcBorders>
              <w:top w:val="nil"/>
              <w:left w:val="nil"/>
              <w:bottom w:val="single" w:sz="4" w:space="0" w:color="auto"/>
              <w:right w:val="nil"/>
            </w:tcBorders>
            <w:shd w:val="clear" w:color="auto" w:fill="auto"/>
            <w:noWrap/>
            <w:vAlign w:val="bottom"/>
            <w:hideMark/>
          </w:tcPr>
          <w:p w14:paraId="225259B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w:t>
            </w:r>
          </w:p>
        </w:tc>
        <w:tc>
          <w:tcPr>
            <w:tcW w:w="1196" w:type="dxa"/>
            <w:tcBorders>
              <w:top w:val="nil"/>
              <w:left w:val="nil"/>
              <w:bottom w:val="nil"/>
              <w:right w:val="nil"/>
            </w:tcBorders>
            <w:shd w:val="clear" w:color="auto" w:fill="auto"/>
            <w:noWrap/>
            <w:vAlign w:val="bottom"/>
            <w:hideMark/>
          </w:tcPr>
          <w:p w14:paraId="4C48AF6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single" w:sz="4" w:space="0" w:color="auto"/>
              <w:right w:val="nil"/>
            </w:tcBorders>
            <w:shd w:val="clear" w:color="auto" w:fill="auto"/>
            <w:noWrap/>
            <w:vAlign w:val="bottom"/>
            <w:hideMark/>
          </w:tcPr>
          <w:p w14:paraId="1B7DC7C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w:t>
            </w:r>
          </w:p>
        </w:tc>
        <w:tc>
          <w:tcPr>
            <w:tcW w:w="980" w:type="dxa"/>
            <w:tcBorders>
              <w:top w:val="nil"/>
              <w:left w:val="nil"/>
              <w:bottom w:val="single" w:sz="4" w:space="0" w:color="auto"/>
              <w:right w:val="nil"/>
            </w:tcBorders>
            <w:shd w:val="clear" w:color="auto" w:fill="auto"/>
            <w:noWrap/>
            <w:vAlign w:val="bottom"/>
            <w:hideMark/>
          </w:tcPr>
          <w:p w14:paraId="4366E4F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w:t>
            </w:r>
          </w:p>
        </w:tc>
        <w:tc>
          <w:tcPr>
            <w:tcW w:w="980" w:type="dxa"/>
            <w:tcBorders>
              <w:top w:val="nil"/>
              <w:left w:val="nil"/>
              <w:bottom w:val="single" w:sz="4" w:space="0" w:color="auto"/>
              <w:right w:val="nil"/>
            </w:tcBorders>
            <w:shd w:val="clear" w:color="auto" w:fill="auto"/>
            <w:noWrap/>
            <w:vAlign w:val="bottom"/>
            <w:hideMark/>
          </w:tcPr>
          <w:p w14:paraId="5D6A4A8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(3)</w:t>
            </w:r>
          </w:p>
        </w:tc>
        <w:tc>
          <w:tcPr>
            <w:tcW w:w="976" w:type="dxa"/>
            <w:tcBorders>
              <w:top w:val="nil"/>
              <w:left w:val="nil"/>
              <w:bottom w:val="single" w:sz="4" w:space="0" w:color="auto"/>
              <w:right w:val="nil"/>
            </w:tcBorders>
            <w:shd w:val="clear" w:color="auto" w:fill="auto"/>
            <w:noWrap/>
            <w:vAlign w:val="bottom"/>
            <w:hideMark/>
          </w:tcPr>
          <w:p w14:paraId="51BA918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w:t>
            </w:r>
          </w:p>
        </w:tc>
      </w:tr>
      <w:tr w:rsidR="00CA61FB" w:rsidRPr="00AB729D" w14:paraId="1665E513"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006FFCA7"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IOV</w:t>
            </w:r>
          </w:p>
        </w:tc>
        <w:tc>
          <w:tcPr>
            <w:tcW w:w="1118" w:type="dxa"/>
            <w:tcBorders>
              <w:top w:val="nil"/>
              <w:left w:val="nil"/>
              <w:bottom w:val="nil"/>
              <w:right w:val="nil"/>
            </w:tcBorders>
            <w:shd w:val="clear" w:color="auto" w:fill="auto"/>
            <w:noWrap/>
            <w:vAlign w:val="bottom"/>
            <w:hideMark/>
          </w:tcPr>
          <w:p w14:paraId="633C409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0.329</w:t>
            </w:r>
          </w:p>
        </w:tc>
        <w:tc>
          <w:tcPr>
            <w:tcW w:w="1118" w:type="dxa"/>
            <w:tcBorders>
              <w:top w:val="nil"/>
              <w:left w:val="nil"/>
              <w:bottom w:val="nil"/>
              <w:right w:val="nil"/>
            </w:tcBorders>
            <w:shd w:val="clear" w:color="auto" w:fill="auto"/>
            <w:noWrap/>
            <w:vAlign w:val="bottom"/>
            <w:hideMark/>
          </w:tcPr>
          <w:p w14:paraId="198714B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6E31607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74F1F8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1797DF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1CE1892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-0.616**</w:t>
            </w:r>
          </w:p>
        </w:tc>
        <w:tc>
          <w:tcPr>
            <w:tcW w:w="980" w:type="dxa"/>
            <w:tcBorders>
              <w:top w:val="nil"/>
              <w:left w:val="nil"/>
              <w:bottom w:val="nil"/>
              <w:right w:val="nil"/>
            </w:tcBorders>
            <w:shd w:val="clear" w:color="auto" w:fill="auto"/>
            <w:noWrap/>
            <w:vAlign w:val="bottom"/>
            <w:hideMark/>
          </w:tcPr>
          <w:p w14:paraId="135767A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1B3013E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1E78ABD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557DB4B5"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5E11CEA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6C33060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(0.656)</w:t>
            </w:r>
          </w:p>
        </w:tc>
        <w:tc>
          <w:tcPr>
            <w:tcW w:w="1118" w:type="dxa"/>
            <w:tcBorders>
              <w:top w:val="nil"/>
              <w:left w:val="nil"/>
              <w:bottom w:val="nil"/>
              <w:right w:val="nil"/>
            </w:tcBorders>
            <w:shd w:val="clear" w:color="auto" w:fill="auto"/>
            <w:noWrap/>
            <w:vAlign w:val="bottom"/>
            <w:hideMark/>
          </w:tcPr>
          <w:p w14:paraId="7C7B67C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2549155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FC4483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2812C31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2D2247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(-2.092)</w:t>
            </w:r>
          </w:p>
        </w:tc>
        <w:tc>
          <w:tcPr>
            <w:tcW w:w="980" w:type="dxa"/>
            <w:tcBorders>
              <w:top w:val="nil"/>
              <w:left w:val="nil"/>
              <w:bottom w:val="nil"/>
              <w:right w:val="nil"/>
            </w:tcBorders>
            <w:shd w:val="clear" w:color="auto" w:fill="auto"/>
            <w:noWrap/>
            <w:vAlign w:val="bottom"/>
            <w:hideMark/>
          </w:tcPr>
          <w:p w14:paraId="02CCBE8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03B6BD0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147E89E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18A67D7F"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528A651F"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PROP</w:t>
            </w:r>
          </w:p>
        </w:tc>
        <w:tc>
          <w:tcPr>
            <w:tcW w:w="1118" w:type="dxa"/>
            <w:tcBorders>
              <w:top w:val="nil"/>
              <w:left w:val="nil"/>
              <w:bottom w:val="nil"/>
              <w:right w:val="nil"/>
            </w:tcBorders>
            <w:shd w:val="clear" w:color="auto" w:fill="auto"/>
            <w:noWrap/>
            <w:vAlign w:val="bottom"/>
            <w:hideMark/>
          </w:tcPr>
          <w:p w14:paraId="225644D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0.047</w:t>
            </w:r>
          </w:p>
        </w:tc>
        <w:tc>
          <w:tcPr>
            <w:tcW w:w="1118" w:type="dxa"/>
            <w:tcBorders>
              <w:top w:val="nil"/>
              <w:left w:val="nil"/>
              <w:bottom w:val="nil"/>
              <w:right w:val="nil"/>
            </w:tcBorders>
            <w:shd w:val="clear" w:color="auto" w:fill="auto"/>
            <w:noWrap/>
            <w:vAlign w:val="bottom"/>
            <w:hideMark/>
          </w:tcPr>
          <w:p w14:paraId="629C634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249A170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4671444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0255132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14CBFA2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-0.085***</w:t>
            </w:r>
          </w:p>
        </w:tc>
        <w:tc>
          <w:tcPr>
            <w:tcW w:w="980" w:type="dxa"/>
            <w:tcBorders>
              <w:top w:val="nil"/>
              <w:left w:val="nil"/>
              <w:bottom w:val="nil"/>
              <w:right w:val="nil"/>
            </w:tcBorders>
            <w:shd w:val="clear" w:color="auto" w:fill="auto"/>
            <w:noWrap/>
            <w:vAlign w:val="bottom"/>
            <w:hideMark/>
          </w:tcPr>
          <w:p w14:paraId="7048C59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32D0583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7DD6131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756CB26A"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4629309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353A580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(1.005)</w:t>
            </w:r>
          </w:p>
        </w:tc>
        <w:tc>
          <w:tcPr>
            <w:tcW w:w="1118" w:type="dxa"/>
            <w:tcBorders>
              <w:top w:val="nil"/>
              <w:left w:val="nil"/>
              <w:bottom w:val="nil"/>
              <w:right w:val="nil"/>
            </w:tcBorders>
            <w:shd w:val="clear" w:color="auto" w:fill="auto"/>
            <w:noWrap/>
            <w:vAlign w:val="bottom"/>
            <w:hideMark/>
          </w:tcPr>
          <w:p w14:paraId="1A4F63A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72AEBB1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44CF8E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07F5F77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0223242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(-4.137)</w:t>
            </w:r>
          </w:p>
        </w:tc>
        <w:tc>
          <w:tcPr>
            <w:tcW w:w="980" w:type="dxa"/>
            <w:tcBorders>
              <w:top w:val="nil"/>
              <w:left w:val="nil"/>
              <w:bottom w:val="nil"/>
              <w:right w:val="nil"/>
            </w:tcBorders>
            <w:shd w:val="clear" w:color="auto" w:fill="auto"/>
            <w:noWrap/>
            <w:vAlign w:val="bottom"/>
            <w:hideMark/>
          </w:tcPr>
          <w:p w14:paraId="192F1EE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3FC0330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4B7227C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24AFCF6A"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66058464"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DED</w:t>
            </w:r>
          </w:p>
        </w:tc>
        <w:tc>
          <w:tcPr>
            <w:tcW w:w="1118" w:type="dxa"/>
            <w:tcBorders>
              <w:top w:val="nil"/>
              <w:left w:val="nil"/>
              <w:bottom w:val="nil"/>
              <w:right w:val="nil"/>
            </w:tcBorders>
            <w:shd w:val="clear" w:color="auto" w:fill="auto"/>
            <w:noWrap/>
            <w:vAlign w:val="bottom"/>
            <w:hideMark/>
          </w:tcPr>
          <w:p w14:paraId="7CB4E22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42547BE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-0.186***</w:t>
            </w:r>
          </w:p>
        </w:tc>
        <w:tc>
          <w:tcPr>
            <w:tcW w:w="943" w:type="dxa"/>
            <w:tcBorders>
              <w:top w:val="nil"/>
              <w:left w:val="nil"/>
              <w:bottom w:val="nil"/>
              <w:right w:val="nil"/>
            </w:tcBorders>
            <w:shd w:val="clear" w:color="auto" w:fill="auto"/>
            <w:noWrap/>
            <w:vAlign w:val="bottom"/>
            <w:hideMark/>
          </w:tcPr>
          <w:p w14:paraId="3E2264C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4881C71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5BEB2A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6FD8F54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7146969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-0.143***</w:t>
            </w:r>
          </w:p>
        </w:tc>
        <w:tc>
          <w:tcPr>
            <w:tcW w:w="980" w:type="dxa"/>
            <w:tcBorders>
              <w:top w:val="nil"/>
              <w:left w:val="nil"/>
              <w:bottom w:val="nil"/>
              <w:right w:val="nil"/>
            </w:tcBorders>
            <w:shd w:val="clear" w:color="auto" w:fill="auto"/>
            <w:noWrap/>
            <w:vAlign w:val="bottom"/>
            <w:hideMark/>
          </w:tcPr>
          <w:p w14:paraId="3C0CB53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4E90D10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0530447D"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07B4CF2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3E7AF29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0DBA51C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(-2.753)</w:t>
            </w:r>
          </w:p>
        </w:tc>
        <w:tc>
          <w:tcPr>
            <w:tcW w:w="943" w:type="dxa"/>
            <w:tcBorders>
              <w:top w:val="nil"/>
              <w:left w:val="nil"/>
              <w:bottom w:val="nil"/>
              <w:right w:val="nil"/>
            </w:tcBorders>
            <w:shd w:val="clear" w:color="auto" w:fill="auto"/>
            <w:noWrap/>
            <w:vAlign w:val="bottom"/>
            <w:hideMark/>
          </w:tcPr>
          <w:p w14:paraId="3FDFB92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04CEC4B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0B5C84A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758F58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2ACFD1C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(-3.986)</w:t>
            </w:r>
          </w:p>
        </w:tc>
        <w:tc>
          <w:tcPr>
            <w:tcW w:w="980" w:type="dxa"/>
            <w:tcBorders>
              <w:top w:val="nil"/>
              <w:left w:val="nil"/>
              <w:bottom w:val="nil"/>
              <w:right w:val="nil"/>
            </w:tcBorders>
            <w:shd w:val="clear" w:color="auto" w:fill="auto"/>
            <w:noWrap/>
            <w:vAlign w:val="bottom"/>
            <w:hideMark/>
          </w:tcPr>
          <w:p w14:paraId="01AF667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40FB567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34A094AB"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27C01733"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QIX</w:t>
            </w:r>
          </w:p>
        </w:tc>
        <w:tc>
          <w:tcPr>
            <w:tcW w:w="1118" w:type="dxa"/>
            <w:tcBorders>
              <w:top w:val="nil"/>
              <w:left w:val="nil"/>
              <w:bottom w:val="nil"/>
              <w:right w:val="nil"/>
            </w:tcBorders>
            <w:shd w:val="clear" w:color="auto" w:fill="auto"/>
            <w:noWrap/>
            <w:vAlign w:val="bottom"/>
            <w:hideMark/>
          </w:tcPr>
          <w:p w14:paraId="0F46C45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28E6012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1AC7626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-0.016</w:t>
            </w:r>
          </w:p>
        </w:tc>
        <w:tc>
          <w:tcPr>
            <w:tcW w:w="1196" w:type="dxa"/>
            <w:tcBorders>
              <w:top w:val="nil"/>
              <w:left w:val="nil"/>
              <w:bottom w:val="nil"/>
              <w:right w:val="nil"/>
            </w:tcBorders>
            <w:shd w:val="clear" w:color="auto" w:fill="auto"/>
            <w:noWrap/>
            <w:vAlign w:val="bottom"/>
            <w:hideMark/>
          </w:tcPr>
          <w:p w14:paraId="6E16E17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ED42FC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2D38C87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766F76D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2D2EE86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-0.096***</w:t>
            </w:r>
          </w:p>
        </w:tc>
        <w:tc>
          <w:tcPr>
            <w:tcW w:w="976" w:type="dxa"/>
            <w:tcBorders>
              <w:top w:val="nil"/>
              <w:left w:val="nil"/>
              <w:bottom w:val="nil"/>
              <w:right w:val="nil"/>
            </w:tcBorders>
            <w:shd w:val="clear" w:color="auto" w:fill="auto"/>
            <w:noWrap/>
            <w:vAlign w:val="bottom"/>
            <w:hideMark/>
          </w:tcPr>
          <w:p w14:paraId="7B9595C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45E7E229"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0F742AC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7699F92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0BF7ED0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414C6D9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(-0.439)</w:t>
            </w:r>
          </w:p>
        </w:tc>
        <w:tc>
          <w:tcPr>
            <w:tcW w:w="1196" w:type="dxa"/>
            <w:tcBorders>
              <w:top w:val="nil"/>
              <w:left w:val="nil"/>
              <w:bottom w:val="nil"/>
              <w:right w:val="nil"/>
            </w:tcBorders>
            <w:shd w:val="clear" w:color="auto" w:fill="auto"/>
            <w:noWrap/>
            <w:vAlign w:val="bottom"/>
            <w:hideMark/>
          </w:tcPr>
          <w:p w14:paraId="2C145FF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24B17B9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7DF1DE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558C17A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7A73C2C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(-5.455)</w:t>
            </w:r>
          </w:p>
        </w:tc>
        <w:tc>
          <w:tcPr>
            <w:tcW w:w="976" w:type="dxa"/>
            <w:tcBorders>
              <w:top w:val="nil"/>
              <w:left w:val="nil"/>
              <w:bottom w:val="nil"/>
              <w:right w:val="nil"/>
            </w:tcBorders>
            <w:shd w:val="clear" w:color="auto" w:fill="auto"/>
            <w:noWrap/>
            <w:vAlign w:val="bottom"/>
            <w:hideMark/>
          </w:tcPr>
          <w:p w14:paraId="4604EC3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r>
      <w:tr w:rsidR="00CA61FB" w:rsidRPr="00AB729D" w14:paraId="73904A47"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6BDC1E5A"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TRA</w:t>
            </w:r>
          </w:p>
        </w:tc>
        <w:tc>
          <w:tcPr>
            <w:tcW w:w="1118" w:type="dxa"/>
            <w:tcBorders>
              <w:top w:val="nil"/>
              <w:left w:val="nil"/>
              <w:bottom w:val="nil"/>
              <w:right w:val="nil"/>
            </w:tcBorders>
            <w:shd w:val="clear" w:color="auto" w:fill="auto"/>
            <w:noWrap/>
            <w:vAlign w:val="bottom"/>
            <w:hideMark/>
          </w:tcPr>
          <w:p w14:paraId="76854C4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72CBCA5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0F1EF66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1E086B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0.232***</w:t>
            </w:r>
          </w:p>
        </w:tc>
        <w:tc>
          <w:tcPr>
            <w:tcW w:w="1196" w:type="dxa"/>
            <w:tcBorders>
              <w:top w:val="nil"/>
              <w:left w:val="nil"/>
              <w:bottom w:val="nil"/>
              <w:right w:val="nil"/>
            </w:tcBorders>
            <w:shd w:val="clear" w:color="auto" w:fill="auto"/>
            <w:noWrap/>
            <w:vAlign w:val="bottom"/>
            <w:hideMark/>
          </w:tcPr>
          <w:p w14:paraId="0D9C1F0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395E0FA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688B4C8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43041FE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1049A01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0.114***</w:t>
            </w:r>
          </w:p>
        </w:tc>
      </w:tr>
      <w:tr w:rsidR="00CA61FB" w:rsidRPr="00AB729D" w14:paraId="2CBA2C12"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017E8C8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6EE16E3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594DC15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16FE328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0E5CA7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(4.796)</w:t>
            </w:r>
          </w:p>
        </w:tc>
        <w:tc>
          <w:tcPr>
            <w:tcW w:w="1196" w:type="dxa"/>
            <w:tcBorders>
              <w:top w:val="nil"/>
              <w:left w:val="nil"/>
              <w:bottom w:val="nil"/>
              <w:right w:val="nil"/>
            </w:tcBorders>
            <w:shd w:val="clear" w:color="auto" w:fill="auto"/>
            <w:noWrap/>
            <w:vAlign w:val="bottom"/>
            <w:hideMark/>
          </w:tcPr>
          <w:p w14:paraId="7A9564D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04A60A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5069AFC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80" w:type="dxa"/>
            <w:tcBorders>
              <w:top w:val="nil"/>
              <w:left w:val="nil"/>
              <w:bottom w:val="nil"/>
              <w:right w:val="nil"/>
            </w:tcBorders>
            <w:shd w:val="clear" w:color="auto" w:fill="auto"/>
            <w:noWrap/>
            <w:vAlign w:val="bottom"/>
            <w:hideMark/>
          </w:tcPr>
          <w:p w14:paraId="0188E3A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76" w:type="dxa"/>
            <w:tcBorders>
              <w:top w:val="nil"/>
              <w:left w:val="nil"/>
              <w:bottom w:val="nil"/>
              <w:right w:val="nil"/>
            </w:tcBorders>
            <w:shd w:val="clear" w:color="auto" w:fill="auto"/>
            <w:noWrap/>
            <w:vAlign w:val="bottom"/>
            <w:hideMark/>
          </w:tcPr>
          <w:p w14:paraId="7B920AE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(4.051)</w:t>
            </w:r>
          </w:p>
        </w:tc>
      </w:tr>
      <w:tr w:rsidR="00CA61FB" w:rsidRPr="00AB729D" w14:paraId="77E783DA"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7D398B39"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Controls</w:t>
            </w:r>
          </w:p>
        </w:tc>
        <w:tc>
          <w:tcPr>
            <w:tcW w:w="1118" w:type="dxa"/>
            <w:tcBorders>
              <w:top w:val="nil"/>
              <w:left w:val="nil"/>
              <w:bottom w:val="nil"/>
              <w:right w:val="nil"/>
            </w:tcBorders>
            <w:shd w:val="clear" w:color="auto" w:fill="auto"/>
            <w:noWrap/>
            <w:vAlign w:val="bottom"/>
            <w:hideMark/>
          </w:tcPr>
          <w:p w14:paraId="239EFDF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2582F5E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2C1F953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52ABA4E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1DE2614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10B9AF9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3E91F77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00CE7DC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76" w:type="dxa"/>
            <w:tcBorders>
              <w:top w:val="nil"/>
              <w:left w:val="nil"/>
              <w:bottom w:val="nil"/>
              <w:right w:val="nil"/>
            </w:tcBorders>
            <w:shd w:val="clear" w:color="auto" w:fill="auto"/>
            <w:noWrap/>
            <w:vAlign w:val="bottom"/>
            <w:hideMark/>
          </w:tcPr>
          <w:p w14:paraId="0CBADE1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r>
      <w:tr w:rsidR="00CA61FB" w:rsidRPr="00AB729D" w14:paraId="4F7EF9CA"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07BA49EF"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xml:space="preserve">Year </w:t>
            </w:r>
          </w:p>
        </w:tc>
        <w:tc>
          <w:tcPr>
            <w:tcW w:w="1118" w:type="dxa"/>
            <w:tcBorders>
              <w:top w:val="nil"/>
              <w:left w:val="nil"/>
              <w:bottom w:val="nil"/>
              <w:right w:val="nil"/>
            </w:tcBorders>
            <w:shd w:val="clear" w:color="auto" w:fill="auto"/>
            <w:noWrap/>
            <w:vAlign w:val="bottom"/>
            <w:hideMark/>
          </w:tcPr>
          <w:p w14:paraId="10B2F7C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3CD7FEE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455AE8E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4BA642A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4458053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FCCF52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74E6DC9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57AAA3C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76" w:type="dxa"/>
            <w:tcBorders>
              <w:top w:val="nil"/>
              <w:left w:val="nil"/>
              <w:bottom w:val="nil"/>
              <w:right w:val="nil"/>
            </w:tcBorders>
            <w:shd w:val="clear" w:color="auto" w:fill="auto"/>
            <w:noWrap/>
            <w:vAlign w:val="bottom"/>
            <w:hideMark/>
          </w:tcPr>
          <w:p w14:paraId="485A691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r>
      <w:tr w:rsidR="00CA61FB" w:rsidRPr="00AB729D" w14:paraId="5B2ADC35"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55419113"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Industry</w:t>
            </w:r>
          </w:p>
        </w:tc>
        <w:tc>
          <w:tcPr>
            <w:tcW w:w="1118" w:type="dxa"/>
            <w:tcBorders>
              <w:top w:val="nil"/>
              <w:left w:val="nil"/>
              <w:bottom w:val="nil"/>
              <w:right w:val="nil"/>
            </w:tcBorders>
            <w:shd w:val="clear" w:color="auto" w:fill="auto"/>
            <w:noWrap/>
            <w:vAlign w:val="bottom"/>
            <w:hideMark/>
          </w:tcPr>
          <w:p w14:paraId="4F6765C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4CB9A33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08B7803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02BDEAB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4AE30FB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03DE4B5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01FCA55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80" w:type="dxa"/>
            <w:tcBorders>
              <w:top w:val="nil"/>
              <w:left w:val="nil"/>
              <w:bottom w:val="nil"/>
              <w:right w:val="nil"/>
            </w:tcBorders>
            <w:shd w:val="clear" w:color="auto" w:fill="auto"/>
            <w:noWrap/>
            <w:vAlign w:val="bottom"/>
            <w:hideMark/>
          </w:tcPr>
          <w:p w14:paraId="545ED90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76" w:type="dxa"/>
            <w:tcBorders>
              <w:top w:val="nil"/>
              <w:left w:val="nil"/>
              <w:bottom w:val="nil"/>
              <w:right w:val="nil"/>
            </w:tcBorders>
            <w:shd w:val="clear" w:color="auto" w:fill="auto"/>
            <w:noWrap/>
            <w:vAlign w:val="bottom"/>
            <w:hideMark/>
          </w:tcPr>
          <w:p w14:paraId="55B9FCF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r>
      <w:tr w:rsidR="00CA61FB" w:rsidRPr="00AB729D" w14:paraId="4A34223E"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164ED1D8"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No. of obs.</w:t>
            </w:r>
          </w:p>
        </w:tc>
        <w:tc>
          <w:tcPr>
            <w:tcW w:w="1118" w:type="dxa"/>
            <w:tcBorders>
              <w:top w:val="nil"/>
              <w:left w:val="nil"/>
              <w:bottom w:val="nil"/>
              <w:right w:val="nil"/>
            </w:tcBorders>
            <w:shd w:val="clear" w:color="auto" w:fill="auto"/>
            <w:noWrap/>
            <w:vAlign w:val="bottom"/>
            <w:hideMark/>
          </w:tcPr>
          <w:p w14:paraId="68D5173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6,117</w:t>
            </w:r>
          </w:p>
        </w:tc>
        <w:tc>
          <w:tcPr>
            <w:tcW w:w="1118" w:type="dxa"/>
            <w:tcBorders>
              <w:top w:val="nil"/>
              <w:left w:val="nil"/>
              <w:bottom w:val="nil"/>
              <w:right w:val="nil"/>
            </w:tcBorders>
            <w:shd w:val="clear" w:color="auto" w:fill="auto"/>
            <w:noWrap/>
            <w:vAlign w:val="bottom"/>
            <w:hideMark/>
          </w:tcPr>
          <w:p w14:paraId="51E8B1A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6,117</w:t>
            </w:r>
          </w:p>
        </w:tc>
        <w:tc>
          <w:tcPr>
            <w:tcW w:w="943" w:type="dxa"/>
            <w:tcBorders>
              <w:top w:val="nil"/>
              <w:left w:val="nil"/>
              <w:bottom w:val="nil"/>
              <w:right w:val="nil"/>
            </w:tcBorders>
            <w:shd w:val="clear" w:color="auto" w:fill="auto"/>
            <w:noWrap/>
            <w:vAlign w:val="bottom"/>
            <w:hideMark/>
          </w:tcPr>
          <w:p w14:paraId="66F5677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6,117</w:t>
            </w:r>
          </w:p>
        </w:tc>
        <w:tc>
          <w:tcPr>
            <w:tcW w:w="1196" w:type="dxa"/>
            <w:tcBorders>
              <w:top w:val="nil"/>
              <w:left w:val="nil"/>
              <w:bottom w:val="nil"/>
              <w:right w:val="nil"/>
            </w:tcBorders>
            <w:shd w:val="clear" w:color="auto" w:fill="auto"/>
            <w:noWrap/>
            <w:vAlign w:val="bottom"/>
            <w:hideMark/>
          </w:tcPr>
          <w:p w14:paraId="6F8EC80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6,117</w:t>
            </w:r>
          </w:p>
        </w:tc>
        <w:tc>
          <w:tcPr>
            <w:tcW w:w="1196" w:type="dxa"/>
            <w:tcBorders>
              <w:top w:val="nil"/>
              <w:left w:val="nil"/>
              <w:bottom w:val="nil"/>
              <w:right w:val="nil"/>
            </w:tcBorders>
            <w:shd w:val="clear" w:color="auto" w:fill="auto"/>
            <w:noWrap/>
            <w:vAlign w:val="bottom"/>
            <w:hideMark/>
          </w:tcPr>
          <w:p w14:paraId="539C63D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31AE60C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9,950</w:t>
            </w:r>
          </w:p>
        </w:tc>
        <w:tc>
          <w:tcPr>
            <w:tcW w:w="980" w:type="dxa"/>
            <w:tcBorders>
              <w:top w:val="nil"/>
              <w:left w:val="nil"/>
              <w:bottom w:val="nil"/>
              <w:right w:val="nil"/>
            </w:tcBorders>
            <w:shd w:val="clear" w:color="auto" w:fill="auto"/>
            <w:noWrap/>
            <w:vAlign w:val="bottom"/>
            <w:hideMark/>
          </w:tcPr>
          <w:p w14:paraId="09C49FC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9,950</w:t>
            </w:r>
          </w:p>
        </w:tc>
        <w:tc>
          <w:tcPr>
            <w:tcW w:w="980" w:type="dxa"/>
            <w:tcBorders>
              <w:top w:val="nil"/>
              <w:left w:val="nil"/>
              <w:bottom w:val="nil"/>
              <w:right w:val="nil"/>
            </w:tcBorders>
            <w:shd w:val="clear" w:color="auto" w:fill="auto"/>
            <w:noWrap/>
            <w:vAlign w:val="bottom"/>
            <w:hideMark/>
          </w:tcPr>
          <w:p w14:paraId="57330A3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9,950</w:t>
            </w:r>
          </w:p>
        </w:tc>
        <w:tc>
          <w:tcPr>
            <w:tcW w:w="976" w:type="dxa"/>
            <w:tcBorders>
              <w:top w:val="nil"/>
              <w:left w:val="nil"/>
              <w:bottom w:val="nil"/>
              <w:right w:val="nil"/>
            </w:tcBorders>
            <w:shd w:val="clear" w:color="auto" w:fill="auto"/>
            <w:noWrap/>
            <w:vAlign w:val="bottom"/>
            <w:hideMark/>
          </w:tcPr>
          <w:p w14:paraId="5C1C715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9,950</w:t>
            </w:r>
          </w:p>
        </w:tc>
      </w:tr>
      <w:tr w:rsidR="00CA61FB" w:rsidRPr="00AB729D" w14:paraId="255CC0B5" w14:textId="77777777" w:rsidTr="00CA61FB">
        <w:trPr>
          <w:trHeight w:val="312"/>
          <w:jc w:val="center"/>
        </w:trPr>
        <w:tc>
          <w:tcPr>
            <w:tcW w:w="1217" w:type="dxa"/>
            <w:tcBorders>
              <w:top w:val="nil"/>
              <w:left w:val="nil"/>
              <w:bottom w:val="single" w:sz="4" w:space="0" w:color="auto"/>
              <w:right w:val="nil"/>
            </w:tcBorders>
            <w:shd w:val="clear" w:color="auto" w:fill="auto"/>
            <w:noWrap/>
            <w:vAlign w:val="bottom"/>
            <w:hideMark/>
          </w:tcPr>
          <w:p w14:paraId="4D127AFD"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Adj.R2</w:t>
            </w:r>
          </w:p>
        </w:tc>
        <w:tc>
          <w:tcPr>
            <w:tcW w:w="1118" w:type="dxa"/>
            <w:tcBorders>
              <w:top w:val="nil"/>
              <w:left w:val="nil"/>
              <w:bottom w:val="single" w:sz="4" w:space="0" w:color="auto"/>
              <w:right w:val="nil"/>
            </w:tcBorders>
            <w:shd w:val="clear" w:color="auto" w:fill="auto"/>
            <w:noWrap/>
            <w:vAlign w:val="bottom"/>
            <w:hideMark/>
          </w:tcPr>
          <w:p w14:paraId="59052D47" w14:textId="77777777" w:rsidR="00CA61FB" w:rsidRPr="00AB729D" w:rsidRDefault="00CA61FB" w:rsidP="00CA61FB">
            <w:pPr>
              <w:spacing w:after="0" w:line="240" w:lineRule="auto"/>
              <w:jc w:val="right"/>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0.022</w:t>
            </w:r>
          </w:p>
        </w:tc>
        <w:tc>
          <w:tcPr>
            <w:tcW w:w="1118" w:type="dxa"/>
            <w:tcBorders>
              <w:top w:val="nil"/>
              <w:left w:val="nil"/>
              <w:bottom w:val="single" w:sz="4" w:space="0" w:color="auto"/>
              <w:right w:val="nil"/>
            </w:tcBorders>
            <w:shd w:val="clear" w:color="auto" w:fill="auto"/>
            <w:noWrap/>
            <w:vAlign w:val="bottom"/>
            <w:hideMark/>
          </w:tcPr>
          <w:p w14:paraId="36A6CFD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0.023</w:t>
            </w:r>
          </w:p>
        </w:tc>
        <w:tc>
          <w:tcPr>
            <w:tcW w:w="943" w:type="dxa"/>
            <w:tcBorders>
              <w:top w:val="nil"/>
              <w:left w:val="nil"/>
              <w:bottom w:val="single" w:sz="4" w:space="0" w:color="auto"/>
              <w:right w:val="nil"/>
            </w:tcBorders>
            <w:shd w:val="clear" w:color="auto" w:fill="auto"/>
            <w:noWrap/>
            <w:vAlign w:val="bottom"/>
            <w:hideMark/>
          </w:tcPr>
          <w:p w14:paraId="387F424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0.022</w:t>
            </w:r>
          </w:p>
        </w:tc>
        <w:tc>
          <w:tcPr>
            <w:tcW w:w="1196" w:type="dxa"/>
            <w:tcBorders>
              <w:top w:val="nil"/>
              <w:left w:val="nil"/>
              <w:bottom w:val="single" w:sz="4" w:space="0" w:color="auto"/>
              <w:right w:val="nil"/>
            </w:tcBorders>
            <w:shd w:val="clear" w:color="auto" w:fill="auto"/>
            <w:noWrap/>
            <w:vAlign w:val="bottom"/>
            <w:hideMark/>
          </w:tcPr>
          <w:p w14:paraId="051F080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0.023</w:t>
            </w:r>
          </w:p>
        </w:tc>
        <w:tc>
          <w:tcPr>
            <w:tcW w:w="1196" w:type="dxa"/>
            <w:tcBorders>
              <w:top w:val="nil"/>
              <w:left w:val="nil"/>
              <w:bottom w:val="nil"/>
              <w:right w:val="nil"/>
            </w:tcBorders>
            <w:shd w:val="clear" w:color="auto" w:fill="auto"/>
            <w:noWrap/>
            <w:vAlign w:val="bottom"/>
            <w:hideMark/>
          </w:tcPr>
          <w:p w14:paraId="12837A5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single" w:sz="4" w:space="0" w:color="auto"/>
              <w:right w:val="nil"/>
            </w:tcBorders>
            <w:shd w:val="clear" w:color="auto" w:fill="auto"/>
            <w:noWrap/>
            <w:vAlign w:val="bottom"/>
            <w:hideMark/>
          </w:tcPr>
          <w:p w14:paraId="58F8286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0.034</w:t>
            </w:r>
          </w:p>
        </w:tc>
        <w:tc>
          <w:tcPr>
            <w:tcW w:w="980" w:type="dxa"/>
            <w:tcBorders>
              <w:top w:val="nil"/>
              <w:left w:val="nil"/>
              <w:bottom w:val="single" w:sz="4" w:space="0" w:color="auto"/>
              <w:right w:val="nil"/>
            </w:tcBorders>
            <w:shd w:val="clear" w:color="auto" w:fill="auto"/>
            <w:noWrap/>
            <w:vAlign w:val="bottom"/>
            <w:hideMark/>
          </w:tcPr>
          <w:p w14:paraId="4331D87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0.034</w:t>
            </w:r>
          </w:p>
        </w:tc>
        <w:tc>
          <w:tcPr>
            <w:tcW w:w="980" w:type="dxa"/>
            <w:tcBorders>
              <w:top w:val="nil"/>
              <w:left w:val="nil"/>
              <w:bottom w:val="single" w:sz="4" w:space="0" w:color="auto"/>
              <w:right w:val="nil"/>
            </w:tcBorders>
            <w:shd w:val="clear" w:color="auto" w:fill="auto"/>
            <w:noWrap/>
            <w:vAlign w:val="bottom"/>
            <w:hideMark/>
          </w:tcPr>
          <w:p w14:paraId="6A4B500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0.034</w:t>
            </w:r>
          </w:p>
        </w:tc>
        <w:tc>
          <w:tcPr>
            <w:tcW w:w="976" w:type="dxa"/>
            <w:tcBorders>
              <w:top w:val="nil"/>
              <w:left w:val="nil"/>
              <w:bottom w:val="single" w:sz="4" w:space="0" w:color="auto"/>
              <w:right w:val="nil"/>
            </w:tcBorders>
            <w:shd w:val="clear" w:color="auto" w:fill="auto"/>
            <w:noWrap/>
            <w:vAlign w:val="bottom"/>
            <w:hideMark/>
          </w:tcPr>
          <w:p w14:paraId="66494EB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0.034</w:t>
            </w:r>
          </w:p>
        </w:tc>
      </w:tr>
      <w:tr w:rsidR="00CA61FB" w:rsidRPr="00AB729D" w14:paraId="1ADE14CF"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7259A28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1118" w:type="dxa"/>
            <w:tcBorders>
              <w:top w:val="nil"/>
              <w:left w:val="nil"/>
              <w:bottom w:val="nil"/>
              <w:right w:val="nil"/>
            </w:tcBorders>
            <w:shd w:val="clear" w:color="auto" w:fill="auto"/>
            <w:noWrap/>
            <w:vAlign w:val="bottom"/>
            <w:hideMark/>
          </w:tcPr>
          <w:p w14:paraId="73BC75B8" w14:textId="77777777" w:rsidR="00CA61FB" w:rsidRPr="00AB729D" w:rsidRDefault="00CA61FB" w:rsidP="00CA61FB">
            <w:pPr>
              <w:spacing w:after="0" w:line="240" w:lineRule="auto"/>
              <w:rPr>
                <w:rFonts w:ascii="Times New Roman" w:eastAsia="Times New Roman" w:hAnsi="Times New Roman"/>
                <w:sz w:val="20"/>
                <w:szCs w:val="20"/>
              </w:rPr>
            </w:pPr>
          </w:p>
        </w:tc>
        <w:tc>
          <w:tcPr>
            <w:tcW w:w="1118" w:type="dxa"/>
            <w:tcBorders>
              <w:top w:val="nil"/>
              <w:left w:val="nil"/>
              <w:bottom w:val="nil"/>
              <w:right w:val="nil"/>
            </w:tcBorders>
            <w:shd w:val="clear" w:color="auto" w:fill="auto"/>
            <w:noWrap/>
            <w:vAlign w:val="bottom"/>
            <w:hideMark/>
          </w:tcPr>
          <w:p w14:paraId="1FFD170C" w14:textId="77777777" w:rsidR="00CA61FB" w:rsidRPr="00AB729D" w:rsidRDefault="00CA61FB" w:rsidP="00CA61FB">
            <w:pPr>
              <w:spacing w:after="0" w:line="240" w:lineRule="auto"/>
              <w:rPr>
                <w:rFonts w:ascii="Times New Roman" w:eastAsia="Times New Roman" w:hAnsi="Times New Roman"/>
                <w:sz w:val="20"/>
                <w:szCs w:val="20"/>
              </w:rPr>
            </w:pPr>
          </w:p>
        </w:tc>
        <w:tc>
          <w:tcPr>
            <w:tcW w:w="943" w:type="dxa"/>
            <w:tcBorders>
              <w:top w:val="nil"/>
              <w:left w:val="nil"/>
              <w:bottom w:val="nil"/>
              <w:right w:val="nil"/>
            </w:tcBorders>
            <w:shd w:val="clear" w:color="auto" w:fill="auto"/>
            <w:noWrap/>
            <w:vAlign w:val="bottom"/>
            <w:hideMark/>
          </w:tcPr>
          <w:p w14:paraId="4B69DCEF"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74D91CB"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5DEF1D6"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4F07775"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58239FBD"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69B40680"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3A6A4B78"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31888933" w14:textId="77777777" w:rsidTr="00CA61FB">
        <w:trPr>
          <w:trHeight w:val="312"/>
          <w:jc w:val="center"/>
        </w:trPr>
        <w:tc>
          <w:tcPr>
            <w:tcW w:w="2335" w:type="dxa"/>
            <w:gridSpan w:val="2"/>
            <w:tcBorders>
              <w:top w:val="nil"/>
              <w:left w:val="nil"/>
              <w:bottom w:val="nil"/>
              <w:right w:val="nil"/>
            </w:tcBorders>
            <w:shd w:val="clear" w:color="auto" w:fill="auto"/>
            <w:noWrap/>
            <w:vAlign w:val="bottom"/>
            <w:hideMark/>
          </w:tcPr>
          <w:p w14:paraId="54D11759" w14:textId="77777777" w:rsidR="00CA61FB" w:rsidRPr="00AB729D" w:rsidRDefault="00CA61FB" w:rsidP="00CA61FB">
            <w:pPr>
              <w:spacing w:after="0" w:line="240" w:lineRule="auto"/>
              <w:rPr>
                <w:rFonts w:ascii="Times New Roman" w:eastAsia="Times New Roman" w:hAnsi="Times New Roman"/>
                <w:b/>
                <w:bCs/>
                <w:color w:val="000000"/>
                <w:sz w:val="20"/>
                <w:szCs w:val="20"/>
              </w:rPr>
            </w:pPr>
            <w:r w:rsidRPr="00AB729D">
              <w:rPr>
                <w:rFonts w:ascii="Times New Roman" w:eastAsia="Times New Roman" w:hAnsi="Times New Roman"/>
                <w:b/>
                <w:bCs/>
                <w:color w:val="000000"/>
                <w:sz w:val="20"/>
                <w:szCs w:val="20"/>
              </w:rPr>
              <w:lastRenderedPageBreak/>
              <w:t>Panel C: 2001-2012</w:t>
            </w:r>
          </w:p>
        </w:tc>
        <w:tc>
          <w:tcPr>
            <w:tcW w:w="1118" w:type="dxa"/>
            <w:tcBorders>
              <w:top w:val="nil"/>
              <w:left w:val="nil"/>
              <w:bottom w:val="nil"/>
              <w:right w:val="nil"/>
            </w:tcBorders>
            <w:shd w:val="clear" w:color="auto" w:fill="auto"/>
            <w:noWrap/>
            <w:vAlign w:val="bottom"/>
            <w:hideMark/>
          </w:tcPr>
          <w:p w14:paraId="74799C7A" w14:textId="77777777" w:rsidR="00CA61FB" w:rsidRPr="00AB729D" w:rsidRDefault="00CA61FB" w:rsidP="00CA61FB">
            <w:pPr>
              <w:spacing w:after="0" w:line="240" w:lineRule="auto"/>
              <w:rPr>
                <w:rFonts w:ascii="Times New Roman" w:eastAsia="Times New Roman" w:hAnsi="Times New Roman"/>
                <w:b/>
                <w:bCs/>
                <w:color w:val="000000"/>
                <w:sz w:val="20"/>
                <w:szCs w:val="20"/>
              </w:rPr>
            </w:pPr>
          </w:p>
        </w:tc>
        <w:tc>
          <w:tcPr>
            <w:tcW w:w="943" w:type="dxa"/>
            <w:tcBorders>
              <w:top w:val="nil"/>
              <w:left w:val="nil"/>
              <w:bottom w:val="nil"/>
              <w:right w:val="nil"/>
            </w:tcBorders>
            <w:shd w:val="clear" w:color="auto" w:fill="auto"/>
            <w:noWrap/>
            <w:vAlign w:val="bottom"/>
            <w:hideMark/>
          </w:tcPr>
          <w:p w14:paraId="7874EAC7"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385FDB3D" w14:textId="77777777" w:rsidR="00CA61FB" w:rsidRPr="00AB729D" w:rsidRDefault="00CA61FB" w:rsidP="00CA61FB">
            <w:pPr>
              <w:spacing w:after="0" w:line="240" w:lineRule="auto"/>
              <w:rPr>
                <w:rFonts w:ascii="Times New Roman" w:eastAsia="Times New Roman" w:hAnsi="Times New Roman"/>
                <w:sz w:val="20"/>
                <w:szCs w:val="20"/>
              </w:rPr>
            </w:pPr>
          </w:p>
        </w:tc>
        <w:tc>
          <w:tcPr>
            <w:tcW w:w="1196" w:type="dxa"/>
            <w:tcBorders>
              <w:top w:val="nil"/>
              <w:left w:val="nil"/>
              <w:bottom w:val="nil"/>
              <w:right w:val="nil"/>
            </w:tcBorders>
            <w:shd w:val="clear" w:color="auto" w:fill="auto"/>
            <w:noWrap/>
            <w:vAlign w:val="bottom"/>
            <w:hideMark/>
          </w:tcPr>
          <w:p w14:paraId="506A923E"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379419F"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DD73638"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447EACB"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6074FAE"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1529FA77" w14:textId="77777777" w:rsidTr="00CA61FB">
        <w:trPr>
          <w:trHeight w:val="312"/>
          <w:jc w:val="center"/>
        </w:trPr>
        <w:tc>
          <w:tcPr>
            <w:tcW w:w="1217" w:type="dxa"/>
            <w:tcBorders>
              <w:top w:val="single" w:sz="4" w:space="0" w:color="auto"/>
              <w:left w:val="nil"/>
              <w:bottom w:val="nil"/>
              <w:right w:val="nil"/>
            </w:tcBorders>
            <w:shd w:val="clear" w:color="auto" w:fill="auto"/>
            <w:noWrap/>
            <w:vAlign w:val="bottom"/>
            <w:hideMark/>
          </w:tcPr>
          <w:p w14:paraId="5E042BD6"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w:t>
            </w:r>
          </w:p>
        </w:tc>
        <w:tc>
          <w:tcPr>
            <w:tcW w:w="1118" w:type="dxa"/>
            <w:tcBorders>
              <w:top w:val="single" w:sz="4" w:space="0" w:color="auto"/>
              <w:left w:val="nil"/>
              <w:bottom w:val="nil"/>
              <w:right w:val="nil"/>
            </w:tcBorders>
            <w:shd w:val="clear" w:color="auto" w:fill="auto"/>
            <w:noWrap/>
            <w:vAlign w:val="bottom"/>
            <w:hideMark/>
          </w:tcPr>
          <w:p w14:paraId="6112A76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18" w:type="dxa"/>
            <w:tcBorders>
              <w:top w:val="single" w:sz="4" w:space="0" w:color="auto"/>
              <w:left w:val="nil"/>
              <w:bottom w:val="nil"/>
              <w:right w:val="nil"/>
            </w:tcBorders>
            <w:shd w:val="clear" w:color="auto" w:fill="auto"/>
            <w:noWrap/>
            <w:vAlign w:val="bottom"/>
            <w:hideMark/>
          </w:tcPr>
          <w:p w14:paraId="23ADF60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943" w:type="dxa"/>
            <w:tcBorders>
              <w:top w:val="single" w:sz="4" w:space="0" w:color="auto"/>
              <w:left w:val="nil"/>
              <w:bottom w:val="nil"/>
              <w:right w:val="nil"/>
            </w:tcBorders>
            <w:shd w:val="clear" w:color="auto" w:fill="auto"/>
            <w:noWrap/>
            <w:vAlign w:val="bottom"/>
            <w:hideMark/>
          </w:tcPr>
          <w:p w14:paraId="63C39CC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96" w:type="dxa"/>
            <w:tcBorders>
              <w:top w:val="single" w:sz="4" w:space="0" w:color="auto"/>
              <w:left w:val="nil"/>
              <w:bottom w:val="nil"/>
              <w:right w:val="nil"/>
            </w:tcBorders>
            <w:shd w:val="clear" w:color="auto" w:fill="auto"/>
            <w:noWrap/>
            <w:vAlign w:val="bottom"/>
            <w:hideMark/>
          </w:tcPr>
          <w:p w14:paraId="6261F69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EXVRK</w:t>
            </w:r>
          </w:p>
        </w:tc>
        <w:tc>
          <w:tcPr>
            <w:tcW w:w="1196" w:type="dxa"/>
            <w:tcBorders>
              <w:top w:val="nil"/>
              <w:left w:val="nil"/>
              <w:bottom w:val="nil"/>
              <w:right w:val="nil"/>
            </w:tcBorders>
            <w:shd w:val="clear" w:color="auto" w:fill="auto"/>
            <w:noWrap/>
            <w:vAlign w:val="bottom"/>
            <w:hideMark/>
          </w:tcPr>
          <w:p w14:paraId="633D4A6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15C4BED"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CD99C44"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134C9607"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7C243C4B"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0ABA5B87" w14:textId="77777777" w:rsidTr="00CA61FB">
        <w:trPr>
          <w:trHeight w:val="312"/>
          <w:jc w:val="center"/>
        </w:trPr>
        <w:tc>
          <w:tcPr>
            <w:tcW w:w="1217" w:type="dxa"/>
            <w:tcBorders>
              <w:top w:val="nil"/>
              <w:left w:val="nil"/>
              <w:bottom w:val="single" w:sz="4" w:space="0" w:color="auto"/>
              <w:right w:val="nil"/>
            </w:tcBorders>
            <w:shd w:val="clear" w:color="auto" w:fill="auto"/>
            <w:noWrap/>
            <w:vAlign w:val="bottom"/>
            <w:hideMark/>
          </w:tcPr>
          <w:p w14:paraId="067A6C65"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w:t>
            </w:r>
          </w:p>
        </w:tc>
        <w:tc>
          <w:tcPr>
            <w:tcW w:w="1118" w:type="dxa"/>
            <w:tcBorders>
              <w:top w:val="nil"/>
              <w:left w:val="nil"/>
              <w:bottom w:val="single" w:sz="4" w:space="0" w:color="auto"/>
              <w:right w:val="nil"/>
            </w:tcBorders>
            <w:shd w:val="clear" w:color="auto" w:fill="auto"/>
            <w:noWrap/>
            <w:vAlign w:val="bottom"/>
            <w:hideMark/>
          </w:tcPr>
          <w:p w14:paraId="219D04E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w:t>
            </w:r>
          </w:p>
        </w:tc>
        <w:tc>
          <w:tcPr>
            <w:tcW w:w="1118" w:type="dxa"/>
            <w:tcBorders>
              <w:top w:val="nil"/>
              <w:left w:val="nil"/>
              <w:bottom w:val="single" w:sz="4" w:space="0" w:color="auto"/>
              <w:right w:val="nil"/>
            </w:tcBorders>
            <w:shd w:val="clear" w:color="auto" w:fill="auto"/>
            <w:noWrap/>
            <w:vAlign w:val="bottom"/>
            <w:hideMark/>
          </w:tcPr>
          <w:p w14:paraId="1FD2043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w:t>
            </w:r>
          </w:p>
        </w:tc>
        <w:tc>
          <w:tcPr>
            <w:tcW w:w="943" w:type="dxa"/>
            <w:tcBorders>
              <w:top w:val="nil"/>
              <w:left w:val="nil"/>
              <w:bottom w:val="single" w:sz="4" w:space="0" w:color="auto"/>
              <w:right w:val="nil"/>
            </w:tcBorders>
            <w:shd w:val="clear" w:color="auto" w:fill="auto"/>
            <w:noWrap/>
            <w:vAlign w:val="bottom"/>
            <w:hideMark/>
          </w:tcPr>
          <w:p w14:paraId="56F758F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(3)</w:t>
            </w:r>
          </w:p>
        </w:tc>
        <w:tc>
          <w:tcPr>
            <w:tcW w:w="1196" w:type="dxa"/>
            <w:tcBorders>
              <w:top w:val="nil"/>
              <w:left w:val="nil"/>
              <w:bottom w:val="single" w:sz="4" w:space="0" w:color="auto"/>
              <w:right w:val="nil"/>
            </w:tcBorders>
            <w:shd w:val="clear" w:color="auto" w:fill="auto"/>
            <w:noWrap/>
            <w:vAlign w:val="bottom"/>
            <w:hideMark/>
          </w:tcPr>
          <w:p w14:paraId="6A1DBA8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(4)</w:t>
            </w:r>
          </w:p>
        </w:tc>
        <w:tc>
          <w:tcPr>
            <w:tcW w:w="1196" w:type="dxa"/>
            <w:tcBorders>
              <w:top w:val="nil"/>
              <w:left w:val="nil"/>
              <w:bottom w:val="nil"/>
              <w:right w:val="nil"/>
            </w:tcBorders>
            <w:shd w:val="clear" w:color="auto" w:fill="auto"/>
            <w:noWrap/>
            <w:vAlign w:val="bottom"/>
            <w:hideMark/>
          </w:tcPr>
          <w:p w14:paraId="118A887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0AA31860"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DEAE31B"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717608C"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46DF9740"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11822E9B"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2A560563"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IOV</w:t>
            </w:r>
          </w:p>
        </w:tc>
        <w:tc>
          <w:tcPr>
            <w:tcW w:w="1118" w:type="dxa"/>
            <w:tcBorders>
              <w:top w:val="nil"/>
              <w:left w:val="nil"/>
              <w:bottom w:val="nil"/>
              <w:right w:val="nil"/>
            </w:tcBorders>
            <w:shd w:val="clear" w:color="auto" w:fill="auto"/>
            <w:noWrap/>
            <w:vAlign w:val="bottom"/>
            <w:hideMark/>
          </w:tcPr>
          <w:p w14:paraId="41197B6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0.164</w:t>
            </w:r>
          </w:p>
        </w:tc>
        <w:tc>
          <w:tcPr>
            <w:tcW w:w="1118" w:type="dxa"/>
            <w:tcBorders>
              <w:top w:val="nil"/>
              <w:left w:val="nil"/>
              <w:bottom w:val="nil"/>
              <w:right w:val="nil"/>
            </w:tcBorders>
            <w:shd w:val="clear" w:color="auto" w:fill="auto"/>
            <w:noWrap/>
            <w:vAlign w:val="bottom"/>
            <w:hideMark/>
          </w:tcPr>
          <w:p w14:paraId="09A039D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62D6FC7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6CA1210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C7CC64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9D0AA87"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52AD130"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6A7F79A"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34D2AEA1"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136C6A1F"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4A42BB29" w14:textId="77777777" w:rsidR="00CA61FB" w:rsidRPr="00AB729D" w:rsidRDefault="00CA61FB" w:rsidP="00CA61FB">
            <w:pPr>
              <w:spacing w:after="0" w:line="240" w:lineRule="auto"/>
              <w:rPr>
                <w:rFonts w:ascii="Times New Roman" w:eastAsia="Times New Roman" w:hAnsi="Times New Roman"/>
                <w:sz w:val="20"/>
                <w:szCs w:val="20"/>
              </w:rPr>
            </w:pPr>
          </w:p>
        </w:tc>
        <w:tc>
          <w:tcPr>
            <w:tcW w:w="1118" w:type="dxa"/>
            <w:tcBorders>
              <w:top w:val="nil"/>
              <w:left w:val="nil"/>
              <w:bottom w:val="nil"/>
              <w:right w:val="nil"/>
            </w:tcBorders>
            <w:shd w:val="clear" w:color="auto" w:fill="auto"/>
            <w:noWrap/>
            <w:vAlign w:val="bottom"/>
            <w:hideMark/>
          </w:tcPr>
          <w:p w14:paraId="7D12FF5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(0.311)</w:t>
            </w:r>
          </w:p>
        </w:tc>
        <w:tc>
          <w:tcPr>
            <w:tcW w:w="1118" w:type="dxa"/>
            <w:tcBorders>
              <w:top w:val="nil"/>
              <w:left w:val="nil"/>
              <w:bottom w:val="nil"/>
              <w:right w:val="nil"/>
            </w:tcBorders>
            <w:shd w:val="clear" w:color="auto" w:fill="auto"/>
            <w:noWrap/>
            <w:vAlign w:val="bottom"/>
            <w:hideMark/>
          </w:tcPr>
          <w:p w14:paraId="5CDA989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491C35D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5A4B3FC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13DB26C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96BD744"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192E3B46"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1DA4B1AA"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52409A4D"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6C517F64"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412FDB30"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PROP</w:t>
            </w:r>
          </w:p>
        </w:tc>
        <w:tc>
          <w:tcPr>
            <w:tcW w:w="1118" w:type="dxa"/>
            <w:tcBorders>
              <w:top w:val="nil"/>
              <w:left w:val="nil"/>
              <w:bottom w:val="nil"/>
              <w:right w:val="nil"/>
            </w:tcBorders>
            <w:shd w:val="clear" w:color="auto" w:fill="auto"/>
            <w:noWrap/>
            <w:vAlign w:val="bottom"/>
            <w:hideMark/>
          </w:tcPr>
          <w:p w14:paraId="63F8958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-0.040</w:t>
            </w:r>
          </w:p>
        </w:tc>
        <w:tc>
          <w:tcPr>
            <w:tcW w:w="1118" w:type="dxa"/>
            <w:tcBorders>
              <w:top w:val="nil"/>
              <w:left w:val="nil"/>
              <w:bottom w:val="nil"/>
              <w:right w:val="nil"/>
            </w:tcBorders>
            <w:shd w:val="clear" w:color="auto" w:fill="auto"/>
            <w:noWrap/>
            <w:vAlign w:val="bottom"/>
            <w:hideMark/>
          </w:tcPr>
          <w:p w14:paraId="528E4F9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38910A8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2F4CFA3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727D36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0DE675A2"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5D3B7F72"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E953013"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4C6225D0"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48D5DC43"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0D910F93" w14:textId="77777777" w:rsidR="00CA61FB" w:rsidRPr="00AB729D" w:rsidRDefault="00CA61FB" w:rsidP="00CA61FB">
            <w:pPr>
              <w:spacing w:after="0" w:line="240" w:lineRule="auto"/>
              <w:rPr>
                <w:rFonts w:ascii="Times New Roman" w:eastAsia="Times New Roman" w:hAnsi="Times New Roman"/>
                <w:sz w:val="20"/>
                <w:szCs w:val="20"/>
              </w:rPr>
            </w:pPr>
          </w:p>
        </w:tc>
        <w:tc>
          <w:tcPr>
            <w:tcW w:w="1118" w:type="dxa"/>
            <w:tcBorders>
              <w:top w:val="nil"/>
              <w:left w:val="nil"/>
              <w:bottom w:val="nil"/>
              <w:right w:val="nil"/>
            </w:tcBorders>
            <w:shd w:val="clear" w:color="auto" w:fill="auto"/>
            <w:noWrap/>
            <w:vAlign w:val="bottom"/>
            <w:hideMark/>
          </w:tcPr>
          <w:p w14:paraId="110F31C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(-1.435)</w:t>
            </w:r>
          </w:p>
        </w:tc>
        <w:tc>
          <w:tcPr>
            <w:tcW w:w="1118" w:type="dxa"/>
            <w:tcBorders>
              <w:top w:val="nil"/>
              <w:left w:val="nil"/>
              <w:bottom w:val="nil"/>
              <w:right w:val="nil"/>
            </w:tcBorders>
            <w:shd w:val="clear" w:color="auto" w:fill="auto"/>
            <w:noWrap/>
            <w:vAlign w:val="bottom"/>
            <w:hideMark/>
          </w:tcPr>
          <w:p w14:paraId="0EF55BB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75CB31D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0F44338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467A099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2CE4171"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DB15B40"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8067FDE"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C64246B"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09551C9C"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4F6FC371"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DED</w:t>
            </w:r>
          </w:p>
        </w:tc>
        <w:tc>
          <w:tcPr>
            <w:tcW w:w="1118" w:type="dxa"/>
            <w:tcBorders>
              <w:top w:val="nil"/>
              <w:left w:val="nil"/>
              <w:bottom w:val="nil"/>
              <w:right w:val="nil"/>
            </w:tcBorders>
            <w:shd w:val="clear" w:color="auto" w:fill="auto"/>
            <w:noWrap/>
            <w:vAlign w:val="bottom"/>
            <w:hideMark/>
          </w:tcPr>
          <w:p w14:paraId="0DA99C5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3EE0A59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0.031</w:t>
            </w:r>
          </w:p>
        </w:tc>
        <w:tc>
          <w:tcPr>
            <w:tcW w:w="943" w:type="dxa"/>
            <w:tcBorders>
              <w:top w:val="nil"/>
              <w:left w:val="nil"/>
              <w:bottom w:val="nil"/>
              <w:right w:val="nil"/>
            </w:tcBorders>
            <w:shd w:val="clear" w:color="auto" w:fill="auto"/>
            <w:noWrap/>
            <w:vAlign w:val="bottom"/>
            <w:hideMark/>
          </w:tcPr>
          <w:p w14:paraId="4B3CFA0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D50C18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1E1D097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B02227B"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BF19E40"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F50E7B8"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5DD68264"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472A792B"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21373DD4" w14:textId="77777777" w:rsidR="00CA61FB" w:rsidRPr="00AB729D" w:rsidRDefault="00CA61FB" w:rsidP="00CA61FB">
            <w:pPr>
              <w:spacing w:after="0" w:line="240" w:lineRule="auto"/>
              <w:rPr>
                <w:rFonts w:ascii="Times New Roman" w:eastAsia="Times New Roman" w:hAnsi="Times New Roman"/>
                <w:sz w:val="20"/>
                <w:szCs w:val="20"/>
              </w:rPr>
            </w:pPr>
          </w:p>
        </w:tc>
        <w:tc>
          <w:tcPr>
            <w:tcW w:w="1118" w:type="dxa"/>
            <w:tcBorders>
              <w:top w:val="nil"/>
              <w:left w:val="nil"/>
              <w:bottom w:val="nil"/>
              <w:right w:val="nil"/>
            </w:tcBorders>
            <w:shd w:val="clear" w:color="auto" w:fill="auto"/>
            <w:noWrap/>
            <w:vAlign w:val="bottom"/>
            <w:hideMark/>
          </w:tcPr>
          <w:p w14:paraId="5F4BA77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7465261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(0.689)</w:t>
            </w:r>
          </w:p>
        </w:tc>
        <w:tc>
          <w:tcPr>
            <w:tcW w:w="943" w:type="dxa"/>
            <w:tcBorders>
              <w:top w:val="nil"/>
              <w:left w:val="nil"/>
              <w:bottom w:val="nil"/>
              <w:right w:val="nil"/>
            </w:tcBorders>
            <w:shd w:val="clear" w:color="auto" w:fill="auto"/>
            <w:noWrap/>
            <w:vAlign w:val="bottom"/>
            <w:hideMark/>
          </w:tcPr>
          <w:p w14:paraId="6773760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5384E35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2C1305F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0D8510E"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5AA8A1C"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6A81301B"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791F7723"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128AB2EF"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43773F69"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QIX</w:t>
            </w:r>
          </w:p>
        </w:tc>
        <w:tc>
          <w:tcPr>
            <w:tcW w:w="1118" w:type="dxa"/>
            <w:tcBorders>
              <w:top w:val="nil"/>
              <w:left w:val="nil"/>
              <w:bottom w:val="nil"/>
              <w:right w:val="nil"/>
            </w:tcBorders>
            <w:shd w:val="clear" w:color="auto" w:fill="auto"/>
            <w:noWrap/>
            <w:vAlign w:val="bottom"/>
            <w:hideMark/>
          </w:tcPr>
          <w:p w14:paraId="50C8825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373D7D0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4CF34B11"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-0.042*</w:t>
            </w:r>
          </w:p>
        </w:tc>
        <w:tc>
          <w:tcPr>
            <w:tcW w:w="1196" w:type="dxa"/>
            <w:tcBorders>
              <w:top w:val="nil"/>
              <w:left w:val="nil"/>
              <w:bottom w:val="nil"/>
              <w:right w:val="nil"/>
            </w:tcBorders>
            <w:shd w:val="clear" w:color="auto" w:fill="auto"/>
            <w:noWrap/>
            <w:vAlign w:val="bottom"/>
            <w:hideMark/>
          </w:tcPr>
          <w:p w14:paraId="2C93A1D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36B5A18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7103B19B"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5C16C2A"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585F4D9D"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5B316F61"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06A41BA4"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6DFF345E" w14:textId="77777777" w:rsidR="00CA61FB" w:rsidRPr="00AB729D" w:rsidRDefault="00CA61FB" w:rsidP="00CA61FB">
            <w:pPr>
              <w:spacing w:after="0" w:line="240" w:lineRule="auto"/>
              <w:rPr>
                <w:rFonts w:ascii="Times New Roman" w:eastAsia="Times New Roman" w:hAnsi="Times New Roman"/>
                <w:sz w:val="20"/>
                <w:szCs w:val="20"/>
              </w:rPr>
            </w:pPr>
          </w:p>
        </w:tc>
        <w:tc>
          <w:tcPr>
            <w:tcW w:w="1118" w:type="dxa"/>
            <w:tcBorders>
              <w:top w:val="nil"/>
              <w:left w:val="nil"/>
              <w:bottom w:val="nil"/>
              <w:right w:val="nil"/>
            </w:tcBorders>
            <w:shd w:val="clear" w:color="auto" w:fill="auto"/>
            <w:noWrap/>
            <w:vAlign w:val="bottom"/>
            <w:hideMark/>
          </w:tcPr>
          <w:p w14:paraId="7288E72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0919418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28F48B7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(-1.766)</w:t>
            </w:r>
          </w:p>
        </w:tc>
        <w:tc>
          <w:tcPr>
            <w:tcW w:w="1196" w:type="dxa"/>
            <w:tcBorders>
              <w:top w:val="nil"/>
              <w:left w:val="nil"/>
              <w:bottom w:val="nil"/>
              <w:right w:val="nil"/>
            </w:tcBorders>
            <w:shd w:val="clear" w:color="auto" w:fill="auto"/>
            <w:noWrap/>
            <w:vAlign w:val="bottom"/>
            <w:hideMark/>
          </w:tcPr>
          <w:p w14:paraId="4897853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7DE43C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24DC11DA"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9A58DC5"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F3C9389"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61F4C7DC"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6A8A03AE"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60C51873"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TRA</w:t>
            </w:r>
          </w:p>
        </w:tc>
        <w:tc>
          <w:tcPr>
            <w:tcW w:w="1118" w:type="dxa"/>
            <w:tcBorders>
              <w:top w:val="nil"/>
              <w:left w:val="nil"/>
              <w:bottom w:val="nil"/>
              <w:right w:val="nil"/>
            </w:tcBorders>
            <w:shd w:val="clear" w:color="auto" w:fill="auto"/>
            <w:noWrap/>
            <w:vAlign w:val="bottom"/>
            <w:hideMark/>
          </w:tcPr>
          <w:p w14:paraId="0447E4A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551A705E"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7255A05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59F5DDE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0.099***</w:t>
            </w:r>
          </w:p>
        </w:tc>
        <w:tc>
          <w:tcPr>
            <w:tcW w:w="1196" w:type="dxa"/>
            <w:tcBorders>
              <w:top w:val="nil"/>
              <w:left w:val="nil"/>
              <w:bottom w:val="nil"/>
              <w:right w:val="nil"/>
            </w:tcBorders>
            <w:shd w:val="clear" w:color="auto" w:fill="auto"/>
            <w:noWrap/>
            <w:vAlign w:val="bottom"/>
            <w:hideMark/>
          </w:tcPr>
          <w:p w14:paraId="4850050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0DE746D"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12555FC"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0607CF7"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10A6D019"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5644EE35"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4BBC260C" w14:textId="77777777" w:rsidR="00CA61FB" w:rsidRPr="00AB729D" w:rsidRDefault="00CA61FB" w:rsidP="00CA61FB">
            <w:pPr>
              <w:spacing w:after="0" w:line="240" w:lineRule="auto"/>
              <w:rPr>
                <w:rFonts w:ascii="Times New Roman" w:eastAsia="Times New Roman" w:hAnsi="Times New Roman"/>
                <w:sz w:val="20"/>
                <w:szCs w:val="20"/>
              </w:rPr>
            </w:pPr>
          </w:p>
        </w:tc>
        <w:tc>
          <w:tcPr>
            <w:tcW w:w="1118" w:type="dxa"/>
            <w:tcBorders>
              <w:top w:val="nil"/>
              <w:left w:val="nil"/>
              <w:bottom w:val="nil"/>
              <w:right w:val="nil"/>
            </w:tcBorders>
            <w:shd w:val="clear" w:color="auto" w:fill="auto"/>
            <w:noWrap/>
            <w:vAlign w:val="bottom"/>
            <w:hideMark/>
          </w:tcPr>
          <w:p w14:paraId="0C0C85B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18" w:type="dxa"/>
            <w:tcBorders>
              <w:top w:val="nil"/>
              <w:left w:val="nil"/>
              <w:bottom w:val="nil"/>
              <w:right w:val="nil"/>
            </w:tcBorders>
            <w:shd w:val="clear" w:color="auto" w:fill="auto"/>
            <w:noWrap/>
            <w:vAlign w:val="bottom"/>
            <w:hideMark/>
          </w:tcPr>
          <w:p w14:paraId="57733BF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943" w:type="dxa"/>
            <w:tcBorders>
              <w:top w:val="nil"/>
              <w:left w:val="nil"/>
              <w:bottom w:val="nil"/>
              <w:right w:val="nil"/>
            </w:tcBorders>
            <w:shd w:val="clear" w:color="auto" w:fill="auto"/>
            <w:noWrap/>
            <w:vAlign w:val="bottom"/>
            <w:hideMark/>
          </w:tcPr>
          <w:p w14:paraId="7ACF3A5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w:t>
            </w:r>
          </w:p>
        </w:tc>
        <w:tc>
          <w:tcPr>
            <w:tcW w:w="1196" w:type="dxa"/>
            <w:tcBorders>
              <w:top w:val="nil"/>
              <w:left w:val="nil"/>
              <w:bottom w:val="nil"/>
              <w:right w:val="nil"/>
            </w:tcBorders>
            <w:shd w:val="clear" w:color="auto" w:fill="auto"/>
            <w:noWrap/>
            <w:vAlign w:val="bottom"/>
            <w:hideMark/>
          </w:tcPr>
          <w:p w14:paraId="7AFDA80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(2.822)</w:t>
            </w:r>
          </w:p>
        </w:tc>
        <w:tc>
          <w:tcPr>
            <w:tcW w:w="1196" w:type="dxa"/>
            <w:tcBorders>
              <w:top w:val="nil"/>
              <w:left w:val="nil"/>
              <w:bottom w:val="nil"/>
              <w:right w:val="nil"/>
            </w:tcBorders>
            <w:shd w:val="clear" w:color="auto" w:fill="auto"/>
            <w:noWrap/>
            <w:vAlign w:val="bottom"/>
            <w:hideMark/>
          </w:tcPr>
          <w:p w14:paraId="70248DD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561E425"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577A2918"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4876CC4"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5A645605"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5948D321"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2D7352C7"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Controls</w:t>
            </w:r>
          </w:p>
        </w:tc>
        <w:tc>
          <w:tcPr>
            <w:tcW w:w="1118" w:type="dxa"/>
            <w:tcBorders>
              <w:top w:val="nil"/>
              <w:left w:val="nil"/>
              <w:bottom w:val="nil"/>
              <w:right w:val="nil"/>
            </w:tcBorders>
            <w:shd w:val="clear" w:color="auto" w:fill="auto"/>
            <w:noWrap/>
            <w:vAlign w:val="bottom"/>
            <w:hideMark/>
          </w:tcPr>
          <w:p w14:paraId="3C3B68DF"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4E32FEEA"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156A30E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25E3A66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2972862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2991080B"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3BEE563A"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16ECCCE"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52B3DD97"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7FF9F8CD"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59D87AB2"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 xml:space="preserve">Year </w:t>
            </w:r>
          </w:p>
        </w:tc>
        <w:tc>
          <w:tcPr>
            <w:tcW w:w="1118" w:type="dxa"/>
            <w:tcBorders>
              <w:top w:val="nil"/>
              <w:left w:val="nil"/>
              <w:bottom w:val="nil"/>
              <w:right w:val="nil"/>
            </w:tcBorders>
            <w:shd w:val="clear" w:color="auto" w:fill="auto"/>
            <w:noWrap/>
            <w:vAlign w:val="bottom"/>
            <w:hideMark/>
          </w:tcPr>
          <w:p w14:paraId="60E7D31B"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389AA7D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2025FF09"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6CB5AF85"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111B647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62E94F3D"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B91D198"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1422866B"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0B8B7451"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0AA67FCF"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33CAC536"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Industry</w:t>
            </w:r>
          </w:p>
        </w:tc>
        <w:tc>
          <w:tcPr>
            <w:tcW w:w="1118" w:type="dxa"/>
            <w:tcBorders>
              <w:top w:val="nil"/>
              <w:left w:val="nil"/>
              <w:bottom w:val="nil"/>
              <w:right w:val="nil"/>
            </w:tcBorders>
            <w:shd w:val="clear" w:color="auto" w:fill="auto"/>
            <w:noWrap/>
            <w:vAlign w:val="bottom"/>
            <w:hideMark/>
          </w:tcPr>
          <w:p w14:paraId="04FC8276"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18" w:type="dxa"/>
            <w:tcBorders>
              <w:top w:val="nil"/>
              <w:left w:val="nil"/>
              <w:bottom w:val="nil"/>
              <w:right w:val="nil"/>
            </w:tcBorders>
            <w:shd w:val="clear" w:color="auto" w:fill="auto"/>
            <w:noWrap/>
            <w:vAlign w:val="bottom"/>
            <w:hideMark/>
          </w:tcPr>
          <w:p w14:paraId="6625942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943" w:type="dxa"/>
            <w:tcBorders>
              <w:top w:val="nil"/>
              <w:left w:val="nil"/>
              <w:bottom w:val="nil"/>
              <w:right w:val="nil"/>
            </w:tcBorders>
            <w:shd w:val="clear" w:color="auto" w:fill="auto"/>
            <w:noWrap/>
            <w:vAlign w:val="bottom"/>
            <w:hideMark/>
          </w:tcPr>
          <w:p w14:paraId="4AB25BB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37762FE3"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Y</w:t>
            </w:r>
          </w:p>
        </w:tc>
        <w:tc>
          <w:tcPr>
            <w:tcW w:w="1196" w:type="dxa"/>
            <w:tcBorders>
              <w:top w:val="nil"/>
              <w:left w:val="nil"/>
              <w:bottom w:val="nil"/>
              <w:right w:val="nil"/>
            </w:tcBorders>
            <w:shd w:val="clear" w:color="auto" w:fill="auto"/>
            <w:noWrap/>
            <w:vAlign w:val="bottom"/>
            <w:hideMark/>
          </w:tcPr>
          <w:p w14:paraId="4C17E338"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4B74A752"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5543D5AC"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668FC01"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24988802"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470A88A5" w14:textId="77777777" w:rsidTr="00CA61FB">
        <w:trPr>
          <w:trHeight w:val="312"/>
          <w:jc w:val="center"/>
        </w:trPr>
        <w:tc>
          <w:tcPr>
            <w:tcW w:w="1217" w:type="dxa"/>
            <w:tcBorders>
              <w:top w:val="nil"/>
              <w:left w:val="nil"/>
              <w:bottom w:val="nil"/>
              <w:right w:val="nil"/>
            </w:tcBorders>
            <w:shd w:val="clear" w:color="auto" w:fill="auto"/>
            <w:noWrap/>
            <w:vAlign w:val="bottom"/>
            <w:hideMark/>
          </w:tcPr>
          <w:p w14:paraId="3081DBD3"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No. of obs.</w:t>
            </w:r>
          </w:p>
        </w:tc>
        <w:tc>
          <w:tcPr>
            <w:tcW w:w="1118" w:type="dxa"/>
            <w:tcBorders>
              <w:top w:val="nil"/>
              <w:left w:val="nil"/>
              <w:bottom w:val="nil"/>
              <w:right w:val="nil"/>
            </w:tcBorders>
            <w:shd w:val="clear" w:color="auto" w:fill="auto"/>
            <w:noWrap/>
            <w:vAlign w:val="bottom"/>
            <w:hideMark/>
          </w:tcPr>
          <w:p w14:paraId="00DB0D44"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5,690</w:t>
            </w:r>
          </w:p>
        </w:tc>
        <w:tc>
          <w:tcPr>
            <w:tcW w:w="1118" w:type="dxa"/>
            <w:tcBorders>
              <w:top w:val="nil"/>
              <w:left w:val="nil"/>
              <w:bottom w:val="nil"/>
              <w:right w:val="nil"/>
            </w:tcBorders>
            <w:shd w:val="clear" w:color="auto" w:fill="auto"/>
            <w:noWrap/>
            <w:vAlign w:val="bottom"/>
            <w:hideMark/>
          </w:tcPr>
          <w:p w14:paraId="6E98947C"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5,690</w:t>
            </w:r>
          </w:p>
        </w:tc>
        <w:tc>
          <w:tcPr>
            <w:tcW w:w="943" w:type="dxa"/>
            <w:tcBorders>
              <w:top w:val="nil"/>
              <w:left w:val="nil"/>
              <w:bottom w:val="nil"/>
              <w:right w:val="nil"/>
            </w:tcBorders>
            <w:shd w:val="clear" w:color="auto" w:fill="auto"/>
            <w:noWrap/>
            <w:vAlign w:val="bottom"/>
            <w:hideMark/>
          </w:tcPr>
          <w:p w14:paraId="6E854E6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5,690</w:t>
            </w:r>
          </w:p>
        </w:tc>
        <w:tc>
          <w:tcPr>
            <w:tcW w:w="1196" w:type="dxa"/>
            <w:tcBorders>
              <w:top w:val="nil"/>
              <w:left w:val="nil"/>
              <w:bottom w:val="nil"/>
              <w:right w:val="nil"/>
            </w:tcBorders>
            <w:shd w:val="clear" w:color="auto" w:fill="auto"/>
            <w:noWrap/>
            <w:vAlign w:val="bottom"/>
            <w:hideMark/>
          </w:tcPr>
          <w:p w14:paraId="0B1CFC37"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5,690</w:t>
            </w:r>
          </w:p>
        </w:tc>
        <w:tc>
          <w:tcPr>
            <w:tcW w:w="1196" w:type="dxa"/>
            <w:tcBorders>
              <w:top w:val="nil"/>
              <w:left w:val="nil"/>
              <w:bottom w:val="nil"/>
              <w:right w:val="nil"/>
            </w:tcBorders>
            <w:shd w:val="clear" w:color="auto" w:fill="auto"/>
            <w:noWrap/>
            <w:vAlign w:val="bottom"/>
            <w:hideMark/>
          </w:tcPr>
          <w:p w14:paraId="7204922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34671F7C"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32F98B5"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04024E98"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678DD3FD" w14:textId="77777777" w:rsidR="00CA61FB" w:rsidRPr="00AB729D" w:rsidRDefault="00CA61FB" w:rsidP="00CA61FB">
            <w:pPr>
              <w:spacing w:after="0" w:line="240" w:lineRule="auto"/>
              <w:rPr>
                <w:rFonts w:ascii="Times New Roman" w:eastAsia="Times New Roman" w:hAnsi="Times New Roman"/>
                <w:sz w:val="20"/>
                <w:szCs w:val="20"/>
              </w:rPr>
            </w:pPr>
          </w:p>
        </w:tc>
      </w:tr>
      <w:tr w:rsidR="00CA61FB" w:rsidRPr="00AB729D" w14:paraId="5D7D2DBC" w14:textId="77777777" w:rsidTr="00CA61FB">
        <w:trPr>
          <w:trHeight w:val="312"/>
          <w:jc w:val="center"/>
        </w:trPr>
        <w:tc>
          <w:tcPr>
            <w:tcW w:w="1217" w:type="dxa"/>
            <w:tcBorders>
              <w:top w:val="nil"/>
              <w:left w:val="nil"/>
              <w:bottom w:val="single" w:sz="4" w:space="0" w:color="auto"/>
              <w:right w:val="nil"/>
            </w:tcBorders>
            <w:shd w:val="clear" w:color="auto" w:fill="auto"/>
            <w:noWrap/>
            <w:vAlign w:val="bottom"/>
            <w:hideMark/>
          </w:tcPr>
          <w:p w14:paraId="7A2905D1" w14:textId="77777777" w:rsidR="00CA61FB" w:rsidRPr="00AB729D" w:rsidRDefault="00CA61FB" w:rsidP="00CA61FB">
            <w:pPr>
              <w:spacing w:after="0" w:line="240" w:lineRule="auto"/>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Adj.R2</w:t>
            </w:r>
          </w:p>
        </w:tc>
        <w:tc>
          <w:tcPr>
            <w:tcW w:w="1118" w:type="dxa"/>
            <w:tcBorders>
              <w:top w:val="nil"/>
              <w:left w:val="nil"/>
              <w:bottom w:val="single" w:sz="4" w:space="0" w:color="auto"/>
              <w:right w:val="nil"/>
            </w:tcBorders>
            <w:shd w:val="clear" w:color="auto" w:fill="auto"/>
            <w:noWrap/>
            <w:vAlign w:val="bottom"/>
            <w:hideMark/>
          </w:tcPr>
          <w:p w14:paraId="12D1280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0.037</w:t>
            </w:r>
          </w:p>
        </w:tc>
        <w:tc>
          <w:tcPr>
            <w:tcW w:w="1118" w:type="dxa"/>
            <w:tcBorders>
              <w:top w:val="nil"/>
              <w:left w:val="nil"/>
              <w:bottom w:val="single" w:sz="4" w:space="0" w:color="auto"/>
              <w:right w:val="nil"/>
            </w:tcBorders>
            <w:shd w:val="clear" w:color="auto" w:fill="auto"/>
            <w:noWrap/>
            <w:vAlign w:val="bottom"/>
            <w:hideMark/>
          </w:tcPr>
          <w:p w14:paraId="7CF85240"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0.037</w:t>
            </w:r>
          </w:p>
        </w:tc>
        <w:tc>
          <w:tcPr>
            <w:tcW w:w="943" w:type="dxa"/>
            <w:tcBorders>
              <w:top w:val="nil"/>
              <w:left w:val="nil"/>
              <w:bottom w:val="single" w:sz="4" w:space="0" w:color="auto"/>
              <w:right w:val="nil"/>
            </w:tcBorders>
            <w:shd w:val="clear" w:color="auto" w:fill="auto"/>
            <w:noWrap/>
            <w:vAlign w:val="bottom"/>
            <w:hideMark/>
          </w:tcPr>
          <w:p w14:paraId="5D7861A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0.037</w:t>
            </w:r>
          </w:p>
        </w:tc>
        <w:tc>
          <w:tcPr>
            <w:tcW w:w="1196" w:type="dxa"/>
            <w:tcBorders>
              <w:top w:val="nil"/>
              <w:left w:val="nil"/>
              <w:bottom w:val="single" w:sz="4" w:space="0" w:color="auto"/>
              <w:right w:val="nil"/>
            </w:tcBorders>
            <w:shd w:val="clear" w:color="auto" w:fill="auto"/>
            <w:noWrap/>
            <w:vAlign w:val="bottom"/>
            <w:hideMark/>
          </w:tcPr>
          <w:p w14:paraId="6E481092"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r w:rsidRPr="00AB729D">
              <w:rPr>
                <w:rFonts w:ascii="Times New Roman" w:eastAsia="Times New Roman" w:hAnsi="Times New Roman"/>
                <w:color w:val="000000"/>
                <w:sz w:val="20"/>
                <w:szCs w:val="20"/>
              </w:rPr>
              <w:t>0.037</w:t>
            </w:r>
          </w:p>
        </w:tc>
        <w:tc>
          <w:tcPr>
            <w:tcW w:w="1196" w:type="dxa"/>
            <w:tcBorders>
              <w:top w:val="nil"/>
              <w:left w:val="nil"/>
              <w:bottom w:val="nil"/>
              <w:right w:val="nil"/>
            </w:tcBorders>
            <w:shd w:val="clear" w:color="auto" w:fill="auto"/>
            <w:noWrap/>
            <w:vAlign w:val="bottom"/>
            <w:hideMark/>
          </w:tcPr>
          <w:p w14:paraId="5DB0B25D" w14:textId="77777777" w:rsidR="00CA61FB" w:rsidRPr="00AB729D" w:rsidRDefault="00CA61FB" w:rsidP="00CA61FB">
            <w:pPr>
              <w:spacing w:after="0" w:line="240" w:lineRule="auto"/>
              <w:jc w:val="center"/>
              <w:rPr>
                <w:rFonts w:ascii="Times New Roman" w:eastAsia="Times New Roman" w:hAnsi="Times New Roman"/>
                <w:color w:val="000000"/>
                <w:sz w:val="20"/>
                <w:szCs w:val="20"/>
              </w:rPr>
            </w:pPr>
          </w:p>
        </w:tc>
        <w:tc>
          <w:tcPr>
            <w:tcW w:w="980" w:type="dxa"/>
            <w:tcBorders>
              <w:top w:val="nil"/>
              <w:left w:val="nil"/>
              <w:bottom w:val="nil"/>
              <w:right w:val="nil"/>
            </w:tcBorders>
            <w:shd w:val="clear" w:color="auto" w:fill="auto"/>
            <w:noWrap/>
            <w:vAlign w:val="bottom"/>
            <w:hideMark/>
          </w:tcPr>
          <w:p w14:paraId="5EB78767" w14:textId="77777777" w:rsidR="00CA61FB" w:rsidRPr="00AB729D" w:rsidRDefault="00CA61FB" w:rsidP="00CA61FB">
            <w:pPr>
              <w:spacing w:after="0" w:line="240" w:lineRule="auto"/>
              <w:jc w:val="center"/>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1D270A8" w14:textId="77777777" w:rsidR="00CA61FB" w:rsidRPr="00AB729D" w:rsidRDefault="00CA61FB" w:rsidP="00CA61FB">
            <w:pPr>
              <w:spacing w:after="0" w:line="240" w:lineRule="auto"/>
              <w:rPr>
                <w:rFonts w:ascii="Times New Roman" w:eastAsia="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4138A8A2" w14:textId="77777777" w:rsidR="00CA61FB" w:rsidRPr="00AB729D" w:rsidRDefault="00CA61FB" w:rsidP="00CA61FB">
            <w:pPr>
              <w:spacing w:after="0" w:line="240" w:lineRule="auto"/>
              <w:rPr>
                <w:rFonts w:ascii="Times New Roman" w:eastAsia="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35AA3342" w14:textId="77777777" w:rsidR="00CA61FB" w:rsidRPr="00AB729D" w:rsidRDefault="00CA61FB" w:rsidP="00CA61FB">
            <w:pPr>
              <w:spacing w:after="0" w:line="240" w:lineRule="auto"/>
              <w:rPr>
                <w:rFonts w:ascii="Times New Roman" w:eastAsia="Times New Roman" w:hAnsi="Times New Roman"/>
                <w:sz w:val="20"/>
                <w:szCs w:val="20"/>
              </w:rPr>
            </w:pPr>
          </w:p>
        </w:tc>
      </w:tr>
    </w:tbl>
    <w:p w14:paraId="2664FB8A" w14:textId="77777777" w:rsidR="00765077" w:rsidRPr="00AB729D" w:rsidRDefault="00765077" w:rsidP="00765077"/>
    <w:p w14:paraId="504BA5E8" w14:textId="0B9AE337" w:rsidR="00CA61FB" w:rsidRPr="00AB729D" w:rsidRDefault="00A6741B" w:rsidP="00CA61FB">
      <w:pPr>
        <w:spacing w:after="0" w:line="240" w:lineRule="auto"/>
        <w:jc w:val="both"/>
        <w:rPr>
          <w:rFonts w:ascii="Times New Roman" w:eastAsia="Times New Roman" w:hAnsi="Times New Roman"/>
          <w:sz w:val="20"/>
          <w:szCs w:val="20"/>
        </w:rPr>
      </w:pPr>
      <w:r w:rsidRPr="00AB729D">
        <w:rPr>
          <w:rFonts w:ascii="Times New Roman" w:hAnsi="Times New Roman"/>
          <w:color w:val="000000" w:themeColor="text1"/>
          <w:sz w:val="20"/>
          <w:szCs w:val="20"/>
        </w:rPr>
        <w:t>This table reports the results from the baseline regression under the context of different subsamples</w:t>
      </w:r>
      <w:r w:rsidR="00CA61FB" w:rsidRPr="00AB729D">
        <w:rPr>
          <w:rFonts w:ascii="Times New Roman" w:hAnsi="Times New Roman"/>
          <w:color w:val="000000" w:themeColor="text1"/>
          <w:sz w:val="20"/>
          <w:szCs w:val="20"/>
        </w:rPr>
        <w:t>.</w:t>
      </w:r>
      <w:r w:rsidRPr="00AB729D">
        <w:rPr>
          <w:rFonts w:ascii="Times New Roman" w:hAnsi="Times New Roman"/>
          <w:color w:val="000000" w:themeColor="text1"/>
          <w:sz w:val="20"/>
          <w:szCs w:val="20"/>
        </w:rPr>
        <w:t xml:space="preserve"> </w:t>
      </w:r>
      <w:r w:rsidR="00CA61FB" w:rsidRPr="00AB729D">
        <w:rPr>
          <w:rFonts w:ascii="Times New Roman" w:hAnsi="Times New Roman"/>
          <w:color w:val="000000" w:themeColor="text1"/>
          <w:sz w:val="20"/>
          <w:szCs w:val="20"/>
        </w:rPr>
        <w:t>T</w:t>
      </w:r>
      <w:r w:rsidRPr="00AB729D">
        <w:rPr>
          <w:rFonts w:ascii="Times New Roman" w:hAnsi="Times New Roman"/>
          <w:color w:val="000000" w:themeColor="text1"/>
          <w:sz w:val="20"/>
          <w:szCs w:val="20"/>
        </w:rPr>
        <w:t xml:space="preserve">he dependent variable is the </w:t>
      </w:r>
      <w:r w:rsidR="00CA61FB" w:rsidRPr="00AB729D">
        <w:rPr>
          <w:rFonts w:ascii="Times New Roman" w:hAnsi="Times New Roman"/>
          <w:color w:val="000000" w:themeColor="text1"/>
          <w:sz w:val="20"/>
          <w:szCs w:val="20"/>
        </w:rPr>
        <w:t>EXVRK</w:t>
      </w:r>
      <w:r w:rsidR="00C17E17" w:rsidRPr="00AB729D">
        <w:rPr>
          <w:rFonts w:ascii="Times New Roman" w:hAnsi="Times New Roman"/>
          <w:color w:val="000000" w:themeColor="text1"/>
          <w:sz w:val="20"/>
          <w:szCs w:val="20"/>
        </w:rPr>
        <w:t xml:space="preserve"> (We also run the regressions with EXVIA and EXVRI as dependent variables. However, the results are very similar to the EXVRK. So, we have decided to only report EXVRK estimations)</w:t>
      </w:r>
      <w:r w:rsidRPr="00AB729D">
        <w:rPr>
          <w:rFonts w:ascii="Times New Roman" w:hAnsi="Times New Roman"/>
          <w:color w:val="000000" w:themeColor="text1"/>
          <w:sz w:val="20"/>
          <w:szCs w:val="20"/>
        </w:rPr>
        <w:t>.</w:t>
      </w:r>
      <w:r w:rsidR="00625868" w:rsidRPr="00AB729D">
        <w:rPr>
          <w:rFonts w:ascii="Times New Roman" w:hAnsi="Times New Roman"/>
          <w:color w:val="000000" w:themeColor="text1"/>
          <w:sz w:val="20"/>
          <w:szCs w:val="20"/>
        </w:rPr>
        <w:t xml:space="preserve"> </w:t>
      </w:r>
      <w:bookmarkStart w:id="15" w:name="_Hlk44410237"/>
      <w:r w:rsidR="00625868" w:rsidRPr="00AB729D">
        <w:rPr>
          <w:rFonts w:ascii="Times New Roman" w:hAnsi="Times New Roman"/>
          <w:color w:val="000000" w:themeColor="text1"/>
          <w:sz w:val="20"/>
          <w:szCs w:val="20"/>
        </w:rPr>
        <w:t xml:space="preserve">The control variables are as same as the one that we have for baseline regressions. So, we have decided to reduce the table and report only key </w:t>
      </w:r>
      <w:bookmarkEnd w:id="15"/>
      <w:r w:rsidR="00625868" w:rsidRPr="00AB729D">
        <w:rPr>
          <w:rFonts w:ascii="Times New Roman" w:hAnsi="Times New Roman"/>
          <w:color w:val="000000" w:themeColor="text1"/>
          <w:sz w:val="20"/>
          <w:szCs w:val="20"/>
        </w:rPr>
        <w:t>variables.</w:t>
      </w:r>
      <w:r w:rsidR="00625868" w:rsidRPr="00AB729D">
        <w:rPr>
          <w:rStyle w:val="Hyperlink"/>
          <w:rFonts w:ascii="Times New Roman" w:hAnsi="Times New Roman"/>
          <w:sz w:val="24"/>
          <w:szCs w:val="24"/>
        </w:rPr>
        <w:t xml:space="preserve"> </w:t>
      </w:r>
      <w:r w:rsidRPr="00AB729D">
        <w:rPr>
          <w:rFonts w:ascii="Times New Roman" w:hAnsi="Times New Roman"/>
          <w:color w:val="000000" w:themeColor="text1"/>
          <w:sz w:val="20"/>
          <w:szCs w:val="20"/>
        </w:rPr>
        <w:t xml:space="preserve"> </w:t>
      </w:r>
      <w:r w:rsidR="00CA61FB" w:rsidRPr="00AB729D">
        <w:rPr>
          <w:rFonts w:ascii="Times New Roman" w:eastAsia="Times New Roman" w:hAnsi="Times New Roman"/>
          <w:sz w:val="20"/>
          <w:szCs w:val="20"/>
        </w:rPr>
        <w:t>The variables are defined in Table 2. T-statistics are reported in parentheses. *, **, *** represent statistical significance at the 10%, 5% and 1% level, respectively.</w:t>
      </w:r>
    </w:p>
    <w:p w14:paraId="65675E21" w14:textId="01289D96" w:rsidR="00765077" w:rsidRPr="00AB729D" w:rsidRDefault="00765077" w:rsidP="00765077"/>
    <w:p w14:paraId="2F09853B" w14:textId="0B12A598" w:rsidR="00765077" w:rsidRPr="00AB729D" w:rsidRDefault="00765077" w:rsidP="00765077">
      <w:pPr>
        <w:sectPr w:rsidR="00765077" w:rsidRPr="00AB729D" w:rsidSect="008D4216">
          <w:pgSz w:w="12240" w:h="15840"/>
          <w:pgMar w:top="1440" w:right="1440" w:bottom="1440" w:left="1440" w:header="720" w:footer="720" w:gutter="0"/>
          <w:cols w:space="720"/>
          <w:docGrid w:linePitch="360"/>
        </w:sectPr>
      </w:pPr>
    </w:p>
    <w:bookmarkEnd w:id="14"/>
    <w:p w14:paraId="4A003550" w14:textId="69E46B8D" w:rsidR="00565F02" w:rsidRPr="00AB729D" w:rsidRDefault="00565F02" w:rsidP="00565F02">
      <w:pPr>
        <w:pStyle w:val="Heading1"/>
        <w:jc w:val="center"/>
        <w:rPr>
          <w:rFonts w:asciiTheme="majorBidi" w:eastAsia="Times New Roman" w:hAnsiTheme="majorBidi"/>
          <w:color w:val="auto"/>
          <w:sz w:val="24"/>
          <w:szCs w:val="24"/>
        </w:rPr>
      </w:pPr>
      <w:r w:rsidRPr="00AB729D">
        <w:rPr>
          <w:rFonts w:asciiTheme="majorBidi" w:eastAsia="Times New Roman" w:hAnsiTheme="majorBidi"/>
          <w:color w:val="auto"/>
          <w:sz w:val="24"/>
          <w:szCs w:val="24"/>
        </w:rPr>
        <w:lastRenderedPageBreak/>
        <w:t>REF</w:t>
      </w:r>
      <w:r w:rsidR="00B13A26" w:rsidRPr="00AB729D">
        <w:rPr>
          <w:rFonts w:asciiTheme="majorBidi" w:eastAsia="Times New Roman" w:hAnsiTheme="majorBidi"/>
          <w:color w:val="auto"/>
          <w:sz w:val="24"/>
          <w:szCs w:val="24"/>
        </w:rPr>
        <w:t>E</w:t>
      </w:r>
      <w:r w:rsidRPr="00AB729D">
        <w:rPr>
          <w:rFonts w:asciiTheme="majorBidi" w:eastAsia="Times New Roman" w:hAnsiTheme="majorBidi"/>
          <w:color w:val="auto"/>
          <w:sz w:val="24"/>
          <w:szCs w:val="24"/>
        </w:rPr>
        <w:t>RENCES</w:t>
      </w:r>
    </w:p>
    <w:p w14:paraId="3746D682" w14:textId="1F6D952A" w:rsidR="00565F02" w:rsidRPr="00AB729D" w:rsidRDefault="00565F02" w:rsidP="00272B18">
      <w:pPr>
        <w:jc w:val="center"/>
      </w:pPr>
    </w:p>
    <w:p w14:paraId="4D15DAC8"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Baker, Malcolm, and Jeffrey Wurgler, (2006). Investor sentiment and the cross-section of stock returns, The Journal of Finance 61, 1645-1680.</w:t>
      </w:r>
    </w:p>
    <w:p w14:paraId="5A770970"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 xml:space="preserve">Baker, Malcolm, Jeremy C. Stein, and Jeffrey Wurgler, (2003). When does the market matter? Stock prices and the investment of equity-dependent firms, The Quarterly Journal of Economics 118, 969-1005. </w:t>
      </w:r>
    </w:p>
    <w:p w14:paraId="23B20546"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Barber, B. M., &amp; Odean, T., (2008). All that glitters: The effect of attention and news on the buying behavior of individual and institutional investors. Review of Financial Studies, 21(2), 785-818.</w:t>
      </w:r>
    </w:p>
    <w:p w14:paraId="7F81245E"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Barberis, Nicholas, Andrei Shleifer, and Robert Vishny, (1998). A model of investor sentiment, Journal of Financial Economics 49, 307-343.</w:t>
      </w:r>
    </w:p>
    <w:p w14:paraId="185D3777"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Bartov, Eli, Suresh Radhakrishnan, and Itzhak Krinsky, (2000). Investor sophistication and patterns in stock returns after earnings announcements, The Accounting Review 75, pp. 43-63.</w:t>
      </w:r>
    </w:p>
    <w:p w14:paraId="7739F23A"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Blume, M. E., &amp; Keim, D. B., (2012). Institutional investors and stock market liquidity: trends and relationships. Available at SSRN 2147757.</w:t>
      </w:r>
    </w:p>
    <w:p w14:paraId="050E8D91" w14:textId="31422942"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Boehmer, E., &amp; Kelley, E. K., (2009). Institutional investors and the informational efficiency of prices. Review of Financial Studies, 22(9), 3563-3594.</w:t>
      </w:r>
    </w:p>
    <w:p w14:paraId="1A5995C5"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Bonaimé, A. A., Öztekin, Ö., &amp; Warr, R. S., (2014). Capital structure, equity mispricing, and stock repurchases. Journal of Corporate Finance, 26, 182-200.</w:t>
      </w:r>
    </w:p>
    <w:p w14:paraId="3FE99EDD"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Bushee, B. J. (1998). The Influence of Institutional Investors on Myopic R&amp;D Investment Behavior, Accounting Review, 73, 19 - 45.</w:t>
      </w:r>
    </w:p>
    <w:p w14:paraId="00804866"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Bushee, B. J. (2001). Do institutional investors prefer near‐term earnings over long‐run value? Contemporary Accounting Research, 18(2), 207-246.</w:t>
      </w:r>
    </w:p>
    <w:p w14:paraId="3CC68029" w14:textId="37F56277" w:rsidR="00C549A0" w:rsidRPr="00AB729D" w:rsidRDefault="00C549A0"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Bushee, B. J., &amp; Noe, C. F. (2000). Corporate disclosure practices, institutional investors, and stock return volatility. Journal of accounting research, 171-202.</w:t>
      </w:r>
    </w:p>
    <w:p w14:paraId="546628CD"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Campello, M., &amp; Graham, J. R., (2013). Do stock prices influence corporate decisions? Evidence from the technology bubble. Journal of Financial Economics, 107(1), 89-110.</w:t>
      </w:r>
    </w:p>
    <w:p w14:paraId="1466F016" w14:textId="6886893A" w:rsidR="00E955BE" w:rsidRPr="00AB729D" w:rsidRDefault="00E955BE"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Chakrabarty, B., Moulton, P., &amp; Trzcinka, C., (2017). The performance of short-term institutional trades. Journal of Financial &amp; Quantitative Analysis, 52(4), 1403-1428.</w:t>
      </w:r>
    </w:p>
    <w:p w14:paraId="0283DA1B" w14:textId="363B1A26"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Chen, X., Harford, J., Li, K. (2007). Monitoring: Which institutions matter? Journal of Financial Economics 86, 279-305.</w:t>
      </w:r>
    </w:p>
    <w:p w14:paraId="1752F6FB"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Chirinko, R. S., &amp; Schaller, H., (2001). Business fixed investment and" bubbles": the Japanese case. American Economic Review, 663-680.</w:t>
      </w:r>
    </w:p>
    <w:p w14:paraId="65F096C5"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lastRenderedPageBreak/>
        <w:t>Cohen, Randolph B., Paul A. Gompers, and Tuomo Vuolteenaho, (2002). Who underreacts to cash-flow news? Evidence from trading between individuals and institutions, Journal of Financial Economics 66, 409-462.</w:t>
      </w:r>
    </w:p>
    <w:p w14:paraId="59D4FCB9"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Collins, Daniel W., Guojin Gong, and Paul Hribar, (2003). Investor sophistication and the mispricing of accruals, Review of Accounting Studies 8, 251-276.</w:t>
      </w:r>
    </w:p>
    <w:p w14:paraId="75AE8D2D"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Cremers, M. and Pareek, A., ’Institutional investors’ investment durations and stock return anomalies: momentum, reversal, accruals, share issuance and R&amp;D increases’, Working Paper (Yale University, 2011).</w:t>
      </w:r>
    </w:p>
    <w:p w14:paraId="446AE7F7"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Daniel, Kent, David Hirshleifer, and Avanidhar Subrahmanyam, (1998). Investor psychology and security market under- and overreactions, The Journal of Finance 53, 1839-1885.</w:t>
      </w:r>
    </w:p>
    <w:p w14:paraId="5451C8DE"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Derrien, F., Kecskés, A., &amp; Thesmar, D., (2013). Investor horizons and corporate policies. Journal of Financial and Quantitative Analysis, 48(06), 1755-1780.</w:t>
      </w:r>
    </w:p>
    <w:p w14:paraId="6093DA31"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 xml:space="preserve">Elyasiani, E., and J. J. Jia, (2008), Institutional Ownership Stability and BHC Performance, Journal of Banking and Finance, 32 (9): 1767-1781. </w:t>
      </w:r>
    </w:p>
    <w:p w14:paraId="23267912" w14:textId="2E7821A2"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Elyasiani, E., Jia, J. J., &amp; Mao, C. X., (2010</w:t>
      </w:r>
      <w:r w:rsidR="00217C6C" w:rsidRPr="00AB729D">
        <w:rPr>
          <w:rFonts w:ascii="Times New Roman" w:hAnsi="Times New Roman" w:cs="Times New Roman"/>
          <w:sz w:val="24"/>
          <w:szCs w:val="24"/>
        </w:rPr>
        <w:t xml:space="preserve">). </w:t>
      </w:r>
      <w:r w:rsidRPr="00AB729D">
        <w:rPr>
          <w:rFonts w:ascii="Times New Roman" w:hAnsi="Times New Roman" w:cs="Times New Roman"/>
          <w:sz w:val="24"/>
          <w:szCs w:val="24"/>
        </w:rPr>
        <w:t>Institutional ownership stability and the cost of debt. Journal of Financial Markets, 13(4), 475-500.</w:t>
      </w:r>
    </w:p>
    <w:p w14:paraId="51AF0F4E" w14:textId="1771A107" w:rsidR="00336130" w:rsidRPr="00AB729D" w:rsidRDefault="00336130"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color w:val="222222"/>
          <w:sz w:val="24"/>
          <w:szCs w:val="24"/>
          <w:shd w:val="clear" w:color="auto" w:fill="FFFFFF"/>
        </w:rPr>
        <w:t>Frankel, R., &amp; Lee, C. M. (1998). Accounting valuation, market expectation, and cross-sectional stock returns. </w:t>
      </w:r>
      <w:r w:rsidRPr="00AB729D">
        <w:rPr>
          <w:rFonts w:ascii="Times New Roman" w:hAnsi="Times New Roman" w:cs="Times New Roman"/>
          <w:i/>
          <w:iCs/>
          <w:color w:val="222222"/>
          <w:sz w:val="24"/>
          <w:szCs w:val="24"/>
          <w:shd w:val="clear" w:color="auto" w:fill="FFFFFF"/>
        </w:rPr>
        <w:t>Journal of Accounting and economics</w:t>
      </w:r>
      <w:r w:rsidRPr="00AB729D">
        <w:rPr>
          <w:rFonts w:ascii="Times New Roman" w:hAnsi="Times New Roman" w:cs="Times New Roman"/>
          <w:color w:val="222222"/>
          <w:sz w:val="24"/>
          <w:szCs w:val="24"/>
          <w:shd w:val="clear" w:color="auto" w:fill="FFFFFF"/>
        </w:rPr>
        <w:t>, </w:t>
      </w:r>
      <w:r w:rsidRPr="00AB729D">
        <w:rPr>
          <w:rFonts w:ascii="Times New Roman" w:hAnsi="Times New Roman" w:cs="Times New Roman"/>
          <w:i/>
          <w:iCs/>
          <w:color w:val="222222"/>
          <w:sz w:val="24"/>
          <w:szCs w:val="24"/>
          <w:shd w:val="clear" w:color="auto" w:fill="FFFFFF"/>
        </w:rPr>
        <w:t>25</w:t>
      </w:r>
      <w:r w:rsidRPr="00AB729D">
        <w:rPr>
          <w:rFonts w:ascii="Times New Roman" w:hAnsi="Times New Roman" w:cs="Times New Roman"/>
          <w:color w:val="222222"/>
          <w:sz w:val="24"/>
          <w:szCs w:val="24"/>
          <w:shd w:val="clear" w:color="auto" w:fill="FFFFFF"/>
        </w:rPr>
        <w:t>(3), 283-319.</w:t>
      </w:r>
    </w:p>
    <w:p w14:paraId="4EC4966B" w14:textId="5D314FAC" w:rsidR="005E1234" w:rsidRPr="00AB729D" w:rsidRDefault="005E1234"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 xml:space="preserve">Gompers, P. &amp; </w:t>
      </w:r>
      <w:r w:rsidR="00217C6C" w:rsidRPr="00AB729D">
        <w:rPr>
          <w:rFonts w:ascii="Times New Roman" w:hAnsi="Times New Roman" w:cs="Times New Roman"/>
          <w:sz w:val="24"/>
          <w:szCs w:val="24"/>
        </w:rPr>
        <w:t>Metrick A., (2001). Institutional investors and equity prices. Quarterly Journal of Economics, 116, 229-259.</w:t>
      </w:r>
    </w:p>
    <w:p w14:paraId="42FCF088" w14:textId="5C3A9720"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Jafarinejad, M., Jory, S. R., &amp; Ngo, T. N. (2015). The effects of institutional ownership on the value and risk of diversified firms. International Review of Financial Analysis, 40, 207-219.</w:t>
      </w:r>
    </w:p>
    <w:p w14:paraId="5737F3C1" w14:textId="4904DC71" w:rsidR="009524FC" w:rsidRPr="00AB729D" w:rsidRDefault="009524FC"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Jory, S. R., Ngo, T., &amp; Sakaki, H. (2017). Institutional ownership stability and dividend payout policy. Managerial Finance, 43(10), 1170-1188.</w:t>
      </w:r>
    </w:p>
    <w:p w14:paraId="7CA46D1D"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Ke, B., &amp; Petroni, K. (2004). How informed are actively trading institutional investors? Evidence from their trading behavior before a break in a string of consecutive earnings increases. Journal of Accounting Research, 42(5), 895-927.</w:t>
      </w:r>
    </w:p>
    <w:p w14:paraId="19FB9BAF" w14:textId="0455F7AF"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Lin, J. B., Pantzalis, C., &amp; Park, J. C. (2010). Corporate hedging policy and equity mispricing. Financial Review, 45(3), 803-824.</w:t>
      </w:r>
    </w:p>
    <w:p w14:paraId="710BA247" w14:textId="5AA50CFD" w:rsidR="00336130" w:rsidRPr="00AB729D" w:rsidRDefault="00336130"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color w:val="222222"/>
          <w:sz w:val="24"/>
          <w:szCs w:val="24"/>
          <w:shd w:val="clear" w:color="auto" w:fill="FFFFFF"/>
        </w:rPr>
        <w:t>Ohlson, J. A. (1995). Earnings, book values, and dividends in equity valuation. </w:t>
      </w:r>
      <w:r w:rsidRPr="00AB729D">
        <w:rPr>
          <w:rFonts w:ascii="Times New Roman" w:hAnsi="Times New Roman" w:cs="Times New Roman"/>
          <w:i/>
          <w:iCs/>
          <w:color w:val="222222"/>
          <w:sz w:val="24"/>
          <w:szCs w:val="24"/>
          <w:shd w:val="clear" w:color="auto" w:fill="FFFFFF"/>
        </w:rPr>
        <w:t>Contemporary accounting research</w:t>
      </w:r>
      <w:r w:rsidRPr="00AB729D">
        <w:rPr>
          <w:rFonts w:ascii="Times New Roman" w:hAnsi="Times New Roman" w:cs="Times New Roman"/>
          <w:color w:val="222222"/>
          <w:sz w:val="24"/>
          <w:szCs w:val="24"/>
          <w:shd w:val="clear" w:color="auto" w:fill="FFFFFF"/>
        </w:rPr>
        <w:t>, </w:t>
      </w:r>
      <w:r w:rsidRPr="00AB729D">
        <w:rPr>
          <w:rFonts w:ascii="Times New Roman" w:hAnsi="Times New Roman" w:cs="Times New Roman"/>
          <w:i/>
          <w:iCs/>
          <w:color w:val="222222"/>
          <w:sz w:val="24"/>
          <w:szCs w:val="24"/>
          <w:shd w:val="clear" w:color="auto" w:fill="FFFFFF"/>
        </w:rPr>
        <w:t>11</w:t>
      </w:r>
      <w:r w:rsidRPr="00AB729D">
        <w:rPr>
          <w:rFonts w:ascii="Times New Roman" w:hAnsi="Times New Roman" w:cs="Times New Roman"/>
          <w:color w:val="222222"/>
          <w:sz w:val="24"/>
          <w:szCs w:val="24"/>
          <w:shd w:val="clear" w:color="auto" w:fill="FFFFFF"/>
        </w:rPr>
        <w:t>(2), 661-687.</w:t>
      </w:r>
    </w:p>
    <w:p w14:paraId="66674CA0"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Parrino, R., Sias, R. W., &amp; Starks, L. T. (2003). Voting with their feet: Institutional ownership changes around forced CEO turnover. Journal of financial economics, 68(1), 3-46.</w:t>
      </w:r>
    </w:p>
    <w:p w14:paraId="52007004"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Polk, Christopher, and Paola Sapienza (2009). The stock market and corporate investment: A test of catering theory, Review of Financial Studies 22, 187-217.</w:t>
      </w:r>
    </w:p>
    <w:p w14:paraId="0AFFF3E2"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lastRenderedPageBreak/>
        <w:t>Rhodes-Kropf, Matthew, and S. Viswanathan. (2004). Market valuation and merger waves, The Journal of Finance 59, 2685-2718.</w:t>
      </w:r>
    </w:p>
    <w:p w14:paraId="183BEAB6"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Rhodes–Kropf, Matthew, David T. Robinson, and S. Viswanathan (2005). Valuation waves and merger activity: The empirical evidence, Journal of Financial Economics 77, 561-603.</w:t>
      </w:r>
    </w:p>
    <w:p w14:paraId="4DA81824" w14:textId="0FC9C306"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Sakaki, H., Jackson, D., &amp; Jory, S. (2017). Institutional ownership stability and real earnings management.</w:t>
      </w:r>
      <w:r w:rsidRPr="00AB729D">
        <w:rPr>
          <w:rFonts w:ascii="Times New Roman" w:hAnsi="Times New Roman" w:cs="Times New Roman"/>
        </w:rPr>
        <w:t> </w:t>
      </w:r>
      <w:r w:rsidRPr="00AB729D">
        <w:rPr>
          <w:rFonts w:ascii="Times New Roman" w:hAnsi="Times New Roman" w:cs="Times New Roman"/>
          <w:sz w:val="24"/>
          <w:szCs w:val="24"/>
        </w:rPr>
        <w:t>Review of Quantitative Finance and Accounting,</w:t>
      </w:r>
      <w:r w:rsidRPr="00AB729D">
        <w:rPr>
          <w:rFonts w:ascii="Times New Roman" w:hAnsi="Times New Roman" w:cs="Times New Roman"/>
        </w:rPr>
        <w:t> </w:t>
      </w:r>
      <w:r w:rsidRPr="00AB729D">
        <w:rPr>
          <w:rFonts w:ascii="Times New Roman" w:hAnsi="Times New Roman" w:cs="Times New Roman"/>
          <w:sz w:val="24"/>
          <w:szCs w:val="24"/>
        </w:rPr>
        <w:t>49(1), 227-244.</w:t>
      </w:r>
    </w:p>
    <w:p w14:paraId="4A4B7560" w14:textId="6A1CD275" w:rsidR="00336130" w:rsidRPr="00AB729D" w:rsidRDefault="00336130"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color w:val="222222"/>
          <w:sz w:val="24"/>
          <w:szCs w:val="24"/>
          <w:shd w:val="clear" w:color="auto" w:fill="FFFFFF"/>
        </w:rPr>
        <w:t>Sakaki, H., &amp; Jory, S. R. (2019). Institutional investors' ownership stability and firms' innovation. </w:t>
      </w:r>
      <w:r w:rsidRPr="00AB729D">
        <w:rPr>
          <w:rFonts w:ascii="Times New Roman" w:hAnsi="Times New Roman" w:cs="Times New Roman"/>
          <w:i/>
          <w:iCs/>
          <w:color w:val="222222"/>
          <w:sz w:val="24"/>
          <w:szCs w:val="24"/>
          <w:shd w:val="clear" w:color="auto" w:fill="FFFFFF"/>
        </w:rPr>
        <w:t>Journal of Business Research</w:t>
      </w:r>
      <w:r w:rsidRPr="00AB729D">
        <w:rPr>
          <w:rFonts w:ascii="Times New Roman" w:hAnsi="Times New Roman" w:cs="Times New Roman"/>
          <w:color w:val="222222"/>
          <w:sz w:val="24"/>
          <w:szCs w:val="24"/>
          <w:shd w:val="clear" w:color="auto" w:fill="FFFFFF"/>
        </w:rPr>
        <w:t>, </w:t>
      </w:r>
      <w:r w:rsidRPr="00AB729D">
        <w:rPr>
          <w:rFonts w:ascii="Times New Roman" w:hAnsi="Times New Roman" w:cs="Times New Roman"/>
          <w:i/>
          <w:iCs/>
          <w:color w:val="222222"/>
          <w:sz w:val="24"/>
          <w:szCs w:val="24"/>
          <w:shd w:val="clear" w:color="auto" w:fill="FFFFFF"/>
        </w:rPr>
        <w:t>103</w:t>
      </w:r>
      <w:r w:rsidRPr="00AB729D">
        <w:rPr>
          <w:rFonts w:ascii="Times New Roman" w:hAnsi="Times New Roman" w:cs="Times New Roman"/>
          <w:color w:val="222222"/>
          <w:sz w:val="24"/>
          <w:szCs w:val="24"/>
          <w:shd w:val="clear" w:color="auto" w:fill="FFFFFF"/>
        </w:rPr>
        <w:t>, 10-22.</w:t>
      </w:r>
    </w:p>
    <w:p w14:paraId="7DDF42D2"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Sheikh, S. (2012). Do CEO compensation incentives affect firm innovation?</w:t>
      </w:r>
      <w:r w:rsidRPr="00AB729D">
        <w:rPr>
          <w:rFonts w:ascii="Times New Roman" w:hAnsi="Times New Roman" w:cs="Times New Roman"/>
        </w:rPr>
        <w:t> </w:t>
      </w:r>
      <w:r w:rsidRPr="00AB729D">
        <w:rPr>
          <w:rFonts w:ascii="Times New Roman" w:hAnsi="Times New Roman" w:cs="Times New Roman"/>
          <w:sz w:val="24"/>
          <w:szCs w:val="24"/>
        </w:rPr>
        <w:t>Review of Accounting and Finance,</w:t>
      </w:r>
      <w:r w:rsidRPr="00AB729D">
        <w:rPr>
          <w:rFonts w:ascii="Times New Roman" w:hAnsi="Times New Roman" w:cs="Times New Roman"/>
        </w:rPr>
        <w:t> </w:t>
      </w:r>
      <w:r w:rsidRPr="00AB729D">
        <w:rPr>
          <w:rFonts w:ascii="Times New Roman" w:hAnsi="Times New Roman" w:cs="Times New Roman"/>
          <w:sz w:val="24"/>
          <w:szCs w:val="24"/>
        </w:rPr>
        <w:t>11(1), 4-39.</w:t>
      </w:r>
    </w:p>
    <w:p w14:paraId="79136560"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Shleifer, Andrei, and Robert W. Vishny (2003). Stock market driven acquisitions, Journal of Financial Economics 70, 295-311.</w:t>
      </w:r>
    </w:p>
    <w:p w14:paraId="78251413" w14:textId="77777777" w:rsidR="00565F02" w:rsidRPr="00AB729D"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Sias, R. W., &amp; Starks, L. T. (1997). Return autocorrelation and institutional investors. Journal of Financial economics, 46(1), 103-131.</w:t>
      </w:r>
    </w:p>
    <w:p w14:paraId="352D587A" w14:textId="43A30E17" w:rsidR="00565F02" w:rsidRPr="007F430F" w:rsidRDefault="00565F02" w:rsidP="00565F02">
      <w:pPr>
        <w:pStyle w:val="EndNoteBibliography"/>
        <w:spacing w:before="200"/>
        <w:ind w:left="720" w:hanging="720"/>
        <w:jc w:val="both"/>
        <w:rPr>
          <w:rFonts w:ascii="Times New Roman" w:hAnsi="Times New Roman" w:cs="Times New Roman"/>
          <w:sz w:val="24"/>
          <w:szCs w:val="24"/>
        </w:rPr>
      </w:pPr>
      <w:r w:rsidRPr="00AB729D">
        <w:rPr>
          <w:rFonts w:ascii="Times New Roman" w:hAnsi="Times New Roman" w:cs="Times New Roman"/>
          <w:sz w:val="24"/>
          <w:szCs w:val="24"/>
        </w:rPr>
        <w:t>Yan, X. and Z. Zhang, (2009). Institutional investors and equity returns: are short-term institutions better informed? Review of Financial Studies 22(2), 893-924.</w:t>
      </w:r>
    </w:p>
    <w:p w14:paraId="379AAB1B" w14:textId="77777777" w:rsidR="00565F02" w:rsidRPr="007F430F" w:rsidRDefault="00565F02" w:rsidP="00534850">
      <w:pPr>
        <w:pStyle w:val="EndNoteBibliography"/>
        <w:spacing w:before="200"/>
        <w:jc w:val="both"/>
        <w:rPr>
          <w:rFonts w:ascii="Times New Roman" w:hAnsi="Times New Roman" w:cs="Times New Roman"/>
          <w:sz w:val="24"/>
          <w:szCs w:val="24"/>
        </w:rPr>
      </w:pPr>
    </w:p>
    <w:sectPr w:rsidR="00565F02" w:rsidRPr="007F430F" w:rsidSect="00534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79AFA" w14:textId="77777777" w:rsidR="00476E5F" w:rsidRDefault="00476E5F" w:rsidP="00B80F02">
      <w:pPr>
        <w:spacing w:after="0" w:line="240" w:lineRule="auto"/>
      </w:pPr>
      <w:r>
        <w:separator/>
      </w:r>
    </w:p>
  </w:endnote>
  <w:endnote w:type="continuationSeparator" w:id="0">
    <w:p w14:paraId="5AC08DD3" w14:textId="77777777" w:rsidR="00476E5F" w:rsidRDefault="00476E5F" w:rsidP="00B8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396509"/>
      <w:docPartObj>
        <w:docPartGallery w:val="Page Numbers (Bottom of Page)"/>
        <w:docPartUnique/>
      </w:docPartObj>
    </w:sdtPr>
    <w:sdtEndPr>
      <w:rPr>
        <w:noProof/>
      </w:rPr>
    </w:sdtEndPr>
    <w:sdtContent>
      <w:p w14:paraId="61E4F95A" w14:textId="4D8DF215" w:rsidR="00392A7A" w:rsidRDefault="00392A7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83ED979" w14:textId="77777777" w:rsidR="00392A7A" w:rsidRDefault="00392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8606A" w14:textId="77777777" w:rsidR="00476E5F" w:rsidRDefault="00476E5F" w:rsidP="00B80F02">
      <w:pPr>
        <w:spacing w:after="0" w:line="240" w:lineRule="auto"/>
      </w:pPr>
      <w:r>
        <w:separator/>
      </w:r>
    </w:p>
  </w:footnote>
  <w:footnote w:type="continuationSeparator" w:id="0">
    <w:p w14:paraId="49D8C29A" w14:textId="77777777" w:rsidR="00476E5F" w:rsidRDefault="00476E5F" w:rsidP="00B80F02">
      <w:pPr>
        <w:spacing w:after="0" w:line="240" w:lineRule="auto"/>
      </w:pPr>
      <w:r>
        <w:continuationSeparator/>
      </w:r>
    </w:p>
  </w:footnote>
  <w:footnote w:id="1">
    <w:p w14:paraId="53A8E297" w14:textId="365C20BB" w:rsidR="00392A7A" w:rsidRDefault="00392A7A">
      <w:pPr>
        <w:pStyle w:val="FootnoteText"/>
      </w:pPr>
      <w:r>
        <w:rPr>
          <w:rStyle w:val="FootnoteReference"/>
        </w:rPr>
        <w:footnoteRef/>
      </w:r>
      <w:r>
        <w:t xml:space="preserve"> </w:t>
      </w:r>
      <w:r w:rsidRPr="001C20CD">
        <w:rPr>
          <w:rFonts w:asciiTheme="majorBidi" w:hAnsiTheme="majorBidi" w:cstheme="majorBidi"/>
        </w:rPr>
        <w:t>Available from Brian Bushee’s website, http://acct3.wharton.upenn.edu/faculty/bushee/</w:t>
      </w:r>
      <w:r>
        <w:rPr>
          <w:rFonts w:asciiTheme="majorBidi" w:hAnsiTheme="majorBidi" w:cstheme="majorBidi"/>
        </w:rPr>
        <w:t>.</w:t>
      </w:r>
      <w:r>
        <w:t xml:space="preserve">  </w:t>
      </w:r>
      <w:r w:rsidRPr="00272B18">
        <w:rPr>
          <w:rFonts w:ascii="Times New Roman" w:hAnsi="Times New Roman"/>
        </w:rPr>
        <w:t>Data accessed on 12.01.2015</w:t>
      </w:r>
      <w:r>
        <w:rPr>
          <w:rFonts w:ascii="Times New Roman" w:hAnsi="Times New Roman"/>
        </w:rPr>
        <w:t xml:space="preserve">. </w:t>
      </w:r>
    </w:p>
  </w:footnote>
  <w:footnote w:id="2">
    <w:p w14:paraId="770BD44D" w14:textId="76C42C0F" w:rsidR="00392A7A" w:rsidRPr="00305399" w:rsidRDefault="00392A7A">
      <w:pPr>
        <w:pStyle w:val="FootnoteText"/>
        <w:rPr>
          <w:lang w:val="en-GB"/>
        </w:rPr>
      </w:pPr>
      <w:r>
        <w:rPr>
          <w:rStyle w:val="FootnoteReference"/>
        </w:rPr>
        <w:footnoteRef/>
      </w:r>
      <w:r>
        <w:t xml:space="preserve"> </w:t>
      </w:r>
      <w:r w:rsidRPr="00D6312C">
        <w:rPr>
          <w:rFonts w:ascii="Times New Roman" w:hAnsi="Times New Roman"/>
        </w:rPr>
        <w:t>Mines, Construction, Building Maintenance, Transportation, Hotels, Bus Services, Entertainment</w:t>
      </w:r>
    </w:p>
  </w:footnote>
  <w:footnote w:id="3">
    <w:p w14:paraId="11098EB4" w14:textId="77777777" w:rsidR="00392A7A" w:rsidRDefault="00392A7A">
      <w:pPr>
        <w:pStyle w:val="FootnoteText"/>
      </w:pPr>
      <w:r>
        <w:rPr>
          <w:rStyle w:val="FootnoteReference"/>
        </w:rPr>
        <w:footnoteRef/>
      </w:r>
      <w:r>
        <w:t xml:space="preserve"> </w:t>
      </w:r>
      <w:r w:rsidRPr="001C20CD">
        <w:rPr>
          <w:rFonts w:asciiTheme="majorBidi" w:hAnsiTheme="majorBidi" w:cstheme="majorBidi"/>
        </w:rPr>
        <w:t>Industry is defined based on the Fama and French 12-sector industry classification.</w:t>
      </w:r>
    </w:p>
  </w:footnote>
  <w:footnote w:id="4">
    <w:p w14:paraId="36B44CAF" w14:textId="77777777" w:rsidR="00392A7A" w:rsidRDefault="00392A7A">
      <w:pPr>
        <w:pStyle w:val="FootnoteText"/>
      </w:pPr>
      <w:r>
        <w:rPr>
          <w:rStyle w:val="FootnoteReference"/>
        </w:rPr>
        <w:footnoteRef/>
      </w:r>
      <w:r>
        <w:t xml:space="preserve"> </w:t>
      </w:r>
      <w:r w:rsidRPr="001C20CD">
        <w:rPr>
          <w:rFonts w:asciiTheme="majorBidi" w:hAnsiTheme="majorBidi" w:cstheme="majorBidi"/>
        </w:rPr>
        <w:t>Industry is defined based on the Fama and French 48-sector industry classification.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523D"/>
    <w:multiLevelType w:val="multilevel"/>
    <w:tmpl w:val="5A165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059EA"/>
    <w:multiLevelType w:val="hybridMultilevel"/>
    <w:tmpl w:val="32F2CD60"/>
    <w:lvl w:ilvl="0" w:tplc="056414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B1596D"/>
    <w:multiLevelType w:val="hybridMultilevel"/>
    <w:tmpl w:val="71FAF94C"/>
    <w:lvl w:ilvl="0" w:tplc="87843E0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8D0897"/>
    <w:multiLevelType w:val="multilevel"/>
    <w:tmpl w:val="FDA2FB4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AE2A4F"/>
    <w:multiLevelType w:val="hybridMultilevel"/>
    <w:tmpl w:val="71FAF94C"/>
    <w:lvl w:ilvl="0" w:tplc="87843E0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74E0A"/>
    <w:multiLevelType w:val="multilevel"/>
    <w:tmpl w:val="E7A4063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9F22E70"/>
    <w:multiLevelType w:val="multilevel"/>
    <w:tmpl w:val="AA24BCC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056C43"/>
    <w:multiLevelType w:val="multilevel"/>
    <w:tmpl w:val="43FA32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A07199"/>
    <w:multiLevelType w:val="multilevel"/>
    <w:tmpl w:val="ECEE2FBC"/>
    <w:lvl w:ilvl="0">
      <w:start w:val="3"/>
      <w:numFmt w:val="decimal"/>
      <w:lvlText w:val="%1"/>
      <w:lvlJc w:val="left"/>
      <w:pPr>
        <w:ind w:left="360" w:hanging="360"/>
      </w:pPr>
      <w:rPr>
        <w:rFonts w:hint="default"/>
      </w:rPr>
    </w:lvl>
    <w:lvl w:ilvl="1">
      <w:start w:val="3"/>
      <w:numFmt w:val="none"/>
      <w:lvlText w:val=""/>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E06FE8"/>
    <w:multiLevelType w:val="multilevel"/>
    <w:tmpl w:val="AA24BCC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7F7D8E"/>
    <w:multiLevelType w:val="multilevel"/>
    <w:tmpl w:val="6360B908"/>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752AD0"/>
    <w:multiLevelType w:val="multilevel"/>
    <w:tmpl w:val="AA24BCC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3"/>
  </w:num>
  <w:num w:numId="4">
    <w:abstractNumId w:val="10"/>
  </w:num>
  <w:num w:numId="5">
    <w:abstractNumId w:val="11"/>
  </w:num>
  <w:num w:numId="6">
    <w:abstractNumId w:val="8"/>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1MjQwMDawMDAzMzBV0lEKTi0uzszPAykwqQUAlj1YSCwAAAA="/>
  </w:docVars>
  <w:rsids>
    <w:rsidRoot w:val="00B80F02"/>
    <w:rsid w:val="00000DB8"/>
    <w:rsid w:val="0000153C"/>
    <w:rsid w:val="00012350"/>
    <w:rsid w:val="00027162"/>
    <w:rsid w:val="000308F6"/>
    <w:rsid w:val="00030BFD"/>
    <w:rsid w:val="000415E7"/>
    <w:rsid w:val="000432EF"/>
    <w:rsid w:val="000469B5"/>
    <w:rsid w:val="000471A8"/>
    <w:rsid w:val="00047C2C"/>
    <w:rsid w:val="00051891"/>
    <w:rsid w:val="0005250E"/>
    <w:rsid w:val="0005543D"/>
    <w:rsid w:val="00060EDE"/>
    <w:rsid w:val="000662ED"/>
    <w:rsid w:val="000664F0"/>
    <w:rsid w:val="00076C9A"/>
    <w:rsid w:val="000A4F24"/>
    <w:rsid w:val="000A6BF0"/>
    <w:rsid w:val="000B1412"/>
    <w:rsid w:val="000B3760"/>
    <w:rsid w:val="000B4BB7"/>
    <w:rsid w:val="000C18FF"/>
    <w:rsid w:val="000C22C9"/>
    <w:rsid w:val="000C47F2"/>
    <w:rsid w:val="000E21FD"/>
    <w:rsid w:val="000E5F5F"/>
    <w:rsid w:val="000E6447"/>
    <w:rsid w:val="00101C81"/>
    <w:rsid w:val="0010376E"/>
    <w:rsid w:val="00104C7C"/>
    <w:rsid w:val="001064B1"/>
    <w:rsid w:val="00110F9A"/>
    <w:rsid w:val="00113E1F"/>
    <w:rsid w:val="001175CF"/>
    <w:rsid w:val="00126034"/>
    <w:rsid w:val="00131915"/>
    <w:rsid w:val="00143F4A"/>
    <w:rsid w:val="00151B7F"/>
    <w:rsid w:val="0017474B"/>
    <w:rsid w:val="00186F0D"/>
    <w:rsid w:val="00191E28"/>
    <w:rsid w:val="00194F90"/>
    <w:rsid w:val="001A42D0"/>
    <w:rsid w:val="001B5487"/>
    <w:rsid w:val="001B5BFF"/>
    <w:rsid w:val="001C20CD"/>
    <w:rsid w:val="001C5FE8"/>
    <w:rsid w:val="001D4714"/>
    <w:rsid w:val="001F1567"/>
    <w:rsid w:val="001F21FE"/>
    <w:rsid w:val="001F3CF0"/>
    <w:rsid w:val="001F6256"/>
    <w:rsid w:val="00205A66"/>
    <w:rsid w:val="00207EDF"/>
    <w:rsid w:val="00212A28"/>
    <w:rsid w:val="00216A09"/>
    <w:rsid w:val="00217C6C"/>
    <w:rsid w:val="002264AE"/>
    <w:rsid w:val="0023261D"/>
    <w:rsid w:val="00232C95"/>
    <w:rsid w:val="00237F07"/>
    <w:rsid w:val="00254383"/>
    <w:rsid w:val="00257D6A"/>
    <w:rsid w:val="00257DF7"/>
    <w:rsid w:val="00270306"/>
    <w:rsid w:val="0027214F"/>
    <w:rsid w:val="00272B18"/>
    <w:rsid w:val="0029006C"/>
    <w:rsid w:val="002901F5"/>
    <w:rsid w:val="002A4065"/>
    <w:rsid w:val="002A5037"/>
    <w:rsid w:val="002A6F0C"/>
    <w:rsid w:val="002A7672"/>
    <w:rsid w:val="002A7AB5"/>
    <w:rsid w:val="002B2337"/>
    <w:rsid w:val="002B3740"/>
    <w:rsid w:val="002B429B"/>
    <w:rsid w:val="002C2E79"/>
    <w:rsid w:val="002D2862"/>
    <w:rsid w:val="002D347A"/>
    <w:rsid w:val="002E731F"/>
    <w:rsid w:val="002F12B3"/>
    <w:rsid w:val="002F5149"/>
    <w:rsid w:val="00300D31"/>
    <w:rsid w:val="00301953"/>
    <w:rsid w:val="00305399"/>
    <w:rsid w:val="00307E1C"/>
    <w:rsid w:val="00313A69"/>
    <w:rsid w:val="0032376F"/>
    <w:rsid w:val="00336130"/>
    <w:rsid w:val="00336805"/>
    <w:rsid w:val="0035591A"/>
    <w:rsid w:val="00365716"/>
    <w:rsid w:val="00370C1F"/>
    <w:rsid w:val="00371CEB"/>
    <w:rsid w:val="0037225D"/>
    <w:rsid w:val="00374172"/>
    <w:rsid w:val="003774FE"/>
    <w:rsid w:val="00387D83"/>
    <w:rsid w:val="003912D4"/>
    <w:rsid w:val="00392A7A"/>
    <w:rsid w:val="003C10EF"/>
    <w:rsid w:val="003C5DA2"/>
    <w:rsid w:val="003C6DED"/>
    <w:rsid w:val="003D3EBA"/>
    <w:rsid w:val="003E0F02"/>
    <w:rsid w:val="003E450E"/>
    <w:rsid w:val="003E56F2"/>
    <w:rsid w:val="003F54EE"/>
    <w:rsid w:val="003F551E"/>
    <w:rsid w:val="00400E20"/>
    <w:rsid w:val="00401660"/>
    <w:rsid w:val="00412BB7"/>
    <w:rsid w:val="00421990"/>
    <w:rsid w:val="00422256"/>
    <w:rsid w:val="00430C7D"/>
    <w:rsid w:val="00434199"/>
    <w:rsid w:val="004351AB"/>
    <w:rsid w:val="00440FB6"/>
    <w:rsid w:val="00446ECA"/>
    <w:rsid w:val="00460E24"/>
    <w:rsid w:val="004615F8"/>
    <w:rsid w:val="004616BF"/>
    <w:rsid w:val="00470871"/>
    <w:rsid w:val="00476E5F"/>
    <w:rsid w:val="004A2544"/>
    <w:rsid w:val="004A4DF9"/>
    <w:rsid w:val="004A701E"/>
    <w:rsid w:val="004B05AE"/>
    <w:rsid w:val="004B684F"/>
    <w:rsid w:val="004B7DF8"/>
    <w:rsid w:val="004C34FA"/>
    <w:rsid w:val="004E0A0B"/>
    <w:rsid w:val="004E3065"/>
    <w:rsid w:val="004E4201"/>
    <w:rsid w:val="004E71D4"/>
    <w:rsid w:val="004F1955"/>
    <w:rsid w:val="004F77A5"/>
    <w:rsid w:val="005013FB"/>
    <w:rsid w:val="005018D2"/>
    <w:rsid w:val="0050439D"/>
    <w:rsid w:val="00512C09"/>
    <w:rsid w:val="005179ED"/>
    <w:rsid w:val="0052206C"/>
    <w:rsid w:val="00534850"/>
    <w:rsid w:val="005375FA"/>
    <w:rsid w:val="005405B4"/>
    <w:rsid w:val="00540CC6"/>
    <w:rsid w:val="0054208D"/>
    <w:rsid w:val="00560C4B"/>
    <w:rsid w:val="00565F02"/>
    <w:rsid w:val="00585781"/>
    <w:rsid w:val="00596252"/>
    <w:rsid w:val="0059794C"/>
    <w:rsid w:val="005A4515"/>
    <w:rsid w:val="005B6C62"/>
    <w:rsid w:val="005B779F"/>
    <w:rsid w:val="005C22FC"/>
    <w:rsid w:val="005C7B9F"/>
    <w:rsid w:val="005D1BF4"/>
    <w:rsid w:val="005D5FFB"/>
    <w:rsid w:val="005D7A27"/>
    <w:rsid w:val="005D7D49"/>
    <w:rsid w:val="005E1234"/>
    <w:rsid w:val="005E6EBE"/>
    <w:rsid w:val="005F3C8C"/>
    <w:rsid w:val="005F5DA8"/>
    <w:rsid w:val="00600CB7"/>
    <w:rsid w:val="006015B8"/>
    <w:rsid w:val="00606703"/>
    <w:rsid w:val="006079E2"/>
    <w:rsid w:val="0061064C"/>
    <w:rsid w:val="0061105F"/>
    <w:rsid w:val="00613890"/>
    <w:rsid w:val="006151E6"/>
    <w:rsid w:val="00620882"/>
    <w:rsid w:val="0062161E"/>
    <w:rsid w:val="00625868"/>
    <w:rsid w:val="00627E1D"/>
    <w:rsid w:val="00635EDD"/>
    <w:rsid w:val="00640370"/>
    <w:rsid w:val="00646E52"/>
    <w:rsid w:val="00652432"/>
    <w:rsid w:val="00652F08"/>
    <w:rsid w:val="0065686B"/>
    <w:rsid w:val="0067664C"/>
    <w:rsid w:val="006771EC"/>
    <w:rsid w:val="0068678B"/>
    <w:rsid w:val="00693DCF"/>
    <w:rsid w:val="006A0D58"/>
    <w:rsid w:val="006A3C88"/>
    <w:rsid w:val="006B2837"/>
    <w:rsid w:val="006C5BA8"/>
    <w:rsid w:val="006C76E1"/>
    <w:rsid w:val="006D53B5"/>
    <w:rsid w:val="006E0716"/>
    <w:rsid w:val="006F491B"/>
    <w:rsid w:val="006F580C"/>
    <w:rsid w:val="00701555"/>
    <w:rsid w:val="00707FB5"/>
    <w:rsid w:val="00716CF3"/>
    <w:rsid w:val="00721F3B"/>
    <w:rsid w:val="00727F0A"/>
    <w:rsid w:val="00730981"/>
    <w:rsid w:val="00737045"/>
    <w:rsid w:val="00741DF5"/>
    <w:rsid w:val="007458E0"/>
    <w:rsid w:val="007468A6"/>
    <w:rsid w:val="00753C75"/>
    <w:rsid w:val="00760F6D"/>
    <w:rsid w:val="007642C6"/>
    <w:rsid w:val="00765077"/>
    <w:rsid w:val="0076787C"/>
    <w:rsid w:val="00783094"/>
    <w:rsid w:val="00787016"/>
    <w:rsid w:val="007959AB"/>
    <w:rsid w:val="007A2ED0"/>
    <w:rsid w:val="007A4FB3"/>
    <w:rsid w:val="007A5D69"/>
    <w:rsid w:val="007B06FE"/>
    <w:rsid w:val="007B07C1"/>
    <w:rsid w:val="007B1E18"/>
    <w:rsid w:val="007B5CEA"/>
    <w:rsid w:val="007B5EEE"/>
    <w:rsid w:val="007C00E1"/>
    <w:rsid w:val="007D4DC8"/>
    <w:rsid w:val="007D544A"/>
    <w:rsid w:val="007D5E83"/>
    <w:rsid w:val="007E091D"/>
    <w:rsid w:val="007E2620"/>
    <w:rsid w:val="007E4D27"/>
    <w:rsid w:val="007F021B"/>
    <w:rsid w:val="007F1021"/>
    <w:rsid w:val="007F430F"/>
    <w:rsid w:val="007F6A81"/>
    <w:rsid w:val="008000CD"/>
    <w:rsid w:val="00800FF2"/>
    <w:rsid w:val="00802D67"/>
    <w:rsid w:val="0080311C"/>
    <w:rsid w:val="00807BDD"/>
    <w:rsid w:val="0081273E"/>
    <w:rsid w:val="00822165"/>
    <w:rsid w:val="0082263B"/>
    <w:rsid w:val="00847515"/>
    <w:rsid w:val="0084796A"/>
    <w:rsid w:val="00851AE0"/>
    <w:rsid w:val="0086271F"/>
    <w:rsid w:val="008703EB"/>
    <w:rsid w:val="0087172F"/>
    <w:rsid w:val="0087195C"/>
    <w:rsid w:val="00871C39"/>
    <w:rsid w:val="00886560"/>
    <w:rsid w:val="008A0E65"/>
    <w:rsid w:val="008B68FD"/>
    <w:rsid w:val="008B787D"/>
    <w:rsid w:val="008D019C"/>
    <w:rsid w:val="008D4216"/>
    <w:rsid w:val="008D5547"/>
    <w:rsid w:val="008D7B6C"/>
    <w:rsid w:val="0090152C"/>
    <w:rsid w:val="0092044E"/>
    <w:rsid w:val="009314D5"/>
    <w:rsid w:val="00934F10"/>
    <w:rsid w:val="009351FB"/>
    <w:rsid w:val="00937583"/>
    <w:rsid w:val="00941F8E"/>
    <w:rsid w:val="009436BA"/>
    <w:rsid w:val="009467C6"/>
    <w:rsid w:val="00947739"/>
    <w:rsid w:val="0095029E"/>
    <w:rsid w:val="009524FC"/>
    <w:rsid w:val="00967D99"/>
    <w:rsid w:val="00974E83"/>
    <w:rsid w:val="00980E65"/>
    <w:rsid w:val="00985D2D"/>
    <w:rsid w:val="00990DE9"/>
    <w:rsid w:val="00991FC5"/>
    <w:rsid w:val="009B5CD8"/>
    <w:rsid w:val="009B72B2"/>
    <w:rsid w:val="009C7A6A"/>
    <w:rsid w:val="009D30AE"/>
    <w:rsid w:val="009D5842"/>
    <w:rsid w:val="009E638F"/>
    <w:rsid w:val="009F740A"/>
    <w:rsid w:val="00A031EE"/>
    <w:rsid w:val="00A11022"/>
    <w:rsid w:val="00A43595"/>
    <w:rsid w:val="00A46DBA"/>
    <w:rsid w:val="00A51560"/>
    <w:rsid w:val="00A6741B"/>
    <w:rsid w:val="00A67607"/>
    <w:rsid w:val="00A74124"/>
    <w:rsid w:val="00A814DF"/>
    <w:rsid w:val="00A82F88"/>
    <w:rsid w:val="00A834F9"/>
    <w:rsid w:val="00A865E4"/>
    <w:rsid w:val="00AA372C"/>
    <w:rsid w:val="00AB0856"/>
    <w:rsid w:val="00AB474A"/>
    <w:rsid w:val="00AB729D"/>
    <w:rsid w:val="00AC1CCD"/>
    <w:rsid w:val="00AC2D20"/>
    <w:rsid w:val="00AD72BE"/>
    <w:rsid w:val="00AE4CAF"/>
    <w:rsid w:val="00AE5ABD"/>
    <w:rsid w:val="00AF19AF"/>
    <w:rsid w:val="00AF7813"/>
    <w:rsid w:val="00B106EA"/>
    <w:rsid w:val="00B11248"/>
    <w:rsid w:val="00B13A26"/>
    <w:rsid w:val="00B14493"/>
    <w:rsid w:val="00B21988"/>
    <w:rsid w:val="00B230CA"/>
    <w:rsid w:val="00B232BC"/>
    <w:rsid w:val="00B24251"/>
    <w:rsid w:val="00B254E6"/>
    <w:rsid w:val="00B3404A"/>
    <w:rsid w:val="00B3414D"/>
    <w:rsid w:val="00B349CA"/>
    <w:rsid w:val="00B42069"/>
    <w:rsid w:val="00B44218"/>
    <w:rsid w:val="00B47118"/>
    <w:rsid w:val="00B50516"/>
    <w:rsid w:val="00B52E08"/>
    <w:rsid w:val="00B532A8"/>
    <w:rsid w:val="00B80078"/>
    <w:rsid w:val="00B80F02"/>
    <w:rsid w:val="00B821E4"/>
    <w:rsid w:val="00B87C18"/>
    <w:rsid w:val="00B903DA"/>
    <w:rsid w:val="00B90D30"/>
    <w:rsid w:val="00B91831"/>
    <w:rsid w:val="00BA2089"/>
    <w:rsid w:val="00BA4820"/>
    <w:rsid w:val="00BA6338"/>
    <w:rsid w:val="00BB03FC"/>
    <w:rsid w:val="00BC091E"/>
    <w:rsid w:val="00C07643"/>
    <w:rsid w:val="00C16592"/>
    <w:rsid w:val="00C17E17"/>
    <w:rsid w:val="00C22B1B"/>
    <w:rsid w:val="00C26DFA"/>
    <w:rsid w:val="00C333BC"/>
    <w:rsid w:val="00C34E73"/>
    <w:rsid w:val="00C36FF4"/>
    <w:rsid w:val="00C4120C"/>
    <w:rsid w:val="00C5418D"/>
    <w:rsid w:val="00C549A0"/>
    <w:rsid w:val="00C56D4F"/>
    <w:rsid w:val="00C7210D"/>
    <w:rsid w:val="00C75227"/>
    <w:rsid w:val="00C91E44"/>
    <w:rsid w:val="00CA11DF"/>
    <w:rsid w:val="00CA61FB"/>
    <w:rsid w:val="00CB342E"/>
    <w:rsid w:val="00CC12DE"/>
    <w:rsid w:val="00CD0520"/>
    <w:rsid w:val="00CD44A5"/>
    <w:rsid w:val="00CD7B55"/>
    <w:rsid w:val="00CE0D00"/>
    <w:rsid w:val="00CE6018"/>
    <w:rsid w:val="00D02948"/>
    <w:rsid w:val="00D029AB"/>
    <w:rsid w:val="00D03E9E"/>
    <w:rsid w:val="00D03EC6"/>
    <w:rsid w:val="00D106EB"/>
    <w:rsid w:val="00D2091E"/>
    <w:rsid w:val="00D33DFA"/>
    <w:rsid w:val="00D3589C"/>
    <w:rsid w:val="00D5005D"/>
    <w:rsid w:val="00D53A6F"/>
    <w:rsid w:val="00D6312C"/>
    <w:rsid w:val="00D63698"/>
    <w:rsid w:val="00D7460E"/>
    <w:rsid w:val="00D75B28"/>
    <w:rsid w:val="00D763B0"/>
    <w:rsid w:val="00D86139"/>
    <w:rsid w:val="00D91C03"/>
    <w:rsid w:val="00D93F89"/>
    <w:rsid w:val="00DA31E0"/>
    <w:rsid w:val="00DB7090"/>
    <w:rsid w:val="00DC624E"/>
    <w:rsid w:val="00DD1364"/>
    <w:rsid w:val="00DD2476"/>
    <w:rsid w:val="00DE1717"/>
    <w:rsid w:val="00DE6932"/>
    <w:rsid w:val="00DF33B7"/>
    <w:rsid w:val="00DF4A91"/>
    <w:rsid w:val="00DF6776"/>
    <w:rsid w:val="00DF72E5"/>
    <w:rsid w:val="00E0203A"/>
    <w:rsid w:val="00E11135"/>
    <w:rsid w:val="00E12F41"/>
    <w:rsid w:val="00E155C3"/>
    <w:rsid w:val="00E2078E"/>
    <w:rsid w:val="00E366C3"/>
    <w:rsid w:val="00E46BFE"/>
    <w:rsid w:val="00E46F33"/>
    <w:rsid w:val="00E53820"/>
    <w:rsid w:val="00E54638"/>
    <w:rsid w:val="00E579A8"/>
    <w:rsid w:val="00E618CF"/>
    <w:rsid w:val="00E61D2B"/>
    <w:rsid w:val="00E91DFE"/>
    <w:rsid w:val="00E955BE"/>
    <w:rsid w:val="00EA38E7"/>
    <w:rsid w:val="00EA5959"/>
    <w:rsid w:val="00EB66CB"/>
    <w:rsid w:val="00EC170E"/>
    <w:rsid w:val="00EC2B9C"/>
    <w:rsid w:val="00EC4432"/>
    <w:rsid w:val="00EC5FE4"/>
    <w:rsid w:val="00EC6CAE"/>
    <w:rsid w:val="00ED1501"/>
    <w:rsid w:val="00ED4609"/>
    <w:rsid w:val="00ED4B00"/>
    <w:rsid w:val="00EE62A9"/>
    <w:rsid w:val="00EF47CD"/>
    <w:rsid w:val="00F04AB4"/>
    <w:rsid w:val="00F124F4"/>
    <w:rsid w:val="00F13217"/>
    <w:rsid w:val="00F15715"/>
    <w:rsid w:val="00F16D07"/>
    <w:rsid w:val="00F21312"/>
    <w:rsid w:val="00F21B45"/>
    <w:rsid w:val="00F2284B"/>
    <w:rsid w:val="00F30A42"/>
    <w:rsid w:val="00F3219E"/>
    <w:rsid w:val="00F33919"/>
    <w:rsid w:val="00F41124"/>
    <w:rsid w:val="00F501E0"/>
    <w:rsid w:val="00F502AB"/>
    <w:rsid w:val="00F52BE5"/>
    <w:rsid w:val="00F57B7B"/>
    <w:rsid w:val="00F7095A"/>
    <w:rsid w:val="00F817CA"/>
    <w:rsid w:val="00FA06A2"/>
    <w:rsid w:val="00FA2BC9"/>
    <w:rsid w:val="00FA3654"/>
    <w:rsid w:val="00FB08E9"/>
    <w:rsid w:val="00FB2FA5"/>
    <w:rsid w:val="00FC1170"/>
    <w:rsid w:val="00FC6D4D"/>
    <w:rsid w:val="00FD348A"/>
    <w:rsid w:val="00FE6E61"/>
    <w:rsid w:val="00FF6506"/>
    <w:rsid w:val="00FF7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492A"/>
  <w15:chartTrackingRefBased/>
  <w15:docId w15:val="{9FD61342-E7EC-4244-BE7C-1AEA1150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0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52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2E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2E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F7B33"/>
    <w:pPr>
      <w:keepNext/>
      <w:keepLines/>
      <w:spacing w:before="40" w:after="0" w:line="256" w:lineRule="auto"/>
      <w:outlineLvl w:val="3"/>
    </w:pPr>
    <w:rPr>
      <w:rFonts w:ascii="Calibri Light" w:eastAsia="Times New Roman" w:hAnsi="Calibri Light"/>
      <w:i/>
      <w:iCs/>
      <w:color w:val="2E74B5" w:themeColor="accent1" w:themeShade="BF"/>
    </w:rPr>
  </w:style>
  <w:style w:type="paragraph" w:styleId="Heading5">
    <w:name w:val="heading 5"/>
    <w:basedOn w:val="Normal"/>
    <w:next w:val="Normal"/>
    <w:link w:val="Heading5Char"/>
    <w:uiPriority w:val="9"/>
    <w:semiHidden/>
    <w:unhideWhenUsed/>
    <w:qFormat/>
    <w:rsid w:val="00FF7B33"/>
    <w:pPr>
      <w:keepNext/>
      <w:keepLines/>
      <w:spacing w:before="40" w:after="0" w:line="256" w:lineRule="auto"/>
      <w:outlineLvl w:val="4"/>
    </w:pPr>
    <w:rPr>
      <w:rFonts w:ascii="Calibri Light" w:eastAsia="Times New Roman" w:hAnsi="Calibri Light"/>
      <w:color w:val="2E74B5" w:themeColor="accent1" w:themeShade="BF"/>
    </w:rPr>
  </w:style>
  <w:style w:type="paragraph" w:styleId="Heading6">
    <w:name w:val="heading 6"/>
    <w:basedOn w:val="Normal"/>
    <w:next w:val="Normal"/>
    <w:link w:val="Heading6Char"/>
    <w:uiPriority w:val="9"/>
    <w:semiHidden/>
    <w:unhideWhenUsed/>
    <w:qFormat/>
    <w:rsid w:val="00FF7B33"/>
    <w:pPr>
      <w:keepNext/>
      <w:keepLines/>
      <w:spacing w:before="40" w:after="0" w:line="256" w:lineRule="auto"/>
      <w:outlineLvl w:val="5"/>
    </w:pPr>
    <w:rPr>
      <w:rFonts w:ascii="Calibri Light" w:eastAsia="Times New Roman" w:hAnsi="Calibri Light"/>
      <w:color w:val="1F4D78" w:themeColor="accent1" w:themeShade="7F"/>
    </w:rPr>
  </w:style>
  <w:style w:type="paragraph" w:styleId="Heading7">
    <w:name w:val="heading 7"/>
    <w:basedOn w:val="Normal"/>
    <w:next w:val="Normal"/>
    <w:link w:val="Heading7Char"/>
    <w:uiPriority w:val="9"/>
    <w:semiHidden/>
    <w:unhideWhenUsed/>
    <w:qFormat/>
    <w:rsid w:val="00FF7B33"/>
    <w:pPr>
      <w:keepNext/>
      <w:keepLines/>
      <w:spacing w:before="40" w:after="0" w:line="256" w:lineRule="auto"/>
      <w:outlineLvl w:val="6"/>
    </w:pPr>
    <w:rPr>
      <w:rFonts w:ascii="Calibri Light" w:eastAsia="Times New Roman" w:hAnsi="Calibri Light"/>
      <w:i/>
      <w:iCs/>
      <w:color w:val="1F4D78" w:themeColor="accent1" w:themeShade="7F"/>
    </w:rPr>
  </w:style>
  <w:style w:type="paragraph" w:styleId="Heading8">
    <w:name w:val="heading 8"/>
    <w:basedOn w:val="Normal"/>
    <w:next w:val="Normal"/>
    <w:link w:val="Heading8Char"/>
    <w:uiPriority w:val="9"/>
    <w:semiHidden/>
    <w:unhideWhenUsed/>
    <w:qFormat/>
    <w:rsid w:val="00FF7B33"/>
    <w:pPr>
      <w:keepNext/>
      <w:keepLines/>
      <w:spacing w:before="40" w:after="0" w:line="256" w:lineRule="auto"/>
      <w:outlineLvl w:val="7"/>
    </w:pPr>
    <w:rPr>
      <w:rFonts w:ascii="Calibri Light" w:eastAsia="Times New Roman" w:hAnsi="Calibri Light"/>
      <w:color w:val="272727" w:themeColor="text1" w:themeTint="D8"/>
      <w:sz w:val="21"/>
      <w:szCs w:val="21"/>
    </w:rPr>
  </w:style>
  <w:style w:type="paragraph" w:styleId="Heading9">
    <w:name w:val="heading 9"/>
    <w:basedOn w:val="Normal"/>
    <w:next w:val="Normal"/>
    <w:link w:val="Heading9Char"/>
    <w:uiPriority w:val="9"/>
    <w:semiHidden/>
    <w:unhideWhenUsed/>
    <w:qFormat/>
    <w:rsid w:val="00FF7B33"/>
    <w:pPr>
      <w:keepNext/>
      <w:keepLines/>
      <w:spacing w:before="40" w:after="0" w:line="256" w:lineRule="auto"/>
      <w:outlineLvl w:val="8"/>
    </w:pPr>
    <w:rPr>
      <w:rFonts w:ascii="Calibri Light" w:eastAsia="Times New Roman" w:hAnsi="Calibri Light"/>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80F02"/>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B80F0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80F02"/>
    <w:rPr>
      <w:vertAlign w:val="superscript"/>
    </w:rPr>
  </w:style>
  <w:style w:type="paragraph" w:styleId="ListParagraph">
    <w:name w:val="List Paragraph"/>
    <w:basedOn w:val="Normal"/>
    <w:uiPriority w:val="34"/>
    <w:qFormat/>
    <w:rsid w:val="00B80F02"/>
    <w:pPr>
      <w:ind w:left="720"/>
      <w:contextualSpacing/>
    </w:pPr>
  </w:style>
  <w:style w:type="character" w:customStyle="1" w:styleId="Heading1Char">
    <w:name w:val="Heading 1 Char"/>
    <w:basedOn w:val="DefaultParagraphFont"/>
    <w:link w:val="Heading1"/>
    <w:uiPriority w:val="9"/>
    <w:rsid w:val="00B52E0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2E08"/>
    <w:pPr>
      <w:spacing w:line="259" w:lineRule="auto"/>
      <w:outlineLvl w:val="9"/>
    </w:pPr>
  </w:style>
  <w:style w:type="character" w:customStyle="1" w:styleId="Heading2Char">
    <w:name w:val="Heading 2 Char"/>
    <w:basedOn w:val="DefaultParagraphFont"/>
    <w:link w:val="Heading2"/>
    <w:uiPriority w:val="9"/>
    <w:rsid w:val="00B52E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2E08"/>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B52E08"/>
    <w:pPr>
      <w:spacing w:after="100"/>
    </w:pPr>
  </w:style>
  <w:style w:type="paragraph" w:styleId="TOC2">
    <w:name w:val="toc 2"/>
    <w:basedOn w:val="Normal"/>
    <w:next w:val="Normal"/>
    <w:autoRedefine/>
    <w:uiPriority w:val="39"/>
    <w:unhideWhenUsed/>
    <w:rsid w:val="00B52E08"/>
    <w:pPr>
      <w:spacing w:after="100"/>
      <w:ind w:left="220"/>
    </w:pPr>
  </w:style>
  <w:style w:type="paragraph" w:styleId="TOC3">
    <w:name w:val="toc 3"/>
    <w:basedOn w:val="Normal"/>
    <w:next w:val="Normal"/>
    <w:autoRedefine/>
    <w:uiPriority w:val="39"/>
    <w:unhideWhenUsed/>
    <w:rsid w:val="00B52E08"/>
    <w:pPr>
      <w:spacing w:after="100"/>
      <w:ind w:left="440"/>
    </w:pPr>
  </w:style>
  <w:style w:type="character" w:styleId="Hyperlink">
    <w:name w:val="Hyperlink"/>
    <w:basedOn w:val="DefaultParagraphFont"/>
    <w:uiPriority w:val="99"/>
    <w:unhideWhenUsed/>
    <w:rsid w:val="00B52E08"/>
    <w:rPr>
      <w:color w:val="0563C1" w:themeColor="hyperlink"/>
      <w:u w:val="single"/>
    </w:rPr>
  </w:style>
  <w:style w:type="paragraph" w:styleId="BodyText">
    <w:name w:val="Body Text"/>
    <w:basedOn w:val="Normal"/>
    <w:link w:val="BodyTextChar"/>
    <w:uiPriority w:val="99"/>
    <w:semiHidden/>
    <w:unhideWhenUsed/>
    <w:rsid w:val="0023261D"/>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2326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F7B33"/>
    <w:rPr>
      <w:rFonts w:ascii="Calibri Light" w:eastAsia="Times New Roman" w:hAnsi="Calibri Light" w:cs="Times New Roman"/>
      <w:i/>
      <w:iCs/>
      <w:color w:val="2E74B5" w:themeColor="accent1" w:themeShade="BF"/>
    </w:rPr>
  </w:style>
  <w:style w:type="character" w:customStyle="1" w:styleId="Heading5Char">
    <w:name w:val="Heading 5 Char"/>
    <w:basedOn w:val="DefaultParagraphFont"/>
    <w:link w:val="Heading5"/>
    <w:uiPriority w:val="9"/>
    <w:semiHidden/>
    <w:rsid w:val="00FF7B33"/>
    <w:rPr>
      <w:rFonts w:ascii="Calibri Light" w:eastAsia="Times New Roman" w:hAnsi="Calibri Light" w:cs="Times New Roman"/>
      <w:color w:val="2E74B5" w:themeColor="accent1" w:themeShade="BF"/>
    </w:rPr>
  </w:style>
  <w:style w:type="character" w:customStyle="1" w:styleId="Heading6Char">
    <w:name w:val="Heading 6 Char"/>
    <w:basedOn w:val="DefaultParagraphFont"/>
    <w:link w:val="Heading6"/>
    <w:uiPriority w:val="9"/>
    <w:semiHidden/>
    <w:rsid w:val="00FF7B33"/>
    <w:rPr>
      <w:rFonts w:ascii="Calibri Light" w:eastAsia="Times New Roman" w:hAnsi="Calibri Light" w:cs="Times New Roman"/>
      <w:color w:val="1F4D78" w:themeColor="accent1" w:themeShade="7F"/>
    </w:rPr>
  </w:style>
  <w:style w:type="character" w:customStyle="1" w:styleId="Heading7Char">
    <w:name w:val="Heading 7 Char"/>
    <w:basedOn w:val="DefaultParagraphFont"/>
    <w:link w:val="Heading7"/>
    <w:uiPriority w:val="9"/>
    <w:semiHidden/>
    <w:rsid w:val="00FF7B33"/>
    <w:rPr>
      <w:rFonts w:ascii="Calibri Light" w:eastAsia="Times New Roman" w:hAnsi="Calibri Light" w:cs="Times New Roman"/>
      <w:i/>
      <w:iCs/>
      <w:color w:val="1F4D78" w:themeColor="accent1" w:themeShade="7F"/>
    </w:rPr>
  </w:style>
  <w:style w:type="character" w:customStyle="1" w:styleId="Heading8Char">
    <w:name w:val="Heading 8 Char"/>
    <w:basedOn w:val="DefaultParagraphFont"/>
    <w:link w:val="Heading8"/>
    <w:uiPriority w:val="9"/>
    <w:semiHidden/>
    <w:rsid w:val="00FF7B33"/>
    <w:rPr>
      <w:rFonts w:ascii="Calibri Light" w:eastAsia="Times New Roman" w:hAnsi="Calibri Light"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FF7B33"/>
    <w:rPr>
      <w:rFonts w:ascii="Calibri Light" w:eastAsia="Times New Roman" w:hAnsi="Calibri Light" w:cs="Times New Roman"/>
      <w:i/>
      <w:iCs/>
      <w:color w:val="272727" w:themeColor="text1" w:themeTint="D8"/>
      <w:sz w:val="21"/>
      <w:szCs w:val="21"/>
    </w:rPr>
  </w:style>
  <w:style w:type="numbering" w:customStyle="1" w:styleId="NoList1">
    <w:name w:val="No List1"/>
    <w:next w:val="NoList"/>
    <w:uiPriority w:val="99"/>
    <w:semiHidden/>
    <w:unhideWhenUsed/>
    <w:rsid w:val="00FF7B33"/>
  </w:style>
  <w:style w:type="character" w:styleId="FollowedHyperlink">
    <w:name w:val="FollowedHyperlink"/>
    <w:basedOn w:val="DefaultParagraphFont"/>
    <w:uiPriority w:val="99"/>
    <w:semiHidden/>
    <w:unhideWhenUsed/>
    <w:rsid w:val="00FF7B33"/>
    <w:rPr>
      <w:color w:val="954F72" w:themeColor="followedHyperlink"/>
      <w:u w:val="single"/>
    </w:rPr>
  </w:style>
  <w:style w:type="paragraph" w:styleId="NormalWeb">
    <w:name w:val="Normal (Web)"/>
    <w:basedOn w:val="Normal"/>
    <w:uiPriority w:val="99"/>
    <w:semiHidden/>
    <w:unhideWhenUsed/>
    <w:rsid w:val="00FF7B33"/>
    <w:pPr>
      <w:spacing w:after="160" w:line="256" w:lineRule="auto"/>
    </w:pPr>
    <w:rPr>
      <w:rFonts w:ascii="Times New Roman" w:hAnsi="Times New Roman"/>
      <w:sz w:val="24"/>
      <w:szCs w:val="24"/>
    </w:rPr>
  </w:style>
  <w:style w:type="paragraph" w:styleId="Footer">
    <w:name w:val="footer"/>
    <w:basedOn w:val="Normal"/>
    <w:link w:val="FooterChar"/>
    <w:uiPriority w:val="99"/>
    <w:unhideWhenUsed/>
    <w:rsid w:val="00FF7B33"/>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FF7B33"/>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FF7B33"/>
    <w:pPr>
      <w:spacing w:line="240" w:lineRule="auto"/>
    </w:pPr>
    <w:rPr>
      <w:rFonts w:cs="Arial"/>
      <w:i/>
      <w:iCs/>
      <w:color w:val="44546A" w:themeColor="text2"/>
      <w:sz w:val="18"/>
      <w:szCs w:val="18"/>
    </w:rPr>
  </w:style>
  <w:style w:type="paragraph" w:styleId="TableofFigures">
    <w:name w:val="table of figures"/>
    <w:basedOn w:val="Normal"/>
    <w:next w:val="Normal"/>
    <w:uiPriority w:val="99"/>
    <w:semiHidden/>
    <w:unhideWhenUsed/>
    <w:rsid w:val="00FF7B33"/>
    <w:pPr>
      <w:spacing w:after="0" w:line="256" w:lineRule="auto"/>
    </w:pPr>
    <w:rPr>
      <w:rFonts w:cs="Arial"/>
    </w:rPr>
  </w:style>
  <w:style w:type="paragraph" w:customStyle="1" w:styleId="Default">
    <w:name w:val="Default"/>
    <w:rsid w:val="00FF7B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400E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0E2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00E20"/>
    <w:rPr>
      <w:vertAlign w:val="superscript"/>
    </w:rPr>
  </w:style>
  <w:style w:type="paragraph" w:styleId="Header">
    <w:name w:val="header"/>
    <w:basedOn w:val="Normal"/>
    <w:link w:val="HeaderChar"/>
    <w:uiPriority w:val="99"/>
    <w:unhideWhenUsed/>
    <w:rsid w:val="00FC6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D4D"/>
    <w:rPr>
      <w:rFonts w:ascii="Calibri" w:eastAsia="Calibri" w:hAnsi="Calibri" w:cs="Times New Roman"/>
    </w:rPr>
  </w:style>
  <w:style w:type="character" w:styleId="CommentReference">
    <w:name w:val="annotation reference"/>
    <w:basedOn w:val="DefaultParagraphFont"/>
    <w:uiPriority w:val="99"/>
    <w:semiHidden/>
    <w:unhideWhenUsed/>
    <w:rsid w:val="0080311C"/>
    <w:rPr>
      <w:sz w:val="16"/>
      <w:szCs w:val="16"/>
    </w:rPr>
  </w:style>
  <w:style w:type="paragraph" w:styleId="CommentText">
    <w:name w:val="annotation text"/>
    <w:basedOn w:val="Normal"/>
    <w:link w:val="CommentTextChar"/>
    <w:uiPriority w:val="99"/>
    <w:semiHidden/>
    <w:unhideWhenUsed/>
    <w:rsid w:val="0080311C"/>
    <w:pPr>
      <w:spacing w:line="240" w:lineRule="auto"/>
    </w:pPr>
    <w:rPr>
      <w:sz w:val="20"/>
      <w:szCs w:val="20"/>
    </w:rPr>
  </w:style>
  <w:style w:type="character" w:customStyle="1" w:styleId="CommentTextChar">
    <w:name w:val="Comment Text Char"/>
    <w:basedOn w:val="DefaultParagraphFont"/>
    <w:link w:val="CommentText"/>
    <w:uiPriority w:val="99"/>
    <w:semiHidden/>
    <w:rsid w:val="008031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311C"/>
    <w:rPr>
      <w:b/>
      <w:bCs/>
    </w:rPr>
  </w:style>
  <w:style w:type="character" w:customStyle="1" w:styleId="CommentSubjectChar">
    <w:name w:val="Comment Subject Char"/>
    <w:basedOn w:val="CommentTextChar"/>
    <w:link w:val="CommentSubject"/>
    <w:uiPriority w:val="99"/>
    <w:semiHidden/>
    <w:rsid w:val="0080311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03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1C"/>
    <w:rPr>
      <w:rFonts w:ascii="Segoe UI" w:eastAsia="Calibri" w:hAnsi="Segoe UI" w:cs="Segoe UI"/>
      <w:sz w:val="18"/>
      <w:szCs w:val="18"/>
    </w:rPr>
  </w:style>
  <w:style w:type="character" w:customStyle="1" w:styleId="apple-converted-space">
    <w:name w:val="apple-converted-space"/>
    <w:basedOn w:val="DefaultParagraphFont"/>
    <w:rsid w:val="00CB342E"/>
  </w:style>
  <w:style w:type="paragraph" w:customStyle="1" w:styleId="EndNoteBibliography">
    <w:name w:val="EndNote Bibliography"/>
    <w:basedOn w:val="Normal"/>
    <w:link w:val="EndNoteBibliographyChar"/>
    <w:rsid w:val="00565F02"/>
    <w:pPr>
      <w:spacing w:line="240" w:lineRule="auto"/>
    </w:pPr>
    <w:rPr>
      <w:rFonts w:cs="Calibri"/>
      <w:noProof/>
    </w:rPr>
  </w:style>
  <w:style w:type="character" w:customStyle="1" w:styleId="EndNoteBibliographyChar">
    <w:name w:val="EndNote Bibliography Char"/>
    <w:basedOn w:val="DefaultParagraphFont"/>
    <w:link w:val="EndNoteBibliography"/>
    <w:rsid w:val="00565F02"/>
    <w:rPr>
      <w:rFonts w:ascii="Calibri" w:eastAsia="Calibri" w:hAnsi="Calibri" w:cs="Calibri"/>
      <w:noProof/>
    </w:rPr>
  </w:style>
  <w:style w:type="paragraph" w:styleId="Revision">
    <w:name w:val="Revision"/>
    <w:hidden/>
    <w:uiPriority w:val="99"/>
    <w:semiHidden/>
    <w:rsid w:val="00257D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4893">
      <w:bodyDiv w:val="1"/>
      <w:marLeft w:val="0"/>
      <w:marRight w:val="0"/>
      <w:marTop w:val="0"/>
      <w:marBottom w:val="0"/>
      <w:divBdr>
        <w:top w:val="none" w:sz="0" w:space="0" w:color="auto"/>
        <w:left w:val="none" w:sz="0" w:space="0" w:color="auto"/>
        <w:bottom w:val="none" w:sz="0" w:space="0" w:color="auto"/>
        <w:right w:val="none" w:sz="0" w:space="0" w:color="auto"/>
      </w:divBdr>
    </w:div>
    <w:div w:id="65886239">
      <w:bodyDiv w:val="1"/>
      <w:marLeft w:val="0"/>
      <w:marRight w:val="0"/>
      <w:marTop w:val="0"/>
      <w:marBottom w:val="0"/>
      <w:divBdr>
        <w:top w:val="none" w:sz="0" w:space="0" w:color="auto"/>
        <w:left w:val="none" w:sz="0" w:space="0" w:color="auto"/>
        <w:bottom w:val="none" w:sz="0" w:space="0" w:color="auto"/>
        <w:right w:val="none" w:sz="0" w:space="0" w:color="auto"/>
      </w:divBdr>
    </w:div>
    <w:div w:id="68313567">
      <w:bodyDiv w:val="1"/>
      <w:marLeft w:val="0"/>
      <w:marRight w:val="0"/>
      <w:marTop w:val="0"/>
      <w:marBottom w:val="0"/>
      <w:divBdr>
        <w:top w:val="none" w:sz="0" w:space="0" w:color="auto"/>
        <w:left w:val="none" w:sz="0" w:space="0" w:color="auto"/>
        <w:bottom w:val="none" w:sz="0" w:space="0" w:color="auto"/>
        <w:right w:val="none" w:sz="0" w:space="0" w:color="auto"/>
      </w:divBdr>
    </w:div>
    <w:div w:id="152793751">
      <w:bodyDiv w:val="1"/>
      <w:marLeft w:val="0"/>
      <w:marRight w:val="0"/>
      <w:marTop w:val="0"/>
      <w:marBottom w:val="0"/>
      <w:divBdr>
        <w:top w:val="none" w:sz="0" w:space="0" w:color="auto"/>
        <w:left w:val="none" w:sz="0" w:space="0" w:color="auto"/>
        <w:bottom w:val="none" w:sz="0" w:space="0" w:color="auto"/>
        <w:right w:val="none" w:sz="0" w:space="0" w:color="auto"/>
      </w:divBdr>
    </w:div>
    <w:div w:id="182019410">
      <w:bodyDiv w:val="1"/>
      <w:marLeft w:val="0"/>
      <w:marRight w:val="0"/>
      <w:marTop w:val="0"/>
      <w:marBottom w:val="0"/>
      <w:divBdr>
        <w:top w:val="none" w:sz="0" w:space="0" w:color="auto"/>
        <w:left w:val="none" w:sz="0" w:space="0" w:color="auto"/>
        <w:bottom w:val="none" w:sz="0" w:space="0" w:color="auto"/>
        <w:right w:val="none" w:sz="0" w:space="0" w:color="auto"/>
      </w:divBdr>
    </w:div>
    <w:div w:id="194579696">
      <w:bodyDiv w:val="1"/>
      <w:marLeft w:val="0"/>
      <w:marRight w:val="0"/>
      <w:marTop w:val="0"/>
      <w:marBottom w:val="0"/>
      <w:divBdr>
        <w:top w:val="none" w:sz="0" w:space="0" w:color="auto"/>
        <w:left w:val="none" w:sz="0" w:space="0" w:color="auto"/>
        <w:bottom w:val="none" w:sz="0" w:space="0" w:color="auto"/>
        <w:right w:val="none" w:sz="0" w:space="0" w:color="auto"/>
      </w:divBdr>
    </w:div>
    <w:div w:id="198706217">
      <w:bodyDiv w:val="1"/>
      <w:marLeft w:val="0"/>
      <w:marRight w:val="0"/>
      <w:marTop w:val="0"/>
      <w:marBottom w:val="0"/>
      <w:divBdr>
        <w:top w:val="none" w:sz="0" w:space="0" w:color="auto"/>
        <w:left w:val="none" w:sz="0" w:space="0" w:color="auto"/>
        <w:bottom w:val="none" w:sz="0" w:space="0" w:color="auto"/>
        <w:right w:val="none" w:sz="0" w:space="0" w:color="auto"/>
      </w:divBdr>
    </w:div>
    <w:div w:id="202905474">
      <w:bodyDiv w:val="1"/>
      <w:marLeft w:val="0"/>
      <w:marRight w:val="0"/>
      <w:marTop w:val="0"/>
      <w:marBottom w:val="0"/>
      <w:divBdr>
        <w:top w:val="none" w:sz="0" w:space="0" w:color="auto"/>
        <w:left w:val="none" w:sz="0" w:space="0" w:color="auto"/>
        <w:bottom w:val="none" w:sz="0" w:space="0" w:color="auto"/>
        <w:right w:val="none" w:sz="0" w:space="0" w:color="auto"/>
      </w:divBdr>
    </w:div>
    <w:div w:id="206453440">
      <w:bodyDiv w:val="1"/>
      <w:marLeft w:val="0"/>
      <w:marRight w:val="0"/>
      <w:marTop w:val="0"/>
      <w:marBottom w:val="0"/>
      <w:divBdr>
        <w:top w:val="none" w:sz="0" w:space="0" w:color="auto"/>
        <w:left w:val="none" w:sz="0" w:space="0" w:color="auto"/>
        <w:bottom w:val="none" w:sz="0" w:space="0" w:color="auto"/>
        <w:right w:val="none" w:sz="0" w:space="0" w:color="auto"/>
      </w:divBdr>
    </w:div>
    <w:div w:id="207693510">
      <w:bodyDiv w:val="1"/>
      <w:marLeft w:val="0"/>
      <w:marRight w:val="0"/>
      <w:marTop w:val="0"/>
      <w:marBottom w:val="0"/>
      <w:divBdr>
        <w:top w:val="none" w:sz="0" w:space="0" w:color="auto"/>
        <w:left w:val="none" w:sz="0" w:space="0" w:color="auto"/>
        <w:bottom w:val="none" w:sz="0" w:space="0" w:color="auto"/>
        <w:right w:val="none" w:sz="0" w:space="0" w:color="auto"/>
      </w:divBdr>
    </w:div>
    <w:div w:id="215095307">
      <w:bodyDiv w:val="1"/>
      <w:marLeft w:val="0"/>
      <w:marRight w:val="0"/>
      <w:marTop w:val="0"/>
      <w:marBottom w:val="0"/>
      <w:divBdr>
        <w:top w:val="none" w:sz="0" w:space="0" w:color="auto"/>
        <w:left w:val="none" w:sz="0" w:space="0" w:color="auto"/>
        <w:bottom w:val="none" w:sz="0" w:space="0" w:color="auto"/>
        <w:right w:val="none" w:sz="0" w:space="0" w:color="auto"/>
      </w:divBdr>
    </w:div>
    <w:div w:id="245500464">
      <w:bodyDiv w:val="1"/>
      <w:marLeft w:val="0"/>
      <w:marRight w:val="0"/>
      <w:marTop w:val="0"/>
      <w:marBottom w:val="0"/>
      <w:divBdr>
        <w:top w:val="none" w:sz="0" w:space="0" w:color="auto"/>
        <w:left w:val="none" w:sz="0" w:space="0" w:color="auto"/>
        <w:bottom w:val="none" w:sz="0" w:space="0" w:color="auto"/>
        <w:right w:val="none" w:sz="0" w:space="0" w:color="auto"/>
      </w:divBdr>
    </w:div>
    <w:div w:id="266742802">
      <w:bodyDiv w:val="1"/>
      <w:marLeft w:val="0"/>
      <w:marRight w:val="0"/>
      <w:marTop w:val="0"/>
      <w:marBottom w:val="0"/>
      <w:divBdr>
        <w:top w:val="none" w:sz="0" w:space="0" w:color="auto"/>
        <w:left w:val="none" w:sz="0" w:space="0" w:color="auto"/>
        <w:bottom w:val="none" w:sz="0" w:space="0" w:color="auto"/>
        <w:right w:val="none" w:sz="0" w:space="0" w:color="auto"/>
      </w:divBdr>
    </w:div>
    <w:div w:id="333455342">
      <w:bodyDiv w:val="1"/>
      <w:marLeft w:val="0"/>
      <w:marRight w:val="0"/>
      <w:marTop w:val="0"/>
      <w:marBottom w:val="0"/>
      <w:divBdr>
        <w:top w:val="none" w:sz="0" w:space="0" w:color="auto"/>
        <w:left w:val="none" w:sz="0" w:space="0" w:color="auto"/>
        <w:bottom w:val="none" w:sz="0" w:space="0" w:color="auto"/>
        <w:right w:val="none" w:sz="0" w:space="0" w:color="auto"/>
      </w:divBdr>
    </w:div>
    <w:div w:id="391395047">
      <w:bodyDiv w:val="1"/>
      <w:marLeft w:val="0"/>
      <w:marRight w:val="0"/>
      <w:marTop w:val="0"/>
      <w:marBottom w:val="0"/>
      <w:divBdr>
        <w:top w:val="none" w:sz="0" w:space="0" w:color="auto"/>
        <w:left w:val="none" w:sz="0" w:space="0" w:color="auto"/>
        <w:bottom w:val="none" w:sz="0" w:space="0" w:color="auto"/>
        <w:right w:val="none" w:sz="0" w:space="0" w:color="auto"/>
      </w:divBdr>
    </w:div>
    <w:div w:id="405997922">
      <w:bodyDiv w:val="1"/>
      <w:marLeft w:val="0"/>
      <w:marRight w:val="0"/>
      <w:marTop w:val="0"/>
      <w:marBottom w:val="0"/>
      <w:divBdr>
        <w:top w:val="none" w:sz="0" w:space="0" w:color="auto"/>
        <w:left w:val="none" w:sz="0" w:space="0" w:color="auto"/>
        <w:bottom w:val="none" w:sz="0" w:space="0" w:color="auto"/>
        <w:right w:val="none" w:sz="0" w:space="0" w:color="auto"/>
      </w:divBdr>
    </w:div>
    <w:div w:id="477919735">
      <w:bodyDiv w:val="1"/>
      <w:marLeft w:val="0"/>
      <w:marRight w:val="0"/>
      <w:marTop w:val="0"/>
      <w:marBottom w:val="0"/>
      <w:divBdr>
        <w:top w:val="none" w:sz="0" w:space="0" w:color="auto"/>
        <w:left w:val="none" w:sz="0" w:space="0" w:color="auto"/>
        <w:bottom w:val="none" w:sz="0" w:space="0" w:color="auto"/>
        <w:right w:val="none" w:sz="0" w:space="0" w:color="auto"/>
      </w:divBdr>
    </w:div>
    <w:div w:id="497772879">
      <w:bodyDiv w:val="1"/>
      <w:marLeft w:val="0"/>
      <w:marRight w:val="0"/>
      <w:marTop w:val="0"/>
      <w:marBottom w:val="0"/>
      <w:divBdr>
        <w:top w:val="none" w:sz="0" w:space="0" w:color="auto"/>
        <w:left w:val="none" w:sz="0" w:space="0" w:color="auto"/>
        <w:bottom w:val="none" w:sz="0" w:space="0" w:color="auto"/>
        <w:right w:val="none" w:sz="0" w:space="0" w:color="auto"/>
      </w:divBdr>
    </w:div>
    <w:div w:id="509955594">
      <w:bodyDiv w:val="1"/>
      <w:marLeft w:val="0"/>
      <w:marRight w:val="0"/>
      <w:marTop w:val="0"/>
      <w:marBottom w:val="0"/>
      <w:divBdr>
        <w:top w:val="none" w:sz="0" w:space="0" w:color="auto"/>
        <w:left w:val="none" w:sz="0" w:space="0" w:color="auto"/>
        <w:bottom w:val="none" w:sz="0" w:space="0" w:color="auto"/>
        <w:right w:val="none" w:sz="0" w:space="0" w:color="auto"/>
      </w:divBdr>
    </w:div>
    <w:div w:id="534735025">
      <w:bodyDiv w:val="1"/>
      <w:marLeft w:val="0"/>
      <w:marRight w:val="0"/>
      <w:marTop w:val="0"/>
      <w:marBottom w:val="0"/>
      <w:divBdr>
        <w:top w:val="none" w:sz="0" w:space="0" w:color="auto"/>
        <w:left w:val="none" w:sz="0" w:space="0" w:color="auto"/>
        <w:bottom w:val="none" w:sz="0" w:space="0" w:color="auto"/>
        <w:right w:val="none" w:sz="0" w:space="0" w:color="auto"/>
      </w:divBdr>
    </w:div>
    <w:div w:id="573509921">
      <w:bodyDiv w:val="1"/>
      <w:marLeft w:val="0"/>
      <w:marRight w:val="0"/>
      <w:marTop w:val="0"/>
      <w:marBottom w:val="0"/>
      <w:divBdr>
        <w:top w:val="none" w:sz="0" w:space="0" w:color="auto"/>
        <w:left w:val="none" w:sz="0" w:space="0" w:color="auto"/>
        <w:bottom w:val="none" w:sz="0" w:space="0" w:color="auto"/>
        <w:right w:val="none" w:sz="0" w:space="0" w:color="auto"/>
      </w:divBdr>
    </w:div>
    <w:div w:id="590361270">
      <w:bodyDiv w:val="1"/>
      <w:marLeft w:val="0"/>
      <w:marRight w:val="0"/>
      <w:marTop w:val="0"/>
      <w:marBottom w:val="0"/>
      <w:divBdr>
        <w:top w:val="none" w:sz="0" w:space="0" w:color="auto"/>
        <w:left w:val="none" w:sz="0" w:space="0" w:color="auto"/>
        <w:bottom w:val="none" w:sz="0" w:space="0" w:color="auto"/>
        <w:right w:val="none" w:sz="0" w:space="0" w:color="auto"/>
      </w:divBdr>
    </w:div>
    <w:div w:id="592707816">
      <w:bodyDiv w:val="1"/>
      <w:marLeft w:val="0"/>
      <w:marRight w:val="0"/>
      <w:marTop w:val="0"/>
      <w:marBottom w:val="0"/>
      <w:divBdr>
        <w:top w:val="none" w:sz="0" w:space="0" w:color="auto"/>
        <w:left w:val="none" w:sz="0" w:space="0" w:color="auto"/>
        <w:bottom w:val="none" w:sz="0" w:space="0" w:color="auto"/>
        <w:right w:val="none" w:sz="0" w:space="0" w:color="auto"/>
      </w:divBdr>
    </w:div>
    <w:div w:id="599534333">
      <w:bodyDiv w:val="1"/>
      <w:marLeft w:val="0"/>
      <w:marRight w:val="0"/>
      <w:marTop w:val="0"/>
      <w:marBottom w:val="0"/>
      <w:divBdr>
        <w:top w:val="none" w:sz="0" w:space="0" w:color="auto"/>
        <w:left w:val="none" w:sz="0" w:space="0" w:color="auto"/>
        <w:bottom w:val="none" w:sz="0" w:space="0" w:color="auto"/>
        <w:right w:val="none" w:sz="0" w:space="0" w:color="auto"/>
      </w:divBdr>
    </w:div>
    <w:div w:id="636569468">
      <w:bodyDiv w:val="1"/>
      <w:marLeft w:val="0"/>
      <w:marRight w:val="0"/>
      <w:marTop w:val="0"/>
      <w:marBottom w:val="0"/>
      <w:divBdr>
        <w:top w:val="none" w:sz="0" w:space="0" w:color="auto"/>
        <w:left w:val="none" w:sz="0" w:space="0" w:color="auto"/>
        <w:bottom w:val="none" w:sz="0" w:space="0" w:color="auto"/>
        <w:right w:val="none" w:sz="0" w:space="0" w:color="auto"/>
      </w:divBdr>
    </w:div>
    <w:div w:id="665283635">
      <w:bodyDiv w:val="1"/>
      <w:marLeft w:val="0"/>
      <w:marRight w:val="0"/>
      <w:marTop w:val="0"/>
      <w:marBottom w:val="0"/>
      <w:divBdr>
        <w:top w:val="none" w:sz="0" w:space="0" w:color="auto"/>
        <w:left w:val="none" w:sz="0" w:space="0" w:color="auto"/>
        <w:bottom w:val="none" w:sz="0" w:space="0" w:color="auto"/>
        <w:right w:val="none" w:sz="0" w:space="0" w:color="auto"/>
      </w:divBdr>
    </w:div>
    <w:div w:id="771128529">
      <w:bodyDiv w:val="1"/>
      <w:marLeft w:val="0"/>
      <w:marRight w:val="0"/>
      <w:marTop w:val="0"/>
      <w:marBottom w:val="0"/>
      <w:divBdr>
        <w:top w:val="none" w:sz="0" w:space="0" w:color="auto"/>
        <w:left w:val="none" w:sz="0" w:space="0" w:color="auto"/>
        <w:bottom w:val="none" w:sz="0" w:space="0" w:color="auto"/>
        <w:right w:val="none" w:sz="0" w:space="0" w:color="auto"/>
      </w:divBdr>
    </w:div>
    <w:div w:id="775709107">
      <w:bodyDiv w:val="1"/>
      <w:marLeft w:val="0"/>
      <w:marRight w:val="0"/>
      <w:marTop w:val="0"/>
      <w:marBottom w:val="0"/>
      <w:divBdr>
        <w:top w:val="none" w:sz="0" w:space="0" w:color="auto"/>
        <w:left w:val="none" w:sz="0" w:space="0" w:color="auto"/>
        <w:bottom w:val="none" w:sz="0" w:space="0" w:color="auto"/>
        <w:right w:val="none" w:sz="0" w:space="0" w:color="auto"/>
      </w:divBdr>
    </w:div>
    <w:div w:id="795411032">
      <w:bodyDiv w:val="1"/>
      <w:marLeft w:val="0"/>
      <w:marRight w:val="0"/>
      <w:marTop w:val="0"/>
      <w:marBottom w:val="0"/>
      <w:divBdr>
        <w:top w:val="none" w:sz="0" w:space="0" w:color="auto"/>
        <w:left w:val="none" w:sz="0" w:space="0" w:color="auto"/>
        <w:bottom w:val="none" w:sz="0" w:space="0" w:color="auto"/>
        <w:right w:val="none" w:sz="0" w:space="0" w:color="auto"/>
      </w:divBdr>
    </w:div>
    <w:div w:id="847527680">
      <w:bodyDiv w:val="1"/>
      <w:marLeft w:val="0"/>
      <w:marRight w:val="0"/>
      <w:marTop w:val="0"/>
      <w:marBottom w:val="0"/>
      <w:divBdr>
        <w:top w:val="none" w:sz="0" w:space="0" w:color="auto"/>
        <w:left w:val="none" w:sz="0" w:space="0" w:color="auto"/>
        <w:bottom w:val="none" w:sz="0" w:space="0" w:color="auto"/>
        <w:right w:val="none" w:sz="0" w:space="0" w:color="auto"/>
      </w:divBdr>
    </w:div>
    <w:div w:id="898829793">
      <w:bodyDiv w:val="1"/>
      <w:marLeft w:val="0"/>
      <w:marRight w:val="0"/>
      <w:marTop w:val="0"/>
      <w:marBottom w:val="0"/>
      <w:divBdr>
        <w:top w:val="none" w:sz="0" w:space="0" w:color="auto"/>
        <w:left w:val="none" w:sz="0" w:space="0" w:color="auto"/>
        <w:bottom w:val="none" w:sz="0" w:space="0" w:color="auto"/>
        <w:right w:val="none" w:sz="0" w:space="0" w:color="auto"/>
      </w:divBdr>
    </w:div>
    <w:div w:id="936330704">
      <w:bodyDiv w:val="1"/>
      <w:marLeft w:val="0"/>
      <w:marRight w:val="0"/>
      <w:marTop w:val="0"/>
      <w:marBottom w:val="0"/>
      <w:divBdr>
        <w:top w:val="none" w:sz="0" w:space="0" w:color="auto"/>
        <w:left w:val="none" w:sz="0" w:space="0" w:color="auto"/>
        <w:bottom w:val="none" w:sz="0" w:space="0" w:color="auto"/>
        <w:right w:val="none" w:sz="0" w:space="0" w:color="auto"/>
      </w:divBdr>
    </w:div>
    <w:div w:id="937058265">
      <w:bodyDiv w:val="1"/>
      <w:marLeft w:val="0"/>
      <w:marRight w:val="0"/>
      <w:marTop w:val="0"/>
      <w:marBottom w:val="0"/>
      <w:divBdr>
        <w:top w:val="none" w:sz="0" w:space="0" w:color="auto"/>
        <w:left w:val="none" w:sz="0" w:space="0" w:color="auto"/>
        <w:bottom w:val="none" w:sz="0" w:space="0" w:color="auto"/>
        <w:right w:val="none" w:sz="0" w:space="0" w:color="auto"/>
      </w:divBdr>
    </w:div>
    <w:div w:id="957420055">
      <w:bodyDiv w:val="1"/>
      <w:marLeft w:val="0"/>
      <w:marRight w:val="0"/>
      <w:marTop w:val="0"/>
      <w:marBottom w:val="0"/>
      <w:divBdr>
        <w:top w:val="none" w:sz="0" w:space="0" w:color="auto"/>
        <w:left w:val="none" w:sz="0" w:space="0" w:color="auto"/>
        <w:bottom w:val="none" w:sz="0" w:space="0" w:color="auto"/>
        <w:right w:val="none" w:sz="0" w:space="0" w:color="auto"/>
      </w:divBdr>
    </w:div>
    <w:div w:id="1008561608">
      <w:bodyDiv w:val="1"/>
      <w:marLeft w:val="0"/>
      <w:marRight w:val="0"/>
      <w:marTop w:val="0"/>
      <w:marBottom w:val="0"/>
      <w:divBdr>
        <w:top w:val="none" w:sz="0" w:space="0" w:color="auto"/>
        <w:left w:val="none" w:sz="0" w:space="0" w:color="auto"/>
        <w:bottom w:val="none" w:sz="0" w:space="0" w:color="auto"/>
        <w:right w:val="none" w:sz="0" w:space="0" w:color="auto"/>
      </w:divBdr>
    </w:div>
    <w:div w:id="1057171546">
      <w:bodyDiv w:val="1"/>
      <w:marLeft w:val="0"/>
      <w:marRight w:val="0"/>
      <w:marTop w:val="0"/>
      <w:marBottom w:val="0"/>
      <w:divBdr>
        <w:top w:val="none" w:sz="0" w:space="0" w:color="auto"/>
        <w:left w:val="none" w:sz="0" w:space="0" w:color="auto"/>
        <w:bottom w:val="none" w:sz="0" w:space="0" w:color="auto"/>
        <w:right w:val="none" w:sz="0" w:space="0" w:color="auto"/>
      </w:divBdr>
    </w:div>
    <w:div w:id="1097864929">
      <w:bodyDiv w:val="1"/>
      <w:marLeft w:val="0"/>
      <w:marRight w:val="0"/>
      <w:marTop w:val="0"/>
      <w:marBottom w:val="0"/>
      <w:divBdr>
        <w:top w:val="none" w:sz="0" w:space="0" w:color="auto"/>
        <w:left w:val="none" w:sz="0" w:space="0" w:color="auto"/>
        <w:bottom w:val="none" w:sz="0" w:space="0" w:color="auto"/>
        <w:right w:val="none" w:sz="0" w:space="0" w:color="auto"/>
      </w:divBdr>
    </w:div>
    <w:div w:id="1102452752">
      <w:bodyDiv w:val="1"/>
      <w:marLeft w:val="0"/>
      <w:marRight w:val="0"/>
      <w:marTop w:val="0"/>
      <w:marBottom w:val="0"/>
      <w:divBdr>
        <w:top w:val="none" w:sz="0" w:space="0" w:color="auto"/>
        <w:left w:val="none" w:sz="0" w:space="0" w:color="auto"/>
        <w:bottom w:val="none" w:sz="0" w:space="0" w:color="auto"/>
        <w:right w:val="none" w:sz="0" w:space="0" w:color="auto"/>
      </w:divBdr>
    </w:div>
    <w:div w:id="1133449948">
      <w:bodyDiv w:val="1"/>
      <w:marLeft w:val="0"/>
      <w:marRight w:val="0"/>
      <w:marTop w:val="0"/>
      <w:marBottom w:val="0"/>
      <w:divBdr>
        <w:top w:val="none" w:sz="0" w:space="0" w:color="auto"/>
        <w:left w:val="none" w:sz="0" w:space="0" w:color="auto"/>
        <w:bottom w:val="none" w:sz="0" w:space="0" w:color="auto"/>
        <w:right w:val="none" w:sz="0" w:space="0" w:color="auto"/>
      </w:divBdr>
    </w:div>
    <w:div w:id="1153527533">
      <w:bodyDiv w:val="1"/>
      <w:marLeft w:val="0"/>
      <w:marRight w:val="0"/>
      <w:marTop w:val="0"/>
      <w:marBottom w:val="0"/>
      <w:divBdr>
        <w:top w:val="none" w:sz="0" w:space="0" w:color="auto"/>
        <w:left w:val="none" w:sz="0" w:space="0" w:color="auto"/>
        <w:bottom w:val="none" w:sz="0" w:space="0" w:color="auto"/>
        <w:right w:val="none" w:sz="0" w:space="0" w:color="auto"/>
      </w:divBdr>
    </w:div>
    <w:div w:id="1194728251">
      <w:bodyDiv w:val="1"/>
      <w:marLeft w:val="0"/>
      <w:marRight w:val="0"/>
      <w:marTop w:val="0"/>
      <w:marBottom w:val="0"/>
      <w:divBdr>
        <w:top w:val="none" w:sz="0" w:space="0" w:color="auto"/>
        <w:left w:val="none" w:sz="0" w:space="0" w:color="auto"/>
        <w:bottom w:val="none" w:sz="0" w:space="0" w:color="auto"/>
        <w:right w:val="none" w:sz="0" w:space="0" w:color="auto"/>
      </w:divBdr>
    </w:div>
    <w:div w:id="1242566073">
      <w:bodyDiv w:val="1"/>
      <w:marLeft w:val="0"/>
      <w:marRight w:val="0"/>
      <w:marTop w:val="0"/>
      <w:marBottom w:val="0"/>
      <w:divBdr>
        <w:top w:val="none" w:sz="0" w:space="0" w:color="auto"/>
        <w:left w:val="none" w:sz="0" w:space="0" w:color="auto"/>
        <w:bottom w:val="none" w:sz="0" w:space="0" w:color="auto"/>
        <w:right w:val="none" w:sz="0" w:space="0" w:color="auto"/>
      </w:divBdr>
    </w:div>
    <w:div w:id="1256816291">
      <w:bodyDiv w:val="1"/>
      <w:marLeft w:val="0"/>
      <w:marRight w:val="0"/>
      <w:marTop w:val="0"/>
      <w:marBottom w:val="0"/>
      <w:divBdr>
        <w:top w:val="none" w:sz="0" w:space="0" w:color="auto"/>
        <w:left w:val="none" w:sz="0" w:space="0" w:color="auto"/>
        <w:bottom w:val="none" w:sz="0" w:space="0" w:color="auto"/>
        <w:right w:val="none" w:sz="0" w:space="0" w:color="auto"/>
      </w:divBdr>
    </w:div>
    <w:div w:id="1284575530">
      <w:bodyDiv w:val="1"/>
      <w:marLeft w:val="0"/>
      <w:marRight w:val="0"/>
      <w:marTop w:val="0"/>
      <w:marBottom w:val="0"/>
      <w:divBdr>
        <w:top w:val="none" w:sz="0" w:space="0" w:color="auto"/>
        <w:left w:val="none" w:sz="0" w:space="0" w:color="auto"/>
        <w:bottom w:val="none" w:sz="0" w:space="0" w:color="auto"/>
        <w:right w:val="none" w:sz="0" w:space="0" w:color="auto"/>
      </w:divBdr>
    </w:div>
    <w:div w:id="1285575152">
      <w:bodyDiv w:val="1"/>
      <w:marLeft w:val="0"/>
      <w:marRight w:val="0"/>
      <w:marTop w:val="0"/>
      <w:marBottom w:val="0"/>
      <w:divBdr>
        <w:top w:val="none" w:sz="0" w:space="0" w:color="auto"/>
        <w:left w:val="none" w:sz="0" w:space="0" w:color="auto"/>
        <w:bottom w:val="none" w:sz="0" w:space="0" w:color="auto"/>
        <w:right w:val="none" w:sz="0" w:space="0" w:color="auto"/>
      </w:divBdr>
    </w:div>
    <w:div w:id="1320159358">
      <w:bodyDiv w:val="1"/>
      <w:marLeft w:val="0"/>
      <w:marRight w:val="0"/>
      <w:marTop w:val="0"/>
      <w:marBottom w:val="0"/>
      <w:divBdr>
        <w:top w:val="none" w:sz="0" w:space="0" w:color="auto"/>
        <w:left w:val="none" w:sz="0" w:space="0" w:color="auto"/>
        <w:bottom w:val="none" w:sz="0" w:space="0" w:color="auto"/>
        <w:right w:val="none" w:sz="0" w:space="0" w:color="auto"/>
      </w:divBdr>
    </w:div>
    <w:div w:id="1426877636">
      <w:bodyDiv w:val="1"/>
      <w:marLeft w:val="0"/>
      <w:marRight w:val="0"/>
      <w:marTop w:val="0"/>
      <w:marBottom w:val="0"/>
      <w:divBdr>
        <w:top w:val="none" w:sz="0" w:space="0" w:color="auto"/>
        <w:left w:val="none" w:sz="0" w:space="0" w:color="auto"/>
        <w:bottom w:val="none" w:sz="0" w:space="0" w:color="auto"/>
        <w:right w:val="none" w:sz="0" w:space="0" w:color="auto"/>
      </w:divBdr>
    </w:div>
    <w:div w:id="1497304364">
      <w:bodyDiv w:val="1"/>
      <w:marLeft w:val="0"/>
      <w:marRight w:val="0"/>
      <w:marTop w:val="0"/>
      <w:marBottom w:val="0"/>
      <w:divBdr>
        <w:top w:val="none" w:sz="0" w:space="0" w:color="auto"/>
        <w:left w:val="none" w:sz="0" w:space="0" w:color="auto"/>
        <w:bottom w:val="none" w:sz="0" w:space="0" w:color="auto"/>
        <w:right w:val="none" w:sz="0" w:space="0" w:color="auto"/>
      </w:divBdr>
    </w:div>
    <w:div w:id="1609971639">
      <w:bodyDiv w:val="1"/>
      <w:marLeft w:val="0"/>
      <w:marRight w:val="0"/>
      <w:marTop w:val="0"/>
      <w:marBottom w:val="0"/>
      <w:divBdr>
        <w:top w:val="none" w:sz="0" w:space="0" w:color="auto"/>
        <w:left w:val="none" w:sz="0" w:space="0" w:color="auto"/>
        <w:bottom w:val="none" w:sz="0" w:space="0" w:color="auto"/>
        <w:right w:val="none" w:sz="0" w:space="0" w:color="auto"/>
      </w:divBdr>
    </w:div>
    <w:div w:id="1647467140">
      <w:bodyDiv w:val="1"/>
      <w:marLeft w:val="0"/>
      <w:marRight w:val="0"/>
      <w:marTop w:val="0"/>
      <w:marBottom w:val="0"/>
      <w:divBdr>
        <w:top w:val="none" w:sz="0" w:space="0" w:color="auto"/>
        <w:left w:val="none" w:sz="0" w:space="0" w:color="auto"/>
        <w:bottom w:val="none" w:sz="0" w:space="0" w:color="auto"/>
        <w:right w:val="none" w:sz="0" w:space="0" w:color="auto"/>
      </w:divBdr>
    </w:div>
    <w:div w:id="1810442404">
      <w:bodyDiv w:val="1"/>
      <w:marLeft w:val="0"/>
      <w:marRight w:val="0"/>
      <w:marTop w:val="0"/>
      <w:marBottom w:val="0"/>
      <w:divBdr>
        <w:top w:val="none" w:sz="0" w:space="0" w:color="auto"/>
        <w:left w:val="none" w:sz="0" w:space="0" w:color="auto"/>
        <w:bottom w:val="none" w:sz="0" w:space="0" w:color="auto"/>
        <w:right w:val="none" w:sz="0" w:space="0" w:color="auto"/>
      </w:divBdr>
    </w:div>
    <w:div w:id="1860968024">
      <w:bodyDiv w:val="1"/>
      <w:marLeft w:val="0"/>
      <w:marRight w:val="0"/>
      <w:marTop w:val="0"/>
      <w:marBottom w:val="0"/>
      <w:divBdr>
        <w:top w:val="none" w:sz="0" w:space="0" w:color="auto"/>
        <w:left w:val="none" w:sz="0" w:space="0" w:color="auto"/>
        <w:bottom w:val="none" w:sz="0" w:space="0" w:color="auto"/>
        <w:right w:val="none" w:sz="0" w:space="0" w:color="auto"/>
      </w:divBdr>
    </w:div>
    <w:div w:id="1866098131">
      <w:bodyDiv w:val="1"/>
      <w:marLeft w:val="0"/>
      <w:marRight w:val="0"/>
      <w:marTop w:val="0"/>
      <w:marBottom w:val="0"/>
      <w:divBdr>
        <w:top w:val="none" w:sz="0" w:space="0" w:color="auto"/>
        <w:left w:val="none" w:sz="0" w:space="0" w:color="auto"/>
        <w:bottom w:val="none" w:sz="0" w:space="0" w:color="auto"/>
        <w:right w:val="none" w:sz="0" w:space="0" w:color="auto"/>
      </w:divBdr>
    </w:div>
    <w:div w:id="1872842073">
      <w:bodyDiv w:val="1"/>
      <w:marLeft w:val="0"/>
      <w:marRight w:val="0"/>
      <w:marTop w:val="0"/>
      <w:marBottom w:val="0"/>
      <w:divBdr>
        <w:top w:val="none" w:sz="0" w:space="0" w:color="auto"/>
        <w:left w:val="none" w:sz="0" w:space="0" w:color="auto"/>
        <w:bottom w:val="none" w:sz="0" w:space="0" w:color="auto"/>
        <w:right w:val="none" w:sz="0" w:space="0" w:color="auto"/>
      </w:divBdr>
    </w:div>
    <w:div w:id="1880360049">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83655812">
      <w:bodyDiv w:val="1"/>
      <w:marLeft w:val="0"/>
      <w:marRight w:val="0"/>
      <w:marTop w:val="0"/>
      <w:marBottom w:val="0"/>
      <w:divBdr>
        <w:top w:val="none" w:sz="0" w:space="0" w:color="auto"/>
        <w:left w:val="none" w:sz="0" w:space="0" w:color="auto"/>
        <w:bottom w:val="none" w:sz="0" w:space="0" w:color="auto"/>
        <w:right w:val="none" w:sz="0" w:space="0" w:color="auto"/>
      </w:divBdr>
    </w:div>
    <w:div w:id="1996644111">
      <w:bodyDiv w:val="1"/>
      <w:marLeft w:val="0"/>
      <w:marRight w:val="0"/>
      <w:marTop w:val="0"/>
      <w:marBottom w:val="0"/>
      <w:divBdr>
        <w:top w:val="none" w:sz="0" w:space="0" w:color="auto"/>
        <w:left w:val="none" w:sz="0" w:space="0" w:color="auto"/>
        <w:bottom w:val="none" w:sz="0" w:space="0" w:color="auto"/>
        <w:right w:val="none" w:sz="0" w:space="0" w:color="auto"/>
      </w:divBdr>
    </w:div>
    <w:div w:id="20797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3482-FC19-4986-A941-67051B32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8680</Words>
  <Characters>49479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seyedhamidreza sakaki</dc:creator>
  <cp:keywords/>
  <dc:description/>
  <cp:lastModifiedBy>Sakaki, Hamid (Finance Academic)</cp:lastModifiedBy>
  <cp:revision>4</cp:revision>
  <cp:lastPrinted>2018-03-27T14:24:00Z</cp:lastPrinted>
  <dcterms:created xsi:type="dcterms:W3CDTF">2021-03-14T03:18:00Z</dcterms:created>
  <dcterms:modified xsi:type="dcterms:W3CDTF">2021-03-14T14:56:00Z</dcterms:modified>
</cp:coreProperties>
</file>