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66DEA" w14:textId="77777777" w:rsidR="009851E9" w:rsidRPr="00207642" w:rsidRDefault="009851E9" w:rsidP="009851E9">
      <w:pPr>
        <w:spacing w:line="480" w:lineRule="auto"/>
        <w:rPr>
          <w:b/>
        </w:rPr>
      </w:pPr>
      <w:r w:rsidRPr="00207642">
        <w:rPr>
          <w:b/>
        </w:rPr>
        <w:t>Modelling the impact of calorie-reduction interventions on</w:t>
      </w:r>
      <w:r w:rsidRPr="00207642">
        <w:t xml:space="preserve"> </w:t>
      </w:r>
      <w:r w:rsidRPr="00207642">
        <w:rPr>
          <w:b/>
        </w:rPr>
        <w:t>population prevalence and inequalities in childhood obesity in the Southampton Women’s Survey</w:t>
      </w:r>
    </w:p>
    <w:p w14:paraId="69A382B8" w14:textId="01805A28" w:rsidR="009851E9" w:rsidRPr="00207642" w:rsidRDefault="009851E9" w:rsidP="009851E9">
      <w:pPr>
        <w:spacing w:line="480" w:lineRule="auto"/>
      </w:pPr>
      <w:r w:rsidRPr="00207642">
        <w:t>Simon J Russell,</w:t>
      </w:r>
      <w:r w:rsidRPr="00207642">
        <w:rPr>
          <w:vertAlign w:val="superscript"/>
        </w:rPr>
        <w:t>1</w:t>
      </w:r>
      <w:r w:rsidRPr="00207642">
        <w:t xml:space="preserve"> Steven Hope,</w:t>
      </w:r>
      <w:r w:rsidRPr="00207642">
        <w:rPr>
          <w:vertAlign w:val="superscript"/>
        </w:rPr>
        <w:t>1</w:t>
      </w:r>
      <w:r w:rsidRPr="00207642">
        <w:t xml:space="preserve"> </w:t>
      </w:r>
      <w:bookmarkStart w:id="0" w:name="_GoBack"/>
      <w:r w:rsidRPr="00207642">
        <w:t>Helen Croker</w:t>
      </w:r>
      <w:bookmarkEnd w:id="0"/>
      <w:r w:rsidRPr="00207642">
        <w:t>,</w:t>
      </w:r>
      <w:r w:rsidRPr="00207642">
        <w:rPr>
          <w:vertAlign w:val="superscript"/>
        </w:rPr>
        <w:t>1</w:t>
      </w:r>
      <w:r w:rsidRPr="00207642">
        <w:t xml:space="preserve"> Sarah Crozier,</w:t>
      </w:r>
      <w:r w:rsidRPr="00207642">
        <w:rPr>
          <w:vertAlign w:val="superscript"/>
        </w:rPr>
        <w:t>2,3</w:t>
      </w:r>
      <w:r w:rsidR="00C75200" w:rsidRPr="00207642">
        <w:rPr>
          <w:vertAlign w:val="superscript"/>
        </w:rPr>
        <w:t xml:space="preserve"> </w:t>
      </w:r>
      <w:r w:rsidRPr="00207642">
        <w:t>Jessica Packer,</w:t>
      </w:r>
      <w:r w:rsidRPr="00207642">
        <w:rPr>
          <w:vertAlign w:val="superscript"/>
        </w:rPr>
        <w:t>1</w:t>
      </w:r>
      <w:r w:rsidRPr="00207642">
        <w:t xml:space="preserve"> Hazel Inskip,</w:t>
      </w:r>
      <w:r w:rsidRPr="00207642">
        <w:rPr>
          <w:vertAlign w:val="superscript"/>
        </w:rPr>
        <w:t>2,4</w:t>
      </w:r>
      <w:r w:rsidRPr="00207642">
        <w:t xml:space="preserve"> Russell M Viner</w:t>
      </w:r>
      <w:r w:rsidRPr="00207642">
        <w:rPr>
          <w:vertAlign w:val="superscript"/>
        </w:rPr>
        <w:t>1</w:t>
      </w:r>
    </w:p>
    <w:p w14:paraId="53E49613" w14:textId="77777777" w:rsidR="007B2949" w:rsidRPr="00207642" w:rsidRDefault="007B2949" w:rsidP="009851E9">
      <w:pPr>
        <w:spacing w:line="480" w:lineRule="auto"/>
        <w:rPr>
          <w:b/>
          <w:vertAlign w:val="superscript"/>
        </w:rPr>
      </w:pPr>
    </w:p>
    <w:p w14:paraId="40DACF72" w14:textId="43A2B41D" w:rsidR="009851E9" w:rsidRPr="00207642" w:rsidRDefault="009851E9" w:rsidP="009851E9">
      <w:pPr>
        <w:spacing w:line="480" w:lineRule="auto"/>
      </w:pPr>
      <w:r w:rsidRPr="00207642">
        <w:rPr>
          <w:b/>
          <w:vertAlign w:val="superscript"/>
        </w:rPr>
        <w:t>1</w:t>
      </w:r>
      <w:r w:rsidRPr="00207642">
        <w:rPr>
          <w:b/>
        </w:rPr>
        <w:t xml:space="preserve"> </w:t>
      </w:r>
      <w:r w:rsidRPr="00207642">
        <w:t>Obesity Policy Research Unit, Population, Policy and Practice, Great Ormond Street Institute of Child Health, University College London, London, UK</w:t>
      </w:r>
    </w:p>
    <w:p w14:paraId="255512E5" w14:textId="4F225B86" w:rsidR="009851E9" w:rsidRPr="00207642" w:rsidRDefault="009851E9" w:rsidP="009851E9">
      <w:pPr>
        <w:spacing w:line="480" w:lineRule="auto"/>
      </w:pPr>
      <w:r w:rsidRPr="00207642">
        <w:rPr>
          <w:vertAlign w:val="superscript"/>
        </w:rPr>
        <w:t xml:space="preserve">2 </w:t>
      </w:r>
      <w:r w:rsidRPr="00207642">
        <w:t>MRC Lifecourse Epidemiology Unit, Medicine, University of Southampton, Southampton</w:t>
      </w:r>
      <w:r w:rsidR="00A20DAE" w:rsidRPr="00207642">
        <w:t>, UK</w:t>
      </w:r>
    </w:p>
    <w:p w14:paraId="4BC2A3CC" w14:textId="154B5FFA" w:rsidR="009851E9" w:rsidRPr="00207642" w:rsidRDefault="009851E9" w:rsidP="009851E9">
      <w:pPr>
        <w:pStyle w:val="CommentText"/>
        <w:spacing w:line="480" w:lineRule="auto"/>
        <w:rPr>
          <w:sz w:val="22"/>
          <w:szCs w:val="22"/>
          <w:vertAlign w:val="superscript"/>
        </w:rPr>
      </w:pPr>
      <w:r w:rsidRPr="00207642">
        <w:rPr>
          <w:vertAlign w:val="superscript"/>
        </w:rPr>
        <w:t xml:space="preserve">3 </w:t>
      </w:r>
      <w:r w:rsidRPr="00207642">
        <w:rPr>
          <w:sz w:val="22"/>
          <w:szCs w:val="22"/>
        </w:rPr>
        <w:t>NIHR Applied Research Collaboration Wessex, Southampton Science Park, Innovation Centre, 2 Venture Road, Chilworth, Southampton</w:t>
      </w:r>
      <w:r w:rsidR="00A20DAE" w:rsidRPr="00207642">
        <w:rPr>
          <w:sz w:val="22"/>
          <w:szCs w:val="22"/>
        </w:rPr>
        <w:t>, UK</w:t>
      </w:r>
    </w:p>
    <w:p w14:paraId="0512A354" w14:textId="1D75CBD4" w:rsidR="009851E9" w:rsidRPr="00207642" w:rsidRDefault="009851E9" w:rsidP="009851E9">
      <w:pPr>
        <w:spacing w:line="480" w:lineRule="auto"/>
      </w:pPr>
      <w:r w:rsidRPr="00207642">
        <w:rPr>
          <w:vertAlign w:val="superscript"/>
        </w:rPr>
        <w:t>4</w:t>
      </w:r>
      <w:r w:rsidRPr="00207642">
        <w:t xml:space="preserve"> NIHR Southampton Biomedical Research Centre, University of Southampton and University Hospital Southampton NHS Foundation Trust, Southampton</w:t>
      </w:r>
      <w:r w:rsidR="00A20DAE" w:rsidRPr="00207642">
        <w:t>, UK</w:t>
      </w:r>
    </w:p>
    <w:p w14:paraId="7ADC3C32" w14:textId="77777777" w:rsidR="00D30A21" w:rsidRPr="00207642" w:rsidRDefault="00D30A21" w:rsidP="00A1790F">
      <w:pPr>
        <w:spacing w:line="480" w:lineRule="auto"/>
      </w:pPr>
    </w:p>
    <w:p w14:paraId="4B262605" w14:textId="3F56AA9E" w:rsidR="00A1790F" w:rsidRPr="00207642" w:rsidRDefault="00A1790F" w:rsidP="00A1790F">
      <w:pPr>
        <w:spacing w:line="480" w:lineRule="auto"/>
      </w:pPr>
      <w:r w:rsidRPr="00207642">
        <w:t>Correspond</w:t>
      </w:r>
      <w:r w:rsidR="00154EE8" w:rsidRPr="00207642">
        <w:t>ing</w:t>
      </w:r>
      <w:r w:rsidRPr="00207642">
        <w:t xml:space="preserve"> author:  Simon Russell, Obesity Policy Research Unit, Population, Policy and Practice Programme, UCL Great Ormond Street Institute of Child Health, 30 Guilford Street, London, UK, WC1N 1EH</w:t>
      </w:r>
    </w:p>
    <w:p w14:paraId="118D76B8" w14:textId="47D67807" w:rsidR="00A1790F" w:rsidRPr="00207642" w:rsidRDefault="00A1790F" w:rsidP="00A1790F">
      <w:pPr>
        <w:spacing w:line="480" w:lineRule="auto"/>
        <w:rPr>
          <w:rStyle w:val="Hyperlink"/>
          <w:color w:val="auto"/>
        </w:rPr>
      </w:pPr>
      <w:r w:rsidRPr="00207642">
        <w:t xml:space="preserve">E-mail: </w:t>
      </w:r>
      <w:hyperlink r:id="rId8" w:history="1">
        <w:r w:rsidRPr="00207642">
          <w:rPr>
            <w:rStyle w:val="Hyperlink"/>
            <w:color w:val="auto"/>
          </w:rPr>
          <w:t>s.russell@ucl.ac.uk</w:t>
        </w:r>
      </w:hyperlink>
      <w:r w:rsidRPr="00207642">
        <w:rPr>
          <w:rStyle w:val="Hyperlink"/>
          <w:color w:val="auto"/>
        </w:rPr>
        <w:t xml:space="preserve"> </w:t>
      </w:r>
    </w:p>
    <w:p w14:paraId="352F2816" w14:textId="77777777" w:rsidR="007B2949" w:rsidRPr="00207642" w:rsidRDefault="007B2949" w:rsidP="00BC1AD5">
      <w:pPr>
        <w:spacing w:line="480" w:lineRule="auto"/>
        <w:rPr>
          <w:rStyle w:val="Hyperlink"/>
          <w:color w:val="auto"/>
          <w:u w:val="none"/>
        </w:rPr>
      </w:pPr>
    </w:p>
    <w:p w14:paraId="590927C4" w14:textId="09E36369" w:rsidR="00BC1AD5" w:rsidRPr="00207642" w:rsidRDefault="00BC1AD5" w:rsidP="00AB2955">
      <w:pPr>
        <w:spacing w:line="480" w:lineRule="auto"/>
        <w:rPr>
          <w:rStyle w:val="Hyperlink"/>
          <w:color w:val="auto"/>
          <w:u w:val="none"/>
        </w:rPr>
      </w:pPr>
      <w:r w:rsidRPr="00207642">
        <w:rPr>
          <w:rStyle w:val="Hyperlink"/>
          <w:b/>
          <w:bCs/>
          <w:color w:val="auto"/>
          <w:u w:val="none"/>
        </w:rPr>
        <w:t>Running title</w:t>
      </w:r>
      <w:r w:rsidRPr="00207642">
        <w:rPr>
          <w:rStyle w:val="Hyperlink"/>
          <w:color w:val="auto"/>
          <w:u w:val="none"/>
        </w:rPr>
        <w:t>: Modelling</w:t>
      </w:r>
      <w:r w:rsidR="00CC63D4" w:rsidRPr="00207642">
        <w:rPr>
          <w:rStyle w:val="Hyperlink"/>
          <w:color w:val="auto"/>
          <w:u w:val="none"/>
        </w:rPr>
        <w:t xml:space="preserve"> </w:t>
      </w:r>
      <w:r w:rsidRPr="00207642">
        <w:rPr>
          <w:rStyle w:val="Hyperlink"/>
          <w:color w:val="auto"/>
          <w:u w:val="none"/>
        </w:rPr>
        <w:t>calorie-reductions</w:t>
      </w:r>
      <w:r w:rsidR="00CC63D4" w:rsidRPr="00207642">
        <w:t xml:space="preserve"> </w:t>
      </w:r>
      <w:r w:rsidRPr="00207642">
        <w:rPr>
          <w:rStyle w:val="Hyperlink"/>
          <w:color w:val="auto"/>
          <w:u w:val="none"/>
        </w:rPr>
        <w:t xml:space="preserve">on childhood obesity </w:t>
      </w:r>
    </w:p>
    <w:p w14:paraId="2B4E50F6" w14:textId="77777777" w:rsidR="003275C7" w:rsidRPr="00207642" w:rsidRDefault="003275C7" w:rsidP="00AB2955">
      <w:pPr>
        <w:spacing w:line="480" w:lineRule="auto"/>
        <w:rPr>
          <w:b/>
        </w:rPr>
      </w:pPr>
    </w:p>
    <w:p w14:paraId="41C8F386" w14:textId="47C9FF27" w:rsidR="00F96E29" w:rsidRPr="00207642" w:rsidRDefault="007B2949" w:rsidP="00AB2955">
      <w:pPr>
        <w:spacing w:line="480" w:lineRule="auto"/>
        <w:rPr>
          <w:b/>
        </w:rPr>
      </w:pPr>
      <w:r w:rsidRPr="00207642">
        <w:rPr>
          <w:b/>
        </w:rPr>
        <w:t>Keywords:</w:t>
      </w:r>
      <w:r w:rsidR="00AB2955" w:rsidRPr="00207642">
        <w:t xml:space="preserve"> </w:t>
      </w:r>
      <w:r w:rsidR="00AB2955" w:rsidRPr="00207642">
        <w:rPr>
          <w:bCs/>
        </w:rPr>
        <w:t>obesity, child and adolescent health, causal modelling, dietary interventions, health inequalities, Southampton Women’s Survey</w:t>
      </w:r>
    </w:p>
    <w:p w14:paraId="547CB9BF" w14:textId="086F718C" w:rsidR="003C3641" w:rsidRPr="00207642" w:rsidRDefault="009C5F8D" w:rsidP="00AC4365">
      <w:pPr>
        <w:spacing w:line="480" w:lineRule="auto"/>
      </w:pPr>
      <w:r w:rsidRPr="00207642">
        <w:rPr>
          <w:b/>
        </w:rPr>
        <w:lastRenderedPageBreak/>
        <w:t>Abstract</w:t>
      </w:r>
      <w:r w:rsidR="00200364" w:rsidRPr="00207642">
        <w:t xml:space="preserve"> </w:t>
      </w:r>
    </w:p>
    <w:p w14:paraId="54D32FB6" w14:textId="5004CDF7" w:rsidR="005C3C23" w:rsidRPr="00207642" w:rsidRDefault="0058663A" w:rsidP="002C5758">
      <w:pPr>
        <w:spacing w:line="480" w:lineRule="auto"/>
        <w:rPr>
          <w:b/>
        </w:rPr>
      </w:pPr>
      <w:r w:rsidRPr="00207642">
        <w:rPr>
          <w:b/>
        </w:rPr>
        <w:t>Background</w:t>
      </w:r>
    </w:p>
    <w:p w14:paraId="21901886" w14:textId="2B8E0CC2" w:rsidR="00F46323" w:rsidRPr="00207642" w:rsidRDefault="00203C50" w:rsidP="00353D2E">
      <w:pPr>
        <w:spacing w:line="480" w:lineRule="auto"/>
      </w:pPr>
      <w:bookmarkStart w:id="1" w:name="_Hlk40175290"/>
      <w:r w:rsidRPr="00207642">
        <w:t xml:space="preserve">In </w:t>
      </w:r>
      <w:r w:rsidR="007A63B2" w:rsidRPr="00207642">
        <w:t>the UK</w:t>
      </w:r>
      <w:r w:rsidRPr="00207642">
        <w:t xml:space="preserve">, rates of childhood obesity </w:t>
      </w:r>
      <w:r w:rsidR="00EE6F80" w:rsidRPr="00207642">
        <w:t>are</w:t>
      </w:r>
      <w:r w:rsidRPr="00207642">
        <w:t xml:space="preserve"> high</w:t>
      </w:r>
      <w:r w:rsidR="002A33BB" w:rsidRPr="00207642">
        <w:t xml:space="preserve"> </w:t>
      </w:r>
      <w:r w:rsidR="007A63B2" w:rsidRPr="00207642">
        <w:t>and inequalities in obesity have widened in recent years</w:t>
      </w:r>
      <w:r w:rsidR="00CD2B70" w:rsidRPr="00207642">
        <w:t xml:space="preserve">. Children with obesity face </w:t>
      </w:r>
      <w:r w:rsidR="002A33BB" w:rsidRPr="00207642">
        <w:t xml:space="preserve">heightened risks of living with obesity as adults </w:t>
      </w:r>
      <w:r w:rsidR="00353D2E" w:rsidRPr="00207642">
        <w:t xml:space="preserve">and suffering from associated morbidities. </w:t>
      </w:r>
      <w:r w:rsidRPr="00207642">
        <w:t>Addressing population prevalence and inequalities in childhood obesity is a key priority for public health policymakers in the UK and elsewhere</w:t>
      </w:r>
      <w:r w:rsidR="00353D2E" w:rsidRPr="00207642">
        <w:t xml:space="preserve">. </w:t>
      </w:r>
      <w:r w:rsidR="00841E0A" w:rsidRPr="00207642">
        <w:t xml:space="preserve">Where </w:t>
      </w:r>
      <w:r w:rsidR="00F46323" w:rsidRPr="00207642">
        <w:t xml:space="preserve">randomised controlled </w:t>
      </w:r>
      <w:r w:rsidR="00841E0A" w:rsidRPr="00207642">
        <w:t>trials are not possible</w:t>
      </w:r>
      <w:r w:rsidR="00733808" w:rsidRPr="00207642">
        <w:t xml:space="preserve">, </w:t>
      </w:r>
      <w:r w:rsidR="008A787B" w:rsidRPr="00207642">
        <w:t xml:space="preserve">potential policy actions can be simulated </w:t>
      </w:r>
      <w:r w:rsidR="00E70448" w:rsidRPr="00207642">
        <w:t>using</w:t>
      </w:r>
      <w:r w:rsidR="008A787B" w:rsidRPr="00207642">
        <w:t xml:space="preserve"> </w:t>
      </w:r>
      <w:r w:rsidR="00D210A6" w:rsidRPr="00207642">
        <w:t xml:space="preserve">causal modelling techniques. </w:t>
      </w:r>
    </w:p>
    <w:p w14:paraId="7F42EFDC" w14:textId="77777777" w:rsidR="00F46323" w:rsidRPr="00207642" w:rsidRDefault="00F46323" w:rsidP="00B4292A">
      <w:pPr>
        <w:spacing w:line="480" w:lineRule="auto"/>
        <w:rPr>
          <w:b/>
          <w:bCs/>
        </w:rPr>
      </w:pPr>
      <w:r w:rsidRPr="00207642">
        <w:rPr>
          <w:b/>
          <w:bCs/>
        </w:rPr>
        <w:t>Objectives</w:t>
      </w:r>
    </w:p>
    <w:p w14:paraId="67B568EB" w14:textId="5BD350F9" w:rsidR="006B1699" w:rsidRPr="00207642" w:rsidRDefault="00C7364A" w:rsidP="00B4292A">
      <w:pPr>
        <w:spacing w:line="480" w:lineRule="auto"/>
      </w:pPr>
      <w:r w:rsidRPr="00207642">
        <w:t xml:space="preserve">Using data from the </w:t>
      </w:r>
      <w:r w:rsidR="00B75B18" w:rsidRPr="00207642">
        <w:t>Southampton Women’</w:t>
      </w:r>
      <w:r w:rsidR="00341036" w:rsidRPr="00207642">
        <w:t>s</w:t>
      </w:r>
      <w:r w:rsidR="00B75B18" w:rsidRPr="00207642">
        <w:t xml:space="preserve"> Survey</w:t>
      </w:r>
      <w:r w:rsidR="00FD13E1" w:rsidRPr="00207642">
        <w:t xml:space="preserve"> (SWS)</w:t>
      </w:r>
      <w:r w:rsidRPr="00207642">
        <w:t xml:space="preserve">, </w:t>
      </w:r>
      <w:r w:rsidR="00CD5B57" w:rsidRPr="00207642">
        <w:t xml:space="preserve">a cohort with high quality dietary and lifestyle data, </w:t>
      </w:r>
      <w:r w:rsidR="00B75B18" w:rsidRPr="00207642">
        <w:t xml:space="preserve">the potential impact of </w:t>
      </w:r>
      <w:r w:rsidR="005C3C23" w:rsidRPr="00207642">
        <w:t>policy-relevant</w:t>
      </w:r>
      <w:r w:rsidR="0032448E" w:rsidRPr="00207642">
        <w:t xml:space="preserve"> </w:t>
      </w:r>
      <w:r w:rsidR="005C3C23" w:rsidRPr="00207642">
        <w:t xml:space="preserve">calorie-reduction interventions on </w:t>
      </w:r>
      <w:r w:rsidR="007624D2" w:rsidRPr="00207642">
        <w:t xml:space="preserve">population </w:t>
      </w:r>
      <w:r w:rsidR="0032448E" w:rsidRPr="00207642">
        <w:t xml:space="preserve">prevalence and inequalities </w:t>
      </w:r>
      <w:r w:rsidR="00B80BD8" w:rsidRPr="00207642">
        <w:t xml:space="preserve">of childhood </w:t>
      </w:r>
      <w:r w:rsidR="005C3C23" w:rsidRPr="00207642">
        <w:t>obesity</w:t>
      </w:r>
      <w:r w:rsidR="00683616" w:rsidRPr="00207642">
        <w:t xml:space="preserve"> was investigated</w:t>
      </w:r>
      <w:r w:rsidR="005C3C23" w:rsidRPr="00207642">
        <w:t>.</w:t>
      </w:r>
      <w:r w:rsidR="00653BAA" w:rsidRPr="00207642">
        <w:t xml:space="preserve"> </w:t>
      </w:r>
    </w:p>
    <w:bookmarkEnd w:id="1"/>
    <w:p w14:paraId="02DEA74D" w14:textId="77777777" w:rsidR="005C3C23" w:rsidRPr="00207642" w:rsidRDefault="005C3C23" w:rsidP="002C5758">
      <w:pPr>
        <w:spacing w:line="480" w:lineRule="auto"/>
        <w:rPr>
          <w:b/>
        </w:rPr>
      </w:pPr>
      <w:r w:rsidRPr="00207642">
        <w:rPr>
          <w:b/>
        </w:rPr>
        <w:t xml:space="preserve">Methods </w:t>
      </w:r>
    </w:p>
    <w:p w14:paraId="3D89B9FE" w14:textId="6A3A96DC" w:rsidR="000F3847" w:rsidRPr="00207642" w:rsidRDefault="009D54AD" w:rsidP="002C5758">
      <w:pPr>
        <w:spacing w:line="480" w:lineRule="auto"/>
      </w:pPr>
      <w:r w:rsidRPr="00207642">
        <w:t xml:space="preserve">Predicted probabilities of obesity </w:t>
      </w:r>
      <w:r w:rsidR="007D37A2" w:rsidRPr="00207642">
        <w:t>(using UK90 cut</w:t>
      </w:r>
      <w:r w:rsidR="00E70448" w:rsidRPr="00207642">
        <w:t>-</w:t>
      </w:r>
      <w:r w:rsidR="007D37A2" w:rsidRPr="00207642">
        <w:t xml:space="preserve">offs) </w:t>
      </w:r>
      <w:r w:rsidRPr="00207642">
        <w:t>at</w:t>
      </w:r>
      <w:r w:rsidR="00086A3B" w:rsidRPr="00207642">
        <w:t xml:space="preserve"> age</w:t>
      </w:r>
      <w:r w:rsidRPr="00207642">
        <w:t xml:space="preserve"> </w:t>
      </w:r>
      <w:r w:rsidR="00086A3B" w:rsidRPr="00207642">
        <w:t>6</w:t>
      </w:r>
      <w:r w:rsidR="004D3274" w:rsidRPr="00207642">
        <w:t>-7 years</w:t>
      </w:r>
      <w:r w:rsidR="00086A3B" w:rsidRPr="00207642">
        <w:t xml:space="preserve"> </w:t>
      </w:r>
      <w:r w:rsidRPr="00207642">
        <w:t xml:space="preserve">were estimated </w:t>
      </w:r>
      <w:r w:rsidR="00BB17E3" w:rsidRPr="00207642">
        <w:t xml:space="preserve">from logistic </w:t>
      </w:r>
      <w:r w:rsidRPr="00207642">
        <w:t xml:space="preserve">marginal structural models </w:t>
      </w:r>
      <w:r w:rsidR="00E65EC4" w:rsidRPr="00207642">
        <w:t xml:space="preserve">(MSM) </w:t>
      </w:r>
      <w:r w:rsidR="007D37A2" w:rsidRPr="00207642">
        <w:t>adjusting</w:t>
      </w:r>
      <w:r w:rsidR="00D24F11" w:rsidRPr="00207642">
        <w:t xml:space="preserve"> </w:t>
      </w:r>
      <w:r w:rsidRPr="00207642">
        <w:t xml:space="preserve">for </w:t>
      </w:r>
      <w:r w:rsidR="00EF0102" w:rsidRPr="00207642">
        <w:t xml:space="preserve">observed </w:t>
      </w:r>
      <w:r w:rsidRPr="00207642">
        <w:t>calorie consumption</w:t>
      </w:r>
      <w:r w:rsidR="00594662" w:rsidRPr="00207642">
        <w:t xml:space="preserve"> at age </w:t>
      </w:r>
      <w:r w:rsidR="007D37A2" w:rsidRPr="00207642">
        <w:t xml:space="preserve">3 </w:t>
      </w:r>
      <w:r w:rsidR="004D3274" w:rsidRPr="00207642">
        <w:t xml:space="preserve">years </w:t>
      </w:r>
      <w:r w:rsidR="007D37A2" w:rsidRPr="00207642">
        <w:t>(using food diaries)</w:t>
      </w:r>
      <w:r w:rsidR="00EF0102" w:rsidRPr="00207642">
        <w:t xml:space="preserve"> and</w:t>
      </w:r>
      <w:r w:rsidR="0032448E" w:rsidRPr="00207642">
        <w:t xml:space="preserve"> </w:t>
      </w:r>
      <w:r w:rsidRPr="00207642">
        <w:t>confounding</w:t>
      </w:r>
      <w:r w:rsidR="007D37A2" w:rsidRPr="00207642">
        <w:t>.</w:t>
      </w:r>
      <w:r w:rsidRPr="00207642">
        <w:t xml:space="preserve"> </w:t>
      </w:r>
      <w:bookmarkStart w:id="2" w:name="_Hlk40190229"/>
      <w:r w:rsidRPr="00207642">
        <w:t xml:space="preserve">A series of </w:t>
      </w:r>
      <w:r w:rsidR="00B80BD8" w:rsidRPr="00207642">
        <w:t>policy-</w:t>
      </w:r>
      <w:r w:rsidR="007D37A2" w:rsidRPr="00207642">
        <w:t>relevant</w:t>
      </w:r>
      <w:r w:rsidR="0032448E" w:rsidRPr="00207642">
        <w:t xml:space="preserve"> intervention scenarios </w:t>
      </w:r>
      <w:r w:rsidR="0020672F" w:rsidRPr="00207642">
        <w:t xml:space="preserve">were modelled </w:t>
      </w:r>
      <w:r w:rsidR="00D4438E" w:rsidRPr="00207642">
        <w:t>to simulate reduction</w:t>
      </w:r>
      <w:r w:rsidR="007D37A2" w:rsidRPr="00207642">
        <w:t>s in energy intake</w:t>
      </w:r>
      <w:r w:rsidR="00D4438E" w:rsidRPr="00207642">
        <w:t xml:space="preserve"> </w:t>
      </w:r>
      <w:r w:rsidR="00116F40" w:rsidRPr="00207642">
        <w:t>(differing</w:t>
      </w:r>
      <w:r w:rsidR="000F3847" w:rsidRPr="00207642">
        <w:t xml:space="preserve"> in effectiveness, </w:t>
      </w:r>
      <w:r w:rsidR="00116F40" w:rsidRPr="00207642">
        <w:t xml:space="preserve">the </w:t>
      </w:r>
      <w:r w:rsidR="000F3847" w:rsidRPr="00207642">
        <w:t>targeting mechanism</w:t>
      </w:r>
      <w:r w:rsidR="00116F40" w:rsidRPr="00207642">
        <w:t>s</w:t>
      </w:r>
      <w:r w:rsidR="000F3847" w:rsidRPr="00207642">
        <w:t xml:space="preserve"> and </w:t>
      </w:r>
      <w:r w:rsidR="007D37A2" w:rsidRPr="00207642">
        <w:t xml:space="preserve">level of </w:t>
      </w:r>
      <w:r w:rsidR="000F3847" w:rsidRPr="00207642">
        <w:t>uptake</w:t>
      </w:r>
      <w:r w:rsidR="00116F40" w:rsidRPr="00207642">
        <w:t>)</w:t>
      </w:r>
      <w:r w:rsidR="000F3847" w:rsidRPr="00207642">
        <w:t>.</w:t>
      </w:r>
      <w:bookmarkEnd w:id="2"/>
    </w:p>
    <w:p w14:paraId="446A343B" w14:textId="55E3CFEA" w:rsidR="005C3C23" w:rsidRPr="00207642" w:rsidRDefault="005C3C23" w:rsidP="002C5758">
      <w:pPr>
        <w:spacing w:line="480" w:lineRule="auto"/>
        <w:rPr>
          <w:b/>
        </w:rPr>
      </w:pPr>
      <w:r w:rsidRPr="00207642">
        <w:rPr>
          <w:b/>
        </w:rPr>
        <w:t>Results</w:t>
      </w:r>
    </w:p>
    <w:p w14:paraId="39629B31" w14:textId="6617D300" w:rsidR="005C3C23" w:rsidRPr="00207642" w:rsidRDefault="004711D3" w:rsidP="002C5758">
      <w:pPr>
        <w:spacing w:line="480" w:lineRule="auto"/>
      </w:pPr>
      <w:r w:rsidRPr="00207642">
        <w:t xml:space="preserve">At age 6-7 years, </w:t>
      </w:r>
      <w:r w:rsidR="009D54AD" w:rsidRPr="00207642">
        <w:t>8.3% of children were living with obesity</w:t>
      </w:r>
      <w:r w:rsidR="008A787B" w:rsidRPr="00207642">
        <w:t>, after accounting for observed energy intake and confounding</w:t>
      </w:r>
      <w:r w:rsidR="009D54AD" w:rsidRPr="00207642">
        <w:t xml:space="preserve">. </w:t>
      </w:r>
      <w:bookmarkStart w:id="3" w:name="_Hlk40189907"/>
      <w:r w:rsidR="009D54AD" w:rsidRPr="00207642">
        <w:t>A</w:t>
      </w:r>
      <w:r w:rsidR="00B91A01" w:rsidRPr="00207642">
        <w:t xml:space="preserve"> universal</w:t>
      </w:r>
      <w:r w:rsidR="009D54AD" w:rsidRPr="00207642">
        <w:t xml:space="preserve"> </w:t>
      </w:r>
      <w:r w:rsidR="00255D0C" w:rsidRPr="00207642">
        <w:t>intervention</w:t>
      </w:r>
      <w:r w:rsidR="002B43F0" w:rsidRPr="00207642">
        <w:t xml:space="preserve"> </w:t>
      </w:r>
      <w:r w:rsidR="009D54AD" w:rsidRPr="00207642">
        <w:t xml:space="preserve">to </w:t>
      </w:r>
      <w:r w:rsidR="00B9754E" w:rsidRPr="00207642">
        <w:t>lower</w:t>
      </w:r>
      <w:r w:rsidR="00EE707D" w:rsidRPr="00207642">
        <w:t xml:space="preserve"> median</w:t>
      </w:r>
      <w:r w:rsidR="00B9754E" w:rsidRPr="00207642">
        <w:t xml:space="preserve"> </w:t>
      </w:r>
      <w:r w:rsidR="008A787B" w:rsidRPr="00207642">
        <w:t xml:space="preserve">energy </w:t>
      </w:r>
      <w:r w:rsidR="009D54AD" w:rsidRPr="00207642">
        <w:t>intake to</w:t>
      </w:r>
      <w:r w:rsidR="00794A3A" w:rsidRPr="00207642">
        <w:t xml:space="preserve"> the</w:t>
      </w:r>
      <w:r w:rsidR="009D54AD" w:rsidRPr="00207642">
        <w:t xml:space="preserve"> </w:t>
      </w:r>
      <w:r w:rsidR="006B1699" w:rsidRPr="00207642">
        <w:t>estimated average requirement</w:t>
      </w:r>
      <w:r w:rsidR="00CD7EBC" w:rsidRPr="00207642">
        <w:t xml:space="preserve"> (</w:t>
      </w:r>
      <w:r w:rsidR="006B1699" w:rsidRPr="00207642">
        <w:t>EAR</w:t>
      </w:r>
      <w:r w:rsidR="00A43D34" w:rsidRPr="00207642">
        <w:t>)</w:t>
      </w:r>
      <w:r w:rsidR="00794A3A" w:rsidRPr="00207642">
        <w:t xml:space="preserve"> </w:t>
      </w:r>
      <w:r w:rsidR="00A43D34" w:rsidRPr="00207642">
        <w:t>(</w:t>
      </w:r>
      <w:r w:rsidR="009D54AD" w:rsidRPr="00207642">
        <w:t xml:space="preserve">a </w:t>
      </w:r>
      <w:r w:rsidR="00255D0C" w:rsidRPr="00207642">
        <w:t>13</w:t>
      </w:r>
      <w:r w:rsidR="009D54AD" w:rsidRPr="00207642">
        <w:t xml:space="preserve">% </w:t>
      </w:r>
      <w:r w:rsidR="00EB7BDE" w:rsidRPr="00207642">
        <w:t>decrease</w:t>
      </w:r>
      <w:r w:rsidR="0032448E" w:rsidRPr="00207642">
        <w:t>)</w:t>
      </w:r>
      <w:r w:rsidR="008A787B" w:rsidRPr="00207642">
        <w:t>,</w:t>
      </w:r>
      <w:r w:rsidR="00924784" w:rsidRPr="00207642">
        <w:t xml:space="preserve"> </w:t>
      </w:r>
      <w:r w:rsidR="008A787B" w:rsidRPr="00207642">
        <w:t xml:space="preserve">with an </w:t>
      </w:r>
      <w:r w:rsidR="00255D0C" w:rsidRPr="00207642">
        <w:t xml:space="preserve">uptake </w:t>
      </w:r>
      <w:r w:rsidR="008A787B" w:rsidRPr="00207642">
        <w:t>of</w:t>
      </w:r>
      <w:r w:rsidR="00924784" w:rsidRPr="00207642">
        <w:t xml:space="preserve"> 75%</w:t>
      </w:r>
      <w:r w:rsidR="00255D0C" w:rsidRPr="00207642">
        <w:t>,</w:t>
      </w:r>
      <w:r w:rsidR="00924784" w:rsidRPr="00207642">
        <w:t xml:space="preserve"> </w:t>
      </w:r>
      <w:r w:rsidR="009D54AD" w:rsidRPr="00207642">
        <w:t xml:space="preserve">reduced </w:t>
      </w:r>
      <w:r w:rsidR="00924784" w:rsidRPr="00207642">
        <w:t xml:space="preserve">obesity prevalence by </w:t>
      </w:r>
      <w:r w:rsidR="00255D0C" w:rsidRPr="00207642">
        <w:t>1</w:t>
      </w:r>
      <w:r w:rsidR="009D54AD" w:rsidRPr="00207642">
        <w:t>%</w:t>
      </w:r>
      <w:bookmarkEnd w:id="3"/>
      <w:r w:rsidR="00E70448" w:rsidRPr="00207642">
        <w:t xml:space="preserve"> but </w:t>
      </w:r>
      <w:r w:rsidR="006B1483" w:rsidRPr="00207642">
        <w:t>relative and a</w:t>
      </w:r>
      <w:r w:rsidR="001024F2" w:rsidRPr="00207642">
        <w:t xml:space="preserve">bsolute inequalities </w:t>
      </w:r>
      <w:r w:rsidR="006B1483" w:rsidRPr="00207642">
        <w:t>remained broadly</w:t>
      </w:r>
      <w:r w:rsidR="00B80BD8" w:rsidRPr="00207642">
        <w:t xml:space="preserve"> unchanged</w:t>
      </w:r>
      <w:r w:rsidR="008955EB" w:rsidRPr="00207642">
        <w:t>.</w:t>
      </w:r>
      <w:r w:rsidR="00332EBA" w:rsidRPr="00207642">
        <w:t xml:space="preserve"> </w:t>
      </w:r>
    </w:p>
    <w:p w14:paraId="16E885E3" w14:textId="15D9A054" w:rsidR="005C3C23" w:rsidRPr="00207642" w:rsidRDefault="005C3C23" w:rsidP="002C5758">
      <w:pPr>
        <w:spacing w:line="480" w:lineRule="auto"/>
        <w:rPr>
          <w:b/>
        </w:rPr>
      </w:pPr>
      <w:r w:rsidRPr="00207642">
        <w:rPr>
          <w:b/>
        </w:rPr>
        <w:t>Conclusions</w:t>
      </w:r>
    </w:p>
    <w:p w14:paraId="63453AFB" w14:textId="08FE18EE" w:rsidR="00C663C0" w:rsidRPr="00207642" w:rsidRDefault="002A4DCB" w:rsidP="002C5758">
      <w:pPr>
        <w:spacing w:line="480" w:lineRule="auto"/>
      </w:pPr>
      <w:bookmarkStart w:id="4" w:name="_Hlk40175361"/>
      <w:r w:rsidRPr="00207642">
        <w:lastRenderedPageBreak/>
        <w:t xml:space="preserve">Simulated interventions </w:t>
      </w:r>
      <w:r w:rsidR="008429EC" w:rsidRPr="00207642">
        <w:t>substantially reduced</w:t>
      </w:r>
      <w:r w:rsidR="00AD49BD" w:rsidRPr="00207642">
        <w:t xml:space="preserve"> </w:t>
      </w:r>
      <w:r w:rsidR="00DE02B6" w:rsidRPr="00207642">
        <w:t>population prevalence</w:t>
      </w:r>
      <w:r w:rsidR="003B42E0" w:rsidRPr="00207642">
        <w:t xml:space="preserve"> of</w:t>
      </w:r>
      <w:r w:rsidR="00DE02B6" w:rsidRPr="00207642">
        <w:t xml:space="preserve"> </w:t>
      </w:r>
      <w:r w:rsidR="0034005F" w:rsidRPr="00207642">
        <w:t>obesity</w:t>
      </w:r>
      <w:r w:rsidRPr="00207642">
        <w:t>, which</w:t>
      </w:r>
      <w:r w:rsidR="00341036" w:rsidRPr="00207642">
        <w:t xml:space="preserve"> may be useful in informing policy</w:t>
      </w:r>
      <w:r w:rsidR="00BC545B" w:rsidRPr="00207642">
        <w:t>makers</w:t>
      </w:r>
      <w:r w:rsidR="00341036" w:rsidRPr="00207642">
        <w:t xml:space="preserve">. </w:t>
      </w:r>
    </w:p>
    <w:bookmarkEnd w:id="4"/>
    <w:p w14:paraId="0C5E8C9A" w14:textId="5A1000AC" w:rsidR="00C92411" w:rsidRPr="00207642" w:rsidRDefault="00B75B18" w:rsidP="002C5758">
      <w:pPr>
        <w:spacing w:line="480" w:lineRule="auto"/>
        <w:rPr>
          <w:b/>
        </w:rPr>
      </w:pPr>
      <w:r w:rsidRPr="00207642">
        <w:rPr>
          <w:b/>
        </w:rPr>
        <w:t>Introduction</w:t>
      </w:r>
    </w:p>
    <w:p w14:paraId="78FE9F73" w14:textId="74BF18B3" w:rsidR="00320CA5" w:rsidRPr="00207642" w:rsidRDefault="00B60228" w:rsidP="002C5758">
      <w:pPr>
        <w:spacing w:line="480" w:lineRule="auto"/>
      </w:pPr>
      <w:r w:rsidRPr="00207642">
        <w:rPr>
          <w:rFonts w:ascii="Calibri" w:hAnsi="Calibri" w:cs="Calibri"/>
        </w:rPr>
        <w:t>In England</w:t>
      </w:r>
      <w:r w:rsidR="00C14FC3" w:rsidRPr="00207642">
        <w:rPr>
          <w:rFonts w:ascii="Calibri" w:hAnsi="Calibri" w:cs="Calibri"/>
        </w:rPr>
        <w:t>,</w:t>
      </w:r>
      <w:r w:rsidRPr="00207642">
        <w:rPr>
          <w:rFonts w:ascii="Calibri" w:hAnsi="Calibri" w:cs="Calibri"/>
        </w:rPr>
        <w:t xml:space="preserve"> </w:t>
      </w:r>
      <w:r w:rsidR="00C14FC3" w:rsidRPr="00207642">
        <w:t xml:space="preserve">rates of </w:t>
      </w:r>
      <w:r w:rsidR="009E7BF8" w:rsidRPr="00207642">
        <w:t xml:space="preserve">childhood </w:t>
      </w:r>
      <w:r w:rsidR="00C14FC3" w:rsidRPr="00207642">
        <w:t>overweight and obesity remain</w:t>
      </w:r>
      <w:r w:rsidR="00C8625E" w:rsidRPr="00207642">
        <w:t xml:space="preserve"> high</w:t>
      </w:r>
      <w:r w:rsidR="000014AF" w:rsidRPr="00207642">
        <w:t xml:space="preserve"> and,</w:t>
      </w:r>
      <w:r w:rsidR="00C8625E" w:rsidRPr="00207642">
        <w:t xml:space="preserve"> in 201</w:t>
      </w:r>
      <w:r w:rsidR="008D376F" w:rsidRPr="00207642">
        <w:t>9</w:t>
      </w:r>
      <w:r w:rsidR="009E7BF8" w:rsidRPr="00207642">
        <w:t>/</w:t>
      </w:r>
      <w:r w:rsidR="008D376F" w:rsidRPr="00207642">
        <w:t>20</w:t>
      </w:r>
      <w:r w:rsidR="000014AF" w:rsidRPr="00207642">
        <w:t>,</w:t>
      </w:r>
      <w:r w:rsidR="009E7BF8" w:rsidRPr="00207642">
        <w:t xml:space="preserve"> </w:t>
      </w:r>
      <w:r w:rsidRPr="00207642">
        <w:rPr>
          <w:rFonts w:ascii="Calibri" w:hAnsi="Calibri" w:cs="Calibri"/>
        </w:rPr>
        <w:t>2</w:t>
      </w:r>
      <w:r w:rsidR="008D376F" w:rsidRPr="00207642">
        <w:rPr>
          <w:rFonts w:ascii="Calibri" w:hAnsi="Calibri" w:cs="Calibri"/>
        </w:rPr>
        <w:t>3</w:t>
      </w:r>
      <w:r w:rsidRPr="00207642">
        <w:rPr>
          <w:rFonts w:ascii="Calibri" w:hAnsi="Calibri" w:cs="Calibri"/>
        </w:rPr>
        <w:t>.</w:t>
      </w:r>
      <w:r w:rsidR="008D376F" w:rsidRPr="00207642">
        <w:rPr>
          <w:rFonts w:ascii="Calibri" w:hAnsi="Calibri" w:cs="Calibri"/>
        </w:rPr>
        <w:t>0</w:t>
      </w:r>
      <w:r w:rsidRPr="00207642">
        <w:rPr>
          <w:rFonts w:ascii="Calibri" w:hAnsi="Calibri" w:cs="Calibri"/>
        </w:rPr>
        <w:t>%</w:t>
      </w:r>
      <w:r w:rsidR="000014AF" w:rsidRPr="00207642">
        <w:rPr>
          <w:rFonts w:ascii="Calibri" w:hAnsi="Calibri" w:cs="Calibri"/>
        </w:rPr>
        <w:t xml:space="preserve"> of</w:t>
      </w:r>
      <w:r w:rsidRPr="00207642">
        <w:rPr>
          <w:rFonts w:ascii="Calibri" w:hAnsi="Calibri" w:cs="Calibri"/>
        </w:rPr>
        <w:t xml:space="preserve"> </w:t>
      </w:r>
      <w:r w:rsidR="009E7BF8" w:rsidRPr="00207642">
        <w:rPr>
          <w:rFonts w:ascii="Calibri" w:hAnsi="Calibri" w:cs="Calibri"/>
        </w:rPr>
        <w:t>reception-age school children (4-5 years)</w:t>
      </w:r>
      <w:r w:rsidR="000014AF" w:rsidRPr="00207642">
        <w:rPr>
          <w:rFonts w:ascii="Calibri" w:hAnsi="Calibri" w:cs="Calibri"/>
        </w:rPr>
        <w:t xml:space="preserve"> </w:t>
      </w:r>
      <w:r w:rsidRPr="00207642">
        <w:rPr>
          <w:rFonts w:ascii="Calibri" w:hAnsi="Calibri" w:cs="Calibri"/>
        </w:rPr>
        <w:t>were living with overweight or obesity</w:t>
      </w:r>
      <w:bookmarkStart w:id="5" w:name="_Ref26869585"/>
      <w:bookmarkStart w:id="6" w:name="_Ref27643827"/>
      <w:r w:rsidR="000014AF" w:rsidRPr="00207642">
        <w:rPr>
          <w:rFonts w:ascii="Calibri" w:hAnsi="Calibri" w:cs="Calibri"/>
        </w:rPr>
        <w:t>.</w:t>
      </w:r>
      <w:r w:rsidR="00DB5A54" w:rsidRPr="00207642">
        <w:t>[</w:t>
      </w:r>
      <w:bookmarkStart w:id="7" w:name="_Ref54942806"/>
      <w:r w:rsidR="00DB5A54" w:rsidRPr="00207642">
        <w:rPr>
          <w:rStyle w:val="EndnoteReference"/>
          <w:vertAlign w:val="baseline"/>
        </w:rPr>
        <w:endnoteReference w:id="1"/>
      </w:r>
      <w:bookmarkEnd w:id="5"/>
      <w:bookmarkEnd w:id="6"/>
      <w:bookmarkEnd w:id="7"/>
      <w:r w:rsidR="00DB5A54" w:rsidRPr="00207642">
        <w:t>]</w:t>
      </w:r>
      <w:r w:rsidR="003165D6" w:rsidRPr="00207642">
        <w:t xml:space="preserve"> Children with obesity face heightened risks of living with obesity as adolescents and adults</w:t>
      </w:r>
      <w:r w:rsidR="00DB5A54" w:rsidRPr="00207642">
        <w:t>[</w:t>
      </w:r>
      <w:bookmarkStart w:id="8" w:name="_Ref54943131"/>
      <w:r w:rsidR="00DB5A54" w:rsidRPr="00207642">
        <w:rPr>
          <w:rStyle w:val="EndnoteReference"/>
          <w:vertAlign w:val="baseline"/>
        </w:rPr>
        <w:endnoteReference w:id="2"/>
      </w:r>
      <w:bookmarkEnd w:id="8"/>
      <w:r w:rsidR="00DB5A54" w:rsidRPr="00207642">
        <w:t>]</w:t>
      </w:r>
      <w:r w:rsidR="003165D6" w:rsidRPr="00207642">
        <w:t xml:space="preserve"> and suffering</w:t>
      </w:r>
      <w:r w:rsidR="00DB5A54" w:rsidRPr="00207642">
        <w:t xml:space="preserve"> </w:t>
      </w:r>
      <w:r w:rsidR="004D3274" w:rsidRPr="00207642">
        <w:t xml:space="preserve">from </w:t>
      </w:r>
      <w:r w:rsidR="00DB5A54" w:rsidRPr="00207642">
        <w:t>associated morbidities.[</w:t>
      </w:r>
      <w:r w:rsidR="00DB5A54" w:rsidRPr="00207642">
        <w:rPr>
          <w:rStyle w:val="EndnoteReference"/>
          <w:vertAlign w:val="baseline"/>
        </w:rPr>
        <w:endnoteReference w:id="3"/>
      </w:r>
      <w:r w:rsidR="00DB5A54" w:rsidRPr="00207642">
        <w:t xml:space="preserve">] </w:t>
      </w:r>
      <w:r w:rsidR="00320CA5" w:rsidRPr="00207642">
        <w:t>S</w:t>
      </w:r>
      <w:r w:rsidR="003165D6" w:rsidRPr="00207642">
        <w:t>o</w:t>
      </w:r>
      <w:r w:rsidR="00DB5A54" w:rsidRPr="00207642">
        <w:t>cioeconomic disadvantage</w:t>
      </w:r>
      <w:r w:rsidR="00320CA5" w:rsidRPr="00207642">
        <w:t xml:space="preserve"> is a key determinant of childhood obesity</w:t>
      </w:r>
      <w:r w:rsidR="00DB5A54" w:rsidRPr="00207642">
        <w:t>,[</w:t>
      </w:r>
      <w:bookmarkStart w:id="9" w:name="_Ref54943073"/>
      <w:r w:rsidR="00DB5A54" w:rsidRPr="00207642">
        <w:rPr>
          <w:rStyle w:val="EndnoteReference"/>
          <w:vertAlign w:val="baseline"/>
        </w:rPr>
        <w:endnoteReference w:id="4"/>
      </w:r>
      <w:bookmarkStart w:id="10" w:name="_Ref27649765"/>
      <w:bookmarkEnd w:id="9"/>
      <w:r w:rsidR="00320CA5" w:rsidRPr="00207642">
        <w:t>,</w:t>
      </w:r>
      <w:bookmarkStart w:id="11" w:name="_Ref54943094"/>
      <w:r w:rsidR="00DB5A54" w:rsidRPr="00207642">
        <w:rPr>
          <w:rStyle w:val="EndnoteReference"/>
          <w:vertAlign w:val="baseline"/>
        </w:rPr>
        <w:endnoteReference w:id="5"/>
      </w:r>
      <w:bookmarkEnd w:id="10"/>
      <w:bookmarkEnd w:id="11"/>
      <w:r w:rsidR="00DB5A54" w:rsidRPr="00207642">
        <w:t xml:space="preserve">] </w:t>
      </w:r>
      <w:r w:rsidR="00320CA5" w:rsidRPr="00207642">
        <w:t>and</w:t>
      </w:r>
      <w:r w:rsidR="00DB5A54" w:rsidRPr="00207642">
        <w:t xml:space="preserve"> inequalities</w:t>
      </w:r>
      <w:r w:rsidR="00320CA5" w:rsidRPr="00207642">
        <w:t xml:space="preserve"> in obesity have </w:t>
      </w:r>
      <w:r w:rsidR="008D55A1" w:rsidRPr="00207642">
        <w:t xml:space="preserve">widened </w:t>
      </w:r>
      <w:r w:rsidR="00DB5A54" w:rsidRPr="00207642">
        <w:t xml:space="preserve">in </w:t>
      </w:r>
      <w:r w:rsidR="00320CA5" w:rsidRPr="00207642">
        <w:t xml:space="preserve">the UK in </w:t>
      </w:r>
      <w:r w:rsidR="00DB5A54" w:rsidRPr="00207642">
        <w:t>recent years.</w:t>
      </w:r>
      <w:r w:rsidR="00385F02" w:rsidRPr="00207642">
        <w:t>[</w:t>
      </w:r>
      <w:r w:rsidR="00385F02" w:rsidRPr="00207642">
        <w:fldChar w:fldCharType="begin"/>
      </w:r>
      <w:r w:rsidR="00385F02" w:rsidRPr="00207642">
        <w:instrText xml:space="preserve"> NOTEREF _Ref54942806 \h </w:instrText>
      </w:r>
      <w:r w:rsidR="00385F02" w:rsidRPr="00207642">
        <w:fldChar w:fldCharType="separate"/>
      </w:r>
      <w:r w:rsidR="00C17003" w:rsidRPr="00207642">
        <w:t>1</w:t>
      </w:r>
      <w:r w:rsidR="00385F02" w:rsidRPr="00207642">
        <w:fldChar w:fldCharType="end"/>
      </w:r>
      <w:r w:rsidR="00385F02" w:rsidRPr="00207642">
        <w:t>]</w:t>
      </w:r>
    </w:p>
    <w:p w14:paraId="1C58D158" w14:textId="77777777" w:rsidR="00CF7AF0" w:rsidRPr="00207642" w:rsidRDefault="003B2C6E" w:rsidP="00887679">
      <w:pPr>
        <w:spacing w:line="480" w:lineRule="auto"/>
      </w:pPr>
      <w:bookmarkStart w:id="12" w:name="_Hlk43903078"/>
      <w:r w:rsidRPr="00207642">
        <w:t>Addressing</w:t>
      </w:r>
      <w:r w:rsidR="007727ED" w:rsidRPr="00207642">
        <w:t xml:space="preserve"> population prevalence and inequalities</w:t>
      </w:r>
      <w:r w:rsidRPr="00207642">
        <w:t xml:space="preserve"> </w:t>
      </w:r>
      <w:r w:rsidR="008D55A1" w:rsidRPr="00207642">
        <w:t xml:space="preserve">in </w:t>
      </w:r>
      <w:r w:rsidRPr="00207642">
        <w:t>childhood obesity is a key priority for public health policymakers</w:t>
      </w:r>
      <w:r w:rsidR="008D55A1" w:rsidRPr="00207642">
        <w:t xml:space="preserve"> </w:t>
      </w:r>
      <w:r w:rsidR="006A480D" w:rsidRPr="00207642">
        <w:t>in the UK and elsewhere</w:t>
      </w:r>
      <w:r w:rsidR="00154EE8" w:rsidRPr="00207642">
        <w:t xml:space="preserve"> and has been undertaken in various ways</w:t>
      </w:r>
      <w:r w:rsidRPr="00207642">
        <w:t xml:space="preserve">. </w:t>
      </w:r>
      <w:r w:rsidR="008D55A1" w:rsidRPr="00207642">
        <w:t xml:space="preserve">Policy </w:t>
      </w:r>
      <w:r w:rsidR="00E65737" w:rsidRPr="00207642">
        <w:t>goals to address the</w:t>
      </w:r>
      <w:r w:rsidR="006A480D" w:rsidRPr="00207642">
        <w:t xml:space="preserve"> ‘top down’</w:t>
      </w:r>
      <w:r w:rsidR="00E65737" w:rsidRPr="00207642">
        <w:t xml:space="preserve"> determinants of obesity, including food systems and industry</w:t>
      </w:r>
      <w:r w:rsidR="006A480D" w:rsidRPr="00207642">
        <w:t>, have been introduced.</w:t>
      </w:r>
      <w:r w:rsidR="00E65737" w:rsidRPr="00207642">
        <w:t xml:space="preserve"> </w:t>
      </w:r>
      <w:r w:rsidR="006A480D" w:rsidRPr="00207642">
        <w:t>For example</w:t>
      </w:r>
      <w:r w:rsidR="00730361" w:rsidRPr="00207642">
        <w:t>,</w:t>
      </w:r>
      <w:r w:rsidR="006A480D" w:rsidRPr="00207642">
        <w:t xml:space="preserve"> the </w:t>
      </w:r>
      <w:r w:rsidR="00E65737" w:rsidRPr="00207642">
        <w:t>soft drink industry levy</w:t>
      </w:r>
      <w:r w:rsidR="004D3274" w:rsidRPr="00207642">
        <w:t xml:space="preserve"> in the UK was</w:t>
      </w:r>
      <w:r w:rsidR="00730361" w:rsidRPr="00207642">
        <w:t xml:space="preserve"> a fiscal measure introduced as part of a challenge to all sectors of the food industry in 2015 to reduce sugar by 20% in food categories that primarily contribute to children’s sugar intake</w:t>
      </w:r>
      <w:r w:rsidR="00FB0C91" w:rsidRPr="00207642">
        <w:t>.</w:t>
      </w:r>
      <w:r w:rsidR="00A465C0" w:rsidRPr="00207642">
        <w:t>[</w:t>
      </w:r>
      <w:r w:rsidR="00FB0C91" w:rsidRPr="00207642">
        <w:rPr>
          <w:rStyle w:val="EndnoteReference"/>
          <w:vertAlign w:val="baseline"/>
        </w:rPr>
        <w:endnoteReference w:id="6"/>
      </w:r>
      <w:r w:rsidR="00A465C0" w:rsidRPr="00207642">
        <w:t>]</w:t>
      </w:r>
      <w:r w:rsidR="00FB0C91" w:rsidRPr="00207642">
        <w:t xml:space="preserve"> </w:t>
      </w:r>
      <w:r w:rsidR="00E65737" w:rsidRPr="00207642">
        <w:t>Policy goals also relate</w:t>
      </w:r>
      <w:r w:rsidR="00341036" w:rsidRPr="00207642">
        <w:t xml:space="preserve"> to enabling healthier lifestyles with ‘bottom up’ </w:t>
      </w:r>
      <w:r w:rsidR="006A480D" w:rsidRPr="00207642">
        <w:t>approaches</w:t>
      </w:r>
      <w:r w:rsidR="00341036" w:rsidRPr="00207642">
        <w:t>, often focussing on</w:t>
      </w:r>
      <w:r w:rsidR="00107AE3" w:rsidRPr="00207642">
        <w:t xml:space="preserve"> </w:t>
      </w:r>
      <w:r w:rsidR="00A465C0" w:rsidRPr="00207642">
        <w:t xml:space="preserve">lifestyle </w:t>
      </w:r>
      <w:r w:rsidR="00107AE3" w:rsidRPr="00207642">
        <w:t xml:space="preserve">interventions </w:t>
      </w:r>
      <w:r w:rsidR="002143C5" w:rsidRPr="00207642">
        <w:t xml:space="preserve">that </w:t>
      </w:r>
      <w:r w:rsidR="00107AE3" w:rsidRPr="00207642">
        <w:t>aim to reduce prevalence in obesity</w:t>
      </w:r>
      <w:r w:rsidR="002143C5" w:rsidRPr="00207642">
        <w:t xml:space="preserve"> through</w:t>
      </w:r>
      <w:r w:rsidR="00A465C0" w:rsidRPr="00207642">
        <w:t xml:space="preserve"> </w:t>
      </w:r>
      <w:r w:rsidR="002143C5" w:rsidRPr="00207642">
        <w:t>behaviour</w:t>
      </w:r>
      <w:r w:rsidR="00A82D5B" w:rsidRPr="00207642">
        <w:t xml:space="preserve"> </w:t>
      </w:r>
      <w:r w:rsidR="002143C5" w:rsidRPr="00207642">
        <w:t>change.</w:t>
      </w:r>
      <w:r w:rsidR="00A465C0" w:rsidRPr="00207642">
        <w:t xml:space="preserve"> </w:t>
      </w:r>
      <w:r w:rsidR="00107AE3" w:rsidRPr="00207642">
        <w:t>Typically, prevention and treatment interventions aim to</w:t>
      </w:r>
      <w:r w:rsidR="00A465C0" w:rsidRPr="00207642">
        <w:t xml:space="preserve"> </w:t>
      </w:r>
      <w:r w:rsidR="00154EE8" w:rsidRPr="00207642">
        <w:t>address energy balance by</w:t>
      </w:r>
      <w:r w:rsidR="00107AE3" w:rsidRPr="00207642">
        <w:t xml:space="preserve"> reducing intake, improving diet quality or by increasing physical activity. </w:t>
      </w:r>
    </w:p>
    <w:p w14:paraId="535E75A8" w14:textId="22F451E4" w:rsidR="0090003D" w:rsidRPr="00207642" w:rsidRDefault="00CB3FE3" w:rsidP="0090003D">
      <w:pPr>
        <w:spacing w:line="480" w:lineRule="auto"/>
      </w:pPr>
      <w:r w:rsidRPr="00207642">
        <w:t>Trials</w:t>
      </w:r>
      <w:r w:rsidR="0054051B" w:rsidRPr="00207642">
        <w:t xml:space="preserve"> of prevention and treatment interventions</w:t>
      </w:r>
      <w:r w:rsidRPr="00207642">
        <w:t xml:space="preserve"> </w:t>
      </w:r>
      <w:r w:rsidR="004E15D5" w:rsidRPr="00207642">
        <w:t>in</w:t>
      </w:r>
      <w:r w:rsidR="00EB524E" w:rsidRPr="00207642">
        <w:t xml:space="preserve"> children with obesity are often small in scale</w:t>
      </w:r>
      <w:bookmarkStart w:id="13" w:name="_Hlk43884713"/>
      <w:bookmarkEnd w:id="12"/>
      <w:r w:rsidR="00EB524E" w:rsidRPr="00207642">
        <w:t xml:space="preserve">. </w:t>
      </w:r>
      <w:r w:rsidR="00154EE8" w:rsidRPr="00207642">
        <w:t>C</w:t>
      </w:r>
      <w:r w:rsidR="002E76E9" w:rsidRPr="00207642">
        <w:rPr>
          <w:rFonts w:ascii="Calibri" w:hAnsi="Calibri" w:cs="Calibri"/>
        </w:rPr>
        <w:t>onducting</w:t>
      </w:r>
      <w:r w:rsidRPr="00207642">
        <w:rPr>
          <w:rFonts w:ascii="Calibri" w:hAnsi="Calibri" w:cs="Calibri"/>
        </w:rPr>
        <w:t xml:space="preserve"> </w:t>
      </w:r>
      <w:r w:rsidR="002E76E9" w:rsidRPr="00207642">
        <w:rPr>
          <w:rFonts w:ascii="Calibri" w:hAnsi="Calibri" w:cs="Calibri"/>
        </w:rPr>
        <w:t xml:space="preserve">trials </w:t>
      </w:r>
      <w:r w:rsidR="00013776" w:rsidRPr="00207642">
        <w:rPr>
          <w:rFonts w:ascii="Calibri" w:hAnsi="Calibri" w:cs="Calibri"/>
        </w:rPr>
        <w:t xml:space="preserve">at a population level </w:t>
      </w:r>
      <w:r w:rsidR="002E76E9" w:rsidRPr="00207642">
        <w:rPr>
          <w:rFonts w:ascii="Calibri" w:hAnsi="Calibri" w:cs="Calibri"/>
        </w:rPr>
        <w:t xml:space="preserve">is </w:t>
      </w:r>
      <w:r w:rsidRPr="00207642">
        <w:rPr>
          <w:rFonts w:ascii="Calibri" w:hAnsi="Calibri" w:cs="Calibri"/>
        </w:rPr>
        <w:t>often not</w:t>
      </w:r>
      <w:r w:rsidR="002E76E9" w:rsidRPr="00207642">
        <w:rPr>
          <w:rFonts w:ascii="Calibri" w:hAnsi="Calibri" w:cs="Calibri"/>
        </w:rPr>
        <w:t xml:space="preserve"> feasible</w:t>
      </w:r>
      <w:r w:rsidR="00EB524E" w:rsidRPr="00207642">
        <w:rPr>
          <w:rFonts w:ascii="Calibri" w:hAnsi="Calibri" w:cs="Calibri"/>
        </w:rPr>
        <w:t xml:space="preserve">, given the </w:t>
      </w:r>
      <w:r w:rsidR="00013776" w:rsidRPr="00207642">
        <w:rPr>
          <w:rFonts w:ascii="Calibri" w:hAnsi="Calibri" w:cs="Calibri"/>
        </w:rPr>
        <w:t>large-scale</w:t>
      </w:r>
      <w:r w:rsidR="00EB524E" w:rsidRPr="00207642">
        <w:rPr>
          <w:rFonts w:ascii="Calibri" w:hAnsi="Calibri" w:cs="Calibri"/>
        </w:rPr>
        <w:t>,</w:t>
      </w:r>
      <w:r w:rsidR="002E76E9" w:rsidRPr="00207642">
        <w:rPr>
          <w:rFonts w:ascii="Calibri" w:hAnsi="Calibri" w:cs="Calibri"/>
        </w:rPr>
        <w:t xml:space="preserve"> or timely</w:t>
      </w:r>
      <w:r w:rsidR="00EB524E" w:rsidRPr="00207642">
        <w:rPr>
          <w:rFonts w:ascii="Calibri" w:hAnsi="Calibri" w:cs="Calibri"/>
        </w:rPr>
        <w:t>, given the required recruitment</w:t>
      </w:r>
      <w:r w:rsidR="009D2BEA" w:rsidRPr="00207642">
        <w:rPr>
          <w:rFonts w:ascii="Calibri" w:hAnsi="Calibri" w:cs="Calibri"/>
        </w:rPr>
        <w:t xml:space="preserve"> and follow up</w:t>
      </w:r>
      <w:r w:rsidR="00EB524E" w:rsidRPr="00207642">
        <w:rPr>
          <w:rFonts w:ascii="Calibri" w:hAnsi="Calibri" w:cs="Calibri"/>
        </w:rPr>
        <w:t xml:space="preserve"> times,</w:t>
      </w:r>
      <w:r w:rsidR="002E76E9" w:rsidRPr="00207642">
        <w:rPr>
          <w:rFonts w:ascii="Calibri" w:hAnsi="Calibri" w:cs="Calibri"/>
        </w:rPr>
        <w:t xml:space="preserve"> for the investigation of </w:t>
      </w:r>
      <w:r w:rsidRPr="00207642">
        <w:rPr>
          <w:rFonts w:ascii="Calibri" w:hAnsi="Calibri" w:cs="Calibri"/>
        </w:rPr>
        <w:t xml:space="preserve">interventions to inform </w:t>
      </w:r>
      <w:r w:rsidR="004215CC" w:rsidRPr="00207642">
        <w:rPr>
          <w:rFonts w:ascii="Calibri" w:hAnsi="Calibri" w:cs="Calibri"/>
        </w:rPr>
        <w:t xml:space="preserve">national </w:t>
      </w:r>
      <w:r w:rsidR="002E76E9" w:rsidRPr="00207642">
        <w:rPr>
          <w:rFonts w:ascii="Calibri" w:hAnsi="Calibri" w:cs="Calibri"/>
        </w:rPr>
        <w:t xml:space="preserve">policy goals. </w:t>
      </w:r>
      <w:r w:rsidR="00F93DC1" w:rsidRPr="00207642">
        <w:t>S</w:t>
      </w:r>
      <w:r w:rsidR="007727ED" w:rsidRPr="00207642">
        <w:t>caling up</w:t>
      </w:r>
      <w:r w:rsidR="00EB524E" w:rsidRPr="00207642">
        <w:t xml:space="preserve"> small-scale</w:t>
      </w:r>
      <w:r w:rsidR="00F93DC1" w:rsidRPr="00207642">
        <w:t xml:space="preserve"> interventions</w:t>
      </w:r>
      <w:r w:rsidR="002C6134" w:rsidRPr="00207642">
        <w:t xml:space="preserve"> </w:t>
      </w:r>
      <w:r w:rsidR="00EB524E" w:rsidRPr="00207642">
        <w:t xml:space="preserve">that have shown effectiveness </w:t>
      </w:r>
      <w:r w:rsidR="00F93DC1" w:rsidRPr="00207642">
        <w:t xml:space="preserve">to </w:t>
      </w:r>
      <w:r w:rsidR="00D32EF3" w:rsidRPr="00207642">
        <w:t xml:space="preserve">general </w:t>
      </w:r>
      <w:r w:rsidR="00F93DC1" w:rsidRPr="00207642">
        <w:t xml:space="preserve">populations </w:t>
      </w:r>
      <w:r w:rsidR="00EB524E" w:rsidRPr="00207642">
        <w:t xml:space="preserve">can also be </w:t>
      </w:r>
      <w:r w:rsidR="007727ED" w:rsidRPr="00207642">
        <w:t>problematic</w:t>
      </w:r>
      <w:r w:rsidR="00107AE3" w:rsidRPr="00207642">
        <w:t>.</w:t>
      </w:r>
      <w:r w:rsidR="00DA254E" w:rsidRPr="00207642">
        <w:t>[</w:t>
      </w:r>
      <w:r w:rsidR="00DA254E" w:rsidRPr="00207642">
        <w:rPr>
          <w:rStyle w:val="EndnoteReference"/>
          <w:vertAlign w:val="baseline"/>
        </w:rPr>
        <w:endnoteReference w:id="7"/>
      </w:r>
      <w:r w:rsidR="00DA254E" w:rsidRPr="00207642">
        <w:t>]</w:t>
      </w:r>
      <w:r w:rsidR="00F93DC1" w:rsidRPr="00207642">
        <w:t xml:space="preserve"> </w:t>
      </w:r>
      <w:bookmarkEnd w:id="13"/>
      <w:r w:rsidR="00EB524E" w:rsidRPr="00207642">
        <w:t xml:space="preserve">While it is reasonable to extrapolate effect sizes from trials to population models, </w:t>
      </w:r>
      <w:r w:rsidR="004F5CC1" w:rsidRPr="00207642">
        <w:rPr>
          <w:rFonts w:ascii="Calibri" w:hAnsi="Calibri" w:cs="Calibri"/>
        </w:rPr>
        <w:t>scaled up</w:t>
      </w:r>
      <w:r w:rsidR="00F93DC1" w:rsidRPr="00207642">
        <w:rPr>
          <w:rFonts w:ascii="Calibri" w:hAnsi="Calibri" w:cs="Calibri"/>
        </w:rPr>
        <w:t xml:space="preserve"> </w:t>
      </w:r>
      <w:r w:rsidR="004F5CC1" w:rsidRPr="00207642">
        <w:rPr>
          <w:rFonts w:ascii="Calibri" w:hAnsi="Calibri" w:cs="Calibri"/>
        </w:rPr>
        <w:t xml:space="preserve">prevention interventions </w:t>
      </w:r>
      <w:r w:rsidR="00EB524E" w:rsidRPr="00207642">
        <w:rPr>
          <w:rFonts w:ascii="Calibri" w:hAnsi="Calibri" w:cs="Calibri"/>
        </w:rPr>
        <w:t>are likely to have</w:t>
      </w:r>
      <w:r w:rsidR="004F5CC1" w:rsidRPr="00207642">
        <w:rPr>
          <w:rFonts w:ascii="Calibri" w:hAnsi="Calibri" w:cs="Calibri"/>
        </w:rPr>
        <w:t xml:space="preserve"> lower effects than the preceding efficacy trials</w:t>
      </w:r>
      <w:r w:rsidR="00444E96" w:rsidRPr="00207642">
        <w:rPr>
          <w:rFonts w:ascii="Calibri" w:hAnsi="Calibri" w:cs="Calibri"/>
        </w:rPr>
        <w:t xml:space="preserve">. This is often due to </w:t>
      </w:r>
      <w:r w:rsidR="004B0CA0" w:rsidRPr="00207642">
        <w:rPr>
          <w:rFonts w:ascii="Calibri" w:hAnsi="Calibri" w:cs="Calibri"/>
        </w:rPr>
        <w:t xml:space="preserve">interventions </w:t>
      </w:r>
      <w:r w:rsidR="003A46D2" w:rsidRPr="00207642">
        <w:rPr>
          <w:rFonts w:ascii="Calibri" w:hAnsi="Calibri" w:cs="Calibri"/>
        </w:rPr>
        <w:t>being</w:t>
      </w:r>
      <w:r w:rsidR="004B0CA0" w:rsidRPr="00207642">
        <w:rPr>
          <w:rFonts w:ascii="Calibri" w:hAnsi="Calibri" w:cs="Calibri"/>
        </w:rPr>
        <w:t xml:space="preserve"> trimmed back</w:t>
      </w:r>
      <w:r w:rsidR="00023B69" w:rsidRPr="00207642">
        <w:rPr>
          <w:rFonts w:ascii="Calibri" w:hAnsi="Calibri" w:cs="Calibri"/>
        </w:rPr>
        <w:t xml:space="preserve"> in order that t</w:t>
      </w:r>
      <w:r w:rsidR="00E95020" w:rsidRPr="00207642">
        <w:rPr>
          <w:rFonts w:ascii="Calibri" w:hAnsi="Calibri" w:cs="Calibri"/>
        </w:rPr>
        <w:t>hey are</w:t>
      </w:r>
      <w:r w:rsidR="00023B69" w:rsidRPr="00207642">
        <w:rPr>
          <w:rFonts w:ascii="Calibri" w:hAnsi="Calibri" w:cs="Calibri"/>
        </w:rPr>
        <w:t xml:space="preserve"> responsive to</w:t>
      </w:r>
      <w:r w:rsidR="004B0CA0" w:rsidRPr="00207642">
        <w:rPr>
          <w:rFonts w:ascii="Calibri" w:hAnsi="Calibri" w:cs="Calibri"/>
        </w:rPr>
        <w:t xml:space="preserve"> </w:t>
      </w:r>
      <w:r w:rsidR="00023B69" w:rsidRPr="00207642">
        <w:t>implementation</w:t>
      </w:r>
      <w:r w:rsidR="003A46D2" w:rsidRPr="00207642">
        <w:t xml:space="preserve"> in real world contexts</w:t>
      </w:r>
      <w:r w:rsidR="00D54658" w:rsidRPr="00207642">
        <w:t>;</w:t>
      </w:r>
      <w:r w:rsidR="00B74AD2" w:rsidRPr="00207642">
        <w:t xml:space="preserve"> additionally,</w:t>
      </w:r>
      <w:r w:rsidR="00D54658" w:rsidRPr="00207642">
        <w:t xml:space="preserve"> the efficacy of large-scale interventions are more difficult to assess</w:t>
      </w:r>
      <w:r w:rsidR="00EB524E" w:rsidRPr="00207642">
        <w:rPr>
          <w:rFonts w:ascii="Calibri" w:hAnsi="Calibri" w:cs="Calibri"/>
        </w:rPr>
        <w:t>.[</w:t>
      </w:r>
      <w:bookmarkStart w:id="14" w:name="_Ref54943725"/>
      <w:r w:rsidR="00EB524E" w:rsidRPr="00207642">
        <w:rPr>
          <w:rStyle w:val="EndnoteReference"/>
          <w:rFonts w:ascii="Calibri" w:hAnsi="Calibri" w:cs="Calibri"/>
          <w:vertAlign w:val="baseline"/>
        </w:rPr>
        <w:endnoteReference w:id="8"/>
      </w:r>
      <w:bookmarkEnd w:id="14"/>
      <w:r w:rsidR="00EB524E" w:rsidRPr="00207642">
        <w:rPr>
          <w:rFonts w:ascii="Calibri" w:hAnsi="Calibri" w:cs="Calibri"/>
        </w:rPr>
        <w:t>] T</w:t>
      </w:r>
      <w:r w:rsidR="004F5CC1" w:rsidRPr="00207642">
        <w:rPr>
          <w:rFonts w:ascii="Calibri" w:hAnsi="Calibri" w:cs="Calibri"/>
        </w:rPr>
        <w:t xml:space="preserve">reatment interventions </w:t>
      </w:r>
      <w:r w:rsidR="00EB524E" w:rsidRPr="00207642">
        <w:rPr>
          <w:rFonts w:ascii="Calibri" w:hAnsi="Calibri" w:cs="Calibri"/>
        </w:rPr>
        <w:t>that have established trial effectiveness in reducing BMI are also likely to be less effective when scaled up</w:t>
      </w:r>
      <w:r w:rsidR="004F5CC1" w:rsidRPr="00207642">
        <w:rPr>
          <w:rFonts w:ascii="Calibri" w:hAnsi="Calibri" w:cs="Calibri"/>
        </w:rPr>
        <w:t>.</w:t>
      </w:r>
      <w:r w:rsidR="00631FA8" w:rsidRPr="00207642">
        <w:rPr>
          <w:rFonts w:ascii="Calibri" w:hAnsi="Calibri" w:cs="Calibri"/>
        </w:rPr>
        <w:t>[</w:t>
      </w:r>
      <w:r w:rsidR="00631FA8" w:rsidRPr="00207642">
        <w:rPr>
          <w:rFonts w:ascii="Calibri" w:hAnsi="Calibri" w:cs="Calibri"/>
        </w:rPr>
        <w:fldChar w:fldCharType="begin"/>
      </w:r>
      <w:r w:rsidR="00631FA8" w:rsidRPr="00207642">
        <w:rPr>
          <w:rFonts w:ascii="Calibri" w:hAnsi="Calibri" w:cs="Calibri"/>
        </w:rPr>
        <w:instrText xml:space="preserve"> NOTEREF _Ref54943725 \h </w:instrText>
      </w:r>
      <w:r w:rsidR="00631FA8" w:rsidRPr="00207642">
        <w:rPr>
          <w:rFonts w:ascii="Calibri" w:hAnsi="Calibri" w:cs="Calibri"/>
        </w:rPr>
      </w:r>
      <w:r w:rsidR="00631FA8" w:rsidRPr="00207642">
        <w:rPr>
          <w:rFonts w:ascii="Calibri" w:hAnsi="Calibri" w:cs="Calibri"/>
        </w:rPr>
        <w:fldChar w:fldCharType="separate"/>
      </w:r>
      <w:r w:rsidR="00C17003" w:rsidRPr="00207642">
        <w:rPr>
          <w:rFonts w:ascii="Calibri" w:hAnsi="Calibri" w:cs="Calibri"/>
        </w:rPr>
        <w:t>8</w:t>
      </w:r>
      <w:r w:rsidR="00631FA8" w:rsidRPr="00207642">
        <w:rPr>
          <w:rFonts w:ascii="Calibri" w:hAnsi="Calibri" w:cs="Calibri"/>
        </w:rPr>
        <w:fldChar w:fldCharType="end"/>
      </w:r>
      <w:r w:rsidR="00631FA8" w:rsidRPr="00207642">
        <w:rPr>
          <w:rFonts w:ascii="Calibri" w:hAnsi="Calibri" w:cs="Calibri"/>
        </w:rPr>
        <w:t>]</w:t>
      </w:r>
      <w:r w:rsidR="0090003D" w:rsidRPr="00207642">
        <w:t xml:space="preserve"> Despite</w:t>
      </w:r>
      <w:r w:rsidR="00A81FE2" w:rsidRPr="00207642">
        <w:t xml:space="preserve"> the potential difficulties</w:t>
      </w:r>
      <w:r w:rsidR="0090003D" w:rsidRPr="00207642">
        <w:t>, there is a</w:t>
      </w:r>
      <w:r w:rsidR="00D2792F" w:rsidRPr="00207642">
        <w:t xml:space="preserve"> policy</w:t>
      </w:r>
      <w:r w:rsidR="0090003D" w:rsidRPr="00207642">
        <w:t xml:space="preserve"> need to produce evidence that can inform the </w:t>
      </w:r>
      <w:r w:rsidR="00D32EF3" w:rsidRPr="00207642">
        <w:t>development of</w:t>
      </w:r>
      <w:r w:rsidR="00EB524E" w:rsidRPr="00207642">
        <w:t xml:space="preserve"> calorie</w:t>
      </w:r>
      <w:r w:rsidR="00F057B5" w:rsidRPr="00207642">
        <w:t>-</w:t>
      </w:r>
      <w:r w:rsidR="00EB524E" w:rsidRPr="00207642">
        <w:t>reduction</w:t>
      </w:r>
      <w:r w:rsidR="00D32EF3" w:rsidRPr="00207642">
        <w:t xml:space="preserve"> policy</w:t>
      </w:r>
      <w:r w:rsidR="00EB524E" w:rsidRPr="00207642">
        <w:t xml:space="preserve"> goals.</w:t>
      </w:r>
    </w:p>
    <w:p w14:paraId="7CEACACC" w14:textId="5BA4923C" w:rsidR="000C6100" w:rsidRPr="00207642" w:rsidRDefault="0066126A" w:rsidP="00977205">
      <w:pPr>
        <w:spacing w:line="480" w:lineRule="auto"/>
      </w:pPr>
      <w:r w:rsidRPr="00207642">
        <w:rPr>
          <w:rFonts w:ascii="Calibri" w:hAnsi="Calibri" w:cs="Calibri"/>
        </w:rPr>
        <w:t>T</w:t>
      </w:r>
      <w:r w:rsidR="00A83A31" w:rsidRPr="00207642">
        <w:t>his work build</w:t>
      </w:r>
      <w:r w:rsidR="003E7836" w:rsidRPr="00207642">
        <w:t>s</w:t>
      </w:r>
      <w:r w:rsidR="00A83A31" w:rsidRPr="00207642">
        <w:t xml:space="preserve"> on previous research </w:t>
      </w:r>
      <w:r w:rsidR="00003D90" w:rsidRPr="00207642">
        <w:t xml:space="preserve">using causal modelling techniques in </w:t>
      </w:r>
      <w:r w:rsidR="002D22E1" w:rsidRPr="00207642">
        <w:t xml:space="preserve">the Avon Longitudinal Study of Parents and Children </w:t>
      </w:r>
      <w:r w:rsidR="00003D90" w:rsidRPr="00207642">
        <w:t>(</w:t>
      </w:r>
      <w:r w:rsidR="002D22E1" w:rsidRPr="00207642">
        <w:t>ALSPAC)</w:t>
      </w:r>
      <w:r w:rsidR="00BE2AAF" w:rsidRPr="00207642">
        <w:t xml:space="preserve"> </w:t>
      </w:r>
      <w:r w:rsidR="00A83A31" w:rsidRPr="00207642">
        <w:t xml:space="preserve">that applied </w:t>
      </w:r>
      <w:r w:rsidR="00EB524E" w:rsidRPr="00207642">
        <w:t>calorie-reduction interventions</w:t>
      </w:r>
      <w:r w:rsidR="003E7836" w:rsidRPr="00207642">
        <w:t xml:space="preserve"> to children aged 7 years and</w:t>
      </w:r>
      <w:r w:rsidR="00792787" w:rsidRPr="00207642">
        <w:t xml:space="preserve"> measure</w:t>
      </w:r>
      <w:r w:rsidR="003E7836" w:rsidRPr="00207642">
        <w:t>d</w:t>
      </w:r>
      <w:r w:rsidR="00792787" w:rsidRPr="00207642">
        <w:t xml:space="preserve"> the potential impact on population prevalence and inequalities in childhood obesity</w:t>
      </w:r>
      <w:r w:rsidR="003E7836" w:rsidRPr="00207642">
        <w:t xml:space="preserve"> at 11 years</w:t>
      </w:r>
      <w:r w:rsidR="00EB524E" w:rsidRPr="00207642">
        <w:t>.</w:t>
      </w:r>
      <w:r w:rsidR="00792787" w:rsidRPr="00207642">
        <w:t>[</w:t>
      </w:r>
      <w:bookmarkStart w:id="15" w:name="_Ref54943628"/>
      <w:r w:rsidR="00792787" w:rsidRPr="00207642">
        <w:rPr>
          <w:rStyle w:val="EndnoteReference"/>
          <w:vertAlign w:val="baseline"/>
        </w:rPr>
        <w:endnoteReference w:id="9"/>
      </w:r>
      <w:bookmarkEnd w:id="15"/>
      <w:r w:rsidR="00792787" w:rsidRPr="00207642">
        <w:t>]</w:t>
      </w:r>
      <w:r w:rsidR="00EB524E" w:rsidRPr="00207642">
        <w:t xml:space="preserve"> </w:t>
      </w:r>
      <w:r w:rsidR="003E7836" w:rsidRPr="00207642">
        <w:t>T</w:t>
      </w:r>
      <w:r w:rsidR="00792787" w:rsidRPr="00207642">
        <w:t xml:space="preserve">his work sought to replicate </w:t>
      </w:r>
      <w:r w:rsidR="004A2782" w:rsidRPr="00207642">
        <w:t>previous</w:t>
      </w:r>
      <w:r w:rsidR="00792787" w:rsidRPr="00207642">
        <w:t xml:space="preserve"> analysis </w:t>
      </w:r>
      <w:r w:rsidR="00003D90" w:rsidRPr="00207642">
        <w:t>among younger children and i</w:t>
      </w:r>
      <w:r w:rsidR="00792787" w:rsidRPr="00207642">
        <w:t>n a second cohort</w:t>
      </w:r>
      <w:r w:rsidR="00003D90" w:rsidRPr="00207642">
        <w:t>,</w:t>
      </w:r>
      <w:r w:rsidR="00792787" w:rsidRPr="00207642">
        <w:t xml:space="preserve"> </w:t>
      </w:r>
      <w:r w:rsidR="008E2A63" w:rsidRPr="00207642">
        <w:t xml:space="preserve">the </w:t>
      </w:r>
      <w:r w:rsidR="00F057B5" w:rsidRPr="00207642">
        <w:t>Southampton Women’s Survey (</w:t>
      </w:r>
      <w:r w:rsidR="00FD13E1" w:rsidRPr="00207642">
        <w:t>SWS</w:t>
      </w:r>
      <w:r w:rsidR="00F057B5" w:rsidRPr="00207642">
        <w:t>)</w:t>
      </w:r>
      <w:r w:rsidRPr="00207642">
        <w:t xml:space="preserve">, a longitudinal cohort of </w:t>
      </w:r>
      <w:r w:rsidR="00CE5093" w:rsidRPr="00207642">
        <w:t xml:space="preserve">Southampton women </w:t>
      </w:r>
      <w:r w:rsidR="00D60854" w:rsidRPr="00207642">
        <w:t>and their children</w:t>
      </w:r>
      <w:r w:rsidR="00A83A31" w:rsidRPr="00207642">
        <w:t xml:space="preserve">. </w:t>
      </w:r>
      <w:r w:rsidR="00A040FB" w:rsidRPr="00207642">
        <w:t>S</w:t>
      </w:r>
      <w:r w:rsidR="00967850" w:rsidRPr="00207642">
        <w:t>cenarios</w:t>
      </w:r>
      <w:r w:rsidR="009D47AA" w:rsidRPr="00207642">
        <w:t xml:space="preserve"> were modelled to represent</w:t>
      </w:r>
      <w:r w:rsidR="001F0AA6" w:rsidRPr="00207642">
        <w:t xml:space="preserve"> interventions </w:t>
      </w:r>
      <w:r w:rsidR="006C6CBD" w:rsidRPr="00207642">
        <w:t>(</w:t>
      </w:r>
      <w:r w:rsidR="009D47AA" w:rsidRPr="00207642">
        <w:t>reductions in energy intake</w:t>
      </w:r>
      <w:r w:rsidR="0057746F" w:rsidRPr="00207642">
        <w:t xml:space="preserve"> at age </w:t>
      </w:r>
      <w:r w:rsidR="001057FC" w:rsidRPr="00207642">
        <w:t xml:space="preserve">3 </w:t>
      </w:r>
      <w:r w:rsidR="0057746F" w:rsidRPr="00207642">
        <w:t>y</w:t>
      </w:r>
      <w:r w:rsidR="001057FC" w:rsidRPr="00207642">
        <w:t>ears</w:t>
      </w:r>
      <w:r w:rsidR="006C6CBD" w:rsidRPr="00207642">
        <w:t>)</w:t>
      </w:r>
      <w:r w:rsidR="00E2124C" w:rsidRPr="00207642">
        <w:t>,</w:t>
      </w:r>
      <w:r w:rsidR="006C6CBD" w:rsidRPr="00207642">
        <w:t xml:space="preserve"> which varied in effectiveness</w:t>
      </w:r>
      <w:r w:rsidR="0015647F" w:rsidRPr="00207642">
        <w:t>, uptake and targeting,</w:t>
      </w:r>
      <w:r w:rsidR="00E2124C" w:rsidRPr="00207642">
        <w:t xml:space="preserve"> with estimated impacts on </w:t>
      </w:r>
      <w:r w:rsidR="001057FC" w:rsidRPr="00207642">
        <w:t xml:space="preserve">prevalence and inequalities in </w:t>
      </w:r>
      <w:r w:rsidR="00E2124C" w:rsidRPr="00207642">
        <w:t>obesity</w:t>
      </w:r>
      <w:r w:rsidR="0057746F" w:rsidRPr="00207642">
        <w:t xml:space="preserve"> at age </w:t>
      </w:r>
      <w:r w:rsidR="003461DB" w:rsidRPr="00207642">
        <w:t>6</w:t>
      </w:r>
      <w:r w:rsidR="00D60854" w:rsidRPr="00207642">
        <w:t>-7</w:t>
      </w:r>
      <w:r w:rsidR="003461DB" w:rsidRPr="00207642">
        <w:t xml:space="preserve"> years</w:t>
      </w:r>
      <w:r w:rsidR="00E2124C" w:rsidRPr="00207642">
        <w:t xml:space="preserve">. </w:t>
      </w:r>
      <w:r w:rsidR="00455573" w:rsidRPr="00207642">
        <w:t>Given that r</w:t>
      </w:r>
      <w:r w:rsidR="00DC7C0D" w:rsidRPr="00207642">
        <w:t xml:space="preserve">andomised controlled trials are not always possible for general </w:t>
      </w:r>
      <w:r w:rsidR="00AA2599" w:rsidRPr="00207642">
        <w:t>population interventions</w:t>
      </w:r>
      <w:r w:rsidR="00DC7C0D" w:rsidRPr="00207642">
        <w:t xml:space="preserve">, </w:t>
      </w:r>
      <w:r w:rsidR="00455573" w:rsidRPr="00207642">
        <w:t xml:space="preserve">these analyses </w:t>
      </w:r>
      <w:r w:rsidR="000C6100" w:rsidRPr="00207642">
        <w:t xml:space="preserve">may be useful to policy makers in demonstrating the </w:t>
      </w:r>
      <w:r w:rsidR="00DC7C0D" w:rsidRPr="00207642">
        <w:t xml:space="preserve">potential </w:t>
      </w:r>
      <w:r w:rsidR="000C6100" w:rsidRPr="00207642">
        <w:t>impact</w:t>
      </w:r>
      <w:r w:rsidR="00977205" w:rsidRPr="00207642">
        <w:t xml:space="preserve"> of calorie-reduction interventions</w:t>
      </w:r>
      <w:r w:rsidR="000C6100" w:rsidRPr="00207642">
        <w:t xml:space="preserve"> </w:t>
      </w:r>
      <w:r w:rsidR="00BF0F6B" w:rsidRPr="00207642">
        <w:t>on population prevalence of childhood obesity</w:t>
      </w:r>
      <w:r w:rsidR="00977205" w:rsidRPr="00207642">
        <w:t>.</w:t>
      </w:r>
    </w:p>
    <w:p w14:paraId="3C8D89E4" w14:textId="1E9BB58A" w:rsidR="00EC77E0" w:rsidRPr="00207642" w:rsidRDefault="00EE10C9" w:rsidP="00EE10C9">
      <w:pPr>
        <w:spacing w:line="480" w:lineRule="auto"/>
        <w:rPr>
          <w:b/>
        </w:rPr>
      </w:pPr>
      <w:r w:rsidRPr="00207642">
        <w:rPr>
          <w:b/>
        </w:rPr>
        <w:t>M</w:t>
      </w:r>
      <w:r w:rsidR="00EC77E0" w:rsidRPr="00207642">
        <w:rPr>
          <w:b/>
        </w:rPr>
        <w:t>ethods</w:t>
      </w:r>
    </w:p>
    <w:p w14:paraId="1CEFD103" w14:textId="4BAF4825" w:rsidR="00EC77E0" w:rsidRPr="00207642" w:rsidRDefault="00EC77E0" w:rsidP="002C5758">
      <w:pPr>
        <w:spacing w:line="480" w:lineRule="auto"/>
        <w:rPr>
          <w:b/>
          <w:i/>
        </w:rPr>
      </w:pPr>
      <w:r w:rsidRPr="00207642">
        <w:rPr>
          <w:b/>
          <w:i/>
        </w:rPr>
        <w:t>Data</w:t>
      </w:r>
      <w:r w:rsidR="00CE56E3" w:rsidRPr="00207642">
        <w:rPr>
          <w:b/>
          <w:i/>
        </w:rPr>
        <w:t xml:space="preserve"> sources</w:t>
      </w:r>
    </w:p>
    <w:p w14:paraId="005479D5" w14:textId="3389C74C" w:rsidR="004F416C" w:rsidRPr="00207642" w:rsidRDefault="008E154B" w:rsidP="0099764D">
      <w:pPr>
        <w:spacing w:line="480" w:lineRule="auto"/>
      </w:pPr>
      <w:r w:rsidRPr="00207642">
        <w:t>T</w:t>
      </w:r>
      <w:r w:rsidR="0088285F" w:rsidRPr="00207642">
        <w:t xml:space="preserve">he </w:t>
      </w:r>
      <w:r w:rsidR="00A7752F" w:rsidRPr="00207642">
        <w:t>SWS</w:t>
      </w:r>
      <w:r w:rsidRPr="00207642">
        <w:t xml:space="preserve"> was used</w:t>
      </w:r>
      <w:r w:rsidR="00A7752F" w:rsidRPr="00207642">
        <w:t xml:space="preserve">, a large prospective cohort study of mothers and children that recruited 12583 </w:t>
      </w:r>
      <w:r w:rsidR="00B6039A" w:rsidRPr="00207642">
        <w:t xml:space="preserve">non-pregnant </w:t>
      </w:r>
      <w:r w:rsidR="00154EE8" w:rsidRPr="00207642">
        <w:t xml:space="preserve">Southampton </w:t>
      </w:r>
      <w:r w:rsidR="00A7752F" w:rsidRPr="00207642">
        <w:t xml:space="preserve">women aged 20 to 34 years from the general population between 1998 and 2002. Between 1998 and 2007, 3158 participants became pregnant and were invited to take part in the pregnancy phase of the survey. The survey followed up children with home visits at six months, one year, two </w:t>
      </w:r>
      <w:r w:rsidR="00B33FFF" w:rsidRPr="00207642">
        <w:t xml:space="preserve">years, </w:t>
      </w:r>
      <w:r w:rsidR="00A7752F" w:rsidRPr="00207642">
        <w:t>and three years; further sample</w:t>
      </w:r>
      <w:r w:rsidR="00F2084C" w:rsidRPr="00207642">
        <w:t>s</w:t>
      </w:r>
      <w:r w:rsidR="00646B11" w:rsidRPr="00207642">
        <w:t xml:space="preserve"> of</w:t>
      </w:r>
      <w:r w:rsidR="00F2084C" w:rsidRPr="00207642">
        <w:t xml:space="preserve"> </w:t>
      </w:r>
      <w:r w:rsidR="00646B11" w:rsidRPr="00207642">
        <w:t xml:space="preserve">children </w:t>
      </w:r>
      <w:r w:rsidR="00F2084C" w:rsidRPr="00207642">
        <w:t xml:space="preserve">were </w:t>
      </w:r>
      <w:r w:rsidR="00A7752F" w:rsidRPr="00207642">
        <w:t xml:space="preserve">seen at 4 years </w:t>
      </w:r>
      <w:r w:rsidR="00646B11" w:rsidRPr="00207642">
        <w:t xml:space="preserve">and </w:t>
      </w:r>
      <w:r w:rsidR="00A7752F" w:rsidRPr="00207642">
        <w:t xml:space="preserve"> 6-7 years.</w:t>
      </w:r>
      <w:r w:rsidR="00591B62" w:rsidRPr="00207642">
        <w:t xml:space="preserve"> Further details of </w:t>
      </w:r>
      <w:r w:rsidR="00D60854" w:rsidRPr="00207642">
        <w:t xml:space="preserve">the </w:t>
      </w:r>
      <w:r w:rsidR="00591B62" w:rsidRPr="00207642">
        <w:t>cohort profile have been previously published</w:t>
      </w:r>
      <w:r w:rsidR="00B6039A" w:rsidRPr="00207642">
        <w:t>.</w:t>
      </w:r>
      <w:r w:rsidR="007151C7" w:rsidRPr="00207642">
        <w:t>[</w:t>
      </w:r>
      <w:bookmarkStart w:id="16" w:name="_Ref54943780"/>
      <w:r w:rsidR="00591B62" w:rsidRPr="00207642">
        <w:rPr>
          <w:rStyle w:val="EndnoteReference"/>
          <w:vertAlign w:val="baseline"/>
        </w:rPr>
        <w:endnoteReference w:id="10"/>
      </w:r>
      <w:bookmarkEnd w:id="16"/>
      <w:r w:rsidR="007151C7" w:rsidRPr="00207642">
        <w:t>]</w:t>
      </w:r>
      <w:r w:rsidR="00B6039A" w:rsidRPr="00207642">
        <w:t xml:space="preserve"> Ethical approval was granted by the Southampton and South West Hampshire Local Research Ethics Committee.</w:t>
      </w:r>
    </w:p>
    <w:p w14:paraId="56AE3277" w14:textId="62579AE2" w:rsidR="00CE56E3" w:rsidRPr="00207642" w:rsidRDefault="00C92411" w:rsidP="002C5758">
      <w:pPr>
        <w:spacing w:line="480" w:lineRule="auto"/>
        <w:rPr>
          <w:b/>
          <w:i/>
        </w:rPr>
      </w:pPr>
      <w:r w:rsidRPr="00207642">
        <w:rPr>
          <w:b/>
          <w:i/>
        </w:rPr>
        <w:t xml:space="preserve">Analytic </w:t>
      </w:r>
      <w:r w:rsidR="00FE1231" w:rsidRPr="00207642">
        <w:rPr>
          <w:b/>
          <w:i/>
        </w:rPr>
        <w:t>sample</w:t>
      </w:r>
      <w:r w:rsidR="00CE56E3" w:rsidRPr="00207642">
        <w:rPr>
          <w:b/>
          <w:i/>
        </w:rPr>
        <w:t xml:space="preserve"> </w:t>
      </w:r>
    </w:p>
    <w:p w14:paraId="11430DFA" w14:textId="6CD9B7FD" w:rsidR="008B35BC" w:rsidRPr="00207642" w:rsidRDefault="00E854B6" w:rsidP="00A81FE2">
      <w:pPr>
        <w:spacing w:line="480" w:lineRule="auto"/>
      </w:pPr>
      <w:r w:rsidRPr="00207642">
        <w:t xml:space="preserve">The </w:t>
      </w:r>
      <w:r w:rsidR="007F7D7B" w:rsidRPr="00207642">
        <w:t>whole SWS</w:t>
      </w:r>
      <w:r w:rsidRPr="00207642">
        <w:t xml:space="preserve"> sample comprised 3158 mothers; there were complete data on maternal education (exposure) for 3149 (99.7%) mothers, and on BMI (outcome) for </w:t>
      </w:r>
      <w:r w:rsidR="008B4FD5" w:rsidRPr="00207642">
        <w:t>200</w:t>
      </w:r>
      <w:r w:rsidR="009D3AE9" w:rsidRPr="00207642">
        <w:t xml:space="preserve">7 </w:t>
      </w:r>
      <w:r w:rsidRPr="00207642">
        <w:t xml:space="preserve">children at age 6-7 years (63.6%).  Total daily calories were </w:t>
      </w:r>
      <w:r w:rsidR="00FB0463" w:rsidRPr="00207642">
        <w:t xml:space="preserve">available </w:t>
      </w:r>
      <w:r w:rsidRPr="00207642">
        <w:t xml:space="preserve">from </w:t>
      </w:r>
      <w:r w:rsidR="00D30B3E" w:rsidRPr="00207642">
        <w:t xml:space="preserve">2-day </w:t>
      </w:r>
      <w:r w:rsidRPr="00207642">
        <w:t>food diaries recorded for 893 children at age 3 years (28.3%).</w:t>
      </w:r>
      <w:r w:rsidR="00FB0463" w:rsidRPr="00207642">
        <w:t xml:space="preserve"> </w:t>
      </w:r>
      <w:r w:rsidRPr="00207642">
        <w:t>There were also 247 records with missing data for confounding variables, resulting in a complete case sample of 646 (20.5%) children. The analytic sample was derived by restricting the total sample to children with complete data on maternal education (exposure) and BMI at age 6</w:t>
      </w:r>
      <w:r w:rsidR="002C5B0D" w:rsidRPr="00207642">
        <w:t>-7</w:t>
      </w:r>
      <w:r w:rsidRPr="00207642">
        <w:t xml:space="preserve"> years (outcome)</w:t>
      </w:r>
      <w:r w:rsidR="00B663D1" w:rsidRPr="00207642">
        <w:t xml:space="preserve"> </w:t>
      </w:r>
      <w:r w:rsidRPr="00207642">
        <w:t xml:space="preserve">(n=2001). Multiple imputation by chained equations (assuming data were missing at random) was used to deal with </w:t>
      </w:r>
      <w:r w:rsidR="00B663D1" w:rsidRPr="00207642">
        <w:t xml:space="preserve">attrition and </w:t>
      </w:r>
      <w:r w:rsidRPr="00207642">
        <w:t xml:space="preserve">missing data </w:t>
      </w:r>
      <w:r w:rsidR="00B663D1" w:rsidRPr="00207642">
        <w:t xml:space="preserve">for the mediator and confounding variables </w:t>
      </w:r>
      <w:r w:rsidR="00E75F2B" w:rsidRPr="00207642">
        <w:t>(</w:t>
      </w:r>
      <w:r w:rsidR="00F9501A" w:rsidRPr="00207642">
        <w:t>Supplement</w:t>
      </w:r>
      <w:r w:rsidR="00E75F2B" w:rsidRPr="00207642">
        <w:t xml:space="preserve"> 1)</w:t>
      </w:r>
      <w:r w:rsidR="00C356E8" w:rsidRPr="00207642">
        <w:t>.[</w:t>
      </w:r>
      <w:r w:rsidR="00C356E8" w:rsidRPr="00207642">
        <w:rPr>
          <w:rStyle w:val="EndnoteReference"/>
          <w:vertAlign w:val="baseline"/>
        </w:rPr>
        <w:endnoteReference w:id="11"/>
      </w:r>
      <w:r w:rsidR="00C356E8" w:rsidRPr="00207642">
        <w:t>]</w:t>
      </w:r>
      <w:r w:rsidR="0099764D" w:rsidRPr="00207642">
        <w:t xml:space="preserve"> While the sample of participants that completed food diaries was small, the analytic sample (</w:t>
      </w:r>
      <w:r w:rsidR="00E018B4" w:rsidRPr="00207642">
        <w:t xml:space="preserve">using </w:t>
      </w:r>
      <w:r w:rsidR="0099764D" w:rsidRPr="00207642">
        <w:t>imputed data) was found to be similar</w:t>
      </w:r>
      <w:r w:rsidR="00162FB2" w:rsidRPr="00207642">
        <w:t xml:space="preserve"> to the whole sample</w:t>
      </w:r>
      <w:r w:rsidR="0099764D" w:rsidRPr="00207642">
        <w:t xml:space="preserve"> (Table 2).</w:t>
      </w:r>
    </w:p>
    <w:p w14:paraId="2D57AFF9" w14:textId="0E6E53A0" w:rsidR="00EC77E0" w:rsidRPr="00207642" w:rsidRDefault="00EC77E0" w:rsidP="002C5758">
      <w:pPr>
        <w:spacing w:line="480" w:lineRule="auto"/>
        <w:rPr>
          <w:b/>
          <w:i/>
        </w:rPr>
      </w:pPr>
      <w:r w:rsidRPr="00207642">
        <w:rPr>
          <w:b/>
          <w:i/>
        </w:rPr>
        <w:t>Measures</w:t>
      </w:r>
    </w:p>
    <w:p w14:paraId="1806B91A" w14:textId="07F153F9" w:rsidR="0092784A" w:rsidRPr="00207642" w:rsidRDefault="00EC77E0" w:rsidP="002C5758">
      <w:pPr>
        <w:spacing w:line="480" w:lineRule="auto"/>
        <w:rPr>
          <w:i/>
        </w:rPr>
      </w:pPr>
      <w:r w:rsidRPr="00207642">
        <w:rPr>
          <w:i/>
        </w:rPr>
        <w:t>Exposure</w:t>
      </w:r>
      <w:r w:rsidR="008242FA" w:rsidRPr="00207642">
        <w:rPr>
          <w:i/>
        </w:rPr>
        <w:t xml:space="preserve"> (maternal </w:t>
      </w:r>
      <w:r w:rsidR="007151C7" w:rsidRPr="00207642">
        <w:rPr>
          <w:i/>
        </w:rPr>
        <w:t>education</w:t>
      </w:r>
      <w:r w:rsidR="008242FA" w:rsidRPr="00207642">
        <w:rPr>
          <w:i/>
        </w:rPr>
        <w:t>)</w:t>
      </w:r>
      <w:r w:rsidR="00D4125F" w:rsidRPr="00207642">
        <w:rPr>
          <w:i/>
        </w:rPr>
        <w:t xml:space="preserve"> – pre pregnancy</w:t>
      </w:r>
    </w:p>
    <w:p w14:paraId="54F7E586" w14:textId="0026DDAB" w:rsidR="008857E7" w:rsidRPr="00207642" w:rsidRDefault="00FB4AD1" w:rsidP="002C5758">
      <w:pPr>
        <w:spacing w:line="480" w:lineRule="auto"/>
      </w:pPr>
      <w:r w:rsidRPr="00207642">
        <w:t xml:space="preserve">Given the relationship between socioeconomic disadvantage and childhood obesity, </w:t>
      </w:r>
      <w:r w:rsidR="00B06E38" w:rsidRPr="00207642">
        <w:t xml:space="preserve">highest </w:t>
      </w:r>
      <w:r w:rsidRPr="00207642">
        <w:t xml:space="preserve">maternal education </w:t>
      </w:r>
      <w:r w:rsidR="000A430F" w:rsidRPr="00207642">
        <w:t xml:space="preserve">(recorded pre-pregnancy) </w:t>
      </w:r>
      <w:r w:rsidRPr="00207642">
        <w:t>was conceptualised as an upstream marker of inequalities</w:t>
      </w:r>
      <w:r w:rsidR="000A430F" w:rsidRPr="00207642">
        <w:t xml:space="preserve"> and</w:t>
      </w:r>
      <w:r w:rsidR="004F2F39" w:rsidRPr="00207642">
        <w:t xml:space="preserve"> used as a </w:t>
      </w:r>
      <w:r w:rsidR="00BE2AAF" w:rsidRPr="00207642">
        <w:t xml:space="preserve">household </w:t>
      </w:r>
      <w:r w:rsidR="004F2F39" w:rsidRPr="00207642">
        <w:t xml:space="preserve">measure of </w:t>
      </w:r>
      <w:r w:rsidR="00AA4922" w:rsidRPr="00207642">
        <w:t>socioeconomic position</w:t>
      </w:r>
      <w:r w:rsidR="006C35B2" w:rsidRPr="00207642">
        <w:t xml:space="preserve">. </w:t>
      </w:r>
      <w:r w:rsidR="00023582" w:rsidRPr="00207642">
        <w:t>Due to small numbers, t</w:t>
      </w:r>
      <w:r w:rsidR="002177EC" w:rsidRPr="00207642">
        <w:t>he original s</w:t>
      </w:r>
      <w:r w:rsidR="008857E7" w:rsidRPr="00207642">
        <w:t xml:space="preserve">ix </w:t>
      </w:r>
      <w:r w:rsidR="00DE0901" w:rsidRPr="00207642">
        <w:t>categories</w:t>
      </w:r>
      <w:r w:rsidR="00AA5454" w:rsidRPr="00207642">
        <w:t xml:space="preserve"> were</w:t>
      </w:r>
      <w:r w:rsidR="006F1564" w:rsidRPr="00207642">
        <w:t xml:space="preserve"> </w:t>
      </w:r>
      <w:r w:rsidR="00E872D7" w:rsidRPr="00207642">
        <w:t>collapsed into three groups for analyses</w:t>
      </w:r>
      <w:r w:rsidR="00DE0901" w:rsidRPr="00207642">
        <w:t>: high</w:t>
      </w:r>
      <w:r w:rsidR="00AD004C" w:rsidRPr="00207642">
        <w:t xml:space="preserve"> level of</w:t>
      </w:r>
      <w:r w:rsidR="007151C7" w:rsidRPr="00207642">
        <w:t xml:space="preserve"> educat</w:t>
      </w:r>
      <w:r w:rsidR="00AD004C" w:rsidRPr="00207642">
        <w:t>ion</w:t>
      </w:r>
      <w:r w:rsidR="007151C7" w:rsidRPr="00207642">
        <w:t xml:space="preserve"> </w:t>
      </w:r>
      <w:r w:rsidR="00DE0901" w:rsidRPr="00207642">
        <w:t>(</w:t>
      </w:r>
      <w:r w:rsidR="000C693E" w:rsidRPr="00207642">
        <w:t>‘D</w:t>
      </w:r>
      <w:r w:rsidR="007151C7" w:rsidRPr="00207642">
        <w:t>egree</w:t>
      </w:r>
      <w:r w:rsidR="000C693E" w:rsidRPr="00207642">
        <w:t>’</w:t>
      </w:r>
      <w:r w:rsidR="00DE0901" w:rsidRPr="00207642">
        <w:t xml:space="preserve">), middle </w:t>
      </w:r>
      <w:r w:rsidR="007151C7" w:rsidRPr="00207642">
        <w:t>level of education</w:t>
      </w:r>
      <w:r w:rsidR="00DE0901" w:rsidRPr="00207642">
        <w:t xml:space="preserve"> (</w:t>
      </w:r>
      <w:r w:rsidR="000C693E" w:rsidRPr="00207642">
        <w:t>‘</w:t>
      </w:r>
      <w:r w:rsidR="00AD004C" w:rsidRPr="00207642">
        <w:t>O level</w:t>
      </w:r>
      <w:r w:rsidR="000C693E" w:rsidRPr="00207642">
        <w:t>’</w:t>
      </w:r>
      <w:r w:rsidR="00AD004C" w:rsidRPr="00207642">
        <w:t xml:space="preserve">, </w:t>
      </w:r>
      <w:r w:rsidR="000C693E" w:rsidRPr="00207642">
        <w:t>‘</w:t>
      </w:r>
      <w:r w:rsidR="00AD004C" w:rsidRPr="00207642">
        <w:t>A level</w:t>
      </w:r>
      <w:r w:rsidR="000C693E" w:rsidRPr="00207642">
        <w:t>’</w:t>
      </w:r>
      <w:r w:rsidR="00AD004C" w:rsidRPr="00207642">
        <w:t xml:space="preserve"> or </w:t>
      </w:r>
      <w:r w:rsidR="000C693E" w:rsidRPr="00207642">
        <w:t>‘</w:t>
      </w:r>
      <w:r w:rsidR="00AD004C" w:rsidRPr="00207642">
        <w:t>Higher National Diploma</w:t>
      </w:r>
      <w:r w:rsidR="000C693E" w:rsidRPr="00207642">
        <w:t>’</w:t>
      </w:r>
      <w:r w:rsidR="00DE0901" w:rsidRPr="00207642">
        <w:t xml:space="preserve">), and low </w:t>
      </w:r>
      <w:r w:rsidR="00AD004C" w:rsidRPr="00207642">
        <w:t xml:space="preserve">level of education </w:t>
      </w:r>
      <w:r w:rsidR="00DE0901" w:rsidRPr="00207642">
        <w:t>(</w:t>
      </w:r>
      <w:r w:rsidR="000C693E" w:rsidRPr="00207642">
        <w:t>‘</w:t>
      </w:r>
      <w:r w:rsidR="00AD004C" w:rsidRPr="00207642">
        <w:t>None</w:t>
      </w:r>
      <w:r w:rsidR="000C693E" w:rsidRPr="00207642">
        <w:t>’</w:t>
      </w:r>
      <w:r w:rsidR="00AD004C" w:rsidRPr="00207642">
        <w:t xml:space="preserve"> or </w:t>
      </w:r>
      <w:r w:rsidR="000C693E" w:rsidRPr="00207642">
        <w:t>‘</w:t>
      </w:r>
      <w:r w:rsidR="00AD004C" w:rsidRPr="00207642">
        <w:t>CSE</w:t>
      </w:r>
      <w:r w:rsidR="000C693E" w:rsidRPr="00207642">
        <w:t>’</w:t>
      </w:r>
      <w:r w:rsidR="00DE0901" w:rsidRPr="00207642">
        <w:t>).</w:t>
      </w:r>
    </w:p>
    <w:p w14:paraId="452D1FAB" w14:textId="3721FE37" w:rsidR="0092784A" w:rsidRPr="00207642" w:rsidRDefault="0092784A" w:rsidP="002C5758">
      <w:pPr>
        <w:spacing w:line="480" w:lineRule="auto"/>
        <w:rPr>
          <w:i/>
        </w:rPr>
      </w:pPr>
      <w:r w:rsidRPr="00207642">
        <w:rPr>
          <w:i/>
        </w:rPr>
        <w:t xml:space="preserve">Outcome </w:t>
      </w:r>
      <w:r w:rsidR="008242FA" w:rsidRPr="00207642">
        <w:rPr>
          <w:i/>
        </w:rPr>
        <w:t>(obesity)</w:t>
      </w:r>
      <w:r w:rsidR="00D4125F" w:rsidRPr="00207642">
        <w:rPr>
          <w:i/>
        </w:rPr>
        <w:t xml:space="preserve"> at 6</w:t>
      </w:r>
      <w:r w:rsidR="00B75C08" w:rsidRPr="00207642">
        <w:rPr>
          <w:i/>
        </w:rPr>
        <w:t>-7</w:t>
      </w:r>
      <w:r w:rsidR="00325095" w:rsidRPr="00207642">
        <w:rPr>
          <w:i/>
        </w:rPr>
        <w:t xml:space="preserve"> </w:t>
      </w:r>
      <w:r w:rsidR="00D4125F" w:rsidRPr="00207642">
        <w:rPr>
          <w:i/>
        </w:rPr>
        <w:t>y</w:t>
      </w:r>
      <w:r w:rsidR="00325095" w:rsidRPr="00207642">
        <w:rPr>
          <w:i/>
        </w:rPr>
        <w:t>ears</w:t>
      </w:r>
    </w:p>
    <w:p w14:paraId="3DF30F8C" w14:textId="52DFC6F8" w:rsidR="00FD6E6A" w:rsidRPr="00207642" w:rsidRDefault="00C210A5" w:rsidP="002C5758">
      <w:pPr>
        <w:spacing w:line="480" w:lineRule="auto"/>
      </w:pPr>
      <w:r w:rsidRPr="00207642">
        <w:t>W</w:t>
      </w:r>
      <w:r w:rsidR="007151C7" w:rsidRPr="00207642">
        <w:t xml:space="preserve">eight </w:t>
      </w:r>
      <w:r w:rsidR="00525964" w:rsidRPr="00207642">
        <w:t xml:space="preserve">and </w:t>
      </w:r>
      <w:r w:rsidR="007151C7" w:rsidRPr="00207642">
        <w:t xml:space="preserve">height </w:t>
      </w:r>
      <w:r w:rsidRPr="00207642">
        <w:t>were objectively measured by research nurses</w:t>
      </w:r>
      <w:r w:rsidR="00D4125F" w:rsidRPr="00207642">
        <w:t xml:space="preserve"> and used to calculate BMI </w:t>
      </w:r>
      <w:r w:rsidR="00C40639" w:rsidRPr="00207642">
        <w:t>z</w:t>
      </w:r>
      <w:r w:rsidR="00FD6E6A" w:rsidRPr="00207642">
        <w:t>-scores using the UK90 reference data</w:t>
      </w:r>
      <w:r w:rsidR="00154EE8" w:rsidRPr="00207642">
        <w:t>.</w:t>
      </w:r>
      <w:r w:rsidR="006367A1" w:rsidRPr="00207642">
        <w:t>[</w:t>
      </w:r>
      <w:bookmarkStart w:id="17" w:name="_Ref40180876"/>
      <w:r w:rsidR="00C03253" w:rsidRPr="00207642">
        <w:rPr>
          <w:rStyle w:val="EndnoteReference"/>
          <w:vertAlign w:val="baseline"/>
        </w:rPr>
        <w:endnoteReference w:id="12"/>
      </w:r>
      <w:bookmarkEnd w:id="17"/>
      <w:r w:rsidR="006367A1" w:rsidRPr="00207642">
        <w:t>]</w:t>
      </w:r>
      <w:r w:rsidR="00D4125F" w:rsidRPr="00207642">
        <w:t xml:space="preserve"> C</w:t>
      </w:r>
      <w:r w:rsidR="00FD6E6A" w:rsidRPr="00207642">
        <w:t xml:space="preserve">ut offs for </w:t>
      </w:r>
      <w:r w:rsidR="00CF460A" w:rsidRPr="00207642">
        <w:t>epidemiological application[</w:t>
      </w:r>
      <w:bookmarkStart w:id="18" w:name="_Ref40180889"/>
      <w:r w:rsidR="00CF460A" w:rsidRPr="00207642">
        <w:rPr>
          <w:rStyle w:val="EndnoteReference"/>
          <w:vertAlign w:val="baseline"/>
        </w:rPr>
        <w:endnoteReference w:id="13"/>
      </w:r>
      <w:bookmarkEnd w:id="18"/>
      <w:r w:rsidR="00CF460A" w:rsidRPr="00207642">
        <w:t xml:space="preserve">] were applied for </w:t>
      </w:r>
      <w:r w:rsidR="00FD6E6A" w:rsidRPr="00207642">
        <w:t>overweight (&gt;85th percentile) and obesity (&gt;95th percentile).</w:t>
      </w:r>
    </w:p>
    <w:p w14:paraId="704F5114" w14:textId="0AB8A57F" w:rsidR="00046B3C" w:rsidRPr="00207642" w:rsidRDefault="0092784A" w:rsidP="002C5758">
      <w:pPr>
        <w:spacing w:line="480" w:lineRule="auto"/>
        <w:rPr>
          <w:i/>
        </w:rPr>
      </w:pPr>
      <w:r w:rsidRPr="00207642">
        <w:rPr>
          <w:i/>
        </w:rPr>
        <w:t>M</w:t>
      </w:r>
      <w:r w:rsidR="00EC77E0" w:rsidRPr="00207642">
        <w:rPr>
          <w:i/>
        </w:rPr>
        <w:t>ediator</w:t>
      </w:r>
      <w:r w:rsidR="00432990" w:rsidRPr="00207642">
        <w:rPr>
          <w:i/>
        </w:rPr>
        <w:t xml:space="preserve"> </w:t>
      </w:r>
      <w:r w:rsidR="008242FA" w:rsidRPr="00207642">
        <w:rPr>
          <w:i/>
        </w:rPr>
        <w:t>(total daily calorie consumption)</w:t>
      </w:r>
      <w:r w:rsidR="00D4125F" w:rsidRPr="00207642">
        <w:rPr>
          <w:i/>
        </w:rPr>
        <w:t xml:space="preserve"> at 3</w:t>
      </w:r>
      <w:r w:rsidR="00C6132B" w:rsidRPr="00207642">
        <w:rPr>
          <w:i/>
        </w:rPr>
        <w:t xml:space="preserve"> </w:t>
      </w:r>
      <w:r w:rsidR="00D4125F" w:rsidRPr="00207642">
        <w:rPr>
          <w:i/>
        </w:rPr>
        <w:t>y</w:t>
      </w:r>
      <w:r w:rsidR="00325095" w:rsidRPr="00207642">
        <w:rPr>
          <w:i/>
        </w:rPr>
        <w:t>ears</w:t>
      </w:r>
    </w:p>
    <w:p w14:paraId="50869210" w14:textId="32013202" w:rsidR="00C971CB" w:rsidRPr="00207642" w:rsidRDefault="000A430F" w:rsidP="002C5758">
      <w:pPr>
        <w:spacing w:line="480" w:lineRule="auto"/>
      </w:pPr>
      <w:r w:rsidRPr="00207642">
        <w:t>Calorie-intake was considered a downstream mediator of the relationship between disadvantage and obesity.</w:t>
      </w:r>
      <w:r w:rsidR="00725C52" w:rsidRPr="00207642">
        <w:t xml:space="preserve"> In SWS, d</w:t>
      </w:r>
      <w:r w:rsidR="00C245CB" w:rsidRPr="00207642">
        <w:t xml:space="preserve">ietary data were collected at all data collection waves using food frequency questionnaires, supplemented at age 3 years with 2-day prospective food diaries. </w:t>
      </w:r>
      <w:r w:rsidR="00BE46D8" w:rsidRPr="00207642">
        <w:t xml:space="preserve">For these analyses, food diaries were used to calculate </w:t>
      </w:r>
      <w:r w:rsidR="00533D01" w:rsidRPr="00207642">
        <w:t xml:space="preserve">daily calorie intake </w:t>
      </w:r>
      <w:r w:rsidR="00C245CB" w:rsidRPr="00207642">
        <w:t>as they were judged to represent dietary intake more accurately than food frequency questionnaires</w:t>
      </w:r>
      <w:r w:rsidR="008B2506" w:rsidRPr="00207642">
        <w:t xml:space="preserve"> (diaries</w:t>
      </w:r>
      <w:r w:rsidR="00C245CB" w:rsidRPr="00207642">
        <w:t xml:space="preserve"> require less recall and record</w:t>
      </w:r>
      <w:r w:rsidR="00780D40" w:rsidRPr="00207642">
        <w:t>ed</w:t>
      </w:r>
      <w:r w:rsidR="00C245CB" w:rsidRPr="00207642">
        <w:t xml:space="preserve"> actual intake for specific days</w:t>
      </w:r>
      <w:r w:rsidR="008B2506" w:rsidRPr="00207642">
        <w:t>)</w:t>
      </w:r>
      <w:r w:rsidR="00C245CB" w:rsidRPr="00207642">
        <w:t>.[</w:t>
      </w:r>
      <w:r w:rsidR="00C245CB" w:rsidRPr="00207642">
        <w:rPr>
          <w:rStyle w:val="EndnoteReference"/>
          <w:vertAlign w:val="baseline"/>
        </w:rPr>
        <w:endnoteReference w:id="14"/>
      </w:r>
      <w:r w:rsidR="00C245CB" w:rsidRPr="00207642">
        <w:t xml:space="preserve">] </w:t>
      </w:r>
      <w:r w:rsidR="002177EC" w:rsidRPr="00207642">
        <w:t xml:space="preserve">Following an interview, mothers </w:t>
      </w:r>
      <w:r w:rsidR="00C971CB" w:rsidRPr="00207642">
        <w:t xml:space="preserve">were invited </w:t>
      </w:r>
      <w:r w:rsidR="002177EC" w:rsidRPr="00207642">
        <w:t xml:space="preserve">by a research nurse </w:t>
      </w:r>
      <w:r w:rsidR="00C971CB" w:rsidRPr="00207642">
        <w:t>to complete diar</w:t>
      </w:r>
      <w:r w:rsidR="001F41C3" w:rsidRPr="00207642">
        <w:t>ies</w:t>
      </w:r>
      <w:r w:rsidR="00C971CB" w:rsidRPr="00207642">
        <w:t xml:space="preserve"> on behalf of the child</w:t>
      </w:r>
      <w:r w:rsidR="002177EC" w:rsidRPr="00207642">
        <w:t xml:space="preserve">, </w:t>
      </w:r>
      <w:r w:rsidR="00C971CB" w:rsidRPr="00207642">
        <w:t>record</w:t>
      </w:r>
      <w:r w:rsidR="002177EC" w:rsidRPr="00207642">
        <w:t>ing</w:t>
      </w:r>
      <w:r w:rsidR="00AA5454" w:rsidRPr="00207642">
        <w:t xml:space="preserve"> in their own words</w:t>
      </w:r>
      <w:r w:rsidR="00C971CB" w:rsidRPr="00207642">
        <w:t xml:space="preserve"> all food and drink consumed by the child from midnight the day following the interview until midnight two days later.</w:t>
      </w:r>
      <w:r w:rsidR="00EA41D8" w:rsidRPr="00207642">
        <w:t>[</w:t>
      </w:r>
      <w:bookmarkStart w:id="19" w:name="_Ref54942850"/>
      <w:r w:rsidR="00EA41D8" w:rsidRPr="00207642">
        <w:rPr>
          <w:rStyle w:val="EndnoteReference"/>
          <w:vertAlign w:val="baseline"/>
        </w:rPr>
        <w:endnoteReference w:id="15"/>
      </w:r>
      <w:bookmarkEnd w:id="19"/>
      <w:r w:rsidR="00EA41D8" w:rsidRPr="00207642">
        <w:t>]</w:t>
      </w:r>
      <w:r w:rsidR="00C971CB" w:rsidRPr="00207642">
        <w:t xml:space="preserve">  Food and drink items were described by number, measure (e.g. tablespoon), size and weight; cooking methods and dietary supplements were also recorded.</w:t>
      </w:r>
      <w:r w:rsidR="00EA41D8" w:rsidRPr="00207642">
        <w:t>[</w:t>
      </w:r>
      <w:r w:rsidR="00790922" w:rsidRPr="00207642">
        <w:fldChar w:fldCharType="begin"/>
      </w:r>
      <w:r w:rsidR="00790922" w:rsidRPr="00207642">
        <w:instrText xml:space="preserve"> NOTEREF _Ref54942850 \h </w:instrText>
      </w:r>
      <w:r w:rsidR="00790922" w:rsidRPr="00207642">
        <w:fldChar w:fldCharType="separate"/>
      </w:r>
      <w:r w:rsidR="00C17003" w:rsidRPr="00207642">
        <w:t>15</w:t>
      </w:r>
      <w:r w:rsidR="00790922" w:rsidRPr="00207642">
        <w:fldChar w:fldCharType="end"/>
      </w:r>
      <w:r w:rsidR="00EA41D8" w:rsidRPr="00207642">
        <w:t>]</w:t>
      </w:r>
      <w:r w:rsidR="00C971CB" w:rsidRPr="00207642">
        <w:t xml:space="preserve"> Completed diaries were returned by post and were checked for completeness by a member of the research team. Mothers/caregivers were contacted for clarification if there were missing or illegible data. Nutrient intakes from diet diaries were calculated by multiplying portion weights and nutrient contents of each food; food composition was based on McCance and Widdowson 5th Edition</w:t>
      </w:r>
      <w:r w:rsidR="00EA41D8" w:rsidRPr="00207642">
        <w:t>[</w:t>
      </w:r>
      <w:r w:rsidR="00EA41D8" w:rsidRPr="00207642">
        <w:rPr>
          <w:rStyle w:val="EndnoteReference"/>
          <w:vertAlign w:val="baseline"/>
        </w:rPr>
        <w:endnoteReference w:id="16"/>
      </w:r>
      <w:r w:rsidR="00EA41D8" w:rsidRPr="00207642">
        <w:t>]</w:t>
      </w:r>
      <w:r w:rsidR="00C971CB" w:rsidRPr="00207642">
        <w:t xml:space="preserve"> and supplementary volumes. Where required, food recipes and composition of dietary supplements were provided by manufacturers. </w:t>
      </w:r>
    </w:p>
    <w:p w14:paraId="0E7A2C4D" w14:textId="65C91749" w:rsidR="00F45A19" w:rsidRPr="00207642" w:rsidRDefault="00F45A19" w:rsidP="002C5758">
      <w:pPr>
        <w:spacing w:line="480" w:lineRule="auto"/>
        <w:rPr>
          <w:i/>
          <w:iCs/>
        </w:rPr>
      </w:pPr>
      <w:r w:rsidRPr="00207642">
        <w:rPr>
          <w:i/>
          <w:iCs/>
        </w:rPr>
        <w:t>Estimated average requirements</w:t>
      </w:r>
      <w:r w:rsidR="005806EF" w:rsidRPr="00207642">
        <w:rPr>
          <w:i/>
          <w:iCs/>
        </w:rPr>
        <w:t xml:space="preserve"> </w:t>
      </w:r>
    </w:p>
    <w:p w14:paraId="73D72B93" w14:textId="52AFFBA5" w:rsidR="00E01920" w:rsidRPr="00207642" w:rsidRDefault="00B33786" w:rsidP="002C5758">
      <w:pPr>
        <w:spacing w:line="480" w:lineRule="auto"/>
      </w:pPr>
      <w:r w:rsidRPr="00207642">
        <w:t xml:space="preserve">To inform </w:t>
      </w:r>
      <w:r w:rsidR="000755F3" w:rsidRPr="00207642">
        <w:t>interventions, estimated average requirements (EAR)</w:t>
      </w:r>
      <w:r w:rsidR="008670E1" w:rsidRPr="00207642">
        <w:t xml:space="preserve"> were used to indicate f</w:t>
      </w:r>
      <w:r w:rsidR="008329C7" w:rsidRPr="00207642">
        <w:t>ood energy needs for children aged 3 years</w:t>
      </w:r>
      <w:bookmarkStart w:id="20" w:name="_Ref36050158"/>
      <w:r w:rsidR="008670E1" w:rsidRPr="00207642">
        <w:t>.</w:t>
      </w:r>
      <w:r w:rsidR="006367A1" w:rsidRPr="00207642">
        <w:t>[</w:t>
      </w:r>
      <w:bookmarkStart w:id="21" w:name="_Ref40178489"/>
      <w:r w:rsidR="00E01920" w:rsidRPr="00207642">
        <w:rPr>
          <w:rStyle w:val="EndnoteReference"/>
          <w:vertAlign w:val="baseline"/>
        </w:rPr>
        <w:endnoteReference w:id="17"/>
      </w:r>
      <w:bookmarkEnd w:id="20"/>
      <w:bookmarkEnd w:id="21"/>
      <w:r w:rsidR="006367A1" w:rsidRPr="00207642">
        <w:t>]</w:t>
      </w:r>
      <w:r w:rsidR="008670E1" w:rsidRPr="00207642">
        <w:t xml:space="preserve"> EARs </w:t>
      </w:r>
      <w:r w:rsidR="008329C7" w:rsidRPr="00207642">
        <w:t xml:space="preserve">are </w:t>
      </w:r>
      <w:r w:rsidR="00E01920" w:rsidRPr="00207642">
        <w:t xml:space="preserve">derived by multiplying </w:t>
      </w:r>
      <w:r w:rsidR="008329C7" w:rsidRPr="00207642">
        <w:t xml:space="preserve">the </w:t>
      </w:r>
      <w:r w:rsidR="00E01920" w:rsidRPr="00207642">
        <w:t xml:space="preserve">basal metabolic rate (BMR) </w:t>
      </w:r>
      <w:r w:rsidR="008329C7" w:rsidRPr="00207642">
        <w:t>with</w:t>
      </w:r>
      <w:r w:rsidR="00E01920" w:rsidRPr="00207642">
        <w:t xml:space="preserve"> physical activity level (PAL),</w:t>
      </w:r>
      <w:r w:rsidR="008329C7" w:rsidRPr="00207642">
        <w:t xml:space="preserve"> after adjusting </w:t>
      </w:r>
      <w:r w:rsidR="00E01920" w:rsidRPr="00207642">
        <w:t>for growth and development.</w:t>
      </w:r>
      <w:r w:rsidR="00F65333" w:rsidRPr="00207642">
        <w:t>[</w:t>
      </w:r>
      <w:r w:rsidR="00B01972" w:rsidRPr="00207642">
        <w:fldChar w:fldCharType="begin"/>
      </w:r>
      <w:r w:rsidR="00B01972" w:rsidRPr="00207642">
        <w:instrText xml:space="preserve"> NOTEREF _Ref40178489 \h </w:instrText>
      </w:r>
      <w:r w:rsidR="00B01972" w:rsidRPr="00207642">
        <w:fldChar w:fldCharType="separate"/>
      </w:r>
      <w:r w:rsidR="00C17003" w:rsidRPr="00207642">
        <w:t>17</w:t>
      </w:r>
      <w:r w:rsidR="00B01972" w:rsidRPr="00207642">
        <w:fldChar w:fldCharType="end"/>
      </w:r>
      <w:r w:rsidR="00F65333" w:rsidRPr="00207642">
        <w:t>]</w:t>
      </w:r>
      <w:r w:rsidR="00E01920" w:rsidRPr="00207642">
        <w:rPr>
          <w:vertAlign w:val="superscript"/>
        </w:rPr>
        <w:t xml:space="preserve">  </w:t>
      </w:r>
      <w:r w:rsidR="00443F1D" w:rsidRPr="00207642">
        <w:t>The EAR for children aged 3</w:t>
      </w:r>
      <w:r w:rsidR="00C76886" w:rsidRPr="00207642">
        <w:t xml:space="preserve"> years</w:t>
      </w:r>
      <w:r w:rsidR="00443F1D" w:rsidRPr="00207642">
        <w:t xml:space="preserve"> is estimated to be 1171</w:t>
      </w:r>
      <w:r w:rsidR="003E6B94" w:rsidRPr="00207642">
        <w:t>.0</w:t>
      </w:r>
      <w:r w:rsidR="000E24F8" w:rsidRPr="00207642">
        <w:t xml:space="preserve"> kcals</w:t>
      </w:r>
      <w:r w:rsidR="00443F1D" w:rsidRPr="00207642">
        <w:t xml:space="preserve"> for boys and 1076</w:t>
      </w:r>
      <w:r w:rsidR="003E6B94" w:rsidRPr="00207642">
        <w:t>.0</w:t>
      </w:r>
      <w:r w:rsidR="000E24F8" w:rsidRPr="00207642">
        <w:t xml:space="preserve"> kcals</w:t>
      </w:r>
      <w:r w:rsidR="00443F1D" w:rsidRPr="00207642">
        <w:t xml:space="preserve"> for girls. Median intake in calories in this sample at age 3</w:t>
      </w:r>
      <w:r w:rsidR="00C76886" w:rsidRPr="00207642">
        <w:t xml:space="preserve"> years</w:t>
      </w:r>
      <w:r w:rsidR="00443F1D" w:rsidRPr="00207642">
        <w:t xml:space="preserve"> (taken from food diaries) was estimated to be 1311.5 for boys and 1273.5 for girls. </w:t>
      </w:r>
      <w:r w:rsidR="00E01920" w:rsidRPr="00207642">
        <w:t>A</w:t>
      </w:r>
      <w:r w:rsidR="008329C7" w:rsidRPr="00207642">
        <w:t xml:space="preserve"> quantitative</w:t>
      </w:r>
      <w:r w:rsidR="00E01920" w:rsidRPr="00207642">
        <w:t xml:space="preserve"> </w:t>
      </w:r>
      <w:r w:rsidR="008329C7" w:rsidRPr="00207642">
        <w:t xml:space="preserve">estimate </w:t>
      </w:r>
      <w:r w:rsidR="00E01920" w:rsidRPr="00207642">
        <w:t xml:space="preserve">of effective and healthy long-term weight loss was </w:t>
      </w:r>
      <w:r w:rsidR="008329C7" w:rsidRPr="00207642">
        <w:t xml:space="preserve">adapted from </w:t>
      </w:r>
      <w:r w:rsidR="00E01920" w:rsidRPr="00207642">
        <w:t>recommendations for adults.</w:t>
      </w:r>
      <w:r w:rsidR="00F65333" w:rsidRPr="00207642">
        <w:t>[</w:t>
      </w:r>
      <w:bookmarkStart w:id="22" w:name="_Ref40179335"/>
      <w:r w:rsidR="00F65333" w:rsidRPr="00207642">
        <w:rPr>
          <w:rStyle w:val="EndnoteReference"/>
          <w:vertAlign w:val="baseline"/>
        </w:rPr>
        <w:endnoteReference w:id="18"/>
      </w:r>
      <w:bookmarkEnd w:id="22"/>
      <w:r w:rsidR="00F65333" w:rsidRPr="00207642">
        <w:t>]</w:t>
      </w:r>
      <w:r w:rsidR="00E01920" w:rsidRPr="00207642">
        <w:t xml:space="preserve">  </w:t>
      </w:r>
    </w:p>
    <w:p w14:paraId="33BE0F41" w14:textId="42590F0E" w:rsidR="00FF64B5" w:rsidRPr="00207642" w:rsidRDefault="003C24B3" w:rsidP="002C5758">
      <w:pPr>
        <w:spacing w:line="480" w:lineRule="auto"/>
        <w:rPr>
          <w:i/>
        </w:rPr>
      </w:pPr>
      <w:r w:rsidRPr="00207642">
        <w:rPr>
          <w:b/>
          <w:i/>
        </w:rPr>
        <w:t>C</w:t>
      </w:r>
      <w:r w:rsidR="00EC77E0" w:rsidRPr="00207642">
        <w:rPr>
          <w:b/>
          <w:i/>
        </w:rPr>
        <w:t>onfounding</w:t>
      </w:r>
      <w:r w:rsidR="00E2166E" w:rsidRPr="00207642">
        <w:rPr>
          <w:i/>
        </w:rPr>
        <w:t xml:space="preserve"> </w:t>
      </w:r>
    </w:p>
    <w:p w14:paraId="2D243DC3" w14:textId="5D664651" w:rsidR="00857DE3" w:rsidRPr="00207642" w:rsidRDefault="009970F3" w:rsidP="00C322CE">
      <w:pPr>
        <w:spacing w:line="480" w:lineRule="auto"/>
      </w:pPr>
      <w:r w:rsidRPr="00207642">
        <w:t>Confounding</w:t>
      </w:r>
      <w:r w:rsidR="00E5078E" w:rsidRPr="00207642">
        <w:t xml:space="preserve"> factors were</w:t>
      </w:r>
      <w:r w:rsidRPr="00207642">
        <w:t xml:space="preserve"> identified </w:t>
      </w:r>
      <w:r w:rsidR="00465FA6" w:rsidRPr="00207642">
        <w:t>using a directed acyclic graph</w:t>
      </w:r>
      <w:r w:rsidR="00E5078E" w:rsidRPr="00207642">
        <w:t xml:space="preserve"> </w:t>
      </w:r>
      <w:r w:rsidR="00465FA6" w:rsidRPr="00207642">
        <w:t>(</w:t>
      </w:r>
      <w:r w:rsidR="008329C7" w:rsidRPr="00207642">
        <w:t>Figure 1</w:t>
      </w:r>
      <w:r w:rsidR="00936658" w:rsidRPr="00207642">
        <w:t xml:space="preserve">), which </w:t>
      </w:r>
      <w:r w:rsidR="005B1D1D" w:rsidRPr="00207642">
        <w:t>demonstrates</w:t>
      </w:r>
      <w:r w:rsidR="008329C7" w:rsidRPr="00207642">
        <w:t xml:space="preserve"> the</w:t>
      </w:r>
      <w:r w:rsidR="00936658" w:rsidRPr="00207642">
        <w:t xml:space="preserve"> associations between</w:t>
      </w:r>
      <w:r w:rsidR="005B1D1D" w:rsidRPr="00207642">
        <w:t xml:space="preserve"> </w:t>
      </w:r>
      <w:r w:rsidR="008329C7" w:rsidRPr="00207642">
        <w:t>disadvantage</w:t>
      </w:r>
      <w:r w:rsidR="00D4125F" w:rsidRPr="00207642">
        <w:t xml:space="preserve"> (exp</w:t>
      </w:r>
      <w:r w:rsidR="00325095" w:rsidRPr="00207642">
        <w:t>osure</w:t>
      </w:r>
      <w:r w:rsidR="00D4125F" w:rsidRPr="00207642">
        <w:t>)</w:t>
      </w:r>
      <w:r w:rsidR="008329C7" w:rsidRPr="00207642">
        <w:t xml:space="preserve"> to</w:t>
      </w:r>
      <w:r w:rsidR="00857DE3" w:rsidRPr="00207642">
        <w:t xml:space="preserve"> </w:t>
      </w:r>
      <w:r w:rsidR="008329C7" w:rsidRPr="00207642">
        <w:t>childhood obesity</w:t>
      </w:r>
      <w:r w:rsidR="00D4125F" w:rsidRPr="00207642">
        <w:t xml:space="preserve"> (outcome) </w:t>
      </w:r>
      <w:r w:rsidR="008329C7" w:rsidRPr="00207642">
        <w:t xml:space="preserve">with energy intake </w:t>
      </w:r>
      <w:r w:rsidR="00D4125F" w:rsidRPr="00207642">
        <w:t>(</w:t>
      </w:r>
      <w:r w:rsidR="008329C7" w:rsidRPr="00207642">
        <w:t>mediator</w:t>
      </w:r>
      <w:r w:rsidR="00D4125F" w:rsidRPr="00207642">
        <w:t xml:space="preserve">), accounting for potential </w:t>
      </w:r>
      <w:r w:rsidR="008329C7" w:rsidRPr="00207642">
        <w:t xml:space="preserve">baseline and intermediate </w:t>
      </w:r>
      <w:r w:rsidR="00857DE3" w:rsidRPr="00207642">
        <w:t>confounding.</w:t>
      </w:r>
      <w:r w:rsidR="00E018B4" w:rsidRPr="00207642">
        <w:t xml:space="preserve"> </w:t>
      </w:r>
    </w:p>
    <w:p w14:paraId="53E0292E" w14:textId="4E7EB6DA" w:rsidR="00CC5072" w:rsidRPr="00207642" w:rsidRDefault="00DA777A" w:rsidP="002C5758">
      <w:pPr>
        <w:spacing w:line="480" w:lineRule="auto"/>
        <w:rPr>
          <w:i/>
        </w:rPr>
      </w:pPr>
      <w:r w:rsidRPr="00207642">
        <w:rPr>
          <w:i/>
        </w:rPr>
        <w:t>Baseline confounding</w:t>
      </w:r>
    </w:p>
    <w:p w14:paraId="2D6B9A42" w14:textId="6C544726" w:rsidR="00ED7684" w:rsidRPr="00207642" w:rsidRDefault="00ED7684" w:rsidP="002C5758">
      <w:pPr>
        <w:spacing w:line="480" w:lineRule="auto"/>
      </w:pPr>
      <w:r w:rsidRPr="00207642">
        <w:t xml:space="preserve">Child ethnicity, categorised as ‘white’ and ‘non-white’. </w:t>
      </w:r>
    </w:p>
    <w:p w14:paraId="34BFDC91" w14:textId="0E4C2388" w:rsidR="000F5D98" w:rsidRPr="00207642" w:rsidRDefault="003D0193" w:rsidP="002C5758">
      <w:pPr>
        <w:spacing w:line="480" w:lineRule="auto"/>
        <w:rPr>
          <w:i/>
        </w:rPr>
      </w:pPr>
      <w:r w:rsidRPr="00207642">
        <w:rPr>
          <w:i/>
        </w:rPr>
        <w:t>Intermediate</w:t>
      </w:r>
      <w:r w:rsidR="00DA777A" w:rsidRPr="00207642">
        <w:rPr>
          <w:i/>
        </w:rPr>
        <w:t xml:space="preserve"> confounding </w:t>
      </w:r>
    </w:p>
    <w:p w14:paraId="1D5C09B5" w14:textId="31F9934E" w:rsidR="00305E4F" w:rsidRPr="00207642" w:rsidRDefault="006D0A63" w:rsidP="002C5758">
      <w:pPr>
        <w:spacing w:line="480" w:lineRule="auto"/>
      </w:pPr>
      <w:r w:rsidRPr="00207642">
        <w:t>Standardised b</w:t>
      </w:r>
      <w:r w:rsidR="007F4158" w:rsidRPr="00207642">
        <w:t>irthweight</w:t>
      </w:r>
      <w:r w:rsidR="00D4125F" w:rsidRPr="00207642">
        <w:t xml:space="preserve"> was obtained</w:t>
      </w:r>
      <w:r w:rsidR="007F4158" w:rsidRPr="00207642">
        <w:t xml:space="preserve"> from </w:t>
      </w:r>
      <w:r w:rsidR="00E901E4" w:rsidRPr="00207642">
        <w:t>obstetric data, categorised as low</w:t>
      </w:r>
      <w:r w:rsidR="00BD4DFA" w:rsidRPr="00207642">
        <w:t xml:space="preserve"> (</w:t>
      </w:r>
      <w:r w:rsidRPr="00207642">
        <w:t xml:space="preserve">less than </w:t>
      </w:r>
      <w:r w:rsidR="00BD4DFA" w:rsidRPr="00207642">
        <w:t>1</w:t>
      </w:r>
      <w:r w:rsidR="00E901E4" w:rsidRPr="00207642">
        <w:t>SD below the mean)</w:t>
      </w:r>
      <w:r w:rsidR="0087737C" w:rsidRPr="00207642">
        <w:t>, mid</w:t>
      </w:r>
      <w:r w:rsidR="00BD4DFA" w:rsidRPr="00207642">
        <w:t xml:space="preserve"> </w:t>
      </w:r>
      <w:r w:rsidR="0087737C" w:rsidRPr="00207642">
        <w:t>(</w:t>
      </w:r>
      <w:r w:rsidR="00BD4DFA" w:rsidRPr="00207642">
        <w:t>-1</w:t>
      </w:r>
      <w:r w:rsidR="00C40639" w:rsidRPr="00207642">
        <w:t>SD</w:t>
      </w:r>
      <w:r w:rsidR="00BD4DFA" w:rsidRPr="00207642">
        <w:t xml:space="preserve"> to </w:t>
      </w:r>
      <w:r w:rsidR="00D4125F" w:rsidRPr="00207642">
        <w:t>+</w:t>
      </w:r>
      <w:r w:rsidR="00BD4DFA" w:rsidRPr="00207642">
        <w:t>1</w:t>
      </w:r>
      <w:r w:rsidR="00D4125F" w:rsidRPr="00207642">
        <w:t>SD</w:t>
      </w:r>
      <w:r w:rsidR="0087737C" w:rsidRPr="00207642">
        <w:t>)</w:t>
      </w:r>
      <w:r w:rsidR="00BD4DFA" w:rsidRPr="00207642">
        <w:t xml:space="preserve">, </w:t>
      </w:r>
      <w:r w:rsidR="00E901E4" w:rsidRPr="00207642">
        <w:t>or high</w:t>
      </w:r>
      <w:r w:rsidR="0087737C" w:rsidRPr="00207642">
        <w:t xml:space="preserve"> </w:t>
      </w:r>
      <w:r w:rsidR="00422993" w:rsidRPr="00207642">
        <w:t>(</w:t>
      </w:r>
      <w:r w:rsidR="00D4125F" w:rsidRPr="00207642">
        <w:t>greater</w:t>
      </w:r>
      <w:r w:rsidR="00422993" w:rsidRPr="00207642">
        <w:t xml:space="preserve"> than </w:t>
      </w:r>
      <w:r w:rsidR="00BD4DFA" w:rsidRPr="00207642">
        <w:t>1SD above the</w:t>
      </w:r>
      <w:r w:rsidR="00E901E4" w:rsidRPr="00207642">
        <w:t xml:space="preserve"> </w:t>
      </w:r>
      <w:r w:rsidR="00BD4DFA" w:rsidRPr="00207642">
        <w:t>mean)</w:t>
      </w:r>
      <w:r w:rsidR="00D4125F" w:rsidRPr="00207642">
        <w:t>. All other variables were</w:t>
      </w:r>
      <w:r w:rsidR="008F2346" w:rsidRPr="00207642">
        <w:t xml:space="preserve"> </w:t>
      </w:r>
      <w:r w:rsidR="008532E5" w:rsidRPr="00207642">
        <w:t xml:space="preserve">from </w:t>
      </w:r>
      <w:r w:rsidRPr="00207642">
        <w:t>mother-report</w:t>
      </w:r>
      <w:r w:rsidR="00D4125F" w:rsidRPr="00207642">
        <w:t xml:space="preserve"> at 3 years: </w:t>
      </w:r>
      <w:r w:rsidRPr="00207642">
        <w:t>general</w:t>
      </w:r>
      <w:r w:rsidR="00BD4DFA" w:rsidRPr="00207642">
        <w:t xml:space="preserve"> health </w:t>
      </w:r>
      <w:r w:rsidR="0087737C" w:rsidRPr="00207642">
        <w:t>of the child</w:t>
      </w:r>
      <w:r w:rsidR="00D4125F" w:rsidRPr="00207642">
        <w:t xml:space="preserve"> (</w:t>
      </w:r>
      <w:r w:rsidRPr="00207642">
        <w:t>c</w:t>
      </w:r>
      <w:r w:rsidR="0087737C" w:rsidRPr="00207642">
        <w:t xml:space="preserve">ategorised </w:t>
      </w:r>
      <w:r w:rsidRPr="00207642">
        <w:t xml:space="preserve">good health </w:t>
      </w:r>
      <w:r w:rsidR="00D4125F" w:rsidRPr="00207642">
        <w:t xml:space="preserve">versus </w:t>
      </w:r>
      <w:r w:rsidRPr="00207642">
        <w:t>fair/bad health</w:t>
      </w:r>
      <w:r w:rsidR="00D4125F" w:rsidRPr="00207642">
        <w:t>)</w:t>
      </w:r>
      <w:r w:rsidR="0087737C" w:rsidRPr="00207642">
        <w:t>;</w:t>
      </w:r>
      <w:r w:rsidRPr="00207642">
        <w:t xml:space="preserve"> moderate daily physical activity of the child</w:t>
      </w:r>
      <w:r w:rsidR="00D4125F" w:rsidRPr="00207642">
        <w:t xml:space="preserve"> (categorised as</w:t>
      </w:r>
      <w:r w:rsidRPr="00207642">
        <w:t xml:space="preserve"> low (0-4 hours per day), mid (5-8 hours per day) and high (9-12 hours per day</w:t>
      </w:r>
      <w:r w:rsidR="00E265F8" w:rsidRPr="00207642">
        <w:t>)</w:t>
      </w:r>
      <w:r w:rsidR="0087737C" w:rsidRPr="00207642">
        <w:t xml:space="preserve">; and </w:t>
      </w:r>
      <w:r w:rsidRPr="00207642">
        <w:t>daily</w:t>
      </w:r>
      <w:r w:rsidR="00E2708F" w:rsidRPr="00207642">
        <w:t xml:space="preserve"> TV time </w:t>
      </w:r>
      <w:r w:rsidR="00EC4138" w:rsidRPr="00207642">
        <w:t>of the child</w:t>
      </w:r>
      <w:r w:rsidR="00424184" w:rsidRPr="00207642">
        <w:t>,</w:t>
      </w:r>
      <w:r w:rsidR="00E265F8" w:rsidRPr="00207642">
        <w:t xml:space="preserve"> </w:t>
      </w:r>
      <w:r w:rsidR="00D4125F" w:rsidRPr="00207642">
        <w:t>categorised as</w:t>
      </w:r>
      <w:r w:rsidRPr="00207642">
        <w:t xml:space="preserve"> low (less than 1 hour per day), mid (1.5-2.5 hours per day) and high (more than 3 hours per day). </w:t>
      </w:r>
    </w:p>
    <w:p w14:paraId="27BA15E8" w14:textId="77777777" w:rsidR="005B1D1D" w:rsidRPr="00207642" w:rsidRDefault="005B1D1D" w:rsidP="005B1D1D">
      <w:pPr>
        <w:spacing w:line="480" w:lineRule="auto"/>
      </w:pPr>
      <w:r w:rsidRPr="00207642">
        <w:rPr>
          <w:b/>
        </w:rPr>
        <w:t>Figure 1</w:t>
      </w:r>
      <w:r w:rsidRPr="00207642">
        <w:t>. Directed acyclic graph showing theoretical associations between exposure (maternal education at pre-pregnancy), mediator (estimated energy intake in calories at 3 years) and outcome (BMI z-scores at 6-7 years)</w:t>
      </w:r>
    </w:p>
    <w:p w14:paraId="28E726B2" w14:textId="77777777" w:rsidR="005B1D1D" w:rsidRPr="00207642" w:rsidRDefault="005B1D1D" w:rsidP="005B1D1D">
      <w:pPr>
        <w:spacing w:line="480" w:lineRule="auto"/>
      </w:pPr>
      <w:r w:rsidRPr="00207642">
        <w:t>&lt;&lt;&lt;FIGURE 1 HERE&gt;&gt;&gt;</w:t>
      </w:r>
    </w:p>
    <w:p w14:paraId="3CE80836" w14:textId="2500F160" w:rsidR="006235E8" w:rsidRPr="00207642" w:rsidRDefault="006235E8" w:rsidP="002C5758">
      <w:pPr>
        <w:spacing w:line="480" w:lineRule="auto"/>
        <w:rPr>
          <w:i/>
          <w:iCs/>
        </w:rPr>
      </w:pPr>
      <w:r w:rsidRPr="00207642">
        <w:rPr>
          <w:i/>
          <w:iCs/>
        </w:rPr>
        <w:t>Target</w:t>
      </w:r>
      <w:r w:rsidR="00155F0B" w:rsidRPr="00207642">
        <w:rPr>
          <w:i/>
          <w:iCs/>
        </w:rPr>
        <w:t>ed</w:t>
      </w:r>
      <w:r w:rsidRPr="00207642">
        <w:rPr>
          <w:i/>
          <w:iCs/>
        </w:rPr>
        <w:t xml:space="preserve"> </w:t>
      </w:r>
      <w:r w:rsidR="00155F0B" w:rsidRPr="00207642">
        <w:rPr>
          <w:i/>
          <w:iCs/>
        </w:rPr>
        <w:t xml:space="preserve">and </w:t>
      </w:r>
      <w:r w:rsidRPr="00207642">
        <w:rPr>
          <w:i/>
          <w:iCs/>
        </w:rPr>
        <w:t>indicated var</w:t>
      </w:r>
      <w:r w:rsidR="00155F0B" w:rsidRPr="00207642">
        <w:rPr>
          <w:i/>
          <w:iCs/>
        </w:rPr>
        <w:t>iables</w:t>
      </w:r>
    </w:p>
    <w:p w14:paraId="7726A725" w14:textId="77F1D8FE" w:rsidR="003B72F8" w:rsidRPr="00207642" w:rsidRDefault="005E69BC" w:rsidP="00443F1D">
      <w:pPr>
        <w:spacing w:line="480" w:lineRule="auto"/>
      </w:pPr>
      <w:r w:rsidRPr="00207642">
        <w:t xml:space="preserve">Interventions were either universal (for all children), targeted based on risk of obesity, or indicated based on </w:t>
      </w:r>
      <w:r w:rsidR="001D3433" w:rsidRPr="00207642">
        <w:t>prior obesity</w:t>
      </w:r>
      <w:r w:rsidRPr="00207642">
        <w:t xml:space="preserve">. </w:t>
      </w:r>
      <w:r w:rsidR="007F2E72" w:rsidRPr="00207642">
        <w:t>Variables used in targeted and indicated scenarios were recorded at approximately the same time as daily calorie intake.</w:t>
      </w:r>
    </w:p>
    <w:p w14:paraId="5FE29F22" w14:textId="7A8089BF" w:rsidR="001D3433" w:rsidRPr="00207642" w:rsidRDefault="001D3433" w:rsidP="00443F1D">
      <w:pPr>
        <w:spacing w:line="480" w:lineRule="auto"/>
        <w:rPr>
          <w:i/>
          <w:iCs/>
        </w:rPr>
      </w:pPr>
      <w:r w:rsidRPr="00207642">
        <w:rPr>
          <w:i/>
          <w:iCs/>
        </w:rPr>
        <w:t>Deprivation</w:t>
      </w:r>
    </w:p>
    <w:p w14:paraId="7661EB36" w14:textId="7C7BC7E2" w:rsidR="003B72F8" w:rsidRPr="00207642" w:rsidRDefault="00AA6001" w:rsidP="00443F1D">
      <w:pPr>
        <w:spacing w:line="480" w:lineRule="auto"/>
      </w:pPr>
      <w:r w:rsidRPr="00207642">
        <w:t>I</w:t>
      </w:r>
      <w:r w:rsidR="009B65EB" w:rsidRPr="00207642">
        <w:t xml:space="preserve">ndex </w:t>
      </w:r>
      <w:r w:rsidR="00443F1D" w:rsidRPr="00207642">
        <w:t xml:space="preserve">of Multiple Deprivation (IMD) </w:t>
      </w:r>
      <w:r w:rsidR="00833F46" w:rsidRPr="00207642">
        <w:t xml:space="preserve">recorded in </w:t>
      </w:r>
      <w:r w:rsidR="00443F1D" w:rsidRPr="00207642">
        <w:t>2004</w:t>
      </w:r>
      <w:r w:rsidR="00833F46" w:rsidRPr="00207642">
        <w:t xml:space="preserve"> was used as a targeting variable for an intervention as children from deprived areas were determined to be at heightened risk of obesity</w:t>
      </w:r>
      <w:r w:rsidR="000B4FC7" w:rsidRPr="00207642">
        <w:t>.</w:t>
      </w:r>
      <w:r w:rsidR="00833F46" w:rsidRPr="00207642">
        <w:t>[</w:t>
      </w:r>
      <w:r w:rsidR="00335687" w:rsidRPr="00207642">
        <w:fldChar w:fldCharType="begin"/>
      </w:r>
      <w:r w:rsidR="00335687" w:rsidRPr="00207642">
        <w:instrText xml:space="preserve"> NOTEREF _Ref54943073 \h </w:instrText>
      </w:r>
      <w:r w:rsidR="00335687" w:rsidRPr="00207642">
        <w:fldChar w:fldCharType="separate"/>
      </w:r>
      <w:r w:rsidR="00C17003" w:rsidRPr="00207642">
        <w:t>4</w:t>
      </w:r>
      <w:r w:rsidR="00335687" w:rsidRPr="00207642">
        <w:fldChar w:fldCharType="end"/>
      </w:r>
      <w:r w:rsidR="001946EC" w:rsidRPr="00207642">
        <w:t>,</w:t>
      </w:r>
      <w:r w:rsidR="001946EC" w:rsidRPr="00207642">
        <w:fldChar w:fldCharType="begin"/>
      </w:r>
      <w:r w:rsidR="001946EC" w:rsidRPr="00207642">
        <w:instrText xml:space="preserve"> NOTEREF _Ref54943094 \h </w:instrText>
      </w:r>
      <w:r w:rsidR="001946EC" w:rsidRPr="00207642">
        <w:fldChar w:fldCharType="separate"/>
      </w:r>
      <w:r w:rsidR="00C17003" w:rsidRPr="00207642">
        <w:t>5</w:t>
      </w:r>
      <w:r w:rsidR="001946EC" w:rsidRPr="00207642">
        <w:fldChar w:fldCharType="end"/>
      </w:r>
      <w:r w:rsidR="00833F46" w:rsidRPr="00207642">
        <w:t xml:space="preserve">] </w:t>
      </w:r>
      <w:r w:rsidR="000B4FC7" w:rsidRPr="00207642">
        <w:t>A</w:t>
      </w:r>
      <w:r w:rsidR="00BC1CA0" w:rsidRPr="00207642">
        <w:t xml:space="preserve"> geographical</w:t>
      </w:r>
      <w:r w:rsidR="007F280E" w:rsidRPr="00207642">
        <w:t>ly</w:t>
      </w:r>
      <w:r w:rsidR="00BC1CA0" w:rsidRPr="00207642">
        <w:t xml:space="preserve"> target</w:t>
      </w:r>
      <w:r w:rsidR="007F280E" w:rsidRPr="00207642">
        <w:t>ed</w:t>
      </w:r>
      <w:r w:rsidR="000B4FC7" w:rsidRPr="00207642">
        <w:t xml:space="preserve"> intervention </w:t>
      </w:r>
      <w:r w:rsidR="00AB1AFA" w:rsidRPr="00207642">
        <w:t xml:space="preserve">could </w:t>
      </w:r>
      <w:r w:rsidR="00D85A37" w:rsidRPr="00207642">
        <w:t>indirectly address inequalities</w:t>
      </w:r>
      <w:r w:rsidR="00E16A36" w:rsidRPr="00207642">
        <w:t xml:space="preserve"> </w:t>
      </w:r>
      <w:r w:rsidR="00D85A37" w:rsidRPr="00207642">
        <w:t>in obesity.</w:t>
      </w:r>
    </w:p>
    <w:p w14:paraId="72E9BB38" w14:textId="54B635E7" w:rsidR="001D3433" w:rsidRPr="00207642" w:rsidRDefault="001D3433" w:rsidP="00443F1D">
      <w:pPr>
        <w:spacing w:line="480" w:lineRule="auto"/>
        <w:rPr>
          <w:i/>
          <w:iCs/>
        </w:rPr>
      </w:pPr>
      <w:r w:rsidRPr="00207642">
        <w:rPr>
          <w:i/>
          <w:iCs/>
        </w:rPr>
        <w:t>High energy intake</w:t>
      </w:r>
    </w:p>
    <w:p w14:paraId="6E21577A" w14:textId="30316B2F" w:rsidR="003B72F8" w:rsidRPr="00207642" w:rsidRDefault="000C6C08" w:rsidP="00443F1D">
      <w:pPr>
        <w:spacing w:line="480" w:lineRule="auto"/>
      </w:pPr>
      <w:r w:rsidRPr="00207642">
        <w:t xml:space="preserve">High estimated energy intake (boys and girls with estimated intake greater than the EAR) was used for an intervention to target children at greater individual risk of obesity. </w:t>
      </w:r>
    </w:p>
    <w:p w14:paraId="38943C03" w14:textId="17420AE9" w:rsidR="001D3433" w:rsidRPr="00207642" w:rsidRDefault="001D3433" w:rsidP="00443F1D">
      <w:pPr>
        <w:spacing w:line="480" w:lineRule="auto"/>
        <w:rPr>
          <w:i/>
          <w:iCs/>
        </w:rPr>
      </w:pPr>
      <w:r w:rsidRPr="00207642">
        <w:rPr>
          <w:i/>
          <w:iCs/>
        </w:rPr>
        <w:t>Prior obesity</w:t>
      </w:r>
    </w:p>
    <w:p w14:paraId="048F263F" w14:textId="5BFFA3E5" w:rsidR="00443F1D" w:rsidRPr="00207642" w:rsidRDefault="00833F46" w:rsidP="00443F1D">
      <w:pPr>
        <w:spacing w:line="480" w:lineRule="auto"/>
        <w:rPr>
          <w:highlight w:val="yellow"/>
        </w:rPr>
      </w:pPr>
      <w:r w:rsidRPr="00207642">
        <w:t>Prior weight status (BMI at age 3</w:t>
      </w:r>
      <w:r w:rsidR="005E5477" w:rsidRPr="00207642">
        <w:t xml:space="preserve"> years</w:t>
      </w:r>
      <w:r w:rsidRPr="00207642">
        <w:t>)</w:t>
      </w:r>
      <w:r w:rsidR="000C6C08" w:rsidRPr="00207642">
        <w:t xml:space="preserve"> was</w:t>
      </w:r>
      <w:r w:rsidRPr="00207642">
        <w:t xml:space="preserve"> used as </w:t>
      </w:r>
      <w:r w:rsidR="000C6C08" w:rsidRPr="00207642">
        <w:t xml:space="preserve">an </w:t>
      </w:r>
      <w:r w:rsidRPr="00207642">
        <w:t>indicator variable for children at heightened risk of obesity.[</w:t>
      </w:r>
      <w:r w:rsidR="00EB4599" w:rsidRPr="00207642">
        <w:fldChar w:fldCharType="begin"/>
      </w:r>
      <w:r w:rsidR="00EB4599" w:rsidRPr="00207642">
        <w:instrText xml:space="preserve"> NOTEREF _Ref54943131 \h </w:instrText>
      </w:r>
      <w:r w:rsidR="00EB4599" w:rsidRPr="00207642">
        <w:fldChar w:fldCharType="separate"/>
      </w:r>
      <w:r w:rsidR="00C17003" w:rsidRPr="00207642">
        <w:t>2</w:t>
      </w:r>
      <w:r w:rsidR="00EB4599" w:rsidRPr="00207642">
        <w:fldChar w:fldCharType="end"/>
      </w:r>
      <w:r w:rsidRPr="00207642">
        <w:t>]</w:t>
      </w:r>
      <w:r w:rsidR="00122CC5" w:rsidRPr="00207642">
        <w:t xml:space="preserve"> </w:t>
      </w:r>
      <w:r w:rsidR="001D3433" w:rsidRPr="00207642">
        <w:t>Obesity</w:t>
      </w:r>
      <w:r w:rsidR="00122CC5" w:rsidRPr="00207642">
        <w:t xml:space="preserve"> at age 3 </w:t>
      </w:r>
      <w:r w:rsidR="008A4514" w:rsidRPr="00207642">
        <w:t xml:space="preserve">years </w:t>
      </w:r>
      <w:r w:rsidR="00122CC5" w:rsidRPr="00207642">
        <w:t>was indicated using z-scores from UK90 reference data[</w:t>
      </w:r>
      <w:r w:rsidR="00EB4599" w:rsidRPr="00207642">
        <w:fldChar w:fldCharType="begin"/>
      </w:r>
      <w:r w:rsidR="00EB4599" w:rsidRPr="00207642">
        <w:instrText xml:space="preserve"> NOTEREF _Ref40180876 \h </w:instrText>
      </w:r>
      <w:r w:rsidR="00EB4599" w:rsidRPr="00207642">
        <w:fldChar w:fldCharType="separate"/>
      </w:r>
      <w:r w:rsidR="00C17003" w:rsidRPr="00207642">
        <w:t>12</w:t>
      </w:r>
      <w:r w:rsidR="00EB4599" w:rsidRPr="00207642">
        <w:fldChar w:fldCharType="end"/>
      </w:r>
      <w:r w:rsidR="00122CC5" w:rsidRPr="00207642">
        <w:t>] and cut-offs for epidemiological application.[</w:t>
      </w:r>
      <w:r w:rsidR="00EB4599" w:rsidRPr="00207642">
        <w:fldChar w:fldCharType="begin"/>
      </w:r>
      <w:r w:rsidR="00EB4599" w:rsidRPr="00207642">
        <w:instrText xml:space="preserve"> NOTEREF _Ref40180889 \h </w:instrText>
      </w:r>
      <w:r w:rsidR="00EB4599" w:rsidRPr="00207642">
        <w:fldChar w:fldCharType="separate"/>
      </w:r>
      <w:r w:rsidR="00C17003" w:rsidRPr="00207642">
        <w:t>13</w:t>
      </w:r>
      <w:r w:rsidR="00EB4599" w:rsidRPr="00207642">
        <w:fldChar w:fldCharType="end"/>
      </w:r>
      <w:r w:rsidR="00122CC5" w:rsidRPr="00207642">
        <w:t>]</w:t>
      </w:r>
    </w:p>
    <w:p w14:paraId="46E7F995" w14:textId="7A676739" w:rsidR="00EC77E0" w:rsidRPr="00207642" w:rsidRDefault="00FF69A0" w:rsidP="002C5758">
      <w:pPr>
        <w:spacing w:line="480" w:lineRule="auto"/>
        <w:rPr>
          <w:b/>
          <w:i/>
        </w:rPr>
      </w:pPr>
      <w:r w:rsidRPr="00207642">
        <w:rPr>
          <w:b/>
          <w:i/>
        </w:rPr>
        <w:t>Data a</w:t>
      </w:r>
      <w:r w:rsidR="00EC77E0" w:rsidRPr="00207642">
        <w:rPr>
          <w:b/>
          <w:i/>
        </w:rPr>
        <w:t>nalysis</w:t>
      </w:r>
    </w:p>
    <w:p w14:paraId="3CDBD41B" w14:textId="7D8F319D" w:rsidR="003B72F8" w:rsidRPr="00207642" w:rsidRDefault="003B72F8" w:rsidP="000A56A6">
      <w:pPr>
        <w:spacing w:line="480" w:lineRule="auto"/>
      </w:pPr>
      <w:r w:rsidRPr="00207642">
        <w:t xml:space="preserve">Regression </w:t>
      </w:r>
      <w:r w:rsidR="008E52CD" w:rsidRPr="00207642">
        <w:t xml:space="preserve">analyses </w:t>
      </w:r>
      <w:r w:rsidR="00A47ECE" w:rsidRPr="00207642">
        <w:t xml:space="preserve">were conducted </w:t>
      </w:r>
      <w:r w:rsidR="008E52CD" w:rsidRPr="00207642">
        <w:t xml:space="preserve">to </w:t>
      </w:r>
      <w:r w:rsidRPr="00207642">
        <w:t xml:space="preserve">estimate </w:t>
      </w:r>
      <w:r w:rsidR="008E52CD" w:rsidRPr="00207642">
        <w:t xml:space="preserve">relationships between </w:t>
      </w:r>
      <w:r w:rsidR="00A47ECE" w:rsidRPr="00207642">
        <w:t xml:space="preserve">maternal education (the </w:t>
      </w:r>
      <w:r w:rsidR="008E52CD" w:rsidRPr="00207642">
        <w:t xml:space="preserve">exposure at baseline), </w:t>
      </w:r>
      <w:r w:rsidR="00A47ECE" w:rsidRPr="00207642">
        <w:t>average</w:t>
      </w:r>
      <w:r w:rsidR="008E52CD" w:rsidRPr="00207642">
        <w:t xml:space="preserve"> daily calorie</w:t>
      </w:r>
      <w:r w:rsidR="00A47ECE" w:rsidRPr="00207642">
        <w:t xml:space="preserve"> intake</w:t>
      </w:r>
      <w:r w:rsidR="008E52CD" w:rsidRPr="00207642">
        <w:t xml:space="preserve"> (</w:t>
      </w:r>
      <w:r w:rsidR="00A47ECE" w:rsidRPr="00207642">
        <w:t xml:space="preserve">the </w:t>
      </w:r>
      <w:r w:rsidR="008E52CD" w:rsidRPr="00207642">
        <w:t xml:space="preserve">mediator at age </w:t>
      </w:r>
      <w:r w:rsidR="00A47ECE" w:rsidRPr="00207642">
        <w:t>3</w:t>
      </w:r>
      <w:r w:rsidR="008E52CD" w:rsidRPr="00207642">
        <w:t xml:space="preserve"> years), </w:t>
      </w:r>
      <w:r w:rsidR="00A47ECE" w:rsidRPr="00207642">
        <w:t xml:space="preserve">z-scores for </w:t>
      </w:r>
      <w:r w:rsidR="008E52CD" w:rsidRPr="00207642">
        <w:t>BMI (</w:t>
      </w:r>
      <w:r w:rsidR="00A47ECE" w:rsidRPr="00207642">
        <w:t xml:space="preserve">the </w:t>
      </w:r>
      <w:r w:rsidR="008E52CD" w:rsidRPr="00207642">
        <w:t xml:space="preserve">outcome at age </w:t>
      </w:r>
      <w:r w:rsidR="00A47ECE" w:rsidRPr="00207642">
        <w:t>6</w:t>
      </w:r>
      <w:r w:rsidR="00742E2E" w:rsidRPr="00207642">
        <w:t>-7</w:t>
      </w:r>
      <w:r w:rsidR="008E52CD" w:rsidRPr="00207642">
        <w:t xml:space="preserve"> years), and confound</w:t>
      </w:r>
      <w:r w:rsidR="00A47ECE" w:rsidRPr="00207642">
        <w:t>ing variables</w:t>
      </w:r>
      <w:r w:rsidR="008E52CD" w:rsidRPr="00207642">
        <w:t xml:space="preserve">. </w:t>
      </w:r>
      <w:r w:rsidRPr="00207642">
        <w:t xml:space="preserve">The </w:t>
      </w:r>
      <w:r w:rsidR="00A61B56" w:rsidRPr="00207642">
        <w:t>distribution of energy intake</w:t>
      </w:r>
      <w:r w:rsidRPr="00207642">
        <w:t xml:space="preserve"> was skewed and therefore</w:t>
      </w:r>
      <w:r w:rsidR="00A61B56" w:rsidRPr="00207642">
        <w:t xml:space="preserve"> </w:t>
      </w:r>
      <w:r w:rsidR="008E52CD" w:rsidRPr="00207642">
        <w:t>median daily calories</w:t>
      </w:r>
      <w:r w:rsidR="00831DAF" w:rsidRPr="00207642">
        <w:t xml:space="preserve"> </w:t>
      </w:r>
      <w:r w:rsidR="00CC0733" w:rsidRPr="00207642">
        <w:t>were</w:t>
      </w:r>
      <w:r w:rsidR="00A61B56" w:rsidRPr="00207642">
        <w:t xml:space="preserve"> </w:t>
      </w:r>
      <w:r w:rsidRPr="00207642">
        <w:t xml:space="preserve">shown </w:t>
      </w:r>
      <w:r w:rsidR="00CC0733" w:rsidRPr="00207642">
        <w:t>in descriptive statistics</w:t>
      </w:r>
      <w:r w:rsidR="008E52CD" w:rsidRPr="00207642">
        <w:t xml:space="preserve">. </w:t>
      </w:r>
      <w:r w:rsidR="00A61B56" w:rsidRPr="00207642">
        <w:t>O</w:t>
      </w:r>
      <w:r w:rsidR="008E52CD" w:rsidRPr="00207642">
        <w:t>besity</w:t>
      </w:r>
      <w:r w:rsidR="00A61B56" w:rsidRPr="00207642">
        <w:t xml:space="preserve"> prevalence at 6</w:t>
      </w:r>
      <w:r w:rsidR="005E5477" w:rsidRPr="00207642">
        <w:t>-7</w:t>
      </w:r>
      <w:r w:rsidR="008E52CD" w:rsidRPr="00207642">
        <w:t xml:space="preserve"> years </w:t>
      </w:r>
      <w:r w:rsidR="00A61B56" w:rsidRPr="00207642">
        <w:t xml:space="preserve">was reported </w:t>
      </w:r>
      <w:r w:rsidR="008E52CD" w:rsidRPr="00207642">
        <w:t xml:space="preserve">by </w:t>
      </w:r>
      <w:r w:rsidR="00A61B56" w:rsidRPr="00207642">
        <w:t>maternal education group</w:t>
      </w:r>
      <w:r w:rsidR="008E52CD" w:rsidRPr="00207642">
        <w:t xml:space="preserve"> with relative and absolute inequalities. </w:t>
      </w:r>
    </w:p>
    <w:p w14:paraId="41F56FA4" w14:textId="146367BF" w:rsidR="003703F6" w:rsidRPr="00207642" w:rsidRDefault="00DF7D5F" w:rsidP="003703F6">
      <w:pPr>
        <w:spacing w:line="480" w:lineRule="auto"/>
      </w:pPr>
      <w:r w:rsidRPr="00207642">
        <w:t>L</w:t>
      </w:r>
      <w:r w:rsidR="00B068AC" w:rsidRPr="00207642">
        <w:t xml:space="preserve">ogistic regression </w:t>
      </w:r>
      <w:r w:rsidR="00EA018A" w:rsidRPr="00207642">
        <w:t>within a marginal structural modelling (MSM) framewor</w:t>
      </w:r>
      <w:bookmarkStart w:id="23" w:name="_Ref33610552"/>
      <w:r w:rsidR="00EA018A" w:rsidRPr="00207642">
        <w:t>k</w:t>
      </w:r>
      <w:r w:rsidRPr="00207642">
        <w:t>[</w:t>
      </w:r>
      <w:r w:rsidR="003A27D2" w:rsidRPr="00207642">
        <w:fldChar w:fldCharType="begin"/>
      </w:r>
      <w:r w:rsidR="003A27D2" w:rsidRPr="00207642">
        <w:instrText xml:space="preserve"> NOTEREF _Ref54943628 \h </w:instrText>
      </w:r>
      <w:r w:rsidR="003A27D2" w:rsidRPr="00207642">
        <w:fldChar w:fldCharType="separate"/>
      </w:r>
      <w:r w:rsidR="00C17003" w:rsidRPr="00207642">
        <w:t>9</w:t>
      </w:r>
      <w:r w:rsidR="003A27D2" w:rsidRPr="00207642">
        <w:fldChar w:fldCharType="end"/>
      </w:r>
      <w:r w:rsidR="006F2BAA" w:rsidRPr="00207642">
        <w:t>,</w:t>
      </w:r>
      <w:r w:rsidR="00D5153C" w:rsidRPr="00207642">
        <w:rPr>
          <w:rStyle w:val="EndnoteReference"/>
          <w:vertAlign w:val="baseline"/>
        </w:rPr>
        <w:endnoteReference w:id="19"/>
      </w:r>
      <w:r w:rsidRPr="00207642">
        <w:t>,</w:t>
      </w:r>
      <w:bookmarkStart w:id="24" w:name="_Ref40181517"/>
      <w:r w:rsidR="00EA018A" w:rsidRPr="00207642">
        <w:rPr>
          <w:rStyle w:val="EndnoteReference"/>
          <w:vertAlign w:val="baseline"/>
        </w:rPr>
        <w:endnoteReference w:id="20"/>
      </w:r>
      <w:bookmarkEnd w:id="23"/>
      <w:bookmarkEnd w:id="24"/>
      <w:r w:rsidR="00EA018A" w:rsidRPr="00207642">
        <w:t xml:space="preserve">] </w:t>
      </w:r>
      <w:r w:rsidR="00B068AC" w:rsidRPr="00207642">
        <w:t xml:space="preserve">was used to model the association between </w:t>
      </w:r>
      <w:r w:rsidR="00A47ECE" w:rsidRPr="00207642">
        <w:t xml:space="preserve">maternal education </w:t>
      </w:r>
      <w:r w:rsidR="00B068AC" w:rsidRPr="00207642">
        <w:t xml:space="preserve">and BMI at </w:t>
      </w:r>
      <w:r w:rsidR="00A47ECE" w:rsidRPr="00207642">
        <w:t>6</w:t>
      </w:r>
      <w:r w:rsidR="00742E2E" w:rsidRPr="00207642">
        <w:t>-7</w:t>
      </w:r>
      <w:r w:rsidR="00B068AC" w:rsidRPr="00207642">
        <w:t xml:space="preserve"> year</w:t>
      </w:r>
      <w:r w:rsidR="00EA018A" w:rsidRPr="00207642">
        <w:t>s</w:t>
      </w:r>
      <w:r w:rsidR="00445C54" w:rsidRPr="00207642">
        <w:t>.</w:t>
      </w:r>
      <w:r w:rsidR="00B068AC" w:rsidRPr="00207642">
        <w:t xml:space="preserve"> </w:t>
      </w:r>
      <w:r w:rsidR="00ED117A" w:rsidRPr="00207642">
        <w:t>In the unadjusted model, p</w:t>
      </w:r>
      <w:r w:rsidR="00EA018A" w:rsidRPr="00207642">
        <w:t xml:space="preserve">redicted probabilities with 95% confidence intervals were used to estimate childhood obesity </w:t>
      </w:r>
      <w:r w:rsidR="00894A9E" w:rsidRPr="00207642">
        <w:t>prevalence</w:t>
      </w:r>
      <w:r w:rsidR="00EA018A" w:rsidRPr="00207642">
        <w:t xml:space="preserve"> overall</w:t>
      </w:r>
      <w:r w:rsidR="00894A9E" w:rsidRPr="00207642">
        <w:t xml:space="preserve"> and by maternal </w:t>
      </w:r>
      <w:r w:rsidR="00EA018A" w:rsidRPr="00207642">
        <w:t>education group</w:t>
      </w:r>
      <w:r w:rsidR="00ED117A" w:rsidRPr="00207642">
        <w:t xml:space="preserve">. </w:t>
      </w:r>
      <w:bookmarkStart w:id="25" w:name="_Hlk40427793"/>
      <w:r w:rsidR="009B73F0" w:rsidRPr="00207642">
        <w:t xml:space="preserve">For the adjusted model, </w:t>
      </w:r>
      <w:r w:rsidR="00D91F87" w:rsidRPr="00207642">
        <w:t xml:space="preserve">average daily calories was included as a continuous variable and </w:t>
      </w:r>
      <w:r w:rsidR="009B73F0" w:rsidRPr="00207642">
        <w:t>b</w:t>
      </w:r>
      <w:r w:rsidR="00412ABA" w:rsidRPr="00207642">
        <w:t>aseline and intermediate confounding were accounted for using inverse probability weights (IPWs</w:t>
      </w:r>
      <w:bookmarkEnd w:id="25"/>
      <w:r w:rsidR="00412ABA" w:rsidRPr="00207642">
        <w:t>; truncated between 1% and 99%</w:t>
      </w:r>
      <w:r w:rsidR="008C5E58" w:rsidRPr="00207642">
        <w:t>). P</w:t>
      </w:r>
      <w:r w:rsidR="002510C5" w:rsidRPr="00207642">
        <w:t>robabilities fr</w:t>
      </w:r>
      <w:r w:rsidR="00646138" w:rsidRPr="00207642">
        <w:t>o</w:t>
      </w:r>
      <w:r w:rsidR="002510C5" w:rsidRPr="00207642">
        <w:t>m t</w:t>
      </w:r>
      <w:r w:rsidR="00AF0882" w:rsidRPr="00207642">
        <w:t>he</w:t>
      </w:r>
      <w:r w:rsidR="002510C5" w:rsidRPr="00207642">
        <w:t xml:space="preserve"> adjusted model</w:t>
      </w:r>
      <w:r w:rsidR="00AF0882" w:rsidRPr="00207642">
        <w:t xml:space="preserve"> </w:t>
      </w:r>
      <w:r w:rsidR="002510C5" w:rsidRPr="00207642">
        <w:t>we</w:t>
      </w:r>
      <w:r w:rsidR="00BA41A7" w:rsidRPr="00207642">
        <w:t xml:space="preserve">re used to derive the </w:t>
      </w:r>
      <w:r w:rsidR="00AF0882" w:rsidRPr="00207642">
        <w:t xml:space="preserve">control direct effect </w:t>
      </w:r>
      <w:r w:rsidRPr="00207642">
        <w:t>(</w:t>
      </w:r>
      <w:r w:rsidR="00AF0882" w:rsidRPr="00207642">
        <w:t>CDE</w:t>
      </w:r>
      <w:r w:rsidRPr="00207642">
        <w:t>)</w:t>
      </w:r>
      <w:r w:rsidR="00BA41A7" w:rsidRPr="00207642">
        <w:t>, which</w:t>
      </w:r>
      <w:r w:rsidR="00AF0882" w:rsidRPr="00207642">
        <w:t xml:space="preserve"> gives the estimated effect of maternal education on obesity when daily energy intake was fixed at the observed level.[</w:t>
      </w:r>
      <w:r w:rsidR="00AF0882" w:rsidRPr="00207642">
        <w:rPr>
          <w:rStyle w:val="EndnoteReference"/>
          <w:vertAlign w:val="baseline"/>
        </w:rPr>
        <w:endnoteReference w:id="21"/>
      </w:r>
      <w:r w:rsidR="00AF0882" w:rsidRPr="00207642">
        <w:t xml:space="preserve">] The CDE </w:t>
      </w:r>
      <w:r w:rsidR="00BA41A7" w:rsidRPr="00207642">
        <w:t>wa</w:t>
      </w:r>
      <w:r w:rsidR="00AF0882" w:rsidRPr="00207642">
        <w:t>s the model against which effect size estimates from simulations were compared.</w:t>
      </w:r>
      <w:r w:rsidRPr="00207642">
        <w:t xml:space="preserve"> </w:t>
      </w:r>
    </w:p>
    <w:p w14:paraId="66CDDE45" w14:textId="4F9AA851" w:rsidR="00DF7D5F" w:rsidRPr="00207642" w:rsidRDefault="00ED117A" w:rsidP="00472F08">
      <w:pPr>
        <w:spacing w:line="480" w:lineRule="auto"/>
      </w:pPr>
      <w:r w:rsidRPr="00207642">
        <w:t>R</w:t>
      </w:r>
      <w:r w:rsidR="00894A9E" w:rsidRPr="00207642">
        <w:t>elative</w:t>
      </w:r>
      <w:r w:rsidRPr="00207642">
        <w:t xml:space="preserve"> inequalities are given as risk ratios (the ratio of fitted probabilities of obesity </w:t>
      </w:r>
      <w:r w:rsidR="005E5477" w:rsidRPr="00207642">
        <w:t xml:space="preserve">for </w:t>
      </w:r>
      <w:r w:rsidRPr="00207642">
        <w:t xml:space="preserve">the highest </w:t>
      </w:r>
      <w:r w:rsidR="005E5477" w:rsidRPr="00207642">
        <w:t xml:space="preserve">to the </w:t>
      </w:r>
      <w:r w:rsidRPr="00207642">
        <w:t xml:space="preserve">lowest maternal education groups) </w:t>
      </w:r>
      <w:r w:rsidR="00894A9E" w:rsidRPr="00207642">
        <w:t>and absolute</w:t>
      </w:r>
      <w:r w:rsidRPr="00207642">
        <w:t xml:space="preserve"> inequalities are given as risk differences</w:t>
      </w:r>
      <w:r w:rsidR="00CC0733" w:rsidRPr="00207642">
        <w:t xml:space="preserve"> (</w:t>
      </w:r>
      <w:r w:rsidR="00894A9E" w:rsidRPr="00207642">
        <w:t>the difference between the fitted probabilities</w:t>
      </w:r>
      <w:r w:rsidR="002A2DC9" w:rsidRPr="00207642">
        <w:t xml:space="preserve"> between the highest and lowest </w:t>
      </w:r>
      <w:r w:rsidRPr="00207642">
        <w:t>maternal educational groups</w:t>
      </w:r>
      <w:r w:rsidR="00CC0733" w:rsidRPr="00207642">
        <w:t>)</w:t>
      </w:r>
      <w:r w:rsidR="00AF0882" w:rsidRPr="00207642">
        <w:t>, with maternal educational level entered as a continuous term.</w:t>
      </w:r>
      <w:r w:rsidR="00472F08" w:rsidRPr="00207642">
        <w:t xml:space="preserve"> </w:t>
      </w:r>
      <w:r w:rsidR="00DF7D5F" w:rsidRPr="00207642">
        <w:t>Stata SE 15.1 was used to perform all analyses.[</w:t>
      </w:r>
      <w:r w:rsidR="00DF7D5F" w:rsidRPr="00207642">
        <w:rPr>
          <w:rStyle w:val="EndnoteReference"/>
          <w:vertAlign w:val="baseline"/>
        </w:rPr>
        <w:endnoteReference w:id="22"/>
      </w:r>
      <w:r w:rsidR="00DF7D5F" w:rsidRPr="00207642">
        <w:t>]</w:t>
      </w:r>
    </w:p>
    <w:p w14:paraId="1C787C01" w14:textId="38A954E2" w:rsidR="006235E8" w:rsidRPr="00207642" w:rsidRDefault="00155F0B" w:rsidP="002C5758">
      <w:pPr>
        <w:spacing w:line="480" w:lineRule="auto"/>
        <w:rPr>
          <w:i/>
          <w:iCs/>
        </w:rPr>
      </w:pPr>
      <w:r w:rsidRPr="00207642">
        <w:rPr>
          <w:i/>
          <w:iCs/>
        </w:rPr>
        <w:t>Simulations</w:t>
      </w:r>
    </w:p>
    <w:p w14:paraId="664473CC" w14:textId="12C34709" w:rsidR="006235E8" w:rsidRPr="00207642" w:rsidRDefault="00482448" w:rsidP="00061C11">
      <w:pPr>
        <w:spacing w:line="480" w:lineRule="auto"/>
      </w:pPr>
      <w:r w:rsidRPr="00207642">
        <w:t>To simulate</w:t>
      </w:r>
      <w:r w:rsidR="00025062" w:rsidRPr="00207642">
        <w:t xml:space="preserve"> policy actions or interventions that reduced energy intake, adjustments (reductions) were made to </w:t>
      </w:r>
      <w:r w:rsidRPr="00207642">
        <w:t xml:space="preserve">the mediator </w:t>
      </w:r>
      <w:r w:rsidR="00025062" w:rsidRPr="00207642">
        <w:t xml:space="preserve">(daily </w:t>
      </w:r>
      <w:r w:rsidRPr="00207642">
        <w:t>calorie intake</w:t>
      </w:r>
      <w:r w:rsidR="00025062" w:rsidRPr="00207642">
        <w:t>)</w:t>
      </w:r>
      <w:r w:rsidR="006232B6" w:rsidRPr="00207642">
        <w:t>.</w:t>
      </w:r>
      <w:r w:rsidR="00025062" w:rsidRPr="00207642">
        <w:t xml:space="preserve"> </w:t>
      </w:r>
      <w:r w:rsidR="002C5974" w:rsidRPr="00207642">
        <w:t xml:space="preserve">Simulation scenarios represent potential interventions </w:t>
      </w:r>
      <w:r w:rsidR="00AF0882" w:rsidRPr="00207642">
        <w:t>according to</w:t>
      </w:r>
      <w:r w:rsidR="002C5974" w:rsidRPr="00207642">
        <w:t>: effectiveness (</w:t>
      </w:r>
      <w:r w:rsidR="00AF0882" w:rsidRPr="00207642">
        <w:t xml:space="preserve">magnitude of </w:t>
      </w:r>
      <w:r w:rsidR="002C5974" w:rsidRPr="00207642">
        <w:t xml:space="preserve">calorie reduction); targeting or </w:t>
      </w:r>
      <w:r w:rsidR="00AF0882" w:rsidRPr="00207642">
        <w:t xml:space="preserve">indicated </w:t>
      </w:r>
      <w:r w:rsidR="002C5974" w:rsidRPr="00207642">
        <w:t>(high deprivation, prior weight status, or reported calorie intake); and, uptake of</w:t>
      </w:r>
      <w:r w:rsidR="00AF0882" w:rsidRPr="00207642">
        <w:t xml:space="preserve"> intervention among</w:t>
      </w:r>
      <w:r w:rsidR="002C5974" w:rsidRPr="00207642">
        <w:t xml:space="preserve"> eligible children (table 1). </w:t>
      </w:r>
      <w:r w:rsidR="00025062" w:rsidRPr="00207642">
        <w:t>Variability was reflected in</w:t>
      </w:r>
      <w:r w:rsidR="00E01920" w:rsidRPr="00207642">
        <w:t xml:space="preserve"> each </w:t>
      </w:r>
      <w:r w:rsidR="00025062" w:rsidRPr="00207642">
        <w:t xml:space="preserve">reduction. </w:t>
      </w:r>
    </w:p>
    <w:p w14:paraId="270A4F3B" w14:textId="2F79D7C4" w:rsidR="002C5974" w:rsidRPr="00207642" w:rsidRDefault="002C5974" w:rsidP="00EA181B">
      <w:pPr>
        <w:spacing w:line="480" w:lineRule="auto"/>
      </w:pPr>
      <w:r w:rsidRPr="00207642">
        <w:t>Scenario 1 modelled the impact of a universal intervention that reduced population intake of calories for children aged 3 years</w:t>
      </w:r>
      <w:r w:rsidR="00EA181B" w:rsidRPr="00207642">
        <w:t>.</w:t>
      </w:r>
      <w:r w:rsidRPr="00207642">
        <w:t xml:space="preserve"> </w:t>
      </w:r>
      <w:r w:rsidR="004671AD" w:rsidRPr="00207642">
        <w:t xml:space="preserve">All children were considered eligible </w:t>
      </w:r>
      <w:r w:rsidR="00EA181B" w:rsidRPr="00207642">
        <w:t>and</w:t>
      </w:r>
      <w:r w:rsidR="004671AD" w:rsidRPr="00207642">
        <w:t xml:space="preserve"> </w:t>
      </w:r>
      <w:r w:rsidRPr="00207642">
        <w:t>uptake of the intervention was set at 75%.</w:t>
      </w:r>
      <w:r w:rsidR="00122CC5" w:rsidRPr="00207642">
        <w:t xml:space="preserve"> </w:t>
      </w:r>
      <w:r w:rsidR="00407E34" w:rsidRPr="00207642">
        <w:t xml:space="preserve">The reduction applied was based on the difference between the observed median intake and the </w:t>
      </w:r>
      <w:r w:rsidRPr="00207642">
        <w:t>EAR. Sex-specific reductions were applied with variation</w:t>
      </w:r>
      <w:r w:rsidR="00A93F81" w:rsidRPr="00207642">
        <w:t xml:space="preserve"> by creating a normal distribution around the adjusted level</w:t>
      </w:r>
      <w:r w:rsidRPr="00207642">
        <w:t>. To reduce median intake to the EAR, boys</w:t>
      </w:r>
      <w:r w:rsidR="00AF0882" w:rsidRPr="00207642">
        <w:t>’</w:t>
      </w:r>
      <w:r w:rsidRPr="00207642">
        <w:t xml:space="preserve"> </w:t>
      </w:r>
      <w:r w:rsidR="00AF0882" w:rsidRPr="00207642">
        <w:t>intake was</w:t>
      </w:r>
      <w:r w:rsidRPr="00207642">
        <w:t xml:space="preserve"> reduce</w:t>
      </w:r>
      <w:r w:rsidR="00AF0882" w:rsidRPr="00207642">
        <w:t>d</w:t>
      </w:r>
      <w:r w:rsidRPr="00207642">
        <w:t xml:space="preserve"> by 140.5 calories (</w:t>
      </w:r>
      <w:r w:rsidR="00175BF8" w:rsidRPr="00207642">
        <w:t xml:space="preserve">a </w:t>
      </w:r>
      <w:r w:rsidRPr="00207642">
        <w:t>10.7%</w:t>
      </w:r>
      <w:r w:rsidR="00175BF8" w:rsidRPr="00207642">
        <w:t xml:space="preserve"> decrease in observed intake</w:t>
      </w:r>
      <w:r w:rsidRPr="00207642">
        <w:t>) and girls</w:t>
      </w:r>
      <w:r w:rsidR="00175BF8" w:rsidRPr="00207642">
        <w:t>’</w:t>
      </w:r>
      <w:r w:rsidRPr="00207642">
        <w:t xml:space="preserve"> by 197.5 (</w:t>
      </w:r>
      <w:r w:rsidR="00175BF8" w:rsidRPr="00207642">
        <w:t xml:space="preserve">a </w:t>
      </w:r>
      <w:r w:rsidRPr="00207642">
        <w:t>15.5%</w:t>
      </w:r>
      <w:r w:rsidR="00175BF8" w:rsidRPr="00207642">
        <w:t xml:space="preserve"> decrease</w:t>
      </w:r>
      <w:r w:rsidRPr="00207642">
        <w:t xml:space="preserve">). This equated to an overall </w:t>
      </w:r>
      <w:r w:rsidR="00175BF8" w:rsidRPr="00207642">
        <w:t>reduction</w:t>
      </w:r>
      <w:r w:rsidRPr="00207642">
        <w:t xml:space="preserve"> </w:t>
      </w:r>
      <w:r w:rsidR="005E5477" w:rsidRPr="00207642">
        <w:t xml:space="preserve">in calories </w:t>
      </w:r>
      <w:r w:rsidRPr="00207642">
        <w:t xml:space="preserve">in the sample population of 13.0%. </w:t>
      </w:r>
    </w:p>
    <w:p w14:paraId="518E4A59" w14:textId="0B262F5B" w:rsidR="002C5974" w:rsidRPr="00207642" w:rsidRDefault="002C5974" w:rsidP="002C5974">
      <w:pPr>
        <w:spacing w:line="480" w:lineRule="auto"/>
      </w:pPr>
      <w:r w:rsidRPr="00207642">
        <w:t>Scenario 2 modelled an intensive intervention</w:t>
      </w:r>
      <w:r w:rsidR="00DD68F9" w:rsidRPr="00207642">
        <w:t xml:space="preserve"> with increased effectiveness (a greater reduction)</w:t>
      </w:r>
      <w:r w:rsidRPr="00207642">
        <w:t>, targeted to children living in deprived areas</w:t>
      </w:r>
      <w:r w:rsidR="00AF0882" w:rsidRPr="00207642">
        <w:t>,</w:t>
      </w:r>
      <w:r w:rsidRPr="00207642">
        <w:t xml:space="preserve"> with uptake of eligible children set at 75%.</w:t>
      </w:r>
      <w:r w:rsidR="00EF2CA2" w:rsidRPr="00207642">
        <w:t xml:space="preserve"> Using IMD 2004, d</w:t>
      </w:r>
      <w:r w:rsidR="008910A7" w:rsidRPr="00207642">
        <w:t>eprived areas were defined as</w:t>
      </w:r>
      <w:r w:rsidR="00E16A36" w:rsidRPr="00207642">
        <w:t xml:space="preserve"> </w:t>
      </w:r>
      <w:r w:rsidR="00EF2CA2" w:rsidRPr="00207642">
        <w:t>1 SD above the mean sample score</w:t>
      </w:r>
      <w:r w:rsidR="00E16A36" w:rsidRPr="00207642">
        <w:t xml:space="preserve">. </w:t>
      </w:r>
      <w:r w:rsidR="00C40639" w:rsidRPr="00207642">
        <w:t xml:space="preserve">The effectiveness (reduction in calories) was greater in this simulated intervention as it was administered to children at heightened risk of obesity. </w:t>
      </w:r>
      <w:r w:rsidRPr="00207642">
        <w:t>The reduction was informed by EAR values for adults (sex and age groups combined),[</w:t>
      </w:r>
      <w:r w:rsidR="00F521A5" w:rsidRPr="00207642">
        <w:fldChar w:fldCharType="begin"/>
      </w:r>
      <w:r w:rsidR="00F521A5" w:rsidRPr="00207642">
        <w:instrText xml:space="preserve"> NOTEREF _Ref40178489 \h </w:instrText>
      </w:r>
      <w:r w:rsidR="00F521A5" w:rsidRPr="00207642">
        <w:fldChar w:fldCharType="separate"/>
      </w:r>
      <w:r w:rsidR="00C17003" w:rsidRPr="00207642">
        <w:t>17</w:t>
      </w:r>
      <w:r w:rsidR="00F521A5" w:rsidRPr="00207642">
        <w:fldChar w:fldCharType="end"/>
      </w:r>
      <w:r w:rsidRPr="00207642">
        <w:t xml:space="preserve">] and the </w:t>
      </w:r>
      <w:r w:rsidR="002B5934" w:rsidRPr="00207642">
        <w:t xml:space="preserve">effectiveness was guided by </w:t>
      </w:r>
      <w:r w:rsidR="00410AA1" w:rsidRPr="00207642">
        <w:t xml:space="preserve">a recommendation for </w:t>
      </w:r>
      <w:r w:rsidR="002B5934" w:rsidRPr="00207642">
        <w:t>healthy</w:t>
      </w:r>
      <w:r w:rsidR="00410AA1" w:rsidRPr="00207642">
        <w:t>,</w:t>
      </w:r>
      <w:r w:rsidR="002B5934" w:rsidRPr="00207642">
        <w:t xml:space="preserve"> </w:t>
      </w:r>
      <w:r w:rsidR="00410AA1" w:rsidRPr="00207642">
        <w:t xml:space="preserve">long-term weight loss in </w:t>
      </w:r>
      <w:r w:rsidR="002B5934" w:rsidRPr="00207642">
        <w:t>adults</w:t>
      </w:r>
      <w:r w:rsidR="00410AA1" w:rsidRPr="00207642">
        <w:t xml:space="preserve"> (reducing intake by </w:t>
      </w:r>
      <w:r w:rsidRPr="00207642">
        <w:t>500 fewer calories per day</w:t>
      </w:r>
      <w:r w:rsidR="00410AA1" w:rsidRPr="00207642">
        <w:t>)</w:t>
      </w:r>
      <w:r w:rsidRPr="00207642">
        <w:t>.[</w:t>
      </w:r>
      <w:r w:rsidR="00F521A5" w:rsidRPr="00207642">
        <w:fldChar w:fldCharType="begin"/>
      </w:r>
      <w:r w:rsidR="00F521A5" w:rsidRPr="00207642">
        <w:instrText xml:space="preserve"> NOTEREF _Ref40179335 \h </w:instrText>
      </w:r>
      <w:r w:rsidR="00F521A5" w:rsidRPr="00207642">
        <w:fldChar w:fldCharType="separate"/>
      </w:r>
      <w:r w:rsidR="00C17003" w:rsidRPr="00207642">
        <w:t>18</w:t>
      </w:r>
      <w:r w:rsidR="00F521A5" w:rsidRPr="00207642">
        <w:fldChar w:fldCharType="end"/>
      </w:r>
      <w:r w:rsidRPr="00207642">
        <w:t xml:space="preserve">] The </w:t>
      </w:r>
      <w:r w:rsidR="00410AA1" w:rsidRPr="00207642">
        <w:t xml:space="preserve">intensive </w:t>
      </w:r>
      <w:r w:rsidRPr="00207642">
        <w:t>intervention equated to a 21.3% decrease in</w:t>
      </w:r>
      <w:r w:rsidR="00410AA1" w:rsidRPr="00207642">
        <w:t xml:space="preserve"> daily</w:t>
      </w:r>
      <w:r w:rsidRPr="00207642">
        <w:t xml:space="preserve"> energy intake</w:t>
      </w:r>
      <w:r w:rsidR="00180CA6" w:rsidRPr="00207642">
        <w:t xml:space="preserve"> </w:t>
      </w:r>
      <w:r w:rsidR="0002052B" w:rsidRPr="00207642">
        <w:t>for</w:t>
      </w:r>
      <w:r w:rsidR="00180CA6" w:rsidRPr="00207642">
        <w:t xml:space="preserve"> the </w:t>
      </w:r>
      <w:r w:rsidR="0002052B" w:rsidRPr="00207642">
        <w:t>targeted</w:t>
      </w:r>
      <w:r w:rsidR="00180CA6" w:rsidRPr="00207642">
        <w:t xml:space="preserve"> group</w:t>
      </w:r>
      <w:r w:rsidRPr="00207642">
        <w:t xml:space="preserve">. </w:t>
      </w:r>
      <w:r w:rsidR="001711F9" w:rsidRPr="00207642">
        <w:t>The intensive intervention was not sex-specific as it was adapted from generic weight loss guidance for male and female adults.</w:t>
      </w:r>
    </w:p>
    <w:p w14:paraId="5AC70FD9" w14:textId="0C2DD478" w:rsidR="002C5974" w:rsidRPr="00207642" w:rsidRDefault="002C5974" w:rsidP="002C5974">
      <w:pPr>
        <w:spacing w:line="480" w:lineRule="auto"/>
      </w:pPr>
      <w:r w:rsidRPr="00207642">
        <w:t>Scenario 3 modelled the</w:t>
      </w:r>
      <w:r w:rsidR="00410AA1" w:rsidRPr="00207642">
        <w:t xml:space="preserve"> </w:t>
      </w:r>
      <w:r w:rsidRPr="00207642">
        <w:t xml:space="preserve">intensive intervention </w:t>
      </w:r>
      <w:r w:rsidR="00B71CC1" w:rsidRPr="00207642">
        <w:t xml:space="preserve">described in </w:t>
      </w:r>
      <w:r w:rsidR="00E152DD" w:rsidRPr="00207642">
        <w:t>S</w:t>
      </w:r>
      <w:r w:rsidR="00DF23EE" w:rsidRPr="00207642">
        <w:t xml:space="preserve">cenario </w:t>
      </w:r>
      <w:r w:rsidR="00B71CC1" w:rsidRPr="00207642">
        <w:t xml:space="preserve">2 </w:t>
      </w:r>
      <w:r w:rsidRPr="00207642">
        <w:t>(a 21.3% reduction in daily intake)</w:t>
      </w:r>
      <w:r w:rsidR="00410AA1" w:rsidRPr="00207642">
        <w:t xml:space="preserve"> for children at heightened individual risk of obesity. This was indicated by past weight status; all </w:t>
      </w:r>
      <w:r w:rsidRPr="00207642">
        <w:t xml:space="preserve">children living with obesity at age 3 years (6.7%) were eligible and received this intervention. </w:t>
      </w:r>
    </w:p>
    <w:p w14:paraId="21721C76" w14:textId="4E989028" w:rsidR="003574DB" w:rsidRPr="00207642" w:rsidRDefault="002C5974" w:rsidP="002C5974">
      <w:pPr>
        <w:spacing w:line="480" w:lineRule="auto"/>
      </w:pPr>
      <w:r w:rsidRPr="00207642">
        <w:t>Scenario 4 modelled a targeted intervention that limited intake in children reported to be consuming high daily calories.</w:t>
      </w:r>
      <w:r w:rsidR="00410AA1" w:rsidRPr="00207642">
        <w:t xml:space="preserve"> </w:t>
      </w:r>
      <w:r w:rsidR="00B71CC1" w:rsidRPr="00207642">
        <w:t>T</w:t>
      </w:r>
      <w:r w:rsidR="00410AA1" w:rsidRPr="00207642">
        <w:t xml:space="preserve">his intervention </w:t>
      </w:r>
      <w:r w:rsidRPr="00207642">
        <w:t>truncat</w:t>
      </w:r>
      <w:r w:rsidR="00410AA1" w:rsidRPr="00207642">
        <w:t xml:space="preserve">ed </w:t>
      </w:r>
      <w:r w:rsidRPr="00207642">
        <w:t xml:space="preserve">the </w:t>
      </w:r>
      <w:r w:rsidR="00410AA1" w:rsidRPr="00207642">
        <w:t xml:space="preserve">population </w:t>
      </w:r>
      <w:r w:rsidRPr="00207642">
        <w:t>distribution</w:t>
      </w:r>
      <w:r w:rsidR="00B71CC1" w:rsidRPr="00207642">
        <w:t xml:space="preserve"> of energy intake</w:t>
      </w:r>
      <w:r w:rsidRPr="00207642">
        <w:t>. For the</w:t>
      </w:r>
      <w:r w:rsidR="00410AA1" w:rsidRPr="00207642">
        <w:t xml:space="preserve"> targeted</w:t>
      </w:r>
      <w:r w:rsidRPr="00207642">
        <w:t xml:space="preserve"> children, intake was reduced to the level of the EAR so that every boy </w:t>
      </w:r>
      <w:r w:rsidR="00E152DD" w:rsidRPr="00207642">
        <w:t>(</w:t>
      </w:r>
      <w:r w:rsidR="00B71CC1" w:rsidRPr="00207642">
        <w:t>1171</w:t>
      </w:r>
      <w:r w:rsidR="00951D1E" w:rsidRPr="00207642">
        <w:t xml:space="preserve"> kcals</w:t>
      </w:r>
      <w:r w:rsidR="00E152DD" w:rsidRPr="00207642">
        <w:t xml:space="preserve">) </w:t>
      </w:r>
      <w:r w:rsidRPr="00207642">
        <w:t xml:space="preserve">and girl </w:t>
      </w:r>
      <w:r w:rsidR="00E152DD" w:rsidRPr="00207642">
        <w:t>(</w:t>
      </w:r>
      <w:r w:rsidR="00B71CC1" w:rsidRPr="00207642">
        <w:t>1076</w:t>
      </w:r>
      <w:r w:rsidR="00951D1E" w:rsidRPr="00207642">
        <w:t xml:space="preserve"> kcals</w:t>
      </w:r>
      <w:r w:rsidR="00E152DD" w:rsidRPr="00207642">
        <w:t>)</w:t>
      </w:r>
      <w:r w:rsidR="00B71CC1" w:rsidRPr="00207642">
        <w:t xml:space="preserve"> </w:t>
      </w:r>
      <w:r w:rsidRPr="00207642">
        <w:t xml:space="preserve">in the analytic sample had an intake that was equal to or less than the EAR. </w:t>
      </w:r>
    </w:p>
    <w:p w14:paraId="21B7D7AB" w14:textId="726C1A5B" w:rsidR="002C5974" w:rsidRPr="00207642" w:rsidRDefault="003574DB" w:rsidP="002C5974">
      <w:pPr>
        <w:spacing w:line="480" w:lineRule="auto"/>
      </w:pPr>
      <w:r w:rsidRPr="00207642">
        <w:t>In scenarios 1 and 2, uptake was set at 75% since not all children in a population would be expected to comply with an intervention. In scenarios 3 and 4, u</w:t>
      </w:r>
      <w:r w:rsidR="000113E8" w:rsidRPr="00207642">
        <w:t xml:space="preserve">ptake was set at 100% and total engagement with the interventions </w:t>
      </w:r>
      <w:r w:rsidR="005A31F1" w:rsidRPr="00207642">
        <w:t xml:space="preserve">by target populations </w:t>
      </w:r>
      <w:r w:rsidR="000113E8" w:rsidRPr="00207642">
        <w:t xml:space="preserve">was assumed.  </w:t>
      </w:r>
    </w:p>
    <w:p w14:paraId="24D97AD0" w14:textId="27DBFA69" w:rsidR="002C5974" w:rsidRPr="00207642" w:rsidRDefault="00E546FC" w:rsidP="002C5974">
      <w:pPr>
        <w:spacing w:line="480" w:lineRule="auto"/>
      </w:pPr>
      <w:r w:rsidRPr="00207642">
        <w:t>For all simulations, a</w:t>
      </w:r>
      <w:r w:rsidR="002C5974" w:rsidRPr="00207642">
        <w:t xml:space="preserve"> lower bound was set at 2SD below mean intake reported from food diaries in the analytic sample for all simulations</w:t>
      </w:r>
      <w:r w:rsidR="00B71CC1" w:rsidRPr="00207642">
        <w:t>,</w:t>
      </w:r>
      <w:r w:rsidR="002C5974" w:rsidRPr="00207642">
        <w:t xml:space="preserve"> guided by the lower nutrient intake bound,[</w:t>
      </w:r>
      <w:bookmarkStart w:id="26" w:name="_Ref54943710"/>
      <w:r w:rsidR="00A16FBC" w:rsidRPr="00207642">
        <w:rPr>
          <w:rStyle w:val="EndnoteReference"/>
          <w:vertAlign w:val="baseline"/>
        </w:rPr>
        <w:endnoteReference w:id="23"/>
      </w:r>
      <w:bookmarkEnd w:id="26"/>
      <w:r w:rsidR="002C5974" w:rsidRPr="00207642">
        <w:t xml:space="preserve">] and was set to prevent energy intake being reduced among children with low </w:t>
      </w:r>
      <w:r w:rsidR="000607DD" w:rsidRPr="00207642">
        <w:t>cal</w:t>
      </w:r>
      <w:r w:rsidR="00E152DD" w:rsidRPr="00207642">
        <w:t>orie</w:t>
      </w:r>
      <w:r w:rsidR="000607DD" w:rsidRPr="00207642">
        <w:t xml:space="preserve"> </w:t>
      </w:r>
      <w:r w:rsidR="002C5974" w:rsidRPr="00207642">
        <w:t xml:space="preserve">intake. </w:t>
      </w:r>
    </w:p>
    <w:p w14:paraId="4649402C" w14:textId="77777777" w:rsidR="002C5974" w:rsidRPr="00207642" w:rsidRDefault="002C5974" w:rsidP="002C5974">
      <w:pPr>
        <w:spacing w:line="480" w:lineRule="auto"/>
      </w:pPr>
      <w:r w:rsidRPr="00207642">
        <w:t>Table 1. Simulated intervention scenarios</w:t>
      </w:r>
    </w:p>
    <w:p w14:paraId="5D6F2D55" w14:textId="032FC42F" w:rsidR="002C5974" w:rsidRPr="00207642" w:rsidRDefault="002C5974" w:rsidP="002C5974">
      <w:pPr>
        <w:spacing w:line="480" w:lineRule="auto"/>
      </w:pPr>
      <w:r w:rsidRPr="00207642">
        <w:t>&lt;&lt;&lt;table 1 here&gt;&gt;&gt;</w:t>
      </w:r>
    </w:p>
    <w:p w14:paraId="4644EABE" w14:textId="05313124" w:rsidR="00600A39" w:rsidRPr="00207642" w:rsidRDefault="00600A39" w:rsidP="00FA3E0C">
      <w:pPr>
        <w:spacing w:line="480" w:lineRule="auto"/>
        <w:rPr>
          <w:i/>
        </w:rPr>
      </w:pPr>
      <w:r w:rsidRPr="00207642">
        <w:rPr>
          <w:b/>
          <w:i/>
        </w:rPr>
        <w:t>Sensitivity analyses</w:t>
      </w:r>
    </w:p>
    <w:p w14:paraId="204463C7" w14:textId="3EFF6F43" w:rsidR="00DB1719" w:rsidRPr="00207642" w:rsidRDefault="00193EB4" w:rsidP="00FA3E0C">
      <w:pPr>
        <w:spacing w:line="480" w:lineRule="auto"/>
      </w:pPr>
      <w:r w:rsidRPr="00207642">
        <w:t>Three</w:t>
      </w:r>
      <w:r w:rsidR="00A7106B" w:rsidRPr="00207642">
        <w:t xml:space="preserve"> sensitivity analyses were carried out. </w:t>
      </w:r>
      <w:r w:rsidRPr="00207642">
        <w:t>Firstly</w:t>
      </w:r>
      <w:r w:rsidR="00A7106B" w:rsidRPr="00207642">
        <w:t>, models were estimated in a c</w:t>
      </w:r>
      <w:r w:rsidR="00751C66" w:rsidRPr="00207642">
        <w:t xml:space="preserve">omplete case </w:t>
      </w:r>
      <w:r w:rsidR="00A7106B" w:rsidRPr="00207642">
        <w:t>sample</w:t>
      </w:r>
      <w:r w:rsidR="00D04E18" w:rsidRPr="00207642">
        <w:t xml:space="preserve"> </w:t>
      </w:r>
      <w:r w:rsidR="00751C66" w:rsidRPr="00207642">
        <w:t>(n=</w:t>
      </w:r>
      <w:r w:rsidR="00C971CB" w:rsidRPr="00207642">
        <w:t>646</w:t>
      </w:r>
      <w:r w:rsidR="00751C66" w:rsidRPr="00207642">
        <w:t xml:space="preserve">). </w:t>
      </w:r>
      <w:r w:rsidRPr="00207642">
        <w:t>Secondly</w:t>
      </w:r>
      <w:r w:rsidR="001A5513" w:rsidRPr="00207642">
        <w:t>, a</w:t>
      </w:r>
      <w:r w:rsidR="00DE0671" w:rsidRPr="00207642">
        <w:t>nalyses were r</w:t>
      </w:r>
      <w:r w:rsidR="00600A39" w:rsidRPr="00207642">
        <w:t>epeated</w:t>
      </w:r>
      <w:r w:rsidR="00286AE3" w:rsidRPr="00207642">
        <w:t xml:space="preserve"> using </w:t>
      </w:r>
      <w:r w:rsidR="00DE0671" w:rsidRPr="00207642">
        <w:t xml:space="preserve">maternal </w:t>
      </w:r>
      <w:r w:rsidRPr="00207642">
        <w:t>social class</w:t>
      </w:r>
      <w:r w:rsidR="00DE0671" w:rsidRPr="00207642">
        <w:t xml:space="preserve"> as an alternat</w:t>
      </w:r>
      <w:r w:rsidR="001A5513" w:rsidRPr="00207642">
        <w:t>iv</w:t>
      </w:r>
      <w:r w:rsidR="00DE0671" w:rsidRPr="00207642">
        <w:t>e</w:t>
      </w:r>
      <w:r w:rsidR="007872CF" w:rsidRPr="00207642">
        <w:t xml:space="preserve"> </w:t>
      </w:r>
      <w:r w:rsidRPr="00207642">
        <w:t xml:space="preserve">indicator of </w:t>
      </w:r>
      <w:r w:rsidR="00776583" w:rsidRPr="00207642">
        <w:t>socioeconomic circumstances</w:t>
      </w:r>
      <w:r w:rsidR="00DE0671" w:rsidRPr="00207642">
        <w:t>.</w:t>
      </w:r>
      <w:r w:rsidR="00B81C0F" w:rsidRPr="00207642">
        <w:t xml:space="preserve"> </w:t>
      </w:r>
      <w:r w:rsidRPr="00207642">
        <w:t>T</w:t>
      </w:r>
      <w:r w:rsidR="00A7106B" w:rsidRPr="00207642">
        <w:t>hird</w:t>
      </w:r>
      <w:r w:rsidRPr="00207642">
        <w:t>ly</w:t>
      </w:r>
      <w:r w:rsidR="001A5513" w:rsidRPr="00207642">
        <w:t>,</w:t>
      </w:r>
      <w:r w:rsidR="00751C66" w:rsidRPr="00207642">
        <w:t xml:space="preserve"> </w:t>
      </w:r>
      <w:r w:rsidR="009B671E" w:rsidRPr="00207642">
        <w:t>S1 was</w:t>
      </w:r>
      <w:r w:rsidR="00751C66" w:rsidRPr="00207642">
        <w:t xml:space="preserve"> </w:t>
      </w:r>
      <w:r w:rsidRPr="00207642">
        <w:t>run</w:t>
      </w:r>
      <w:r w:rsidR="00751C66" w:rsidRPr="00207642">
        <w:t xml:space="preserve"> with </w:t>
      </w:r>
      <w:r w:rsidR="008F513D" w:rsidRPr="00207642">
        <w:t xml:space="preserve">higher and </w:t>
      </w:r>
      <w:r w:rsidR="00A8463E" w:rsidRPr="00207642">
        <w:t>l</w:t>
      </w:r>
      <w:r w:rsidR="001A5513" w:rsidRPr="00207642">
        <w:t>ower</w:t>
      </w:r>
      <w:r w:rsidR="00751C66" w:rsidRPr="00207642">
        <w:t xml:space="preserve"> level</w:t>
      </w:r>
      <w:r w:rsidR="008F513D" w:rsidRPr="00207642">
        <w:t>s of</w:t>
      </w:r>
      <w:r w:rsidR="001A5513" w:rsidRPr="00207642">
        <w:t xml:space="preserve"> </w:t>
      </w:r>
      <w:r w:rsidR="00776583" w:rsidRPr="00207642">
        <w:t xml:space="preserve">intervention </w:t>
      </w:r>
      <w:r w:rsidR="00751C66" w:rsidRPr="00207642">
        <w:t xml:space="preserve">uptake </w:t>
      </w:r>
      <w:r w:rsidR="007C1DA8" w:rsidRPr="00207642">
        <w:t>(</w:t>
      </w:r>
      <w:r w:rsidR="008F513D" w:rsidRPr="00207642">
        <w:t xml:space="preserve">100% and </w:t>
      </w:r>
      <w:r w:rsidRPr="00207642">
        <w:t>5</w:t>
      </w:r>
      <w:r w:rsidR="007C1DA8" w:rsidRPr="00207642">
        <w:t xml:space="preserve">0%) </w:t>
      </w:r>
      <w:r w:rsidR="00776583" w:rsidRPr="00207642">
        <w:t xml:space="preserve">reflecting </w:t>
      </w:r>
      <w:r w:rsidR="00751C66" w:rsidRPr="00207642">
        <w:t xml:space="preserve">compliance with a policy </w:t>
      </w:r>
      <w:r w:rsidRPr="00207642">
        <w:t>measure</w:t>
      </w:r>
      <w:r w:rsidR="00751C66" w:rsidRPr="00207642">
        <w:t xml:space="preserve"> or intervention. </w:t>
      </w:r>
    </w:p>
    <w:p w14:paraId="3D23A081" w14:textId="5410C6BC" w:rsidR="00E41243" w:rsidRPr="00207642" w:rsidRDefault="00E41243" w:rsidP="00FA3E0C">
      <w:pPr>
        <w:spacing w:line="480" w:lineRule="auto"/>
        <w:rPr>
          <w:b/>
        </w:rPr>
      </w:pPr>
      <w:r w:rsidRPr="00207642">
        <w:rPr>
          <w:b/>
        </w:rPr>
        <w:t>Results</w:t>
      </w:r>
      <w:r w:rsidR="00F60B4F" w:rsidRPr="00207642">
        <w:rPr>
          <w:b/>
        </w:rPr>
        <w:t xml:space="preserve"> </w:t>
      </w:r>
    </w:p>
    <w:p w14:paraId="6DB48FB8" w14:textId="7C307EB3" w:rsidR="009D0841" w:rsidRPr="00207642" w:rsidRDefault="009D0841" w:rsidP="00FA3E0C">
      <w:pPr>
        <w:spacing w:line="480" w:lineRule="auto"/>
        <w:rPr>
          <w:b/>
          <w:i/>
        </w:rPr>
      </w:pPr>
      <w:r w:rsidRPr="00207642">
        <w:rPr>
          <w:b/>
          <w:i/>
        </w:rPr>
        <w:t>Descriptives</w:t>
      </w:r>
    </w:p>
    <w:p w14:paraId="1478E517" w14:textId="7C17D21F" w:rsidR="003869F0" w:rsidRPr="00207642" w:rsidRDefault="00096FFE" w:rsidP="00FA3E0C">
      <w:pPr>
        <w:spacing w:line="480" w:lineRule="auto"/>
      </w:pPr>
      <w:r w:rsidRPr="00207642">
        <w:t>O</w:t>
      </w:r>
      <w:r w:rsidR="0027240B" w:rsidRPr="00207642">
        <w:t xml:space="preserve">f </w:t>
      </w:r>
      <w:r w:rsidR="00D55A60" w:rsidRPr="00207642">
        <w:t>mothers in t</w:t>
      </w:r>
      <w:r w:rsidR="0027240B" w:rsidRPr="00207642">
        <w:t>he analytic sample</w:t>
      </w:r>
      <w:r w:rsidRPr="00207642">
        <w:t>, 12.5%</w:t>
      </w:r>
      <w:r w:rsidR="0027240B" w:rsidRPr="00207642">
        <w:t xml:space="preserve"> </w:t>
      </w:r>
      <w:r w:rsidR="004C36B0" w:rsidRPr="00207642">
        <w:t xml:space="preserve">were </w:t>
      </w:r>
      <w:r w:rsidR="003941D6" w:rsidRPr="00207642">
        <w:t xml:space="preserve">from </w:t>
      </w:r>
      <w:r w:rsidR="00F67DCE" w:rsidRPr="00207642">
        <w:t xml:space="preserve">the lowest </w:t>
      </w:r>
      <w:r w:rsidR="00AC7A0C" w:rsidRPr="00207642">
        <w:t>education group</w:t>
      </w:r>
      <w:r w:rsidR="00F67DCE" w:rsidRPr="00207642">
        <w:t xml:space="preserve"> </w:t>
      </w:r>
      <w:r w:rsidR="001A5259" w:rsidRPr="00207642">
        <w:t>(</w:t>
      </w:r>
      <w:r w:rsidR="002372D3" w:rsidRPr="00207642">
        <w:t>table 2</w:t>
      </w:r>
      <w:r w:rsidR="003941D6" w:rsidRPr="00207642">
        <w:t>)</w:t>
      </w:r>
      <w:r w:rsidR="00F67DCE" w:rsidRPr="00207642">
        <w:t xml:space="preserve">. </w:t>
      </w:r>
      <w:r w:rsidR="003941D6" w:rsidRPr="00207642">
        <w:t xml:space="preserve">At age </w:t>
      </w:r>
      <w:r w:rsidR="00AC7A0C" w:rsidRPr="00207642">
        <w:t>3</w:t>
      </w:r>
      <w:r w:rsidR="00A723BF" w:rsidRPr="00207642">
        <w:t xml:space="preserve"> years</w:t>
      </w:r>
      <w:r w:rsidR="003941D6" w:rsidRPr="00207642">
        <w:t>,</w:t>
      </w:r>
      <w:r w:rsidR="004C36B0" w:rsidRPr="00207642">
        <w:t xml:space="preserve"> </w:t>
      </w:r>
      <w:r w:rsidR="003941D6" w:rsidRPr="00207642">
        <w:t xml:space="preserve">median </w:t>
      </w:r>
      <w:r w:rsidR="00AC7A0C" w:rsidRPr="00207642">
        <w:t>energy intake</w:t>
      </w:r>
      <w:r w:rsidR="003941D6" w:rsidRPr="00207642">
        <w:t xml:space="preserve"> was</w:t>
      </w:r>
      <w:r w:rsidR="00C52093" w:rsidRPr="00207642">
        <w:t xml:space="preserve"> 12</w:t>
      </w:r>
      <w:r w:rsidR="006F3E34" w:rsidRPr="00207642">
        <w:t>92.6</w:t>
      </w:r>
      <w:r w:rsidR="00492708" w:rsidRPr="00207642">
        <w:t xml:space="preserve"> kcal</w:t>
      </w:r>
      <w:r w:rsidR="00026FB4" w:rsidRPr="00207642">
        <w:t>s</w:t>
      </w:r>
      <w:r w:rsidR="006F3E34" w:rsidRPr="00207642">
        <w:t xml:space="preserve"> overall and</w:t>
      </w:r>
      <w:r w:rsidR="00A02138" w:rsidRPr="00207642">
        <w:t xml:space="preserve"> 1311.5 </w:t>
      </w:r>
      <w:r w:rsidR="00026FB4" w:rsidRPr="00207642">
        <w:t xml:space="preserve">kcals </w:t>
      </w:r>
      <w:r w:rsidR="00A02138" w:rsidRPr="00207642">
        <w:t>for boys and 1273.5</w:t>
      </w:r>
      <w:r w:rsidR="00026FB4" w:rsidRPr="00207642">
        <w:t xml:space="preserve"> kcals</w:t>
      </w:r>
      <w:r w:rsidR="00A02138" w:rsidRPr="00207642">
        <w:t xml:space="preserve"> for girls</w:t>
      </w:r>
      <w:r w:rsidR="00751C66" w:rsidRPr="00207642">
        <w:t>,</w:t>
      </w:r>
      <w:r w:rsidR="00783100" w:rsidRPr="00207642">
        <w:t xml:space="preserve"> which </w:t>
      </w:r>
      <w:r w:rsidR="00AC7A0C" w:rsidRPr="00207642">
        <w:t>equated to an excess of</w:t>
      </w:r>
      <w:r w:rsidR="00751C66" w:rsidRPr="00207642">
        <w:t xml:space="preserve"> </w:t>
      </w:r>
      <w:r w:rsidR="00A02138" w:rsidRPr="00207642">
        <w:t xml:space="preserve">140.5 and 197.5 </w:t>
      </w:r>
      <w:r w:rsidR="004C36B0" w:rsidRPr="00207642">
        <w:t xml:space="preserve">calories </w:t>
      </w:r>
      <w:r w:rsidR="00AC7A0C" w:rsidRPr="00207642">
        <w:t>respectively compared to the</w:t>
      </w:r>
      <w:r w:rsidR="00783100" w:rsidRPr="00207642">
        <w:t xml:space="preserve"> EAR</w:t>
      </w:r>
      <w:r w:rsidR="004C36B0" w:rsidRPr="00207642">
        <w:t xml:space="preserve">. </w:t>
      </w:r>
      <w:r w:rsidR="004D2C7D" w:rsidRPr="00207642">
        <w:t>The percentage of children with</w:t>
      </w:r>
      <w:r w:rsidR="00291D3C" w:rsidRPr="00207642">
        <w:t xml:space="preserve"> reported energy</w:t>
      </w:r>
      <w:r w:rsidR="004D2C7D" w:rsidRPr="00207642">
        <w:t xml:space="preserve"> intake</w:t>
      </w:r>
      <w:r w:rsidR="00291D3C" w:rsidRPr="00207642">
        <w:t xml:space="preserve"> </w:t>
      </w:r>
      <w:r w:rsidR="004D2C7D" w:rsidRPr="00207642">
        <w:t xml:space="preserve">equal to or less than the EAR was </w:t>
      </w:r>
      <w:r w:rsidR="00291D3C" w:rsidRPr="00207642">
        <w:t>33</w:t>
      </w:r>
      <w:r w:rsidR="004D2C7D" w:rsidRPr="00207642">
        <w:t>.</w:t>
      </w:r>
      <w:r w:rsidR="00291D3C" w:rsidRPr="00207642">
        <w:t>5</w:t>
      </w:r>
      <w:r w:rsidR="004D2C7D" w:rsidRPr="00207642">
        <w:t>% for boys and</w:t>
      </w:r>
      <w:r w:rsidR="009B671E" w:rsidRPr="00207642">
        <w:t xml:space="preserve"> 22.0% </w:t>
      </w:r>
      <w:r w:rsidR="004D2C7D" w:rsidRPr="00207642">
        <w:t xml:space="preserve"> </w:t>
      </w:r>
      <w:r w:rsidR="00492708" w:rsidRPr="00207642">
        <w:t xml:space="preserve">for </w:t>
      </w:r>
      <w:r w:rsidR="004D2C7D" w:rsidRPr="00207642">
        <w:t xml:space="preserve">girls. </w:t>
      </w:r>
      <w:r w:rsidR="003941D6" w:rsidRPr="00207642">
        <w:t xml:space="preserve">Obesity </w:t>
      </w:r>
      <w:r w:rsidR="00F67DCE" w:rsidRPr="00207642">
        <w:t xml:space="preserve">prevalence </w:t>
      </w:r>
      <w:r w:rsidR="00776583" w:rsidRPr="00207642">
        <w:t>at</w:t>
      </w:r>
      <w:r w:rsidR="00F67DCE" w:rsidRPr="00207642">
        <w:t xml:space="preserve"> </w:t>
      </w:r>
      <w:r w:rsidR="00291D3C" w:rsidRPr="00207642">
        <w:t>age 6</w:t>
      </w:r>
      <w:r w:rsidR="00671EE9" w:rsidRPr="00207642">
        <w:t>-7</w:t>
      </w:r>
      <w:r w:rsidR="00291D3C" w:rsidRPr="00207642">
        <w:t xml:space="preserve"> </w:t>
      </w:r>
      <w:r w:rsidR="00602F5C" w:rsidRPr="00207642">
        <w:t xml:space="preserve">years </w:t>
      </w:r>
      <w:r w:rsidR="00F67DCE" w:rsidRPr="00207642">
        <w:t>was 8.3%.</w:t>
      </w:r>
      <w:r w:rsidR="004D2C7D" w:rsidRPr="00207642">
        <w:t xml:space="preserve"> </w:t>
      </w:r>
    </w:p>
    <w:p w14:paraId="710F7E89" w14:textId="035F5448" w:rsidR="002372D3" w:rsidRPr="00207642" w:rsidRDefault="00EC4672" w:rsidP="007D348C">
      <w:pPr>
        <w:spacing w:line="480" w:lineRule="auto"/>
      </w:pPr>
      <w:r w:rsidRPr="00207642">
        <w:t>M</w:t>
      </w:r>
      <w:r w:rsidR="002372D3" w:rsidRPr="00207642">
        <w:t xml:space="preserve">aternal </w:t>
      </w:r>
      <w:r w:rsidR="00291D3C" w:rsidRPr="00207642">
        <w:t xml:space="preserve">education </w:t>
      </w:r>
      <w:r w:rsidR="00776583" w:rsidRPr="00207642">
        <w:t xml:space="preserve">was associated with </w:t>
      </w:r>
      <w:r w:rsidR="00A47CEE" w:rsidRPr="00207642">
        <w:t xml:space="preserve">childhood </w:t>
      </w:r>
      <w:r w:rsidR="002372D3" w:rsidRPr="00207642">
        <w:t xml:space="preserve">obesity at age </w:t>
      </w:r>
      <w:r w:rsidR="00291D3C" w:rsidRPr="00207642">
        <w:t>6</w:t>
      </w:r>
      <w:r w:rsidR="00671EE9" w:rsidRPr="00207642">
        <w:t>-7</w:t>
      </w:r>
      <w:r w:rsidR="002372D3" w:rsidRPr="00207642">
        <w:t xml:space="preserve"> years</w:t>
      </w:r>
      <w:r w:rsidR="00A47CEE" w:rsidRPr="00207642">
        <w:t xml:space="preserve"> but in these analyses the marker for disadvantage was a property of the mother, not the child.</w:t>
      </w:r>
      <w:r w:rsidR="002372D3" w:rsidRPr="00207642">
        <w:t xml:space="preserve"> </w:t>
      </w:r>
      <w:r w:rsidR="00776583" w:rsidRPr="00207642">
        <w:t xml:space="preserve">Children with mothers in the </w:t>
      </w:r>
      <w:r w:rsidR="006552ED" w:rsidRPr="00207642">
        <w:t xml:space="preserve">low </w:t>
      </w:r>
      <w:r w:rsidR="00D34841" w:rsidRPr="00207642">
        <w:t>educational group</w:t>
      </w:r>
      <w:r w:rsidR="002372D3" w:rsidRPr="00207642">
        <w:t xml:space="preserve"> were </w:t>
      </w:r>
      <w:r w:rsidR="00C9207D" w:rsidRPr="00207642">
        <w:t>2</w:t>
      </w:r>
      <w:r w:rsidR="002372D3" w:rsidRPr="00207642">
        <w:t>.</w:t>
      </w:r>
      <w:r w:rsidR="00C9207D" w:rsidRPr="00207642">
        <w:t>2</w:t>
      </w:r>
      <w:r w:rsidR="002372D3" w:rsidRPr="00207642">
        <w:t xml:space="preserve"> times more likely to be living with obesity</w:t>
      </w:r>
      <w:r w:rsidR="003E36D1" w:rsidRPr="00207642">
        <w:t xml:space="preserve"> compared to those </w:t>
      </w:r>
      <w:r w:rsidR="00FE07FF" w:rsidRPr="00207642">
        <w:t>with</w:t>
      </w:r>
      <w:r w:rsidR="003E36D1" w:rsidRPr="00207642">
        <w:t xml:space="preserve"> mothers in the </w:t>
      </w:r>
      <w:r w:rsidR="006552ED" w:rsidRPr="00207642">
        <w:t>highest</w:t>
      </w:r>
      <w:r w:rsidR="003E36D1" w:rsidRPr="00207642">
        <w:t xml:space="preserve"> educational group</w:t>
      </w:r>
      <w:r w:rsidR="002372D3" w:rsidRPr="00207642">
        <w:t xml:space="preserve">. </w:t>
      </w:r>
      <w:r w:rsidR="00C9207D" w:rsidRPr="00207642">
        <w:t>D</w:t>
      </w:r>
      <w:r w:rsidR="002372D3" w:rsidRPr="00207642">
        <w:t>aily calorie</w:t>
      </w:r>
      <w:r w:rsidR="00C9207D" w:rsidRPr="00207642">
        <w:t xml:space="preserve"> intake</w:t>
      </w:r>
      <w:r w:rsidR="002372D3" w:rsidRPr="00207642">
        <w:t xml:space="preserve"> reported</w:t>
      </w:r>
      <w:r w:rsidR="00C9207D" w:rsidRPr="00207642">
        <w:t xml:space="preserve"> from food diaries</w:t>
      </w:r>
      <w:r w:rsidR="002372D3" w:rsidRPr="00207642">
        <w:t xml:space="preserve"> at age </w:t>
      </w:r>
      <w:r w:rsidR="00C9207D" w:rsidRPr="00207642">
        <w:t>3</w:t>
      </w:r>
      <w:r w:rsidR="002372D3" w:rsidRPr="00207642">
        <w:t xml:space="preserve"> </w:t>
      </w:r>
      <w:r w:rsidR="00602F5C" w:rsidRPr="00207642">
        <w:t xml:space="preserve">years </w:t>
      </w:r>
      <w:r w:rsidR="002372D3" w:rsidRPr="00207642">
        <w:t xml:space="preserve">was positively associated with </w:t>
      </w:r>
      <w:r w:rsidR="003E36D1" w:rsidRPr="00207642">
        <w:t xml:space="preserve">higher </w:t>
      </w:r>
      <w:r w:rsidR="002372D3" w:rsidRPr="00207642">
        <w:t xml:space="preserve">BMI z-scores and obesity </w:t>
      </w:r>
      <w:r w:rsidR="003E36D1" w:rsidRPr="00207642">
        <w:t xml:space="preserve">status </w:t>
      </w:r>
      <w:r w:rsidR="002372D3" w:rsidRPr="00207642">
        <w:t xml:space="preserve">at age </w:t>
      </w:r>
      <w:r w:rsidR="00C9207D" w:rsidRPr="00207642">
        <w:t>6</w:t>
      </w:r>
      <w:r w:rsidR="00671EE9" w:rsidRPr="00207642">
        <w:t>-7</w:t>
      </w:r>
      <w:r w:rsidR="002372D3" w:rsidRPr="00207642">
        <w:t xml:space="preserve"> </w:t>
      </w:r>
      <w:r w:rsidR="00392CC4" w:rsidRPr="00207642">
        <w:t xml:space="preserve">years </w:t>
      </w:r>
      <w:r w:rsidR="002372D3" w:rsidRPr="00207642">
        <w:t>(p</w:t>
      </w:r>
      <w:r w:rsidR="001956D9" w:rsidRPr="00207642">
        <w:t>=</w:t>
      </w:r>
      <w:r w:rsidR="002372D3" w:rsidRPr="00207642">
        <w:t xml:space="preserve">0.01). </w:t>
      </w:r>
      <w:bookmarkStart w:id="27" w:name="_Hlk44421521"/>
      <w:r w:rsidR="003E36D1" w:rsidRPr="00207642">
        <w:t>Median</w:t>
      </w:r>
      <w:r w:rsidR="00C9207D" w:rsidRPr="00207642">
        <w:t xml:space="preserve"> calorie consumption </w:t>
      </w:r>
      <w:r w:rsidR="003E36D1" w:rsidRPr="00207642">
        <w:t xml:space="preserve">was greatest in children with mothers in </w:t>
      </w:r>
      <w:r w:rsidR="00C9207D" w:rsidRPr="00207642">
        <w:t>the highest educational group</w:t>
      </w:r>
      <w:r w:rsidR="003E36D1" w:rsidRPr="00207642">
        <w:t>,</w:t>
      </w:r>
      <w:r w:rsidR="00C9207D" w:rsidRPr="00207642">
        <w:t xml:space="preserve"> but the</w:t>
      </w:r>
      <w:r w:rsidR="00EE4135" w:rsidRPr="00207642">
        <w:t>re was no apparent</w:t>
      </w:r>
      <w:r w:rsidR="00C9207D" w:rsidRPr="00207642">
        <w:t xml:space="preserve"> </w:t>
      </w:r>
      <w:r w:rsidR="002372D3" w:rsidRPr="00207642">
        <w:t xml:space="preserve">relationship between maternal </w:t>
      </w:r>
      <w:r w:rsidR="00C9207D" w:rsidRPr="00207642">
        <w:t xml:space="preserve">educational </w:t>
      </w:r>
      <w:r w:rsidR="002372D3" w:rsidRPr="00207642">
        <w:t xml:space="preserve">and </w:t>
      </w:r>
      <w:r w:rsidR="00C9207D" w:rsidRPr="00207642">
        <w:t>energy</w:t>
      </w:r>
      <w:r w:rsidR="002372D3" w:rsidRPr="00207642">
        <w:t xml:space="preserve"> intake</w:t>
      </w:r>
      <w:r w:rsidR="00C9207D" w:rsidRPr="00207642">
        <w:t xml:space="preserve"> </w:t>
      </w:r>
      <w:bookmarkEnd w:id="27"/>
      <w:r w:rsidR="00E214FC" w:rsidRPr="00207642">
        <w:t>(</w:t>
      </w:r>
      <w:r w:rsidR="00E81CB5" w:rsidRPr="00207642">
        <w:t>Table S2</w:t>
      </w:r>
      <w:r w:rsidR="002372D3" w:rsidRPr="00207642">
        <w:t>).</w:t>
      </w:r>
      <w:r w:rsidR="00A14F47" w:rsidRPr="00207642">
        <w:t xml:space="preserve"> </w:t>
      </w:r>
      <w:r w:rsidR="00D55A60" w:rsidRPr="00207642">
        <w:rPr>
          <w:bCs/>
          <w:iCs/>
        </w:rPr>
        <w:t>Potential baseline and intermediate confounders were associated with maternal education (exposure) and childhood obesity at age 6-7 years (outcome) but were not associated with estimated energy intake (mediator).</w:t>
      </w:r>
      <w:r w:rsidR="007D348C" w:rsidRPr="00207642">
        <w:rPr>
          <w:bCs/>
          <w:iCs/>
        </w:rPr>
        <w:t xml:space="preserve"> </w:t>
      </w:r>
      <w:r w:rsidR="00E75F2B" w:rsidRPr="00207642">
        <w:t>Relationships between confounding variables and exposure, mediator and outcome variables are shown in Table S3.</w:t>
      </w:r>
    </w:p>
    <w:p w14:paraId="6C095C46" w14:textId="180DBBB5" w:rsidR="00A47CEE" w:rsidRPr="00207642" w:rsidRDefault="00A47CEE" w:rsidP="00A47CEE">
      <w:pPr>
        <w:spacing w:line="480" w:lineRule="auto"/>
      </w:pPr>
      <w:r w:rsidRPr="00207642">
        <w:rPr>
          <w:b/>
        </w:rPr>
        <w:t>Table 2.</w:t>
      </w:r>
      <w:r w:rsidRPr="00207642">
        <w:t xml:space="preserve"> Descriptive statistics of</w:t>
      </w:r>
      <w:r w:rsidR="0088285F" w:rsidRPr="00207642">
        <w:t xml:space="preserve"> the</w:t>
      </w:r>
      <w:r w:rsidRPr="00207642">
        <w:t xml:space="preserve"> SWS across analytical samples</w:t>
      </w:r>
    </w:p>
    <w:p w14:paraId="4D88A6E0" w14:textId="77777777" w:rsidR="00A47CEE" w:rsidRPr="00207642" w:rsidRDefault="00A47CEE" w:rsidP="00A47CEE">
      <w:pPr>
        <w:spacing w:line="480" w:lineRule="auto"/>
      </w:pPr>
      <w:r w:rsidRPr="00207642">
        <w:t>&lt;&lt;&lt;table 1 here&gt;&gt;&gt;</w:t>
      </w:r>
    </w:p>
    <w:p w14:paraId="28452713" w14:textId="695534AB" w:rsidR="000D4C0F" w:rsidRPr="00207642" w:rsidRDefault="009D0841" w:rsidP="00201B23">
      <w:pPr>
        <w:spacing w:line="480" w:lineRule="auto"/>
      </w:pPr>
      <w:r w:rsidRPr="00207642">
        <w:rPr>
          <w:b/>
          <w:i/>
        </w:rPr>
        <w:t>Simulated interventions</w:t>
      </w:r>
      <w:r w:rsidRPr="00207642">
        <w:t xml:space="preserve"> </w:t>
      </w:r>
    </w:p>
    <w:p w14:paraId="356A16C3" w14:textId="31E25895" w:rsidR="00B91F71" w:rsidRPr="00207642" w:rsidRDefault="00A234DC" w:rsidP="00C23104">
      <w:pPr>
        <w:spacing w:line="480" w:lineRule="auto"/>
      </w:pPr>
      <w:r w:rsidRPr="00207642">
        <w:t>In the unadjusted model</w:t>
      </w:r>
      <w:r w:rsidR="00C23104" w:rsidRPr="00207642">
        <w:t xml:space="preserve">, population prevalence of obesity for children aged 6-7 years was 8.4%; 10.1% in the lowest education group and 4.8% in the highest. </w:t>
      </w:r>
      <w:r w:rsidR="00B91F71" w:rsidRPr="00207642">
        <w:t xml:space="preserve">The estimated population prevalence of obesity for children aged </w:t>
      </w:r>
      <w:r w:rsidR="004F4D57" w:rsidRPr="00207642">
        <w:t>6</w:t>
      </w:r>
      <w:r w:rsidR="00671EE9" w:rsidRPr="00207642">
        <w:t>-7</w:t>
      </w:r>
      <w:r w:rsidR="00B91F71" w:rsidRPr="00207642">
        <w:t xml:space="preserve"> </w:t>
      </w:r>
      <w:r w:rsidR="00E81CB5" w:rsidRPr="00207642">
        <w:t xml:space="preserve">years </w:t>
      </w:r>
      <w:r w:rsidR="00936B6D" w:rsidRPr="00207642">
        <w:t>in the CDE model</w:t>
      </w:r>
      <w:r w:rsidR="0035497B" w:rsidRPr="00207642">
        <w:t xml:space="preserve"> was 8.3%</w:t>
      </w:r>
      <w:r w:rsidR="00936B6D" w:rsidRPr="00207642">
        <w:t xml:space="preserve"> (</w:t>
      </w:r>
      <w:r w:rsidR="00B91F71" w:rsidRPr="00207642">
        <w:t xml:space="preserve">after adjustment for </w:t>
      </w:r>
      <w:r w:rsidR="004F4D57" w:rsidRPr="00207642">
        <w:t xml:space="preserve">children’s </w:t>
      </w:r>
      <w:r w:rsidR="00B91F71" w:rsidRPr="00207642">
        <w:t xml:space="preserve">reported </w:t>
      </w:r>
      <w:r w:rsidR="004F4D57" w:rsidRPr="00207642">
        <w:t>energy</w:t>
      </w:r>
      <w:r w:rsidR="00B91F71" w:rsidRPr="00207642">
        <w:t xml:space="preserve"> intake at </w:t>
      </w:r>
      <w:r w:rsidR="004F4D57" w:rsidRPr="00207642">
        <w:t>age 3</w:t>
      </w:r>
      <w:r w:rsidR="006D2874" w:rsidRPr="00207642">
        <w:t xml:space="preserve"> years</w:t>
      </w:r>
      <w:r w:rsidR="00936B6D" w:rsidRPr="00207642">
        <w:t xml:space="preserve"> and confounding)</w:t>
      </w:r>
      <w:r w:rsidR="004F4D57" w:rsidRPr="00207642">
        <w:t xml:space="preserve"> with</w:t>
      </w:r>
      <w:r w:rsidR="00B91F71" w:rsidRPr="00207642">
        <w:t xml:space="preserve"> inequalities observed</w:t>
      </w:r>
      <w:r w:rsidR="00D55A60" w:rsidRPr="00207642">
        <w:t xml:space="preserve"> (Table 3)</w:t>
      </w:r>
      <w:r w:rsidR="00B91F71" w:rsidRPr="00207642">
        <w:t xml:space="preserve">. </w:t>
      </w:r>
      <w:r w:rsidR="00D31DD7" w:rsidRPr="00207642">
        <w:t xml:space="preserve">Children in the lowest education group were found to be 2.1 times more likely to be living with obesity when compared </w:t>
      </w:r>
      <w:r w:rsidR="00F4579D" w:rsidRPr="00207642">
        <w:t>with</w:t>
      </w:r>
      <w:r w:rsidR="00D31DD7" w:rsidRPr="00207642">
        <w:t xml:space="preserve"> the highest</w:t>
      </w:r>
      <w:r w:rsidR="00290E1F" w:rsidRPr="00207642">
        <w:t xml:space="preserve">. </w:t>
      </w:r>
      <w:r w:rsidR="00A31977" w:rsidRPr="00207642">
        <w:t>P</w:t>
      </w:r>
      <w:r w:rsidR="00B91F71" w:rsidRPr="00207642">
        <w:t xml:space="preserve">revalences </w:t>
      </w:r>
      <w:r w:rsidR="00A31977" w:rsidRPr="00207642">
        <w:t>in the unadjusted and CDE</w:t>
      </w:r>
      <w:r w:rsidR="00B91F71" w:rsidRPr="00207642">
        <w:t xml:space="preserve"> </w:t>
      </w:r>
      <w:r w:rsidR="00936B6D" w:rsidRPr="00207642">
        <w:t xml:space="preserve">models </w:t>
      </w:r>
      <w:r w:rsidR="00A31977" w:rsidRPr="00207642">
        <w:t xml:space="preserve">were similar, </w:t>
      </w:r>
      <w:r w:rsidR="00D6778E" w:rsidRPr="00207642">
        <w:t xml:space="preserve">suggesting </w:t>
      </w:r>
      <w:r w:rsidR="00A31977" w:rsidRPr="00207642">
        <w:t>that reported energy intake did not strong</w:t>
      </w:r>
      <w:r w:rsidR="00D6778E" w:rsidRPr="00207642">
        <w:t>ly</w:t>
      </w:r>
      <w:r w:rsidR="00A31977" w:rsidRPr="00207642">
        <w:t xml:space="preserve"> mediat</w:t>
      </w:r>
      <w:r w:rsidR="00D6778E" w:rsidRPr="00207642">
        <w:t>e</w:t>
      </w:r>
      <w:r w:rsidR="00B91F71" w:rsidRPr="00207642">
        <w:t xml:space="preserve"> the relationship between maternal </w:t>
      </w:r>
      <w:r w:rsidR="00A31977" w:rsidRPr="00207642">
        <w:t xml:space="preserve">education </w:t>
      </w:r>
      <w:r w:rsidR="00B91F71" w:rsidRPr="00207642">
        <w:t xml:space="preserve">and </w:t>
      </w:r>
      <w:r w:rsidR="00A31977" w:rsidRPr="00207642">
        <w:t xml:space="preserve">childhood </w:t>
      </w:r>
      <w:r w:rsidR="00B91F71" w:rsidRPr="00207642">
        <w:t xml:space="preserve">obesity. </w:t>
      </w:r>
    </w:p>
    <w:p w14:paraId="67B57AD9" w14:textId="40C9DA7D" w:rsidR="00CB1818" w:rsidRPr="00207642" w:rsidRDefault="00831DAF" w:rsidP="00FA3E0C">
      <w:pPr>
        <w:spacing w:line="480" w:lineRule="auto"/>
      </w:pPr>
      <w:r w:rsidRPr="00207642">
        <w:rPr>
          <w:i/>
        </w:rPr>
        <w:t>Scenario</w:t>
      </w:r>
      <w:r w:rsidR="003D10E2" w:rsidRPr="00207642">
        <w:rPr>
          <w:i/>
        </w:rPr>
        <w:t xml:space="preserve"> 1</w:t>
      </w:r>
      <w:r w:rsidR="00600366" w:rsidRPr="00207642">
        <w:t xml:space="preserve"> </w:t>
      </w:r>
      <w:r w:rsidR="00D6778E" w:rsidRPr="00207642">
        <w:t>(</w:t>
      </w:r>
      <w:r w:rsidR="003D10E2" w:rsidRPr="00207642">
        <w:t>a</w:t>
      </w:r>
      <w:r w:rsidR="004C36B0" w:rsidRPr="00207642">
        <w:t xml:space="preserve"> </w:t>
      </w:r>
      <w:r w:rsidR="007218FA" w:rsidRPr="00207642">
        <w:t xml:space="preserve">universal </w:t>
      </w:r>
      <w:r w:rsidR="000D40EA" w:rsidRPr="00207642">
        <w:t xml:space="preserve">calorie </w:t>
      </w:r>
      <w:r w:rsidR="003D10E2" w:rsidRPr="00207642">
        <w:t xml:space="preserve">reduction of </w:t>
      </w:r>
      <w:r w:rsidR="00981FD2" w:rsidRPr="00207642">
        <w:t>13</w:t>
      </w:r>
      <w:r w:rsidR="003D10E2" w:rsidRPr="00207642">
        <w:t>%</w:t>
      </w:r>
      <w:r w:rsidR="00D6778E" w:rsidRPr="00207642">
        <w:t>)</w:t>
      </w:r>
      <w:r w:rsidR="00A74DD5" w:rsidRPr="00207642">
        <w:t>.</w:t>
      </w:r>
      <w:r w:rsidR="00981FD2" w:rsidRPr="00207642">
        <w:t xml:space="preserve"> </w:t>
      </w:r>
      <w:r w:rsidR="00936B6D" w:rsidRPr="00207642">
        <w:t>O</w:t>
      </w:r>
      <w:r w:rsidR="003D10E2" w:rsidRPr="00207642">
        <w:t>ver</w:t>
      </w:r>
      <w:r w:rsidR="00712AD6" w:rsidRPr="00207642">
        <w:t>all obesity prevalence</w:t>
      </w:r>
      <w:r w:rsidR="007C582F" w:rsidRPr="00207642">
        <w:t xml:space="preserve"> </w:t>
      </w:r>
      <w:r w:rsidR="00936B6D" w:rsidRPr="00207642">
        <w:t xml:space="preserve">reduced by </w:t>
      </w:r>
      <w:r w:rsidR="00EF4BE6" w:rsidRPr="00207642">
        <w:t>1.0%</w:t>
      </w:r>
      <w:r w:rsidR="00C6768E" w:rsidRPr="00207642">
        <w:t>,</w:t>
      </w:r>
      <w:r w:rsidR="00936B6D" w:rsidRPr="00207642">
        <w:t xml:space="preserve"> </w:t>
      </w:r>
      <w:r w:rsidR="001A4CCD" w:rsidRPr="00207642">
        <w:t>to 7.3%</w:t>
      </w:r>
      <w:r w:rsidR="003D10E2" w:rsidRPr="00207642">
        <w:t>.</w:t>
      </w:r>
      <w:r w:rsidR="00676921" w:rsidRPr="00207642">
        <w:t xml:space="preserve"> </w:t>
      </w:r>
      <w:bookmarkStart w:id="28" w:name="_Hlk35956194"/>
      <w:r w:rsidR="00981FD2" w:rsidRPr="00207642">
        <w:t>R</w:t>
      </w:r>
      <w:r w:rsidR="00BE05E8" w:rsidRPr="00207642">
        <w:t>elative inequalities</w:t>
      </w:r>
      <w:r w:rsidR="00981FD2" w:rsidRPr="00207642">
        <w:t xml:space="preserve"> </w:t>
      </w:r>
      <w:r w:rsidR="004F0034" w:rsidRPr="00207642">
        <w:t>remained unchanged</w:t>
      </w:r>
      <w:r w:rsidR="004C262F" w:rsidRPr="00207642">
        <w:t xml:space="preserve"> </w:t>
      </w:r>
      <w:r w:rsidR="00E4095A" w:rsidRPr="00207642">
        <w:t>and</w:t>
      </w:r>
      <w:r w:rsidR="004C262F" w:rsidRPr="00207642">
        <w:t xml:space="preserve"> </w:t>
      </w:r>
      <w:r w:rsidR="00600366" w:rsidRPr="00207642">
        <w:t xml:space="preserve">absolute inequalities </w:t>
      </w:r>
      <w:r w:rsidR="00E4095A" w:rsidRPr="00207642">
        <w:t xml:space="preserve">slightly </w:t>
      </w:r>
      <w:r w:rsidR="00981FD2" w:rsidRPr="00207642">
        <w:t>narrowed</w:t>
      </w:r>
      <w:bookmarkEnd w:id="28"/>
      <w:r w:rsidR="00936B6D" w:rsidRPr="00207642">
        <w:t>, reflecting the decrease in the pop</w:t>
      </w:r>
      <w:r w:rsidR="00AA0176" w:rsidRPr="00207642">
        <w:t>ulation</w:t>
      </w:r>
      <w:r w:rsidR="00936B6D" w:rsidRPr="00207642">
        <w:t xml:space="preserve"> prevalence</w:t>
      </w:r>
      <w:r w:rsidR="00600366" w:rsidRPr="00207642">
        <w:t>.</w:t>
      </w:r>
      <w:r w:rsidR="006F2456" w:rsidRPr="00207642">
        <w:t xml:space="preserve"> </w:t>
      </w:r>
      <w:r w:rsidR="00936B6D" w:rsidRPr="00207642">
        <w:t>T</w:t>
      </w:r>
      <w:r w:rsidR="00F14A98" w:rsidRPr="00207642">
        <w:t>h</w:t>
      </w:r>
      <w:r w:rsidR="006F2456" w:rsidRPr="00207642">
        <w:t xml:space="preserve">e </w:t>
      </w:r>
      <w:r w:rsidR="00981FD2" w:rsidRPr="00207642">
        <w:t>proportion</w:t>
      </w:r>
      <w:r w:rsidR="006F2456" w:rsidRPr="00207642">
        <w:t xml:space="preserve"> of children with </w:t>
      </w:r>
      <w:r w:rsidR="00F14A98" w:rsidRPr="00207642">
        <w:t>calorie</w:t>
      </w:r>
      <w:r w:rsidR="006F2456" w:rsidRPr="00207642">
        <w:t xml:space="preserve"> intake</w:t>
      </w:r>
      <w:r w:rsidR="00F14A98" w:rsidRPr="00207642">
        <w:t xml:space="preserve"> </w:t>
      </w:r>
      <w:r w:rsidR="006F2456" w:rsidRPr="00207642">
        <w:t>equal to or less than</w:t>
      </w:r>
      <w:r w:rsidR="001E2888" w:rsidRPr="00207642">
        <w:t xml:space="preserve"> the</w:t>
      </w:r>
      <w:r w:rsidR="006F2456" w:rsidRPr="00207642">
        <w:t xml:space="preserve"> EAR increased </w:t>
      </w:r>
      <w:r w:rsidR="00F14A98" w:rsidRPr="00207642">
        <w:t>from 33.5% to 51.7</w:t>
      </w:r>
      <w:r w:rsidR="004D2C7D" w:rsidRPr="00207642">
        <w:t xml:space="preserve">% </w:t>
      </w:r>
      <w:r w:rsidR="00F14A98" w:rsidRPr="00207642">
        <w:t xml:space="preserve">for boys </w:t>
      </w:r>
      <w:r w:rsidR="004D2C7D" w:rsidRPr="00207642">
        <w:t xml:space="preserve">and </w:t>
      </w:r>
      <w:r w:rsidR="00F14A98" w:rsidRPr="00207642">
        <w:t xml:space="preserve">22.0% to </w:t>
      </w:r>
      <w:r w:rsidR="004D2C7D" w:rsidRPr="00207642">
        <w:t>3</w:t>
      </w:r>
      <w:r w:rsidR="00F14A98" w:rsidRPr="00207642">
        <w:t>7</w:t>
      </w:r>
      <w:r w:rsidR="004D2C7D" w:rsidRPr="00207642">
        <w:t>.</w:t>
      </w:r>
      <w:r w:rsidR="00F14A98" w:rsidRPr="00207642">
        <w:t>7</w:t>
      </w:r>
      <w:r w:rsidR="004D2C7D" w:rsidRPr="00207642">
        <w:t xml:space="preserve">% </w:t>
      </w:r>
      <w:r w:rsidR="00F14A98" w:rsidRPr="00207642">
        <w:t>for</w:t>
      </w:r>
      <w:r w:rsidR="004D2C7D" w:rsidRPr="00207642">
        <w:t xml:space="preserve"> girls</w:t>
      </w:r>
      <w:r w:rsidR="00936B6D" w:rsidRPr="00207642">
        <w:t xml:space="preserve"> in this scenario</w:t>
      </w:r>
      <w:r w:rsidR="004D2C7D" w:rsidRPr="00207642">
        <w:t>.</w:t>
      </w:r>
      <w:r w:rsidR="006F2456" w:rsidRPr="00207642">
        <w:t xml:space="preserve">  </w:t>
      </w:r>
      <w:r w:rsidR="00BE05E8" w:rsidRPr="00207642">
        <w:t xml:space="preserve"> </w:t>
      </w:r>
    </w:p>
    <w:p w14:paraId="3A52F3B5" w14:textId="6A17ADC9" w:rsidR="00202A48" w:rsidRPr="00207642" w:rsidRDefault="00B76F0C" w:rsidP="00FA3E0C">
      <w:pPr>
        <w:spacing w:line="480" w:lineRule="auto"/>
      </w:pPr>
      <w:r w:rsidRPr="00207642">
        <w:rPr>
          <w:i/>
        </w:rPr>
        <w:t>S</w:t>
      </w:r>
      <w:r w:rsidR="00676921" w:rsidRPr="00207642">
        <w:rPr>
          <w:i/>
        </w:rPr>
        <w:t>cenario</w:t>
      </w:r>
      <w:r w:rsidR="00E41F2B" w:rsidRPr="00207642">
        <w:rPr>
          <w:i/>
        </w:rPr>
        <w:t xml:space="preserve"> </w:t>
      </w:r>
      <w:r w:rsidRPr="00207642">
        <w:rPr>
          <w:i/>
        </w:rPr>
        <w:t>2</w:t>
      </w:r>
      <w:r w:rsidR="00E41F2B" w:rsidRPr="00207642">
        <w:t xml:space="preserve"> </w:t>
      </w:r>
      <w:r w:rsidR="00D6778E" w:rsidRPr="00207642">
        <w:t>(</w:t>
      </w:r>
      <w:r w:rsidR="00126816" w:rsidRPr="00207642">
        <w:t>a</w:t>
      </w:r>
      <w:r w:rsidR="004B5DA3" w:rsidRPr="00207642">
        <w:t>n intensive</w:t>
      </w:r>
      <w:r w:rsidR="00126816" w:rsidRPr="00207642">
        <w:t xml:space="preserve"> 21.3% reduction in </w:t>
      </w:r>
      <w:r w:rsidR="004B5DA3" w:rsidRPr="00207642">
        <w:t>energy intake</w:t>
      </w:r>
      <w:r w:rsidR="00126816" w:rsidRPr="00207642">
        <w:t>, targeted to children</w:t>
      </w:r>
      <w:r w:rsidR="004B5DA3" w:rsidRPr="00207642">
        <w:t xml:space="preserve"> living in deprived areas</w:t>
      </w:r>
      <w:r w:rsidR="00D6778E" w:rsidRPr="00207642">
        <w:t>)</w:t>
      </w:r>
      <w:r w:rsidR="005732BD" w:rsidRPr="00207642">
        <w:t xml:space="preserve">. </w:t>
      </w:r>
      <w:r w:rsidR="00D90BF9" w:rsidRPr="00207642">
        <w:t>O</w:t>
      </w:r>
      <w:r w:rsidR="005732BD" w:rsidRPr="00207642">
        <w:t>besity prevalence</w:t>
      </w:r>
      <w:r w:rsidR="00D15D74" w:rsidRPr="00207642">
        <w:t xml:space="preserve"> reduced</w:t>
      </w:r>
      <w:r w:rsidR="005732BD" w:rsidRPr="00207642">
        <w:t xml:space="preserve"> </w:t>
      </w:r>
      <w:r w:rsidR="00D15D74" w:rsidRPr="00207642">
        <w:t>and</w:t>
      </w:r>
      <w:r w:rsidR="005732BD" w:rsidRPr="00207642">
        <w:t xml:space="preserve"> absolute inequalities </w:t>
      </w:r>
      <w:r w:rsidR="004F0034" w:rsidRPr="00207642">
        <w:t>remained unchanged</w:t>
      </w:r>
      <w:r w:rsidR="005732BD" w:rsidRPr="00207642">
        <w:t>.</w:t>
      </w:r>
    </w:p>
    <w:p w14:paraId="35B900B9" w14:textId="69B69F2F" w:rsidR="004B6979" w:rsidRPr="00207642" w:rsidRDefault="000D779D" w:rsidP="00FA3E0C">
      <w:pPr>
        <w:spacing w:line="480" w:lineRule="auto"/>
      </w:pPr>
      <w:r w:rsidRPr="00207642">
        <w:t xml:space="preserve">Scenario </w:t>
      </w:r>
      <w:r w:rsidR="001C6468" w:rsidRPr="00207642">
        <w:t>3</w:t>
      </w:r>
      <w:r w:rsidRPr="00207642">
        <w:t xml:space="preserve"> </w:t>
      </w:r>
      <w:r w:rsidR="00D15D74" w:rsidRPr="00207642">
        <w:t>(an</w:t>
      </w:r>
      <w:r w:rsidR="004B5DA3" w:rsidRPr="00207642">
        <w:t xml:space="preserve"> intensive</w:t>
      </w:r>
      <w:r w:rsidRPr="00207642">
        <w:t xml:space="preserve"> </w:t>
      </w:r>
      <w:r w:rsidR="00126816" w:rsidRPr="00207642">
        <w:t xml:space="preserve">21.3% reduction in </w:t>
      </w:r>
      <w:r w:rsidR="004B5DA3" w:rsidRPr="00207642">
        <w:t>energy intake</w:t>
      </w:r>
      <w:r w:rsidR="00126816" w:rsidRPr="00207642">
        <w:t xml:space="preserve"> </w:t>
      </w:r>
      <w:r w:rsidR="00D15D74" w:rsidRPr="00207642">
        <w:t xml:space="preserve">targeted </w:t>
      </w:r>
      <w:r w:rsidR="00936B6D" w:rsidRPr="00207642">
        <w:t xml:space="preserve">to </w:t>
      </w:r>
      <w:r w:rsidRPr="00207642">
        <w:t xml:space="preserve">children </w:t>
      </w:r>
      <w:r w:rsidR="00B91F71" w:rsidRPr="00207642">
        <w:t>with obes</w:t>
      </w:r>
      <w:r w:rsidR="004B5DA3" w:rsidRPr="00207642">
        <w:t>ity</w:t>
      </w:r>
      <w:r w:rsidR="00B91F71" w:rsidRPr="00207642">
        <w:t xml:space="preserve"> at age </w:t>
      </w:r>
      <w:r w:rsidR="004B5DA3" w:rsidRPr="00207642">
        <w:t>3</w:t>
      </w:r>
      <w:r w:rsidR="006D2874" w:rsidRPr="00207642">
        <w:t xml:space="preserve"> years</w:t>
      </w:r>
      <w:r w:rsidR="00D15D74" w:rsidRPr="00207642">
        <w:t>)</w:t>
      </w:r>
      <w:r w:rsidR="00126816" w:rsidRPr="00207642">
        <w:t xml:space="preserve">. </w:t>
      </w:r>
      <w:r w:rsidR="004B5DA3" w:rsidRPr="00207642">
        <w:t>E</w:t>
      </w:r>
      <w:r w:rsidR="005732BD" w:rsidRPr="00207642">
        <w:t xml:space="preserve">stimated </w:t>
      </w:r>
      <w:r w:rsidR="00600366" w:rsidRPr="00207642">
        <w:t xml:space="preserve">prevalence </w:t>
      </w:r>
      <w:r w:rsidR="00D15D74" w:rsidRPr="00207642">
        <w:t xml:space="preserve">and inequalities </w:t>
      </w:r>
      <w:r w:rsidR="00936B6D" w:rsidRPr="00207642">
        <w:t xml:space="preserve">in obesity </w:t>
      </w:r>
      <w:r w:rsidR="00D15D74" w:rsidRPr="00207642">
        <w:t>were unchanged</w:t>
      </w:r>
      <w:r w:rsidR="005732BD" w:rsidRPr="00207642">
        <w:t>.</w:t>
      </w:r>
    </w:p>
    <w:p w14:paraId="250E050B" w14:textId="4DB9038F" w:rsidR="00CD22A6" w:rsidRPr="00207642" w:rsidRDefault="000D779D" w:rsidP="00AA0176">
      <w:pPr>
        <w:spacing w:line="480" w:lineRule="auto"/>
        <w:rPr>
          <w:i/>
          <w:iCs/>
        </w:rPr>
      </w:pPr>
      <w:r w:rsidRPr="00207642">
        <w:t xml:space="preserve">Scenario </w:t>
      </w:r>
      <w:r w:rsidR="001C6468" w:rsidRPr="00207642">
        <w:t>4</w:t>
      </w:r>
      <w:r w:rsidR="00600366" w:rsidRPr="00207642">
        <w:t xml:space="preserve"> </w:t>
      </w:r>
      <w:r w:rsidR="00D15D74" w:rsidRPr="00207642">
        <w:t>(</w:t>
      </w:r>
      <w:r w:rsidR="00600366" w:rsidRPr="00207642">
        <w:t>a</w:t>
      </w:r>
      <w:r w:rsidR="00D15D74" w:rsidRPr="00207642">
        <w:t>n</w:t>
      </w:r>
      <w:r w:rsidR="00600366" w:rsidRPr="00207642">
        <w:t xml:space="preserve"> </w:t>
      </w:r>
      <w:r w:rsidR="00D15D74" w:rsidRPr="00207642">
        <w:t xml:space="preserve">intervention </w:t>
      </w:r>
      <w:r w:rsidR="0037794B" w:rsidRPr="00207642">
        <w:t xml:space="preserve">targeted </w:t>
      </w:r>
      <w:r w:rsidR="00D15D74" w:rsidRPr="00207642">
        <w:t xml:space="preserve">at </w:t>
      </w:r>
      <w:r w:rsidR="00600366" w:rsidRPr="00207642">
        <w:t xml:space="preserve">children with daily intake exceeding </w:t>
      </w:r>
      <w:r w:rsidR="001E2888" w:rsidRPr="00207642">
        <w:t xml:space="preserve">the </w:t>
      </w:r>
      <w:r w:rsidR="00600366" w:rsidRPr="00207642">
        <w:t>EAR</w:t>
      </w:r>
      <w:r w:rsidR="00D15D74" w:rsidRPr="00207642">
        <w:t>)</w:t>
      </w:r>
      <w:r w:rsidR="00600366" w:rsidRPr="00207642">
        <w:t xml:space="preserve">. </w:t>
      </w:r>
      <w:r w:rsidR="00CD5FF1" w:rsidRPr="00207642">
        <w:t>R</w:t>
      </w:r>
      <w:r w:rsidR="004B5DA3" w:rsidRPr="00207642">
        <w:t>eductions were applied</w:t>
      </w:r>
      <w:r w:rsidR="00D15D74" w:rsidRPr="00207642">
        <w:t xml:space="preserve"> to</w:t>
      </w:r>
      <w:r w:rsidR="004F0034" w:rsidRPr="00207642">
        <w:t xml:space="preserve"> children consuming in excess of the EAR</w:t>
      </w:r>
      <w:r w:rsidR="004B5DA3" w:rsidRPr="00207642">
        <w:t xml:space="preserve"> </w:t>
      </w:r>
      <w:r w:rsidR="00D15D74" w:rsidRPr="00207642">
        <w:t xml:space="preserve">so </w:t>
      </w:r>
      <w:r w:rsidR="004B5DA3" w:rsidRPr="00207642">
        <w:t>that</w:t>
      </w:r>
      <w:r w:rsidR="00D15D74" w:rsidRPr="00207642">
        <w:t xml:space="preserve"> the</w:t>
      </w:r>
      <w:r w:rsidR="004B5DA3" w:rsidRPr="00207642">
        <w:t xml:space="preserve"> maximum </w:t>
      </w:r>
      <w:r w:rsidR="00D15D74" w:rsidRPr="00207642">
        <w:t xml:space="preserve">calorie </w:t>
      </w:r>
      <w:r w:rsidR="004B5DA3" w:rsidRPr="00207642">
        <w:t>intake</w:t>
      </w:r>
      <w:r w:rsidR="00D15D74" w:rsidRPr="00207642">
        <w:t xml:space="preserve"> was</w:t>
      </w:r>
      <w:r w:rsidR="004B5DA3" w:rsidRPr="00207642">
        <w:t xml:space="preserve"> l</w:t>
      </w:r>
      <w:r w:rsidR="004B6979" w:rsidRPr="00207642">
        <w:t>imit</w:t>
      </w:r>
      <w:r w:rsidR="004B5DA3" w:rsidRPr="00207642">
        <w:t xml:space="preserve">ed </w:t>
      </w:r>
      <w:r w:rsidR="00600366" w:rsidRPr="00207642">
        <w:t xml:space="preserve">to </w:t>
      </w:r>
      <w:r w:rsidR="004B6979" w:rsidRPr="00207642">
        <w:t xml:space="preserve">the </w:t>
      </w:r>
      <w:r w:rsidR="004F0034" w:rsidRPr="00207642">
        <w:t>average requirement</w:t>
      </w:r>
      <w:r w:rsidR="004B6979" w:rsidRPr="00207642">
        <w:t xml:space="preserve"> </w:t>
      </w:r>
      <w:r w:rsidR="004B5DA3" w:rsidRPr="00207642">
        <w:t>for children aged 6</w:t>
      </w:r>
      <w:r w:rsidR="00EA4770" w:rsidRPr="00207642">
        <w:t>-7</w:t>
      </w:r>
      <w:r w:rsidR="006D2874" w:rsidRPr="00207642">
        <w:t xml:space="preserve"> years</w:t>
      </w:r>
      <w:r w:rsidR="004B5DA3" w:rsidRPr="00207642">
        <w:t xml:space="preserve">. </w:t>
      </w:r>
      <w:r w:rsidR="00936B6D" w:rsidRPr="00207642">
        <w:t>O</w:t>
      </w:r>
      <w:r w:rsidR="00875D5D" w:rsidRPr="00207642">
        <w:t>besity prevalence</w:t>
      </w:r>
      <w:r w:rsidR="00936B6D" w:rsidRPr="00207642">
        <w:t xml:space="preserve"> was reduced</w:t>
      </w:r>
      <w:r w:rsidR="00601EEA" w:rsidRPr="00207642">
        <w:t>, relative inequalities were unaffected, while</w:t>
      </w:r>
      <w:r w:rsidR="004B5DA3" w:rsidRPr="00207642">
        <w:t xml:space="preserve"> absolute inequalities were reduced</w:t>
      </w:r>
      <w:r w:rsidR="00AA0176" w:rsidRPr="00207642">
        <w:t xml:space="preserve">, </w:t>
      </w:r>
      <w:r w:rsidR="00E4095A" w:rsidRPr="00207642">
        <w:t>likely driven by</w:t>
      </w:r>
      <w:r w:rsidR="00601EEA" w:rsidRPr="00207642">
        <w:t xml:space="preserve"> general trends in prevalence</w:t>
      </w:r>
      <w:r w:rsidR="004B5DA3" w:rsidRPr="00207642">
        <w:t>.</w:t>
      </w:r>
    </w:p>
    <w:p w14:paraId="5D75D233" w14:textId="77777777" w:rsidR="0041398E" w:rsidRPr="00207642" w:rsidRDefault="0041398E" w:rsidP="0041398E">
      <w:pPr>
        <w:spacing w:line="480" w:lineRule="auto"/>
        <w:rPr>
          <w:b/>
        </w:rPr>
      </w:pPr>
      <w:r w:rsidRPr="00207642">
        <w:rPr>
          <w:b/>
        </w:rPr>
        <w:t xml:space="preserve">Table 3. </w:t>
      </w:r>
      <w:r w:rsidRPr="00207642">
        <w:t>Prevalence of obesity at age 6-7 years by maternal educational group with risk ratios and differences for relative and absolute inequalities, for intervention scenarios 1-4</w:t>
      </w:r>
    </w:p>
    <w:p w14:paraId="0C0DCFA3" w14:textId="77777777" w:rsidR="0041398E" w:rsidRPr="00207642" w:rsidRDefault="0041398E" w:rsidP="0041398E">
      <w:pPr>
        <w:spacing w:line="480" w:lineRule="auto"/>
      </w:pPr>
      <w:r w:rsidRPr="00207642">
        <w:t>&lt;&lt;&lt;table 3 here&gt;&gt;&gt;</w:t>
      </w:r>
    </w:p>
    <w:p w14:paraId="65001B1A" w14:textId="77777777" w:rsidR="00E41243" w:rsidRPr="00207642" w:rsidRDefault="00E41243" w:rsidP="00FA3E0C">
      <w:pPr>
        <w:spacing w:line="480" w:lineRule="auto"/>
        <w:rPr>
          <w:b/>
          <w:i/>
        </w:rPr>
      </w:pPr>
      <w:r w:rsidRPr="00207642">
        <w:rPr>
          <w:b/>
          <w:i/>
        </w:rPr>
        <w:t>Sensitivity analysis</w:t>
      </w:r>
    </w:p>
    <w:p w14:paraId="1332E541" w14:textId="2B96BDF1" w:rsidR="00E6050B" w:rsidRPr="00207642" w:rsidRDefault="000272F3" w:rsidP="000D55BB">
      <w:pPr>
        <w:spacing w:line="480" w:lineRule="auto"/>
      </w:pPr>
      <w:r w:rsidRPr="00207642">
        <w:t>Results from m</w:t>
      </w:r>
      <w:r w:rsidR="003F248B" w:rsidRPr="00207642">
        <w:t>odels</w:t>
      </w:r>
      <w:r w:rsidR="001544E8" w:rsidRPr="00207642">
        <w:t xml:space="preserve"> </w:t>
      </w:r>
      <w:r w:rsidR="0081552A" w:rsidRPr="00207642">
        <w:t xml:space="preserve">using </w:t>
      </w:r>
      <w:r w:rsidR="00F14A98" w:rsidRPr="00207642">
        <w:t xml:space="preserve">social class </w:t>
      </w:r>
      <w:r w:rsidR="0081552A" w:rsidRPr="00207642">
        <w:t xml:space="preserve">as </w:t>
      </w:r>
      <w:r w:rsidR="00F14A98" w:rsidRPr="00207642">
        <w:t>an alternate</w:t>
      </w:r>
      <w:r w:rsidR="0081552A" w:rsidRPr="00207642">
        <w:t xml:space="preserve"> exposure were</w:t>
      </w:r>
      <w:r w:rsidR="003F248B" w:rsidRPr="00207642">
        <w:t xml:space="preserve"> </w:t>
      </w:r>
      <w:r w:rsidR="0081552A" w:rsidRPr="00207642">
        <w:t>similar to</w:t>
      </w:r>
      <w:r w:rsidR="003F248B" w:rsidRPr="00207642">
        <w:t xml:space="preserve"> </w:t>
      </w:r>
      <w:r w:rsidRPr="00207642">
        <w:t>those reported</w:t>
      </w:r>
      <w:r w:rsidR="00F14A98" w:rsidRPr="00207642">
        <w:t xml:space="preserve"> for maternal education</w:t>
      </w:r>
      <w:r w:rsidR="00E75F2B" w:rsidRPr="00207642">
        <w:t xml:space="preserve"> (Table S4)</w:t>
      </w:r>
      <w:r w:rsidR="00C401B9" w:rsidRPr="00207642">
        <w:t>.</w:t>
      </w:r>
      <w:r w:rsidR="00C67DCE" w:rsidRPr="00207642">
        <w:t xml:space="preserve"> </w:t>
      </w:r>
      <w:r w:rsidR="00F14A98" w:rsidRPr="00207642">
        <w:t>Simulation</w:t>
      </w:r>
      <w:r w:rsidR="001544E8" w:rsidRPr="00207642">
        <w:t xml:space="preserve"> 1 </w:t>
      </w:r>
      <w:r w:rsidR="00F14A98" w:rsidRPr="00207642">
        <w:t>was repeated</w:t>
      </w:r>
      <w:r w:rsidR="000F3A72" w:rsidRPr="00207642">
        <w:t xml:space="preserve"> </w:t>
      </w:r>
      <w:r w:rsidR="0070190C" w:rsidRPr="00207642">
        <w:t>with</w:t>
      </w:r>
      <w:r w:rsidR="00E6050B" w:rsidRPr="00207642">
        <w:t xml:space="preserve"> </w:t>
      </w:r>
      <w:r w:rsidR="003F248B" w:rsidRPr="00207642">
        <w:t>100%</w:t>
      </w:r>
      <w:r w:rsidR="00B91F71" w:rsidRPr="00207642">
        <w:t xml:space="preserve"> </w:t>
      </w:r>
      <w:r w:rsidR="00F14A98" w:rsidRPr="00207642">
        <w:t xml:space="preserve">and 50% </w:t>
      </w:r>
      <w:r w:rsidR="0070190C" w:rsidRPr="00207642">
        <w:t>uptake</w:t>
      </w:r>
      <w:r w:rsidR="00F14A98" w:rsidRPr="00207642">
        <w:t xml:space="preserve">. </w:t>
      </w:r>
      <w:r w:rsidR="0041398E" w:rsidRPr="00207642">
        <w:t>As expected, t</w:t>
      </w:r>
      <w:r w:rsidR="00F14A98" w:rsidRPr="00207642">
        <w:t xml:space="preserve">he pattern of results </w:t>
      </w:r>
      <w:r w:rsidR="00047A5C" w:rsidRPr="00207642">
        <w:t>was</w:t>
      </w:r>
      <w:r w:rsidR="00F14A98" w:rsidRPr="00207642">
        <w:t xml:space="preserve"> similar but with</w:t>
      </w:r>
      <w:r w:rsidR="00EC4672" w:rsidRPr="00207642">
        <w:t xml:space="preserve"> a </w:t>
      </w:r>
      <w:r w:rsidR="00601EEA" w:rsidRPr="00207642">
        <w:t>greater reduction in obesity prevalence</w:t>
      </w:r>
      <w:r w:rsidR="00FD29D4" w:rsidRPr="00207642">
        <w:t xml:space="preserve"> </w:t>
      </w:r>
      <w:r w:rsidR="00936B6D" w:rsidRPr="00207642">
        <w:t xml:space="preserve">for </w:t>
      </w:r>
      <w:r w:rsidR="00FD29D4" w:rsidRPr="00207642">
        <w:t xml:space="preserve">100% uptake and a </w:t>
      </w:r>
      <w:r w:rsidR="00936B6D" w:rsidRPr="00207642">
        <w:t xml:space="preserve">smaller </w:t>
      </w:r>
      <w:r w:rsidR="00FD29D4" w:rsidRPr="00207642">
        <w:t>reduction in obesity prevalence</w:t>
      </w:r>
      <w:r w:rsidR="00936B6D" w:rsidRPr="00207642">
        <w:t xml:space="preserve"> for</w:t>
      </w:r>
      <w:r w:rsidR="00FD29D4" w:rsidRPr="00207642">
        <w:t xml:space="preserve"> 50% uptake</w:t>
      </w:r>
      <w:r w:rsidR="00F14A98" w:rsidRPr="00207642">
        <w:t xml:space="preserve"> (</w:t>
      </w:r>
      <w:r w:rsidR="00E75F2B" w:rsidRPr="00207642">
        <w:t>Table S5</w:t>
      </w:r>
      <w:r w:rsidR="003F248B" w:rsidRPr="00207642">
        <w:t xml:space="preserve">). </w:t>
      </w:r>
      <w:r w:rsidR="00E6050B" w:rsidRPr="00207642">
        <w:t xml:space="preserve"> </w:t>
      </w:r>
    </w:p>
    <w:p w14:paraId="331FCF32" w14:textId="0002F58B" w:rsidR="004660BA" w:rsidRPr="00207642" w:rsidRDefault="004660BA" w:rsidP="00D868CD">
      <w:pPr>
        <w:spacing w:line="480" w:lineRule="auto"/>
        <w:rPr>
          <w:sz w:val="20"/>
          <w:szCs w:val="20"/>
        </w:rPr>
      </w:pPr>
      <w:r w:rsidRPr="00207642">
        <w:rPr>
          <w:b/>
        </w:rPr>
        <w:t>Discussion</w:t>
      </w:r>
      <w:r w:rsidR="00132157" w:rsidRPr="00207642">
        <w:rPr>
          <w:b/>
        </w:rPr>
        <w:t xml:space="preserve">  </w:t>
      </w:r>
    </w:p>
    <w:p w14:paraId="129CFD55" w14:textId="5CC1C40A" w:rsidR="00F766D2" w:rsidRPr="00207642" w:rsidRDefault="004956E5" w:rsidP="0015656B">
      <w:pPr>
        <w:spacing w:line="480" w:lineRule="auto"/>
      </w:pPr>
      <w:r w:rsidRPr="00207642">
        <w:t>Childhood obesity is common in reception age children (4-5 years) and there is a social gradient with the most disadvantaged being the most likely to be obese</w:t>
      </w:r>
      <w:r w:rsidR="000079D8" w:rsidRPr="00207642">
        <w:t xml:space="preserve">. In these analyses, obesity </w:t>
      </w:r>
      <w:r w:rsidR="008769EC" w:rsidRPr="00207642">
        <w:t xml:space="preserve">prevalence </w:t>
      </w:r>
      <w:r w:rsidR="000079D8" w:rsidRPr="00207642">
        <w:t>was 8.3% for children age 6</w:t>
      </w:r>
      <w:r w:rsidR="00EA4770" w:rsidRPr="00207642">
        <w:t>-7</w:t>
      </w:r>
      <w:r w:rsidR="006D2874" w:rsidRPr="00207642">
        <w:t xml:space="preserve"> years</w:t>
      </w:r>
      <w:r w:rsidR="000079D8" w:rsidRPr="00207642">
        <w:t xml:space="preserve"> and was predicted by maternal education</w:t>
      </w:r>
      <w:r w:rsidR="00C11886" w:rsidRPr="00207642">
        <w:t>.</w:t>
      </w:r>
      <w:r w:rsidR="0015656B" w:rsidRPr="00207642">
        <w:t xml:space="preserve"> </w:t>
      </w:r>
      <w:r w:rsidR="000079D8" w:rsidRPr="00207642">
        <w:t xml:space="preserve">Models simulating the effects of reducing energy intake at age 3 </w:t>
      </w:r>
      <w:r w:rsidR="009E6273" w:rsidRPr="00207642">
        <w:t xml:space="preserve">years </w:t>
      </w:r>
      <w:r w:rsidR="00533761" w:rsidRPr="00207642">
        <w:t>reduced</w:t>
      </w:r>
      <w:r w:rsidR="000079D8" w:rsidRPr="00207642">
        <w:t xml:space="preserve"> obesity prevalence and reductions were proportional to the effectiveness of the hypothetical intervention.</w:t>
      </w:r>
      <w:r w:rsidR="007B442A" w:rsidRPr="00207642">
        <w:t xml:space="preserve"> </w:t>
      </w:r>
      <w:r w:rsidR="00AB4728" w:rsidRPr="00207642">
        <w:t xml:space="preserve">In </w:t>
      </w:r>
      <w:r w:rsidR="007B442A" w:rsidRPr="00207642">
        <w:t>s</w:t>
      </w:r>
      <w:r w:rsidR="00EC3348" w:rsidRPr="00207642">
        <w:t>imulation</w:t>
      </w:r>
      <w:r w:rsidR="001F6250" w:rsidRPr="00207642">
        <w:t>s</w:t>
      </w:r>
      <w:r w:rsidR="00A53F61" w:rsidRPr="00207642">
        <w:t xml:space="preserve"> of universal interventions</w:t>
      </w:r>
      <w:r w:rsidR="001F6250" w:rsidRPr="00207642">
        <w:t xml:space="preserve">, </w:t>
      </w:r>
      <w:r w:rsidR="000B0614" w:rsidRPr="00207642">
        <w:t>d</w:t>
      </w:r>
      <w:r w:rsidR="00EC3348" w:rsidRPr="00207642">
        <w:t>ecreases in obesity prevalence were greatest in the lowest</w:t>
      </w:r>
      <w:r w:rsidR="00A53F61" w:rsidRPr="00207642">
        <w:t xml:space="preserve"> maternal</w:t>
      </w:r>
      <w:r w:rsidR="00EC3348" w:rsidRPr="00207642">
        <w:t xml:space="preserve"> education group but the percentage change (proportional to the prevalence in the CDE model) was greatest in the highest education group. </w:t>
      </w:r>
      <w:r w:rsidR="00F766D2" w:rsidRPr="00207642">
        <w:t xml:space="preserve">In this and prior work, estimated </w:t>
      </w:r>
      <w:r w:rsidR="00CB0DE9" w:rsidRPr="00207642">
        <w:t>calorie</w:t>
      </w:r>
      <w:r w:rsidR="00F766D2" w:rsidRPr="00207642">
        <w:t xml:space="preserve"> intake was not associated with indicators of disadvantage</w:t>
      </w:r>
      <w:r w:rsidR="006D2FF9" w:rsidRPr="00207642">
        <w:t>,</w:t>
      </w:r>
      <w:r w:rsidR="000B0614" w:rsidRPr="00207642">
        <w:t xml:space="preserve"> and i</w:t>
      </w:r>
      <w:r w:rsidR="00F766D2" w:rsidRPr="00207642">
        <w:t>nequalities remained broadly unchanged following simulations</w:t>
      </w:r>
      <w:r w:rsidR="00CB0DE9" w:rsidRPr="00207642">
        <w:t>, likely due to the lack of social patterning of energy intake</w:t>
      </w:r>
      <w:r w:rsidR="00F766D2" w:rsidRPr="00207642">
        <w:t xml:space="preserve">. </w:t>
      </w:r>
      <w:r w:rsidR="007104B7" w:rsidRPr="00207642">
        <w:t>Prevalences in the unadjusted and CDE models were similar</w:t>
      </w:r>
      <w:r w:rsidR="000B0614" w:rsidRPr="00207642">
        <w:t>,</w:t>
      </w:r>
      <w:r w:rsidR="007104B7" w:rsidRPr="00207642">
        <w:t xml:space="preserve"> meaning t</w:t>
      </w:r>
      <w:r w:rsidR="00F766D2" w:rsidRPr="00207642">
        <w:t>hat energy intake showed little mediating effect on the exposure-outcome pathway</w:t>
      </w:r>
      <w:r w:rsidR="007104B7" w:rsidRPr="00207642">
        <w:t>. Th</w:t>
      </w:r>
      <w:r w:rsidR="00CF772F" w:rsidRPr="00207642">
        <w:t>e</w:t>
      </w:r>
      <w:r w:rsidR="007104B7" w:rsidRPr="00207642">
        <w:t>s</w:t>
      </w:r>
      <w:r w:rsidR="00CF772F" w:rsidRPr="00207642">
        <w:t>e findings</w:t>
      </w:r>
      <w:r w:rsidR="00F766D2" w:rsidRPr="00207642">
        <w:t xml:space="preserve"> </w:t>
      </w:r>
      <w:r w:rsidR="0015656B" w:rsidRPr="00207642">
        <w:t xml:space="preserve">highlight </w:t>
      </w:r>
      <w:r w:rsidR="00F766D2" w:rsidRPr="00207642">
        <w:t xml:space="preserve">the strength and complexity of </w:t>
      </w:r>
      <w:r w:rsidR="00E07B26" w:rsidRPr="00207642">
        <w:t xml:space="preserve">the </w:t>
      </w:r>
      <w:r w:rsidR="00F766D2" w:rsidRPr="00207642">
        <w:t>association between disadvantage and obesity</w:t>
      </w:r>
      <w:r w:rsidR="0030628D" w:rsidRPr="00207642">
        <w:t>.</w:t>
      </w:r>
    </w:p>
    <w:p w14:paraId="3AA8575E" w14:textId="2912E5E0" w:rsidR="0061038F" w:rsidRPr="00207642" w:rsidRDefault="00AA67E0" w:rsidP="002C5758">
      <w:pPr>
        <w:spacing w:line="480" w:lineRule="auto"/>
      </w:pPr>
      <w:r w:rsidRPr="00207642">
        <w:t>Improving dietary behaviour is a key focus of p</w:t>
      </w:r>
      <w:r w:rsidR="005526A1" w:rsidRPr="00207642">
        <w:t>olicy makers in the UK</w:t>
      </w:r>
      <w:r w:rsidR="002B1FCC" w:rsidRPr="00207642">
        <w:t>[</w:t>
      </w:r>
      <w:r w:rsidR="000A0B33" w:rsidRPr="00207642">
        <w:fldChar w:fldCharType="begin"/>
      </w:r>
      <w:r w:rsidR="000A0B33" w:rsidRPr="00207642">
        <w:instrText xml:space="preserve"> NOTEREF _Ref54943710 \h </w:instrText>
      </w:r>
      <w:r w:rsidR="000A0B33" w:rsidRPr="00207642">
        <w:fldChar w:fldCharType="separate"/>
      </w:r>
      <w:r w:rsidR="00C17003" w:rsidRPr="00207642">
        <w:t>23</w:t>
      </w:r>
      <w:r w:rsidR="000A0B33" w:rsidRPr="00207642">
        <w:fldChar w:fldCharType="end"/>
      </w:r>
      <w:r w:rsidR="002B1FCC" w:rsidRPr="00207642">
        <w:t>]</w:t>
      </w:r>
      <w:r w:rsidRPr="00207642">
        <w:t xml:space="preserve"> </w:t>
      </w:r>
      <w:r w:rsidR="00F15387" w:rsidRPr="00207642">
        <w:t xml:space="preserve">and elsewhere, </w:t>
      </w:r>
      <w:r w:rsidRPr="00207642">
        <w:t>and reducing the amount of energy consume</w:t>
      </w:r>
      <w:r w:rsidR="00732C0C" w:rsidRPr="00207642">
        <w:t>d</w:t>
      </w:r>
      <w:r w:rsidRPr="00207642">
        <w:t xml:space="preserve"> has been identified as an important step in tackling childhood obesity. Extrapolation of trial evidence </w:t>
      </w:r>
      <w:r w:rsidR="001E05CD" w:rsidRPr="00207642">
        <w:t>can be</w:t>
      </w:r>
      <w:r w:rsidRPr="00207642">
        <w:t xml:space="preserve"> problematic given that scaled up prevention and treatment interventions have been shown to be less effective than </w:t>
      </w:r>
      <w:r w:rsidR="00F15387" w:rsidRPr="00207642">
        <w:t>when carried out in treatment trials</w:t>
      </w:r>
      <w:r w:rsidRPr="00207642">
        <w:t>.[</w:t>
      </w:r>
      <w:r w:rsidR="000A0B33" w:rsidRPr="00207642">
        <w:fldChar w:fldCharType="begin"/>
      </w:r>
      <w:r w:rsidR="000A0B33" w:rsidRPr="00207642">
        <w:instrText xml:space="preserve"> NOTEREF _Ref54943725 \h </w:instrText>
      </w:r>
      <w:r w:rsidR="000A0B33" w:rsidRPr="00207642">
        <w:fldChar w:fldCharType="separate"/>
      </w:r>
      <w:r w:rsidR="00C17003" w:rsidRPr="00207642">
        <w:t>8</w:t>
      </w:r>
      <w:r w:rsidR="000A0B33" w:rsidRPr="00207642">
        <w:fldChar w:fldCharType="end"/>
      </w:r>
      <w:r w:rsidR="00D905C9" w:rsidRPr="00207642">
        <w:t>,</w:t>
      </w:r>
      <w:r w:rsidR="00700075" w:rsidRPr="00207642">
        <w:rPr>
          <w:rStyle w:val="EndnoteReference"/>
          <w:vertAlign w:val="baseline"/>
        </w:rPr>
        <w:endnoteReference w:id="24"/>
      </w:r>
      <w:r w:rsidR="007139B2" w:rsidRPr="00207642">
        <w:t>]</w:t>
      </w:r>
      <w:r w:rsidR="00700075" w:rsidRPr="00207642">
        <w:t xml:space="preserve"> </w:t>
      </w:r>
      <w:r w:rsidR="00B402F7" w:rsidRPr="00207642">
        <w:t>Given</w:t>
      </w:r>
      <w:r w:rsidR="00EC304A" w:rsidRPr="00207642">
        <w:t xml:space="preserve"> that</w:t>
      </w:r>
      <w:r w:rsidR="00B402F7" w:rsidRPr="00207642">
        <w:t xml:space="preserve"> the</w:t>
      </w:r>
      <w:r w:rsidR="00ED355A" w:rsidRPr="00207642">
        <w:t xml:space="preserve"> potential impact of </w:t>
      </w:r>
      <w:r w:rsidR="00B5036A" w:rsidRPr="00207642">
        <w:t>policy action</w:t>
      </w:r>
      <w:r w:rsidR="00ED355A" w:rsidRPr="00207642">
        <w:t xml:space="preserve"> to </w:t>
      </w:r>
      <w:r w:rsidR="00B402F7" w:rsidRPr="00207642">
        <w:t>limit</w:t>
      </w:r>
      <w:r w:rsidR="00ED355A" w:rsidRPr="00207642">
        <w:t xml:space="preserve"> dietary intake</w:t>
      </w:r>
      <w:r w:rsidR="00B402F7" w:rsidRPr="00207642">
        <w:t xml:space="preserve"> in children in unknow</w:t>
      </w:r>
      <w:r w:rsidR="00EC304A" w:rsidRPr="00207642">
        <w:t>n, s</w:t>
      </w:r>
      <w:r w:rsidR="00D905C9" w:rsidRPr="00207642">
        <w:t xml:space="preserve">imulating potential </w:t>
      </w:r>
      <w:r w:rsidR="00D450B5" w:rsidRPr="00207642">
        <w:t>calorie</w:t>
      </w:r>
      <w:r w:rsidR="00201912" w:rsidRPr="00207642">
        <w:t xml:space="preserve">-reduction interventions can provide useful insight to policy makers. </w:t>
      </w:r>
    </w:p>
    <w:p w14:paraId="716C80D0" w14:textId="6C675F66" w:rsidR="009140CD" w:rsidRPr="00207642" w:rsidRDefault="00860D25" w:rsidP="00661611">
      <w:pPr>
        <w:spacing w:line="480" w:lineRule="auto"/>
      </w:pPr>
      <w:r w:rsidRPr="00207642">
        <w:t>These analyses built upon previous work[</w:t>
      </w:r>
      <w:r w:rsidR="000A0B33" w:rsidRPr="00207642">
        <w:fldChar w:fldCharType="begin"/>
      </w:r>
      <w:r w:rsidR="000A0B33" w:rsidRPr="00207642">
        <w:instrText xml:space="preserve"> NOTEREF _Ref54943628 \h </w:instrText>
      </w:r>
      <w:r w:rsidR="000A0B33" w:rsidRPr="00207642">
        <w:fldChar w:fldCharType="separate"/>
      </w:r>
      <w:r w:rsidR="00C17003" w:rsidRPr="00207642">
        <w:t>9</w:t>
      </w:r>
      <w:r w:rsidR="000A0B33" w:rsidRPr="00207642">
        <w:fldChar w:fldCharType="end"/>
      </w:r>
      <w:r w:rsidRPr="00207642">
        <w:t xml:space="preserve">] </w:t>
      </w:r>
      <w:r w:rsidR="00B903A0" w:rsidRPr="00207642">
        <w:t>and</w:t>
      </w:r>
      <w:r w:rsidRPr="00207642">
        <w:t xml:space="preserve"> </w:t>
      </w:r>
      <w:r w:rsidR="00B903A0" w:rsidRPr="00207642">
        <w:t xml:space="preserve">further </w:t>
      </w:r>
      <w:r w:rsidRPr="00207642">
        <w:t xml:space="preserve">established MSMs to be potentially useful in estimating the effects of hypothetical interventions that reduce energy intake at a population level. </w:t>
      </w:r>
      <w:r w:rsidR="00E803BC" w:rsidRPr="00207642">
        <w:t>A</w:t>
      </w:r>
      <w:r w:rsidR="0042767D" w:rsidRPr="00207642">
        <w:t xml:space="preserve"> simulation approach </w:t>
      </w:r>
      <w:r w:rsidR="00E803BC" w:rsidRPr="00207642">
        <w:t>was applied</w:t>
      </w:r>
      <w:r w:rsidR="0008342E" w:rsidRPr="00207642">
        <w:t>,</w:t>
      </w:r>
      <w:r w:rsidR="00E803BC" w:rsidRPr="00207642">
        <w:t xml:space="preserve"> using the SWS cohort, </w:t>
      </w:r>
      <w:r w:rsidR="0042767D" w:rsidRPr="00207642">
        <w:t>to estimate the potential impacts of calorie reduction interventions</w:t>
      </w:r>
      <w:r w:rsidR="00B903A0" w:rsidRPr="00207642">
        <w:t xml:space="preserve"> o</w:t>
      </w:r>
      <w:r w:rsidR="00030C5D" w:rsidRPr="00207642">
        <w:t xml:space="preserve">n population prevalence </w:t>
      </w:r>
      <w:r w:rsidR="0042767D" w:rsidRPr="00207642">
        <w:t>and inequalities in childhood obesity</w:t>
      </w:r>
      <w:r w:rsidR="00AA67E0" w:rsidRPr="00207642">
        <w:t xml:space="preserve">. </w:t>
      </w:r>
      <w:r w:rsidR="00473ABD" w:rsidRPr="00207642">
        <w:t xml:space="preserve">These analyses </w:t>
      </w:r>
      <w:r w:rsidR="009C3950" w:rsidRPr="00207642">
        <w:t xml:space="preserve">were carried out </w:t>
      </w:r>
      <w:r w:rsidR="004C262F" w:rsidRPr="00207642">
        <w:t>on</w:t>
      </w:r>
      <w:r w:rsidR="009C3950" w:rsidRPr="00207642">
        <w:t xml:space="preserve"> younger age groups;</w:t>
      </w:r>
      <w:r w:rsidR="003C5D6A" w:rsidRPr="00207642">
        <w:t xml:space="preserve"> p</w:t>
      </w:r>
      <w:r w:rsidR="009C3950" w:rsidRPr="00207642">
        <w:t>rior work considered energy intake at age 7</w:t>
      </w:r>
      <w:r w:rsidR="00E07B26" w:rsidRPr="00207642">
        <w:t xml:space="preserve"> years</w:t>
      </w:r>
      <w:r w:rsidR="009C3950" w:rsidRPr="00207642">
        <w:t xml:space="preserve"> and impacts on obesity at age 11</w:t>
      </w:r>
      <w:r w:rsidR="00E07B26" w:rsidRPr="00207642">
        <w:t xml:space="preserve"> years</w:t>
      </w:r>
      <w:r w:rsidR="009C3950" w:rsidRPr="00207642">
        <w:t xml:space="preserve">, whereas these analyses considered the mediator at age 3 </w:t>
      </w:r>
      <w:r w:rsidR="00E07B26" w:rsidRPr="00207642">
        <w:t xml:space="preserve">years </w:t>
      </w:r>
      <w:r w:rsidR="009C3950" w:rsidRPr="00207642">
        <w:t>and the outcome at age 6</w:t>
      </w:r>
      <w:r w:rsidR="00E07B26" w:rsidRPr="00207642">
        <w:t>-7 years</w:t>
      </w:r>
      <w:r w:rsidR="009C3950" w:rsidRPr="00207642">
        <w:t xml:space="preserve">. </w:t>
      </w:r>
      <w:r w:rsidR="00E2012F" w:rsidRPr="00207642">
        <w:t>Children aged 3 years in the SWS cohort were found to be overeating relative to the EAR and proportionally</w:t>
      </w:r>
      <w:r w:rsidR="002225BF" w:rsidRPr="00207642">
        <w:t xml:space="preserve"> more</w:t>
      </w:r>
      <w:r w:rsidR="00E2012F" w:rsidRPr="00207642">
        <w:t xml:space="preserve"> than children aged 7 years in the ALSPAC cohort. </w:t>
      </w:r>
      <w:r w:rsidR="00F766D2" w:rsidRPr="00207642">
        <w:t>Energy-reduction interventions were found to reduce population prevalence of obesity in children and effect sizes were greater than in</w:t>
      </w:r>
      <w:r w:rsidR="0030628D" w:rsidRPr="00207642">
        <w:t xml:space="preserve"> the ALSPAC</w:t>
      </w:r>
      <w:r w:rsidR="00F766D2" w:rsidRPr="00207642">
        <w:t xml:space="preserve"> cohort</w:t>
      </w:r>
      <w:r w:rsidR="0030628D" w:rsidRPr="00207642">
        <w:t xml:space="preserve"> (for older children) </w:t>
      </w:r>
      <w:r w:rsidR="00F766D2" w:rsidRPr="00207642">
        <w:t>both in terms of absolute reductions and change in prevalence</w:t>
      </w:r>
      <w:r w:rsidR="00B84915" w:rsidRPr="00207642">
        <w:t xml:space="preserve"> relative to the CDE</w:t>
      </w:r>
      <w:r w:rsidR="00F766D2" w:rsidRPr="00207642">
        <w:t xml:space="preserve">. </w:t>
      </w:r>
    </w:p>
    <w:p w14:paraId="7A8ED81B" w14:textId="77182ACB" w:rsidR="00A338D6" w:rsidRPr="00207642" w:rsidRDefault="0062662F" w:rsidP="003143A0">
      <w:pPr>
        <w:spacing w:line="480" w:lineRule="auto"/>
      </w:pPr>
      <w:r w:rsidRPr="00207642">
        <w:t xml:space="preserve">The findings from these analyses are likely to be relevant to contemporary populations </w:t>
      </w:r>
      <w:r w:rsidR="00576AE5" w:rsidRPr="00207642">
        <w:t xml:space="preserve">since </w:t>
      </w:r>
      <w:r w:rsidR="003143A0" w:rsidRPr="00207642">
        <w:t>rates of obesity</w:t>
      </w:r>
      <w:r w:rsidR="00E04D9A" w:rsidRPr="00207642">
        <w:t xml:space="preserve"> (and assumed intake)</w:t>
      </w:r>
      <w:r w:rsidR="00576AE5" w:rsidRPr="00207642">
        <w:t xml:space="preserve"> </w:t>
      </w:r>
      <w:r w:rsidR="004A27EB" w:rsidRPr="00207642">
        <w:t>have remained relatively stable for reception-age children</w:t>
      </w:r>
      <w:r w:rsidR="003143A0" w:rsidRPr="00207642">
        <w:t xml:space="preserve"> since</w:t>
      </w:r>
      <w:r w:rsidR="00CD657A" w:rsidRPr="00207642">
        <w:t xml:space="preserve"> </w:t>
      </w:r>
      <w:r w:rsidR="0030628D" w:rsidRPr="00207642">
        <w:t xml:space="preserve">the data collection periods (pre-2007 in </w:t>
      </w:r>
      <w:r w:rsidR="0088285F" w:rsidRPr="00207642">
        <w:t xml:space="preserve">the </w:t>
      </w:r>
      <w:r w:rsidR="0030628D" w:rsidRPr="00207642">
        <w:t>SWS</w:t>
      </w:r>
      <w:r w:rsidR="00835AF2" w:rsidRPr="00207642">
        <w:t>)</w:t>
      </w:r>
      <w:r w:rsidR="003143A0" w:rsidRPr="00207642">
        <w:t>.[</w:t>
      </w:r>
      <w:r w:rsidR="000A0B33" w:rsidRPr="00207642">
        <w:fldChar w:fldCharType="begin"/>
      </w:r>
      <w:r w:rsidR="000A0B33" w:rsidRPr="00207642">
        <w:instrText xml:space="preserve"> NOTEREF _Ref54942806 \h </w:instrText>
      </w:r>
      <w:r w:rsidR="000A0B33" w:rsidRPr="00207642">
        <w:fldChar w:fldCharType="separate"/>
      </w:r>
      <w:r w:rsidR="00C17003" w:rsidRPr="00207642">
        <w:t>1</w:t>
      </w:r>
      <w:r w:rsidR="000A0B33" w:rsidRPr="00207642">
        <w:fldChar w:fldCharType="end"/>
      </w:r>
      <w:r w:rsidR="00CD657A" w:rsidRPr="00207642">
        <w:t xml:space="preserve">] </w:t>
      </w:r>
      <w:r w:rsidR="00180A9B" w:rsidRPr="00207642">
        <w:t>However, f</w:t>
      </w:r>
      <w:r w:rsidR="004A27EB" w:rsidRPr="00207642">
        <w:t>or older children</w:t>
      </w:r>
      <w:r w:rsidR="00E04D9A" w:rsidRPr="00207642">
        <w:t>,</w:t>
      </w:r>
      <w:r w:rsidR="00180A9B" w:rsidRPr="00207642">
        <w:t xml:space="preserve"> </w:t>
      </w:r>
      <w:r w:rsidR="004A27EB" w:rsidRPr="00207642">
        <w:t>rates of obesity have increased</w:t>
      </w:r>
      <w:r w:rsidR="00E04D9A" w:rsidRPr="00207642">
        <w:t xml:space="preserve">; therefore, </w:t>
      </w:r>
      <w:r w:rsidR="004A27EB" w:rsidRPr="00207642">
        <w:t>h</w:t>
      </w:r>
      <w:r w:rsidR="0030628D" w:rsidRPr="00207642">
        <w:t>igher</w:t>
      </w:r>
      <w:r w:rsidR="002A79DC" w:rsidRPr="00207642">
        <w:t xml:space="preserve"> levels of</w:t>
      </w:r>
      <w:r w:rsidR="00A338D6" w:rsidRPr="00207642">
        <w:t xml:space="preserve"> intake</w:t>
      </w:r>
      <w:r w:rsidR="0030628D" w:rsidRPr="00207642">
        <w:t xml:space="preserve"> </w:t>
      </w:r>
      <w:r w:rsidR="002A79DC" w:rsidRPr="00207642">
        <w:t xml:space="preserve">that are likely </w:t>
      </w:r>
      <w:r w:rsidR="0030628D" w:rsidRPr="00207642">
        <w:t xml:space="preserve">among contemporary </w:t>
      </w:r>
      <w:r w:rsidR="004A27EB" w:rsidRPr="00207642">
        <w:t>populations</w:t>
      </w:r>
      <w:r w:rsidR="0030628D" w:rsidRPr="00207642">
        <w:t xml:space="preserve"> would require greater reductions in </w:t>
      </w:r>
      <w:r w:rsidR="00A338D6" w:rsidRPr="00207642">
        <w:t>calorie consumption in order to meet the average requirements. That g</w:t>
      </w:r>
      <w:r w:rsidR="003143A0" w:rsidRPr="00207642">
        <w:t xml:space="preserve">reater effect sizes were observed </w:t>
      </w:r>
      <w:r w:rsidR="00A338D6" w:rsidRPr="00207642">
        <w:t>for hypothetical</w:t>
      </w:r>
      <w:r w:rsidR="003143A0" w:rsidRPr="00207642">
        <w:t xml:space="preserve"> intervention</w:t>
      </w:r>
      <w:r w:rsidR="004C262F" w:rsidRPr="00207642">
        <w:t>s</w:t>
      </w:r>
      <w:r w:rsidR="003143A0" w:rsidRPr="00207642">
        <w:t xml:space="preserve"> at age 3 </w:t>
      </w:r>
      <w:r w:rsidR="00E07B26" w:rsidRPr="00207642">
        <w:t xml:space="preserve">years </w:t>
      </w:r>
      <w:r w:rsidR="00A338D6" w:rsidRPr="00207642">
        <w:t xml:space="preserve">compared </w:t>
      </w:r>
      <w:r w:rsidR="00E07B26" w:rsidRPr="00207642">
        <w:t xml:space="preserve">with </w:t>
      </w:r>
      <w:r w:rsidR="00A338D6" w:rsidRPr="00207642">
        <w:t xml:space="preserve">age </w:t>
      </w:r>
      <w:r w:rsidR="00E07B26" w:rsidRPr="00207642">
        <w:t>7 years</w:t>
      </w:r>
      <w:r w:rsidR="004A27EB" w:rsidRPr="00207642">
        <w:t xml:space="preserve"> in the ALSPAC cohort,</w:t>
      </w:r>
      <w:r w:rsidR="00A338D6" w:rsidRPr="00207642">
        <w:t xml:space="preserve"> imply that calorie reduction interventions may be more effective when administered earlier in childhood</w:t>
      </w:r>
      <w:r w:rsidR="004C262F" w:rsidRPr="00207642">
        <w:t>.</w:t>
      </w:r>
      <w:r w:rsidR="00A338D6" w:rsidRPr="00207642">
        <w:t xml:space="preserve"> </w:t>
      </w:r>
      <w:r w:rsidR="004C262F" w:rsidRPr="00207642">
        <w:t>H</w:t>
      </w:r>
      <w:r w:rsidR="00A338D6" w:rsidRPr="00207642">
        <w:t xml:space="preserve">owever, it is not possible to disentangle the varying effects of age, </w:t>
      </w:r>
      <w:r w:rsidR="00773B7A" w:rsidRPr="00207642">
        <w:t>period</w:t>
      </w:r>
      <w:r w:rsidR="00A338D6" w:rsidRPr="00207642">
        <w:t xml:space="preserve"> of data collection or </w:t>
      </w:r>
      <w:r w:rsidR="00773B7A" w:rsidRPr="00207642">
        <w:t xml:space="preserve">the </w:t>
      </w:r>
      <w:r w:rsidR="00A338D6" w:rsidRPr="00207642">
        <w:t>cohorts stud</w:t>
      </w:r>
      <w:r w:rsidR="00773B7A" w:rsidRPr="00207642">
        <w:t>ies themselves</w:t>
      </w:r>
      <w:r w:rsidR="00A338D6" w:rsidRPr="00207642">
        <w:t>.</w:t>
      </w:r>
    </w:p>
    <w:p w14:paraId="58083A97" w14:textId="16C663CA" w:rsidR="0085757C" w:rsidRPr="00207642" w:rsidRDefault="00B966CF" w:rsidP="009C4075">
      <w:pPr>
        <w:spacing w:line="480" w:lineRule="auto"/>
      </w:pPr>
      <w:r w:rsidRPr="00207642">
        <w:t xml:space="preserve">Population </w:t>
      </w:r>
      <w:r w:rsidR="00F77C69" w:rsidRPr="00207642">
        <w:t>interventions</w:t>
      </w:r>
      <w:r w:rsidRPr="00207642">
        <w:t xml:space="preserve"> </w:t>
      </w:r>
      <w:r w:rsidR="00F77C69" w:rsidRPr="00207642">
        <w:t>to re</w:t>
      </w:r>
      <w:r w:rsidR="00D26380" w:rsidRPr="00207642">
        <w:t>d</w:t>
      </w:r>
      <w:r w:rsidR="00F77C69" w:rsidRPr="00207642">
        <w:t xml:space="preserve">uce calorie intake </w:t>
      </w:r>
      <w:r w:rsidRPr="00207642">
        <w:t xml:space="preserve">in early childhood </w:t>
      </w:r>
      <w:r w:rsidR="00F77C69" w:rsidRPr="00207642">
        <w:t xml:space="preserve">would be likely to </w:t>
      </w:r>
      <w:r w:rsidR="0041398E" w:rsidRPr="00207642">
        <w:t>reduce</w:t>
      </w:r>
      <w:r w:rsidR="00F77C69" w:rsidRPr="00207642">
        <w:t xml:space="preserve"> </w:t>
      </w:r>
      <w:r w:rsidR="00D26380" w:rsidRPr="00207642">
        <w:t>prevalence of</w:t>
      </w:r>
      <w:r w:rsidR="00F77C69" w:rsidRPr="00207642">
        <w:t xml:space="preserve"> childhood obesity</w:t>
      </w:r>
      <w:r w:rsidR="0043442B" w:rsidRPr="00207642">
        <w:t>.</w:t>
      </w:r>
      <w:r w:rsidR="008260EE" w:rsidRPr="00207642">
        <w:t xml:space="preserve"> </w:t>
      </w:r>
      <w:r w:rsidR="003C1197" w:rsidRPr="00207642">
        <w:t>This research used high quality</w:t>
      </w:r>
      <w:r w:rsidR="0041398E" w:rsidRPr="00207642">
        <w:t xml:space="preserve"> </w:t>
      </w:r>
      <w:r w:rsidRPr="00207642">
        <w:t>longitudinal</w:t>
      </w:r>
      <w:r w:rsidR="003C1197" w:rsidRPr="00207642">
        <w:t xml:space="preserve"> data from a regional cohort, including objectively recorded BMI, food </w:t>
      </w:r>
      <w:r w:rsidRPr="00207642">
        <w:t xml:space="preserve">diaries </w:t>
      </w:r>
      <w:r w:rsidR="003C1197" w:rsidRPr="00207642">
        <w:t xml:space="preserve">to </w:t>
      </w:r>
      <w:r w:rsidRPr="00207642">
        <w:t xml:space="preserve">generate </w:t>
      </w:r>
      <w:r w:rsidR="003C1197" w:rsidRPr="00207642">
        <w:t xml:space="preserve">average daily energy intake, and a number of potential confounding factors. </w:t>
      </w:r>
      <w:r w:rsidR="009A3201" w:rsidRPr="00207642">
        <w:t xml:space="preserve">Estimated average requirements were used to guide adjustments to </w:t>
      </w:r>
      <w:r w:rsidR="00ED0B4B" w:rsidRPr="00207642">
        <w:t xml:space="preserve">calorie intake </w:t>
      </w:r>
      <w:r w:rsidR="009A3201" w:rsidRPr="00207642">
        <w:t xml:space="preserve">(the effectiveness of hypothetical interventions). Given the high and increasing rates of obesity in the UK, these estimates are based </w:t>
      </w:r>
      <w:r w:rsidR="00560763" w:rsidRPr="00207642">
        <w:t xml:space="preserve">on an </w:t>
      </w:r>
      <w:r w:rsidR="009A3201" w:rsidRPr="00207642">
        <w:t>approach that referenced body weights consistent with good long term health.[</w:t>
      </w:r>
      <w:r w:rsidR="000A0B33" w:rsidRPr="00207642">
        <w:fldChar w:fldCharType="begin"/>
      </w:r>
      <w:r w:rsidR="000A0B33" w:rsidRPr="00207642">
        <w:instrText xml:space="preserve"> NOTEREF _Ref40178489 \h </w:instrText>
      </w:r>
      <w:r w:rsidR="000A0B33" w:rsidRPr="00207642">
        <w:fldChar w:fldCharType="separate"/>
      </w:r>
      <w:r w:rsidR="00C17003" w:rsidRPr="00207642">
        <w:t>17</w:t>
      </w:r>
      <w:r w:rsidR="000A0B33" w:rsidRPr="00207642">
        <w:fldChar w:fldCharType="end"/>
      </w:r>
      <w:r w:rsidR="009A3201" w:rsidRPr="00207642">
        <w:t xml:space="preserve">] </w:t>
      </w:r>
      <w:r w:rsidR="00C71201" w:rsidRPr="00207642">
        <w:t xml:space="preserve">The </w:t>
      </w:r>
      <w:r w:rsidR="009A3201" w:rsidRPr="00207642">
        <w:t>95</w:t>
      </w:r>
      <w:r w:rsidR="009A3201" w:rsidRPr="00207642">
        <w:rPr>
          <w:vertAlign w:val="superscript"/>
        </w:rPr>
        <w:t>th</w:t>
      </w:r>
      <w:r w:rsidR="009A3201" w:rsidRPr="00207642">
        <w:t xml:space="preserve"> centile of </w:t>
      </w:r>
      <w:r w:rsidR="00C71201" w:rsidRPr="00207642">
        <w:t>BMI</w:t>
      </w:r>
      <w:r w:rsidR="009A3201" w:rsidRPr="00207642">
        <w:t xml:space="preserve"> was used as the</w:t>
      </w:r>
      <w:r w:rsidR="000A7318" w:rsidRPr="00207642">
        <w:t xml:space="preserve"> cut-off for the obesity</w:t>
      </w:r>
      <w:r w:rsidR="009A3201" w:rsidRPr="00207642">
        <w:t xml:space="preserve"> outcome, </w:t>
      </w:r>
      <w:r w:rsidRPr="00207642">
        <w:t xml:space="preserve">as this cut-off has </w:t>
      </w:r>
      <w:r w:rsidR="00560763" w:rsidRPr="00207642">
        <w:t>policy relevance and</w:t>
      </w:r>
      <w:r w:rsidR="009A3201" w:rsidRPr="00207642">
        <w:t xml:space="preserve"> comparability </w:t>
      </w:r>
      <w:r w:rsidRPr="00207642">
        <w:t>across</w:t>
      </w:r>
      <w:r w:rsidR="009A3201" w:rsidRPr="00207642">
        <w:t xml:space="preserve"> data sets. </w:t>
      </w:r>
    </w:p>
    <w:p w14:paraId="012B0A61" w14:textId="5692CE3E" w:rsidR="007327AF" w:rsidRPr="00207642" w:rsidRDefault="007632B2" w:rsidP="009C4075">
      <w:pPr>
        <w:spacing w:line="480" w:lineRule="auto"/>
      </w:pPr>
      <w:r w:rsidRPr="00207642">
        <w:t xml:space="preserve">Uptake was set at 75% </w:t>
      </w:r>
      <w:r w:rsidR="000B10A2" w:rsidRPr="00207642">
        <w:t>f</w:t>
      </w:r>
      <w:r w:rsidRPr="00207642">
        <w:t>or the universal intervention and the targeted intervention for children in deprived areas, and 100% for children living with obesity and with high levels of reported intake</w:t>
      </w:r>
      <w:r w:rsidR="00F525D8" w:rsidRPr="00207642">
        <w:t>.</w:t>
      </w:r>
      <w:r w:rsidR="000B10A2" w:rsidRPr="00207642">
        <w:t xml:space="preserve"> </w:t>
      </w:r>
      <w:r w:rsidR="0008342E" w:rsidRPr="00207642">
        <w:t xml:space="preserve">It is </w:t>
      </w:r>
      <w:r w:rsidR="000B10A2" w:rsidRPr="00207642">
        <w:t>acknowledge</w:t>
      </w:r>
      <w:r w:rsidR="0008342E" w:rsidRPr="00207642">
        <w:t>d</w:t>
      </w:r>
      <w:r w:rsidR="000B10A2" w:rsidRPr="00207642">
        <w:t xml:space="preserve"> that modelled uptakes are high and may not be achievable in the real world. In sensitivity analyses, a lower level of uptake</w:t>
      </w:r>
      <w:r w:rsidR="00BD22CD" w:rsidRPr="00207642">
        <w:t xml:space="preserve"> was modelled</w:t>
      </w:r>
      <w:r w:rsidR="000B10A2" w:rsidRPr="00207642">
        <w:t xml:space="preserve"> </w:t>
      </w:r>
      <w:r w:rsidR="00B702C3" w:rsidRPr="00207642">
        <w:t>with a resulting</w:t>
      </w:r>
      <w:r w:rsidR="000B10A2" w:rsidRPr="00207642">
        <w:t xml:space="preserve"> pattern of results </w:t>
      </w:r>
      <w:r w:rsidR="00B702C3" w:rsidRPr="00207642">
        <w:t>that was</w:t>
      </w:r>
      <w:r w:rsidR="000B10A2" w:rsidRPr="00207642">
        <w:t xml:space="preserve"> similar to those reported in the main analyses. </w:t>
      </w:r>
      <w:r w:rsidR="009A3201" w:rsidRPr="00207642">
        <w:t>Scenarios</w:t>
      </w:r>
      <w:r w:rsidR="009A3932" w:rsidRPr="00207642">
        <w:t xml:space="preserve"> were</w:t>
      </w:r>
      <w:r w:rsidR="009A3201" w:rsidRPr="00207642">
        <w:t xml:space="preserve"> </w:t>
      </w:r>
      <w:r w:rsidR="009C4075" w:rsidRPr="00207642">
        <w:t>modelled to be relevant to the real world</w:t>
      </w:r>
      <w:r w:rsidR="000113E8" w:rsidRPr="00207642">
        <w:t xml:space="preserve"> and were targeted or indicated based on deprivation, prior weight status or eating behaviour in order to provide insight as to the potential impacts on sub-groups using different indicators of risk. </w:t>
      </w:r>
    </w:p>
    <w:p w14:paraId="0EE786A3" w14:textId="113813CE" w:rsidR="00A65D53" w:rsidRPr="00207642" w:rsidRDefault="00AA0DEC" w:rsidP="00A65D53">
      <w:pPr>
        <w:spacing w:line="480" w:lineRule="auto"/>
      </w:pPr>
      <w:r w:rsidRPr="00207642">
        <w:t xml:space="preserve">There </w:t>
      </w:r>
      <w:r w:rsidR="00B966CF" w:rsidRPr="00207642">
        <w:t>are</w:t>
      </w:r>
      <w:r w:rsidRPr="00207642">
        <w:t xml:space="preserve"> limitations </w:t>
      </w:r>
      <w:r w:rsidR="00B966CF" w:rsidRPr="00207642">
        <w:t xml:space="preserve">with </w:t>
      </w:r>
      <w:r w:rsidR="004709F7" w:rsidRPr="00207642">
        <w:t>the</w:t>
      </w:r>
      <w:r w:rsidR="00BF380E" w:rsidRPr="00207642">
        <w:t xml:space="preserve"> regional</w:t>
      </w:r>
      <w:r w:rsidR="004709F7" w:rsidRPr="00207642">
        <w:t xml:space="preserve"> </w:t>
      </w:r>
      <w:r w:rsidRPr="00207642">
        <w:t>data</w:t>
      </w:r>
      <w:r w:rsidR="00B966CF" w:rsidRPr="00207642">
        <w:t>set</w:t>
      </w:r>
      <w:r w:rsidR="00C4238B" w:rsidRPr="00207642">
        <w:t>;</w:t>
      </w:r>
      <w:r w:rsidRPr="00207642">
        <w:t xml:space="preserve"> </w:t>
      </w:r>
      <w:r w:rsidR="00C4238B" w:rsidRPr="00207642">
        <w:t>t</w:t>
      </w:r>
      <w:r w:rsidR="004709F7" w:rsidRPr="00207642">
        <w:t xml:space="preserve">he </w:t>
      </w:r>
      <w:r w:rsidR="006552ED" w:rsidRPr="00207642">
        <w:t xml:space="preserve">city of </w:t>
      </w:r>
      <w:r w:rsidR="004709F7" w:rsidRPr="00207642">
        <w:t xml:space="preserve">Southampton </w:t>
      </w:r>
      <w:r w:rsidR="006552ED" w:rsidRPr="00207642">
        <w:t xml:space="preserve">is </w:t>
      </w:r>
      <w:r w:rsidR="004709F7" w:rsidRPr="00207642">
        <w:t>generally more deprived and less eth</w:t>
      </w:r>
      <w:r w:rsidR="00F2691F" w:rsidRPr="00207642">
        <w:t>n</w:t>
      </w:r>
      <w:r w:rsidR="004709F7" w:rsidRPr="00207642">
        <w:t>ically diverse than England and Wales</w:t>
      </w:r>
      <w:r w:rsidR="00B966CF" w:rsidRPr="00207642">
        <w:t xml:space="preserve"> nationally</w:t>
      </w:r>
      <w:r w:rsidR="004709F7" w:rsidRPr="00207642">
        <w:t>.[</w:t>
      </w:r>
      <w:r w:rsidR="000A0B33" w:rsidRPr="00207642">
        <w:fldChar w:fldCharType="begin"/>
      </w:r>
      <w:r w:rsidR="000A0B33" w:rsidRPr="00207642">
        <w:instrText xml:space="preserve"> NOTEREF _Ref54943780 \h </w:instrText>
      </w:r>
      <w:r w:rsidR="000A0B33" w:rsidRPr="00207642">
        <w:fldChar w:fldCharType="separate"/>
      </w:r>
      <w:r w:rsidR="00C17003" w:rsidRPr="00207642">
        <w:t>10</w:t>
      </w:r>
      <w:r w:rsidR="000A0B33" w:rsidRPr="00207642">
        <w:fldChar w:fldCharType="end"/>
      </w:r>
      <w:r w:rsidR="004709F7" w:rsidRPr="00207642">
        <w:t>]</w:t>
      </w:r>
      <w:r w:rsidR="00C616AB" w:rsidRPr="00207642">
        <w:t xml:space="preserve"> </w:t>
      </w:r>
      <w:r w:rsidR="004709F7" w:rsidRPr="00207642">
        <w:t xml:space="preserve">A slightly lower proportion of </w:t>
      </w:r>
      <w:r w:rsidR="003762C8" w:rsidRPr="00207642">
        <w:t>SWS mo</w:t>
      </w:r>
      <w:r w:rsidR="00586A64" w:rsidRPr="00207642">
        <w:t>t</w:t>
      </w:r>
      <w:r w:rsidR="003762C8" w:rsidRPr="00207642">
        <w:t>hers</w:t>
      </w:r>
      <w:r w:rsidR="004709F7" w:rsidRPr="00207642">
        <w:t xml:space="preserve"> had university degrees</w:t>
      </w:r>
      <w:r w:rsidR="000F071F" w:rsidRPr="00207642">
        <w:t xml:space="preserve"> compared to the national average</w:t>
      </w:r>
      <w:r w:rsidR="00601EEA" w:rsidRPr="00207642">
        <w:t xml:space="preserve"> during the same time period</w:t>
      </w:r>
      <w:r w:rsidR="00C616AB" w:rsidRPr="00207642">
        <w:t>.</w:t>
      </w:r>
      <w:r w:rsidR="000F071F" w:rsidRPr="00207642">
        <w:t>[</w:t>
      </w:r>
      <w:r w:rsidR="000F071F" w:rsidRPr="00207642">
        <w:rPr>
          <w:rStyle w:val="EndnoteReference"/>
          <w:vertAlign w:val="baseline"/>
        </w:rPr>
        <w:endnoteReference w:id="25"/>
      </w:r>
      <w:r w:rsidR="000F071F" w:rsidRPr="00207642">
        <w:t>]</w:t>
      </w:r>
      <w:r w:rsidR="00C616AB" w:rsidRPr="00207642">
        <w:t xml:space="preserve"> </w:t>
      </w:r>
      <w:r w:rsidR="007021E6" w:rsidRPr="00207642">
        <w:t>The cohort</w:t>
      </w:r>
      <w:r w:rsidR="003C1197" w:rsidRPr="00207642">
        <w:t xml:space="preserve"> of</w:t>
      </w:r>
      <w:r w:rsidR="007021E6" w:rsidRPr="00207642">
        <w:t xml:space="preserve"> children</w:t>
      </w:r>
      <w:r w:rsidR="00C616AB" w:rsidRPr="00207642">
        <w:t xml:space="preserve"> were </w:t>
      </w:r>
      <w:r w:rsidR="00BD3A20" w:rsidRPr="00207642">
        <w:t xml:space="preserve">born </w:t>
      </w:r>
      <w:r w:rsidR="00D83EF7" w:rsidRPr="00207642">
        <w:t>pre-2007</w:t>
      </w:r>
      <w:r w:rsidR="00C616AB" w:rsidRPr="00207642">
        <w:t xml:space="preserve"> and </w:t>
      </w:r>
      <w:r w:rsidR="003C1197" w:rsidRPr="00207642">
        <w:t>may not reflect the  experiences or behaviours of contemporary children</w:t>
      </w:r>
      <w:r w:rsidR="00C4238B" w:rsidRPr="00207642">
        <w:t xml:space="preserve"> but the overall associations are unlikely to be affected.</w:t>
      </w:r>
    </w:p>
    <w:p w14:paraId="18D75205" w14:textId="5AC5F333" w:rsidR="00B91F71" w:rsidRPr="00207642" w:rsidRDefault="00D83EF7" w:rsidP="0079041C">
      <w:pPr>
        <w:spacing w:line="480" w:lineRule="auto"/>
      </w:pPr>
      <w:r w:rsidRPr="00207642">
        <w:t xml:space="preserve">Estimated intake was based on two-day mother-report food diaries, which </w:t>
      </w:r>
      <w:r w:rsidR="003C1197" w:rsidRPr="00207642">
        <w:t>are generally thought to be valid[</w:t>
      </w:r>
      <w:r w:rsidR="003C1197" w:rsidRPr="00207642">
        <w:rPr>
          <w:rStyle w:val="EndnoteReference"/>
          <w:vertAlign w:val="baseline"/>
        </w:rPr>
        <w:endnoteReference w:id="26"/>
      </w:r>
      <w:r w:rsidR="003C1197" w:rsidRPr="00207642">
        <w:t>,</w:t>
      </w:r>
      <w:r w:rsidR="003C1197" w:rsidRPr="00207642">
        <w:rPr>
          <w:rStyle w:val="EndnoteReference"/>
          <w:vertAlign w:val="baseline"/>
        </w:rPr>
        <w:endnoteReference w:id="27"/>
      </w:r>
      <w:r w:rsidR="003C1197" w:rsidRPr="00207642">
        <w:t xml:space="preserve">] but </w:t>
      </w:r>
      <w:r w:rsidRPr="00207642">
        <w:t>may contain a level of report bias.[</w:t>
      </w:r>
      <w:r w:rsidRPr="00207642">
        <w:rPr>
          <w:rStyle w:val="EndnoteReference"/>
          <w:vertAlign w:val="baseline"/>
        </w:rPr>
        <w:endnoteReference w:id="28"/>
      </w:r>
      <w:r w:rsidRPr="00207642">
        <w:t xml:space="preserve">]. </w:t>
      </w:r>
      <w:r w:rsidR="005D0C08" w:rsidRPr="00207642">
        <w:t>Furthermore, food diaries were only returned by a minority of mothers</w:t>
      </w:r>
      <w:r w:rsidR="0012618A" w:rsidRPr="00207642">
        <w:t>,</w:t>
      </w:r>
      <w:r w:rsidR="005D0C08" w:rsidRPr="00207642">
        <w:t xml:space="preserve"> who tended to have higher levels of education than those who did not, and to have children who were less likely to be</w:t>
      </w:r>
      <w:r w:rsidR="00EC4672" w:rsidRPr="00207642">
        <w:t xml:space="preserve"> living with</w:t>
      </w:r>
      <w:r w:rsidR="005D0C08" w:rsidRPr="00207642">
        <w:t xml:space="preserve"> overweight or obes</w:t>
      </w:r>
      <w:r w:rsidR="003E416B" w:rsidRPr="00207642">
        <w:t>ity</w:t>
      </w:r>
      <w:r w:rsidR="005D0C08" w:rsidRPr="00207642">
        <w:t>.</w:t>
      </w:r>
      <w:r w:rsidR="00023E6A" w:rsidRPr="00207642">
        <w:t xml:space="preserve"> T</w:t>
      </w:r>
      <w:r w:rsidR="00A65D53" w:rsidRPr="00207642">
        <w:t xml:space="preserve">hese limitations </w:t>
      </w:r>
      <w:r w:rsidR="00560763" w:rsidRPr="00207642">
        <w:t xml:space="preserve">would not have undermined the </w:t>
      </w:r>
      <w:r w:rsidR="00A65D53" w:rsidRPr="00207642">
        <w:t xml:space="preserve">estimated reductions in prevalence or the </w:t>
      </w:r>
      <w:r w:rsidR="00560763" w:rsidRPr="00207642">
        <w:t>relationships within the model</w:t>
      </w:r>
      <w:r w:rsidR="00A65D53" w:rsidRPr="00207642">
        <w:t>,</w:t>
      </w:r>
      <w:r w:rsidR="00560763" w:rsidRPr="00207642">
        <w:t xml:space="preserve"> </w:t>
      </w:r>
      <w:r w:rsidR="00AC42D1" w:rsidRPr="00207642">
        <w:t xml:space="preserve">suggesting that </w:t>
      </w:r>
      <w:r w:rsidR="00A65D53" w:rsidRPr="00207642">
        <w:t xml:space="preserve">the </w:t>
      </w:r>
      <w:r w:rsidR="00AC42D1" w:rsidRPr="00207642">
        <w:t xml:space="preserve">underlying </w:t>
      </w:r>
      <w:r w:rsidR="00A65D53" w:rsidRPr="00207642">
        <w:t>mechanisms linking the exposure, mediator and outcome are likely to be generalisable.</w:t>
      </w:r>
      <w:r w:rsidR="0079041C" w:rsidRPr="00207642">
        <w:t xml:space="preserve"> </w:t>
      </w:r>
      <w:r w:rsidR="000B252D" w:rsidRPr="00207642">
        <w:t>Th</w:t>
      </w:r>
      <w:r w:rsidR="00D31FCC" w:rsidRPr="00207642">
        <w:t xml:space="preserve">ere </w:t>
      </w:r>
      <w:r w:rsidR="000B252D" w:rsidRPr="00207642">
        <w:t>may be potential</w:t>
      </w:r>
      <w:r w:rsidR="00D31FCC" w:rsidRPr="00207642">
        <w:t xml:space="preserve"> caveats with the </w:t>
      </w:r>
      <w:r w:rsidR="000B252D" w:rsidRPr="00207642">
        <w:t xml:space="preserve">hypothesised </w:t>
      </w:r>
      <w:r w:rsidR="00D31FCC" w:rsidRPr="00207642">
        <w:t xml:space="preserve">causal </w:t>
      </w:r>
      <w:r w:rsidR="00560763" w:rsidRPr="00207642">
        <w:t xml:space="preserve">pathway </w:t>
      </w:r>
      <w:r w:rsidR="000B252D" w:rsidRPr="00207642">
        <w:t xml:space="preserve">and </w:t>
      </w:r>
      <w:r w:rsidR="00D31FCC" w:rsidRPr="00207642">
        <w:t xml:space="preserve">the limitations of </w:t>
      </w:r>
      <w:r w:rsidR="000B252D" w:rsidRPr="00207642">
        <w:t>quantifying</w:t>
      </w:r>
      <w:r w:rsidR="00560763" w:rsidRPr="00207642">
        <w:t xml:space="preserve"> this</w:t>
      </w:r>
      <w:r w:rsidR="000B252D" w:rsidRPr="00207642">
        <w:t xml:space="preserve"> </w:t>
      </w:r>
      <w:r w:rsidR="00560763" w:rsidRPr="00207642">
        <w:t xml:space="preserve">structure </w:t>
      </w:r>
      <w:r w:rsidR="000B252D" w:rsidRPr="00207642">
        <w:t>using survey</w:t>
      </w:r>
      <w:r w:rsidR="00D31FCC" w:rsidRPr="00207642">
        <w:t xml:space="preserve"> data</w:t>
      </w:r>
      <w:r w:rsidR="000B252D" w:rsidRPr="00207642">
        <w:t xml:space="preserve">. </w:t>
      </w:r>
      <w:r w:rsidR="00494094" w:rsidRPr="00207642">
        <w:t>T</w:t>
      </w:r>
      <w:r w:rsidR="000B252D" w:rsidRPr="00207642">
        <w:t xml:space="preserve">here may be remaining unmeasured confounding in the conceptualised model, </w:t>
      </w:r>
      <w:r w:rsidR="00494094" w:rsidRPr="00207642">
        <w:t xml:space="preserve">meaning </w:t>
      </w:r>
      <w:r w:rsidR="000B252D" w:rsidRPr="00207642">
        <w:t>c</w:t>
      </w:r>
      <w:r w:rsidR="0016296D" w:rsidRPr="00207642">
        <w:t xml:space="preserve">ausation cannot necessarily be </w:t>
      </w:r>
      <w:r w:rsidR="00F2691F" w:rsidRPr="00207642">
        <w:t>assumed</w:t>
      </w:r>
      <w:r w:rsidR="0016296D" w:rsidRPr="00207642">
        <w:t xml:space="preserve"> </w:t>
      </w:r>
      <w:r w:rsidR="00F2691F" w:rsidRPr="00207642">
        <w:t>from these analyses</w:t>
      </w:r>
      <w:r w:rsidR="00A27C20" w:rsidRPr="00207642">
        <w:t>.</w:t>
      </w:r>
      <w:r w:rsidR="007C0CEB" w:rsidRPr="00207642">
        <w:t>[</w:t>
      </w:r>
      <w:r w:rsidR="00A27C20" w:rsidRPr="00207642">
        <w:rPr>
          <w:rStyle w:val="EndnoteReference"/>
          <w:vertAlign w:val="baseline"/>
        </w:rPr>
        <w:endnoteReference w:id="29"/>
      </w:r>
      <w:r w:rsidR="007C0CEB" w:rsidRPr="00207642">
        <w:t>]</w:t>
      </w:r>
      <w:r w:rsidR="00A27C20" w:rsidRPr="00207642">
        <w:t xml:space="preserve"> </w:t>
      </w:r>
    </w:p>
    <w:p w14:paraId="79AE9A17" w14:textId="77777777" w:rsidR="00AC42D1" w:rsidRPr="00207642" w:rsidRDefault="00AC42D1" w:rsidP="00AC42D1">
      <w:pPr>
        <w:spacing w:line="480" w:lineRule="auto"/>
        <w:rPr>
          <w:b/>
          <w:bCs/>
        </w:rPr>
      </w:pPr>
      <w:r w:rsidRPr="00207642">
        <w:rPr>
          <w:b/>
          <w:bCs/>
        </w:rPr>
        <w:t>Conclusions</w:t>
      </w:r>
    </w:p>
    <w:p w14:paraId="3B470E61" w14:textId="06466181" w:rsidR="005D456A" w:rsidRDefault="00AC42D1" w:rsidP="002C5758">
      <w:pPr>
        <w:spacing w:line="480" w:lineRule="auto"/>
      </w:pPr>
      <w:r w:rsidRPr="00207642">
        <w:t>C</w:t>
      </w:r>
      <w:r w:rsidR="00F766D2" w:rsidRPr="00207642">
        <w:t xml:space="preserve">alorie reduction interventions are a promising area for policy focus and may be helpful in tackling high </w:t>
      </w:r>
      <w:r w:rsidR="000B252D" w:rsidRPr="00207642">
        <w:t xml:space="preserve">rates of </w:t>
      </w:r>
      <w:r w:rsidR="00F766D2" w:rsidRPr="00207642">
        <w:t>childhood obesity.</w:t>
      </w:r>
      <w:r w:rsidR="000B252D" w:rsidRPr="00207642">
        <w:t xml:space="preserve"> This work </w:t>
      </w:r>
      <w:r w:rsidRPr="00207642">
        <w:t xml:space="preserve">supports the findings </w:t>
      </w:r>
      <w:r w:rsidR="00437845" w:rsidRPr="00207642">
        <w:t>from</w:t>
      </w:r>
      <w:r w:rsidRPr="00207642">
        <w:t xml:space="preserve"> </w:t>
      </w:r>
      <w:r w:rsidR="00583753" w:rsidRPr="00207642">
        <w:t xml:space="preserve">previous </w:t>
      </w:r>
      <w:r w:rsidRPr="00207642">
        <w:t xml:space="preserve">studies </w:t>
      </w:r>
      <w:r w:rsidR="00015F30" w:rsidRPr="00207642">
        <w:t>and</w:t>
      </w:r>
      <w:r w:rsidRPr="00207642">
        <w:t xml:space="preserve"> suggest</w:t>
      </w:r>
      <w:r w:rsidR="00CB1971" w:rsidRPr="00207642">
        <w:t>s</w:t>
      </w:r>
      <w:r w:rsidRPr="00207642">
        <w:t xml:space="preserve"> </w:t>
      </w:r>
      <w:r w:rsidR="002C4512" w:rsidRPr="00207642">
        <w:t xml:space="preserve">that </w:t>
      </w:r>
      <w:r w:rsidR="00242290" w:rsidRPr="00207642">
        <w:t>policy actions</w:t>
      </w:r>
      <w:r w:rsidR="00862178" w:rsidRPr="00207642">
        <w:t xml:space="preserve"> or interventions</w:t>
      </w:r>
      <w:r w:rsidR="0081709D" w:rsidRPr="00207642">
        <w:t xml:space="preserve"> </w:t>
      </w:r>
      <w:r w:rsidR="00583753" w:rsidRPr="00207642">
        <w:t xml:space="preserve">to </w:t>
      </w:r>
      <w:r w:rsidR="00862178" w:rsidRPr="00207642">
        <w:t>reduce</w:t>
      </w:r>
      <w:r w:rsidR="0081709D" w:rsidRPr="00207642">
        <w:t xml:space="preserve"> </w:t>
      </w:r>
      <w:r w:rsidR="006905C0" w:rsidRPr="00207642">
        <w:t>energy</w:t>
      </w:r>
      <w:r w:rsidR="00862178" w:rsidRPr="00207642">
        <w:t xml:space="preserve"> intake </w:t>
      </w:r>
      <w:r w:rsidR="00242290" w:rsidRPr="00207642">
        <w:t xml:space="preserve">would be likely to </w:t>
      </w:r>
      <w:r w:rsidR="00583753" w:rsidRPr="00207642">
        <w:t xml:space="preserve">lower the prevalence of </w:t>
      </w:r>
      <w:r w:rsidR="006905C0" w:rsidRPr="00207642">
        <w:t xml:space="preserve">childhood </w:t>
      </w:r>
      <w:r w:rsidR="00242290" w:rsidRPr="00207642">
        <w:t>obesity</w:t>
      </w:r>
      <w:r w:rsidR="00E43764" w:rsidRPr="00207642">
        <w:t>.</w:t>
      </w:r>
      <w:r w:rsidR="00B804FA" w:rsidRPr="00207642">
        <w:t xml:space="preserve"> </w:t>
      </w:r>
      <w:r w:rsidR="00CB1971" w:rsidRPr="00207642">
        <w:t>This work also</w:t>
      </w:r>
      <w:r w:rsidR="00015F30" w:rsidRPr="00207642">
        <w:t xml:space="preserve"> implies that calorie reduction interventions may be more effective when administered earlier in childhood.</w:t>
      </w:r>
      <w:r w:rsidR="00CB1971" w:rsidRPr="00207642">
        <w:t xml:space="preserve"> </w:t>
      </w:r>
      <w:r w:rsidR="008A0A9B" w:rsidRPr="00207642">
        <w:t>While universal i</w:t>
      </w:r>
      <w:r w:rsidR="00B804FA" w:rsidRPr="00207642">
        <w:t>nterventions</w:t>
      </w:r>
      <w:r w:rsidR="006905C0" w:rsidRPr="00207642">
        <w:t xml:space="preserve"> did not </w:t>
      </w:r>
      <w:r w:rsidR="000B6BAD" w:rsidRPr="00207642">
        <w:t xml:space="preserve">significantly </w:t>
      </w:r>
      <w:r w:rsidR="007E1E16" w:rsidRPr="00207642">
        <w:t>narrow</w:t>
      </w:r>
      <w:r w:rsidR="008A0A9B" w:rsidRPr="00207642">
        <w:t xml:space="preserve"> relative</w:t>
      </w:r>
      <w:r w:rsidR="006905C0" w:rsidRPr="00207642">
        <w:t xml:space="preserve"> inequalities</w:t>
      </w:r>
      <w:r w:rsidR="008A0A9B" w:rsidRPr="00207642">
        <w:t>,</w:t>
      </w:r>
      <w:r w:rsidR="006905C0" w:rsidRPr="00207642">
        <w:t xml:space="preserve"> targeting children from highly deprived areas</w:t>
      </w:r>
      <w:r w:rsidR="00D83EF7" w:rsidRPr="00207642">
        <w:t xml:space="preserve"> </w:t>
      </w:r>
      <w:r w:rsidR="000B6BAD" w:rsidRPr="00207642">
        <w:t xml:space="preserve">was effective </w:t>
      </w:r>
      <w:r w:rsidR="0010215A" w:rsidRPr="00207642">
        <w:t>in</w:t>
      </w:r>
      <w:r w:rsidR="000B6BAD" w:rsidRPr="00207642">
        <w:t xml:space="preserve"> </w:t>
      </w:r>
      <w:r w:rsidR="007E1E16" w:rsidRPr="00207642">
        <w:t xml:space="preserve">substantially </w:t>
      </w:r>
      <w:r w:rsidR="000B6BAD" w:rsidRPr="00207642">
        <w:t>reducing</w:t>
      </w:r>
      <w:r w:rsidR="007E1E16" w:rsidRPr="00207642">
        <w:t xml:space="preserve"> obesity</w:t>
      </w:r>
      <w:r w:rsidR="000B6BAD" w:rsidRPr="00207642">
        <w:t xml:space="preserve"> </w:t>
      </w:r>
      <w:r w:rsidR="007E1E16" w:rsidRPr="00207642">
        <w:t>prevalence among the lowest educational group.</w:t>
      </w:r>
      <w:r w:rsidR="000B6BAD" w:rsidRPr="00207642">
        <w:t xml:space="preserve"> Given the stark and increasing inequalities in childhood obesity, </w:t>
      </w:r>
      <w:r w:rsidR="007E1E16" w:rsidRPr="00207642">
        <w:t xml:space="preserve">policy actions and interventions that </w:t>
      </w:r>
      <w:r w:rsidR="000B6BAD" w:rsidRPr="00207642">
        <w:t>tackl</w:t>
      </w:r>
      <w:r w:rsidR="007E1E16" w:rsidRPr="00207642">
        <w:t>e</w:t>
      </w:r>
      <w:r w:rsidR="000B6BAD" w:rsidRPr="00207642">
        <w:t xml:space="preserve"> inequalities should remain top of the </w:t>
      </w:r>
      <w:r w:rsidR="007E1E16" w:rsidRPr="00207642">
        <w:t>public health</w:t>
      </w:r>
      <w:r w:rsidR="000B6BAD" w:rsidRPr="00207642">
        <w:t xml:space="preserve"> agenda.</w:t>
      </w:r>
    </w:p>
    <w:p w14:paraId="6BE1F094" w14:textId="77777777" w:rsidR="00050863" w:rsidRPr="00207642" w:rsidRDefault="00050863" w:rsidP="00050863">
      <w:pPr>
        <w:spacing w:line="480" w:lineRule="auto"/>
        <w:rPr>
          <w:b/>
        </w:rPr>
      </w:pPr>
      <w:r w:rsidRPr="00207642">
        <w:rPr>
          <w:b/>
        </w:rPr>
        <w:t>Acknowledgements</w:t>
      </w:r>
    </w:p>
    <w:p w14:paraId="55D74338" w14:textId="5478D832" w:rsidR="00050863" w:rsidRDefault="00050863" w:rsidP="00050863">
      <w:pPr>
        <w:spacing w:line="480" w:lineRule="auto"/>
      </w:pPr>
      <w:r w:rsidRPr="00207642">
        <w:t>The authors are grateful to the participants in the SWS who have given their time to the study, and to the members of the SWS Study Group for all their work in collecting, processing and managing the data. The authors would also like to thank colleagues and collaborators within the Obesity Policy Research Unit and the UCL Great Ormond Street Institute of Child Health.</w:t>
      </w:r>
    </w:p>
    <w:p w14:paraId="429877C8" w14:textId="77777777" w:rsidR="00385FE8" w:rsidRPr="00207642" w:rsidRDefault="00385FE8" w:rsidP="00385FE8">
      <w:pPr>
        <w:spacing w:line="480" w:lineRule="auto"/>
        <w:rPr>
          <w:b/>
        </w:rPr>
      </w:pPr>
      <w:r w:rsidRPr="00207642">
        <w:rPr>
          <w:b/>
        </w:rPr>
        <w:t>Funding</w:t>
      </w:r>
    </w:p>
    <w:p w14:paraId="6E37FF2E" w14:textId="77777777" w:rsidR="00385FE8" w:rsidRPr="00207642" w:rsidRDefault="00385FE8" w:rsidP="00385FE8">
      <w:pPr>
        <w:spacing w:line="480" w:lineRule="auto"/>
      </w:pPr>
      <w:r w:rsidRPr="00207642">
        <w:t xml:space="preserve">This report is independent research commissioned and funded by the National Institute for Health Research Policy Research Programme. The views expressed in this publication are those of the authors and not necessarily those of the NHS, the National Institute for Health Research, the Department of Health and Social Care or its arm's length bodies, and other Government Departments. </w:t>
      </w:r>
    </w:p>
    <w:p w14:paraId="75458B82" w14:textId="77777777" w:rsidR="00385FE8" w:rsidRPr="00207642" w:rsidRDefault="00385FE8" w:rsidP="00385FE8">
      <w:pPr>
        <w:spacing w:line="480" w:lineRule="auto"/>
      </w:pPr>
      <w:r w:rsidRPr="00207642">
        <w:t>The Southampton Women’s Survey has been supported by the UK Medical Research Council, University of Southampton, Dunhill Medical Trust, British Heart Foundation, Food Standards Agency, British Lung Foundation, the NIHR Southampton Biomedical Research Centre, the European Union’s Seventh Framework Programme (FP7/2007-2013), project EarlyNutrition (grant 289346) and European Union’s Horizon 2020 research and innovation programme under grant agreement No 733206, 9.6 M€ (LifeCycle).</w:t>
      </w:r>
    </w:p>
    <w:p w14:paraId="321DB00F" w14:textId="33ED52E8" w:rsidR="003275C7" w:rsidRPr="00207642" w:rsidRDefault="003275C7" w:rsidP="003275C7">
      <w:pPr>
        <w:spacing w:line="480" w:lineRule="auto"/>
        <w:rPr>
          <w:b/>
        </w:rPr>
      </w:pPr>
      <w:r w:rsidRPr="00207642">
        <w:rPr>
          <w:b/>
        </w:rPr>
        <w:t>Conflict of interests</w:t>
      </w:r>
    </w:p>
    <w:p w14:paraId="173D8A5A" w14:textId="28F1EE68" w:rsidR="003275C7" w:rsidRDefault="00D23E9A" w:rsidP="003275C7">
      <w:pPr>
        <w:spacing w:line="480" w:lineRule="auto"/>
      </w:pPr>
      <w:r>
        <w:t>The authors</w:t>
      </w:r>
      <w:r w:rsidR="003275C7" w:rsidRPr="00207642">
        <w:t xml:space="preserve"> have no competing interests</w:t>
      </w:r>
      <w:r>
        <w:t xml:space="preserve"> to declare</w:t>
      </w:r>
      <w:r w:rsidR="003275C7" w:rsidRPr="00207642">
        <w:t>.</w:t>
      </w:r>
    </w:p>
    <w:p w14:paraId="56EF35C2" w14:textId="77777777" w:rsidR="00E8688C" w:rsidRPr="00993726" w:rsidRDefault="00E8688C" w:rsidP="00E8688C">
      <w:pPr>
        <w:spacing w:line="480" w:lineRule="auto"/>
        <w:rPr>
          <w:b/>
          <w:bCs/>
        </w:rPr>
      </w:pPr>
      <w:r w:rsidRPr="00993726">
        <w:rPr>
          <w:b/>
          <w:bCs/>
        </w:rPr>
        <w:t xml:space="preserve">Author contributions </w:t>
      </w:r>
    </w:p>
    <w:p w14:paraId="31EE3D5A" w14:textId="28150884" w:rsidR="00E8688C" w:rsidRDefault="00B01200" w:rsidP="00E8688C">
      <w:pPr>
        <w:spacing w:line="480" w:lineRule="auto"/>
      </w:pPr>
      <w:r w:rsidRPr="00207642">
        <w:t xml:space="preserve">Simon Russell, </w:t>
      </w:r>
      <w:r w:rsidRPr="00B01200">
        <w:t xml:space="preserve">Russell Viner </w:t>
      </w:r>
      <w:r>
        <w:t xml:space="preserve">and </w:t>
      </w:r>
      <w:r w:rsidRPr="00207642">
        <w:t xml:space="preserve">Steven Hope </w:t>
      </w:r>
      <w:r w:rsidR="00E8688C" w:rsidRPr="00207642">
        <w:t xml:space="preserve">conceived the idea and designed the work, </w:t>
      </w:r>
      <w:r w:rsidRPr="00207642">
        <w:t xml:space="preserve">Simon Russell </w:t>
      </w:r>
      <w:r w:rsidR="00E8688C" w:rsidRPr="00207642">
        <w:t xml:space="preserve">conducted the analyses, </w:t>
      </w:r>
      <w:r w:rsidRPr="00207642">
        <w:t>Simon Russell</w:t>
      </w:r>
      <w:r w:rsidR="00E8688C" w:rsidRPr="00207642">
        <w:t xml:space="preserve">, </w:t>
      </w:r>
      <w:r w:rsidRPr="00207642">
        <w:t>Steven Hope</w:t>
      </w:r>
      <w:r w:rsidR="00E8688C" w:rsidRPr="00207642">
        <w:t xml:space="preserve">, </w:t>
      </w:r>
      <w:r w:rsidR="00CE036A">
        <w:t>Helen Croker</w:t>
      </w:r>
      <w:r w:rsidR="00E8688C" w:rsidRPr="00207642">
        <w:t xml:space="preserve">, </w:t>
      </w:r>
      <w:r w:rsidR="00CE036A" w:rsidRPr="00207642">
        <w:t>Jessica Packer</w:t>
      </w:r>
      <w:r w:rsidR="00E8688C" w:rsidRPr="00207642">
        <w:t xml:space="preserve">, and </w:t>
      </w:r>
      <w:r w:rsidR="00CE036A" w:rsidRPr="00B01200">
        <w:t xml:space="preserve">Russell Viner </w:t>
      </w:r>
      <w:r w:rsidR="00E8688C" w:rsidRPr="00207642">
        <w:t xml:space="preserve">contributed to interpretation of results and writing of the paper. </w:t>
      </w:r>
      <w:r w:rsidR="00CE036A" w:rsidRPr="00207642">
        <w:t xml:space="preserve">Hazel Inskip </w:t>
      </w:r>
      <w:r w:rsidR="00E8688C" w:rsidRPr="00207642">
        <w:t xml:space="preserve">runs the SWS, provided the data and contributed to discussions of the manuscript. </w:t>
      </w:r>
      <w:r w:rsidR="00CE036A" w:rsidRPr="00207642">
        <w:t xml:space="preserve">Sarah Crozier </w:t>
      </w:r>
      <w:r w:rsidR="00E8688C" w:rsidRPr="00207642">
        <w:t>curates the SWS data and contributed to discussions of the manuscript. All authors approved the submitted version and agree to be personally accountable for their respective contributions.</w:t>
      </w:r>
    </w:p>
    <w:p w14:paraId="3F427178" w14:textId="3B43C65D" w:rsidR="00B712EA" w:rsidRPr="00207642" w:rsidRDefault="006B331B" w:rsidP="00EE10C9">
      <w:pPr>
        <w:spacing w:line="480" w:lineRule="auto"/>
        <w:rPr>
          <w:b/>
        </w:rPr>
      </w:pPr>
      <w:r w:rsidRPr="00207642">
        <w:rPr>
          <w:b/>
        </w:rPr>
        <w:br w:type="page"/>
      </w:r>
      <w:r w:rsidR="00581BDC" w:rsidRPr="00207642">
        <w:rPr>
          <w:b/>
        </w:rPr>
        <w:t>References</w:t>
      </w:r>
      <w:r w:rsidR="001D15B4" w:rsidRPr="00207642">
        <w:rPr>
          <w:b/>
        </w:rPr>
        <w:t xml:space="preserve"> </w:t>
      </w:r>
    </w:p>
    <w:sectPr w:rsidR="00B712EA" w:rsidRPr="00207642" w:rsidSect="00F96E29">
      <w:footerReference w:type="default" r:id="rId9"/>
      <w:endnotePr>
        <w:numFmt w:val="decimal"/>
      </w:endnotePr>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DEDC0" w14:textId="77777777" w:rsidR="00313889" w:rsidRDefault="00313889" w:rsidP="00E228B0">
      <w:pPr>
        <w:spacing w:after="0" w:line="240" w:lineRule="auto"/>
      </w:pPr>
      <w:r>
        <w:separator/>
      </w:r>
    </w:p>
  </w:endnote>
  <w:endnote w:type="continuationSeparator" w:id="0">
    <w:p w14:paraId="4811A4F8" w14:textId="77777777" w:rsidR="00313889" w:rsidRDefault="00313889" w:rsidP="00E228B0">
      <w:pPr>
        <w:spacing w:after="0" w:line="240" w:lineRule="auto"/>
      </w:pPr>
      <w:r>
        <w:continuationSeparator/>
      </w:r>
    </w:p>
  </w:endnote>
  <w:endnote w:id="1">
    <w:p w14:paraId="667D1AD5" w14:textId="0D9F15A0" w:rsidR="00AF0882" w:rsidRPr="00FE27CB" w:rsidRDefault="00AF0882" w:rsidP="002E624F">
      <w:pPr>
        <w:pStyle w:val="EndnoteText"/>
        <w:spacing w:line="480" w:lineRule="auto"/>
      </w:pPr>
      <w:r w:rsidRPr="00207642">
        <w:rPr>
          <w:rStyle w:val="EndnoteReference"/>
          <w:sz w:val="22"/>
          <w:szCs w:val="22"/>
        </w:rPr>
        <w:endnoteRef/>
      </w:r>
      <w:r w:rsidRPr="00207642">
        <w:rPr>
          <w:sz w:val="22"/>
          <w:szCs w:val="22"/>
        </w:rPr>
        <w:t xml:space="preserve"> National Child Measurement Programme. National Child Measurement Programme – England, 201</w:t>
      </w:r>
      <w:r w:rsidR="00B32189" w:rsidRPr="00207642">
        <w:rPr>
          <w:sz w:val="22"/>
          <w:szCs w:val="22"/>
        </w:rPr>
        <w:t>9</w:t>
      </w:r>
      <w:r w:rsidRPr="00207642">
        <w:rPr>
          <w:sz w:val="22"/>
          <w:szCs w:val="22"/>
        </w:rPr>
        <w:t>/</w:t>
      </w:r>
      <w:r w:rsidR="00B32189" w:rsidRPr="00207642">
        <w:rPr>
          <w:sz w:val="22"/>
          <w:szCs w:val="22"/>
        </w:rPr>
        <w:t>20</w:t>
      </w:r>
      <w:r w:rsidRPr="00207642">
        <w:rPr>
          <w:sz w:val="22"/>
          <w:szCs w:val="22"/>
        </w:rPr>
        <w:t>: Tables. [last accessed 2</w:t>
      </w:r>
      <w:r w:rsidR="00F14DA5" w:rsidRPr="00207642">
        <w:rPr>
          <w:sz w:val="22"/>
          <w:szCs w:val="22"/>
        </w:rPr>
        <w:t>6</w:t>
      </w:r>
      <w:r w:rsidRPr="00207642">
        <w:rPr>
          <w:sz w:val="22"/>
          <w:szCs w:val="22"/>
        </w:rPr>
        <w:t>/03</w:t>
      </w:r>
      <w:r w:rsidRPr="002E624F">
        <w:rPr>
          <w:sz w:val="22"/>
          <w:szCs w:val="22"/>
        </w:rPr>
        <w:t>/202</w:t>
      </w:r>
      <w:r w:rsidR="00F14DA5" w:rsidRPr="002E624F">
        <w:rPr>
          <w:sz w:val="22"/>
          <w:szCs w:val="22"/>
        </w:rPr>
        <w:t>1</w:t>
      </w:r>
      <w:r w:rsidRPr="002E624F">
        <w:rPr>
          <w:sz w:val="22"/>
          <w:szCs w:val="22"/>
        </w:rPr>
        <w:t>]</w:t>
      </w:r>
      <w:r w:rsidR="002E624F" w:rsidRPr="002E624F">
        <w:t xml:space="preserve"> </w:t>
      </w:r>
      <w:hyperlink r:id="rId1" w:history="1">
        <w:r w:rsidR="002E624F" w:rsidRPr="002E624F">
          <w:rPr>
            <w:rStyle w:val="Hyperlink"/>
            <w:color w:val="auto"/>
            <w:sz w:val="22"/>
            <w:szCs w:val="22"/>
          </w:rPr>
          <w:t>https://digital.nhs.uk/data-and-information/publications/statistical/national-child-measurement-programme/2019-20-school-year</w:t>
        </w:r>
      </w:hyperlink>
      <w:r w:rsidRPr="002E624F">
        <w:rPr>
          <w:sz w:val="22"/>
          <w:szCs w:val="22"/>
        </w:rPr>
        <w:t>. 202</w:t>
      </w:r>
      <w:r w:rsidR="00FE27CB" w:rsidRPr="002E624F">
        <w:rPr>
          <w:sz w:val="22"/>
          <w:szCs w:val="22"/>
        </w:rPr>
        <w:t>1</w:t>
      </w:r>
      <w:r w:rsidRPr="002E624F">
        <w:rPr>
          <w:sz w:val="22"/>
          <w:szCs w:val="22"/>
        </w:rPr>
        <w:t>.</w:t>
      </w:r>
    </w:p>
  </w:endnote>
  <w:endnote w:id="2">
    <w:p w14:paraId="687B3FC2" w14:textId="51CDEE8E"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Simmonds M, Llewellyn A, Owen CG,</w:t>
      </w:r>
      <w:r w:rsidR="006524A3" w:rsidRPr="006524A3">
        <w:rPr>
          <w:color w:val="000000" w:themeColor="text1"/>
          <w:sz w:val="22"/>
          <w:szCs w:val="22"/>
        </w:rPr>
        <w:t xml:space="preserve"> </w:t>
      </w:r>
      <w:r w:rsidR="00157CD3">
        <w:rPr>
          <w:color w:val="000000" w:themeColor="text1"/>
          <w:sz w:val="22"/>
          <w:szCs w:val="22"/>
        </w:rPr>
        <w:t>et al</w:t>
      </w:r>
      <w:r w:rsidR="006524A3">
        <w:rPr>
          <w:color w:val="000000" w:themeColor="text1"/>
          <w:sz w:val="22"/>
          <w:szCs w:val="22"/>
        </w:rPr>
        <w:t xml:space="preserve">. </w:t>
      </w:r>
      <w:r w:rsidRPr="00701207">
        <w:rPr>
          <w:color w:val="000000" w:themeColor="text1"/>
          <w:sz w:val="22"/>
          <w:szCs w:val="22"/>
        </w:rPr>
        <w:t>Predicting adult obesity from childhood obesity: a systematic review and meta-analysis. Obesity Reviews. 2015; doi: 10.1111/obr.12334.</w:t>
      </w:r>
    </w:p>
  </w:endnote>
  <w:endnote w:id="3">
    <w:p w14:paraId="5B49E245" w14:textId="77777777"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Abdelaal M, le Roux CW, Docherty NG. Morbidity and mortality associated with obesity. Annals of translational medicine. 5. 7. 161. 2017; doi:10.21037/atm.2017.03.107.</w:t>
      </w:r>
    </w:p>
  </w:endnote>
  <w:endnote w:id="4">
    <w:p w14:paraId="3C7A6761" w14:textId="77777777"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Devaux M, Sassi F. Social inequalities in obesity and overweight in 11 OECD countries. European Journal of Public Health. 2011;23,3:464–469.</w:t>
      </w:r>
    </w:p>
  </w:endnote>
  <w:endnote w:id="5">
    <w:p w14:paraId="3EDCC6CF" w14:textId="77777777" w:rsidR="00AF0882" w:rsidRPr="00FB0C91" w:rsidRDefault="00AF0882" w:rsidP="00FB0C91">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El-Sayed AM, Scarborough P, Galea S. Socioeconomic Inequalities in Childhood Obesity in the </w:t>
      </w:r>
      <w:r w:rsidRPr="00FB0C91">
        <w:rPr>
          <w:color w:val="000000" w:themeColor="text1"/>
          <w:sz w:val="22"/>
          <w:szCs w:val="22"/>
        </w:rPr>
        <w:t>United Kingdom: A Systematic Review of the Literature. Obesity Facts. 2012;5:671-692.</w:t>
      </w:r>
    </w:p>
  </w:endnote>
  <w:endnote w:id="6">
    <w:p w14:paraId="76996F6D" w14:textId="10B08314" w:rsidR="00AF0882" w:rsidRPr="00A465C0" w:rsidRDefault="00AF0882" w:rsidP="00A465C0">
      <w:pPr>
        <w:pStyle w:val="EndnoteText"/>
        <w:spacing w:line="480" w:lineRule="auto"/>
        <w:rPr>
          <w:color w:val="000000" w:themeColor="text1"/>
          <w:sz w:val="22"/>
          <w:szCs w:val="22"/>
        </w:rPr>
      </w:pPr>
      <w:r w:rsidRPr="00FB0C91">
        <w:rPr>
          <w:rStyle w:val="EndnoteReference"/>
          <w:sz w:val="22"/>
          <w:szCs w:val="22"/>
        </w:rPr>
        <w:endnoteRef/>
      </w:r>
      <w:r w:rsidRPr="00FB0C91">
        <w:rPr>
          <w:sz w:val="22"/>
          <w:szCs w:val="22"/>
        </w:rPr>
        <w:t xml:space="preserve"> Public </w:t>
      </w:r>
      <w:r w:rsidRPr="00FB0C91">
        <w:rPr>
          <w:color w:val="000000" w:themeColor="text1"/>
          <w:sz w:val="22"/>
          <w:szCs w:val="22"/>
        </w:rPr>
        <w:t xml:space="preserve">Health England. Sugar reduction: Report on progress between 2015 and 2018. September 2019. </w:t>
      </w:r>
      <w:hyperlink r:id="rId2" w:history="1">
        <w:r w:rsidRPr="00A465C0">
          <w:rPr>
            <w:rStyle w:val="Hyperlink"/>
            <w:color w:val="000000" w:themeColor="text1"/>
            <w:sz w:val="22"/>
            <w:szCs w:val="22"/>
          </w:rPr>
          <w:t>https://assets.publishing.service.gov.uk/government/uploads/system/uploads/attachment_data/file/839756/Sugar_reduction_yr2_progress_report.pdf</w:t>
        </w:r>
      </w:hyperlink>
    </w:p>
  </w:endnote>
  <w:endnote w:id="7">
    <w:p w14:paraId="487C70DD" w14:textId="7719C64A"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Pfadenhauer LM, Gerhardus A, Mozygemba K,</w:t>
      </w:r>
      <w:r w:rsidR="00E8757B" w:rsidRPr="00E8757B">
        <w:t xml:space="preserve"> </w:t>
      </w:r>
      <w:r w:rsidRPr="00027537">
        <w:rPr>
          <w:color w:val="000000" w:themeColor="text1"/>
          <w:sz w:val="22"/>
          <w:szCs w:val="22"/>
        </w:rPr>
        <w:t>et al.</w:t>
      </w:r>
      <w:r w:rsidRPr="00701207">
        <w:rPr>
          <w:color w:val="000000" w:themeColor="text1"/>
          <w:sz w:val="22"/>
          <w:szCs w:val="22"/>
        </w:rPr>
        <w:t xml:space="preserve"> Making sense of complexity in context and implementation: the context and implementation of complex interventions (CICI) framework. Implementation Sci</w:t>
      </w:r>
      <w:r w:rsidR="00222400">
        <w:rPr>
          <w:color w:val="000000" w:themeColor="text1"/>
          <w:sz w:val="22"/>
          <w:szCs w:val="22"/>
        </w:rPr>
        <w:t>ence</w:t>
      </w:r>
      <w:r w:rsidRPr="00701207">
        <w:rPr>
          <w:color w:val="000000" w:themeColor="text1"/>
          <w:sz w:val="22"/>
          <w:szCs w:val="22"/>
        </w:rPr>
        <w:t>. 12. 2017.</w:t>
      </w:r>
    </w:p>
  </w:endnote>
  <w:endnote w:id="8">
    <w:p w14:paraId="69A72334" w14:textId="0B019666" w:rsidR="00AF0882" w:rsidRPr="006F51B9" w:rsidRDefault="00AF0882" w:rsidP="006F51B9">
      <w:pPr>
        <w:pStyle w:val="EndnoteText"/>
        <w:spacing w:line="480" w:lineRule="auto"/>
      </w:pPr>
      <w:r w:rsidRPr="00701207">
        <w:rPr>
          <w:rStyle w:val="EndnoteReference"/>
          <w:color w:val="000000" w:themeColor="text1"/>
          <w:sz w:val="22"/>
          <w:szCs w:val="22"/>
        </w:rPr>
        <w:endnoteRef/>
      </w:r>
      <w:r w:rsidRPr="00701207">
        <w:rPr>
          <w:color w:val="000000" w:themeColor="text1"/>
          <w:sz w:val="22"/>
          <w:szCs w:val="22"/>
        </w:rPr>
        <w:t xml:space="preserve"> McCrabb S, Lane C, Hall A, </w:t>
      </w:r>
      <w:r w:rsidRPr="007E3877">
        <w:rPr>
          <w:color w:val="000000" w:themeColor="text1"/>
          <w:sz w:val="22"/>
          <w:szCs w:val="22"/>
        </w:rPr>
        <w:t>et al.</w:t>
      </w:r>
      <w:r w:rsidRPr="00701207">
        <w:rPr>
          <w:color w:val="000000" w:themeColor="text1"/>
          <w:sz w:val="22"/>
          <w:szCs w:val="22"/>
        </w:rPr>
        <w:t xml:space="preserve"> Scaling‐up evidence‐based obesity interventions: A systematic review assessing intervention adaptations and effectiveness and quantifying the scale‐up penalty. Obesity Reviews. 2019;20:964–982.</w:t>
      </w:r>
      <w:r w:rsidR="00697526" w:rsidRPr="00697526">
        <w:t xml:space="preserve"> </w:t>
      </w:r>
    </w:p>
  </w:endnote>
  <w:endnote w:id="9">
    <w:p w14:paraId="598264B9" w14:textId="073CBF69" w:rsidR="00AF0882" w:rsidRPr="00F57FBC" w:rsidRDefault="00AF0882" w:rsidP="00F57FBC">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w:t>
      </w:r>
      <w:r w:rsidRPr="006D0B18">
        <w:rPr>
          <w:color w:val="000000" w:themeColor="text1"/>
          <w:sz w:val="22"/>
          <w:szCs w:val="22"/>
        </w:rPr>
        <w:t xml:space="preserve">Russell SJ, Hope S, Croker H, </w:t>
      </w:r>
      <w:r w:rsidR="00D84AE9">
        <w:rPr>
          <w:color w:val="000000" w:themeColor="text1"/>
          <w:sz w:val="22"/>
          <w:szCs w:val="22"/>
        </w:rPr>
        <w:t>et al</w:t>
      </w:r>
      <w:r w:rsidRPr="006D0B18">
        <w:rPr>
          <w:color w:val="000000" w:themeColor="text1"/>
          <w:sz w:val="22"/>
          <w:szCs w:val="22"/>
        </w:rPr>
        <w:t xml:space="preserve">. Is it possible to model the impact of calorie-reduction interventions on childhood obesity at a population level and across the range of deprivation: Evidence from the Avon Longitudinal Study of Parents and Children (ALSPAC). </w:t>
      </w:r>
      <w:r w:rsidR="006D0B18" w:rsidRPr="006D0B18">
        <w:rPr>
          <w:color w:val="000000" w:themeColor="text1"/>
          <w:sz w:val="22"/>
          <w:szCs w:val="22"/>
        </w:rPr>
        <w:t>Preprint from Research Square; 2020. DOI: 10.21203/rs.3.rs-30185/v1.</w:t>
      </w:r>
    </w:p>
  </w:endnote>
  <w:endnote w:id="10">
    <w:p w14:paraId="56689D6A" w14:textId="357CD160" w:rsidR="00AF0882" w:rsidRPr="00F57FBC" w:rsidRDefault="00AF0882" w:rsidP="00F57FBC">
      <w:pPr>
        <w:pStyle w:val="EndnoteText"/>
        <w:spacing w:line="480" w:lineRule="auto"/>
        <w:rPr>
          <w:color w:val="000000" w:themeColor="text1"/>
          <w:sz w:val="22"/>
          <w:szCs w:val="22"/>
        </w:rPr>
      </w:pPr>
      <w:r w:rsidRPr="00F57FBC">
        <w:rPr>
          <w:rStyle w:val="EndnoteReference"/>
          <w:color w:val="000000" w:themeColor="text1"/>
          <w:sz w:val="22"/>
          <w:szCs w:val="22"/>
        </w:rPr>
        <w:endnoteRef/>
      </w:r>
      <w:r w:rsidRPr="00F57FBC">
        <w:rPr>
          <w:color w:val="000000" w:themeColor="text1"/>
          <w:sz w:val="22"/>
          <w:szCs w:val="22"/>
        </w:rPr>
        <w:t xml:space="preserve"> Inskip HM, Godfrey KM, Robinson SM, </w:t>
      </w:r>
      <w:r w:rsidRPr="005C5F2A">
        <w:rPr>
          <w:color w:val="000000" w:themeColor="text1"/>
          <w:sz w:val="22"/>
          <w:szCs w:val="22"/>
        </w:rPr>
        <w:t>et al. Cohort</w:t>
      </w:r>
      <w:r w:rsidRPr="00F57FBC">
        <w:rPr>
          <w:color w:val="000000" w:themeColor="text1"/>
          <w:sz w:val="22"/>
          <w:szCs w:val="22"/>
        </w:rPr>
        <w:t xml:space="preserve"> profile: the Southampton Women’s Survey. International Journal of Epidemiology. 2006;35:42–8.</w:t>
      </w:r>
    </w:p>
  </w:endnote>
  <w:endnote w:id="11">
    <w:p w14:paraId="5E0B07AC" w14:textId="6FA8639A" w:rsidR="00AF0882" w:rsidRPr="00701207" w:rsidRDefault="00AF0882" w:rsidP="00F57FBC">
      <w:pPr>
        <w:pStyle w:val="EndnoteText"/>
        <w:spacing w:line="480" w:lineRule="auto"/>
        <w:rPr>
          <w:color w:val="000000" w:themeColor="text1"/>
          <w:sz w:val="22"/>
          <w:szCs w:val="22"/>
        </w:rPr>
      </w:pPr>
      <w:r w:rsidRPr="00F57FBC">
        <w:rPr>
          <w:rStyle w:val="EndnoteReference"/>
          <w:color w:val="000000" w:themeColor="text1"/>
          <w:sz w:val="22"/>
          <w:szCs w:val="22"/>
        </w:rPr>
        <w:endnoteRef/>
      </w:r>
      <w:r w:rsidRPr="00534865">
        <w:rPr>
          <w:color w:val="000000" w:themeColor="text1"/>
          <w:sz w:val="22"/>
          <w:szCs w:val="22"/>
        </w:rPr>
        <w:t xml:space="preserve"> Azur MJ, Stuart EA, Frangakis C, </w:t>
      </w:r>
      <w:r w:rsidR="00D84AE9" w:rsidRPr="00534865">
        <w:rPr>
          <w:color w:val="000000" w:themeColor="text1"/>
          <w:sz w:val="22"/>
          <w:szCs w:val="22"/>
        </w:rPr>
        <w:t>et al</w:t>
      </w:r>
      <w:r w:rsidRPr="00534865">
        <w:rPr>
          <w:color w:val="000000" w:themeColor="text1"/>
          <w:sz w:val="22"/>
          <w:szCs w:val="22"/>
        </w:rPr>
        <w:t xml:space="preserve">. </w:t>
      </w:r>
      <w:r w:rsidRPr="00702F20">
        <w:rPr>
          <w:color w:val="000000" w:themeColor="text1"/>
          <w:sz w:val="22"/>
          <w:szCs w:val="22"/>
        </w:rPr>
        <w:t>Multiple</w:t>
      </w:r>
      <w:r w:rsidRPr="00F57FBC">
        <w:rPr>
          <w:color w:val="000000" w:themeColor="text1"/>
          <w:sz w:val="22"/>
          <w:szCs w:val="22"/>
        </w:rPr>
        <w:t xml:space="preserve"> Imputation by Chained Equations: What is it and how does it work? International Journal of Methods</w:t>
      </w:r>
      <w:r w:rsidRPr="00701207">
        <w:rPr>
          <w:color w:val="000000" w:themeColor="text1"/>
          <w:sz w:val="22"/>
          <w:szCs w:val="22"/>
        </w:rPr>
        <w:t xml:space="preserve"> in Psychiatric Research. 2012;20.1:40-49.</w:t>
      </w:r>
    </w:p>
  </w:endnote>
  <w:endnote w:id="12">
    <w:p w14:paraId="24F2F28D" w14:textId="094AFC39"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D812A1">
        <w:rPr>
          <w:color w:val="000000" w:themeColor="text1"/>
          <w:sz w:val="22"/>
          <w:szCs w:val="22"/>
        </w:rPr>
        <w:t xml:space="preserve"> Cole TJ, Freeman JV, Preece MA. </w:t>
      </w:r>
      <w:r w:rsidRPr="00701207">
        <w:rPr>
          <w:color w:val="000000" w:themeColor="text1"/>
          <w:sz w:val="22"/>
          <w:szCs w:val="22"/>
        </w:rPr>
        <w:t>Body mass index reference curves for the UK, 1990. Archives of Disease in Childhood. 1995;73:25–29.</w:t>
      </w:r>
    </w:p>
  </w:endnote>
  <w:endnote w:id="13">
    <w:p w14:paraId="6AC3FD7B" w14:textId="5A4BA1C2"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Troiano RP, Flegal KM, Kuczmarski RJ,</w:t>
      </w:r>
      <w:r w:rsidR="00B2154A">
        <w:rPr>
          <w:color w:val="000000" w:themeColor="text1"/>
          <w:sz w:val="22"/>
          <w:szCs w:val="22"/>
        </w:rPr>
        <w:t xml:space="preserve"> </w:t>
      </w:r>
      <w:r w:rsidR="00D84AE9">
        <w:rPr>
          <w:color w:val="000000" w:themeColor="text1"/>
          <w:sz w:val="22"/>
          <w:szCs w:val="22"/>
        </w:rPr>
        <w:t>et al</w:t>
      </w:r>
      <w:r w:rsidR="00B2154A">
        <w:rPr>
          <w:color w:val="000000" w:themeColor="text1"/>
          <w:sz w:val="22"/>
          <w:szCs w:val="22"/>
        </w:rPr>
        <w:t>.</w:t>
      </w:r>
      <w:r w:rsidRPr="00701207">
        <w:rPr>
          <w:color w:val="000000" w:themeColor="text1"/>
          <w:sz w:val="22"/>
          <w:szCs w:val="22"/>
        </w:rPr>
        <w:t xml:space="preserve"> Overweight prevalence and trends for children and adolescents: the National Health and Nutrition Examination Surveys, 1963 to 1991. Archives of Pediatrics and Adolescent Medicine. 1995;149:1085–1091.</w:t>
      </w:r>
    </w:p>
  </w:endnote>
  <w:endnote w:id="14">
    <w:p w14:paraId="57F70985" w14:textId="77777777" w:rsidR="00C245CB" w:rsidRPr="00F57FBC" w:rsidRDefault="00C245CB" w:rsidP="00C245CB">
      <w:pPr>
        <w:pStyle w:val="EndnoteText"/>
        <w:spacing w:line="480" w:lineRule="auto"/>
        <w:rPr>
          <w:sz w:val="22"/>
          <w:szCs w:val="22"/>
        </w:rPr>
      </w:pPr>
      <w:r w:rsidRPr="00F57FBC">
        <w:rPr>
          <w:rStyle w:val="EndnoteReference"/>
          <w:sz w:val="22"/>
          <w:szCs w:val="22"/>
        </w:rPr>
        <w:endnoteRef/>
      </w:r>
      <w:r w:rsidRPr="00F57FBC">
        <w:rPr>
          <w:sz w:val="22"/>
          <w:szCs w:val="22"/>
        </w:rPr>
        <w:t xml:space="preserve"> Shim, J.S., Oh, K., Kim, H.C. (2014). Dietary assessment methods in epidemiologic studies. Epidemiol Health. 36: e2014009.</w:t>
      </w:r>
    </w:p>
  </w:endnote>
  <w:endnote w:id="15">
    <w:p w14:paraId="5F4B4EA0" w14:textId="22897DA0"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534865">
        <w:rPr>
          <w:color w:val="000000" w:themeColor="text1"/>
          <w:sz w:val="22"/>
          <w:szCs w:val="22"/>
        </w:rPr>
        <w:t xml:space="preserve"> Jarman M, Fisk C, Ntani G, et al. </w:t>
      </w:r>
      <w:r w:rsidRPr="00701207">
        <w:rPr>
          <w:color w:val="000000" w:themeColor="text1"/>
          <w:sz w:val="22"/>
          <w:szCs w:val="22"/>
        </w:rPr>
        <w:t>Assessing diets of 3 year old children: evaluation of a food frequency questionnaire</w:t>
      </w:r>
      <w:r w:rsidR="00300828">
        <w:rPr>
          <w:color w:val="000000" w:themeColor="text1"/>
          <w:sz w:val="22"/>
          <w:szCs w:val="22"/>
        </w:rPr>
        <w:t>.</w:t>
      </w:r>
      <w:r w:rsidRPr="00701207">
        <w:rPr>
          <w:color w:val="000000" w:themeColor="text1"/>
          <w:sz w:val="22"/>
          <w:szCs w:val="22"/>
        </w:rPr>
        <w:t xml:space="preserve"> </w:t>
      </w:r>
      <w:r w:rsidR="00D81705" w:rsidRPr="00D81705">
        <w:rPr>
          <w:color w:val="000000" w:themeColor="text1"/>
          <w:sz w:val="22"/>
          <w:szCs w:val="22"/>
        </w:rPr>
        <w:t>Public Health Nutritio</w:t>
      </w:r>
      <w:r w:rsidR="00D81705">
        <w:rPr>
          <w:color w:val="000000" w:themeColor="text1"/>
          <w:sz w:val="22"/>
          <w:szCs w:val="22"/>
        </w:rPr>
        <w:t>n</w:t>
      </w:r>
      <w:r w:rsidRPr="00701207">
        <w:rPr>
          <w:color w:val="000000" w:themeColor="text1"/>
          <w:sz w:val="22"/>
          <w:szCs w:val="22"/>
        </w:rPr>
        <w:t>. 2014;17.5:1069–1077.</w:t>
      </w:r>
    </w:p>
  </w:endnote>
  <w:endnote w:id="16">
    <w:p w14:paraId="0ECDAB6F" w14:textId="7E021129"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4F64E2">
        <w:rPr>
          <w:color w:val="000000" w:themeColor="text1"/>
          <w:sz w:val="22"/>
          <w:szCs w:val="22"/>
        </w:rPr>
        <w:t xml:space="preserve"> </w:t>
      </w:r>
      <w:r w:rsidR="00300828" w:rsidRPr="004F64E2">
        <w:rPr>
          <w:color w:val="000000" w:themeColor="text1"/>
          <w:sz w:val="22"/>
          <w:szCs w:val="22"/>
        </w:rPr>
        <w:t>McCance RA</w:t>
      </w:r>
      <w:r w:rsidRPr="004F64E2">
        <w:rPr>
          <w:color w:val="000000" w:themeColor="text1"/>
          <w:sz w:val="22"/>
          <w:szCs w:val="22"/>
        </w:rPr>
        <w:t xml:space="preserve">. </w:t>
      </w:r>
      <w:r w:rsidRPr="00701207">
        <w:rPr>
          <w:color w:val="000000" w:themeColor="text1"/>
          <w:sz w:val="22"/>
          <w:szCs w:val="22"/>
        </w:rPr>
        <w:t>The Composition of Foods. 5th ed. The Royal Society of Cambridge; Cambridge: 1991.</w:t>
      </w:r>
    </w:p>
  </w:endnote>
  <w:endnote w:id="17">
    <w:p w14:paraId="6AEA5194" w14:textId="05B4D489"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SACN. Dietary Reference Values for Energy. Scientific Advisory Committee on Nutrition. London TSO. </w:t>
      </w:r>
      <w:hyperlink r:id="rId3" w:history="1">
        <w:r w:rsidRPr="00701207">
          <w:rPr>
            <w:rStyle w:val="Hyperlink"/>
            <w:color w:val="000000" w:themeColor="text1"/>
            <w:sz w:val="22"/>
            <w:szCs w:val="22"/>
          </w:rPr>
          <w:t>www.sacn.gov.uk</w:t>
        </w:r>
      </w:hyperlink>
      <w:r w:rsidRPr="00701207">
        <w:rPr>
          <w:color w:val="000000" w:themeColor="text1"/>
          <w:sz w:val="22"/>
          <w:szCs w:val="22"/>
        </w:rPr>
        <w:t>. 2011.</w:t>
      </w:r>
    </w:p>
  </w:endnote>
  <w:endnote w:id="18">
    <w:p w14:paraId="7FE8E58B" w14:textId="3B470433"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American Medical Association. Food and Nutrition: Healthy Weight Loss. JAMA. 2014;312.9:974. </w:t>
      </w:r>
    </w:p>
  </w:endnote>
  <w:endnote w:id="19">
    <w:p w14:paraId="2E07BAD8" w14:textId="3EE24AC1" w:rsidR="00D5153C" w:rsidRDefault="00D5153C" w:rsidP="00046220">
      <w:pPr>
        <w:pStyle w:val="EndnoteText"/>
        <w:spacing w:line="480" w:lineRule="auto"/>
      </w:pPr>
      <w:r>
        <w:rPr>
          <w:rStyle w:val="EndnoteReference"/>
        </w:rPr>
        <w:endnoteRef/>
      </w:r>
      <w:r>
        <w:t xml:space="preserve"> </w:t>
      </w:r>
      <w:r w:rsidRPr="00D5153C">
        <w:rPr>
          <w:sz w:val="22"/>
          <w:szCs w:val="22"/>
        </w:rPr>
        <w:t xml:space="preserve">Pearce A, Hope S, Griffiths L, </w:t>
      </w:r>
      <w:r w:rsidR="00D84AE9">
        <w:rPr>
          <w:sz w:val="22"/>
          <w:szCs w:val="22"/>
        </w:rPr>
        <w:t>et al</w:t>
      </w:r>
      <w:r w:rsidRPr="00D5153C">
        <w:rPr>
          <w:sz w:val="22"/>
          <w:szCs w:val="22"/>
        </w:rPr>
        <w:t>. What if all children achieved WHO recommendations on physical activity? Estimating the impact on socioeconomic inequalities in childhood overweight in the UK Millennium Cohort Study. International Journal of Epidemiology. 2018;doi: 10.1093/ije/dyy267</w:t>
      </w:r>
      <w:r w:rsidRPr="00D5153C">
        <w:t>.</w:t>
      </w:r>
    </w:p>
  </w:endnote>
  <w:endnote w:id="20">
    <w:p w14:paraId="54FA74F8" w14:textId="77777777" w:rsidR="00AF0882" w:rsidRPr="00701207" w:rsidRDefault="00AF0882" w:rsidP="006E3F2B">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Robins JM, Hernan MA, Brumback B. Marginal structural models and causal inference in epidemiology. Epidemiology. 2000;11:550–560.</w:t>
      </w:r>
    </w:p>
  </w:endnote>
  <w:endnote w:id="21">
    <w:p w14:paraId="6FF4EC1C" w14:textId="77777777" w:rsidR="00AF0882" w:rsidRPr="00A16FBC" w:rsidRDefault="00AF0882" w:rsidP="00AF0882">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701207">
        <w:rPr>
          <w:color w:val="000000" w:themeColor="text1"/>
          <w:sz w:val="22"/>
          <w:szCs w:val="22"/>
        </w:rPr>
        <w:t xml:space="preserve"> VanderWeele TJ. Controlled direct and mediated effects: definition, identification and bounds. </w:t>
      </w:r>
      <w:r w:rsidRPr="00A16FBC">
        <w:rPr>
          <w:color w:val="000000" w:themeColor="text1"/>
          <w:sz w:val="22"/>
          <w:szCs w:val="22"/>
        </w:rPr>
        <w:t>Scandinavian Journal of Statistics, Theory and Applications. 2011;38.3:551–563.</w:t>
      </w:r>
    </w:p>
  </w:endnote>
  <w:endnote w:id="22">
    <w:p w14:paraId="02D4E96B" w14:textId="77777777" w:rsidR="00DF7D5F" w:rsidRPr="00701207" w:rsidRDefault="00DF7D5F" w:rsidP="00DF7D5F">
      <w:pPr>
        <w:pStyle w:val="EndnoteText"/>
        <w:spacing w:line="480" w:lineRule="auto"/>
        <w:rPr>
          <w:color w:val="000000" w:themeColor="text1"/>
          <w:sz w:val="22"/>
          <w:szCs w:val="22"/>
        </w:rPr>
      </w:pPr>
      <w:r w:rsidRPr="00701207">
        <w:rPr>
          <w:rStyle w:val="EndnoteReference"/>
          <w:color w:val="000000" w:themeColor="text1"/>
          <w:sz w:val="22"/>
          <w:szCs w:val="22"/>
        </w:rPr>
        <w:endnoteRef/>
      </w:r>
      <w:r w:rsidRPr="00023E6A">
        <w:rPr>
          <w:color w:val="000000" w:themeColor="text1"/>
          <w:sz w:val="22"/>
          <w:szCs w:val="22"/>
        </w:rPr>
        <w:t xml:space="preserve"> StataCorp.  Stata Statistical Software: Release 15. </w:t>
      </w:r>
      <w:r w:rsidRPr="00701207">
        <w:rPr>
          <w:color w:val="000000" w:themeColor="text1"/>
          <w:sz w:val="22"/>
          <w:szCs w:val="22"/>
        </w:rPr>
        <w:t>College Station, TX: StataCorp LLC. 2017.</w:t>
      </w:r>
    </w:p>
  </w:endnote>
  <w:endnote w:id="23">
    <w:p w14:paraId="705DCB9E" w14:textId="6E73E513" w:rsidR="00AF0882" w:rsidRPr="00A16FBC" w:rsidRDefault="00AF0882" w:rsidP="00700075">
      <w:pPr>
        <w:pStyle w:val="EndnoteText"/>
        <w:spacing w:line="480" w:lineRule="auto"/>
        <w:rPr>
          <w:sz w:val="22"/>
          <w:szCs w:val="22"/>
        </w:rPr>
      </w:pPr>
      <w:r w:rsidRPr="00A16FBC">
        <w:rPr>
          <w:rStyle w:val="EndnoteReference"/>
          <w:sz w:val="22"/>
          <w:szCs w:val="22"/>
        </w:rPr>
        <w:endnoteRef/>
      </w:r>
      <w:r w:rsidRPr="00A16FBC">
        <w:rPr>
          <w:sz w:val="22"/>
          <w:szCs w:val="22"/>
        </w:rPr>
        <w:t xml:space="preserve"> Department of Health. Dietary Reference Values for Food Energy and Nutrients for the United Kingdom – Report of the Panel on Dietary Reference Values of the Committee on Medical Aspects of Food Policy. London HMSO. 1991.</w:t>
      </w:r>
    </w:p>
  </w:endnote>
  <w:endnote w:id="24">
    <w:p w14:paraId="1D86B53E" w14:textId="4F658E54" w:rsidR="00AF0882" w:rsidRDefault="00AF0882" w:rsidP="00700075">
      <w:pPr>
        <w:pStyle w:val="EndnoteText"/>
        <w:spacing w:line="480" w:lineRule="auto"/>
      </w:pPr>
      <w:r>
        <w:rPr>
          <w:rStyle w:val="EndnoteReference"/>
        </w:rPr>
        <w:endnoteRef/>
      </w:r>
      <w:r w:rsidRPr="00534865">
        <w:t xml:space="preserve"> </w:t>
      </w:r>
      <w:r w:rsidRPr="00534865">
        <w:rPr>
          <w:color w:val="000000" w:themeColor="text1"/>
          <w:sz w:val="22"/>
          <w:szCs w:val="22"/>
        </w:rPr>
        <w:t>Kilbourne AM, Neumann MS, Pincus HA,</w:t>
      </w:r>
      <w:r w:rsidR="00903B68" w:rsidRPr="00534865">
        <w:t xml:space="preserve"> </w:t>
      </w:r>
      <w:r w:rsidR="00B52D6E" w:rsidRPr="00534865">
        <w:rPr>
          <w:color w:val="000000" w:themeColor="text1"/>
          <w:sz w:val="22"/>
          <w:szCs w:val="22"/>
        </w:rPr>
        <w:t>et al</w:t>
      </w:r>
      <w:r w:rsidRPr="00534865">
        <w:rPr>
          <w:color w:val="000000" w:themeColor="text1"/>
          <w:sz w:val="22"/>
          <w:szCs w:val="22"/>
        </w:rPr>
        <w:t xml:space="preserve">. </w:t>
      </w:r>
      <w:r w:rsidRPr="00700075">
        <w:rPr>
          <w:color w:val="000000" w:themeColor="text1"/>
          <w:sz w:val="22"/>
          <w:szCs w:val="22"/>
        </w:rPr>
        <w:t>Implementing evidence‐based interventions in health care: application</w:t>
      </w:r>
      <w:r>
        <w:rPr>
          <w:color w:val="000000" w:themeColor="text1"/>
          <w:sz w:val="22"/>
          <w:szCs w:val="22"/>
        </w:rPr>
        <w:t xml:space="preserve"> </w:t>
      </w:r>
      <w:r w:rsidRPr="00700075">
        <w:rPr>
          <w:color w:val="000000" w:themeColor="text1"/>
          <w:sz w:val="22"/>
          <w:szCs w:val="22"/>
        </w:rPr>
        <w:t>of the replicating effective programs framework. Implementation Scienc</w:t>
      </w:r>
      <w:r>
        <w:rPr>
          <w:color w:val="000000" w:themeColor="text1"/>
          <w:sz w:val="22"/>
          <w:szCs w:val="22"/>
        </w:rPr>
        <w:t>e</w:t>
      </w:r>
      <w:r w:rsidRPr="00700075">
        <w:rPr>
          <w:color w:val="000000" w:themeColor="text1"/>
          <w:sz w:val="22"/>
          <w:szCs w:val="22"/>
        </w:rPr>
        <w:t>.2007;2</w:t>
      </w:r>
      <w:r>
        <w:rPr>
          <w:color w:val="000000" w:themeColor="text1"/>
          <w:sz w:val="22"/>
          <w:szCs w:val="22"/>
        </w:rPr>
        <w:t>.</w:t>
      </w:r>
      <w:r w:rsidRPr="00700075">
        <w:rPr>
          <w:color w:val="000000" w:themeColor="text1"/>
          <w:sz w:val="22"/>
          <w:szCs w:val="22"/>
        </w:rPr>
        <w:t>1:42.</w:t>
      </w:r>
    </w:p>
  </w:endnote>
  <w:endnote w:id="25">
    <w:p w14:paraId="4850C254" w14:textId="38EA6114" w:rsidR="00AF0882" w:rsidRPr="003C1197" w:rsidRDefault="00AF0882" w:rsidP="003C1197">
      <w:pPr>
        <w:pStyle w:val="EndnoteText"/>
        <w:spacing w:line="480" w:lineRule="auto"/>
        <w:rPr>
          <w:color w:val="000000" w:themeColor="text1"/>
          <w:sz w:val="22"/>
          <w:szCs w:val="22"/>
        </w:rPr>
      </w:pPr>
      <w:r w:rsidRPr="003C1197">
        <w:rPr>
          <w:rStyle w:val="EndnoteReference"/>
          <w:color w:val="000000" w:themeColor="text1"/>
          <w:sz w:val="22"/>
          <w:szCs w:val="22"/>
        </w:rPr>
        <w:endnoteRef/>
      </w:r>
      <w:r w:rsidRPr="003C1197">
        <w:rPr>
          <w:color w:val="000000" w:themeColor="text1"/>
          <w:sz w:val="22"/>
          <w:szCs w:val="22"/>
        </w:rPr>
        <w:t xml:space="preserve"> Office for National Statistics. Annual Local Labour Force Survey Summary Publication 2000/01. Office for National Statistics; London: 2004. </w:t>
      </w:r>
    </w:p>
  </w:endnote>
  <w:endnote w:id="26">
    <w:p w14:paraId="24C0398A" w14:textId="547CC8C2" w:rsidR="00AF0882" w:rsidRPr="00AC42F0" w:rsidRDefault="00AF0882" w:rsidP="00AC42F0">
      <w:pPr>
        <w:pStyle w:val="EndnoteText"/>
        <w:spacing w:line="480" w:lineRule="auto"/>
      </w:pPr>
      <w:r w:rsidRPr="003C1197">
        <w:rPr>
          <w:rStyle w:val="EndnoteReference"/>
          <w:sz w:val="22"/>
          <w:szCs w:val="22"/>
        </w:rPr>
        <w:endnoteRef/>
      </w:r>
      <w:r w:rsidRPr="003C1197">
        <w:rPr>
          <w:sz w:val="22"/>
          <w:szCs w:val="22"/>
        </w:rPr>
        <w:t xml:space="preserve"> Gibney M, Margetts B, Kearney J, </w:t>
      </w:r>
      <w:r w:rsidR="00B52D6E">
        <w:rPr>
          <w:sz w:val="22"/>
          <w:szCs w:val="22"/>
        </w:rPr>
        <w:t>et al</w:t>
      </w:r>
      <w:r w:rsidRPr="003C1197">
        <w:rPr>
          <w:sz w:val="22"/>
          <w:szCs w:val="22"/>
        </w:rPr>
        <w:t>. Public Health Nutrition. Blackwell Publishing; Oxford. 2004.</w:t>
      </w:r>
      <w:r w:rsidR="00FD1994" w:rsidRPr="00FD1994">
        <w:t xml:space="preserve"> </w:t>
      </w:r>
    </w:p>
  </w:endnote>
  <w:endnote w:id="27">
    <w:p w14:paraId="64A11E28" w14:textId="522E92E4" w:rsidR="00AF0882" w:rsidRPr="003C1197" w:rsidRDefault="00AF0882" w:rsidP="003C1197">
      <w:pPr>
        <w:pStyle w:val="EndnoteText"/>
        <w:spacing w:line="480" w:lineRule="auto"/>
        <w:rPr>
          <w:sz w:val="22"/>
          <w:szCs w:val="22"/>
        </w:rPr>
      </w:pPr>
      <w:r w:rsidRPr="003C1197">
        <w:rPr>
          <w:rStyle w:val="EndnoteReference"/>
          <w:sz w:val="22"/>
          <w:szCs w:val="22"/>
        </w:rPr>
        <w:endnoteRef/>
      </w:r>
      <w:r w:rsidRPr="004F64E2">
        <w:rPr>
          <w:sz w:val="22"/>
          <w:szCs w:val="22"/>
        </w:rPr>
        <w:t xml:space="preserve"> Lennox A, Bluck L, Page P, et al. </w:t>
      </w:r>
      <w:r w:rsidRPr="003C1197">
        <w:rPr>
          <w:sz w:val="22"/>
          <w:szCs w:val="22"/>
        </w:rPr>
        <w:t>Misreporting in the National Diet and Nutrition Survey Rolling Programme (NDNS RP): Summary of results and their interpretation. Appendix X, National Diet and Nutrition Survey (2008/2009 – 2011/12). 2012.</w:t>
      </w:r>
    </w:p>
  </w:endnote>
  <w:endnote w:id="28">
    <w:p w14:paraId="726B1C81" w14:textId="77777777" w:rsidR="00AF0882" w:rsidRPr="006E3F2B" w:rsidRDefault="00AF0882" w:rsidP="003C1197">
      <w:pPr>
        <w:pStyle w:val="EndnoteText"/>
        <w:spacing w:line="480" w:lineRule="auto"/>
        <w:rPr>
          <w:color w:val="000000" w:themeColor="text1"/>
          <w:sz w:val="22"/>
          <w:szCs w:val="22"/>
        </w:rPr>
      </w:pPr>
      <w:r w:rsidRPr="003C1197">
        <w:rPr>
          <w:rStyle w:val="EndnoteReference"/>
          <w:color w:val="000000" w:themeColor="text1"/>
          <w:sz w:val="22"/>
          <w:szCs w:val="22"/>
        </w:rPr>
        <w:endnoteRef/>
      </w:r>
      <w:r w:rsidRPr="003C1197">
        <w:rPr>
          <w:color w:val="000000" w:themeColor="text1"/>
          <w:sz w:val="22"/>
          <w:szCs w:val="22"/>
        </w:rPr>
        <w:t xml:space="preserve"> Glynn L, Emmett P, Rogers</w:t>
      </w:r>
      <w:r w:rsidRPr="006E3F2B">
        <w:rPr>
          <w:color w:val="000000" w:themeColor="text1"/>
          <w:sz w:val="22"/>
          <w:szCs w:val="22"/>
        </w:rPr>
        <w:t xml:space="preserve"> I. Food and nutrient intakes of a population sample of 7‐year‐old children in the south‐west of England in 1999/2000 – what difference does gender make? Journal of Human Nutrition and Dietetics. 2005;18:7–19.</w:t>
      </w:r>
    </w:p>
  </w:endnote>
  <w:endnote w:id="29">
    <w:p w14:paraId="483F31B1" w14:textId="026C113A" w:rsidR="00AF0882" w:rsidRPr="006E3F2B" w:rsidRDefault="00AF0882" w:rsidP="006E3F2B">
      <w:pPr>
        <w:pStyle w:val="EndnoteText"/>
        <w:spacing w:line="480" w:lineRule="auto"/>
        <w:rPr>
          <w:color w:val="000000" w:themeColor="text1"/>
          <w:sz w:val="22"/>
          <w:szCs w:val="22"/>
        </w:rPr>
      </w:pPr>
      <w:r w:rsidRPr="006E3F2B">
        <w:rPr>
          <w:rStyle w:val="EndnoteReference"/>
          <w:color w:val="000000" w:themeColor="text1"/>
          <w:sz w:val="22"/>
          <w:szCs w:val="22"/>
        </w:rPr>
        <w:endnoteRef/>
      </w:r>
      <w:r w:rsidRPr="006E3F2B">
        <w:rPr>
          <w:color w:val="000000" w:themeColor="text1"/>
          <w:sz w:val="22"/>
          <w:szCs w:val="22"/>
        </w:rPr>
        <w:t xml:space="preserve"> Valente MJ, Pelham III WE, Smyth H, </w:t>
      </w:r>
      <w:r w:rsidR="00B52D6E">
        <w:rPr>
          <w:color w:val="000000" w:themeColor="text1"/>
          <w:sz w:val="22"/>
          <w:szCs w:val="22"/>
        </w:rPr>
        <w:t>et al</w:t>
      </w:r>
      <w:r w:rsidRPr="00D41ACC">
        <w:rPr>
          <w:color w:val="000000" w:themeColor="text1"/>
          <w:sz w:val="22"/>
          <w:szCs w:val="22"/>
        </w:rPr>
        <w:t>.</w:t>
      </w:r>
      <w:r w:rsidRPr="006E3F2B">
        <w:rPr>
          <w:color w:val="000000" w:themeColor="text1"/>
          <w:sz w:val="22"/>
          <w:szCs w:val="22"/>
        </w:rPr>
        <w:t xml:space="preserve"> Confounding in Statistical Mediation Analysis: What It Is and How to Address It. Journal of Counseling Psychology. 2017;64.6.659–671.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1208"/>
      <w:docPartObj>
        <w:docPartGallery w:val="Page Numbers (Bottom of Page)"/>
        <w:docPartUnique/>
      </w:docPartObj>
    </w:sdtPr>
    <w:sdtEndPr>
      <w:rPr>
        <w:noProof/>
      </w:rPr>
    </w:sdtEndPr>
    <w:sdtContent>
      <w:p w14:paraId="2E9FF1D8" w14:textId="2E72D09A" w:rsidR="00AF0882" w:rsidRDefault="00AF0882">
        <w:pPr>
          <w:pStyle w:val="Footer"/>
          <w:jc w:val="right"/>
        </w:pPr>
        <w:r>
          <w:fldChar w:fldCharType="begin"/>
        </w:r>
        <w:r>
          <w:instrText xml:space="preserve"> PAGE   \* MERGEFORMAT </w:instrText>
        </w:r>
        <w:r>
          <w:fldChar w:fldCharType="separate"/>
        </w:r>
        <w:r w:rsidR="001A028E">
          <w:rPr>
            <w:noProof/>
          </w:rPr>
          <w:t>1</w:t>
        </w:r>
        <w:r>
          <w:rPr>
            <w:noProof/>
          </w:rPr>
          <w:fldChar w:fldCharType="end"/>
        </w:r>
      </w:p>
    </w:sdtContent>
  </w:sdt>
  <w:p w14:paraId="3DD412B1" w14:textId="77777777" w:rsidR="00AF0882" w:rsidRDefault="00AF0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21E6A" w14:textId="77777777" w:rsidR="00313889" w:rsidRDefault="00313889" w:rsidP="00E228B0">
      <w:pPr>
        <w:spacing w:after="0" w:line="240" w:lineRule="auto"/>
      </w:pPr>
      <w:r>
        <w:separator/>
      </w:r>
    </w:p>
  </w:footnote>
  <w:footnote w:type="continuationSeparator" w:id="0">
    <w:p w14:paraId="7D24D778" w14:textId="77777777" w:rsidR="00313889" w:rsidRDefault="00313889" w:rsidP="00E22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2A70"/>
    <w:multiLevelType w:val="hybridMultilevel"/>
    <w:tmpl w:val="CE94843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661CD"/>
    <w:multiLevelType w:val="hybridMultilevel"/>
    <w:tmpl w:val="2E74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07735"/>
    <w:multiLevelType w:val="hybridMultilevel"/>
    <w:tmpl w:val="2D768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A37895"/>
    <w:multiLevelType w:val="hybridMultilevel"/>
    <w:tmpl w:val="96B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E4824"/>
    <w:multiLevelType w:val="hybridMultilevel"/>
    <w:tmpl w:val="A23E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5351A"/>
    <w:multiLevelType w:val="hybridMultilevel"/>
    <w:tmpl w:val="D2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075499"/>
    <w:multiLevelType w:val="hybridMultilevel"/>
    <w:tmpl w:val="82B8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E5637"/>
    <w:multiLevelType w:val="hybridMultilevel"/>
    <w:tmpl w:val="639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72CA0"/>
    <w:multiLevelType w:val="hybridMultilevel"/>
    <w:tmpl w:val="5676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1167B8"/>
    <w:multiLevelType w:val="hybridMultilevel"/>
    <w:tmpl w:val="9844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1"/>
  </w:num>
  <w:num w:numId="6">
    <w:abstractNumId w:val="3"/>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8D"/>
    <w:rsid w:val="000014AF"/>
    <w:rsid w:val="000021D0"/>
    <w:rsid w:val="00003D90"/>
    <w:rsid w:val="000040D3"/>
    <w:rsid w:val="00004850"/>
    <w:rsid w:val="00005334"/>
    <w:rsid w:val="0000648A"/>
    <w:rsid w:val="000079D8"/>
    <w:rsid w:val="00007C00"/>
    <w:rsid w:val="000113E8"/>
    <w:rsid w:val="000127F8"/>
    <w:rsid w:val="0001297E"/>
    <w:rsid w:val="00013776"/>
    <w:rsid w:val="00013845"/>
    <w:rsid w:val="00013CC6"/>
    <w:rsid w:val="00014F64"/>
    <w:rsid w:val="00015251"/>
    <w:rsid w:val="00015E99"/>
    <w:rsid w:val="00015F30"/>
    <w:rsid w:val="0002052B"/>
    <w:rsid w:val="0002119C"/>
    <w:rsid w:val="0002142B"/>
    <w:rsid w:val="000221C3"/>
    <w:rsid w:val="00023015"/>
    <w:rsid w:val="00023582"/>
    <w:rsid w:val="00023B69"/>
    <w:rsid w:val="00023E6A"/>
    <w:rsid w:val="000242EF"/>
    <w:rsid w:val="00025062"/>
    <w:rsid w:val="000265F4"/>
    <w:rsid w:val="00026A3E"/>
    <w:rsid w:val="00026FB4"/>
    <w:rsid w:val="000272F3"/>
    <w:rsid w:val="00027537"/>
    <w:rsid w:val="000304A7"/>
    <w:rsid w:val="00030C5D"/>
    <w:rsid w:val="00031F1C"/>
    <w:rsid w:val="0003283F"/>
    <w:rsid w:val="00034015"/>
    <w:rsid w:val="00035F78"/>
    <w:rsid w:val="00036A20"/>
    <w:rsid w:val="0003710B"/>
    <w:rsid w:val="000379CD"/>
    <w:rsid w:val="00040808"/>
    <w:rsid w:val="00043897"/>
    <w:rsid w:val="00043F83"/>
    <w:rsid w:val="0004490B"/>
    <w:rsid w:val="00045317"/>
    <w:rsid w:val="00046220"/>
    <w:rsid w:val="00046B3C"/>
    <w:rsid w:val="00046D27"/>
    <w:rsid w:val="00046FD6"/>
    <w:rsid w:val="00047A5C"/>
    <w:rsid w:val="00047BB1"/>
    <w:rsid w:val="00050863"/>
    <w:rsid w:val="0005199F"/>
    <w:rsid w:val="00051B70"/>
    <w:rsid w:val="00051E87"/>
    <w:rsid w:val="0005228A"/>
    <w:rsid w:val="00054923"/>
    <w:rsid w:val="000565B8"/>
    <w:rsid w:val="00057214"/>
    <w:rsid w:val="00060141"/>
    <w:rsid w:val="000607DD"/>
    <w:rsid w:val="00060A98"/>
    <w:rsid w:val="00061C11"/>
    <w:rsid w:val="00062825"/>
    <w:rsid w:val="00062E23"/>
    <w:rsid w:val="00063169"/>
    <w:rsid w:val="00063E65"/>
    <w:rsid w:val="000643C8"/>
    <w:rsid w:val="00064A8C"/>
    <w:rsid w:val="00064BC4"/>
    <w:rsid w:val="00065F0F"/>
    <w:rsid w:val="00066391"/>
    <w:rsid w:val="000675E4"/>
    <w:rsid w:val="00070588"/>
    <w:rsid w:val="00071D00"/>
    <w:rsid w:val="000755F3"/>
    <w:rsid w:val="00081AA9"/>
    <w:rsid w:val="0008342E"/>
    <w:rsid w:val="00086A3B"/>
    <w:rsid w:val="00086BD0"/>
    <w:rsid w:val="00087204"/>
    <w:rsid w:val="0008722F"/>
    <w:rsid w:val="00092483"/>
    <w:rsid w:val="00092849"/>
    <w:rsid w:val="000935D3"/>
    <w:rsid w:val="0009377E"/>
    <w:rsid w:val="000940B6"/>
    <w:rsid w:val="000945E6"/>
    <w:rsid w:val="00094E9D"/>
    <w:rsid w:val="00096065"/>
    <w:rsid w:val="00096D20"/>
    <w:rsid w:val="00096FFE"/>
    <w:rsid w:val="00097793"/>
    <w:rsid w:val="000A0B33"/>
    <w:rsid w:val="000A0BBA"/>
    <w:rsid w:val="000A21C4"/>
    <w:rsid w:val="000A22BC"/>
    <w:rsid w:val="000A430F"/>
    <w:rsid w:val="000A432F"/>
    <w:rsid w:val="000A56A6"/>
    <w:rsid w:val="000A5873"/>
    <w:rsid w:val="000A594B"/>
    <w:rsid w:val="000A7318"/>
    <w:rsid w:val="000B0614"/>
    <w:rsid w:val="000B10A2"/>
    <w:rsid w:val="000B252D"/>
    <w:rsid w:val="000B4FC7"/>
    <w:rsid w:val="000B5F98"/>
    <w:rsid w:val="000B61AE"/>
    <w:rsid w:val="000B6BAD"/>
    <w:rsid w:val="000B7E61"/>
    <w:rsid w:val="000C4EE3"/>
    <w:rsid w:val="000C5A9B"/>
    <w:rsid w:val="000C6100"/>
    <w:rsid w:val="000C6910"/>
    <w:rsid w:val="000C693E"/>
    <w:rsid w:val="000C6C08"/>
    <w:rsid w:val="000C74F5"/>
    <w:rsid w:val="000D0884"/>
    <w:rsid w:val="000D40EA"/>
    <w:rsid w:val="000D41F0"/>
    <w:rsid w:val="000D46DE"/>
    <w:rsid w:val="000D4C0F"/>
    <w:rsid w:val="000D4D6D"/>
    <w:rsid w:val="000D55BB"/>
    <w:rsid w:val="000D67B6"/>
    <w:rsid w:val="000D67D4"/>
    <w:rsid w:val="000D68E5"/>
    <w:rsid w:val="000D6ADA"/>
    <w:rsid w:val="000D75CC"/>
    <w:rsid w:val="000D779D"/>
    <w:rsid w:val="000E044A"/>
    <w:rsid w:val="000E104D"/>
    <w:rsid w:val="000E24F8"/>
    <w:rsid w:val="000E325B"/>
    <w:rsid w:val="000E3E78"/>
    <w:rsid w:val="000E715C"/>
    <w:rsid w:val="000E7B7D"/>
    <w:rsid w:val="000E7BC8"/>
    <w:rsid w:val="000F071F"/>
    <w:rsid w:val="000F1822"/>
    <w:rsid w:val="000F2885"/>
    <w:rsid w:val="000F28D9"/>
    <w:rsid w:val="000F2AF8"/>
    <w:rsid w:val="000F2B19"/>
    <w:rsid w:val="000F2EF7"/>
    <w:rsid w:val="000F37FB"/>
    <w:rsid w:val="000F3847"/>
    <w:rsid w:val="000F3A72"/>
    <w:rsid w:val="000F4A79"/>
    <w:rsid w:val="000F55CA"/>
    <w:rsid w:val="000F5D98"/>
    <w:rsid w:val="000F7895"/>
    <w:rsid w:val="000F7D6D"/>
    <w:rsid w:val="0010042A"/>
    <w:rsid w:val="00101A84"/>
    <w:rsid w:val="00101C15"/>
    <w:rsid w:val="0010215A"/>
    <w:rsid w:val="001024F2"/>
    <w:rsid w:val="00102658"/>
    <w:rsid w:val="00103E84"/>
    <w:rsid w:val="00104B2A"/>
    <w:rsid w:val="00105118"/>
    <w:rsid w:val="0010554E"/>
    <w:rsid w:val="001056A6"/>
    <w:rsid w:val="001057FC"/>
    <w:rsid w:val="00105FC0"/>
    <w:rsid w:val="0010615B"/>
    <w:rsid w:val="00107147"/>
    <w:rsid w:val="001079C6"/>
    <w:rsid w:val="00107AE3"/>
    <w:rsid w:val="00107BCB"/>
    <w:rsid w:val="00110A8E"/>
    <w:rsid w:val="0011103E"/>
    <w:rsid w:val="00111B36"/>
    <w:rsid w:val="001123B1"/>
    <w:rsid w:val="00113ADD"/>
    <w:rsid w:val="00115274"/>
    <w:rsid w:val="001156C5"/>
    <w:rsid w:val="00116D9E"/>
    <w:rsid w:val="00116F40"/>
    <w:rsid w:val="00117884"/>
    <w:rsid w:val="00117C2D"/>
    <w:rsid w:val="00120D45"/>
    <w:rsid w:val="00121C49"/>
    <w:rsid w:val="00122854"/>
    <w:rsid w:val="00122CC5"/>
    <w:rsid w:val="00123A9F"/>
    <w:rsid w:val="001240F1"/>
    <w:rsid w:val="00125BE5"/>
    <w:rsid w:val="0012618A"/>
    <w:rsid w:val="00126816"/>
    <w:rsid w:val="0013026E"/>
    <w:rsid w:val="00130BF5"/>
    <w:rsid w:val="00131F58"/>
    <w:rsid w:val="00132157"/>
    <w:rsid w:val="001328B5"/>
    <w:rsid w:val="00132BFC"/>
    <w:rsid w:val="001343A5"/>
    <w:rsid w:val="001349FA"/>
    <w:rsid w:val="00134D81"/>
    <w:rsid w:val="0013589C"/>
    <w:rsid w:val="00135E80"/>
    <w:rsid w:val="00136FA2"/>
    <w:rsid w:val="0014031F"/>
    <w:rsid w:val="001413D2"/>
    <w:rsid w:val="001421DD"/>
    <w:rsid w:val="001426AF"/>
    <w:rsid w:val="00146365"/>
    <w:rsid w:val="0014659C"/>
    <w:rsid w:val="00150965"/>
    <w:rsid w:val="00151214"/>
    <w:rsid w:val="00152216"/>
    <w:rsid w:val="001525D3"/>
    <w:rsid w:val="00153ABB"/>
    <w:rsid w:val="00153C77"/>
    <w:rsid w:val="00153CB5"/>
    <w:rsid w:val="001543ED"/>
    <w:rsid w:val="001544E8"/>
    <w:rsid w:val="00154EE8"/>
    <w:rsid w:val="00155E8C"/>
    <w:rsid w:val="00155F0B"/>
    <w:rsid w:val="0015646F"/>
    <w:rsid w:val="0015647F"/>
    <w:rsid w:val="0015656B"/>
    <w:rsid w:val="00157AE5"/>
    <w:rsid w:val="00157CD3"/>
    <w:rsid w:val="00161E45"/>
    <w:rsid w:val="0016296D"/>
    <w:rsid w:val="00162B67"/>
    <w:rsid w:val="00162D2F"/>
    <w:rsid w:val="00162FB2"/>
    <w:rsid w:val="00163487"/>
    <w:rsid w:val="001634FE"/>
    <w:rsid w:val="00163A7E"/>
    <w:rsid w:val="001646CF"/>
    <w:rsid w:val="00165826"/>
    <w:rsid w:val="00165E82"/>
    <w:rsid w:val="00166C0F"/>
    <w:rsid w:val="001675CB"/>
    <w:rsid w:val="001711F9"/>
    <w:rsid w:val="00173A3F"/>
    <w:rsid w:val="0017543A"/>
    <w:rsid w:val="00175BF8"/>
    <w:rsid w:val="001761BD"/>
    <w:rsid w:val="00180A9B"/>
    <w:rsid w:val="00180CA6"/>
    <w:rsid w:val="001824F1"/>
    <w:rsid w:val="00182C17"/>
    <w:rsid w:val="00184374"/>
    <w:rsid w:val="001843D3"/>
    <w:rsid w:val="00184D51"/>
    <w:rsid w:val="00186196"/>
    <w:rsid w:val="00190DEA"/>
    <w:rsid w:val="001928C8"/>
    <w:rsid w:val="00193EB4"/>
    <w:rsid w:val="00194420"/>
    <w:rsid w:val="001946EC"/>
    <w:rsid w:val="00194F21"/>
    <w:rsid w:val="001956D9"/>
    <w:rsid w:val="00196419"/>
    <w:rsid w:val="00196F78"/>
    <w:rsid w:val="001A028E"/>
    <w:rsid w:val="001A1DD9"/>
    <w:rsid w:val="001A2C83"/>
    <w:rsid w:val="001A3656"/>
    <w:rsid w:val="001A4CCD"/>
    <w:rsid w:val="001A5259"/>
    <w:rsid w:val="001A5513"/>
    <w:rsid w:val="001A61F6"/>
    <w:rsid w:val="001A788A"/>
    <w:rsid w:val="001B0375"/>
    <w:rsid w:val="001B03A7"/>
    <w:rsid w:val="001B1BC4"/>
    <w:rsid w:val="001B5D39"/>
    <w:rsid w:val="001B6048"/>
    <w:rsid w:val="001C0638"/>
    <w:rsid w:val="001C0C37"/>
    <w:rsid w:val="001C0C93"/>
    <w:rsid w:val="001C0D04"/>
    <w:rsid w:val="001C4767"/>
    <w:rsid w:val="001C4798"/>
    <w:rsid w:val="001C4F2B"/>
    <w:rsid w:val="001C4F58"/>
    <w:rsid w:val="001C5EC0"/>
    <w:rsid w:val="001C6468"/>
    <w:rsid w:val="001C768E"/>
    <w:rsid w:val="001D0804"/>
    <w:rsid w:val="001D0BE5"/>
    <w:rsid w:val="001D145D"/>
    <w:rsid w:val="001D15B4"/>
    <w:rsid w:val="001D1BE9"/>
    <w:rsid w:val="001D201C"/>
    <w:rsid w:val="001D3433"/>
    <w:rsid w:val="001D3931"/>
    <w:rsid w:val="001D4BB8"/>
    <w:rsid w:val="001D6590"/>
    <w:rsid w:val="001D7E57"/>
    <w:rsid w:val="001E05CD"/>
    <w:rsid w:val="001E2888"/>
    <w:rsid w:val="001E2ABB"/>
    <w:rsid w:val="001E32E0"/>
    <w:rsid w:val="001E3743"/>
    <w:rsid w:val="001E407C"/>
    <w:rsid w:val="001E4FFB"/>
    <w:rsid w:val="001E7252"/>
    <w:rsid w:val="001F0385"/>
    <w:rsid w:val="001F0AA6"/>
    <w:rsid w:val="001F0CDD"/>
    <w:rsid w:val="001F0F58"/>
    <w:rsid w:val="001F18C4"/>
    <w:rsid w:val="001F29FF"/>
    <w:rsid w:val="001F41C3"/>
    <w:rsid w:val="001F4926"/>
    <w:rsid w:val="001F5D5F"/>
    <w:rsid w:val="001F6250"/>
    <w:rsid w:val="00200364"/>
    <w:rsid w:val="0020148B"/>
    <w:rsid w:val="00201912"/>
    <w:rsid w:val="00201B23"/>
    <w:rsid w:val="00201D5B"/>
    <w:rsid w:val="00202A48"/>
    <w:rsid w:val="00203C50"/>
    <w:rsid w:val="00204AE1"/>
    <w:rsid w:val="00205857"/>
    <w:rsid w:val="00205863"/>
    <w:rsid w:val="0020672F"/>
    <w:rsid w:val="00207642"/>
    <w:rsid w:val="00207A26"/>
    <w:rsid w:val="00212166"/>
    <w:rsid w:val="002124DA"/>
    <w:rsid w:val="002129C2"/>
    <w:rsid w:val="002143C5"/>
    <w:rsid w:val="0021499E"/>
    <w:rsid w:val="0021600E"/>
    <w:rsid w:val="002160A9"/>
    <w:rsid w:val="0021750C"/>
    <w:rsid w:val="002177EC"/>
    <w:rsid w:val="00222400"/>
    <w:rsid w:val="002225BF"/>
    <w:rsid w:val="00222993"/>
    <w:rsid w:val="00222B82"/>
    <w:rsid w:val="00226DEF"/>
    <w:rsid w:val="00227B7B"/>
    <w:rsid w:val="00230124"/>
    <w:rsid w:val="00231A5B"/>
    <w:rsid w:val="00232509"/>
    <w:rsid w:val="002336B1"/>
    <w:rsid w:val="00235B0B"/>
    <w:rsid w:val="00236553"/>
    <w:rsid w:val="00236C89"/>
    <w:rsid w:val="00236F44"/>
    <w:rsid w:val="002372D3"/>
    <w:rsid w:val="00237C3F"/>
    <w:rsid w:val="00241434"/>
    <w:rsid w:val="00242290"/>
    <w:rsid w:val="00243382"/>
    <w:rsid w:val="00244004"/>
    <w:rsid w:val="0024646D"/>
    <w:rsid w:val="002510C5"/>
    <w:rsid w:val="00251796"/>
    <w:rsid w:val="002518C0"/>
    <w:rsid w:val="00253A44"/>
    <w:rsid w:val="00255D0C"/>
    <w:rsid w:val="002564D9"/>
    <w:rsid w:val="002575FE"/>
    <w:rsid w:val="00260024"/>
    <w:rsid w:val="00263643"/>
    <w:rsid w:val="0026412F"/>
    <w:rsid w:val="00264CF8"/>
    <w:rsid w:val="00266007"/>
    <w:rsid w:val="00272210"/>
    <w:rsid w:val="0027240B"/>
    <w:rsid w:val="002744D3"/>
    <w:rsid w:val="002752AA"/>
    <w:rsid w:val="0027575A"/>
    <w:rsid w:val="00277612"/>
    <w:rsid w:val="002837CA"/>
    <w:rsid w:val="0028560C"/>
    <w:rsid w:val="00285A56"/>
    <w:rsid w:val="00285D06"/>
    <w:rsid w:val="00285F86"/>
    <w:rsid w:val="00286AE3"/>
    <w:rsid w:val="00286D53"/>
    <w:rsid w:val="00287216"/>
    <w:rsid w:val="00287418"/>
    <w:rsid w:val="00287DBB"/>
    <w:rsid w:val="00287FEE"/>
    <w:rsid w:val="00290E1F"/>
    <w:rsid w:val="00291D3C"/>
    <w:rsid w:val="00294257"/>
    <w:rsid w:val="0029518F"/>
    <w:rsid w:val="00297AF6"/>
    <w:rsid w:val="002A0EED"/>
    <w:rsid w:val="002A0FC8"/>
    <w:rsid w:val="002A1B8E"/>
    <w:rsid w:val="002A2DC9"/>
    <w:rsid w:val="002A33BB"/>
    <w:rsid w:val="002A4140"/>
    <w:rsid w:val="002A4DCB"/>
    <w:rsid w:val="002A6257"/>
    <w:rsid w:val="002A71FC"/>
    <w:rsid w:val="002A76CA"/>
    <w:rsid w:val="002A79DC"/>
    <w:rsid w:val="002B1284"/>
    <w:rsid w:val="002B17DA"/>
    <w:rsid w:val="002B1FCC"/>
    <w:rsid w:val="002B2096"/>
    <w:rsid w:val="002B43F0"/>
    <w:rsid w:val="002B4AC3"/>
    <w:rsid w:val="002B4AD9"/>
    <w:rsid w:val="002B4C48"/>
    <w:rsid w:val="002B5934"/>
    <w:rsid w:val="002C06A0"/>
    <w:rsid w:val="002C19AA"/>
    <w:rsid w:val="002C1D51"/>
    <w:rsid w:val="002C2A69"/>
    <w:rsid w:val="002C2D1A"/>
    <w:rsid w:val="002C3AF8"/>
    <w:rsid w:val="002C4512"/>
    <w:rsid w:val="002C491C"/>
    <w:rsid w:val="002C5758"/>
    <w:rsid w:val="002C5974"/>
    <w:rsid w:val="002C5B0D"/>
    <w:rsid w:val="002C6134"/>
    <w:rsid w:val="002C715B"/>
    <w:rsid w:val="002D22E1"/>
    <w:rsid w:val="002D328F"/>
    <w:rsid w:val="002D45F9"/>
    <w:rsid w:val="002D4FF6"/>
    <w:rsid w:val="002D5201"/>
    <w:rsid w:val="002D649F"/>
    <w:rsid w:val="002D6D0E"/>
    <w:rsid w:val="002E05DB"/>
    <w:rsid w:val="002E0627"/>
    <w:rsid w:val="002E1526"/>
    <w:rsid w:val="002E1561"/>
    <w:rsid w:val="002E5410"/>
    <w:rsid w:val="002E5BB2"/>
    <w:rsid w:val="002E624F"/>
    <w:rsid w:val="002E76E9"/>
    <w:rsid w:val="002F1771"/>
    <w:rsid w:val="002F1E9C"/>
    <w:rsid w:val="002F23A0"/>
    <w:rsid w:val="002F28E5"/>
    <w:rsid w:val="002F2F50"/>
    <w:rsid w:val="002F668E"/>
    <w:rsid w:val="00300828"/>
    <w:rsid w:val="00300976"/>
    <w:rsid w:val="003031EF"/>
    <w:rsid w:val="00303DA6"/>
    <w:rsid w:val="00304701"/>
    <w:rsid w:val="003056DB"/>
    <w:rsid w:val="00305E4F"/>
    <w:rsid w:val="0030628D"/>
    <w:rsid w:val="00306F2C"/>
    <w:rsid w:val="003073BA"/>
    <w:rsid w:val="003120C6"/>
    <w:rsid w:val="00312544"/>
    <w:rsid w:val="00312E3A"/>
    <w:rsid w:val="0031305E"/>
    <w:rsid w:val="00313889"/>
    <w:rsid w:val="003143A0"/>
    <w:rsid w:val="003147B7"/>
    <w:rsid w:val="0031514E"/>
    <w:rsid w:val="00316255"/>
    <w:rsid w:val="003165D6"/>
    <w:rsid w:val="00316AF8"/>
    <w:rsid w:val="00320CA5"/>
    <w:rsid w:val="003229D2"/>
    <w:rsid w:val="0032377B"/>
    <w:rsid w:val="00323938"/>
    <w:rsid w:val="0032448E"/>
    <w:rsid w:val="00325095"/>
    <w:rsid w:val="003275C7"/>
    <w:rsid w:val="00331C8E"/>
    <w:rsid w:val="00332EBA"/>
    <w:rsid w:val="00333610"/>
    <w:rsid w:val="003336A1"/>
    <w:rsid w:val="00334B48"/>
    <w:rsid w:val="00335687"/>
    <w:rsid w:val="0034005F"/>
    <w:rsid w:val="00341036"/>
    <w:rsid w:val="0034147D"/>
    <w:rsid w:val="00343C70"/>
    <w:rsid w:val="00344AFA"/>
    <w:rsid w:val="003461DB"/>
    <w:rsid w:val="00346382"/>
    <w:rsid w:val="0034765F"/>
    <w:rsid w:val="00350522"/>
    <w:rsid w:val="00350938"/>
    <w:rsid w:val="003510B9"/>
    <w:rsid w:val="00351D04"/>
    <w:rsid w:val="00353672"/>
    <w:rsid w:val="003539B9"/>
    <w:rsid w:val="00353D2E"/>
    <w:rsid w:val="0035497B"/>
    <w:rsid w:val="003554C4"/>
    <w:rsid w:val="00356B0B"/>
    <w:rsid w:val="003574DB"/>
    <w:rsid w:val="0035794F"/>
    <w:rsid w:val="00357FEE"/>
    <w:rsid w:val="0036360D"/>
    <w:rsid w:val="00364937"/>
    <w:rsid w:val="003659EE"/>
    <w:rsid w:val="00365BDE"/>
    <w:rsid w:val="0036652B"/>
    <w:rsid w:val="00366F75"/>
    <w:rsid w:val="00367802"/>
    <w:rsid w:val="003702DD"/>
    <w:rsid w:val="003703F6"/>
    <w:rsid w:val="003725E8"/>
    <w:rsid w:val="00372907"/>
    <w:rsid w:val="0037390C"/>
    <w:rsid w:val="00374A5C"/>
    <w:rsid w:val="00375717"/>
    <w:rsid w:val="003762C8"/>
    <w:rsid w:val="003778E7"/>
    <w:rsid w:val="0037794B"/>
    <w:rsid w:val="003822BA"/>
    <w:rsid w:val="00382F06"/>
    <w:rsid w:val="003831DD"/>
    <w:rsid w:val="00385F02"/>
    <w:rsid w:val="00385FE8"/>
    <w:rsid w:val="003869F0"/>
    <w:rsid w:val="00386FD0"/>
    <w:rsid w:val="00387F2D"/>
    <w:rsid w:val="0039073A"/>
    <w:rsid w:val="00390E42"/>
    <w:rsid w:val="00391CD3"/>
    <w:rsid w:val="00392CC4"/>
    <w:rsid w:val="00392CEB"/>
    <w:rsid w:val="0039399F"/>
    <w:rsid w:val="003941D6"/>
    <w:rsid w:val="0039445E"/>
    <w:rsid w:val="00394635"/>
    <w:rsid w:val="00394C56"/>
    <w:rsid w:val="00396BC7"/>
    <w:rsid w:val="003970F0"/>
    <w:rsid w:val="003A27D2"/>
    <w:rsid w:val="003A3E25"/>
    <w:rsid w:val="003A46D2"/>
    <w:rsid w:val="003A5ACC"/>
    <w:rsid w:val="003A63D7"/>
    <w:rsid w:val="003B1033"/>
    <w:rsid w:val="003B2C6E"/>
    <w:rsid w:val="003B3D74"/>
    <w:rsid w:val="003B4175"/>
    <w:rsid w:val="003B42E0"/>
    <w:rsid w:val="003B586E"/>
    <w:rsid w:val="003B64BB"/>
    <w:rsid w:val="003B6C8E"/>
    <w:rsid w:val="003B6D41"/>
    <w:rsid w:val="003B72F8"/>
    <w:rsid w:val="003B7652"/>
    <w:rsid w:val="003C103A"/>
    <w:rsid w:val="003C1197"/>
    <w:rsid w:val="003C1A26"/>
    <w:rsid w:val="003C24B3"/>
    <w:rsid w:val="003C3641"/>
    <w:rsid w:val="003C4FF7"/>
    <w:rsid w:val="003C5D6A"/>
    <w:rsid w:val="003C6F5E"/>
    <w:rsid w:val="003C7080"/>
    <w:rsid w:val="003D0193"/>
    <w:rsid w:val="003D0B57"/>
    <w:rsid w:val="003D10E2"/>
    <w:rsid w:val="003D2B05"/>
    <w:rsid w:val="003D2D29"/>
    <w:rsid w:val="003D3164"/>
    <w:rsid w:val="003D4747"/>
    <w:rsid w:val="003D4B14"/>
    <w:rsid w:val="003D4E48"/>
    <w:rsid w:val="003E1B5C"/>
    <w:rsid w:val="003E2F94"/>
    <w:rsid w:val="003E36D1"/>
    <w:rsid w:val="003E416B"/>
    <w:rsid w:val="003E426D"/>
    <w:rsid w:val="003E455F"/>
    <w:rsid w:val="003E4838"/>
    <w:rsid w:val="003E5501"/>
    <w:rsid w:val="003E5BC7"/>
    <w:rsid w:val="003E5D71"/>
    <w:rsid w:val="003E6B94"/>
    <w:rsid w:val="003E741C"/>
    <w:rsid w:val="003E7836"/>
    <w:rsid w:val="003E7B59"/>
    <w:rsid w:val="003F1649"/>
    <w:rsid w:val="003F1866"/>
    <w:rsid w:val="003F190F"/>
    <w:rsid w:val="003F1F0A"/>
    <w:rsid w:val="003F248B"/>
    <w:rsid w:val="003F3128"/>
    <w:rsid w:val="003F5D98"/>
    <w:rsid w:val="003F66C9"/>
    <w:rsid w:val="0040005C"/>
    <w:rsid w:val="004010AD"/>
    <w:rsid w:val="00402491"/>
    <w:rsid w:val="00402772"/>
    <w:rsid w:val="00404AAB"/>
    <w:rsid w:val="00407038"/>
    <w:rsid w:val="00407E34"/>
    <w:rsid w:val="0041013B"/>
    <w:rsid w:val="004108DD"/>
    <w:rsid w:val="00410955"/>
    <w:rsid w:val="00410AA1"/>
    <w:rsid w:val="00411015"/>
    <w:rsid w:val="0041172C"/>
    <w:rsid w:val="004117FA"/>
    <w:rsid w:val="00411C7A"/>
    <w:rsid w:val="00412ABA"/>
    <w:rsid w:val="0041398E"/>
    <w:rsid w:val="00414BBC"/>
    <w:rsid w:val="00414CA0"/>
    <w:rsid w:val="004178D3"/>
    <w:rsid w:val="00417ABA"/>
    <w:rsid w:val="00420066"/>
    <w:rsid w:val="004215CC"/>
    <w:rsid w:val="00421E32"/>
    <w:rsid w:val="004224AF"/>
    <w:rsid w:val="00422993"/>
    <w:rsid w:val="00424184"/>
    <w:rsid w:val="004244E2"/>
    <w:rsid w:val="00424826"/>
    <w:rsid w:val="00426CD5"/>
    <w:rsid w:val="00426FC1"/>
    <w:rsid w:val="00427474"/>
    <w:rsid w:val="0042767D"/>
    <w:rsid w:val="004321C8"/>
    <w:rsid w:val="00432275"/>
    <w:rsid w:val="0043236B"/>
    <w:rsid w:val="00432990"/>
    <w:rsid w:val="00432B56"/>
    <w:rsid w:val="00434399"/>
    <w:rsid w:val="0043442B"/>
    <w:rsid w:val="00434B1F"/>
    <w:rsid w:val="00435B81"/>
    <w:rsid w:val="004366F6"/>
    <w:rsid w:val="00437845"/>
    <w:rsid w:val="004407CE"/>
    <w:rsid w:val="00440D8F"/>
    <w:rsid w:val="00443F1D"/>
    <w:rsid w:val="0044418F"/>
    <w:rsid w:val="00444B7E"/>
    <w:rsid w:val="00444E96"/>
    <w:rsid w:val="004453C5"/>
    <w:rsid w:val="00445C54"/>
    <w:rsid w:val="004475F1"/>
    <w:rsid w:val="00452632"/>
    <w:rsid w:val="00453549"/>
    <w:rsid w:val="00454FE4"/>
    <w:rsid w:val="00455573"/>
    <w:rsid w:val="00455CED"/>
    <w:rsid w:val="0046038E"/>
    <w:rsid w:val="004603B8"/>
    <w:rsid w:val="0046181D"/>
    <w:rsid w:val="004630F3"/>
    <w:rsid w:val="00463A4E"/>
    <w:rsid w:val="004653B1"/>
    <w:rsid w:val="00465A82"/>
    <w:rsid w:val="00465FA6"/>
    <w:rsid w:val="004660BA"/>
    <w:rsid w:val="0046674C"/>
    <w:rsid w:val="00466841"/>
    <w:rsid w:val="00466BFA"/>
    <w:rsid w:val="004671AD"/>
    <w:rsid w:val="0047084B"/>
    <w:rsid w:val="004709F7"/>
    <w:rsid w:val="004711D3"/>
    <w:rsid w:val="004725CA"/>
    <w:rsid w:val="00472F08"/>
    <w:rsid w:val="00472FC0"/>
    <w:rsid w:val="00473ABD"/>
    <w:rsid w:val="004746D7"/>
    <w:rsid w:val="00474C9F"/>
    <w:rsid w:val="004765A1"/>
    <w:rsid w:val="004775A1"/>
    <w:rsid w:val="00477A50"/>
    <w:rsid w:val="00481B1B"/>
    <w:rsid w:val="00481D95"/>
    <w:rsid w:val="00482448"/>
    <w:rsid w:val="00483D11"/>
    <w:rsid w:val="00484778"/>
    <w:rsid w:val="0048575E"/>
    <w:rsid w:val="004909C4"/>
    <w:rsid w:val="00490A1D"/>
    <w:rsid w:val="00492708"/>
    <w:rsid w:val="00494094"/>
    <w:rsid w:val="0049506C"/>
    <w:rsid w:val="00495642"/>
    <w:rsid w:val="004956E5"/>
    <w:rsid w:val="004959E4"/>
    <w:rsid w:val="00495F4F"/>
    <w:rsid w:val="004A1BA4"/>
    <w:rsid w:val="004A2782"/>
    <w:rsid w:val="004A27EB"/>
    <w:rsid w:val="004A2807"/>
    <w:rsid w:val="004A2B38"/>
    <w:rsid w:val="004A3C80"/>
    <w:rsid w:val="004A75BD"/>
    <w:rsid w:val="004B068B"/>
    <w:rsid w:val="004B0CA0"/>
    <w:rsid w:val="004B4358"/>
    <w:rsid w:val="004B4549"/>
    <w:rsid w:val="004B5C7D"/>
    <w:rsid w:val="004B5DA3"/>
    <w:rsid w:val="004B61BC"/>
    <w:rsid w:val="004B648E"/>
    <w:rsid w:val="004B678E"/>
    <w:rsid w:val="004B6979"/>
    <w:rsid w:val="004C2036"/>
    <w:rsid w:val="004C262F"/>
    <w:rsid w:val="004C3333"/>
    <w:rsid w:val="004C36B0"/>
    <w:rsid w:val="004C4890"/>
    <w:rsid w:val="004C52ED"/>
    <w:rsid w:val="004C586D"/>
    <w:rsid w:val="004C7017"/>
    <w:rsid w:val="004D0D20"/>
    <w:rsid w:val="004D0E21"/>
    <w:rsid w:val="004D0FD0"/>
    <w:rsid w:val="004D1296"/>
    <w:rsid w:val="004D1BB8"/>
    <w:rsid w:val="004D1C69"/>
    <w:rsid w:val="004D28F4"/>
    <w:rsid w:val="004D2C7D"/>
    <w:rsid w:val="004D3274"/>
    <w:rsid w:val="004D40A6"/>
    <w:rsid w:val="004D45DF"/>
    <w:rsid w:val="004D474E"/>
    <w:rsid w:val="004D558F"/>
    <w:rsid w:val="004D724D"/>
    <w:rsid w:val="004D727B"/>
    <w:rsid w:val="004D74C0"/>
    <w:rsid w:val="004E10A0"/>
    <w:rsid w:val="004E1243"/>
    <w:rsid w:val="004E15D5"/>
    <w:rsid w:val="004E1A59"/>
    <w:rsid w:val="004E2DBE"/>
    <w:rsid w:val="004E420C"/>
    <w:rsid w:val="004E6490"/>
    <w:rsid w:val="004E6A76"/>
    <w:rsid w:val="004E78B1"/>
    <w:rsid w:val="004F0034"/>
    <w:rsid w:val="004F0303"/>
    <w:rsid w:val="004F23CC"/>
    <w:rsid w:val="004F2F39"/>
    <w:rsid w:val="004F37B3"/>
    <w:rsid w:val="004F416C"/>
    <w:rsid w:val="004F4D57"/>
    <w:rsid w:val="004F5CC1"/>
    <w:rsid w:val="004F64E2"/>
    <w:rsid w:val="004F7621"/>
    <w:rsid w:val="00501F93"/>
    <w:rsid w:val="005020D0"/>
    <w:rsid w:val="00502A07"/>
    <w:rsid w:val="00503AA0"/>
    <w:rsid w:val="0050441C"/>
    <w:rsid w:val="00505514"/>
    <w:rsid w:val="00511E4D"/>
    <w:rsid w:val="00512913"/>
    <w:rsid w:val="00513B80"/>
    <w:rsid w:val="00513D9F"/>
    <w:rsid w:val="00514CDE"/>
    <w:rsid w:val="005158DB"/>
    <w:rsid w:val="00517026"/>
    <w:rsid w:val="005172A9"/>
    <w:rsid w:val="005200CD"/>
    <w:rsid w:val="005205CC"/>
    <w:rsid w:val="00520811"/>
    <w:rsid w:val="00520A80"/>
    <w:rsid w:val="00520AFA"/>
    <w:rsid w:val="00523752"/>
    <w:rsid w:val="005238DB"/>
    <w:rsid w:val="00523D22"/>
    <w:rsid w:val="00525782"/>
    <w:rsid w:val="00525964"/>
    <w:rsid w:val="0052665F"/>
    <w:rsid w:val="00526F39"/>
    <w:rsid w:val="005277AF"/>
    <w:rsid w:val="00530226"/>
    <w:rsid w:val="005310FA"/>
    <w:rsid w:val="00531D93"/>
    <w:rsid w:val="00531FF7"/>
    <w:rsid w:val="00533761"/>
    <w:rsid w:val="00533D01"/>
    <w:rsid w:val="00534865"/>
    <w:rsid w:val="005403DC"/>
    <w:rsid w:val="0054051B"/>
    <w:rsid w:val="0054097D"/>
    <w:rsid w:val="00540E55"/>
    <w:rsid w:val="00541019"/>
    <w:rsid w:val="00541BC5"/>
    <w:rsid w:val="00542C60"/>
    <w:rsid w:val="0054363E"/>
    <w:rsid w:val="00544638"/>
    <w:rsid w:val="0054477D"/>
    <w:rsid w:val="00544BB1"/>
    <w:rsid w:val="005469F9"/>
    <w:rsid w:val="00550818"/>
    <w:rsid w:val="00550F09"/>
    <w:rsid w:val="00551311"/>
    <w:rsid w:val="00551413"/>
    <w:rsid w:val="00551B20"/>
    <w:rsid w:val="005526A1"/>
    <w:rsid w:val="00552766"/>
    <w:rsid w:val="005532ED"/>
    <w:rsid w:val="0055451D"/>
    <w:rsid w:val="0055536C"/>
    <w:rsid w:val="00555CA9"/>
    <w:rsid w:val="00556385"/>
    <w:rsid w:val="00556721"/>
    <w:rsid w:val="00556DDE"/>
    <w:rsid w:val="00556F46"/>
    <w:rsid w:val="00557A99"/>
    <w:rsid w:val="0056051D"/>
    <w:rsid w:val="00560763"/>
    <w:rsid w:val="005609BB"/>
    <w:rsid w:val="005635CC"/>
    <w:rsid w:val="00564B0C"/>
    <w:rsid w:val="005655E4"/>
    <w:rsid w:val="005660CB"/>
    <w:rsid w:val="005708BE"/>
    <w:rsid w:val="005732BD"/>
    <w:rsid w:val="00573A44"/>
    <w:rsid w:val="00575E90"/>
    <w:rsid w:val="00576AE5"/>
    <w:rsid w:val="0057746F"/>
    <w:rsid w:val="005776EE"/>
    <w:rsid w:val="00577D05"/>
    <w:rsid w:val="005806EF"/>
    <w:rsid w:val="0058142E"/>
    <w:rsid w:val="00581BDC"/>
    <w:rsid w:val="00582094"/>
    <w:rsid w:val="00583753"/>
    <w:rsid w:val="00584786"/>
    <w:rsid w:val="00584BEA"/>
    <w:rsid w:val="005851BE"/>
    <w:rsid w:val="00585395"/>
    <w:rsid w:val="0058663A"/>
    <w:rsid w:val="00586A64"/>
    <w:rsid w:val="0059094E"/>
    <w:rsid w:val="005916E8"/>
    <w:rsid w:val="00591B62"/>
    <w:rsid w:val="00593991"/>
    <w:rsid w:val="00594662"/>
    <w:rsid w:val="005965A8"/>
    <w:rsid w:val="0059708B"/>
    <w:rsid w:val="00597854"/>
    <w:rsid w:val="00597CFE"/>
    <w:rsid w:val="005A0A0B"/>
    <w:rsid w:val="005A112B"/>
    <w:rsid w:val="005A1DA1"/>
    <w:rsid w:val="005A2E69"/>
    <w:rsid w:val="005A2FE7"/>
    <w:rsid w:val="005A3010"/>
    <w:rsid w:val="005A31F1"/>
    <w:rsid w:val="005A51DA"/>
    <w:rsid w:val="005A5513"/>
    <w:rsid w:val="005B13A7"/>
    <w:rsid w:val="005B1D1D"/>
    <w:rsid w:val="005B2458"/>
    <w:rsid w:val="005B598F"/>
    <w:rsid w:val="005B5AEB"/>
    <w:rsid w:val="005B784D"/>
    <w:rsid w:val="005B7C2F"/>
    <w:rsid w:val="005C02B8"/>
    <w:rsid w:val="005C0543"/>
    <w:rsid w:val="005C1B66"/>
    <w:rsid w:val="005C3C23"/>
    <w:rsid w:val="005C5F2A"/>
    <w:rsid w:val="005C6456"/>
    <w:rsid w:val="005C7510"/>
    <w:rsid w:val="005D0C08"/>
    <w:rsid w:val="005D1190"/>
    <w:rsid w:val="005D2015"/>
    <w:rsid w:val="005D2813"/>
    <w:rsid w:val="005D3BDA"/>
    <w:rsid w:val="005D3E00"/>
    <w:rsid w:val="005D456A"/>
    <w:rsid w:val="005D5081"/>
    <w:rsid w:val="005D662D"/>
    <w:rsid w:val="005D705F"/>
    <w:rsid w:val="005E0277"/>
    <w:rsid w:val="005E1DC0"/>
    <w:rsid w:val="005E1E6B"/>
    <w:rsid w:val="005E2044"/>
    <w:rsid w:val="005E3445"/>
    <w:rsid w:val="005E3E91"/>
    <w:rsid w:val="005E5477"/>
    <w:rsid w:val="005E69BC"/>
    <w:rsid w:val="005E7CCB"/>
    <w:rsid w:val="005F0463"/>
    <w:rsid w:val="005F0A05"/>
    <w:rsid w:val="005F49DE"/>
    <w:rsid w:val="005F56C5"/>
    <w:rsid w:val="005F67A1"/>
    <w:rsid w:val="00600366"/>
    <w:rsid w:val="00600A39"/>
    <w:rsid w:val="00601EEA"/>
    <w:rsid w:val="006022C6"/>
    <w:rsid w:val="00602F5C"/>
    <w:rsid w:val="00604104"/>
    <w:rsid w:val="00606EC4"/>
    <w:rsid w:val="006077C5"/>
    <w:rsid w:val="00607ABF"/>
    <w:rsid w:val="0061038F"/>
    <w:rsid w:val="00612028"/>
    <w:rsid w:val="0061351F"/>
    <w:rsid w:val="006155E3"/>
    <w:rsid w:val="00616C4B"/>
    <w:rsid w:val="006179BE"/>
    <w:rsid w:val="00617C92"/>
    <w:rsid w:val="00617C9F"/>
    <w:rsid w:val="00620446"/>
    <w:rsid w:val="00620FE0"/>
    <w:rsid w:val="00621B3D"/>
    <w:rsid w:val="00623196"/>
    <w:rsid w:val="006232B6"/>
    <w:rsid w:val="006235E8"/>
    <w:rsid w:val="00624047"/>
    <w:rsid w:val="00624D66"/>
    <w:rsid w:val="006251DB"/>
    <w:rsid w:val="0062618B"/>
    <w:rsid w:val="006265ED"/>
    <w:rsid w:val="0062662F"/>
    <w:rsid w:val="00631FA8"/>
    <w:rsid w:val="00632AE0"/>
    <w:rsid w:val="0063456B"/>
    <w:rsid w:val="00634664"/>
    <w:rsid w:val="00634B5C"/>
    <w:rsid w:val="00636457"/>
    <w:rsid w:val="006367A1"/>
    <w:rsid w:val="00637A9C"/>
    <w:rsid w:val="006410B4"/>
    <w:rsid w:val="00641265"/>
    <w:rsid w:val="00643C80"/>
    <w:rsid w:val="006440DA"/>
    <w:rsid w:val="00644AB0"/>
    <w:rsid w:val="00644D42"/>
    <w:rsid w:val="00645A7C"/>
    <w:rsid w:val="00645C93"/>
    <w:rsid w:val="00646138"/>
    <w:rsid w:val="006463BB"/>
    <w:rsid w:val="00646636"/>
    <w:rsid w:val="0064668F"/>
    <w:rsid w:val="00646B11"/>
    <w:rsid w:val="006522CA"/>
    <w:rsid w:val="006524A3"/>
    <w:rsid w:val="00652CC8"/>
    <w:rsid w:val="00652DF0"/>
    <w:rsid w:val="006533B6"/>
    <w:rsid w:val="00653BAA"/>
    <w:rsid w:val="00654B38"/>
    <w:rsid w:val="006552ED"/>
    <w:rsid w:val="0065557B"/>
    <w:rsid w:val="00656AAA"/>
    <w:rsid w:val="0066105D"/>
    <w:rsid w:val="0066126A"/>
    <w:rsid w:val="0066153F"/>
    <w:rsid w:val="00661611"/>
    <w:rsid w:val="00663E6A"/>
    <w:rsid w:val="006652B3"/>
    <w:rsid w:val="0067083C"/>
    <w:rsid w:val="00670B90"/>
    <w:rsid w:val="00671EE9"/>
    <w:rsid w:val="0067466D"/>
    <w:rsid w:val="006748C7"/>
    <w:rsid w:val="00674CA3"/>
    <w:rsid w:val="00676921"/>
    <w:rsid w:val="00676AC5"/>
    <w:rsid w:val="006831AC"/>
    <w:rsid w:val="00683616"/>
    <w:rsid w:val="00683FEC"/>
    <w:rsid w:val="00686B9B"/>
    <w:rsid w:val="00686C8E"/>
    <w:rsid w:val="00687AF0"/>
    <w:rsid w:val="006905C0"/>
    <w:rsid w:val="00692DF3"/>
    <w:rsid w:val="00692F04"/>
    <w:rsid w:val="006930D8"/>
    <w:rsid w:val="00693C1E"/>
    <w:rsid w:val="00695D27"/>
    <w:rsid w:val="00697526"/>
    <w:rsid w:val="006A033A"/>
    <w:rsid w:val="006A0823"/>
    <w:rsid w:val="006A1A0E"/>
    <w:rsid w:val="006A2B7C"/>
    <w:rsid w:val="006A480D"/>
    <w:rsid w:val="006A50A2"/>
    <w:rsid w:val="006A551A"/>
    <w:rsid w:val="006A6418"/>
    <w:rsid w:val="006A7625"/>
    <w:rsid w:val="006B06E3"/>
    <w:rsid w:val="006B0E08"/>
    <w:rsid w:val="006B1483"/>
    <w:rsid w:val="006B1699"/>
    <w:rsid w:val="006B21A5"/>
    <w:rsid w:val="006B3291"/>
    <w:rsid w:val="006B331B"/>
    <w:rsid w:val="006B36A7"/>
    <w:rsid w:val="006B55F7"/>
    <w:rsid w:val="006B6436"/>
    <w:rsid w:val="006C0034"/>
    <w:rsid w:val="006C02B4"/>
    <w:rsid w:val="006C0B27"/>
    <w:rsid w:val="006C2332"/>
    <w:rsid w:val="006C259C"/>
    <w:rsid w:val="006C3155"/>
    <w:rsid w:val="006C35B2"/>
    <w:rsid w:val="006C6CBD"/>
    <w:rsid w:val="006D0A63"/>
    <w:rsid w:val="006D0B18"/>
    <w:rsid w:val="006D0E6D"/>
    <w:rsid w:val="006D13DC"/>
    <w:rsid w:val="006D1564"/>
    <w:rsid w:val="006D2874"/>
    <w:rsid w:val="006D2FF9"/>
    <w:rsid w:val="006D578A"/>
    <w:rsid w:val="006D799D"/>
    <w:rsid w:val="006E04FC"/>
    <w:rsid w:val="006E10B0"/>
    <w:rsid w:val="006E269A"/>
    <w:rsid w:val="006E3F2B"/>
    <w:rsid w:val="006E4225"/>
    <w:rsid w:val="006E4E31"/>
    <w:rsid w:val="006E5BC5"/>
    <w:rsid w:val="006E6E1D"/>
    <w:rsid w:val="006E7A96"/>
    <w:rsid w:val="006F00D7"/>
    <w:rsid w:val="006F0D0B"/>
    <w:rsid w:val="006F1564"/>
    <w:rsid w:val="006F2456"/>
    <w:rsid w:val="006F2BAA"/>
    <w:rsid w:val="006F3D28"/>
    <w:rsid w:val="006F3E34"/>
    <w:rsid w:val="006F3E6F"/>
    <w:rsid w:val="006F51B9"/>
    <w:rsid w:val="006F5F2A"/>
    <w:rsid w:val="006F69AC"/>
    <w:rsid w:val="00700075"/>
    <w:rsid w:val="0070022D"/>
    <w:rsid w:val="007007BD"/>
    <w:rsid w:val="00701207"/>
    <w:rsid w:val="0070122D"/>
    <w:rsid w:val="0070190C"/>
    <w:rsid w:val="007021E6"/>
    <w:rsid w:val="00702F20"/>
    <w:rsid w:val="00702F4E"/>
    <w:rsid w:val="007040E8"/>
    <w:rsid w:val="0070467E"/>
    <w:rsid w:val="007054C7"/>
    <w:rsid w:val="00705FA9"/>
    <w:rsid w:val="0070649A"/>
    <w:rsid w:val="007104B7"/>
    <w:rsid w:val="00711301"/>
    <w:rsid w:val="007124D6"/>
    <w:rsid w:val="00712AD6"/>
    <w:rsid w:val="007130AD"/>
    <w:rsid w:val="007132F2"/>
    <w:rsid w:val="007133D5"/>
    <w:rsid w:val="007139B2"/>
    <w:rsid w:val="00713ECA"/>
    <w:rsid w:val="0071415B"/>
    <w:rsid w:val="00714418"/>
    <w:rsid w:val="00714E7C"/>
    <w:rsid w:val="007151C7"/>
    <w:rsid w:val="00716DB8"/>
    <w:rsid w:val="00720774"/>
    <w:rsid w:val="00721219"/>
    <w:rsid w:val="00721531"/>
    <w:rsid w:val="007218FA"/>
    <w:rsid w:val="0072401B"/>
    <w:rsid w:val="007246F7"/>
    <w:rsid w:val="00725A1A"/>
    <w:rsid w:val="00725C52"/>
    <w:rsid w:val="00730361"/>
    <w:rsid w:val="007327AF"/>
    <w:rsid w:val="00732C0C"/>
    <w:rsid w:val="00733808"/>
    <w:rsid w:val="00735BAD"/>
    <w:rsid w:val="0073708C"/>
    <w:rsid w:val="007373AD"/>
    <w:rsid w:val="00737C6C"/>
    <w:rsid w:val="00742E2E"/>
    <w:rsid w:val="00743E9E"/>
    <w:rsid w:val="00744EE9"/>
    <w:rsid w:val="007509AB"/>
    <w:rsid w:val="007513F1"/>
    <w:rsid w:val="00751550"/>
    <w:rsid w:val="00751C66"/>
    <w:rsid w:val="0075222E"/>
    <w:rsid w:val="007534C0"/>
    <w:rsid w:val="00753F40"/>
    <w:rsid w:val="00754B2D"/>
    <w:rsid w:val="0075536D"/>
    <w:rsid w:val="00755FCD"/>
    <w:rsid w:val="007573E2"/>
    <w:rsid w:val="00760227"/>
    <w:rsid w:val="007612B5"/>
    <w:rsid w:val="00761B63"/>
    <w:rsid w:val="007624D2"/>
    <w:rsid w:val="007632B2"/>
    <w:rsid w:val="007643B4"/>
    <w:rsid w:val="007650C1"/>
    <w:rsid w:val="00766D1F"/>
    <w:rsid w:val="00767903"/>
    <w:rsid w:val="00767A79"/>
    <w:rsid w:val="007700CD"/>
    <w:rsid w:val="0077091B"/>
    <w:rsid w:val="00771879"/>
    <w:rsid w:val="00771FF5"/>
    <w:rsid w:val="007727ED"/>
    <w:rsid w:val="00772B8F"/>
    <w:rsid w:val="00773B7A"/>
    <w:rsid w:val="00773ED9"/>
    <w:rsid w:val="00773F4D"/>
    <w:rsid w:val="00773F95"/>
    <w:rsid w:val="0077400A"/>
    <w:rsid w:val="0077509A"/>
    <w:rsid w:val="00776583"/>
    <w:rsid w:val="00776E7B"/>
    <w:rsid w:val="00777030"/>
    <w:rsid w:val="00780219"/>
    <w:rsid w:val="00780D40"/>
    <w:rsid w:val="007822F7"/>
    <w:rsid w:val="00782E61"/>
    <w:rsid w:val="007830DB"/>
    <w:rsid w:val="00783100"/>
    <w:rsid w:val="007834D6"/>
    <w:rsid w:val="00783EF7"/>
    <w:rsid w:val="00783FF1"/>
    <w:rsid w:val="00784115"/>
    <w:rsid w:val="0078456E"/>
    <w:rsid w:val="0078539C"/>
    <w:rsid w:val="00786002"/>
    <w:rsid w:val="007860DC"/>
    <w:rsid w:val="007872CF"/>
    <w:rsid w:val="0079041C"/>
    <w:rsid w:val="0079052C"/>
    <w:rsid w:val="00790922"/>
    <w:rsid w:val="007916D3"/>
    <w:rsid w:val="00791B07"/>
    <w:rsid w:val="00791C30"/>
    <w:rsid w:val="00792787"/>
    <w:rsid w:val="00792F82"/>
    <w:rsid w:val="00794A3A"/>
    <w:rsid w:val="007950E5"/>
    <w:rsid w:val="00795AF8"/>
    <w:rsid w:val="00796571"/>
    <w:rsid w:val="00797AC4"/>
    <w:rsid w:val="00797C81"/>
    <w:rsid w:val="007A01B8"/>
    <w:rsid w:val="007A0D30"/>
    <w:rsid w:val="007A233B"/>
    <w:rsid w:val="007A2804"/>
    <w:rsid w:val="007A2FE9"/>
    <w:rsid w:val="007A326B"/>
    <w:rsid w:val="007A457E"/>
    <w:rsid w:val="007A47B5"/>
    <w:rsid w:val="007A5298"/>
    <w:rsid w:val="007A5D31"/>
    <w:rsid w:val="007A5FFC"/>
    <w:rsid w:val="007A63B2"/>
    <w:rsid w:val="007A7426"/>
    <w:rsid w:val="007A798A"/>
    <w:rsid w:val="007B1F38"/>
    <w:rsid w:val="007B2949"/>
    <w:rsid w:val="007B2A76"/>
    <w:rsid w:val="007B3CF1"/>
    <w:rsid w:val="007B43EF"/>
    <w:rsid w:val="007B442A"/>
    <w:rsid w:val="007B44E5"/>
    <w:rsid w:val="007B7497"/>
    <w:rsid w:val="007B7D43"/>
    <w:rsid w:val="007C068C"/>
    <w:rsid w:val="007C0CEB"/>
    <w:rsid w:val="007C19B6"/>
    <w:rsid w:val="007C1D21"/>
    <w:rsid w:val="007C1DA8"/>
    <w:rsid w:val="007C2109"/>
    <w:rsid w:val="007C3517"/>
    <w:rsid w:val="007C3F61"/>
    <w:rsid w:val="007C582F"/>
    <w:rsid w:val="007D062E"/>
    <w:rsid w:val="007D1BAA"/>
    <w:rsid w:val="007D23AA"/>
    <w:rsid w:val="007D2EC6"/>
    <w:rsid w:val="007D348C"/>
    <w:rsid w:val="007D37A2"/>
    <w:rsid w:val="007D4598"/>
    <w:rsid w:val="007D4EF8"/>
    <w:rsid w:val="007D5A2B"/>
    <w:rsid w:val="007D5F87"/>
    <w:rsid w:val="007E0E72"/>
    <w:rsid w:val="007E157B"/>
    <w:rsid w:val="007E1E16"/>
    <w:rsid w:val="007E1F6E"/>
    <w:rsid w:val="007E3033"/>
    <w:rsid w:val="007E3877"/>
    <w:rsid w:val="007E5891"/>
    <w:rsid w:val="007E5D6D"/>
    <w:rsid w:val="007E7413"/>
    <w:rsid w:val="007E7714"/>
    <w:rsid w:val="007F0EFD"/>
    <w:rsid w:val="007F1D1E"/>
    <w:rsid w:val="007F280E"/>
    <w:rsid w:val="007F2E72"/>
    <w:rsid w:val="007F4158"/>
    <w:rsid w:val="007F421B"/>
    <w:rsid w:val="007F50D4"/>
    <w:rsid w:val="007F5127"/>
    <w:rsid w:val="007F6A79"/>
    <w:rsid w:val="007F6C18"/>
    <w:rsid w:val="007F6C7E"/>
    <w:rsid w:val="007F6F15"/>
    <w:rsid w:val="007F7D7B"/>
    <w:rsid w:val="00802ACC"/>
    <w:rsid w:val="008035F1"/>
    <w:rsid w:val="00803DAA"/>
    <w:rsid w:val="008045A9"/>
    <w:rsid w:val="008052BD"/>
    <w:rsid w:val="0080573B"/>
    <w:rsid w:val="00807695"/>
    <w:rsid w:val="00807A48"/>
    <w:rsid w:val="008102C3"/>
    <w:rsid w:val="008129E8"/>
    <w:rsid w:val="00813ED4"/>
    <w:rsid w:val="00814140"/>
    <w:rsid w:val="00814483"/>
    <w:rsid w:val="00814745"/>
    <w:rsid w:val="008148FB"/>
    <w:rsid w:val="0081552A"/>
    <w:rsid w:val="0081709D"/>
    <w:rsid w:val="008231D8"/>
    <w:rsid w:val="008242FA"/>
    <w:rsid w:val="00824892"/>
    <w:rsid w:val="008253C3"/>
    <w:rsid w:val="008260EE"/>
    <w:rsid w:val="00827248"/>
    <w:rsid w:val="008278D2"/>
    <w:rsid w:val="00830A73"/>
    <w:rsid w:val="008312EC"/>
    <w:rsid w:val="008317CC"/>
    <w:rsid w:val="00831DAF"/>
    <w:rsid w:val="008329C7"/>
    <w:rsid w:val="008337CF"/>
    <w:rsid w:val="00833F46"/>
    <w:rsid w:val="00835AF2"/>
    <w:rsid w:val="00836453"/>
    <w:rsid w:val="008400EC"/>
    <w:rsid w:val="00840C4C"/>
    <w:rsid w:val="00841E0A"/>
    <w:rsid w:val="008429EC"/>
    <w:rsid w:val="0084455F"/>
    <w:rsid w:val="0084645E"/>
    <w:rsid w:val="008506A0"/>
    <w:rsid w:val="00850836"/>
    <w:rsid w:val="00850E31"/>
    <w:rsid w:val="00852991"/>
    <w:rsid w:val="008532E5"/>
    <w:rsid w:val="0085345E"/>
    <w:rsid w:val="008534DF"/>
    <w:rsid w:val="008543C8"/>
    <w:rsid w:val="0085757C"/>
    <w:rsid w:val="00857DE3"/>
    <w:rsid w:val="008607F5"/>
    <w:rsid w:val="00860D25"/>
    <w:rsid w:val="00861051"/>
    <w:rsid w:val="00861A98"/>
    <w:rsid w:val="00861F37"/>
    <w:rsid w:val="00862178"/>
    <w:rsid w:val="00862316"/>
    <w:rsid w:val="00863216"/>
    <w:rsid w:val="00863626"/>
    <w:rsid w:val="00863EC6"/>
    <w:rsid w:val="00864EC6"/>
    <w:rsid w:val="00866143"/>
    <w:rsid w:val="00867090"/>
    <w:rsid w:val="008670E1"/>
    <w:rsid w:val="008701FB"/>
    <w:rsid w:val="00870AA6"/>
    <w:rsid w:val="00875D5D"/>
    <w:rsid w:val="008769EC"/>
    <w:rsid w:val="0087737C"/>
    <w:rsid w:val="00881D14"/>
    <w:rsid w:val="0088285F"/>
    <w:rsid w:val="00882C62"/>
    <w:rsid w:val="00883418"/>
    <w:rsid w:val="008857E7"/>
    <w:rsid w:val="00885C70"/>
    <w:rsid w:val="008870FB"/>
    <w:rsid w:val="008873E5"/>
    <w:rsid w:val="00887632"/>
    <w:rsid w:val="00887679"/>
    <w:rsid w:val="00887D17"/>
    <w:rsid w:val="008910A7"/>
    <w:rsid w:val="008922CC"/>
    <w:rsid w:val="00893BFB"/>
    <w:rsid w:val="00894A85"/>
    <w:rsid w:val="00894A9E"/>
    <w:rsid w:val="00894D64"/>
    <w:rsid w:val="0089505C"/>
    <w:rsid w:val="008951A9"/>
    <w:rsid w:val="008955EB"/>
    <w:rsid w:val="00895B7C"/>
    <w:rsid w:val="00896489"/>
    <w:rsid w:val="0089689B"/>
    <w:rsid w:val="00896A85"/>
    <w:rsid w:val="00897336"/>
    <w:rsid w:val="00897C24"/>
    <w:rsid w:val="00897EDD"/>
    <w:rsid w:val="008A0102"/>
    <w:rsid w:val="008A0A9B"/>
    <w:rsid w:val="008A0D43"/>
    <w:rsid w:val="008A4514"/>
    <w:rsid w:val="008A4ED0"/>
    <w:rsid w:val="008A6A46"/>
    <w:rsid w:val="008A7852"/>
    <w:rsid w:val="008A787B"/>
    <w:rsid w:val="008B1971"/>
    <w:rsid w:val="008B2506"/>
    <w:rsid w:val="008B2E56"/>
    <w:rsid w:val="008B35BC"/>
    <w:rsid w:val="008B4FD5"/>
    <w:rsid w:val="008B6D1F"/>
    <w:rsid w:val="008B72A1"/>
    <w:rsid w:val="008B742C"/>
    <w:rsid w:val="008B79E5"/>
    <w:rsid w:val="008C002F"/>
    <w:rsid w:val="008C03BB"/>
    <w:rsid w:val="008C16AA"/>
    <w:rsid w:val="008C25A3"/>
    <w:rsid w:val="008C3D38"/>
    <w:rsid w:val="008C57D4"/>
    <w:rsid w:val="008C5C84"/>
    <w:rsid w:val="008C5E2F"/>
    <w:rsid w:val="008C5E58"/>
    <w:rsid w:val="008C618F"/>
    <w:rsid w:val="008C629D"/>
    <w:rsid w:val="008C727A"/>
    <w:rsid w:val="008D0954"/>
    <w:rsid w:val="008D2111"/>
    <w:rsid w:val="008D3065"/>
    <w:rsid w:val="008D376F"/>
    <w:rsid w:val="008D55A1"/>
    <w:rsid w:val="008D71A8"/>
    <w:rsid w:val="008D71E7"/>
    <w:rsid w:val="008D7407"/>
    <w:rsid w:val="008D79DE"/>
    <w:rsid w:val="008E14AF"/>
    <w:rsid w:val="008E154B"/>
    <w:rsid w:val="008E23D4"/>
    <w:rsid w:val="008E2A63"/>
    <w:rsid w:val="008E2A9C"/>
    <w:rsid w:val="008E3645"/>
    <w:rsid w:val="008E47E4"/>
    <w:rsid w:val="008E52CD"/>
    <w:rsid w:val="008E53E6"/>
    <w:rsid w:val="008E5ABD"/>
    <w:rsid w:val="008E6DC7"/>
    <w:rsid w:val="008E7EF6"/>
    <w:rsid w:val="008F06DE"/>
    <w:rsid w:val="008F0FC8"/>
    <w:rsid w:val="008F1313"/>
    <w:rsid w:val="008F18A3"/>
    <w:rsid w:val="008F2346"/>
    <w:rsid w:val="008F4E1D"/>
    <w:rsid w:val="008F513D"/>
    <w:rsid w:val="008F64F1"/>
    <w:rsid w:val="008F7F36"/>
    <w:rsid w:val="0090003D"/>
    <w:rsid w:val="00901174"/>
    <w:rsid w:val="0090122C"/>
    <w:rsid w:val="009032CE"/>
    <w:rsid w:val="00903B68"/>
    <w:rsid w:val="00905053"/>
    <w:rsid w:val="0090511C"/>
    <w:rsid w:val="0090639E"/>
    <w:rsid w:val="0090690F"/>
    <w:rsid w:val="00906E74"/>
    <w:rsid w:val="0091082B"/>
    <w:rsid w:val="00912A51"/>
    <w:rsid w:val="00912BF2"/>
    <w:rsid w:val="009130A0"/>
    <w:rsid w:val="009140CD"/>
    <w:rsid w:val="00914D4B"/>
    <w:rsid w:val="00916DC6"/>
    <w:rsid w:val="00921054"/>
    <w:rsid w:val="00922981"/>
    <w:rsid w:val="009237D4"/>
    <w:rsid w:val="00924784"/>
    <w:rsid w:val="00924BD6"/>
    <w:rsid w:val="00924FF1"/>
    <w:rsid w:val="00925543"/>
    <w:rsid w:val="00925AAF"/>
    <w:rsid w:val="00926E9A"/>
    <w:rsid w:val="00926F54"/>
    <w:rsid w:val="0092784A"/>
    <w:rsid w:val="00932644"/>
    <w:rsid w:val="009333E2"/>
    <w:rsid w:val="00934DAF"/>
    <w:rsid w:val="00934FB3"/>
    <w:rsid w:val="00935794"/>
    <w:rsid w:val="00935CFB"/>
    <w:rsid w:val="00936658"/>
    <w:rsid w:val="00936B6D"/>
    <w:rsid w:val="009375D6"/>
    <w:rsid w:val="0093781C"/>
    <w:rsid w:val="00942F4E"/>
    <w:rsid w:val="00943441"/>
    <w:rsid w:val="00944B55"/>
    <w:rsid w:val="00946226"/>
    <w:rsid w:val="009465D6"/>
    <w:rsid w:val="00947910"/>
    <w:rsid w:val="00950938"/>
    <w:rsid w:val="009515A0"/>
    <w:rsid w:val="00951D1E"/>
    <w:rsid w:val="0095426B"/>
    <w:rsid w:val="00955E82"/>
    <w:rsid w:val="00956BD8"/>
    <w:rsid w:val="009605F6"/>
    <w:rsid w:val="009614C9"/>
    <w:rsid w:val="0096197F"/>
    <w:rsid w:val="00961D48"/>
    <w:rsid w:val="009645CA"/>
    <w:rsid w:val="00964BA5"/>
    <w:rsid w:val="009676C1"/>
    <w:rsid w:val="009676EE"/>
    <w:rsid w:val="00967850"/>
    <w:rsid w:val="0096790D"/>
    <w:rsid w:val="00967DFF"/>
    <w:rsid w:val="00971F03"/>
    <w:rsid w:val="009720CE"/>
    <w:rsid w:val="00972129"/>
    <w:rsid w:val="00973DAB"/>
    <w:rsid w:val="00976C93"/>
    <w:rsid w:val="00977205"/>
    <w:rsid w:val="00977734"/>
    <w:rsid w:val="00980E16"/>
    <w:rsid w:val="00981FD2"/>
    <w:rsid w:val="00983A89"/>
    <w:rsid w:val="00983E7F"/>
    <w:rsid w:val="009851E9"/>
    <w:rsid w:val="00985A16"/>
    <w:rsid w:val="0098702A"/>
    <w:rsid w:val="009918EB"/>
    <w:rsid w:val="00991D07"/>
    <w:rsid w:val="00993462"/>
    <w:rsid w:val="00993726"/>
    <w:rsid w:val="0099461E"/>
    <w:rsid w:val="00996F9D"/>
    <w:rsid w:val="009970F3"/>
    <w:rsid w:val="0099764D"/>
    <w:rsid w:val="00997E98"/>
    <w:rsid w:val="009A080B"/>
    <w:rsid w:val="009A3201"/>
    <w:rsid w:val="009A3932"/>
    <w:rsid w:val="009A67DC"/>
    <w:rsid w:val="009B09CE"/>
    <w:rsid w:val="009B1E77"/>
    <w:rsid w:val="009B1F5C"/>
    <w:rsid w:val="009B2649"/>
    <w:rsid w:val="009B44F9"/>
    <w:rsid w:val="009B5E0E"/>
    <w:rsid w:val="009B65EB"/>
    <w:rsid w:val="009B671E"/>
    <w:rsid w:val="009B7222"/>
    <w:rsid w:val="009B73F0"/>
    <w:rsid w:val="009B7B5E"/>
    <w:rsid w:val="009C0CE4"/>
    <w:rsid w:val="009C2B16"/>
    <w:rsid w:val="009C3950"/>
    <w:rsid w:val="009C4075"/>
    <w:rsid w:val="009C40BD"/>
    <w:rsid w:val="009C40CD"/>
    <w:rsid w:val="009C5836"/>
    <w:rsid w:val="009C5F8D"/>
    <w:rsid w:val="009C7AF8"/>
    <w:rsid w:val="009D0841"/>
    <w:rsid w:val="009D12A7"/>
    <w:rsid w:val="009D2BEA"/>
    <w:rsid w:val="009D2C18"/>
    <w:rsid w:val="009D384C"/>
    <w:rsid w:val="009D3AE9"/>
    <w:rsid w:val="009D4215"/>
    <w:rsid w:val="009D47AA"/>
    <w:rsid w:val="009D54AD"/>
    <w:rsid w:val="009D6519"/>
    <w:rsid w:val="009D6F71"/>
    <w:rsid w:val="009E1512"/>
    <w:rsid w:val="009E1B01"/>
    <w:rsid w:val="009E2BE0"/>
    <w:rsid w:val="009E4561"/>
    <w:rsid w:val="009E4C8D"/>
    <w:rsid w:val="009E6273"/>
    <w:rsid w:val="009E68E2"/>
    <w:rsid w:val="009E7BF8"/>
    <w:rsid w:val="009E7F93"/>
    <w:rsid w:val="009F043E"/>
    <w:rsid w:val="009F636E"/>
    <w:rsid w:val="009F7754"/>
    <w:rsid w:val="009F7BF8"/>
    <w:rsid w:val="00A004BC"/>
    <w:rsid w:val="00A00B32"/>
    <w:rsid w:val="00A00FA7"/>
    <w:rsid w:val="00A02138"/>
    <w:rsid w:val="00A0361B"/>
    <w:rsid w:val="00A040FB"/>
    <w:rsid w:val="00A041D3"/>
    <w:rsid w:val="00A0594D"/>
    <w:rsid w:val="00A06711"/>
    <w:rsid w:val="00A07883"/>
    <w:rsid w:val="00A1194B"/>
    <w:rsid w:val="00A148BE"/>
    <w:rsid w:val="00A14F47"/>
    <w:rsid w:val="00A15828"/>
    <w:rsid w:val="00A1596A"/>
    <w:rsid w:val="00A15C4F"/>
    <w:rsid w:val="00A16FBC"/>
    <w:rsid w:val="00A1790F"/>
    <w:rsid w:val="00A208F2"/>
    <w:rsid w:val="00A20DAE"/>
    <w:rsid w:val="00A234DC"/>
    <w:rsid w:val="00A2585C"/>
    <w:rsid w:val="00A2604B"/>
    <w:rsid w:val="00A27C20"/>
    <w:rsid w:val="00A31977"/>
    <w:rsid w:val="00A31A57"/>
    <w:rsid w:val="00A31E22"/>
    <w:rsid w:val="00A31FE5"/>
    <w:rsid w:val="00A338D6"/>
    <w:rsid w:val="00A34BD0"/>
    <w:rsid w:val="00A35959"/>
    <w:rsid w:val="00A36CD6"/>
    <w:rsid w:val="00A3701A"/>
    <w:rsid w:val="00A3746E"/>
    <w:rsid w:val="00A40285"/>
    <w:rsid w:val="00A419F6"/>
    <w:rsid w:val="00A4398F"/>
    <w:rsid w:val="00A43D34"/>
    <w:rsid w:val="00A43F3C"/>
    <w:rsid w:val="00A447C4"/>
    <w:rsid w:val="00A465C0"/>
    <w:rsid w:val="00A47CEE"/>
    <w:rsid w:val="00A47ECE"/>
    <w:rsid w:val="00A53F61"/>
    <w:rsid w:val="00A540E6"/>
    <w:rsid w:val="00A54A34"/>
    <w:rsid w:val="00A54E09"/>
    <w:rsid w:val="00A56401"/>
    <w:rsid w:val="00A578F5"/>
    <w:rsid w:val="00A60488"/>
    <w:rsid w:val="00A605CA"/>
    <w:rsid w:val="00A60A76"/>
    <w:rsid w:val="00A61B56"/>
    <w:rsid w:val="00A63617"/>
    <w:rsid w:val="00A6562C"/>
    <w:rsid w:val="00A65D53"/>
    <w:rsid w:val="00A70924"/>
    <w:rsid w:val="00A70F41"/>
    <w:rsid w:val="00A7106B"/>
    <w:rsid w:val="00A720DE"/>
    <w:rsid w:val="00A723BF"/>
    <w:rsid w:val="00A7322E"/>
    <w:rsid w:val="00A733F0"/>
    <w:rsid w:val="00A74DD5"/>
    <w:rsid w:val="00A76CD1"/>
    <w:rsid w:val="00A7752F"/>
    <w:rsid w:val="00A80DAF"/>
    <w:rsid w:val="00A80F13"/>
    <w:rsid w:val="00A81645"/>
    <w:rsid w:val="00A81FE2"/>
    <w:rsid w:val="00A82D5B"/>
    <w:rsid w:val="00A83A31"/>
    <w:rsid w:val="00A83DB0"/>
    <w:rsid w:val="00A8463E"/>
    <w:rsid w:val="00A860CF"/>
    <w:rsid w:val="00A863A8"/>
    <w:rsid w:val="00A8652B"/>
    <w:rsid w:val="00A86BBD"/>
    <w:rsid w:val="00A86DC8"/>
    <w:rsid w:val="00A914DB"/>
    <w:rsid w:val="00A92BB6"/>
    <w:rsid w:val="00A93F81"/>
    <w:rsid w:val="00A96774"/>
    <w:rsid w:val="00A96E1F"/>
    <w:rsid w:val="00A96E4B"/>
    <w:rsid w:val="00A972CB"/>
    <w:rsid w:val="00AA0176"/>
    <w:rsid w:val="00AA0C6E"/>
    <w:rsid w:val="00AA0DEC"/>
    <w:rsid w:val="00AA114D"/>
    <w:rsid w:val="00AA2599"/>
    <w:rsid w:val="00AA4922"/>
    <w:rsid w:val="00AA4DF0"/>
    <w:rsid w:val="00AA5454"/>
    <w:rsid w:val="00AA5C60"/>
    <w:rsid w:val="00AA6001"/>
    <w:rsid w:val="00AA67E0"/>
    <w:rsid w:val="00AA7848"/>
    <w:rsid w:val="00AB1029"/>
    <w:rsid w:val="00AB1062"/>
    <w:rsid w:val="00AB1AFA"/>
    <w:rsid w:val="00AB28E6"/>
    <w:rsid w:val="00AB2955"/>
    <w:rsid w:val="00AB322C"/>
    <w:rsid w:val="00AB4728"/>
    <w:rsid w:val="00AB4C2F"/>
    <w:rsid w:val="00AB4D91"/>
    <w:rsid w:val="00AB6236"/>
    <w:rsid w:val="00AC082C"/>
    <w:rsid w:val="00AC125A"/>
    <w:rsid w:val="00AC42D1"/>
    <w:rsid w:val="00AC42F0"/>
    <w:rsid w:val="00AC4365"/>
    <w:rsid w:val="00AC4621"/>
    <w:rsid w:val="00AC65B2"/>
    <w:rsid w:val="00AC746E"/>
    <w:rsid w:val="00AC76A7"/>
    <w:rsid w:val="00AC77BC"/>
    <w:rsid w:val="00AC7A0C"/>
    <w:rsid w:val="00AD004C"/>
    <w:rsid w:val="00AD041A"/>
    <w:rsid w:val="00AD0BB6"/>
    <w:rsid w:val="00AD112B"/>
    <w:rsid w:val="00AD1CF1"/>
    <w:rsid w:val="00AD49BD"/>
    <w:rsid w:val="00AD4F1C"/>
    <w:rsid w:val="00AD65FB"/>
    <w:rsid w:val="00AD7369"/>
    <w:rsid w:val="00AE08A5"/>
    <w:rsid w:val="00AE0D95"/>
    <w:rsid w:val="00AE3F87"/>
    <w:rsid w:val="00AE59F2"/>
    <w:rsid w:val="00AE76F4"/>
    <w:rsid w:val="00AE7C08"/>
    <w:rsid w:val="00AF0882"/>
    <w:rsid w:val="00AF0E21"/>
    <w:rsid w:val="00AF4063"/>
    <w:rsid w:val="00AF443C"/>
    <w:rsid w:val="00AF5106"/>
    <w:rsid w:val="00AF6B33"/>
    <w:rsid w:val="00AF6B70"/>
    <w:rsid w:val="00AF7529"/>
    <w:rsid w:val="00B00BB3"/>
    <w:rsid w:val="00B01200"/>
    <w:rsid w:val="00B013FF"/>
    <w:rsid w:val="00B01972"/>
    <w:rsid w:val="00B02773"/>
    <w:rsid w:val="00B035A3"/>
    <w:rsid w:val="00B04FC8"/>
    <w:rsid w:val="00B05579"/>
    <w:rsid w:val="00B068AC"/>
    <w:rsid w:val="00B06975"/>
    <w:rsid w:val="00B06E38"/>
    <w:rsid w:val="00B07CA7"/>
    <w:rsid w:val="00B150BA"/>
    <w:rsid w:val="00B1529E"/>
    <w:rsid w:val="00B1583C"/>
    <w:rsid w:val="00B15E2C"/>
    <w:rsid w:val="00B15E73"/>
    <w:rsid w:val="00B20B9F"/>
    <w:rsid w:val="00B20D30"/>
    <w:rsid w:val="00B2154A"/>
    <w:rsid w:val="00B2194F"/>
    <w:rsid w:val="00B21CD7"/>
    <w:rsid w:val="00B22122"/>
    <w:rsid w:val="00B2212E"/>
    <w:rsid w:val="00B2375E"/>
    <w:rsid w:val="00B23A10"/>
    <w:rsid w:val="00B25C1B"/>
    <w:rsid w:val="00B27908"/>
    <w:rsid w:val="00B305A6"/>
    <w:rsid w:val="00B3162E"/>
    <w:rsid w:val="00B32189"/>
    <w:rsid w:val="00B32CB5"/>
    <w:rsid w:val="00B33786"/>
    <w:rsid w:val="00B33C1B"/>
    <w:rsid w:val="00B33FFF"/>
    <w:rsid w:val="00B34414"/>
    <w:rsid w:val="00B3479B"/>
    <w:rsid w:val="00B36CF5"/>
    <w:rsid w:val="00B3791E"/>
    <w:rsid w:val="00B402F7"/>
    <w:rsid w:val="00B413F5"/>
    <w:rsid w:val="00B4292A"/>
    <w:rsid w:val="00B4310D"/>
    <w:rsid w:val="00B45653"/>
    <w:rsid w:val="00B456F8"/>
    <w:rsid w:val="00B47495"/>
    <w:rsid w:val="00B474B5"/>
    <w:rsid w:val="00B47A67"/>
    <w:rsid w:val="00B5036A"/>
    <w:rsid w:val="00B509FC"/>
    <w:rsid w:val="00B523F2"/>
    <w:rsid w:val="00B52A43"/>
    <w:rsid w:val="00B52D6E"/>
    <w:rsid w:val="00B52E90"/>
    <w:rsid w:val="00B54F56"/>
    <w:rsid w:val="00B56460"/>
    <w:rsid w:val="00B57ED2"/>
    <w:rsid w:val="00B60228"/>
    <w:rsid w:val="00B6039A"/>
    <w:rsid w:val="00B65506"/>
    <w:rsid w:val="00B663D1"/>
    <w:rsid w:val="00B67233"/>
    <w:rsid w:val="00B67C10"/>
    <w:rsid w:val="00B67CEF"/>
    <w:rsid w:val="00B702C3"/>
    <w:rsid w:val="00B71222"/>
    <w:rsid w:val="00B71293"/>
    <w:rsid w:val="00B712EA"/>
    <w:rsid w:val="00B71CC1"/>
    <w:rsid w:val="00B72A15"/>
    <w:rsid w:val="00B74AD2"/>
    <w:rsid w:val="00B75B18"/>
    <w:rsid w:val="00B75C08"/>
    <w:rsid w:val="00B76F0C"/>
    <w:rsid w:val="00B76FB9"/>
    <w:rsid w:val="00B7723F"/>
    <w:rsid w:val="00B804FA"/>
    <w:rsid w:val="00B80BD8"/>
    <w:rsid w:val="00B80D14"/>
    <w:rsid w:val="00B814EB"/>
    <w:rsid w:val="00B8159E"/>
    <w:rsid w:val="00B81A48"/>
    <w:rsid w:val="00B81C0F"/>
    <w:rsid w:val="00B82D23"/>
    <w:rsid w:val="00B8415F"/>
    <w:rsid w:val="00B84915"/>
    <w:rsid w:val="00B8545E"/>
    <w:rsid w:val="00B90010"/>
    <w:rsid w:val="00B903A0"/>
    <w:rsid w:val="00B90639"/>
    <w:rsid w:val="00B91A01"/>
    <w:rsid w:val="00B91F71"/>
    <w:rsid w:val="00B921CC"/>
    <w:rsid w:val="00B92B81"/>
    <w:rsid w:val="00B92E7F"/>
    <w:rsid w:val="00B93AFF"/>
    <w:rsid w:val="00B94779"/>
    <w:rsid w:val="00B95B2E"/>
    <w:rsid w:val="00B963FB"/>
    <w:rsid w:val="00B966CF"/>
    <w:rsid w:val="00B9754E"/>
    <w:rsid w:val="00B97F66"/>
    <w:rsid w:val="00BA28E5"/>
    <w:rsid w:val="00BA3684"/>
    <w:rsid w:val="00BA41A7"/>
    <w:rsid w:val="00BB17E3"/>
    <w:rsid w:val="00BB30CB"/>
    <w:rsid w:val="00BB3DDD"/>
    <w:rsid w:val="00BB58AD"/>
    <w:rsid w:val="00BB5EE9"/>
    <w:rsid w:val="00BB6A2A"/>
    <w:rsid w:val="00BB6DF3"/>
    <w:rsid w:val="00BC0B29"/>
    <w:rsid w:val="00BC0F3F"/>
    <w:rsid w:val="00BC1A17"/>
    <w:rsid w:val="00BC1AD5"/>
    <w:rsid w:val="00BC1CA0"/>
    <w:rsid w:val="00BC200C"/>
    <w:rsid w:val="00BC2038"/>
    <w:rsid w:val="00BC293E"/>
    <w:rsid w:val="00BC545B"/>
    <w:rsid w:val="00BC5DDC"/>
    <w:rsid w:val="00BC6749"/>
    <w:rsid w:val="00BC771A"/>
    <w:rsid w:val="00BC771C"/>
    <w:rsid w:val="00BD08B0"/>
    <w:rsid w:val="00BD1B79"/>
    <w:rsid w:val="00BD22CD"/>
    <w:rsid w:val="00BD32AC"/>
    <w:rsid w:val="00BD3A20"/>
    <w:rsid w:val="00BD4DFA"/>
    <w:rsid w:val="00BD579E"/>
    <w:rsid w:val="00BD630D"/>
    <w:rsid w:val="00BD711C"/>
    <w:rsid w:val="00BD745A"/>
    <w:rsid w:val="00BE05E8"/>
    <w:rsid w:val="00BE2AAF"/>
    <w:rsid w:val="00BE2B8A"/>
    <w:rsid w:val="00BE33E9"/>
    <w:rsid w:val="00BE46D8"/>
    <w:rsid w:val="00BE4845"/>
    <w:rsid w:val="00BE63CA"/>
    <w:rsid w:val="00BE6B3E"/>
    <w:rsid w:val="00BF06A1"/>
    <w:rsid w:val="00BF09E8"/>
    <w:rsid w:val="00BF0F6B"/>
    <w:rsid w:val="00BF2656"/>
    <w:rsid w:val="00BF3414"/>
    <w:rsid w:val="00BF380E"/>
    <w:rsid w:val="00BF40B2"/>
    <w:rsid w:val="00BF60F2"/>
    <w:rsid w:val="00C0008E"/>
    <w:rsid w:val="00C02590"/>
    <w:rsid w:val="00C02788"/>
    <w:rsid w:val="00C028DE"/>
    <w:rsid w:val="00C03253"/>
    <w:rsid w:val="00C039D3"/>
    <w:rsid w:val="00C048E6"/>
    <w:rsid w:val="00C11886"/>
    <w:rsid w:val="00C11E7E"/>
    <w:rsid w:val="00C14FC3"/>
    <w:rsid w:val="00C15675"/>
    <w:rsid w:val="00C15BBC"/>
    <w:rsid w:val="00C17003"/>
    <w:rsid w:val="00C1723A"/>
    <w:rsid w:val="00C20642"/>
    <w:rsid w:val="00C210A5"/>
    <w:rsid w:val="00C23104"/>
    <w:rsid w:val="00C245CB"/>
    <w:rsid w:val="00C246C2"/>
    <w:rsid w:val="00C255AD"/>
    <w:rsid w:val="00C26895"/>
    <w:rsid w:val="00C26C64"/>
    <w:rsid w:val="00C26E77"/>
    <w:rsid w:val="00C2736C"/>
    <w:rsid w:val="00C2751A"/>
    <w:rsid w:val="00C27D52"/>
    <w:rsid w:val="00C30969"/>
    <w:rsid w:val="00C322CE"/>
    <w:rsid w:val="00C323E3"/>
    <w:rsid w:val="00C334C8"/>
    <w:rsid w:val="00C33E0B"/>
    <w:rsid w:val="00C33F4B"/>
    <w:rsid w:val="00C33FEA"/>
    <w:rsid w:val="00C356E8"/>
    <w:rsid w:val="00C371D9"/>
    <w:rsid w:val="00C401B9"/>
    <w:rsid w:val="00C40639"/>
    <w:rsid w:val="00C4238B"/>
    <w:rsid w:val="00C439A6"/>
    <w:rsid w:val="00C43B1B"/>
    <w:rsid w:val="00C465BA"/>
    <w:rsid w:val="00C46FBC"/>
    <w:rsid w:val="00C51B1B"/>
    <w:rsid w:val="00C52093"/>
    <w:rsid w:val="00C52A29"/>
    <w:rsid w:val="00C52AA5"/>
    <w:rsid w:val="00C54374"/>
    <w:rsid w:val="00C558A4"/>
    <w:rsid w:val="00C55D78"/>
    <w:rsid w:val="00C57428"/>
    <w:rsid w:val="00C60997"/>
    <w:rsid w:val="00C6132B"/>
    <w:rsid w:val="00C616AB"/>
    <w:rsid w:val="00C6280B"/>
    <w:rsid w:val="00C628DC"/>
    <w:rsid w:val="00C64662"/>
    <w:rsid w:val="00C663C0"/>
    <w:rsid w:val="00C670C9"/>
    <w:rsid w:val="00C6768E"/>
    <w:rsid w:val="00C67DCE"/>
    <w:rsid w:val="00C71201"/>
    <w:rsid w:val="00C731F4"/>
    <w:rsid w:val="00C7364A"/>
    <w:rsid w:val="00C74E0A"/>
    <w:rsid w:val="00C75011"/>
    <w:rsid w:val="00C75200"/>
    <w:rsid w:val="00C75266"/>
    <w:rsid w:val="00C75C91"/>
    <w:rsid w:val="00C76569"/>
    <w:rsid w:val="00C76886"/>
    <w:rsid w:val="00C77354"/>
    <w:rsid w:val="00C77692"/>
    <w:rsid w:val="00C7785F"/>
    <w:rsid w:val="00C81A88"/>
    <w:rsid w:val="00C8275C"/>
    <w:rsid w:val="00C84350"/>
    <w:rsid w:val="00C85087"/>
    <w:rsid w:val="00C8625E"/>
    <w:rsid w:val="00C86360"/>
    <w:rsid w:val="00C871E8"/>
    <w:rsid w:val="00C87B7A"/>
    <w:rsid w:val="00C91298"/>
    <w:rsid w:val="00C9207D"/>
    <w:rsid w:val="00C92143"/>
    <w:rsid w:val="00C92411"/>
    <w:rsid w:val="00C92898"/>
    <w:rsid w:val="00C9424E"/>
    <w:rsid w:val="00C94D6B"/>
    <w:rsid w:val="00C95880"/>
    <w:rsid w:val="00C95CE9"/>
    <w:rsid w:val="00C971CB"/>
    <w:rsid w:val="00CA0715"/>
    <w:rsid w:val="00CA07CD"/>
    <w:rsid w:val="00CA0EE5"/>
    <w:rsid w:val="00CA14F2"/>
    <w:rsid w:val="00CA1795"/>
    <w:rsid w:val="00CA2D34"/>
    <w:rsid w:val="00CA2F67"/>
    <w:rsid w:val="00CA3468"/>
    <w:rsid w:val="00CA4205"/>
    <w:rsid w:val="00CA4470"/>
    <w:rsid w:val="00CA46A4"/>
    <w:rsid w:val="00CA5726"/>
    <w:rsid w:val="00CA7FB5"/>
    <w:rsid w:val="00CB05C0"/>
    <w:rsid w:val="00CB0DE9"/>
    <w:rsid w:val="00CB0FFE"/>
    <w:rsid w:val="00CB1499"/>
    <w:rsid w:val="00CB1682"/>
    <w:rsid w:val="00CB1818"/>
    <w:rsid w:val="00CB1971"/>
    <w:rsid w:val="00CB3FE3"/>
    <w:rsid w:val="00CC02DF"/>
    <w:rsid w:val="00CC0733"/>
    <w:rsid w:val="00CC23F8"/>
    <w:rsid w:val="00CC46AD"/>
    <w:rsid w:val="00CC5072"/>
    <w:rsid w:val="00CC5225"/>
    <w:rsid w:val="00CC57B1"/>
    <w:rsid w:val="00CC63D4"/>
    <w:rsid w:val="00CC7771"/>
    <w:rsid w:val="00CC784E"/>
    <w:rsid w:val="00CC79D7"/>
    <w:rsid w:val="00CC7BEB"/>
    <w:rsid w:val="00CD0A8F"/>
    <w:rsid w:val="00CD22A6"/>
    <w:rsid w:val="00CD2B70"/>
    <w:rsid w:val="00CD30FC"/>
    <w:rsid w:val="00CD3275"/>
    <w:rsid w:val="00CD4AC8"/>
    <w:rsid w:val="00CD5859"/>
    <w:rsid w:val="00CD5B57"/>
    <w:rsid w:val="00CD5FF1"/>
    <w:rsid w:val="00CD657A"/>
    <w:rsid w:val="00CD7EBC"/>
    <w:rsid w:val="00CE02B6"/>
    <w:rsid w:val="00CE036A"/>
    <w:rsid w:val="00CE03E6"/>
    <w:rsid w:val="00CE102D"/>
    <w:rsid w:val="00CE120C"/>
    <w:rsid w:val="00CE5093"/>
    <w:rsid w:val="00CE56E3"/>
    <w:rsid w:val="00CE5B81"/>
    <w:rsid w:val="00CE6ADA"/>
    <w:rsid w:val="00CE74ED"/>
    <w:rsid w:val="00CF093F"/>
    <w:rsid w:val="00CF16DE"/>
    <w:rsid w:val="00CF1BF4"/>
    <w:rsid w:val="00CF1F00"/>
    <w:rsid w:val="00CF3DA4"/>
    <w:rsid w:val="00CF4366"/>
    <w:rsid w:val="00CF460A"/>
    <w:rsid w:val="00CF4F50"/>
    <w:rsid w:val="00CF717B"/>
    <w:rsid w:val="00CF72FE"/>
    <w:rsid w:val="00CF772F"/>
    <w:rsid w:val="00CF7AF0"/>
    <w:rsid w:val="00D006DB"/>
    <w:rsid w:val="00D02892"/>
    <w:rsid w:val="00D02931"/>
    <w:rsid w:val="00D04642"/>
    <w:rsid w:val="00D04E18"/>
    <w:rsid w:val="00D05DAB"/>
    <w:rsid w:val="00D05DE0"/>
    <w:rsid w:val="00D06018"/>
    <w:rsid w:val="00D1028B"/>
    <w:rsid w:val="00D1419F"/>
    <w:rsid w:val="00D149C9"/>
    <w:rsid w:val="00D15D74"/>
    <w:rsid w:val="00D16778"/>
    <w:rsid w:val="00D169C9"/>
    <w:rsid w:val="00D1710F"/>
    <w:rsid w:val="00D1762D"/>
    <w:rsid w:val="00D2022B"/>
    <w:rsid w:val="00D2030D"/>
    <w:rsid w:val="00D2087B"/>
    <w:rsid w:val="00D210A6"/>
    <w:rsid w:val="00D2272C"/>
    <w:rsid w:val="00D23E9A"/>
    <w:rsid w:val="00D24F11"/>
    <w:rsid w:val="00D26380"/>
    <w:rsid w:val="00D26616"/>
    <w:rsid w:val="00D27448"/>
    <w:rsid w:val="00D2792F"/>
    <w:rsid w:val="00D27FD2"/>
    <w:rsid w:val="00D306DD"/>
    <w:rsid w:val="00D30A21"/>
    <w:rsid w:val="00D30B3E"/>
    <w:rsid w:val="00D31DD7"/>
    <w:rsid w:val="00D31FCC"/>
    <w:rsid w:val="00D32E38"/>
    <w:rsid w:val="00D32EF3"/>
    <w:rsid w:val="00D33886"/>
    <w:rsid w:val="00D34841"/>
    <w:rsid w:val="00D34B89"/>
    <w:rsid w:val="00D34F5D"/>
    <w:rsid w:val="00D357B3"/>
    <w:rsid w:val="00D364AA"/>
    <w:rsid w:val="00D37CCF"/>
    <w:rsid w:val="00D401D0"/>
    <w:rsid w:val="00D40E7E"/>
    <w:rsid w:val="00D4125F"/>
    <w:rsid w:val="00D4170D"/>
    <w:rsid w:val="00D41ACC"/>
    <w:rsid w:val="00D41CD5"/>
    <w:rsid w:val="00D42E08"/>
    <w:rsid w:val="00D43603"/>
    <w:rsid w:val="00D4438E"/>
    <w:rsid w:val="00D450B5"/>
    <w:rsid w:val="00D45687"/>
    <w:rsid w:val="00D461A9"/>
    <w:rsid w:val="00D47467"/>
    <w:rsid w:val="00D50BB2"/>
    <w:rsid w:val="00D5153C"/>
    <w:rsid w:val="00D530FF"/>
    <w:rsid w:val="00D545E4"/>
    <w:rsid w:val="00D54658"/>
    <w:rsid w:val="00D55A60"/>
    <w:rsid w:val="00D56291"/>
    <w:rsid w:val="00D5773D"/>
    <w:rsid w:val="00D60854"/>
    <w:rsid w:val="00D61E3D"/>
    <w:rsid w:val="00D620D1"/>
    <w:rsid w:val="00D629CA"/>
    <w:rsid w:val="00D62E2A"/>
    <w:rsid w:val="00D631EA"/>
    <w:rsid w:val="00D63EA7"/>
    <w:rsid w:val="00D6524D"/>
    <w:rsid w:val="00D6778E"/>
    <w:rsid w:val="00D67D6E"/>
    <w:rsid w:val="00D70627"/>
    <w:rsid w:val="00D7212C"/>
    <w:rsid w:val="00D72EFC"/>
    <w:rsid w:val="00D73685"/>
    <w:rsid w:val="00D7403D"/>
    <w:rsid w:val="00D74B0B"/>
    <w:rsid w:val="00D811FD"/>
    <w:rsid w:val="00D812A1"/>
    <w:rsid w:val="00D815AB"/>
    <w:rsid w:val="00D81705"/>
    <w:rsid w:val="00D83BFB"/>
    <w:rsid w:val="00D83EF7"/>
    <w:rsid w:val="00D84AE9"/>
    <w:rsid w:val="00D85A37"/>
    <w:rsid w:val="00D863F3"/>
    <w:rsid w:val="00D868CD"/>
    <w:rsid w:val="00D905C9"/>
    <w:rsid w:val="00D90BF9"/>
    <w:rsid w:val="00D90D33"/>
    <w:rsid w:val="00D914F0"/>
    <w:rsid w:val="00D91F87"/>
    <w:rsid w:val="00D9300B"/>
    <w:rsid w:val="00D949E0"/>
    <w:rsid w:val="00D94BDA"/>
    <w:rsid w:val="00D94E4B"/>
    <w:rsid w:val="00D95952"/>
    <w:rsid w:val="00D96D0C"/>
    <w:rsid w:val="00D97709"/>
    <w:rsid w:val="00DA202E"/>
    <w:rsid w:val="00DA254E"/>
    <w:rsid w:val="00DA2779"/>
    <w:rsid w:val="00DA397B"/>
    <w:rsid w:val="00DA49D0"/>
    <w:rsid w:val="00DA6FAC"/>
    <w:rsid w:val="00DA73E7"/>
    <w:rsid w:val="00DA777A"/>
    <w:rsid w:val="00DB0421"/>
    <w:rsid w:val="00DB0AD3"/>
    <w:rsid w:val="00DB0FB5"/>
    <w:rsid w:val="00DB1719"/>
    <w:rsid w:val="00DB1BBD"/>
    <w:rsid w:val="00DB382D"/>
    <w:rsid w:val="00DB3847"/>
    <w:rsid w:val="00DB3F70"/>
    <w:rsid w:val="00DB457B"/>
    <w:rsid w:val="00DB4DB2"/>
    <w:rsid w:val="00DB5A54"/>
    <w:rsid w:val="00DB5E39"/>
    <w:rsid w:val="00DB6FBB"/>
    <w:rsid w:val="00DB7619"/>
    <w:rsid w:val="00DC0BAA"/>
    <w:rsid w:val="00DC12A2"/>
    <w:rsid w:val="00DC1634"/>
    <w:rsid w:val="00DC4509"/>
    <w:rsid w:val="00DC4E11"/>
    <w:rsid w:val="00DC4E69"/>
    <w:rsid w:val="00DC5605"/>
    <w:rsid w:val="00DC5F85"/>
    <w:rsid w:val="00DC7C0D"/>
    <w:rsid w:val="00DD11C9"/>
    <w:rsid w:val="00DD1BDA"/>
    <w:rsid w:val="00DD1D87"/>
    <w:rsid w:val="00DD2AEE"/>
    <w:rsid w:val="00DD3A16"/>
    <w:rsid w:val="00DD3B57"/>
    <w:rsid w:val="00DD6014"/>
    <w:rsid w:val="00DD63AF"/>
    <w:rsid w:val="00DD68F9"/>
    <w:rsid w:val="00DD7145"/>
    <w:rsid w:val="00DD733D"/>
    <w:rsid w:val="00DD738C"/>
    <w:rsid w:val="00DE02B6"/>
    <w:rsid w:val="00DE0671"/>
    <w:rsid w:val="00DE07CB"/>
    <w:rsid w:val="00DE0901"/>
    <w:rsid w:val="00DE0B5F"/>
    <w:rsid w:val="00DE1041"/>
    <w:rsid w:val="00DE17ED"/>
    <w:rsid w:val="00DE26A0"/>
    <w:rsid w:val="00DE303C"/>
    <w:rsid w:val="00DE5008"/>
    <w:rsid w:val="00DE57E1"/>
    <w:rsid w:val="00DE6880"/>
    <w:rsid w:val="00DF1904"/>
    <w:rsid w:val="00DF23EE"/>
    <w:rsid w:val="00DF29F7"/>
    <w:rsid w:val="00DF34A3"/>
    <w:rsid w:val="00DF34BE"/>
    <w:rsid w:val="00DF4C0F"/>
    <w:rsid w:val="00DF4EBC"/>
    <w:rsid w:val="00DF55A0"/>
    <w:rsid w:val="00DF5606"/>
    <w:rsid w:val="00DF609F"/>
    <w:rsid w:val="00DF63A0"/>
    <w:rsid w:val="00DF691E"/>
    <w:rsid w:val="00DF7D5F"/>
    <w:rsid w:val="00E00323"/>
    <w:rsid w:val="00E00C22"/>
    <w:rsid w:val="00E01437"/>
    <w:rsid w:val="00E018B4"/>
    <w:rsid w:val="00E01920"/>
    <w:rsid w:val="00E02CD9"/>
    <w:rsid w:val="00E04D9A"/>
    <w:rsid w:val="00E07348"/>
    <w:rsid w:val="00E07B26"/>
    <w:rsid w:val="00E07ECB"/>
    <w:rsid w:val="00E1091E"/>
    <w:rsid w:val="00E10C90"/>
    <w:rsid w:val="00E1323B"/>
    <w:rsid w:val="00E14F68"/>
    <w:rsid w:val="00E152DD"/>
    <w:rsid w:val="00E152FD"/>
    <w:rsid w:val="00E16A36"/>
    <w:rsid w:val="00E17C10"/>
    <w:rsid w:val="00E2012F"/>
    <w:rsid w:val="00E20A56"/>
    <w:rsid w:val="00E2124C"/>
    <w:rsid w:val="00E214FC"/>
    <w:rsid w:val="00E2166E"/>
    <w:rsid w:val="00E21769"/>
    <w:rsid w:val="00E21AA7"/>
    <w:rsid w:val="00E228B0"/>
    <w:rsid w:val="00E265F8"/>
    <w:rsid w:val="00E26857"/>
    <w:rsid w:val="00E2708F"/>
    <w:rsid w:val="00E274BB"/>
    <w:rsid w:val="00E3073A"/>
    <w:rsid w:val="00E33C74"/>
    <w:rsid w:val="00E34A8C"/>
    <w:rsid w:val="00E355AD"/>
    <w:rsid w:val="00E36AB8"/>
    <w:rsid w:val="00E37408"/>
    <w:rsid w:val="00E37BA2"/>
    <w:rsid w:val="00E40114"/>
    <w:rsid w:val="00E4045D"/>
    <w:rsid w:val="00E4095A"/>
    <w:rsid w:val="00E41243"/>
    <w:rsid w:val="00E41F2B"/>
    <w:rsid w:val="00E4300C"/>
    <w:rsid w:val="00E434F5"/>
    <w:rsid w:val="00E43764"/>
    <w:rsid w:val="00E44463"/>
    <w:rsid w:val="00E447E7"/>
    <w:rsid w:val="00E46D97"/>
    <w:rsid w:val="00E500DA"/>
    <w:rsid w:val="00E50504"/>
    <w:rsid w:val="00E5078E"/>
    <w:rsid w:val="00E51CAC"/>
    <w:rsid w:val="00E51E7C"/>
    <w:rsid w:val="00E52FB9"/>
    <w:rsid w:val="00E53082"/>
    <w:rsid w:val="00E546FC"/>
    <w:rsid w:val="00E54C28"/>
    <w:rsid w:val="00E554F5"/>
    <w:rsid w:val="00E55CD8"/>
    <w:rsid w:val="00E56970"/>
    <w:rsid w:val="00E575BD"/>
    <w:rsid w:val="00E576C7"/>
    <w:rsid w:val="00E6050B"/>
    <w:rsid w:val="00E6398C"/>
    <w:rsid w:val="00E64A90"/>
    <w:rsid w:val="00E656DA"/>
    <w:rsid w:val="00E65737"/>
    <w:rsid w:val="00E65A6E"/>
    <w:rsid w:val="00E65EC4"/>
    <w:rsid w:val="00E70448"/>
    <w:rsid w:val="00E72975"/>
    <w:rsid w:val="00E75064"/>
    <w:rsid w:val="00E75F2B"/>
    <w:rsid w:val="00E76551"/>
    <w:rsid w:val="00E7768F"/>
    <w:rsid w:val="00E77ADC"/>
    <w:rsid w:val="00E803BC"/>
    <w:rsid w:val="00E81732"/>
    <w:rsid w:val="00E81A6A"/>
    <w:rsid w:val="00E81CB5"/>
    <w:rsid w:val="00E82353"/>
    <w:rsid w:val="00E834EA"/>
    <w:rsid w:val="00E84F38"/>
    <w:rsid w:val="00E854B6"/>
    <w:rsid w:val="00E8688C"/>
    <w:rsid w:val="00E872D7"/>
    <w:rsid w:val="00E8757B"/>
    <w:rsid w:val="00E90096"/>
    <w:rsid w:val="00E901E4"/>
    <w:rsid w:val="00E91033"/>
    <w:rsid w:val="00E91B5B"/>
    <w:rsid w:val="00E924D4"/>
    <w:rsid w:val="00E93834"/>
    <w:rsid w:val="00E94B90"/>
    <w:rsid w:val="00E94D6E"/>
    <w:rsid w:val="00E95020"/>
    <w:rsid w:val="00E960D3"/>
    <w:rsid w:val="00E96E8C"/>
    <w:rsid w:val="00E97279"/>
    <w:rsid w:val="00EA018A"/>
    <w:rsid w:val="00EA1153"/>
    <w:rsid w:val="00EA1168"/>
    <w:rsid w:val="00EA1554"/>
    <w:rsid w:val="00EA1729"/>
    <w:rsid w:val="00EA181B"/>
    <w:rsid w:val="00EA24C4"/>
    <w:rsid w:val="00EA41D8"/>
    <w:rsid w:val="00EA4770"/>
    <w:rsid w:val="00EA56E4"/>
    <w:rsid w:val="00EA764D"/>
    <w:rsid w:val="00EA7E74"/>
    <w:rsid w:val="00EB1EE9"/>
    <w:rsid w:val="00EB1F5B"/>
    <w:rsid w:val="00EB266A"/>
    <w:rsid w:val="00EB4599"/>
    <w:rsid w:val="00EB524E"/>
    <w:rsid w:val="00EB5370"/>
    <w:rsid w:val="00EB70FB"/>
    <w:rsid w:val="00EB7963"/>
    <w:rsid w:val="00EB7BDE"/>
    <w:rsid w:val="00EC0F8F"/>
    <w:rsid w:val="00EC128E"/>
    <w:rsid w:val="00EC139F"/>
    <w:rsid w:val="00EC2BC6"/>
    <w:rsid w:val="00EC304A"/>
    <w:rsid w:val="00EC3348"/>
    <w:rsid w:val="00EC4138"/>
    <w:rsid w:val="00EC4672"/>
    <w:rsid w:val="00EC74A9"/>
    <w:rsid w:val="00EC77E0"/>
    <w:rsid w:val="00ED0129"/>
    <w:rsid w:val="00ED08A9"/>
    <w:rsid w:val="00ED0B4B"/>
    <w:rsid w:val="00ED117A"/>
    <w:rsid w:val="00ED11E8"/>
    <w:rsid w:val="00ED163B"/>
    <w:rsid w:val="00ED18F7"/>
    <w:rsid w:val="00ED21A0"/>
    <w:rsid w:val="00ED2426"/>
    <w:rsid w:val="00ED355A"/>
    <w:rsid w:val="00ED40C1"/>
    <w:rsid w:val="00ED469C"/>
    <w:rsid w:val="00ED74C9"/>
    <w:rsid w:val="00ED7684"/>
    <w:rsid w:val="00EE10C9"/>
    <w:rsid w:val="00EE2416"/>
    <w:rsid w:val="00EE4135"/>
    <w:rsid w:val="00EE4366"/>
    <w:rsid w:val="00EE5336"/>
    <w:rsid w:val="00EE6F80"/>
    <w:rsid w:val="00EE707D"/>
    <w:rsid w:val="00EE7FF7"/>
    <w:rsid w:val="00EF0102"/>
    <w:rsid w:val="00EF2CA2"/>
    <w:rsid w:val="00EF4B23"/>
    <w:rsid w:val="00EF4BE6"/>
    <w:rsid w:val="00EF523E"/>
    <w:rsid w:val="00EF5B08"/>
    <w:rsid w:val="00EF5DCB"/>
    <w:rsid w:val="00EF6C63"/>
    <w:rsid w:val="00EF6D22"/>
    <w:rsid w:val="00EF7E7B"/>
    <w:rsid w:val="00EF7EB6"/>
    <w:rsid w:val="00F04DD5"/>
    <w:rsid w:val="00F057B5"/>
    <w:rsid w:val="00F074E1"/>
    <w:rsid w:val="00F108B2"/>
    <w:rsid w:val="00F116A2"/>
    <w:rsid w:val="00F14A98"/>
    <w:rsid w:val="00F14DA5"/>
    <w:rsid w:val="00F15387"/>
    <w:rsid w:val="00F16E63"/>
    <w:rsid w:val="00F20286"/>
    <w:rsid w:val="00F2084C"/>
    <w:rsid w:val="00F21049"/>
    <w:rsid w:val="00F23149"/>
    <w:rsid w:val="00F2691F"/>
    <w:rsid w:val="00F26C8A"/>
    <w:rsid w:val="00F30BA9"/>
    <w:rsid w:val="00F3470E"/>
    <w:rsid w:val="00F36DED"/>
    <w:rsid w:val="00F3750D"/>
    <w:rsid w:val="00F37922"/>
    <w:rsid w:val="00F41F20"/>
    <w:rsid w:val="00F44A0C"/>
    <w:rsid w:val="00F451F5"/>
    <w:rsid w:val="00F4579D"/>
    <w:rsid w:val="00F45A19"/>
    <w:rsid w:val="00F46132"/>
    <w:rsid w:val="00F462ED"/>
    <w:rsid w:val="00F46323"/>
    <w:rsid w:val="00F4698B"/>
    <w:rsid w:val="00F47EAC"/>
    <w:rsid w:val="00F50196"/>
    <w:rsid w:val="00F51CAA"/>
    <w:rsid w:val="00F521A5"/>
    <w:rsid w:val="00F525D8"/>
    <w:rsid w:val="00F52F3B"/>
    <w:rsid w:val="00F53E08"/>
    <w:rsid w:val="00F54E1D"/>
    <w:rsid w:val="00F55286"/>
    <w:rsid w:val="00F57FBC"/>
    <w:rsid w:val="00F60B4F"/>
    <w:rsid w:val="00F6166B"/>
    <w:rsid w:val="00F620B0"/>
    <w:rsid w:val="00F628FB"/>
    <w:rsid w:val="00F6325D"/>
    <w:rsid w:val="00F63426"/>
    <w:rsid w:val="00F63ACC"/>
    <w:rsid w:val="00F63F9F"/>
    <w:rsid w:val="00F64D61"/>
    <w:rsid w:val="00F65333"/>
    <w:rsid w:val="00F66093"/>
    <w:rsid w:val="00F669C1"/>
    <w:rsid w:val="00F66FE0"/>
    <w:rsid w:val="00F67DCE"/>
    <w:rsid w:val="00F712EA"/>
    <w:rsid w:val="00F74C1D"/>
    <w:rsid w:val="00F766D2"/>
    <w:rsid w:val="00F76B25"/>
    <w:rsid w:val="00F771B5"/>
    <w:rsid w:val="00F77C69"/>
    <w:rsid w:val="00F8018D"/>
    <w:rsid w:val="00F81F1E"/>
    <w:rsid w:val="00F8298D"/>
    <w:rsid w:val="00F83B45"/>
    <w:rsid w:val="00F84F98"/>
    <w:rsid w:val="00F86620"/>
    <w:rsid w:val="00F8766C"/>
    <w:rsid w:val="00F87B50"/>
    <w:rsid w:val="00F90432"/>
    <w:rsid w:val="00F90A82"/>
    <w:rsid w:val="00F911CD"/>
    <w:rsid w:val="00F924B9"/>
    <w:rsid w:val="00F927A5"/>
    <w:rsid w:val="00F93DC1"/>
    <w:rsid w:val="00F944A0"/>
    <w:rsid w:val="00F9501A"/>
    <w:rsid w:val="00F9599B"/>
    <w:rsid w:val="00F959B0"/>
    <w:rsid w:val="00F96E29"/>
    <w:rsid w:val="00FA007C"/>
    <w:rsid w:val="00FA0219"/>
    <w:rsid w:val="00FA2D2D"/>
    <w:rsid w:val="00FA37CA"/>
    <w:rsid w:val="00FA3E0C"/>
    <w:rsid w:val="00FA40D2"/>
    <w:rsid w:val="00FA4283"/>
    <w:rsid w:val="00FA5373"/>
    <w:rsid w:val="00FA5714"/>
    <w:rsid w:val="00FA5BBF"/>
    <w:rsid w:val="00FA6383"/>
    <w:rsid w:val="00FA66B7"/>
    <w:rsid w:val="00FB00B7"/>
    <w:rsid w:val="00FB00C7"/>
    <w:rsid w:val="00FB0463"/>
    <w:rsid w:val="00FB0C91"/>
    <w:rsid w:val="00FB4AD1"/>
    <w:rsid w:val="00FB7141"/>
    <w:rsid w:val="00FB7CD8"/>
    <w:rsid w:val="00FC0DD5"/>
    <w:rsid w:val="00FC11C7"/>
    <w:rsid w:val="00FC2341"/>
    <w:rsid w:val="00FC3BCF"/>
    <w:rsid w:val="00FC6B47"/>
    <w:rsid w:val="00FC716E"/>
    <w:rsid w:val="00FC74D6"/>
    <w:rsid w:val="00FD0C63"/>
    <w:rsid w:val="00FD13E1"/>
    <w:rsid w:val="00FD1994"/>
    <w:rsid w:val="00FD2107"/>
    <w:rsid w:val="00FD29D4"/>
    <w:rsid w:val="00FD2E20"/>
    <w:rsid w:val="00FD4665"/>
    <w:rsid w:val="00FD6E6A"/>
    <w:rsid w:val="00FD6F08"/>
    <w:rsid w:val="00FD6FB1"/>
    <w:rsid w:val="00FD7774"/>
    <w:rsid w:val="00FE07FF"/>
    <w:rsid w:val="00FE117C"/>
    <w:rsid w:val="00FE1231"/>
    <w:rsid w:val="00FE1DFA"/>
    <w:rsid w:val="00FE27CB"/>
    <w:rsid w:val="00FE3FD9"/>
    <w:rsid w:val="00FE417C"/>
    <w:rsid w:val="00FE7BD9"/>
    <w:rsid w:val="00FF0C55"/>
    <w:rsid w:val="00FF102F"/>
    <w:rsid w:val="00FF18BF"/>
    <w:rsid w:val="00FF1E21"/>
    <w:rsid w:val="00FF2345"/>
    <w:rsid w:val="00FF409A"/>
    <w:rsid w:val="00FF4202"/>
    <w:rsid w:val="00FF49F7"/>
    <w:rsid w:val="00FF56B8"/>
    <w:rsid w:val="00FF5FCC"/>
    <w:rsid w:val="00FF64B5"/>
    <w:rsid w:val="00FF6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43DF"/>
  <w15:chartTrackingRefBased/>
  <w15:docId w15:val="{F5C70E6C-1E89-4114-8AC8-725DB46E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504"/>
    <w:pPr>
      <w:ind w:left="720"/>
      <w:contextualSpacing/>
    </w:pPr>
  </w:style>
  <w:style w:type="character" w:styleId="Hyperlink">
    <w:name w:val="Hyperlink"/>
    <w:basedOn w:val="DefaultParagraphFont"/>
    <w:uiPriority w:val="99"/>
    <w:unhideWhenUsed/>
    <w:rsid w:val="00F3470E"/>
    <w:rPr>
      <w:color w:val="0563C1" w:themeColor="hyperlink"/>
      <w:u w:val="single"/>
    </w:rPr>
  </w:style>
  <w:style w:type="paragraph" w:styleId="EndnoteText">
    <w:name w:val="endnote text"/>
    <w:basedOn w:val="Normal"/>
    <w:link w:val="EndnoteTextChar"/>
    <w:uiPriority w:val="99"/>
    <w:unhideWhenUsed/>
    <w:rsid w:val="00E228B0"/>
    <w:pPr>
      <w:spacing w:after="0" w:line="240" w:lineRule="auto"/>
    </w:pPr>
    <w:rPr>
      <w:sz w:val="20"/>
      <w:szCs w:val="20"/>
    </w:rPr>
  </w:style>
  <w:style w:type="character" w:customStyle="1" w:styleId="EndnoteTextChar">
    <w:name w:val="Endnote Text Char"/>
    <w:basedOn w:val="DefaultParagraphFont"/>
    <w:link w:val="EndnoteText"/>
    <w:uiPriority w:val="99"/>
    <w:rsid w:val="00E228B0"/>
    <w:rPr>
      <w:sz w:val="20"/>
      <w:szCs w:val="20"/>
    </w:rPr>
  </w:style>
  <w:style w:type="character" w:styleId="EndnoteReference">
    <w:name w:val="endnote reference"/>
    <w:basedOn w:val="DefaultParagraphFont"/>
    <w:uiPriority w:val="99"/>
    <w:semiHidden/>
    <w:unhideWhenUsed/>
    <w:rsid w:val="00E228B0"/>
    <w:rPr>
      <w:vertAlign w:val="superscript"/>
    </w:rPr>
  </w:style>
  <w:style w:type="character" w:styleId="FollowedHyperlink">
    <w:name w:val="FollowedHyperlink"/>
    <w:basedOn w:val="DefaultParagraphFont"/>
    <w:uiPriority w:val="99"/>
    <w:semiHidden/>
    <w:unhideWhenUsed/>
    <w:rsid w:val="00E01437"/>
    <w:rPr>
      <w:color w:val="954F72" w:themeColor="followedHyperlink"/>
      <w:u w:val="single"/>
    </w:rPr>
  </w:style>
  <w:style w:type="table" w:styleId="TableGrid">
    <w:name w:val="Table Grid"/>
    <w:basedOn w:val="TableNormal"/>
    <w:uiPriority w:val="39"/>
    <w:rsid w:val="0036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D5859"/>
    <w:rPr>
      <w:color w:val="605E5C"/>
      <w:shd w:val="clear" w:color="auto" w:fill="E1DFDD"/>
    </w:rPr>
  </w:style>
  <w:style w:type="character" w:styleId="CommentReference">
    <w:name w:val="annotation reference"/>
    <w:basedOn w:val="DefaultParagraphFont"/>
    <w:uiPriority w:val="99"/>
    <w:semiHidden/>
    <w:unhideWhenUsed/>
    <w:rsid w:val="001675CB"/>
    <w:rPr>
      <w:sz w:val="16"/>
      <w:szCs w:val="16"/>
    </w:rPr>
  </w:style>
  <w:style w:type="paragraph" w:styleId="CommentText">
    <w:name w:val="annotation text"/>
    <w:basedOn w:val="Normal"/>
    <w:link w:val="CommentTextChar"/>
    <w:uiPriority w:val="99"/>
    <w:unhideWhenUsed/>
    <w:rsid w:val="001675CB"/>
    <w:pPr>
      <w:spacing w:line="240" w:lineRule="auto"/>
    </w:pPr>
    <w:rPr>
      <w:sz w:val="20"/>
      <w:szCs w:val="20"/>
    </w:rPr>
  </w:style>
  <w:style w:type="character" w:customStyle="1" w:styleId="CommentTextChar">
    <w:name w:val="Comment Text Char"/>
    <w:basedOn w:val="DefaultParagraphFont"/>
    <w:link w:val="CommentText"/>
    <w:uiPriority w:val="99"/>
    <w:rsid w:val="001675CB"/>
    <w:rPr>
      <w:sz w:val="20"/>
      <w:szCs w:val="20"/>
    </w:rPr>
  </w:style>
  <w:style w:type="paragraph" w:styleId="CommentSubject">
    <w:name w:val="annotation subject"/>
    <w:basedOn w:val="CommentText"/>
    <w:next w:val="CommentText"/>
    <w:link w:val="CommentSubjectChar"/>
    <w:uiPriority w:val="99"/>
    <w:semiHidden/>
    <w:unhideWhenUsed/>
    <w:rsid w:val="001675CB"/>
    <w:rPr>
      <w:b/>
      <w:bCs/>
    </w:rPr>
  </w:style>
  <w:style w:type="character" w:customStyle="1" w:styleId="CommentSubjectChar">
    <w:name w:val="Comment Subject Char"/>
    <w:basedOn w:val="CommentTextChar"/>
    <w:link w:val="CommentSubject"/>
    <w:uiPriority w:val="99"/>
    <w:semiHidden/>
    <w:rsid w:val="001675CB"/>
    <w:rPr>
      <w:b/>
      <w:bCs/>
      <w:sz w:val="20"/>
      <w:szCs w:val="20"/>
    </w:rPr>
  </w:style>
  <w:style w:type="paragraph" w:styleId="BalloonText">
    <w:name w:val="Balloon Text"/>
    <w:basedOn w:val="Normal"/>
    <w:link w:val="BalloonTextChar"/>
    <w:uiPriority w:val="99"/>
    <w:semiHidden/>
    <w:unhideWhenUsed/>
    <w:rsid w:val="0016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CB"/>
    <w:rPr>
      <w:rFonts w:ascii="Segoe UI" w:hAnsi="Segoe UI" w:cs="Segoe UI"/>
      <w:sz w:val="18"/>
      <w:szCs w:val="18"/>
    </w:rPr>
  </w:style>
  <w:style w:type="paragraph" w:styleId="Revision">
    <w:name w:val="Revision"/>
    <w:hidden/>
    <w:uiPriority w:val="99"/>
    <w:semiHidden/>
    <w:rsid w:val="009F043E"/>
    <w:pPr>
      <w:spacing w:after="0" w:line="240" w:lineRule="auto"/>
    </w:pPr>
  </w:style>
  <w:style w:type="paragraph" w:styleId="Header">
    <w:name w:val="header"/>
    <w:basedOn w:val="Normal"/>
    <w:link w:val="HeaderChar"/>
    <w:uiPriority w:val="99"/>
    <w:unhideWhenUsed/>
    <w:rsid w:val="00906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690F"/>
  </w:style>
  <w:style w:type="paragraph" w:styleId="Footer">
    <w:name w:val="footer"/>
    <w:basedOn w:val="Normal"/>
    <w:link w:val="FooterChar"/>
    <w:uiPriority w:val="99"/>
    <w:unhideWhenUsed/>
    <w:rsid w:val="00906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690F"/>
  </w:style>
  <w:style w:type="paragraph" w:styleId="NormalWeb">
    <w:name w:val="Normal (Web)"/>
    <w:basedOn w:val="Normal"/>
    <w:uiPriority w:val="99"/>
    <w:semiHidden/>
    <w:unhideWhenUsed/>
    <w:rsid w:val="005410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E0627"/>
    <w:rPr>
      <w:color w:val="605E5C"/>
      <w:shd w:val="clear" w:color="auto" w:fill="E1DFDD"/>
    </w:rPr>
  </w:style>
  <w:style w:type="character" w:styleId="LineNumber">
    <w:name w:val="line number"/>
    <w:basedOn w:val="DefaultParagraphFont"/>
    <w:uiPriority w:val="99"/>
    <w:semiHidden/>
    <w:unhideWhenUsed/>
    <w:rsid w:val="002B1FCC"/>
  </w:style>
  <w:style w:type="character" w:customStyle="1" w:styleId="UnresolvedMention3">
    <w:name w:val="Unresolved Mention3"/>
    <w:basedOn w:val="DefaultParagraphFont"/>
    <w:uiPriority w:val="99"/>
    <w:semiHidden/>
    <w:unhideWhenUsed/>
    <w:rsid w:val="00FB0C91"/>
    <w:rPr>
      <w:color w:val="605E5C"/>
      <w:shd w:val="clear" w:color="auto" w:fill="E1DFDD"/>
    </w:rPr>
  </w:style>
  <w:style w:type="character" w:customStyle="1" w:styleId="UnresolvedMention4">
    <w:name w:val="Unresolved Mention4"/>
    <w:basedOn w:val="DefaultParagraphFont"/>
    <w:uiPriority w:val="99"/>
    <w:semiHidden/>
    <w:unhideWhenUsed/>
    <w:rsid w:val="00A07883"/>
    <w:rPr>
      <w:color w:val="605E5C"/>
      <w:shd w:val="clear" w:color="auto" w:fill="E1DFDD"/>
    </w:rPr>
  </w:style>
  <w:style w:type="character" w:customStyle="1" w:styleId="UnresolvedMention">
    <w:name w:val="Unresolved Mention"/>
    <w:basedOn w:val="DefaultParagraphFont"/>
    <w:uiPriority w:val="99"/>
    <w:semiHidden/>
    <w:unhideWhenUsed/>
    <w:rsid w:val="0043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7265">
      <w:bodyDiv w:val="1"/>
      <w:marLeft w:val="0"/>
      <w:marRight w:val="0"/>
      <w:marTop w:val="0"/>
      <w:marBottom w:val="0"/>
      <w:divBdr>
        <w:top w:val="none" w:sz="0" w:space="0" w:color="auto"/>
        <w:left w:val="none" w:sz="0" w:space="0" w:color="auto"/>
        <w:bottom w:val="none" w:sz="0" w:space="0" w:color="auto"/>
        <w:right w:val="none" w:sz="0" w:space="0" w:color="auto"/>
      </w:divBdr>
    </w:div>
    <w:div w:id="1432971593">
      <w:bodyDiv w:val="1"/>
      <w:marLeft w:val="0"/>
      <w:marRight w:val="0"/>
      <w:marTop w:val="0"/>
      <w:marBottom w:val="0"/>
      <w:divBdr>
        <w:top w:val="none" w:sz="0" w:space="0" w:color="auto"/>
        <w:left w:val="none" w:sz="0" w:space="0" w:color="auto"/>
        <w:bottom w:val="none" w:sz="0" w:space="0" w:color="auto"/>
        <w:right w:val="none" w:sz="0" w:space="0" w:color="auto"/>
      </w:divBdr>
    </w:div>
    <w:div w:id="17392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ussell@uc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sacn.gov.uk" TargetMode="External"/><Relationship Id="rId2" Type="http://schemas.openxmlformats.org/officeDocument/2006/relationships/hyperlink" Target="https://assets.publishing.service.gov.uk/government/uploads/system/uploads/attachment_data/file/839756/Sugar_reduction_yr2_progress_report.pdf" TargetMode="External"/><Relationship Id="rId1" Type="http://schemas.openxmlformats.org/officeDocument/2006/relationships/hyperlink" Target="https://digital.nhs.uk/data-and-information/publications/statistical/national-child-measurement-programme/2019-20-school-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97CB-5C1A-4B06-B2DF-E4FD4A57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4934</Words>
  <Characters>28128</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Russell</dc:creator>
  <cp:keywords/>
  <dc:description/>
  <cp:lastModifiedBy>Karen Drake</cp:lastModifiedBy>
  <cp:revision>2</cp:revision>
  <cp:lastPrinted>2021-03-26T16:31:00Z</cp:lastPrinted>
  <dcterms:created xsi:type="dcterms:W3CDTF">2021-05-05T12:51:00Z</dcterms:created>
  <dcterms:modified xsi:type="dcterms:W3CDTF">2021-05-05T12:51:00Z</dcterms:modified>
</cp:coreProperties>
</file>