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F585F" w14:textId="77777777" w:rsidR="004604ED" w:rsidRDefault="004604ED" w:rsidP="007C5FA1">
      <w:pPr>
        <w:spacing w:line="360" w:lineRule="auto"/>
        <w:rPr>
          <w:b/>
          <w:bCs/>
        </w:rPr>
      </w:pPr>
      <w:bookmarkStart w:id="0" w:name="_GoBack"/>
      <w:bookmarkEnd w:id="0"/>
    </w:p>
    <w:p w14:paraId="41031B22" w14:textId="4D0F071F" w:rsidR="000568AE" w:rsidRPr="000568AE" w:rsidRDefault="000568AE" w:rsidP="007C5FA1">
      <w:pPr>
        <w:spacing w:line="360" w:lineRule="auto"/>
        <w:rPr>
          <w:sz w:val="24"/>
          <w:szCs w:val="24"/>
        </w:rPr>
      </w:pPr>
      <w:r w:rsidRPr="000568AE">
        <w:rPr>
          <w:sz w:val="24"/>
          <w:szCs w:val="24"/>
        </w:rPr>
        <w:t>EDITORIAL</w:t>
      </w:r>
    </w:p>
    <w:p w14:paraId="3F8DBA6D" w14:textId="165E76E0" w:rsidR="0018186E" w:rsidRPr="00B62EC8" w:rsidRDefault="00A25CFA" w:rsidP="007C5FA1">
      <w:pPr>
        <w:spacing w:line="360" w:lineRule="auto"/>
        <w:rPr>
          <w:b/>
          <w:bCs/>
          <w:sz w:val="32"/>
          <w:szCs w:val="32"/>
        </w:rPr>
      </w:pPr>
      <w:r w:rsidRPr="00B62EC8">
        <w:rPr>
          <w:b/>
          <w:bCs/>
          <w:sz w:val="32"/>
          <w:szCs w:val="32"/>
        </w:rPr>
        <w:t>S</w:t>
      </w:r>
      <w:r w:rsidR="006467A1" w:rsidRPr="00B62EC8">
        <w:rPr>
          <w:b/>
          <w:bCs/>
          <w:sz w:val="32"/>
          <w:szCs w:val="32"/>
        </w:rPr>
        <w:t xml:space="preserve">hort time </w:t>
      </w:r>
      <w:r w:rsidR="0043735A" w:rsidRPr="00B62EC8">
        <w:rPr>
          <w:b/>
          <w:bCs/>
          <w:sz w:val="32"/>
          <w:szCs w:val="32"/>
        </w:rPr>
        <w:t xml:space="preserve">horizons </w:t>
      </w:r>
      <w:r w:rsidR="007F30E2" w:rsidRPr="00B62EC8">
        <w:rPr>
          <w:b/>
          <w:bCs/>
          <w:sz w:val="32"/>
          <w:szCs w:val="32"/>
        </w:rPr>
        <w:t xml:space="preserve">for </w:t>
      </w:r>
      <w:r w:rsidR="007C5FA1" w:rsidRPr="00B62EC8">
        <w:rPr>
          <w:b/>
          <w:bCs/>
          <w:sz w:val="32"/>
          <w:szCs w:val="32"/>
        </w:rPr>
        <w:t xml:space="preserve">fracture </w:t>
      </w:r>
      <w:r w:rsidR="009A709A" w:rsidRPr="00B62EC8">
        <w:rPr>
          <w:b/>
          <w:bCs/>
          <w:sz w:val="32"/>
          <w:szCs w:val="32"/>
        </w:rPr>
        <w:t>prediction tools</w:t>
      </w:r>
      <w:r w:rsidR="000D1F21" w:rsidRPr="00B62EC8">
        <w:rPr>
          <w:b/>
          <w:bCs/>
          <w:sz w:val="32"/>
          <w:szCs w:val="32"/>
        </w:rPr>
        <w:t xml:space="preserve">: </w:t>
      </w:r>
      <w:r w:rsidRPr="00B62EC8">
        <w:rPr>
          <w:b/>
          <w:bCs/>
          <w:sz w:val="32"/>
          <w:szCs w:val="32"/>
        </w:rPr>
        <w:t>time for a rethink</w:t>
      </w:r>
    </w:p>
    <w:p w14:paraId="1186DE3D" w14:textId="77777777" w:rsidR="009C0391" w:rsidRDefault="009C0391" w:rsidP="007C5FA1">
      <w:pPr>
        <w:spacing w:line="360" w:lineRule="auto"/>
        <w:rPr>
          <w:b/>
          <w:bCs/>
          <w:sz w:val="24"/>
          <w:szCs w:val="24"/>
        </w:rPr>
      </w:pPr>
    </w:p>
    <w:p w14:paraId="3AC7B61E" w14:textId="096562AB" w:rsidR="004604ED" w:rsidRPr="00FE4627" w:rsidRDefault="00D35002" w:rsidP="007C5FA1">
      <w:pPr>
        <w:spacing w:line="360" w:lineRule="auto"/>
        <w:rPr>
          <w:b/>
          <w:bCs/>
          <w:sz w:val="24"/>
          <w:szCs w:val="24"/>
        </w:rPr>
      </w:pPr>
      <w:r w:rsidRPr="00FE4627">
        <w:rPr>
          <w:b/>
          <w:bCs/>
          <w:sz w:val="24"/>
          <w:szCs w:val="24"/>
        </w:rPr>
        <w:t xml:space="preserve">Eugene </w:t>
      </w:r>
      <w:r w:rsidR="00770CE0" w:rsidRPr="00FE4627">
        <w:rPr>
          <w:b/>
          <w:bCs/>
          <w:sz w:val="24"/>
          <w:szCs w:val="24"/>
        </w:rPr>
        <w:t xml:space="preserve">V </w:t>
      </w:r>
      <w:r w:rsidRPr="00FE4627">
        <w:rPr>
          <w:b/>
          <w:bCs/>
          <w:sz w:val="24"/>
          <w:szCs w:val="24"/>
        </w:rPr>
        <w:t>McCloskey</w:t>
      </w:r>
      <w:bookmarkStart w:id="1" w:name="_Hlk63161413"/>
      <w:r w:rsidR="00F9193C" w:rsidRPr="00FE4627">
        <w:rPr>
          <w:b/>
          <w:bCs/>
          <w:sz w:val="24"/>
          <w:szCs w:val="24"/>
        </w:rPr>
        <w:t xml:space="preserve"> </w:t>
      </w:r>
      <w:r w:rsidR="00F9193C" w:rsidRPr="00FE4627">
        <w:rPr>
          <w:rFonts w:cstheme="minorHAnsi"/>
          <w:b/>
          <w:bCs/>
          <w:sz w:val="24"/>
          <w:szCs w:val="24"/>
        </w:rPr>
        <w:t xml:space="preserve">∙ </w:t>
      </w:r>
      <w:bookmarkEnd w:id="1"/>
      <w:r w:rsidRPr="00FE4627">
        <w:rPr>
          <w:b/>
          <w:bCs/>
          <w:sz w:val="24"/>
          <w:szCs w:val="24"/>
        </w:rPr>
        <w:t>Fredrik Borgstrom</w:t>
      </w:r>
      <w:r w:rsidR="00F9193C" w:rsidRPr="00FE4627">
        <w:rPr>
          <w:b/>
          <w:bCs/>
          <w:sz w:val="24"/>
          <w:szCs w:val="24"/>
        </w:rPr>
        <w:t xml:space="preserve"> ∙ </w:t>
      </w:r>
      <w:r w:rsidRPr="00FE4627">
        <w:rPr>
          <w:b/>
          <w:bCs/>
          <w:sz w:val="24"/>
          <w:szCs w:val="24"/>
        </w:rPr>
        <w:t>Cyrus Cooper</w:t>
      </w:r>
      <w:r w:rsidR="00F9193C" w:rsidRPr="00FE4627">
        <w:rPr>
          <w:b/>
          <w:bCs/>
          <w:sz w:val="24"/>
          <w:szCs w:val="24"/>
        </w:rPr>
        <w:t xml:space="preserve"> ∙ </w:t>
      </w:r>
      <w:r w:rsidRPr="00FE4627">
        <w:rPr>
          <w:b/>
          <w:bCs/>
          <w:sz w:val="24"/>
          <w:szCs w:val="24"/>
        </w:rPr>
        <w:t>Nicholas C Harvey</w:t>
      </w:r>
      <w:r w:rsidR="00F9193C" w:rsidRPr="00FE4627">
        <w:rPr>
          <w:b/>
          <w:bCs/>
          <w:sz w:val="24"/>
          <w:szCs w:val="24"/>
        </w:rPr>
        <w:t xml:space="preserve"> ∙ </w:t>
      </w:r>
      <w:r w:rsidRPr="00FE4627">
        <w:rPr>
          <w:b/>
          <w:bCs/>
          <w:sz w:val="24"/>
          <w:szCs w:val="24"/>
        </w:rPr>
        <w:t>Mohamed K Javaid</w:t>
      </w:r>
      <w:r w:rsidR="00F9193C" w:rsidRPr="00FE4627">
        <w:rPr>
          <w:b/>
          <w:bCs/>
          <w:sz w:val="24"/>
          <w:szCs w:val="24"/>
        </w:rPr>
        <w:t xml:space="preserve"> ∙ </w:t>
      </w:r>
      <w:r w:rsidRPr="00FE4627">
        <w:rPr>
          <w:b/>
          <w:bCs/>
          <w:sz w:val="24"/>
          <w:szCs w:val="24"/>
        </w:rPr>
        <w:t>Mattias Lorentzon</w:t>
      </w:r>
      <w:bookmarkStart w:id="2" w:name="_Hlk63184891"/>
      <w:r w:rsidR="00F9193C" w:rsidRPr="00FE4627">
        <w:rPr>
          <w:b/>
          <w:bCs/>
          <w:sz w:val="24"/>
          <w:szCs w:val="24"/>
        </w:rPr>
        <w:t xml:space="preserve"> ∙ </w:t>
      </w:r>
      <w:bookmarkEnd w:id="2"/>
      <w:r w:rsidRPr="00FE4627">
        <w:rPr>
          <w:b/>
          <w:bCs/>
          <w:sz w:val="24"/>
          <w:szCs w:val="24"/>
        </w:rPr>
        <w:t>John A Kanis</w:t>
      </w:r>
    </w:p>
    <w:tbl>
      <w:tblPr>
        <w:tblStyle w:val="TableGrid"/>
        <w:tblW w:w="0" w:type="auto"/>
        <w:tblLayout w:type="fixed"/>
        <w:tblLook w:val="04A0" w:firstRow="1" w:lastRow="0" w:firstColumn="1" w:lastColumn="0" w:noHBand="0" w:noVBand="1"/>
      </w:tblPr>
      <w:tblGrid>
        <w:gridCol w:w="1413"/>
        <w:gridCol w:w="4536"/>
        <w:gridCol w:w="3067"/>
      </w:tblGrid>
      <w:tr w:rsidR="00451395" w:rsidRPr="004A4A63" w14:paraId="39877DDD" w14:textId="77777777" w:rsidTr="00C1640E">
        <w:tc>
          <w:tcPr>
            <w:tcW w:w="1413" w:type="dxa"/>
          </w:tcPr>
          <w:p w14:paraId="482985C8" w14:textId="480CCDDC" w:rsidR="00451395" w:rsidRPr="00F60E29" w:rsidRDefault="00451395" w:rsidP="00C1640E">
            <w:pPr>
              <w:spacing w:line="276" w:lineRule="auto"/>
              <w:rPr>
                <w:b/>
                <w:bCs/>
              </w:rPr>
            </w:pPr>
            <w:r w:rsidRPr="00F60E29">
              <w:rPr>
                <w:b/>
                <w:bCs/>
              </w:rPr>
              <w:t>Author</w:t>
            </w:r>
          </w:p>
        </w:tc>
        <w:tc>
          <w:tcPr>
            <w:tcW w:w="4536" w:type="dxa"/>
          </w:tcPr>
          <w:p w14:paraId="7BFE2417" w14:textId="0930ECFF" w:rsidR="00451395" w:rsidRPr="00F60E29" w:rsidRDefault="00451395" w:rsidP="00C1640E">
            <w:pPr>
              <w:spacing w:line="276" w:lineRule="auto"/>
              <w:rPr>
                <w:b/>
                <w:bCs/>
              </w:rPr>
            </w:pPr>
            <w:r w:rsidRPr="00F60E29">
              <w:rPr>
                <w:b/>
                <w:bCs/>
              </w:rPr>
              <w:t>Affiliation</w:t>
            </w:r>
          </w:p>
        </w:tc>
        <w:tc>
          <w:tcPr>
            <w:tcW w:w="3067" w:type="dxa"/>
          </w:tcPr>
          <w:p w14:paraId="5FBB8FC6" w14:textId="018E9F2C" w:rsidR="00451395" w:rsidRPr="00F60E29" w:rsidRDefault="00451395" w:rsidP="00C1640E">
            <w:pPr>
              <w:spacing w:line="276" w:lineRule="auto"/>
              <w:rPr>
                <w:b/>
                <w:bCs/>
              </w:rPr>
            </w:pPr>
            <w:r w:rsidRPr="00F60E29">
              <w:rPr>
                <w:b/>
                <w:bCs/>
              </w:rPr>
              <w:t>Cont</w:t>
            </w:r>
            <w:r w:rsidR="00F60E29" w:rsidRPr="00F60E29">
              <w:rPr>
                <w:b/>
                <w:bCs/>
              </w:rPr>
              <w:t>act</w:t>
            </w:r>
          </w:p>
        </w:tc>
      </w:tr>
      <w:tr w:rsidR="00E767F7" w:rsidRPr="004A4A63" w14:paraId="1DE5AA35" w14:textId="77777777" w:rsidTr="00C1640E">
        <w:tc>
          <w:tcPr>
            <w:tcW w:w="1413" w:type="dxa"/>
            <w:vMerge w:val="restart"/>
          </w:tcPr>
          <w:p w14:paraId="6684A0C5" w14:textId="20436856" w:rsidR="00E767F7" w:rsidRPr="004A4A63" w:rsidRDefault="00E767F7" w:rsidP="00C1640E">
            <w:pPr>
              <w:spacing w:line="276" w:lineRule="auto"/>
              <w:rPr>
                <w:sz w:val="20"/>
                <w:szCs w:val="20"/>
              </w:rPr>
            </w:pPr>
            <w:r w:rsidRPr="00FB2680">
              <w:t>Eugene V McCloskey</w:t>
            </w:r>
          </w:p>
        </w:tc>
        <w:tc>
          <w:tcPr>
            <w:tcW w:w="4536" w:type="dxa"/>
          </w:tcPr>
          <w:p w14:paraId="0918A553" w14:textId="550672A6" w:rsidR="00E767F7" w:rsidRPr="004A4A63" w:rsidRDefault="00E767F7" w:rsidP="00C1640E">
            <w:pPr>
              <w:spacing w:line="276" w:lineRule="auto"/>
              <w:rPr>
                <w:sz w:val="20"/>
                <w:szCs w:val="20"/>
              </w:rPr>
            </w:pPr>
            <w:r w:rsidRPr="00FB2680">
              <w:t>Centre for Metabolic Bone Diseases, University of Sheffield, Sheffield, UK</w:t>
            </w:r>
          </w:p>
        </w:tc>
        <w:tc>
          <w:tcPr>
            <w:tcW w:w="3067" w:type="dxa"/>
            <w:vMerge w:val="restart"/>
          </w:tcPr>
          <w:p w14:paraId="118B0904" w14:textId="2434CA43" w:rsidR="00E767F7" w:rsidRPr="004A4A63" w:rsidRDefault="00E767F7" w:rsidP="00C1640E">
            <w:pPr>
              <w:spacing w:line="276" w:lineRule="auto"/>
              <w:rPr>
                <w:sz w:val="20"/>
                <w:szCs w:val="20"/>
              </w:rPr>
            </w:pPr>
            <w:r w:rsidRPr="00FB2680">
              <w:t>e.v.mccloskey@sheffield.ac.uk</w:t>
            </w:r>
          </w:p>
        </w:tc>
      </w:tr>
      <w:tr w:rsidR="00E767F7" w:rsidRPr="004A4A63" w14:paraId="0FF4C373" w14:textId="77777777" w:rsidTr="00C1640E">
        <w:tc>
          <w:tcPr>
            <w:tcW w:w="1413" w:type="dxa"/>
            <w:vMerge/>
          </w:tcPr>
          <w:p w14:paraId="746BB2FD" w14:textId="77777777" w:rsidR="00E767F7" w:rsidRPr="004A4A63" w:rsidRDefault="00E767F7" w:rsidP="00C1640E">
            <w:pPr>
              <w:spacing w:line="276" w:lineRule="auto"/>
              <w:rPr>
                <w:sz w:val="20"/>
                <w:szCs w:val="20"/>
              </w:rPr>
            </w:pPr>
          </w:p>
        </w:tc>
        <w:tc>
          <w:tcPr>
            <w:tcW w:w="4536" w:type="dxa"/>
          </w:tcPr>
          <w:p w14:paraId="62BE8C9E" w14:textId="784DD38E" w:rsidR="00E767F7" w:rsidRPr="004A4A63" w:rsidRDefault="00E767F7" w:rsidP="00C1640E">
            <w:pPr>
              <w:spacing w:line="276" w:lineRule="auto"/>
              <w:rPr>
                <w:sz w:val="20"/>
                <w:szCs w:val="20"/>
              </w:rPr>
            </w:pPr>
            <w:r w:rsidRPr="00FB2680">
              <w:t xml:space="preserve">MRC Versus Arthritis Centre for Integrated </w:t>
            </w:r>
            <w:r w:rsidR="004D2D3D">
              <w:t>r</w:t>
            </w:r>
            <w:r w:rsidRPr="00FB2680">
              <w:t xml:space="preserve">esearch in Musculoskeletal Ageing, Mellanby Centre for </w:t>
            </w:r>
            <w:r w:rsidR="00673D8F" w:rsidRPr="00673D8F">
              <w:t>Musculoskeletal</w:t>
            </w:r>
            <w:r w:rsidRPr="00FB2680">
              <w:t xml:space="preserve"> Research, University of Sheffield, Sheffield, UK</w:t>
            </w:r>
          </w:p>
        </w:tc>
        <w:tc>
          <w:tcPr>
            <w:tcW w:w="3067" w:type="dxa"/>
            <w:vMerge/>
          </w:tcPr>
          <w:p w14:paraId="43257B37" w14:textId="77777777" w:rsidR="00E767F7" w:rsidRPr="008974E2" w:rsidRDefault="00E767F7" w:rsidP="00C1640E">
            <w:pPr>
              <w:spacing w:line="276" w:lineRule="auto"/>
              <w:rPr>
                <w:sz w:val="20"/>
                <w:szCs w:val="20"/>
              </w:rPr>
            </w:pPr>
          </w:p>
        </w:tc>
      </w:tr>
      <w:tr w:rsidR="00E767F7" w:rsidRPr="004A4A63" w14:paraId="4EC7C78E" w14:textId="77777777" w:rsidTr="00C1640E">
        <w:tc>
          <w:tcPr>
            <w:tcW w:w="1413" w:type="dxa"/>
            <w:vMerge w:val="restart"/>
          </w:tcPr>
          <w:p w14:paraId="0EBF7F3C" w14:textId="0370C859" w:rsidR="00E767F7" w:rsidRPr="004A4A63" w:rsidRDefault="00E767F7" w:rsidP="00C1640E">
            <w:pPr>
              <w:spacing w:line="276" w:lineRule="auto"/>
              <w:rPr>
                <w:sz w:val="20"/>
                <w:szCs w:val="20"/>
              </w:rPr>
            </w:pPr>
            <w:r w:rsidRPr="00060A08">
              <w:t>Fredrik Borgström</w:t>
            </w:r>
          </w:p>
        </w:tc>
        <w:tc>
          <w:tcPr>
            <w:tcW w:w="4536" w:type="dxa"/>
          </w:tcPr>
          <w:p w14:paraId="6380DB50" w14:textId="18C29FD4" w:rsidR="00E767F7" w:rsidRPr="004A4A63" w:rsidRDefault="00E767F7" w:rsidP="00C1640E">
            <w:pPr>
              <w:spacing w:line="276" w:lineRule="auto"/>
              <w:rPr>
                <w:sz w:val="20"/>
                <w:szCs w:val="20"/>
              </w:rPr>
            </w:pPr>
            <w:r w:rsidRPr="00060A08">
              <w:t>Quantify Research, Stockholm, Sweden</w:t>
            </w:r>
          </w:p>
        </w:tc>
        <w:tc>
          <w:tcPr>
            <w:tcW w:w="3067" w:type="dxa"/>
            <w:vMerge w:val="restart"/>
          </w:tcPr>
          <w:p w14:paraId="616A86F1" w14:textId="7D7A42E8" w:rsidR="00E767F7" w:rsidRPr="004A4A63" w:rsidRDefault="00E767F7" w:rsidP="00C1640E">
            <w:pPr>
              <w:spacing w:line="276" w:lineRule="auto"/>
              <w:rPr>
                <w:sz w:val="20"/>
                <w:szCs w:val="20"/>
              </w:rPr>
            </w:pPr>
            <w:r w:rsidRPr="00060A08">
              <w:t>fredrik.borgstrom@quantifyresearch.com</w:t>
            </w:r>
          </w:p>
        </w:tc>
      </w:tr>
      <w:tr w:rsidR="00E767F7" w:rsidRPr="004A4A63" w14:paraId="424B3C74" w14:textId="77777777" w:rsidTr="00C1640E">
        <w:tc>
          <w:tcPr>
            <w:tcW w:w="1413" w:type="dxa"/>
            <w:vMerge/>
          </w:tcPr>
          <w:p w14:paraId="522C48BE" w14:textId="77777777" w:rsidR="00E767F7" w:rsidRPr="004A4A63" w:rsidRDefault="00E767F7" w:rsidP="00C1640E">
            <w:pPr>
              <w:spacing w:line="276" w:lineRule="auto"/>
              <w:rPr>
                <w:sz w:val="20"/>
                <w:szCs w:val="20"/>
              </w:rPr>
            </w:pPr>
          </w:p>
        </w:tc>
        <w:tc>
          <w:tcPr>
            <w:tcW w:w="4536" w:type="dxa"/>
          </w:tcPr>
          <w:p w14:paraId="07EF9012" w14:textId="5665B5A4" w:rsidR="00E767F7" w:rsidRPr="004A4A63" w:rsidRDefault="00E767F7" w:rsidP="00C1640E">
            <w:pPr>
              <w:spacing w:line="276" w:lineRule="auto"/>
              <w:rPr>
                <w:sz w:val="20"/>
                <w:szCs w:val="20"/>
              </w:rPr>
            </w:pPr>
            <w:r w:rsidRPr="00060A08">
              <w:t>Department of Learning, Informatics, Management and Ethics (LIME), Karolinska Institutet, Stockholm, Sweden</w:t>
            </w:r>
          </w:p>
        </w:tc>
        <w:tc>
          <w:tcPr>
            <w:tcW w:w="3067" w:type="dxa"/>
            <w:vMerge/>
          </w:tcPr>
          <w:p w14:paraId="0C76BD5C" w14:textId="77777777" w:rsidR="00E767F7" w:rsidRPr="004A4A63" w:rsidRDefault="00E767F7" w:rsidP="00C1640E">
            <w:pPr>
              <w:spacing w:line="276" w:lineRule="auto"/>
              <w:rPr>
                <w:sz w:val="20"/>
                <w:szCs w:val="20"/>
              </w:rPr>
            </w:pPr>
          </w:p>
        </w:tc>
      </w:tr>
      <w:tr w:rsidR="00E767F7" w:rsidRPr="004A4A63" w14:paraId="51DD319A" w14:textId="77777777" w:rsidTr="00C1640E">
        <w:tc>
          <w:tcPr>
            <w:tcW w:w="1413" w:type="dxa"/>
            <w:vMerge w:val="restart"/>
          </w:tcPr>
          <w:p w14:paraId="613F8407" w14:textId="654F8677" w:rsidR="00E767F7" w:rsidRPr="004A4A63" w:rsidRDefault="00E767F7" w:rsidP="00C1640E">
            <w:pPr>
              <w:spacing w:line="276" w:lineRule="auto"/>
              <w:rPr>
                <w:sz w:val="20"/>
                <w:szCs w:val="20"/>
              </w:rPr>
            </w:pPr>
            <w:r w:rsidRPr="00E230FF">
              <w:t>Cyrus Cooper</w:t>
            </w:r>
          </w:p>
        </w:tc>
        <w:tc>
          <w:tcPr>
            <w:tcW w:w="4536" w:type="dxa"/>
          </w:tcPr>
          <w:p w14:paraId="36E6628A" w14:textId="77777777" w:rsidR="00E767F7" w:rsidRDefault="00E767F7" w:rsidP="00C1640E">
            <w:pPr>
              <w:spacing w:line="276" w:lineRule="auto"/>
            </w:pPr>
            <w:r>
              <w:t>MRC Lifecourse Epidemiology Unit, University of Southampton,</w:t>
            </w:r>
          </w:p>
          <w:p w14:paraId="5CB8DA88" w14:textId="3F5F23C5" w:rsidR="00E767F7" w:rsidRPr="004A4A63" w:rsidRDefault="00E767F7" w:rsidP="00C1640E">
            <w:pPr>
              <w:spacing w:line="276" w:lineRule="auto"/>
              <w:rPr>
                <w:sz w:val="20"/>
                <w:szCs w:val="20"/>
              </w:rPr>
            </w:pPr>
            <w:r>
              <w:t>Southampton, UK</w:t>
            </w:r>
          </w:p>
        </w:tc>
        <w:tc>
          <w:tcPr>
            <w:tcW w:w="3067" w:type="dxa"/>
            <w:vMerge w:val="restart"/>
          </w:tcPr>
          <w:p w14:paraId="3AA47304" w14:textId="3FEC1C06" w:rsidR="00E767F7" w:rsidRPr="004A4A63" w:rsidRDefault="00670B7E" w:rsidP="00C1640E">
            <w:pPr>
              <w:spacing w:line="276" w:lineRule="auto"/>
              <w:rPr>
                <w:sz w:val="20"/>
                <w:szCs w:val="20"/>
              </w:rPr>
            </w:pPr>
            <w:hyperlink r:id="rId7" w:history="1">
              <w:r w:rsidR="00E767F7" w:rsidRPr="00A2708E">
                <w:rPr>
                  <w:rStyle w:val="Hyperlink"/>
                </w:rPr>
                <w:t>cc@mrc.soton.ac.uk</w:t>
              </w:r>
            </w:hyperlink>
            <w:r w:rsidR="00E767F7">
              <w:t xml:space="preserve"> </w:t>
            </w:r>
          </w:p>
        </w:tc>
      </w:tr>
      <w:tr w:rsidR="00E767F7" w:rsidRPr="004A4A63" w14:paraId="52992AA3" w14:textId="77777777" w:rsidTr="00C1640E">
        <w:tc>
          <w:tcPr>
            <w:tcW w:w="1413" w:type="dxa"/>
            <w:vMerge/>
          </w:tcPr>
          <w:p w14:paraId="11485331" w14:textId="77777777" w:rsidR="00E767F7" w:rsidRPr="00E230FF" w:rsidRDefault="00E767F7" w:rsidP="00C1640E">
            <w:pPr>
              <w:spacing w:line="276" w:lineRule="auto"/>
            </w:pPr>
          </w:p>
        </w:tc>
        <w:tc>
          <w:tcPr>
            <w:tcW w:w="4536" w:type="dxa"/>
          </w:tcPr>
          <w:p w14:paraId="5A820629" w14:textId="77777777" w:rsidR="00E767F7" w:rsidRDefault="00E767F7" w:rsidP="00C1640E">
            <w:pPr>
              <w:spacing w:line="276" w:lineRule="auto"/>
            </w:pPr>
            <w:r>
              <w:t>NIHR Musculoskeletal Biomedical Research Unit, University of</w:t>
            </w:r>
          </w:p>
          <w:p w14:paraId="1EAC32F4" w14:textId="49334B87" w:rsidR="00E767F7" w:rsidRDefault="00E767F7" w:rsidP="00C1640E">
            <w:pPr>
              <w:spacing w:line="276" w:lineRule="auto"/>
            </w:pPr>
            <w:r>
              <w:t>Oxford, Oxford, UK</w:t>
            </w:r>
          </w:p>
        </w:tc>
        <w:tc>
          <w:tcPr>
            <w:tcW w:w="3067" w:type="dxa"/>
            <w:vMerge/>
          </w:tcPr>
          <w:p w14:paraId="4F2B7E4D" w14:textId="77777777" w:rsidR="00E767F7" w:rsidRDefault="00E767F7" w:rsidP="00C1640E">
            <w:pPr>
              <w:spacing w:line="276" w:lineRule="auto"/>
            </w:pPr>
          </w:p>
        </w:tc>
      </w:tr>
      <w:tr w:rsidR="00E767F7" w:rsidRPr="004A4A63" w14:paraId="6E637C1F" w14:textId="77777777" w:rsidTr="00C1640E">
        <w:tc>
          <w:tcPr>
            <w:tcW w:w="1413" w:type="dxa"/>
            <w:vMerge w:val="restart"/>
            <w:shd w:val="clear" w:color="auto" w:fill="auto"/>
          </w:tcPr>
          <w:p w14:paraId="2DC4AFEC" w14:textId="41975935" w:rsidR="00E767F7" w:rsidRPr="004A4A63" w:rsidRDefault="00E767F7" w:rsidP="00C1640E">
            <w:pPr>
              <w:spacing w:line="276" w:lineRule="auto"/>
              <w:rPr>
                <w:sz w:val="20"/>
                <w:szCs w:val="20"/>
              </w:rPr>
            </w:pPr>
            <w:r w:rsidRPr="00956B8A">
              <w:rPr>
                <w:rFonts w:ascii="Calibri" w:hAnsi="Calibri"/>
                <w:sz w:val="20"/>
                <w:szCs w:val="20"/>
                <w:lang w:val="en-US"/>
              </w:rPr>
              <w:t>Nicholas C Harvey</w:t>
            </w:r>
          </w:p>
        </w:tc>
        <w:tc>
          <w:tcPr>
            <w:tcW w:w="4536" w:type="dxa"/>
            <w:shd w:val="clear" w:color="auto" w:fill="auto"/>
          </w:tcPr>
          <w:p w14:paraId="6D9DB571" w14:textId="66460F62" w:rsidR="00E767F7" w:rsidRPr="004A4A63" w:rsidRDefault="00E767F7" w:rsidP="00C1640E">
            <w:pPr>
              <w:spacing w:line="276" w:lineRule="auto"/>
              <w:rPr>
                <w:sz w:val="20"/>
                <w:szCs w:val="20"/>
              </w:rPr>
            </w:pPr>
            <w:r w:rsidRPr="00956B8A">
              <w:rPr>
                <w:rFonts w:ascii="Calibri" w:hAnsi="Calibri" w:cs="Calibri"/>
                <w:sz w:val="20"/>
                <w:szCs w:val="20"/>
              </w:rPr>
              <w:t xml:space="preserve">MRC Lifecourse Epidemiology Unit, University of Southampton, Southampton, UK </w:t>
            </w:r>
          </w:p>
        </w:tc>
        <w:tc>
          <w:tcPr>
            <w:tcW w:w="3067" w:type="dxa"/>
            <w:vMerge w:val="restart"/>
            <w:shd w:val="clear" w:color="auto" w:fill="auto"/>
          </w:tcPr>
          <w:p w14:paraId="56469F8B" w14:textId="43273A1A" w:rsidR="00E767F7" w:rsidRPr="004A4A63" w:rsidRDefault="00E767F7" w:rsidP="00C1640E">
            <w:pPr>
              <w:spacing w:line="276" w:lineRule="auto"/>
              <w:rPr>
                <w:sz w:val="20"/>
                <w:szCs w:val="20"/>
              </w:rPr>
            </w:pPr>
            <w:r w:rsidRPr="00956B8A">
              <w:rPr>
                <w:rFonts w:ascii="Calibri" w:hAnsi="Calibri"/>
                <w:sz w:val="20"/>
                <w:szCs w:val="20"/>
                <w:lang w:val="en-US"/>
              </w:rPr>
              <w:t>nch@mrc.soton.ac.uk</w:t>
            </w:r>
          </w:p>
        </w:tc>
      </w:tr>
      <w:tr w:rsidR="00E767F7" w:rsidRPr="004A4A63" w14:paraId="2B2AB69E" w14:textId="77777777" w:rsidTr="00C1640E">
        <w:tc>
          <w:tcPr>
            <w:tcW w:w="1413" w:type="dxa"/>
            <w:vMerge/>
            <w:shd w:val="clear" w:color="auto" w:fill="auto"/>
          </w:tcPr>
          <w:p w14:paraId="69D4BCA6" w14:textId="77777777" w:rsidR="00E767F7" w:rsidRPr="004A4A63" w:rsidRDefault="00E767F7" w:rsidP="00C1640E">
            <w:pPr>
              <w:spacing w:line="276" w:lineRule="auto"/>
              <w:rPr>
                <w:sz w:val="20"/>
                <w:szCs w:val="20"/>
              </w:rPr>
            </w:pPr>
          </w:p>
        </w:tc>
        <w:tc>
          <w:tcPr>
            <w:tcW w:w="4536" w:type="dxa"/>
            <w:shd w:val="clear" w:color="auto" w:fill="auto"/>
          </w:tcPr>
          <w:p w14:paraId="21562CBC" w14:textId="52ECBEDA" w:rsidR="00E767F7" w:rsidRPr="004A4A63" w:rsidRDefault="00E767F7" w:rsidP="00C1640E">
            <w:pPr>
              <w:spacing w:line="276" w:lineRule="auto"/>
              <w:rPr>
                <w:sz w:val="20"/>
                <w:szCs w:val="20"/>
              </w:rPr>
            </w:pPr>
            <w:r w:rsidRPr="00956B8A">
              <w:rPr>
                <w:rFonts w:ascii="Calibri" w:hAnsi="Calibri" w:cs="Calibri"/>
                <w:sz w:val="20"/>
                <w:szCs w:val="20"/>
              </w:rPr>
              <w:t>NIHR Southampton Biomedical Research Centre, University of Southampton and University Hospital Southampton NHS Foundation Trust, Southampton, UK</w:t>
            </w:r>
          </w:p>
        </w:tc>
        <w:tc>
          <w:tcPr>
            <w:tcW w:w="3067" w:type="dxa"/>
            <w:vMerge/>
            <w:shd w:val="clear" w:color="auto" w:fill="auto"/>
          </w:tcPr>
          <w:p w14:paraId="01FEE884" w14:textId="77777777" w:rsidR="00E767F7" w:rsidRPr="00A67567" w:rsidRDefault="00E767F7" w:rsidP="00C1640E">
            <w:pPr>
              <w:spacing w:line="276" w:lineRule="auto"/>
              <w:rPr>
                <w:sz w:val="20"/>
                <w:szCs w:val="20"/>
              </w:rPr>
            </w:pPr>
          </w:p>
        </w:tc>
      </w:tr>
      <w:tr w:rsidR="00945B4D" w:rsidRPr="004A4A63" w14:paraId="3EE648B2" w14:textId="77777777" w:rsidTr="00C1640E">
        <w:tc>
          <w:tcPr>
            <w:tcW w:w="1413" w:type="dxa"/>
          </w:tcPr>
          <w:p w14:paraId="799DAF4A" w14:textId="5809D0F2" w:rsidR="00945B4D" w:rsidRPr="004A4A63" w:rsidRDefault="00945B4D" w:rsidP="00C1640E">
            <w:pPr>
              <w:spacing w:line="276" w:lineRule="auto"/>
              <w:rPr>
                <w:sz w:val="20"/>
                <w:szCs w:val="20"/>
              </w:rPr>
            </w:pPr>
            <w:r w:rsidRPr="004A4A63">
              <w:rPr>
                <w:sz w:val="20"/>
                <w:szCs w:val="20"/>
              </w:rPr>
              <w:t>Mohamed K Javaid</w:t>
            </w:r>
          </w:p>
        </w:tc>
        <w:tc>
          <w:tcPr>
            <w:tcW w:w="4536" w:type="dxa"/>
          </w:tcPr>
          <w:p w14:paraId="315A97CE" w14:textId="5E7305CE" w:rsidR="00945B4D" w:rsidRPr="004A4A63" w:rsidRDefault="00A32DD7" w:rsidP="00C1640E">
            <w:pPr>
              <w:spacing w:line="276" w:lineRule="auto"/>
              <w:rPr>
                <w:sz w:val="20"/>
                <w:szCs w:val="20"/>
              </w:rPr>
            </w:pPr>
            <w:r w:rsidRPr="00A32DD7">
              <w:rPr>
                <w:sz w:val="20"/>
                <w:szCs w:val="20"/>
              </w:rPr>
              <w:t>Nuffield Department of Orthopaedics, Rheumatology and Musculoskeletal Sciences, University of Oxford, Oxford, UK.</w:t>
            </w:r>
          </w:p>
        </w:tc>
        <w:tc>
          <w:tcPr>
            <w:tcW w:w="3067" w:type="dxa"/>
          </w:tcPr>
          <w:p w14:paraId="7B7E7F4B" w14:textId="3E58B6DA" w:rsidR="00945B4D" w:rsidRPr="004A4A63" w:rsidRDefault="002E7427" w:rsidP="00C1640E">
            <w:pPr>
              <w:spacing w:line="276" w:lineRule="auto"/>
              <w:rPr>
                <w:sz w:val="20"/>
                <w:szCs w:val="20"/>
              </w:rPr>
            </w:pPr>
            <w:r w:rsidRPr="002E7427">
              <w:rPr>
                <w:sz w:val="20"/>
                <w:szCs w:val="20"/>
              </w:rPr>
              <w:t>kassim.javaid@ndorms.ox.ac.uk</w:t>
            </w:r>
          </w:p>
        </w:tc>
      </w:tr>
      <w:tr w:rsidR="00833083" w:rsidRPr="004A4A63" w14:paraId="0C854219" w14:textId="77777777" w:rsidTr="00C1640E">
        <w:tc>
          <w:tcPr>
            <w:tcW w:w="1413" w:type="dxa"/>
            <w:vMerge w:val="restart"/>
            <w:shd w:val="clear" w:color="auto" w:fill="auto"/>
          </w:tcPr>
          <w:p w14:paraId="237FB699" w14:textId="4E572BE8" w:rsidR="00833083" w:rsidRPr="004A4A63" w:rsidRDefault="00833083" w:rsidP="00C1640E">
            <w:pPr>
              <w:spacing w:line="276" w:lineRule="auto"/>
              <w:rPr>
                <w:sz w:val="20"/>
                <w:szCs w:val="20"/>
              </w:rPr>
            </w:pPr>
            <w:r w:rsidRPr="00956B8A">
              <w:rPr>
                <w:rFonts w:ascii="Calibri" w:hAnsi="Calibri"/>
                <w:sz w:val="20"/>
                <w:szCs w:val="20"/>
                <w:lang w:val="en-US"/>
              </w:rPr>
              <w:t>Mattias Lorentzon</w:t>
            </w:r>
          </w:p>
        </w:tc>
        <w:tc>
          <w:tcPr>
            <w:tcW w:w="4536" w:type="dxa"/>
            <w:shd w:val="clear" w:color="auto" w:fill="auto"/>
          </w:tcPr>
          <w:p w14:paraId="758CCE91" w14:textId="013C4AB0" w:rsidR="00833083" w:rsidRPr="004A4A63" w:rsidRDefault="00833083" w:rsidP="00C1640E">
            <w:pPr>
              <w:spacing w:line="276" w:lineRule="auto"/>
              <w:rPr>
                <w:sz w:val="20"/>
                <w:szCs w:val="20"/>
              </w:rPr>
            </w:pPr>
            <w:r w:rsidRPr="00956B8A">
              <w:rPr>
                <w:rFonts w:ascii="Calibri" w:hAnsi="Calibri"/>
                <w:sz w:val="20"/>
                <w:szCs w:val="20"/>
                <w:lang w:val="en-US"/>
              </w:rPr>
              <w:t>Mary McKillop Institute for Health Research, Australian Catholic University, Melbourne, Australia</w:t>
            </w:r>
          </w:p>
        </w:tc>
        <w:tc>
          <w:tcPr>
            <w:tcW w:w="3067" w:type="dxa"/>
            <w:vMerge w:val="restart"/>
            <w:shd w:val="clear" w:color="auto" w:fill="auto"/>
          </w:tcPr>
          <w:p w14:paraId="35DD795A" w14:textId="0109E888" w:rsidR="00833083" w:rsidRPr="004A4A63" w:rsidRDefault="00833083" w:rsidP="00C1640E">
            <w:pPr>
              <w:spacing w:line="276" w:lineRule="auto"/>
              <w:rPr>
                <w:sz w:val="20"/>
                <w:szCs w:val="20"/>
              </w:rPr>
            </w:pPr>
            <w:r w:rsidRPr="00956B8A">
              <w:rPr>
                <w:rFonts w:ascii="Calibri" w:hAnsi="Calibri"/>
                <w:sz w:val="20"/>
                <w:szCs w:val="20"/>
                <w:lang w:val="en-US"/>
              </w:rPr>
              <w:t>mattias.lorentzon@medic.gu.se</w:t>
            </w:r>
          </w:p>
        </w:tc>
      </w:tr>
      <w:tr w:rsidR="00833083" w:rsidRPr="004A4A63" w14:paraId="07DFECD6" w14:textId="77777777" w:rsidTr="00C1640E">
        <w:tc>
          <w:tcPr>
            <w:tcW w:w="1413" w:type="dxa"/>
            <w:vMerge/>
            <w:shd w:val="clear" w:color="auto" w:fill="auto"/>
          </w:tcPr>
          <w:p w14:paraId="7D27DE71" w14:textId="77777777" w:rsidR="00833083" w:rsidRPr="004A4A63" w:rsidRDefault="00833083" w:rsidP="00C1640E">
            <w:pPr>
              <w:spacing w:line="276" w:lineRule="auto"/>
              <w:rPr>
                <w:sz w:val="20"/>
                <w:szCs w:val="20"/>
              </w:rPr>
            </w:pPr>
          </w:p>
        </w:tc>
        <w:tc>
          <w:tcPr>
            <w:tcW w:w="4536" w:type="dxa"/>
            <w:shd w:val="clear" w:color="auto" w:fill="auto"/>
          </w:tcPr>
          <w:p w14:paraId="7D8D93F0" w14:textId="742A4B6C" w:rsidR="00833083" w:rsidRPr="004A4A63" w:rsidRDefault="00833083" w:rsidP="00C1640E">
            <w:pPr>
              <w:spacing w:line="276" w:lineRule="auto"/>
              <w:rPr>
                <w:sz w:val="20"/>
                <w:szCs w:val="20"/>
              </w:rPr>
            </w:pPr>
            <w:r w:rsidRPr="00956B8A">
              <w:rPr>
                <w:rFonts w:ascii="Calibri" w:hAnsi="Calibri"/>
                <w:sz w:val="20"/>
                <w:szCs w:val="20"/>
                <w:lang w:val="en-US"/>
              </w:rPr>
              <w:t>Geriatric Medicine, Institute of Medicine, Sahlgrenska Academy, University of Gothenburg, Sweden</w:t>
            </w:r>
          </w:p>
        </w:tc>
        <w:tc>
          <w:tcPr>
            <w:tcW w:w="3067" w:type="dxa"/>
            <w:vMerge/>
            <w:shd w:val="clear" w:color="auto" w:fill="auto"/>
          </w:tcPr>
          <w:p w14:paraId="3B716296" w14:textId="77777777" w:rsidR="00833083" w:rsidRPr="004A4A63" w:rsidRDefault="00833083" w:rsidP="00C1640E">
            <w:pPr>
              <w:spacing w:line="276" w:lineRule="auto"/>
              <w:rPr>
                <w:sz w:val="20"/>
                <w:szCs w:val="20"/>
              </w:rPr>
            </w:pPr>
          </w:p>
        </w:tc>
      </w:tr>
      <w:tr w:rsidR="00833083" w:rsidRPr="004A4A63" w14:paraId="4503F7EC" w14:textId="77777777" w:rsidTr="00C1640E">
        <w:tc>
          <w:tcPr>
            <w:tcW w:w="1413" w:type="dxa"/>
            <w:vMerge w:val="restart"/>
          </w:tcPr>
          <w:p w14:paraId="6F4568BC" w14:textId="234D5A0E" w:rsidR="00833083" w:rsidRPr="004A4A63" w:rsidRDefault="00833083" w:rsidP="00C1640E">
            <w:pPr>
              <w:spacing w:line="276" w:lineRule="auto"/>
              <w:rPr>
                <w:sz w:val="20"/>
                <w:szCs w:val="20"/>
              </w:rPr>
            </w:pPr>
            <w:r w:rsidRPr="00E230FF">
              <w:t>John A Kanis</w:t>
            </w:r>
          </w:p>
        </w:tc>
        <w:tc>
          <w:tcPr>
            <w:tcW w:w="4536" w:type="dxa"/>
          </w:tcPr>
          <w:p w14:paraId="1B2EC988" w14:textId="0120C300" w:rsidR="00833083" w:rsidRDefault="00833083" w:rsidP="00C1640E">
            <w:pPr>
              <w:spacing w:line="276" w:lineRule="auto"/>
            </w:pPr>
            <w:r>
              <w:t xml:space="preserve">Mary McKillop Institute </w:t>
            </w:r>
            <w:r w:rsidRPr="009036C5">
              <w:t>for Health Research</w:t>
            </w:r>
            <w:r>
              <w:t>, Australian Catholic University,</w:t>
            </w:r>
            <w:r w:rsidR="000C30B3">
              <w:t xml:space="preserve"> </w:t>
            </w:r>
            <w:r>
              <w:t>Melbourne, Australia</w:t>
            </w:r>
          </w:p>
          <w:p w14:paraId="54CFE237" w14:textId="77777777" w:rsidR="00833083" w:rsidRPr="004A4A63" w:rsidRDefault="00833083" w:rsidP="00C1640E">
            <w:pPr>
              <w:spacing w:line="276" w:lineRule="auto"/>
              <w:rPr>
                <w:sz w:val="20"/>
                <w:szCs w:val="20"/>
              </w:rPr>
            </w:pPr>
          </w:p>
        </w:tc>
        <w:tc>
          <w:tcPr>
            <w:tcW w:w="3067" w:type="dxa"/>
            <w:vMerge w:val="restart"/>
          </w:tcPr>
          <w:p w14:paraId="462643CD" w14:textId="37FE2844" w:rsidR="00833083" w:rsidRPr="004A4A63" w:rsidRDefault="00670B7E" w:rsidP="00C1640E">
            <w:pPr>
              <w:spacing w:line="276" w:lineRule="auto"/>
              <w:rPr>
                <w:sz w:val="20"/>
                <w:szCs w:val="20"/>
              </w:rPr>
            </w:pPr>
            <w:hyperlink r:id="rId8" w:history="1">
              <w:r w:rsidR="00833083" w:rsidRPr="00A2708E">
                <w:rPr>
                  <w:rStyle w:val="Hyperlink"/>
                </w:rPr>
                <w:t>w.j.pontefract@shef.ac.uk</w:t>
              </w:r>
            </w:hyperlink>
            <w:r w:rsidR="00833083">
              <w:t xml:space="preserve"> </w:t>
            </w:r>
          </w:p>
        </w:tc>
      </w:tr>
      <w:tr w:rsidR="00833083" w:rsidRPr="004A4A63" w14:paraId="69E905F6" w14:textId="77777777" w:rsidTr="00C1640E">
        <w:tc>
          <w:tcPr>
            <w:tcW w:w="1413" w:type="dxa"/>
            <w:vMerge/>
          </w:tcPr>
          <w:p w14:paraId="444AFA84" w14:textId="77777777" w:rsidR="00833083" w:rsidRPr="004A4A63" w:rsidRDefault="00833083" w:rsidP="00C1640E">
            <w:pPr>
              <w:spacing w:line="276" w:lineRule="auto"/>
              <w:rPr>
                <w:sz w:val="20"/>
                <w:szCs w:val="20"/>
              </w:rPr>
            </w:pPr>
          </w:p>
        </w:tc>
        <w:tc>
          <w:tcPr>
            <w:tcW w:w="4536" w:type="dxa"/>
          </w:tcPr>
          <w:p w14:paraId="0B79755F" w14:textId="6BB829C1" w:rsidR="00833083" w:rsidRPr="004A4A63" w:rsidRDefault="00833083" w:rsidP="000C30B3">
            <w:pPr>
              <w:spacing w:line="276" w:lineRule="auto"/>
              <w:rPr>
                <w:sz w:val="20"/>
                <w:szCs w:val="20"/>
              </w:rPr>
            </w:pPr>
            <w:r w:rsidRPr="009525B8">
              <w:rPr>
                <w:sz w:val="20"/>
                <w:szCs w:val="20"/>
              </w:rPr>
              <w:t>Centre for Metabolic Bone Diseases, University of Sheffield Medical</w:t>
            </w:r>
            <w:r w:rsidR="000C30B3">
              <w:rPr>
                <w:sz w:val="20"/>
                <w:szCs w:val="20"/>
              </w:rPr>
              <w:t xml:space="preserve"> </w:t>
            </w:r>
            <w:r w:rsidRPr="009525B8">
              <w:rPr>
                <w:sz w:val="20"/>
                <w:szCs w:val="20"/>
              </w:rPr>
              <w:t>School, Sheffield, UK</w:t>
            </w:r>
          </w:p>
        </w:tc>
        <w:tc>
          <w:tcPr>
            <w:tcW w:w="3067" w:type="dxa"/>
            <w:vMerge/>
          </w:tcPr>
          <w:p w14:paraId="4D9861B4" w14:textId="77777777" w:rsidR="00833083" w:rsidRPr="004A4A63" w:rsidRDefault="00833083" w:rsidP="00C1640E">
            <w:pPr>
              <w:spacing w:line="276" w:lineRule="auto"/>
              <w:rPr>
                <w:sz w:val="20"/>
                <w:szCs w:val="20"/>
              </w:rPr>
            </w:pPr>
          </w:p>
        </w:tc>
      </w:tr>
    </w:tbl>
    <w:p w14:paraId="0F17D4B8" w14:textId="62B0C0F4" w:rsidR="00945B4D" w:rsidRDefault="00945B4D" w:rsidP="007C5FA1">
      <w:pPr>
        <w:spacing w:line="360" w:lineRule="auto"/>
        <w:rPr>
          <w:b/>
          <w:bCs/>
        </w:rPr>
      </w:pPr>
    </w:p>
    <w:p w14:paraId="6E539E9E" w14:textId="77777777" w:rsidR="007F4D4D" w:rsidRPr="00073BF7" w:rsidRDefault="007F4D4D" w:rsidP="007F4D4D">
      <w:pPr>
        <w:rPr>
          <w:rFonts w:ascii="Calibri" w:eastAsia="Calibri" w:hAnsi="Calibri" w:cs="Times New Roman"/>
        </w:rPr>
      </w:pPr>
      <w:r w:rsidRPr="006E46A2">
        <w:rPr>
          <w:rFonts w:ascii="Calibri" w:eastAsia="Calibri" w:hAnsi="Calibri" w:cs="Times New Roman"/>
          <w:b/>
          <w:bCs/>
        </w:rPr>
        <w:t>Correspondence to</w:t>
      </w:r>
      <w:r w:rsidRPr="00073BF7">
        <w:rPr>
          <w:rFonts w:ascii="Calibri" w:eastAsia="Calibri" w:hAnsi="Calibri" w:cs="Times New Roman"/>
        </w:rPr>
        <w:t xml:space="preserve">: Prof John A Kanis, Centre for Metabolic Bone Diseases, University of Sheffield Medical School, Beech Hill Road, Sheffield S10 2RX, UK; Tel: +44 114 285 1109; Fax: +44 114 285 1813; </w:t>
      </w:r>
      <w:hyperlink r:id="rId9" w:history="1">
        <w:r w:rsidRPr="00073BF7">
          <w:rPr>
            <w:rFonts w:ascii="Calibri" w:eastAsia="Calibri" w:hAnsi="Calibri" w:cs="Times New Roman"/>
            <w:color w:val="0563C1"/>
            <w:u w:val="single"/>
          </w:rPr>
          <w:t>w.j.pontefract@shef.ac.uk</w:t>
        </w:r>
      </w:hyperlink>
    </w:p>
    <w:p w14:paraId="31E72B61" w14:textId="521BEA11" w:rsidR="004775A7" w:rsidRDefault="004775A7">
      <w:pPr>
        <w:rPr>
          <w:b/>
          <w:bCs/>
        </w:rPr>
      </w:pPr>
      <w:r>
        <w:rPr>
          <w:b/>
          <w:bCs/>
        </w:rPr>
        <w:br w:type="page"/>
      </w:r>
    </w:p>
    <w:p w14:paraId="7DFAE5F9" w14:textId="024264C5" w:rsidR="004B0567" w:rsidRPr="006E46A2" w:rsidRDefault="004B0567" w:rsidP="0046175D">
      <w:pPr>
        <w:spacing w:line="360" w:lineRule="auto"/>
        <w:rPr>
          <w:b/>
          <w:bCs/>
          <w:sz w:val="24"/>
          <w:szCs w:val="24"/>
        </w:rPr>
      </w:pPr>
      <w:r w:rsidRPr="006E46A2">
        <w:rPr>
          <w:b/>
          <w:bCs/>
          <w:sz w:val="24"/>
          <w:szCs w:val="24"/>
        </w:rPr>
        <w:lastRenderedPageBreak/>
        <w:t xml:space="preserve">Prior fracture increases risk of future fracture in a time-dependent </w:t>
      </w:r>
      <w:r w:rsidR="008576CC" w:rsidRPr="006E46A2">
        <w:rPr>
          <w:b/>
          <w:bCs/>
          <w:sz w:val="24"/>
          <w:szCs w:val="24"/>
        </w:rPr>
        <w:t>manner</w:t>
      </w:r>
    </w:p>
    <w:p w14:paraId="5EDF52F8" w14:textId="5393E582" w:rsidR="0046175D" w:rsidRPr="00415A66" w:rsidRDefault="00683362" w:rsidP="0046175D">
      <w:pPr>
        <w:spacing w:line="360" w:lineRule="auto"/>
      </w:pPr>
      <w:r w:rsidRPr="00415A66">
        <w:t>Prior fragility fracture</w:t>
      </w:r>
      <w:r w:rsidR="00154F80" w:rsidRPr="00415A66">
        <w:t xml:space="preserve"> is</w:t>
      </w:r>
      <w:r w:rsidRPr="00415A66">
        <w:t xml:space="preserve"> a well-established risk factor for a future fracture [</w:t>
      </w:r>
      <w:r w:rsidR="00397CB3">
        <w:t xml:space="preserve">1, </w:t>
      </w:r>
      <w:r w:rsidR="007D7EAC">
        <w:t>2, 3</w:t>
      </w:r>
      <w:r w:rsidR="00397CB3">
        <w:t>, 4</w:t>
      </w:r>
      <w:r w:rsidRPr="00415A66">
        <w:t xml:space="preserve">].  The population relative risk of having a </w:t>
      </w:r>
      <w:r w:rsidR="00415A66">
        <w:t xml:space="preserve">subsequent </w:t>
      </w:r>
      <w:r w:rsidRPr="00415A66">
        <w:t xml:space="preserve">hip fracture or other osteoporotic fracture is approximately 2-fold higher for most types of prior fracture. However, </w:t>
      </w:r>
      <w:r w:rsidR="0090116E" w:rsidRPr="0090116E">
        <w:t xml:space="preserve">many studies suggest that </w:t>
      </w:r>
      <w:r w:rsidRPr="00415A66">
        <w:t xml:space="preserve">the increase in risk is not constant with time or age.  </w:t>
      </w:r>
      <w:r w:rsidR="00154F80" w:rsidRPr="00415A66">
        <w:t>Indeed</w:t>
      </w:r>
      <w:r w:rsidRPr="00415A66">
        <w:t xml:space="preserve">, the risk of a subsequent osteoporotic fracture is particularly acute immediately after an index fracture and wanes progressively </w:t>
      </w:r>
      <w:r w:rsidR="00154F80" w:rsidRPr="00415A66">
        <w:t>over the next 2 years</w:t>
      </w:r>
      <w:r w:rsidRPr="00415A66">
        <w:t xml:space="preserve"> [</w:t>
      </w:r>
      <w:r w:rsidR="0090116E">
        <w:t xml:space="preserve">4, </w:t>
      </w:r>
      <w:r w:rsidR="00313094">
        <w:t xml:space="preserve">5, </w:t>
      </w:r>
      <w:r w:rsidR="00FA5764">
        <w:t xml:space="preserve">6, 7, </w:t>
      </w:r>
      <w:r w:rsidR="0021651C">
        <w:t>8</w:t>
      </w:r>
      <w:r w:rsidR="00F160D6">
        <w:t>, 9</w:t>
      </w:r>
      <w:r w:rsidRPr="00415A66">
        <w:t>]</w:t>
      </w:r>
      <w:r w:rsidR="00154F80" w:rsidRPr="00415A66">
        <w:t>, but thereafter</w:t>
      </w:r>
      <w:r w:rsidRPr="00415A66">
        <w:t xml:space="preserve"> remains higher than that of the general population</w:t>
      </w:r>
      <w:r w:rsidR="00A171FC" w:rsidRPr="00415A66">
        <w:t xml:space="preserve"> (</w:t>
      </w:r>
      <w:r w:rsidR="004C76FC" w:rsidRPr="00415A66">
        <w:t>Figure</w:t>
      </w:r>
      <w:r w:rsidR="00A171FC" w:rsidRPr="00415A66">
        <w:t xml:space="preserve"> 1)</w:t>
      </w:r>
      <w:r w:rsidRPr="00415A66">
        <w:t>.  The early phase of particularly high risk has been termed imminent risk [</w:t>
      </w:r>
      <w:r w:rsidR="00F160D6">
        <w:t>9</w:t>
      </w:r>
      <w:r w:rsidRPr="00415A66">
        <w:t>].</w:t>
      </w:r>
      <w:r w:rsidR="00D1648B" w:rsidRPr="00415A66">
        <w:t xml:space="preserve"> This transiency, which is not currently accommodated in </w:t>
      </w:r>
      <w:r w:rsidR="009367C1" w:rsidRPr="009367C1">
        <w:t>any of the available fracture risk assessment tools</w:t>
      </w:r>
      <w:r w:rsidR="00D1648B" w:rsidRPr="00415A66">
        <w:t>, suggests that treatment given to patients immediately after a fracture might avoid a higher number of new fractures compared with treatment given at a later date.</w:t>
      </w:r>
    </w:p>
    <w:p w14:paraId="4E070C8C" w14:textId="6DC2A275" w:rsidR="00100913" w:rsidRDefault="00100913" w:rsidP="0046175D">
      <w:pPr>
        <w:spacing w:line="360" w:lineRule="auto"/>
        <w:jc w:val="center"/>
      </w:pPr>
      <w:r w:rsidRPr="00100913">
        <w:rPr>
          <w:rFonts w:ascii="Calibri" w:eastAsia="Calibri" w:hAnsi="Calibri" w:cs="Times New Roman"/>
          <w:noProof/>
          <w:sz w:val="24"/>
          <w:szCs w:val="24"/>
          <w:lang w:eastAsia="en-GB"/>
        </w:rPr>
        <w:drawing>
          <wp:inline distT="0" distB="0" distL="0" distR="0" wp14:anchorId="69731BFF" wp14:editId="0005F19D">
            <wp:extent cx="4122420" cy="2727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445" b="9333"/>
                    <a:stretch/>
                  </pic:blipFill>
                  <pic:spPr bwMode="auto">
                    <a:xfrm>
                      <a:off x="0" y="0"/>
                      <a:ext cx="4138119" cy="2738055"/>
                    </a:xfrm>
                    <a:prstGeom prst="rect">
                      <a:avLst/>
                    </a:prstGeom>
                    <a:ln>
                      <a:noFill/>
                    </a:ln>
                    <a:extLst>
                      <a:ext uri="{53640926-AAD7-44D8-BBD7-CCE9431645EC}">
                        <a14:shadowObscured xmlns:a14="http://schemas.microsoft.com/office/drawing/2010/main"/>
                      </a:ext>
                    </a:extLst>
                  </pic:spPr>
                </pic:pic>
              </a:graphicData>
            </a:graphic>
          </wp:inline>
        </w:drawing>
      </w:r>
    </w:p>
    <w:p w14:paraId="1F5EBA13" w14:textId="6E7EF61E" w:rsidR="00245236" w:rsidRDefault="00CF5ADC" w:rsidP="00365A4B">
      <w:pPr>
        <w:spacing w:line="276" w:lineRule="auto"/>
        <w:ind w:left="851" w:right="946"/>
      </w:pPr>
      <w:r w:rsidRPr="00090D88">
        <w:rPr>
          <w:b/>
          <w:bCs/>
        </w:rPr>
        <w:t>Fig</w:t>
      </w:r>
      <w:r w:rsidR="00090D88" w:rsidRPr="00090D88">
        <w:rPr>
          <w:b/>
          <w:bCs/>
        </w:rPr>
        <w:t>.</w:t>
      </w:r>
      <w:r w:rsidRPr="00090D88">
        <w:rPr>
          <w:b/>
          <w:bCs/>
        </w:rPr>
        <w:t xml:space="preserve"> 1</w:t>
      </w:r>
      <w:r w:rsidR="00090D88">
        <w:t xml:space="preserve"> </w:t>
      </w:r>
      <w:r w:rsidRPr="00CF5ADC">
        <w:t xml:space="preserve">Risk per 100 000 (95% CI) of a second major osteoporotic fracture (MOF) after a first MOF for a woman at the age of 75 years at her first fracture. Knots for the spline function are set at 0.5, 2.5 and 15 years of follow up after the first fracture. The dashed line is the risk of first MOF in </w:t>
      </w:r>
      <w:r w:rsidR="00154F80">
        <w:t xml:space="preserve">the </w:t>
      </w:r>
      <w:r w:rsidRPr="00CF5ADC">
        <w:t>whole population (n=18,872) for a woman 75 years at baseline [</w:t>
      </w:r>
      <w:r w:rsidR="00F160D6">
        <w:t>9</w:t>
      </w:r>
      <w:r w:rsidR="00365A4B">
        <w:t>]</w:t>
      </w:r>
      <w:r w:rsidR="00FD1F5B">
        <w:t xml:space="preserve"> </w:t>
      </w:r>
      <w:r w:rsidR="00B450FF">
        <w:t>(</w:t>
      </w:r>
      <w:r w:rsidR="00365A4B">
        <w:t>with kind permission from</w:t>
      </w:r>
      <w:r w:rsidR="009C48E9">
        <w:t xml:space="preserve"> </w:t>
      </w:r>
      <w:r w:rsidR="00365A4B">
        <w:t>Springer Science+Business</w:t>
      </w:r>
      <w:r w:rsidR="009C48E9">
        <w:t xml:space="preserve"> </w:t>
      </w:r>
      <w:r w:rsidR="00365A4B">
        <w:t>Media B.V</w:t>
      </w:r>
      <w:r w:rsidR="009C48E9">
        <w:t>)</w:t>
      </w:r>
      <w:r w:rsidRPr="00CF5ADC">
        <w:t>.</w:t>
      </w:r>
      <w:r w:rsidR="0050611B" w:rsidRPr="0050611B">
        <w:t xml:space="preserve"> </w:t>
      </w:r>
    </w:p>
    <w:p w14:paraId="372F0A92" w14:textId="77777777" w:rsidR="006D2563" w:rsidRDefault="006D2563" w:rsidP="00CA11B6">
      <w:pPr>
        <w:spacing w:line="360" w:lineRule="auto"/>
      </w:pPr>
    </w:p>
    <w:p w14:paraId="1E3FC120" w14:textId="5842F73A" w:rsidR="004B0567" w:rsidRPr="006E46A2" w:rsidRDefault="004B0567" w:rsidP="005C775D">
      <w:pPr>
        <w:spacing w:line="360" w:lineRule="auto"/>
        <w:rPr>
          <w:b/>
          <w:bCs/>
          <w:sz w:val="24"/>
          <w:szCs w:val="24"/>
        </w:rPr>
      </w:pPr>
      <w:r w:rsidRPr="006E46A2">
        <w:rPr>
          <w:b/>
          <w:bCs/>
          <w:sz w:val="24"/>
          <w:szCs w:val="24"/>
        </w:rPr>
        <w:t xml:space="preserve">Determinants of </w:t>
      </w:r>
      <w:r w:rsidR="00F31C3C" w:rsidRPr="006E46A2">
        <w:rPr>
          <w:b/>
          <w:bCs/>
          <w:sz w:val="24"/>
          <w:szCs w:val="24"/>
        </w:rPr>
        <w:t>short-term</w:t>
      </w:r>
      <w:r w:rsidRPr="006E46A2">
        <w:rPr>
          <w:b/>
          <w:bCs/>
          <w:sz w:val="24"/>
          <w:szCs w:val="24"/>
        </w:rPr>
        <w:t xml:space="preserve"> risk also determine long</w:t>
      </w:r>
      <w:r w:rsidR="009768E5" w:rsidRPr="006E46A2">
        <w:rPr>
          <w:b/>
          <w:bCs/>
          <w:sz w:val="24"/>
          <w:szCs w:val="24"/>
        </w:rPr>
        <w:t>-</w:t>
      </w:r>
      <w:r w:rsidRPr="006E46A2">
        <w:rPr>
          <w:b/>
          <w:bCs/>
          <w:sz w:val="24"/>
          <w:szCs w:val="24"/>
        </w:rPr>
        <w:t>term risk</w:t>
      </w:r>
    </w:p>
    <w:p w14:paraId="777DF284" w14:textId="226FDBEA" w:rsidR="00E557B9" w:rsidRDefault="00120D9E" w:rsidP="005C775D">
      <w:pPr>
        <w:spacing w:line="360" w:lineRule="auto"/>
      </w:pPr>
      <w:r>
        <w:t xml:space="preserve">Confusion has arisen, however, about the use of the term imminent risk </w:t>
      </w:r>
      <w:r w:rsidR="00CF0632">
        <w:t xml:space="preserve">which has been variously used </w:t>
      </w:r>
      <w:r w:rsidR="00EE35DE" w:rsidRPr="00EE35DE">
        <w:t xml:space="preserve">to imply a transient high risk </w:t>
      </w:r>
      <w:r w:rsidR="00CF0632">
        <w:t>or</w:t>
      </w:r>
      <w:r w:rsidR="00EE35DE" w:rsidRPr="00EE35DE">
        <w:t xml:space="preserve"> simply a high risk in the short term, regardless of transiency</w:t>
      </w:r>
      <w:r w:rsidR="003608C9">
        <w:t xml:space="preserve">.  </w:t>
      </w:r>
      <w:r w:rsidR="00EE35DE" w:rsidRPr="00EE35DE">
        <w:t xml:space="preserve"> </w:t>
      </w:r>
      <w:r w:rsidR="002E27D9">
        <w:t xml:space="preserve">Irrespective of its </w:t>
      </w:r>
      <w:r w:rsidR="00793380">
        <w:t>description, the view</w:t>
      </w:r>
      <w:r w:rsidR="00EE35DE" w:rsidRPr="00EE35DE">
        <w:t xml:space="preserve"> </w:t>
      </w:r>
      <w:r w:rsidR="00793380">
        <w:t>has arisen for the</w:t>
      </w:r>
      <w:r w:rsidR="00783C9A">
        <w:t xml:space="preserve"> </w:t>
      </w:r>
      <w:r>
        <w:t xml:space="preserve">need for </w:t>
      </w:r>
      <w:r w:rsidR="00783C9A">
        <w:t xml:space="preserve">shorter timeframes over which to </w:t>
      </w:r>
      <w:r>
        <w:t xml:space="preserve">express fracture risk.  This is illustrated by a number of studies, many of them recently </w:t>
      </w:r>
      <w:r w:rsidRPr="00470D29">
        <w:t>published (Table 1), that seek</w:t>
      </w:r>
      <w:r>
        <w:t xml:space="preserve"> to identify risk factors associated with incident fractures over a short time horizon, usually </w:t>
      </w:r>
      <w:r w:rsidR="004510CA">
        <w:t xml:space="preserve">up to </w:t>
      </w:r>
      <w:r w:rsidR="006032C0">
        <w:t>two-year</w:t>
      </w:r>
      <w:r w:rsidR="004510CA">
        <w:t>s</w:t>
      </w:r>
      <w:r w:rsidR="00C46A92">
        <w:t xml:space="preserve"> after a sentinel fracture</w:t>
      </w:r>
      <w:r w:rsidR="00AC280B">
        <w:t xml:space="preserve">.  </w:t>
      </w:r>
      <w:r w:rsidR="00A43253">
        <w:t xml:space="preserve"> </w:t>
      </w:r>
      <w:r w:rsidR="002F4A2A" w:rsidRPr="002F4A2A">
        <w:t>Some derive associated risk prediction algorithms</w:t>
      </w:r>
      <w:r w:rsidR="00FF667C">
        <w:t xml:space="preserve"> </w:t>
      </w:r>
      <w:r w:rsidR="002F4A2A" w:rsidRPr="002F4A2A">
        <w:t>and</w:t>
      </w:r>
      <w:r w:rsidR="00FF667C">
        <w:t>,</w:t>
      </w:r>
      <w:r w:rsidR="002F4A2A" w:rsidRPr="002F4A2A">
        <w:t xml:space="preserve"> as </w:t>
      </w:r>
      <w:r w:rsidR="005548B4">
        <w:t>expected,</w:t>
      </w:r>
      <w:r w:rsidR="000D236F">
        <w:t xml:space="preserve"> </w:t>
      </w:r>
      <w:r w:rsidR="004510CA">
        <w:t xml:space="preserve">many of these studies confirm </w:t>
      </w:r>
      <w:r w:rsidR="000D236F">
        <w:t xml:space="preserve">an increased fracture </w:t>
      </w:r>
      <w:r w:rsidR="00D90BCC" w:rsidRPr="00690171">
        <w:t>risk associated with a prior fracture</w:t>
      </w:r>
      <w:r w:rsidR="004510CA" w:rsidRPr="00690171">
        <w:t xml:space="preserve">, </w:t>
      </w:r>
      <w:r w:rsidR="00F858F7" w:rsidRPr="00690171">
        <w:t xml:space="preserve">but in many the </w:t>
      </w:r>
      <w:r w:rsidR="00D11F95">
        <w:t xml:space="preserve">mean </w:t>
      </w:r>
      <w:r w:rsidR="00F858F7" w:rsidRPr="00690171">
        <w:t xml:space="preserve">absolute risk at 2 years is low (&lt;10%) while in others that considered </w:t>
      </w:r>
      <w:r w:rsidR="004510CA" w:rsidRPr="00690171">
        <w:t>patients with recent fractures</w:t>
      </w:r>
      <w:r w:rsidR="00F858F7" w:rsidRPr="00690171">
        <w:t xml:space="preserve">, the </w:t>
      </w:r>
      <w:r w:rsidR="00F525D8">
        <w:t xml:space="preserve">mean </w:t>
      </w:r>
      <w:r w:rsidR="00F858F7" w:rsidRPr="00690171">
        <w:t>absolute risks were still around 10-15%</w:t>
      </w:r>
      <w:r w:rsidR="004510CA" w:rsidRPr="00690171">
        <w:t xml:space="preserve"> (</w:t>
      </w:r>
      <w:r w:rsidR="00FD1F5B" w:rsidRPr="00690171">
        <w:t xml:space="preserve">see </w:t>
      </w:r>
      <w:r w:rsidR="004510CA" w:rsidRPr="00690171">
        <w:t>Table 1)</w:t>
      </w:r>
      <w:r w:rsidR="005548B4" w:rsidRPr="00690171">
        <w:t xml:space="preserve">. </w:t>
      </w:r>
      <w:r w:rsidR="00D50CA5" w:rsidRPr="00690171">
        <w:t>Apart from the known heterogeneity</w:t>
      </w:r>
      <w:r w:rsidR="00967CFA" w:rsidRPr="00690171">
        <w:t xml:space="preserve"> of fracture risk between countries</w:t>
      </w:r>
      <w:r w:rsidR="00617963" w:rsidRPr="00690171">
        <w:t xml:space="preserve"> [</w:t>
      </w:r>
      <w:r w:rsidR="00F160D6">
        <w:t>31</w:t>
      </w:r>
      <w:r w:rsidR="006B2DA8" w:rsidRPr="00690171">
        <w:t>]</w:t>
      </w:r>
      <w:r w:rsidR="00967CFA" w:rsidRPr="00690171">
        <w:t xml:space="preserve">, </w:t>
      </w:r>
      <w:r w:rsidR="00106AC0" w:rsidRPr="00690171">
        <w:t xml:space="preserve">a source of </w:t>
      </w:r>
      <w:r w:rsidR="00967CFA" w:rsidRPr="00690171">
        <w:t>hetero</w:t>
      </w:r>
      <w:r w:rsidR="00617963" w:rsidRPr="00690171">
        <w:t>geneity</w:t>
      </w:r>
      <w:r w:rsidR="00106AC0" w:rsidRPr="00690171">
        <w:t xml:space="preserve"> may be the site of index fracture </w:t>
      </w:r>
      <w:r w:rsidR="006B2DA8" w:rsidRPr="00690171">
        <w:t xml:space="preserve">which in </w:t>
      </w:r>
      <w:r w:rsidR="004E1631" w:rsidRPr="00690171">
        <w:t>turn will be age</w:t>
      </w:r>
      <w:r w:rsidR="00893582" w:rsidRPr="00690171">
        <w:t>-dependent</w:t>
      </w:r>
      <w:r w:rsidR="00D46B59" w:rsidRPr="00690171">
        <w:t xml:space="preserve"> </w:t>
      </w:r>
      <w:r w:rsidR="00C47E3B" w:rsidRPr="00690171">
        <w:t>[</w:t>
      </w:r>
      <w:r w:rsidR="00C00537">
        <w:t>32</w:t>
      </w:r>
      <w:r w:rsidR="00D46B59" w:rsidRPr="00690171">
        <w:t>]</w:t>
      </w:r>
      <w:r w:rsidR="00106AC0" w:rsidRPr="00690171">
        <w:t xml:space="preserve">. </w:t>
      </w:r>
      <w:r w:rsidR="005548B4" w:rsidRPr="00690171">
        <w:t xml:space="preserve"> </w:t>
      </w:r>
      <w:r w:rsidR="00E557B9" w:rsidRPr="00690171">
        <w:t xml:space="preserve">In addition, some of the latter </w:t>
      </w:r>
      <w:r w:rsidR="00FA3197" w:rsidRPr="00690171">
        <w:t xml:space="preserve">studies </w:t>
      </w:r>
      <w:r w:rsidR="00E557B9" w:rsidRPr="00690171">
        <w:t>showed no convincing evidence of imminency of risk</w:t>
      </w:r>
      <w:r w:rsidR="00FD1F5B" w:rsidRPr="00690171">
        <w:t xml:space="preserve"> </w:t>
      </w:r>
      <w:r w:rsidR="003B6279" w:rsidRPr="00690171">
        <w:t xml:space="preserve">in </w:t>
      </w:r>
      <w:r w:rsidR="00536F33" w:rsidRPr="00690171">
        <w:t>that</w:t>
      </w:r>
      <w:r w:rsidR="00536F33">
        <w:t xml:space="preserve"> the relative risk at 2</w:t>
      </w:r>
      <w:r w:rsidR="002207DE">
        <w:t xml:space="preserve"> </w:t>
      </w:r>
      <w:r w:rsidR="00536F33">
        <w:t>years is no greater than the relative risk at</w:t>
      </w:r>
      <w:r w:rsidR="00F36DDA">
        <w:t xml:space="preserve"> 5 years</w:t>
      </w:r>
      <w:r w:rsidR="00536F33">
        <w:t xml:space="preserve"> </w:t>
      </w:r>
      <w:r w:rsidR="00FD1F5B">
        <w:t>[</w:t>
      </w:r>
      <w:r w:rsidR="00C00537">
        <w:t>14</w:t>
      </w:r>
      <w:r w:rsidR="001F5B7A">
        <w:t xml:space="preserve">, </w:t>
      </w:r>
      <w:r w:rsidR="00A54393">
        <w:t>27</w:t>
      </w:r>
      <w:r w:rsidR="00663A1C">
        <w:t xml:space="preserve">, </w:t>
      </w:r>
      <w:r w:rsidR="001F5B7A">
        <w:t>2</w:t>
      </w:r>
      <w:r w:rsidR="00A54393">
        <w:t>9</w:t>
      </w:r>
      <w:r w:rsidR="00FD1F5B">
        <w:t xml:space="preserve">].  </w:t>
      </w:r>
      <w:r w:rsidR="00BF6802">
        <w:t xml:space="preserve"> </w:t>
      </w:r>
    </w:p>
    <w:p w14:paraId="0AD6C6C8" w14:textId="77777777" w:rsidR="004B0567" w:rsidRPr="006E46A2" w:rsidRDefault="004B0567" w:rsidP="004B0567">
      <w:pPr>
        <w:spacing w:line="360" w:lineRule="auto"/>
        <w:rPr>
          <w:b/>
          <w:bCs/>
          <w:sz w:val="24"/>
          <w:szCs w:val="24"/>
        </w:rPr>
      </w:pPr>
      <w:r w:rsidRPr="006E46A2">
        <w:rPr>
          <w:b/>
          <w:bCs/>
          <w:sz w:val="24"/>
          <w:szCs w:val="24"/>
        </w:rPr>
        <w:t>Shorter time horizons yield lower magnitude absolute fracture risks</w:t>
      </w:r>
    </w:p>
    <w:p w14:paraId="030B8A6B" w14:textId="2429DDF8" w:rsidR="00FF0385" w:rsidRDefault="00A66048" w:rsidP="005C775D">
      <w:pPr>
        <w:spacing w:line="360" w:lineRule="auto"/>
      </w:pPr>
      <w:r>
        <w:t xml:space="preserve">The rationale behind the need to express fracture risk over a two-year time horizon as opposed to a longer term to determine intervention requires examination.  </w:t>
      </w:r>
      <w:r w:rsidR="008B5ED0">
        <w:t>The most lucid</w:t>
      </w:r>
      <w:r w:rsidR="00783C9A">
        <w:t xml:space="preserve"> arguments</w:t>
      </w:r>
      <w:r w:rsidR="00C1738F">
        <w:t xml:space="preserve"> state that </w:t>
      </w:r>
      <w:r w:rsidR="007574AB">
        <w:t xml:space="preserve">tools such as </w:t>
      </w:r>
      <w:r w:rsidR="00A131F0">
        <w:t xml:space="preserve">FRAX </w:t>
      </w:r>
      <w:r w:rsidR="00480D8C">
        <w:t xml:space="preserve">predict risk over the long term and do not explicitly provide short-term risk estimates necessary to identify </w:t>
      </w:r>
      <w:r w:rsidR="00480D8C" w:rsidRPr="00690171">
        <w:t>patients</w:t>
      </w:r>
      <w:r w:rsidR="00115AA3" w:rsidRPr="00690171">
        <w:t xml:space="preserve"> </w:t>
      </w:r>
      <w:r w:rsidR="00480D8C" w:rsidRPr="00690171">
        <w:t>likely to experience a fracture in the next 1-2 years</w:t>
      </w:r>
      <w:r w:rsidR="00C1738F" w:rsidRPr="00690171">
        <w:t xml:space="preserve"> </w:t>
      </w:r>
      <w:r w:rsidR="00131E61" w:rsidRPr="00690171">
        <w:t>[</w:t>
      </w:r>
      <w:r w:rsidR="00DC37EA">
        <w:t>10</w:t>
      </w:r>
      <w:r w:rsidR="00131E61" w:rsidRPr="00690171">
        <w:t>]</w:t>
      </w:r>
      <w:r w:rsidR="00480D8C" w:rsidRPr="00690171">
        <w:t>.</w:t>
      </w:r>
      <w:r w:rsidR="00115AA3" w:rsidRPr="00690171">
        <w:t xml:space="preserve"> </w:t>
      </w:r>
      <w:r w:rsidR="001F42A0" w:rsidRPr="00690171">
        <w:t xml:space="preserve"> </w:t>
      </w:r>
      <w:r w:rsidR="00F965BA" w:rsidRPr="00690171">
        <w:t xml:space="preserve">This logic implies that </w:t>
      </w:r>
      <w:r w:rsidR="00C909CF" w:rsidRPr="00690171">
        <w:t xml:space="preserve">there are special characteristics </w:t>
      </w:r>
      <w:r w:rsidR="00923D27" w:rsidRPr="00690171">
        <w:t>in individuals at high short term fracture risk</w:t>
      </w:r>
      <w:r w:rsidR="006A0AFD" w:rsidRPr="00690171">
        <w:t xml:space="preserve"> not shared by those at long term risk</w:t>
      </w:r>
      <w:r w:rsidR="00B823DE" w:rsidRPr="00690171">
        <w:t xml:space="preserve"> [</w:t>
      </w:r>
      <w:r w:rsidR="00DC37EA">
        <w:t>33</w:t>
      </w:r>
      <w:r w:rsidR="00B823DE" w:rsidRPr="00690171">
        <w:t>]</w:t>
      </w:r>
      <w:r w:rsidR="00C81F03" w:rsidRPr="00690171">
        <w:t xml:space="preserve">. </w:t>
      </w:r>
      <w:r w:rsidR="00E0590A" w:rsidRPr="00690171">
        <w:t xml:space="preserve"> </w:t>
      </w:r>
      <w:r w:rsidR="00C81F03" w:rsidRPr="00690171">
        <w:t xml:space="preserve">There is however no evidence that risk factors for </w:t>
      </w:r>
      <w:r w:rsidR="00D22F34" w:rsidRPr="00690171">
        <w:t xml:space="preserve">short term recurrent fractures differ from </w:t>
      </w:r>
      <w:r w:rsidR="00F21539" w:rsidRPr="00690171">
        <w:t xml:space="preserve">those identified </w:t>
      </w:r>
      <w:r w:rsidR="00344B25" w:rsidRPr="00690171">
        <w:t>for fracture irrespective of the time horizon</w:t>
      </w:r>
      <w:r w:rsidR="008B4411" w:rsidRPr="00690171">
        <w:t xml:space="preserve"> [</w:t>
      </w:r>
      <w:r w:rsidR="00545D69" w:rsidRPr="00690171">
        <w:t>1</w:t>
      </w:r>
      <w:r w:rsidR="00DC37EA">
        <w:t>2</w:t>
      </w:r>
      <w:r w:rsidR="00545D69" w:rsidRPr="00690171">
        <w:t xml:space="preserve">, </w:t>
      </w:r>
      <w:r w:rsidR="00545D69" w:rsidRPr="005F2CBF">
        <w:t>1</w:t>
      </w:r>
      <w:r w:rsidR="00DC37EA" w:rsidRPr="005F2CBF">
        <w:t>3</w:t>
      </w:r>
      <w:r w:rsidR="00545D69" w:rsidRPr="005F2CBF">
        <w:t>, 1</w:t>
      </w:r>
      <w:r w:rsidR="005F2CBF" w:rsidRPr="005F2CBF">
        <w:t>4</w:t>
      </w:r>
      <w:r w:rsidR="00545D69" w:rsidRPr="005F2CBF">
        <w:t xml:space="preserve">, </w:t>
      </w:r>
      <w:r w:rsidR="005A35E4" w:rsidRPr="005F2CBF">
        <w:t>1</w:t>
      </w:r>
      <w:r w:rsidR="005F2CBF" w:rsidRPr="005F2CBF">
        <w:t>7</w:t>
      </w:r>
      <w:r w:rsidR="005A35E4" w:rsidRPr="00690171">
        <w:t xml:space="preserve">, </w:t>
      </w:r>
      <w:r w:rsidR="005F2CBF">
        <w:t>21</w:t>
      </w:r>
      <w:r w:rsidR="005A35E4" w:rsidRPr="00690171">
        <w:t xml:space="preserve">, </w:t>
      </w:r>
      <w:r w:rsidR="005A35E4" w:rsidRPr="005F2CBF">
        <w:t>2</w:t>
      </w:r>
      <w:r w:rsidR="005F2CBF" w:rsidRPr="005F2CBF">
        <w:t>5</w:t>
      </w:r>
      <w:r w:rsidR="005A35E4" w:rsidRPr="005F2CBF">
        <w:t>,</w:t>
      </w:r>
      <w:r w:rsidR="005A35E4" w:rsidRPr="00690171">
        <w:t xml:space="preserve"> </w:t>
      </w:r>
      <w:r w:rsidR="005F2CBF">
        <w:t>34</w:t>
      </w:r>
      <w:r w:rsidR="00EF5B4F" w:rsidRPr="00690171">
        <w:t>,</w:t>
      </w:r>
      <w:r w:rsidR="005A35E4" w:rsidRPr="00690171">
        <w:t xml:space="preserve"> 3</w:t>
      </w:r>
      <w:r w:rsidR="005F2CBF">
        <w:t>5</w:t>
      </w:r>
      <w:r w:rsidR="005A35E4" w:rsidRPr="00690171">
        <w:t>, 3</w:t>
      </w:r>
      <w:r w:rsidR="005F2CBF">
        <w:t>6</w:t>
      </w:r>
      <w:r w:rsidR="00231C88" w:rsidRPr="00690171">
        <w:t xml:space="preserve">, </w:t>
      </w:r>
      <w:r w:rsidR="00D800F1" w:rsidRPr="00690171">
        <w:t>3</w:t>
      </w:r>
      <w:r w:rsidR="00261455">
        <w:t>7</w:t>
      </w:r>
      <w:r w:rsidR="000844B6" w:rsidRPr="00690171">
        <w:t>]</w:t>
      </w:r>
      <w:r w:rsidR="00103DAF" w:rsidRPr="00103DAF">
        <w:t xml:space="preserve"> though this is not easily assessed in studies using machine-learning techniques where the drivers of risk remain opaque [</w:t>
      </w:r>
      <w:r w:rsidR="00261455">
        <w:t>38</w:t>
      </w:r>
      <w:r w:rsidR="0069569F">
        <w:t>]</w:t>
      </w:r>
      <w:r w:rsidR="00517B8F">
        <w:t>.</w:t>
      </w:r>
      <w:r w:rsidR="00F858F7">
        <w:t xml:space="preserve">  </w:t>
      </w:r>
      <w:r w:rsidR="008B4411">
        <w:t>M</w:t>
      </w:r>
      <w:r w:rsidR="000844B6">
        <w:t>oreover</w:t>
      </w:r>
      <w:r w:rsidR="00CF062F">
        <w:t xml:space="preserve">, a plethora of studies indicates </w:t>
      </w:r>
      <w:r w:rsidR="005548B4">
        <w:t xml:space="preserve">that </w:t>
      </w:r>
      <w:r w:rsidR="00571F08">
        <w:t>a</w:t>
      </w:r>
      <w:r w:rsidR="005548B4">
        <w:t xml:space="preserve"> hei</w:t>
      </w:r>
      <w:r w:rsidR="00571F08">
        <w:t xml:space="preserve">ghtened risk </w:t>
      </w:r>
      <w:r w:rsidR="00CF062F">
        <w:t xml:space="preserve">at one or </w:t>
      </w:r>
      <w:r w:rsidR="00B3079B">
        <w:t xml:space="preserve">two years </w:t>
      </w:r>
      <w:r w:rsidR="00571F08">
        <w:t>persist</w:t>
      </w:r>
      <w:r w:rsidR="00B3079B">
        <w:t>s</w:t>
      </w:r>
      <w:r w:rsidR="00DC3427">
        <w:t xml:space="preserve"> for </w:t>
      </w:r>
      <w:r w:rsidR="00AD431A">
        <w:t>5</w:t>
      </w:r>
      <w:r w:rsidR="00DC3427">
        <w:t xml:space="preserve"> to 10 years after the e</w:t>
      </w:r>
      <w:r w:rsidR="00AD431A">
        <w:t>v</w:t>
      </w:r>
      <w:r w:rsidR="00DC3427">
        <w:t>ent</w:t>
      </w:r>
      <w:r w:rsidR="008A1779">
        <w:t xml:space="preserve"> </w:t>
      </w:r>
      <w:r w:rsidR="00AD431A">
        <w:t>[</w:t>
      </w:r>
      <w:r w:rsidR="00DB7320">
        <w:t>6,</w:t>
      </w:r>
      <w:r w:rsidR="00593B52">
        <w:t xml:space="preserve"> </w:t>
      </w:r>
      <w:r w:rsidR="00AA0A12">
        <w:t xml:space="preserve">8, </w:t>
      </w:r>
      <w:r w:rsidR="00593B52">
        <w:t>1</w:t>
      </w:r>
      <w:r w:rsidR="0069569F">
        <w:t>1</w:t>
      </w:r>
      <w:r w:rsidR="00593B52">
        <w:t>,</w:t>
      </w:r>
      <w:r w:rsidR="00DB7320">
        <w:t xml:space="preserve"> </w:t>
      </w:r>
      <w:r w:rsidR="00593B52" w:rsidRPr="00593B52">
        <w:t>1</w:t>
      </w:r>
      <w:r w:rsidR="0069569F">
        <w:t>4</w:t>
      </w:r>
      <w:r w:rsidR="00593B52" w:rsidRPr="00593B52">
        <w:t>, 1</w:t>
      </w:r>
      <w:r w:rsidR="0069569F">
        <w:t>5</w:t>
      </w:r>
      <w:r w:rsidR="00593B52" w:rsidRPr="00593B52">
        <w:t>,</w:t>
      </w:r>
      <w:r w:rsidR="00AA0A12">
        <w:t xml:space="preserve"> 16,</w:t>
      </w:r>
      <w:r w:rsidR="00593B52" w:rsidRPr="00593B52">
        <w:t xml:space="preserve"> </w:t>
      </w:r>
      <w:r w:rsidR="00854EBE">
        <w:t xml:space="preserve">23, </w:t>
      </w:r>
      <w:r w:rsidR="00953C63">
        <w:t>2</w:t>
      </w:r>
      <w:r w:rsidR="0069569F">
        <w:t>7</w:t>
      </w:r>
      <w:r w:rsidR="009E3373">
        <w:t xml:space="preserve">, </w:t>
      </w:r>
      <w:r w:rsidR="00BC28E4">
        <w:t>2</w:t>
      </w:r>
      <w:r w:rsidR="00086986">
        <w:t>9</w:t>
      </w:r>
      <w:r w:rsidR="00BC28E4">
        <w:t>,</w:t>
      </w:r>
      <w:r w:rsidR="00593B52">
        <w:t xml:space="preserve"> 3</w:t>
      </w:r>
      <w:r w:rsidR="00086986">
        <w:t>9</w:t>
      </w:r>
      <w:r w:rsidR="00D848C4">
        <w:t>]</w:t>
      </w:r>
      <w:r w:rsidR="00FD1F5B">
        <w:t xml:space="preserve"> </w:t>
      </w:r>
      <w:r w:rsidR="00FD1F5B" w:rsidRPr="00854EBE">
        <w:t>(</w:t>
      </w:r>
      <w:r w:rsidR="00BF643E" w:rsidRPr="00854EBE">
        <w:t xml:space="preserve">see </w:t>
      </w:r>
      <w:r w:rsidR="00FD1F5B" w:rsidRPr="00854EBE">
        <w:t>Table 1)</w:t>
      </w:r>
      <w:r w:rsidR="00D848C4" w:rsidRPr="00854EBE">
        <w:t>.</w:t>
      </w:r>
      <w:r w:rsidR="00D848C4" w:rsidRPr="00593B52">
        <w:t xml:space="preserve"> </w:t>
      </w:r>
      <w:r w:rsidR="00F858F7" w:rsidRPr="00593B52">
        <w:t xml:space="preserve"> In</w:t>
      </w:r>
      <w:r w:rsidR="00F858F7">
        <w:t xml:space="preserve"> other words, a high </w:t>
      </w:r>
      <w:r w:rsidR="00203EA6">
        <w:t>short-term</w:t>
      </w:r>
      <w:r w:rsidR="00F858F7">
        <w:t xml:space="preserve"> risk aligns with a </w:t>
      </w:r>
      <w:r w:rsidR="00846663">
        <w:t xml:space="preserve">very </w:t>
      </w:r>
      <w:r w:rsidR="00F858F7">
        <w:t xml:space="preserve">high </w:t>
      </w:r>
      <w:r w:rsidR="007D4FAE">
        <w:t>longer-term</w:t>
      </w:r>
      <w:r w:rsidR="00F858F7">
        <w:t xml:space="preserve"> risk.  </w:t>
      </w:r>
      <w:r w:rsidR="008D786E">
        <w:t>Thus</w:t>
      </w:r>
      <w:r w:rsidR="008A1779">
        <w:t>,</w:t>
      </w:r>
      <w:r w:rsidR="008D786E">
        <w:t xml:space="preserve"> the sole </w:t>
      </w:r>
      <w:r w:rsidR="007574AB">
        <w:t xml:space="preserve">impact </w:t>
      </w:r>
      <w:r w:rsidR="008D786E">
        <w:t xml:space="preserve">of choosing a </w:t>
      </w:r>
      <w:r w:rsidR="008A1779">
        <w:t>one- or two-year</w:t>
      </w:r>
      <w:r w:rsidR="008D786E">
        <w:t xml:space="preserve"> time </w:t>
      </w:r>
      <w:r w:rsidR="002565F7">
        <w:t>horizon</w:t>
      </w:r>
      <w:r w:rsidR="008D786E">
        <w:t xml:space="preserve"> is to </w:t>
      </w:r>
      <w:r w:rsidR="00776E34">
        <w:t xml:space="preserve">decrease the </w:t>
      </w:r>
      <w:r w:rsidR="00783C9A">
        <w:t xml:space="preserve">magnitude of the </w:t>
      </w:r>
      <w:r w:rsidR="00776E34">
        <w:t>absolute ri</w:t>
      </w:r>
      <w:r w:rsidR="002565F7">
        <w:t>sk</w:t>
      </w:r>
      <w:r w:rsidR="00783C9A">
        <w:t xml:space="preserve"> estimate produced by the algorithm</w:t>
      </w:r>
      <w:r w:rsidR="006B04C1">
        <w:t xml:space="preserve"> (</w:t>
      </w:r>
      <w:r w:rsidR="00563E4D">
        <w:t xml:space="preserve">to </w:t>
      </w:r>
      <w:r w:rsidR="001F3953">
        <w:t>over</w:t>
      </w:r>
      <w:r w:rsidR="00563E4D">
        <w:t>simplify</w:t>
      </w:r>
      <w:r w:rsidR="008A1779">
        <w:t xml:space="preserve"> </w:t>
      </w:r>
      <w:r w:rsidR="00D71437">
        <w:t>e.g.,</w:t>
      </w:r>
      <w:r w:rsidR="006B04C1">
        <w:t xml:space="preserve"> a 10</w:t>
      </w:r>
      <w:r w:rsidR="0008083E">
        <w:t>-</w:t>
      </w:r>
      <w:r w:rsidR="009130B9">
        <w:t xml:space="preserve">year risk of fracture of </w:t>
      </w:r>
      <w:r w:rsidR="00F858F7">
        <w:t>50</w:t>
      </w:r>
      <w:r w:rsidR="009130B9">
        <w:t>%</w:t>
      </w:r>
      <w:r w:rsidR="001650C6">
        <w:t xml:space="preserve"> </w:t>
      </w:r>
      <w:r w:rsidR="0093011A">
        <w:t>can be</w:t>
      </w:r>
      <w:r w:rsidR="001650C6">
        <w:t xml:space="preserve"> expressed as </w:t>
      </w:r>
      <w:r w:rsidR="00F8639C">
        <w:t>a one</w:t>
      </w:r>
      <w:r w:rsidR="0008083E">
        <w:t xml:space="preserve">-year risk of </w:t>
      </w:r>
      <w:r w:rsidR="00F858F7">
        <w:t>5</w:t>
      </w:r>
      <w:r w:rsidR="00563E4D">
        <w:t>%).</w:t>
      </w:r>
      <w:r w:rsidR="00783C9A">
        <w:t xml:space="preserve"> </w:t>
      </w:r>
      <w:r w:rsidR="00DD41FE">
        <w:t xml:space="preserve">The </w:t>
      </w:r>
      <w:r w:rsidR="00550D94">
        <w:t>oversimplification is that</w:t>
      </w:r>
      <w:r w:rsidR="00421376">
        <w:t xml:space="preserve"> the relationship</w:t>
      </w:r>
      <w:r w:rsidR="00A43CE3">
        <w:t xml:space="preserve"> between time </w:t>
      </w:r>
      <w:r w:rsidR="000F01C0">
        <w:t xml:space="preserve">horizon and fracture risk is not linear </w:t>
      </w:r>
      <w:r w:rsidR="001F297D">
        <w:t>[</w:t>
      </w:r>
      <w:r w:rsidR="00854EBE">
        <w:t>39</w:t>
      </w:r>
      <w:r w:rsidR="001F297D">
        <w:t>]</w:t>
      </w:r>
      <w:r w:rsidR="00C673B2">
        <w:t xml:space="preserve"> (Figure </w:t>
      </w:r>
      <w:r w:rsidR="00E72221">
        <w:t>2</w:t>
      </w:r>
      <w:r w:rsidR="00C673B2">
        <w:t>)</w:t>
      </w:r>
      <w:r w:rsidR="002A0273" w:rsidRPr="002A0273">
        <w:t>.  For example, in women with a prior fracture, the ratio between the 10 and 2-year probabilities is much smaller at older ages than younger ages; for example, at the age of 50 years the</w:t>
      </w:r>
      <w:r w:rsidR="0069740E">
        <w:t xml:space="preserve"> </w:t>
      </w:r>
      <w:r w:rsidR="002F08A3">
        <w:t>10-year</w:t>
      </w:r>
      <w:r w:rsidR="0069740E">
        <w:t xml:space="preserve"> probability is 8 times the </w:t>
      </w:r>
      <w:r w:rsidR="00593B52">
        <w:t>2-year</w:t>
      </w:r>
      <w:r w:rsidR="0069740E">
        <w:t xml:space="preserve"> probability</w:t>
      </w:r>
      <w:r w:rsidR="002A0273" w:rsidRPr="002A0273">
        <w:t>, whereas at the age of 90 the ratio is 2.3</w:t>
      </w:r>
      <w:r w:rsidR="0069740E">
        <w:t>:1</w:t>
      </w:r>
      <w:r w:rsidR="002A0273" w:rsidRPr="002A0273">
        <w:t>.  Note that neither of these ratios is 5</w:t>
      </w:r>
      <w:r w:rsidR="0069740E">
        <w:t>:1</w:t>
      </w:r>
      <w:r w:rsidR="002A0273" w:rsidRPr="002A0273">
        <w:t xml:space="preserve">, reflecting the non-linear relationships of fracture risk and death risk with age.  For a 5-year timeframe, the respective ratios </w:t>
      </w:r>
      <w:r w:rsidR="008D4F4A" w:rsidRPr="008D4F4A">
        <w:t xml:space="preserve">to 10-year probabilities </w:t>
      </w:r>
      <w:r w:rsidR="002A0273" w:rsidRPr="002A0273">
        <w:t>are 3</w:t>
      </w:r>
      <w:r w:rsidR="0069740E">
        <w:t>:1</w:t>
      </w:r>
      <w:r w:rsidR="002A0273" w:rsidRPr="002A0273">
        <w:t xml:space="preserve"> and 1.25</w:t>
      </w:r>
      <w:r w:rsidR="0069740E">
        <w:t>:1</w:t>
      </w:r>
      <w:r w:rsidR="002A0273" w:rsidRPr="002A0273">
        <w:t xml:space="preserve"> at the same ages.</w:t>
      </w:r>
      <w:r w:rsidR="0066729F" w:rsidRPr="0066729F">
        <w:t xml:space="preserve"> </w:t>
      </w:r>
      <w:r w:rsidR="004C6BAE" w:rsidRPr="004C6BAE">
        <w:t xml:space="preserve">The lower ratios at older ages are particularly important to appreciate </w:t>
      </w:r>
      <w:r w:rsidR="002F6EC1">
        <w:t>and arises because</w:t>
      </w:r>
      <w:r w:rsidR="004C6BAE" w:rsidRPr="004C6BAE">
        <w:t xml:space="preserve"> the 10-year probability is calculated by taking into account the risk of fracture and the risk of death.  As the latter exceeds the former at very old age, the probability of fracture actually decreases, while remaining high, and the 10-year probability approaches the 2-year and 5-year probabilities (Figure 2).  At these advanced ages, the tool is calculating a ‘remaining life-time’ risk of fracture and</w:t>
      </w:r>
      <w:r w:rsidR="000C5653">
        <w:t xml:space="preserve">, indeed, </w:t>
      </w:r>
      <w:r w:rsidR="00803041">
        <w:t xml:space="preserve">can </w:t>
      </w:r>
      <w:r w:rsidR="00803041" w:rsidRPr="004C6BAE">
        <w:t>usefully</w:t>
      </w:r>
      <w:r w:rsidR="004C6BAE" w:rsidRPr="004C6BAE">
        <w:t xml:space="preserve"> be expressed to patients and their carers</w:t>
      </w:r>
      <w:r w:rsidR="00453F8C">
        <w:t xml:space="preserve"> in this way</w:t>
      </w:r>
      <w:r w:rsidR="004C6BAE" w:rsidRPr="004C6BAE">
        <w:t>.</w:t>
      </w:r>
    </w:p>
    <w:p w14:paraId="2F60C626" w14:textId="737DA7F2" w:rsidR="00550D94" w:rsidRDefault="00550D94" w:rsidP="005C775D">
      <w:pPr>
        <w:spacing w:line="360" w:lineRule="auto"/>
      </w:pPr>
    </w:p>
    <w:p w14:paraId="0EA53806" w14:textId="5959DCBD" w:rsidR="00550D94" w:rsidRDefault="002A0273" w:rsidP="00DC64B1">
      <w:pPr>
        <w:spacing w:line="360" w:lineRule="auto"/>
        <w:jc w:val="center"/>
      </w:pPr>
      <w:r w:rsidRPr="002765D3">
        <w:rPr>
          <w:noProof/>
          <w:lang w:eastAsia="en-GB"/>
        </w:rPr>
        <w:drawing>
          <wp:inline distT="0" distB="0" distL="0" distR="0" wp14:anchorId="67761700" wp14:editId="2DBDD9E4">
            <wp:extent cx="4958671" cy="31473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4957" cy="3151367"/>
                    </a:xfrm>
                    <a:prstGeom prst="rect">
                      <a:avLst/>
                    </a:prstGeom>
                    <a:noFill/>
                    <a:ln>
                      <a:noFill/>
                    </a:ln>
                  </pic:spPr>
                </pic:pic>
              </a:graphicData>
            </a:graphic>
          </wp:inline>
        </w:drawing>
      </w:r>
    </w:p>
    <w:p w14:paraId="572469A8" w14:textId="6A9DD77D" w:rsidR="002A0273" w:rsidRDefault="002A0273" w:rsidP="00DC64B1">
      <w:pPr>
        <w:spacing w:line="360" w:lineRule="auto"/>
        <w:ind w:left="709" w:right="662"/>
      </w:pPr>
      <w:r w:rsidRPr="005A20FE">
        <w:rPr>
          <w:b/>
          <w:bCs/>
        </w:rPr>
        <w:t>Fig</w:t>
      </w:r>
      <w:r w:rsidR="00712C88" w:rsidRPr="005A20FE">
        <w:rPr>
          <w:b/>
          <w:bCs/>
        </w:rPr>
        <w:t xml:space="preserve">. </w:t>
      </w:r>
      <w:r w:rsidR="00B450FF" w:rsidRPr="005A20FE">
        <w:rPr>
          <w:b/>
          <w:bCs/>
        </w:rPr>
        <w:t>2</w:t>
      </w:r>
      <w:r w:rsidR="00F96527" w:rsidRPr="002A0273">
        <w:t xml:space="preserve"> Probabilities</w:t>
      </w:r>
      <w:r w:rsidRPr="002A0273">
        <w:t xml:space="preserve"> of a major osteoporotic fracture (MOF) in Icelandic women with a prior fracture (of any recency) by age and time horizon</w:t>
      </w:r>
      <w:r w:rsidR="00FD1F5B" w:rsidRPr="00FD1F5B">
        <w:t xml:space="preserve"> </w:t>
      </w:r>
      <w:r w:rsidR="00FD1F5B">
        <w:t>[</w:t>
      </w:r>
      <w:r w:rsidR="00F676EC">
        <w:t>39</w:t>
      </w:r>
      <w:r w:rsidR="00FD1F5B">
        <w:t>]</w:t>
      </w:r>
      <w:r w:rsidR="00B450FF" w:rsidRPr="00B450FF">
        <w:t xml:space="preserve"> (with kind permission from Springer Science+Business Media B.V).</w:t>
      </w:r>
    </w:p>
    <w:p w14:paraId="0133BD54" w14:textId="24079AEE" w:rsidR="00B017F4" w:rsidRDefault="00A36656" w:rsidP="005C775D">
      <w:pPr>
        <w:spacing w:line="360" w:lineRule="auto"/>
      </w:pPr>
      <w:r w:rsidRPr="00A36656">
        <w:t xml:space="preserve">Given the difficulty that many patients (and indeed healthcare professionals) have in the interpretation of risk, being presented with a fracture risk </w:t>
      </w:r>
      <w:r w:rsidR="00A323AF" w:rsidRPr="00A323AF">
        <w:t xml:space="preserve">which is low </w:t>
      </w:r>
      <w:r w:rsidRPr="00A36656">
        <w:t xml:space="preserve">simply because it is over 2 years, may well be rather less convincing with regard to the need to commence treatment, </w:t>
      </w:r>
      <w:r w:rsidR="00D75986" w:rsidRPr="00D75986">
        <w:t>compared with</w:t>
      </w:r>
      <w:r w:rsidRPr="00A36656">
        <w:t xml:space="preserve"> a substantially larger value pertaining to a </w:t>
      </w:r>
      <w:r w:rsidR="005A20FE" w:rsidRPr="00A36656">
        <w:t>10-year</w:t>
      </w:r>
      <w:r w:rsidRPr="00A36656">
        <w:t xml:space="preserve"> time horizon.  </w:t>
      </w:r>
      <w:r w:rsidR="00914B27" w:rsidRPr="00914B27">
        <w:t>Despite a large literature on communication of risk [</w:t>
      </w:r>
      <w:r w:rsidR="00F676EC">
        <w:t>40</w:t>
      </w:r>
      <w:r w:rsidR="00914B27" w:rsidRPr="00914B27">
        <w:t xml:space="preserve">, </w:t>
      </w:r>
      <w:r w:rsidR="00F676EC">
        <w:t>41</w:t>
      </w:r>
      <w:r w:rsidR="00914B27" w:rsidRPr="00914B27">
        <w:t xml:space="preserve">], there is relatively little </w:t>
      </w:r>
      <w:r w:rsidR="00173060">
        <w:t xml:space="preserve">empirical </w:t>
      </w:r>
      <w:r w:rsidR="00914B27" w:rsidRPr="00914B27">
        <w:t>information on the optimal time horizon for expressing risk.  The available information would suggest that longer rather than shorter time horizons are preferred in postmenopausal women [</w:t>
      </w:r>
      <w:r w:rsidR="00F676EC">
        <w:t>41</w:t>
      </w:r>
      <w:r w:rsidR="00914B27" w:rsidRPr="00914B27">
        <w:t xml:space="preserve">, </w:t>
      </w:r>
      <w:r w:rsidR="00F676EC">
        <w:t>42</w:t>
      </w:r>
      <w:r w:rsidR="00914B27" w:rsidRPr="00914B27">
        <w:t>].</w:t>
      </w:r>
    </w:p>
    <w:p w14:paraId="0FD975B2" w14:textId="77777777" w:rsidR="00BA3041" w:rsidRPr="00BA3041" w:rsidRDefault="00BA3041" w:rsidP="00BA3041">
      <w:pPr>
        <w:spacing w:line="276" w:lineRule="auto"/>
        <w:rPr>
          <w:b/>
          <w:bCs/>
          <w:sz w:val="24"/>
          <w:szCs w:val="24"/>
        </w:rPr>
      </w:pPr>
      <w:r w:rsidRPr="00BA3041">
        <w:rPr>
          <w:b/>
          <w:bCs/>
          <w:sz w:val="24"/>
          <w:szCs w:val="24"/>
        </w:rPr>
        <w:t>Adjusting 10-year probability to account for fracture recency</w:t>
      </w:r>
    </w:p>
    <w:p w14:paraId="263D7038" w14:textId="77931F08" w:rsidR="00C11E98" w:rsidRPr="00163149" w:rsidRDefault="00BA3041" w:rsidP="00CC479A">
      <w:pPr>
        <w:spacing w:line="360" w:lineRule="auto"/>
      </w:pPr>
      <w:r w:rsidRPr="00163149">
        <w:t>As stated previously, none of the current fracture risk calculators take account of the heightened fracture risk associated with a recent major osteoporotic fracture.  However, recent analyses demonstrate that estimates of 10-year fracture probability derived from the FRAX tool can be adjusted according to the recency and site of sentinel fractures; this is shown for the outcome of major osteoporotic fracture in Table 2 [</w:t>
      </w:r>
      <w:r w:rsidR="00F676EC">
        <w:t>43</w:t>
      </w:r>
      <w:r w:rsidRPr="00163149">
        <w:t>].  For example, a woman age 70 years from the UK with a prior fragility fracture and no other clinical risk factors has a 20% 10-year fracture probability for a major osteoporotic fracture calculated with FRAX.  Where the prior fracture was recent (within 2 years) and was a clinical spine fracture, the adjusted fracture probability would be upward adjusted to 30% (20 x 1.50).  Thus, many but not all such adjustments substantially increase fracture probability and could change the category of risk from high to very high, depending on the thresholds selected, and thereby merit consideration of anabolic interventions [</w:t>
      </w:r>
      <w:r w:rsidR="00F676EC">
        <w:t>44</w:t>
      </w:r>
      <w:r w:rsidRPr="00163149">
        <w:t>].</w:t>
      </w:r>
    </w:p>
    <w:p w14:paraId="4356059F" w14:textId="406E04F3" w:rsidR="000407E9" w:rsidRDefault="000407E9" w:rsidP="00BA3041">
      <w:pPr>
        <w:spacing w:line="276" w:lineRule="auto"/>
      </w:pPr>
      <w:r w:rsidRPr="00297B2B">
        <w:rPr>
          <w:b/>
          <w:bCs/>
        </w:rPr>
        <w:t xml:space="preserve">Table </w:t>
      </w:r>
      <w:r w:rsidR="00F858F7">
        <w:rPr>
          <w:b/>
          <w:bCs/>
        </w:rPr>
        <w:t>2</w:t>
      </w:r>
      <w:r w:rsidR="00297B2B" w:rsidRPr="00297B2B">
        <w:rPr>
          <w:b/>
          <w:bCs/>
        </w:rPr>
        <w:t>.</w:t>
      </w:r>
      <w:r w:rsidR="00297B2B">
        <w:t xml:space="preserve">  </w:t>
      </w:r>
      <w:r w:rsidR="006B04BC">
        <w:t xml:space="preserve">Multipliers for the adjustment of </w:t>
      </w:r>
      <w:r w:rsidR="001A5396">
        <w:t>conventional estimates of 10-year probability</w:t>
      </w:r>
      <w:r w:rsidR="00301155">
        <w:t xml:space="preserve"> of a</w:t>
      </w:r>
      <w:r w:rsidR="00301155" w:rsidRPr="00301155">
        <w:t xml:space="preserve"> major osteoporotic fracture </w:t>
      </w:r>
      <w:r w:rsidRPr="000407E9">
        <w:t xml:space="preserve">for a recent fracture (within 2 years) </w:t>
      </w:r>
      <w:r w:rsidR="00832177">
        <w:t xml:space="preserve">in men and women </w:t>
      </w:r>
      <w:r w:rsidR="00515392">
        <w:t>at the sites shown</w:t>
      </w:r>
      <w:r w:rsidR="00393E05">
        <w:t xml:space="preserve"> [</w:t>
      </w:r>
      <w:r w:rsidR="00F676EC">
        <w:t>43</w:t>
      </w:r>
      <w:r w:rsidR="00B623DD">
        <w:t>]</w:t>
      </w:r>
      <w:r w:rsidRPr="000407E9">
        <w:t xml:space="preserve">.  </w:t>
      </w:r>
    </w:p>
    <w:tbl>
      <w:tblPr>
        <w:tblStyle w:val="TableGrid"/>
        <w:tblW w:w="0" w:type="auto"/>
        <w:tblLook w:val="04A0" w:firstRow="1" w:lastRow="0" w:firstColumn="1" w:lastColumn="0" w:noHBand="0" w:noVBand="1"/>
      </w:tblPr>
      <w:tblGrid>
        <w:gridCol w:w="844"/>
        <w:gridCol w:w="1099"/>
        <w:gridCol w:w="984"/>
        <w:gridCol w:w="974"/>
        <w:gridCol w:w="985"/>
        <w:gridCol w:w="1033"/>
        <w:gridCol w:w="1083"/>
        <w:gridCol w:w="1007"/>
        <w:gridCol w:w="1007"/>
      </w:tblGrid>
      <w:tr w:rsidR="004C4145" w14:paraId="6C365F0A" w14:textId="77777777" w:rsidTr="00300DA1">
        <w:tc>
          <w:tcPr>
            <w:tcW w:w="844" w:type="dxa"/>
            <w:vMerge w:val="restart"/>
          </w:tcPr>
          <w:p w14:paraId="11C79C87" w14:textId="77777777" w:rsidR="004C4145" w:rsidRPr="004C4145" w:rsidRDefault="004C4145" w:rsidP="004C4145">
            <w:pPr>
              <w:spacing w:line="360" w:lineRule="auto"/>
            </w:pPr>
            <w:r w:rsidRPr="004C4145">
              <w:t>Age</w:t>
            </w:r>
            <w:r>
              <w:t xml:space="preserve"> (years)</w:t>
            </w:r>
          </w:p>
        </w:tc>
        <w:tc>
          <w:tcPr>
            <w:tcW w:w="2083" w:type="dxa"/>
            <w:gridSpan w:val="2"/>
          </w:tcPr>
          <w:p w14:paraId="31CCAF93" w14:textId="77777777" w:rsidR="004C4145" w:rsidRDefault="004C4145" w:rsidP="004C4145">
            <w:pPr>
              <w:spacing w:line="360" w:lineRule="auto"/>
            </w:pPr>
            <w:r>
              <w:t>Spine</w:t>
            </w:r>
          </w:p>
        </w:tc>
        <w:tc>
          <w:tcPr>
            <w:tcW w:w="1959" w:type="dxa"/>
            <w:gridSpan w:val="2"/>
          </w:tcPr>
          <w:p w14:paraId="14786DA7" w14:textId="77777777" w:rsidR="004C4145" w:rsidRDefault="004C4145" w:rsidP="004C4145">
            <w:pPr>
              <w:spacing w:line="360" w:lineRule="auto"/>
            </w:pPr>
            <w:r>
              <w:t>Hip</w:t>
            </w:r>
          </w:p>
        </w:tc>
        <w:tc>
          <w:tcPr>
            <w:tcW w:w="2116" w:type="dxa"/>
            <w:gridSpan w:val="2"/>
          </w:tcPr>
          <w:p w14:paraId="6B134B93" w14:textId="77777777" w:rsidR="004C4145" w:rsidRPr="004C4145" w:rsidRDefault="004C4145" w:rsidP="004C4145">
            <w:pPr>
              <w:spacing w:line="360" w:lineRule="auto"/>
            </w:pPr>
            <w:r>
              <w:t>Humerus</w:t>
            </w:r>
          </w:p>
        </w:tc>
        <w:tc>
          <w:tcPr>
            <w:tcW w:w="2014" w:type="dxa"/>
            <w:gridSpan w:val="2"/>
          </w:tcPr>
          <w:p w14:paraId="5E47312C" w14:textId="77777777" w:rsidR="004C4145" w:rsidRDefault="004C4145" w:rsidP="004C4145">
            <w:pPr>
              <w:spacing w:line="360" w:lineRule="auto"/>
            </w:pPr>
            <w:r>
              <w:t>Forearm</w:t>
            </w:r>
          </w:p>
        </w:tc>
      </w:tr>
      <w:tr w:rsidR="00943204" w14:paraId="32AE8129" w14:textId="6213A84A" w:rsidTr="00F243C3">
        <w:tc>
          <w:tcPr>
            <w:tcW w:w="844" w:type="dxa"/>
            <w:vMerge/>
          </w:tcPr>
          <w:p w14:paraId="619817B3" w14:textId="77777777" w:rsidR="00943204" w:rsidRDefault="00943204" w:rsidP="00F67DD7">
            <w:pPr>
              <w:spacing w:line="360" w:lineRule="auto"/>
            </w:pPr>
          </w:p>
        </w:tc>
        <w:tc>
          <w:tcPr>
            <w:tcW w:w="1099" w:type="dxa"/>
          </w:tcPr>
          <w:p w14:paraId="22D211AF" w14:textId="58C4345E" w:rsidR="00943204" w:rsidRDefault="00943204" w:rsidP="00F67DD7">
            <w:pPr>
              <w:spacing w:line="360" w:lineRule="auto"/>
            </w:pPr>
            <w:r>
              <w:t>Men</w:t>
            </w:r>
          </w:p>
        </w:tc>
        <w:tc>
          <w:tcPr>
            <w:tcW w:w="984" w:type="dxa"/>
          </w:tcPr>
          <w:p w14:paraId="6FFD3060" w14:textId="6FF09CEA" w:rsidR="00943204" w:rsidRDefault="00943204" w:rsidP="00F67DD7">
            <w:pPr>
              <w:spacing w:line="360" w:lineRule="auto"/>
            </w:pPr>
            <w:r>
              <w:t>Women</w:t>
            </w:r>
          </w:p>
        </w:tc>
        <w:tc>
          <w:tcPr>
            <w:tcW w:w="974" w:type="dxa"/>
          </w:tcPr>
          <w:p w14:paraId="5F35CFDB" w14:textId="5BC52CD8" w:rsidR="00943204" w:rsidRDefault="00943204" w:rsidP="00F67DD7">
            <w:pPr>
              <w:spacing w:line="360" w:lineRule="auto"/>
            </w:pPr>
            <w:r>
              <w:t>Men</w:t>
            </w:r>
          </w:p>
        </w:tc>
        <w:tc>
          <w:tcPr>
            <w:tcW w:w="985" w:type="dxa"/>
          </w:tcPr>
          <w:p w14:paraId="2E73DD80" w14:textId="36564FBC" w:rsidR="00943204" w:rsidRDefault="00943204" w:rsidP="00F67DD7">
            <w:pPr>
              <w:spacing w:line="360" w:lineRule="auto"/>
            </w:pPr>
            <w:r>
              <w:t>Women</w:t>
            </w:r>
          </w:p>
        </w:tc>
        <w:tc>
          <w:tcPr>
            <w:tcW w:w="1033" w:type="dxa"/>
          </w:tcPr>
          <w:p w14:paraId="2E054248" w14:textId="38ECA041" w:rsidR="00943204" w:rsidRDefault="00943204" w:rsidP="00F67DD7">
            <w:pPr>
              <w:spacing w:line="360" w:lineRule="auto"/>
            </w:pPr>
            <w:r>
              <w:t>Men</w:t>
            </w:r>
          </w:p>
        </w:tc>
        <w:tc>
          <w:tcPr>
            <w:tcW w:w="1083" w:type="dxa"/>
          </w:tcPr>
          <w:p w14:paraId="1ACC8246" w14:textId="68CCADB6" w:rsidR="00943204" w:rsidRDefault="00943204" w:rsidP="00F67DD7">
            <w:pPr>
              <w:spacing w:line="360" w:lineRule="auto"/>
            </w:pPr>
            <w:r>
              <w:t>Women</w:t>
            </w:r>
          </w:p>
        </w:tc>
        <w:tc>
          <w:tcPr>
            <w:tcW w:w="1007" w:type="dxa"/>
          </w:tcPr>
          <w:p w14:paraId="2724924B" w14:textId="29698FB2" w:rsidR="00943204" w:rsidRDefault="00943204" w:rsidP="00F67DD7">
            <w:pPr>
              <w:spacing w:line="360" w:lineRule="auto"/>
            </w:pPr>
            <w:r>
              <w:t>Men</w:t>
            </w:r>
          </w:p>
        </w:tc>
        <w:tc>
          <w:tcPr>
            <w:tcW w:w="1007" w:type="dxa"/>
          </w:tcPr>
          <w:p w14:paraId="272C046A" w14:textId="51BA5CE1" w:rsidR="00943204" w:rsidRDefault="00943204" w:rsidP="00F67DD7">
            <w:pPr>
              <w:spacing w:line="360" w:lineRule="auto"/>
            </w:pPr>
            <w:r>
              <w:t>Women</w:t>
            </w:r>
          </w:p>
        </w:tc>
      </w:tr>
      <w:tr w:rsidR="00F67DD7" w14:paraId="7D7149FC" w14:textId="23557ED9" w:rsidTr="00F243C3">
        <w:tc>
          <w:tcPr>
            <w:tcW w:w="844" w:type="dxa"/>
          </w:tcPr>
          <w:p w14:paraId="6B9DD18A" w14:textId="57B689C5" w:rsidR="00F67DD7" w:rsidRDefault="00F67DD7" w:rsidP="00F67DD7">
            <w:pPr>
              <w:spacing w:line="360" w:lineRule="auto"/>
            </w:pPr>
            <w:r w:rsidRPr="00AC2F38">
              <w:rPr>
                <w:rFonts w:ascii="Calibri" w:hAnsi="Calibri" w:cs="Calibri"/>
              </w:rPr>
              <w:t>40</w:t>
            </w:r>
          </w:p>
        </w:tc>
        <w:tc>
          <w:tcPr>
            <w:tcW w:w="1099" w:type="dxa"/>
          </w:tcPr>
          <w:p w14:paraId="207C9E8F" w14:textId="55783AF1" w:rsidR="00F67DD7" w:rsidRDefault="00F67DD7" w:rsidP="00F67DD7">
            <w:pPr>
              <w:spacing w:line="360" w:lineRule="auto"/>
            </w:pPr>
            <w:r w:rsidRPr="00AC2F38">
              <w:rPr>
                <w:rFonts w:ascii="Calibri" w:hAnsi="Calibri" w:cs="Calibri"/>
              </w:rPr>
              <w:t>4.18</w:t>
            </w:r>
          </w:p>
        </w:tc>
        <w:tc>
          <w:tcPr>
            <w:tcW w:w="984" w:type="dxa"/>
          </w:tcPr>
          <w:p w14:paraId="67DB9E80" w14:textId="50CE50BC" w:rsidR="00F67DD7" w:rsidRDefault="00F67DD7" w:rsidP="00F67DD7">
            <w:pPr>
              <w:spacing w:line="360" w:lineRule="auto"/>
            </w:pPr>
            <w:r w:rsidRPr="0070500E">
              <w:rPr>
                <w:rFonts w:ascii="Calibri" w:hAnsi="Calibri" w:cs="Calibri"/>
              </w:rPr>
              <w:t>7.14</w:t>
            </w:r>
          </w:p>
        </w:tc>
        <w:tc>
          <w:tcPr>
            <w:tcW w:w="974" w:type="dxa"/>
          </w:tcPr>
          <w:p w14:paraId="6F5C8A6F" w14:textId="4E2B672C" w:rsidR="00F67DD7" w:rsidRDefault="00F67DD7" w:rsidP="00F67DD7">
            <w:pPr>
              <w:spacing w:line="360" w:lineRule="auto"/>
            </w:pPr>
            <w:r w:rsidRPr="00AC2F38">
              <w:rPr>
                <w:rFonts w:ascii="Calibri" w:hAnsi="Calibri" w:cs="Calibri"/>
              </w:rPr>
              <w:t>5.31</w:t>
            </w:r>
          </w:p>
        </w:tc>
        <w:tc>
          <w:tcPr>
            <w:tcW w:w="985" w:type="dxa"/>
          </w:tcPr>
          <w:p w14:paraId="4C37C0C8" w14:textId="277D3100" w:rsidR="00F67DD7" w:rsidRDefault="00F67DD7" w:rsidP="00F67DD7">
            <w:pPr>
              <w:spacing w:line="360" w:lineRule="auto"/>
            </w:pPr>
            <w:r w:rsidRPr="00AC2F38">
              <w:rPr>
                <w:rFonts w:ascii="Calibri" w:hAnsi="Calibri" w:cs="Calibri"/>
              </w:rPr>
              <w:t>6.77</w:t>
            </w:r>
          </w:p>
        </w:tc>
        <w:tc>
          <w:tcPr>
            <w:tcW w:w="1033" w:type="dxa"/>
          </w:tcPr>
          <w:p w14:paraId="11EB8742" w14:textId="7367ACB5" w:rsidR="00F67DD7" w:rsidRDefault="00F67DD7" w:rsidP="00F67DD7">
            <w:pPr>
              <w:spacing w:line="360" w:lineRule="auto"/>
            </w:pPr>
            <w:r w:rsidRPr="00AC2F38">
              <w:rPr>
                <w:rFonts w:ascii="Calibri" w:hAnsi="Calibri" w:cs="Calibri"/>
              </w:rPr>
              <w:t>3.08</w:t>
            </w:r>
          </w:p>
        </w:tc>
        <w:tc>
          <w:tcPr>
            <w:tcW w:w="1083" w:type="dxa"/>
          </w:tcPr>
          <w:p w14:paraId="13B0B736" w14:textId="713A8986" w:rsidR="00F67DD7" w:rsidRDefault="00F67DD7" w:rsidP="00F67DD7">
            <w:pPr>
              <w:spacing w:line="360" w:lineRule="auto"/>
            </w:pPr>
            <w:r w:rsidRPr="0070500E">
              <w:rPr>
                <w:rFonts w:ascii="Calibri" w:hAnsi="Calibri" w:cs="Calibri"/>
              </w:rPr>
              <w:t>4.79</w:t>
            </w:r>
          </w:p>
        </w:tc>
        <w:tc>
          <w:tcPr>
            <w:tcW w:w="1007" w:type="dxa"/>
          </w:tcPr>
          <w:p w14:paraId="71B885AC" w14:textId="7874356E" w:rsidR="00F67DD7" w:rsidRPr="0070500E" w:rsidRDefault="00F67DD7" w:rsidP="00F67DD7">
            <w:pPr>
              <w:spacing w:line="360" w:lineRule="auto"/>
              <w:rPr>
                <w:rFonts w:ascii="Calibri" w:hAnsi="Calibri" w:cs="Calibri"/>
              </w:rPr>
            </w:pPr>
            <w:r w:rsidRPr="00AC2F38">
              <w:rPr>
                <w:rFonts w:ascii="Calibri" w:hAnsi="Calibri" w:cs="Calibri"/>
              </w:rPr>
              <w:t>2.61</w:t>
            </w:r>
          </w:p>
        </w:tc>
        <w:tc>
          <w:tcPr>
            <w:tcW w:w="1007" w:type="dxa"/>
          </w:tcPr>
          <w:p w14:paraId="21F00A4C" w14:textId="0DBF8E1B" w:rsidR="00F67DD7" w:rsidRPr="0070500E" w:rsidRDefault="00F67DD7" w:rsidP="00F67DD7">
            <w:pPr>
              <w:spacing w:line="360" w:lineRule="auto"/>
              <w:rPr>
                <w:rFonts w:ascii="Calibri" w:hAnsi="Calibri" w:cs="Calibri"/>
              </w:rPr>
            </w:pPr>
            <w:r w:rsidRPr="00AC2F38">
              <w:rPr>
                <w:rFonts w:ascii="Calibri" w:hAnsi="Calibri" w:cs="Calibri"/>
              </w:rPr>
              <w:t>3.53</w:t>
            </w:r>
          </w:p>
        </w:tc>
      </w:tr>
      <w:tr w:rsidR="004C4145" w14:paraId="5C2E9EDE" w14:textId="77777777" w:rsidTr="00D2728B">
        <w:tc>
          <w:tcPr>
            <w:tcW w:w="844" w:type="dxa"/>
          </w:tcPr>
          <w:p w14:paraId="25B86814" w14:textId="77777777" w:rsidR="004C4145" w:rsidRPr="004C4145" w:rsidRDefault="004C4145" w:rsidP="004C4145">
            <w:pPr>
              <w:spacing w:line="360" w:lineRule="auto"/>
            </w:pPr>
            <w:r w:rsidRPr="004C4145">
              <w:rPr>
                <w:rFonts w:ascii="Calibri" w:hAnsi="Calibri"/>
              </w:rPr>
              <w:t>50</w:t>
            </w:r>
          </w:p>
        </w:tc>
        <w:tc>
          <w:tcPr>
            <w:tcW w:w="1099" w:type="dxa"/>
          </w:tcPr>
          <w:p w14:paraId="2E7D7ECA" w14:textId="77777777" w:rsidR="004C4145" w:rsidRDefault="004C4145" w:rsidP="004C4145">
            <w:pPr>
              <w:spacing w:line="360" w:lineRule="auto"/>
            </w:pPr>
            <w:r w:rsidRPr="004C4145">
              <w:rPr>
                <w:rFonts w:ascii="Calibri" w:hAnsi="Calibri"/>
              </w:rPr>
              <w:t>1.</w:t>
            </w:r>
            <w:r w:rsidRPr="00AC2F38">
              <w:rPr>
                <w:rFonts w:ascii="Calibri" w:hAnsi="Calibri" w:cs="Calibri"/>
              </w:rPr>
              <w:t>92</w:t>
            </w:r>
          </w:p>
        </w:tc>
        <w:tc>
          <w:tcPr>
            <w:tcW w:w="984" w:type="dxa"/>
          </w:tcPr>
          <w:p w14:paraId="1F75D5B7" w14:textId="77777777" w:rsidR="004C4145" w:rsidRDefault="004C4145" w:rsidP="004C4145">
            <w:pPr>
              <w:spacing w:line="360" w:lineRule="auto"/>
            </w:pPr>
            <w:r w:rsidRPr="0070500E">
              <w:rPr>
                <w:rFonts w:ascii="Calibri" w:hAnsi="Calibri" w:cs="Calibri"/>
              </w:rPr>
              <w:t>2.62</w:t>
            </w:r>
          </w:p>
        </w:tc>
        <w:tc>
          <w:tcPr>
            <w:tcW w:w="974" w:type="dxa"/>
          </w:tcPr>
          <w:p w14:paraId="06948827" w14:textId="03919F04" w:rsidR="004C4145" w:rsidRDefault="004C4145" w:rsidP="004C4145">
            <w:pPr>
              <w:spacing w:line="360" w:lineRule="auto"/>
            </w:pPr>
            <w:r w:rsidRPr="00AC2F38">
              <w:rPr>
                <w:rFonts w:ascii="Calibri" w:hAnsi="Calibri" w:cs="Calibri"/>
              </w:rPr>
              <w:t>2.</w:t>
            </w:r>
            <w:r w:rsidRPr="004C4145">
              <w:rPr>
                <w:rFonts w:ascii="Calibri" w:hAnsi="Calibri"/>
              </w:rPr>
              <w:t>28</w:t>
            </w:r>
          </w:p>
        </w:tc>
        <w:tc>
          <w:tcPr>
            <w:tcW w:w="985" w:type="dxa"/>
          </w:tcPr>
          <w:p w14:paraId="0B37FC44" w14:textId="048E134E" w:rsidR="004C4145" w:rsidRPr="004C4145" w:rsidRDefault="004C4145" w:rsidP="004C4145">
            <w:pPr>
              <w:spacing w:line="360" w:lineRule="auto"/>
            </w:pPr>
            <w:r w:rsidRPr="00AC2F38">
              <w:rPr>
                <w:rFonts w:ascii="Calibri" w:hAnsi="Calibri" w:cs="Calibri"/>
              </w:rPr>
              <w:t>2.38</w:t>
            </w:r>
          </w:p>
        </w:tc>
        <w:tc>
          <w:tcPr>
            <w:tcW w:w="1033" w:type="dxa"/>
          </w:tcPr>
          <w:p w14:paraId="7DD563BD" w14:textId="77777777" w:rsidR="004C4145" w:rsidRDefault="004C4145" w:rsidP="00F67DD7">
            <w:pPr>
              <w:spacing w:line="360" w:lineRule="auto"/>
            </w:pPr>
            <w:r w:rsidRPr="0070500E">
              <w:rPr>
                <w:rFonts w:ascii="Calibri" w:hAnsi="Calibri" w:cs="Calibri"/>
              </w:rPr>
              <w:t>1.56</w:t>
            </w:r>
          </w:p>
        </w:tc>
        <w:tc>
          <w:tcPr>
            <w:tcW w:w="1083" w:type="dxa"/>
          </w:tcPr>
          <w:p w14:paraId="7E603BD9" w14:textId="77777777" w:rsidR="004C4145" w:rsidRDefault="004C4145" w:rsidP="00F67DD7">
            <w:pPr>
              <w:spacing w:line="360" w:lineRule="auto"/>
            </w:pPr>
            <w:r w:rsidRPr="0070500E">
              <w:rPr>
                <w:rFonts w:ascii="Calibri" w:hAnsi="Calibri" w:cs="Calibri"/>
              </w:rPr>
              <w:t>1.96</w:t>
            </w:r>
          </w:p>
        </w:tc>
        <w:tc>
          <w:tcPr>
            <w:tcW w:w="1007" w:type="dxa"/>
          </w:tcPr>
          <w:p w14:paraId="4CE4ED24" w14:textId="77777777" w:rsidR="004C4145" w:rsidRPr="0070500E" w:rsidRDefault="004C4145" w:rsidP="00F67DD7">
            <w:pPr>
              <w:spacing w:line="360" w:lineRule="auto"/>
              <w:rPr>
                <w:rFonts w:ascii="Calibri" w:hAnsi="Calibri" w:cs="Calibri"/>
              </w:rPr>
            </w:pPr>
            <w:r w:rsidRPr="00AC2F38">
              <w:rPr>
                <w:rFonts w:ascii="Calibri" w:hAnsi="Calibri" w:cs="Calibri"/>
              </w:rPr>
              <w:t>1.33</w:t>
            </w:r>
          </w:p>
        </w:tc>
        <w:tc>
          <w:tcPr>
            <w:tcW w:w="1007" w:type="dxa"/>
          </w:tcPr>
          <w:p w14:paraId="056A5AEB" w14:textId="77777777" w:rsidR="004C4145" w:rsidRPr="0070500E" w:rsidRDefault="004C4145" w:rsidP="00F67DD7">
            <w:pPr>
              <w:spacing w:line="360" w:lineRule="auto"/>
              <w:rPr>
                <w:rFonts w:ascii="Calibri" w:hAnsi="Calibri" w:cs="Calibri"/>
              </w:rPr>
            </w:pPr>
            <w:r w:rsidRPr="00AC2F38">
              <w:rPr>
                <w:rFonts w:ascii="Calibri" w:hAnsi="Calibri" w:cs="Calibri"/>
              </w:rPr>
              <w:t>1.46</w:t>
            </w:r>
          </w:p>
        </w:tc>
      </w:tr>
      <w:tr w:rsidR="00F67DD7" w14:paraId="4712BBB9" w14:textId="6A667E95" w:rsidTr="004C4145">
        <w:tc>
          <w:tcPr>
            <w:tcW w:w="844" w:type="dxa"/>
          </w:tcPr>
          <w:p w14:paraId="76ED711D" w14:textId="1C705730" w:rsidR="00F67DD7" w:rsidRPr="004C4145" w:rsidRDefault="00F67DD7" w:rsidP="004C4145">
            <w:pPr>
              <w:spacing w:line="360" w:lineRule="auto"/>
            </w:pPr>
            <w:r w:rsidRPr="004C4145">
              <w:rPr>
                <w:rFonts w:ascii="Calibri" w:hAnsi="Calibri"/>
              </w:rPr>
              <w:t>60</w:t>
            </w:r>
          </w:p>
        </w:tc>
        <w:tc>
          <w:tcPr>
            <w:tcW w:w="1099" w:type="dxa"/>
          </w:tcPr>
          <w:p w14:paraId="0E195F86" w14:textId="64513F21" w:rsidR="00F67DD7" w:rsidRDefault="00F67DD7" w:rsidP="004C4145">
            <w:pPr>
              <w:spacing w:line="360" w:lineRule="auto"/>
            </w:pPr>
            <w:r w:rsidRPr="0070500E">
              <w:rPr>
                <w:rFonts w:ascii="Calibri" w:hAnsi="Calibri" w:cs="Calibri"/>
              </w:rPr>
              <w:t>1.57</w:t>
            </w:r>
          </w:p>
        </w:tc>
        <w:tc>
          <w:tcPr>
            <w:tcW w:w="984" w:type="dxa"/>
          </w:tcPr>
          <w:p w14:paraId="7E724010" w14:textId="1BEFBD84" w:rsidR="00F67DD7" w:rsidRDefault="00F67DD7" w:rsidP="004C4145">
            <w:pPr>
              <w:spacing w:line="360" w:lineRule="auto"/>
            </w:pPr>
            <w:r w:rsidRPr="0070500E">
              <w:rPr>
                <w:rFonts w:ascii="Calibri" w:hAnsi="Calibri" w:cs="Calibri"/>
              </w:rPr>
              <w:t>1.84</w:t>
            </w:r>
          </w:p>
        </w:tc>
        <w:tc>
          <w:tcPr>
            <w:tcW w:w="974" w:type="dxa"/>
          </w:tcPr>
          <w:p w14:paraId="0010A259" w14:textId="57463357" w:rsidR="00F67DD7" w:rsidRPr="004C4145" w:rsidRDefault="00F67DD7" w:rsidP="004C4145">
            <w:pPr>
              <w:spacing w:line="360" w:lineRule="auto"/>
            </w:pPr>
            <w:r w:rsidRPr="00AC2F38">
              <w:rPr>
                <w:rFonts w:ascii="Calibri" w:hAnsi="Calibri" w:cs="Calibri"/>
              </w:rPr>
              <w:t>1.73</w:t>
            </w:r>
          </w:p>
        </w:tc>
        <w:tc>
          <w:tcPr>
            <w:tcW w:w="985" w:type="dxa"/>
          </w:tcPr>
          <w:p w14:paraId="1930DF9D" w14:textId="3B2C67E6" w:rsidR="00F67DD7" w:rsidRDefault="00F67DD7" w:rsidP="004C4145">
            <w:pPr>
              <w:spacing w:line="360" w:lineRule="auto"/>
            </w:pPr>
            <w:r w:rsidRPr="00AC2F38">
              <w:rPr>
                <w:rFonts w:ascii="Calibri" w:hAnsi="Calibri" w:cs="Calibri"/>
              </w:rPr>
              <w:t>1.60</w:t>
            </w:r>
          </w:p>
        </w:tc>
        <w:tc>
          <w:tcPr>
            <w:tcW w:w="1033" w:type="dxa"/>
          </w:tcPr>
          <w:p w14:paraId="02FF551E" w14:textId="319AAD7C" w:rsidR="00F67DD7" w:rsidRDefault="00F67DD7" w:rsidP="004C4145">
            <w:pPr>
              <w:spacing w:line="360" w:lineRule="auto"/>
            </w:pPr>
            <w:r w:rsidRPr="0070500E">
              <w:rPr>
                <w:rFonts w:ascii="Calibri" w:hAnsi="Calibri" w:cs="Calibri"/>
              </w:rPr>
              <w:t>1.42</w:t>
            </w:r>
          </w:p>
        </w:tc>
        <w:tc>
          <w:tcPr>
            <w:tcW w:w="1083" w:type="dxa"/>
          </w:tcPr>
          <w:p w14:paraId="1871212F" w14:textId="15FE3A1A" w:rsidR="00F67DD7" w:rsidRPr="004C4145" w:rsidRDefault="00F67DD7" w:rsidP="004C4145">
            <w:pPr>
              <w:spacing w:line="360" w:lineRule="auto"/>
            </w:pPr>
            <w:r w:rsidRPr="0070500E">
              <w:rPr>
                <w:rFonts w:ascii="Calibri" w:hAnsi="Calibri" w:cs="Calibri"/>
              </w:rPr>
              <w:t>1.54</w:t>
            </w:r>
          </w:p>
        </w:tc>
        <w:tc>
          <w:tcPr>
            <w:tcW w:w="1007" w:type="dxa"/>
          </w:tcPr>
          <w:p w14:paraId="0E3AD2DD" w14:textId="3E92BCE1" w:rsidR="00F67DD7" w:rsidRPr="0070500E" w:rsidRDefault="00F67DD7" w:rsidP="00F67DD7">
            <w:pPr>
              <w:spacing w:line="360" w:lineRule="auto"/>
              <w:rPr>
                <w:rFonts w:ascii="Calibri" w:hAnsi="Calibri" w:cs="Calibri"/>
              </w:rPr>
            </w:pPr>
            <w:r w:rsidRPr="00AC2F38">
              <w:rPr>
                <w:rFonts w:ascii="Calibri" w:hAnsi="Calibri" w:cs="Calibri"/>
              </w:rPr>
              <w:t>1.23</w:t>
            </w:r>
          </w:p>
        </w:tc>
        <w:tc>
          <w:tcPr>
            <w:tcW w:w="1007" w:type="dxa"/>
          </w:tcPr>
          <w:p w14:paraId="7912FBC2" w14:textId="148A514A" w:rsidR="00F67DD7" w:rsidRPr="0070500E" w:rsidRDefault="00F67DD7" w:rsidP="00F67DD7">
            <w:pPr>
              <w:spacing w:line="360" w:lineRule="auto"/>
              <w:rPr>
                <w:rFonts w:ascii="Calibri" w:hAnsi="Calibri" w:cs="Calibri"/>
              </w:rPr>
            </w:pPr>
            <w:r w:rsidRPr="00AC2F38">
              <w:rPr>
                <w:rFonts w:ascii="Calibri" w:hAnsi="Calibri" w:cs="Calibri"/>
              </w:rPr>
              <w:t>1.16</w:t>
            </w:r>
          </w:p>
        </w:tc>
      </w:tr>
      <w:tr w:rsidR="00315A04" w14:paraId="3A2946C2" w14:textId="77777777" w:rsidTr="00F243C3">
        <w:tc>
          <w:tcPr>
            <w:tcW w:w="844" w:type="dxa"/>
          </w:tcPr>
          <w:p w14:paraId="34B8709C" w14:textId="5507B8EF" w:rsidR="00F67DD7" w:rsidRPr="004C4145" w:rsidRDefault="00F67DD7" w:rsidP="004C4145">
            <w:pPr>
              <w:spacing w:line="360" w:lineRule="auto"/>
            </w:pPr>
            <w:r w:rsidRPr="00AC2F38">
              <w:rPr>
                <w:rFonts w:ascii="Calibri" w:hAnsi="Calibri" w:cs="Calibri"/>
              </w:rPr>
              <w:t>70</w:t>
            </w:r>
          </w:p>
        </w:tc>
        <w:tc>
          <w:tcPr>
            <w:tcW w:w="1099" w:type="dxa"/>
          </w:tcPr>
          <w:p w14:paraId="22C4CE1D" w14:textId="244E7939" w:rsidR="00F67DD7" w:rsidRDefault="00F67DD7" w:rsidP="004C4145">
            <w:pPr>
              <w:spacing w:line="360" w:lineRule="auto"/>
            </w:pPr>
            <w:r w:rsidRPr="0070500E">
              <w:rPr>
                <w:rFonts w:ascii="Calibri" w:hAnsi="Calibri" w:cs="Calibri"/>
              </w:rPr>
              <w:t>1.48</w:t>
            </w:r>
          </w:p>
        </w:tc>
        <w:tc>
          <w:tcPr>
            <w:tcW w:w="984" w:type="dxa"/>
          </w:tcPr>
          <w:p w14:paraId="73240646" w14:textId="718D55B9" w:rsidR="00F67DD7" w:rsidRDefault="00F67DD7" w:rsidP="004C4145">
            <w:pPr>
              <w:spacing w:line="360" w:lineRule="auto"/>
            </w:pPr>
            <w:r w:rsidRPr="0070500E">
              <w:rPr>
                <w:rFonts w:ascii="Calibri" w:hAnsi="Calibri" w:cs="Calibri"/>
              </w:rPr>
              <w:t>1.50</w:t>
            </w:r>
          </w:p>
        </w:tc>
        <w:tc>
          <w:tcPr>
            <w:tcW w:w="974" w:type="dxa"/>
          </w:tcPr>
          <w:p w14:paraId="4811A02B" w14:textId="561E8820" w:rsidR="00F67DD7" w:rsidRPr="004C4145" w:rsidRDefault="00F67DD7" w:rsidP="004C4145">
            <w:pPr>
              <w:spacing w:line="360" w:lineRule="auto"/>
            </w:pPr>
            <w:r w:rsidRPr="00AC2F38">
              <w:rPr>
                <w:rFonts w:ascii="Calibri" w:hAnsi="Calibri" w:cs="Calibri"/>
              </w:rPr>
              <w:t>1.46</w:t>
            </w:r>
          </w:p>
        </w:tc>
        <w:tc>
          <w:tcPr>
            <w:tcW w:w="985" w:type="dxa"/>
          </w:tcPr>
          <w:p w14:paraId="673A6B75" w14:textId="6C591F72" w:rsidR="00F67DD7" w:rsidRDefault="00F67DD7" w:rsidP="004C4145">
            <w:pPr>
              <w:spacing w:line="360" w:lineRule="auto"/>
            </w:pPr>
            <w:r w:rsidRPr="00AC2F38">
              <w:rPr>
                <w:rFonts w:ascii="Calibri" w:hAnsi="Calibri" w:cs="Calibri"/>
              </w:rPr>
              <w:t>1.23</w:t>
            </w:r>
          </w:p>
        </w:tc>
        <w:tc>
          <w:tcPr>
            <w:tcW w:w="1033" w:type="dxa"/>
          </w:tcPr>
          <w:p w14:paraId="47395F8A" w14:textId="321840DE" w:rsidR="00F67DD7" w:rsidRDefault="00F67DD7" w:rsidP="004C4145">
            <w:pPr>
              <w:spacing w:line="360" w:lineRule="auto"/>
            </w:pPr>
            <w:r w:rsidRPr="0070500E">
              <w:rPr>
                <w:rFonts w:ascii="Calibri" w:hAnsi="Calibri" w:cs="Calibri"/>
              </w:rPr>
              <w:t>1.45</w:t>
            </w:r>
          </w:p>
        </w:tc>
        <w:tc>
          <w:tcPr>
            <w:tcW w:w="1083" w:type="dxa"/>
          </w:tcPr>
          <w:p w14:paraId="7F130A85" w14:textId="677D4037" w:rsidR="00F67DD7" w:rsidRPr="004C4145" w:rsidRDefault="00F67DD7" w:rsidP="004C4145">
            <w:pPr>
              <w:spacing w:line="360" w:lineRule="auto"/>
            </w:pPr>
            <w:r w:rsidRPr="004C4145">
              <w:rPr>
                <w:rFonts w:ascii="Calibri" w:hAnsi="Calibri"/>
              </w:rPr>
              <w:t>1.</w:t>
            </w:r>
            <w:r w:rsidRPr="0070500E">
              <w:rPr>
                <w:rFonts w:ascii="Calibri" w:hAnsi="Calibri" w:cs="Calibri"/>
              </w:rPr>
              <w:t>39</w:t>
            </w:r>
          </w:p>
        </w:tc>
        <w:tc>
          <w:tcPr>
            <w:tcW w:w="1007" w:type="dxa"/>
          </w:tcPr>
          <w:p w14:paraId="55FD5F83" w14:textId="1E64D6E9" w:rsidR="00F67DD7" w:rsidRPr="0070500E" w:rsidRDefault="00F67DD7" w:rsidP="00F67DD7">
            <w:pPr>
              <w:spacing w:line="360" w:lineRule="auto"/>
              <w:rPr>
                <w:rFonts w:ascii="Calibri" w:hAnsi="Calibri" w:cs="Calibri"/>
              </w:rPr>
            </w:pPr>
            <w:r w:rsidRPr="00AC2F38">
              <w:rPr>
                <w:rFonts w:ascii="Calibri" w:hAnsi="Calibri" w:cs="Calibri"/>
              </w:rPr>
              <w:t>1.33</w:t>
            </w:r>
          </w:p>
        </w:tc>
        <w:tc>
          <w:tcPr>
            <w:tcW w:w="1007" w:type="dxa"/>
          </w:tcPr>
          <w:p w14:paraId="61DA9652" w14:textId="195D521C" w:rsidR="00F67DD7" w:rsidRPr="0070500E" w:rsidRDefault="00F67DD7" w:rsidP="00F67DD7">
            <w:pPr>
              <w:spacing w:line="360" w:lineRule="auto"/>
              <w:rPr>
                <w:rFonts w:ascii="Calibri" w:hAnsi="Calibri" w:cs="Calibri"/>
              </w:rPr>
            </w:pPr>
            <w:r w:rsidRPr="0070500E">
              <w:rPr>
                <w:rFonts w:ascii="Calibri" w:hAnsi="Calibri" w:cs="Calibri"/>
              </w:rPr>
              <w:t>1.09</w:t>
            </w:r>
          </w:p>
        </w:tc>
      </w:tr>
      <w:tr w:rsidR="00F67DD7" w14:paraId="4481274C" w14:textId="64F27E90" w:rsidTr="00F243C3">
        <w:tc>
          <w:tcPr>
            <w:tcW w:w="844" w:type="dxa"/>
          </w:tcPr>
          <w:p w14:paraId="22028409" w14:textId="153D8853" w:rsidR="00F67DD7" w:rsidRDefault="00F67DD7" w:rsidP="00F67DD7">
            <w:pPr>
              <w:spacing w:line="360" w:lineRule="auto"/>
            </w:pPr>
            <w:r w:rsidRPr="00AC2F38">
              <w:rPr>
                <w:rFonts w:ascii="Calibri" w:hAnsi="Calibri" w:cs="Calibri"/>
              </w:rPr>
              <w:t>80</w:t>
            </w:r>
          </w:p>
        </w:tc>
        <w:tc>
          <w:tcPr>
            <w:tcW w:w="1099" w:type="dxa"/>
          </w:tcPr>
          <w:p w14:paraId="5590193F" w14:textId="3EECEFF4" w:rsidR="00F67DD7" w:rsidRDefault="00F67DD7" w:rsidP="00F67DD7">
            <w:pPr>
              <w:spacing w:line="360" w:lineRule="auto"/>
            </w:pPr>
            <w:r w:rsidRPr="0070500E">
              <w:rPr>
                <w:rFonts w:ascii="Calibri" w:hAnsi="Calibri" w:cs="Calibri"/>
              </w:rPr>
              <w:t>1.24</w:t>
            </w:r>
          </w:p>
        </w:tc>
        <w:tc>
          <w:tcPr>
            <w:tcW w:w="984" w:type="dxa"/>
          </w:tcPr>
          <w:p w14:paraId="142566C6" w14:textId="22EE6377" w:rsidR="00F67DD7" w:rsidRDefault="00F67DD7" w:rsidP="00F67DD7">
            <w:pPr>
              <w:spacing w:line="360" w:lineRule="auto"/>
            </w:pPr>
            <w:r w:rsidRPr="0070500E">
              <w:rPr>
                <w:rFonts w:ascii="Calibri" w:hAnsi="Calibri" w:cs="Calibri"/>
              </w:rPr>
              <w:t>1.23</w:t>
            </w:r>
          </w:p>
        </w:tc>
        <w:tc>
          <w:tcPr>
            <w:tcW w:w="974" w:type="dxa"/>
          </w:tcPr>
          <w:p w14:paraId="79E46815" w14:textId="27451F27" w:rsidR="00F67DD7" w:rsidRDefault="00F67DD7" w:rsidP="00F67DD7">
            <w:pPr>
              <w:spacing w:line="360" w:lineRule="auto"/>
            </w:pPr>
            <w:r w:rsidRPr="0070500E">
              <w:rPr>
                <w:rFonts w:ascii="Calibri" w:hAnsi="Calibri" w:cs="Calibri"/>
              </w:rPr>
              <w:t>1.08</w:t>
            </w:r>
          </w:p>
        </w:tc>
        <w:tc>
          <w:tcPr>
            <w:tcW w:w="985" w:type="dxa"/>
          </w:tcPr>
          <w:p w14:paraId="4A79E9A3" w14:textId="07206256" w:rsidR="00F67DD7" w:rsidRDefault="00F67DD7" w:rsidP="00F67DD7">
            <w:pPr>
              <w:spacing w:line="360" w:lineRule="auto"/>
            </w:pPr>
            <w:r w:rsidRPr="0070500E">
              <w:rPr>
                <w:rFonts w:ascii="Calibri" w:hAnsi="Calibri" w:cs="Calibri"/>
              </w:rPr>
              <w:t>0.95</w:t>
            </w:r>
          </w:p>
        </w:tc>
        <w:tc>
          <w:tcPr>
            <w:tcW w:w="1033" w:type="dxa"/>
          </w:tcPr>
          <w:p w14:paraId="4204DD5E" w14:textId="0F279CBA" w:rsidR="00F67DD7" w:rsidRDefault="00F67DD7" w:rsidP="00F67DD7">
            <w:pPr>
              <w:spacing w:line="360" w:lineRule="auto"/>
            </w:pPr>
            <w:r w:rsidRPr="0070500E">
              <w:rPr>
                <w:rFonts w:ascii="Calibri" w:hAnsi="Calibri" w:cs="Calibri"/>
              </w:rPr>
              <w:t>1.25</w:t>
            </w:r>
          </w:p>
        </w:tc>
        <w:tc>
          <w:tcPr>
            <w:tcW w:w="1083" w:type="dxa"/>
          </w:tcPr>
          <w:p w14:paraId="4FAD401B" w14:textId="7A255D43" w:rsidR="00F67DD7" w:rsidRDefault="00F67DD7" w:rsidP="00F67DD7">
            <w:pPr>
              <w:spacing w:line="360" w:lineRule="auto"/>
            </w:pPr>
            <w:r w:rsidRPr="0070500E">
              <w:rPr>
                <w:rFonts w:ascii="Calibri" w:hAnsi="Calibri" w:cs="Calibri"/>
              </w:rPr>
              <w:t>1.26</w:t>
            </w:r>
          </w:p>
        </w:tc>
        <w:tc>
          <w:tcPr>
            <w:tcW w:w="1007" w:type="dxa"/>
          </w:tcPr>
          <w:p w14:paraId="3363D3DC" w14:textId="1D9573F3" w:rsidR="00F67DD7" w:rsidRPr="0070500E" w:rsidRDefault="00F67DD7" w:rsidP="00F67DD7">
            <w:pPr>
              <w:spacing w:line="360" w:lineRule="auto"/>
              <w:rPr>
                <w:rFonts w:ascii="Calibri" w:hAnsi="Calibri" w:cs="Calibri"/>
              </w:rPr>
            </w:pPr>
            <w:r w:rsidRPr="00AC2F38">
              <w:rPr>
                <w:rFonts w:ascii="Calibri" w:hAnsi="Calibri" w:cs="Calibri"/>
              </w:rPr>
              <w:t>1.22</w:t>
            </w:r>
          </w:p>
        </w:tc>
        <w:tc>
          <w:tcPr>
            <w:tcW w:w="1007" w:type="dxa"/>
          </w:tcPr>
          <w:p w14:paraId="45EE4EAD" w14:textId="2C23C7ED" w:rsidR="00F67DD7" w:rsidRPr="0070500E" w:rsidRDefault="00F67DD7" w:rsidP="00F67DD7">
            <w:pPr>
              <w:spacing w:line="360" w:lineRule="auto"/>
              <w:rPr>
                <w:rFonts w:ascii="Calibri" w:hAnsi="Calibri" w:cs="Calibri"/>
              </w:rPr>
            </w:pPr>
            <w:r w:rsidRPr="0070500E">
              <w:rPr>
                <w:rFonts w:ascii="Calibri" w:hAnsi="Calibri" w:cs="Calibri"/>
              </w:rPr>
              <w:t>1.01</w:t>
            </w:r>
          </w:p>
        </w:tc>
      </w:tr>
      <w:tr w:rsidR="00F67DD7" w14:paraId="43B94160" w14:textId="2C3EA025" w:rsidTr="00F243C3">
        <w:tc>
          <w:tcPr>
            <w:tcW w:w="844" w:type="dxa"/>
          </w:tcPr>
          <w:p w14:paraId="29CD6022" w14:textId="74A3A2C7" w:rsidR="00F67DD7" w:rsidRDefault="00F67DD7" w:rsidP="00F67DD7">
            <w:pPr>
              <w:spacing w:line="360" w:lineRule="auto"/>
            </w:pPr>
            <w:r w:rsidRPr="00AC2F38">
              <w:rPr>
                <w:rFonts w:ascii="Calibri" w:hAnsi="Calibri" w:cs="Calibri"/>
              </w:rPr>
              <w:t>90</w:t>
            </w:r>
          </w:p>
        </w:tc>
        <w:tc>
          <w:tcPr>
            <w:tcW w:w="1099" w:type="dxa"/>
          </w:tcPr>
          <w:p w14:paraId="46EDC3CE" w14:textId="22BE3AA2" w:rsidR="00F67DD7" w:rsidRDefault="00F67DD7" w:rsidP="00F67DD7">
            <w:pPr>
              <w:spacing w:line="360" w:lineRule="auto"/>
            </w:pPr>
            <w:r w:rsidRPr="0070500E">
              <w:rPr>
                <w:rFonts w:ascii="Calibri" w:hAnsi="Calibri" w:cs="Calibri"/>
              </w:rPr>
              <w:t>0.89</w:t>
            </w:r>
          </w:p>
        </w:tc>
        <w:tc>
          <w:tcPr>
            <w:tcW w:w="984" w:type="dxa"/>
          </w:tcPr>
          <w:p w14:paraId="2A7D8C4E" w14:textId="2E6AA1BA" w:rsidR="00F67DD7" w:rsidRDefault="00F67DD7" w:rsidP="00F67DD7">
            <w:pPr>
              <w:spacing w:line="360" w:lineRule="auto"/>
            </w:pPr>
            <w:r w:rsidRPr="0070500E">
              <w:rPr>
                <w:rFonts w:ascii="Calibri" w:hAnsi="Calibri" w:cs="Calibri"/>
              </w:rPr>
              <w:t>1.01</w:t>
            </w:r>
          </w:p>
        </w:tc>
        <w:tc>
          <w:tcPr>
            <w:tcW w:w="974" w:type="dxa"/>
          </w:tcPr>
          <w:p w14:paraId="2D7C5757" w14:textId="21C8D9E3" w:rsidR="00F67DD7" w:rsidRDefault="00F67DD7" w:rsidP="00F67DD7">
            <w:pPr>
              <w:spacing w:line="360" w:lineRule="auto"/>
            </w:pPr>
            <w:r w:rsidRPr="00AC2F38">
              <w:rPr>
                <w:rFonts w:ascii="Calibri" w:hAnsi="Calibri" w:cs="Calibri"/>
              </w:rPr>
              <w:t>0.72</w:t>
            </w:r>
          </w:p>
        </w:tc>
        <w:tc>
          <w:tcPr>
            <w:tcW w:w="985" w:type="dxa"/>
          </w:tcPr>
          <w:p w14:paraId="162F77A1" w14:textId="006941CE" w:rsidR="00F67DD7" w:rsidRDefault="00F67DD7" w:rsidP="00F67DD7">
            <w:pPr>
              <w:spacing w:line="360" w:lineRule="auto"/>
            </w:pPr>
            <w:r w:rsidRPr="00AC2F38">
              <w:rPr>
                <w:rFonts w:ascii="Calibri" w:hAnsi="Calibri" w:cs="Calibri"/>
              </w:rPr>
              <w:t>0.74</w:t>
            </w:r>
          </w:p>
        </w:tc>
        <w:tc>
          <w:tcPr>
            <w:tcW w:w="1033" w:type="dxa"/>
          </w:tcPr>
          <w:p w14:paraId="360D18DB" w14:textId="7DB43AD9" w:rsidR="00F67DD7" w:rsidRDefault="00F67DD7" w:rsidP="00F67DD7">
            <w:pPr>
              <w:spacing w:line="360" w:lineRule="auto"/>
            </w:pPr>
            <w:r w:rsidRPr="0070500E">
              <w:rPr>
                <w:rFonts w:ascii="Calibri" w:hAnsi="Calibri" w:cs="Calibri"/>
              </w:rPr>
              <w:t>0.85</w:t>
            </w:r>
          </w:p>
        </w:tc>
        <w:tc>
          <w:tcPr>
            <w:tcW w:w="1083" w:type="dxa"/>
          </w:tcPr>
          <w:p w14:paraId="2F7F5A55" w14:textId="0677C41C" w:rsidR="00F67DD7" w:rsidRDefault="00F67DD7" w:rsidP="00F67DD7">
            <w:pPr>
              <w:spacing w:line="360" w:lineRule="auto"/>
            </w:pPr>
            <w:r w:rsidRPr="0070500E">
              <w:rPr>
                <w:rFonts w:ascii="Calibri" w:hAnsi="Calibri" w:cs="Calibri"/>
              </w:rPr>
              <w:t>1.08</w:t>
            </w:r>
          </w:p>
        </w:tc>
        <w:tc>
          <w:tcPr>
            <w:tcW w:w="1007" w:type="dxa"/>
          </w:tcPr>
          <w:p w14:paraId="3954A81C" w14:textId="098DF9D0" w:rsidR="00F67DD7" w:rsidRPr="0070500E" w:rsidRDefault="00F67DD7" w:rsidP="00F67DD7">
            <w:pPr>
              <w:spacing w:line="360" w:lineRule="auto"/>
              <w:rPr>
                <w:rFonts w:ascii="Calibri" w:hAnsi="Calibri" w:cs="Calibri"/>
              </w:rPr>
            </w:pPr>
            <w:r w:rsidRPr="00AC2F38">
              <w:rPr>
                <w:rFonts w:ascii="Calibri" w:hAnsi="Calibri" w:cs="Calibri"/>
              </w:rPr>
              <w:t>0.80</w:t>
            </w:r>
          </w:p>
        </w:tc>
        <w:tc>
          <w:tcPr>
            <w:tcW w:w="1007" w:type="dxa"/>
          </w:tcPr>
          <w:p w14:paraId="79926429" w14:textId="73B99B12" w:rsidR="00F67DD7" w:rsidRPr="0070500E" w:rsidRDefault="00F67DD7" w:rsidP="00F67DD7">
            <w:pPr>
              <w:spacing w:line="360" w:lineRule="auto"/>
              <w:rPr>
                <w:rFonts w:ascii="Calibri" w:hAnsi="Calibri" w:cs="Calibri"/>
              </w:rPr>
            </w:pPr>
            <w:r w:rsidRPr="0070500E">
              <w:rPr>
                <w:rFonts w:ascii="Calibri" w:hAnsi="Calibri" w:cs="Calibri"/>
              </w:rPr>
              <w:t>0.81</w:t>
            </w:r>
          </w:p>
        </w:tc>
      </w:tr>
    </w:tbl>
    <w:p w14:paraId="43D1F1D4" w14:textId="777BEF64" w:rsidR="0045351F" w:rsidRDefault="0045351F" w:rsidP="0005442A">
      <w:pPr>
        <w:spacing w:line="360" w:lineRule="auto"/>
      </w:pPr>
    </w:p>
    <w:p w14:paraId="047FA2A1" w14:textId="0DAE17E5" w:rsidR="00D94B57" w:rsidRPr="006E46A2" w:rsidRDefault="00D94B57" w:rsidP="0005442A">
      <w:pPr>
        <w:spacing w:line="360" w:lineRule="auto"/>
        <w:rPr>
          <w:b/>
          <w:bCs/>
          <w:sz w:val="24"/>
          <w:szCs w:val="24"/>
        </w:rPr>
      </w:pPr>
      <w:r w:rsidRPr="006E46A2">
        <w:rPr>
          <w:b/>
          <w:bCs/>
          <w:sz w:val="24"/>
          <w:szCs w:val="24"/>
        </w:rPr>
        <w:t>Summary and conclusion</w:t>
      </w:r>
    </w:p>
    <w:p w14:paraId="424FCE49" w14:textId="16CA101C" w:rsidR="00F858F7" w:rsidRDefault="00D94B57" w:rsidP="0005442A">
      <w:pPr>
        <w:spacing w:line="360" w:lineRule="auto"/>
      </w:pPr>
      <w:r>
        <w:t>M</w:t>
      </w:r>
      <w:r w:rsidR="00E557B9">
        <w:t xml:space="preserve">ultiple studies of </w:t>
      </w:r>
      <w:r w:rsidR="00ED27B8">
        <w:t>short-term</w:t>
      </w:r>
      <w:r w:rsidR="00E557B9">
        <w:t xml:space="preserve"> fracture risk have identified similar risk factors to those already well-established in fracture prediction tools over the longer term.</w:t>
      </w:r>
      <w:r w:rsidR="00C91E80">
        <w:t xml:space="preserve"> </w:t>
      </w:r>
      <w:r w:rsidR="00BB0317">
        <w:t xml:space="preserve"> </w:t>
      </w:r>
      <w:r w:rsidR="00E557B9">
        <w:t xml:space="preserve">High </w:t>
      </w:r>
      <w:r w:rsidR="00ED27B8">
        <w:t>short-term</w:t>
      </w:r>
      <w:r w:rsidR="00E557B9">
        <w:t xml:space="preserve"> risk is usually associated with a very high long</w:t>
      </w:r>
      <w:r w:rsidR="00846663">
        <w:t>-</w:t>
      </w:r>
      <w:r w:rsidR="00E557B9">
        <w:t>term risk</w:t>
      </w:r>
      <w:r w:rsidR="00692AE4">
        <w:t xml:space="preserve">.  </w:t>
      </w:r>
      <w:r w:rsidR="005D69E3">
        <w:t xml:space="preserve">Although tools </w:t>
      </w:r>
      <w:r w:rsidR="00C71AE8">
        <w:t>that</w:t>
      </w:r>
      <w:r w:rsidR="005D69E3">
        <w:t xml:space="preserve"> calculate short term risk may be superficially attractive, the substantially lower absolute risk generated compared with a </w:t>
      </w:r>
      <w:r w:rsidR="0058324E">
        <w:t>10-year</w:t>
      </w:r>
      <w:r w:rsidR="005D69E3">
        <w:t xml:space="preserve"> time horizon and the absence of guidelines through which to interpret these outputs are</w:t>
      </w:r>
      <w:r w:rsidR="00DE3455">
        <w:t xml:space="preserve"> </w:t>
      </w:r>
      <w:r w:rsidR="00DE3455" w:rsidRPr="00DE3455">
        <w:t>clear limitations to their use in clinical practice</w:t>
      </w:r>
      <w:r w:rsidR="005D69E3">
        <w:t xml:space="preserve">. </w:t>
      </w:r>
      <w:r w:rsidR="00DE3455">
        <w:t xml:space="preserve"> </w:t>
      </w:r>
      <w:r w:rsidR="005D69E3">
        <w:t xml:space="preserve">In </w:t>
      </w:r>
      <w:r w:rsidR="00A20007">
        <w:t>contrast,</w:t>
      </w:r>
      <w:r w:rsidR="005D69E3">
        <w:t xml:space="preserve"> </w:t>
      </w:r>
      <w:r w:rsidR="00692AE4">
        <w:t xml:space="preserve">the uplift in risk arising from recent discrete events such as fracture can be readily accommodated in </w:t>
      </w:r>
      <w:r w:rsidR="005D69E3">
        <w:t>FRAX over a 10-year time horizon</w:t>
      </w:r>
      <w:r w:rsidR="005B4BEC">
        <w:t xml:space="preserve"> and </w:t>
      </w:r>
      <w:r w:rsidR="005D69E3">
        <w:t xml:space="preserve">linked to established national intervention </w:t>
      </w:r>
      <w:r w:rsidR="004B52E5">
        <w:t>thresholds, that</w:t>
      </w:r>
      <w:r w:rsidR="00692AE4">
        <w:t xml:space="preserve"> are already widely embedded in clinical guidelines for the management of osteoporosis.  </w:t>
      </w:r>
      <w:r w:rsidR="00C92F72" w:rsidRPr="00C92F72">
        <w:t>That very high risk requires rapid and effective intervention, with combinations or sequences of pharmacological approaches and/or physical interventions (e.g. falls risk reduction), is also easily appreciated.</w:t>
      </w:r>
    </w:p>
    <w:p w14:paraId="40386FAD" w14:textId="0270403C" w:rsidR="00CA198D" w:rsidRPr="00E30F6D" w:rsidRDefault="00CA198D" w:rsidP="004C2092">
      <w:pPr>
        <w:rPr>
          <w:b/>
          <w:bCs/>
          <w:sz w:val="24"/>
          <w:szCs w:val="24"/>
        </w:rPr>
      </w:pPr>
      <w:r w:rsidRPr="00E30F6D">
        <w:rPr>
          <w:b/>
          <w:bCs/>
          <w:sz w:val="24"/>
          <w:szCs w:val="24"/>
        </w:rPr>
        <w:t>Compliance with ethical standards</w:t>
      </w:r>
    </w:p>
    <w:p w14:paraId="082F5A12" w14:textId="7E31312C" w:rsidR="004C2092" w:rsidRDefault="004C2092" w:rsidP="004C2092">
      <w:pPr>
        <w:rPr>
          <w:b/>
          <w:bCs/>
        </w:rPr>
      </w:pPr>
      <w:r>
        <w:rPr>
          <w:b/>
          <w:bCs/>
        </w:rPr>
        <w:t>Competing Interests</w:t>
      </w:r>
    </w:p>
    <w:p w14:paraId="1B9F0835" w14:textId="048234BA" w:rsidR="004C2092" w:rsidRDefault="004C2092" w:rsidP="004C2092">
      <w:r w:rsidRPr="0092779A">
        <w:t>JAK, NCH, ML and EVM are responsible for the creation and maintenance of FRAX but derive no financial benefit.</w:t>
      </w:r>
    </w:p>
    <w:p w14:paraId="31FCBBB2" w14:textId="4765427A" w:rsidR="00E70A69" w:rsidRDefault="00E70A69" w:rsidP="004C2092">
      <w:r w:rsidRPr="00E70A69">
        <w:t>EVM has received consultancy/lecture fees/grant funding/honoraria from AgNovos, Amgen, AstraZeneca, Consilient Healthcare, Fresenius Kabi, Gilead, GSK, Hologic, Internis, Lilly, Merck, Novartis, Pfizer, Radius Health, Redx Oncology, Roche, Sanofi Aventis, UCB, Viiv, Warner Chilcott, and I3 Innovus.</w:t>
      </w:r>
    </w:p>
    <w:p w14:paraId="12B40D7A" w14:textId="00FC5CB7" w:rsidR="00C97CC8" w:rsidRDefault="008760AE" w:rsidP="004C2092">
      <w:r>
        <w:t>FB</w:t>
      </w:r>
      <w:r w:rsidR="005A3EF4" w:rsidRPr="005A3EF4">
        <w:t xml:space="preserve"> is employed </w:t>
      </w:r>
      <w:r w:rsidR="00BB26A6">
        <w:t xml:space="preserve">by </w:t>
      </w:r>
      <w:r w:rsidR="005A3EF4" w:rsidRPr="005A3EF4">
        <w:t xml:space="preserve">and is a shareholder </w:t>
      </w:r>
      <w:r w:rsidR="00BB26A6">
        <w:t>of</w:t>
      </w:r>
      <w:r w:rsidR="005A3EF4" w:rsidRPr="005A3EF4">
        <w:t xml:space="preserve"> Quantify Research, a health economic research consultancy</w:t>
      </w:r>
      <w:r w:rsidR="00BB26A6">
        <w:t>.</w:t>
      </w:r>
      <w:r w:rsidR="005A3EF4" w:rsidRPr="005A3EF4">
        <w:t xml:space="preserve"> </w:t>
      </w:r>
    </w:p>
    <w:p w14:paraId="156C1516" w14:textId="77777777" w:rsidR="004C2092" w:rsidRDefault="004C2092" w:rsidP="004C2092">
      <w:r>
        <w:t>CC reports personal fees from Alliance for Better Bone Health, Amgen, Eli Lilly, GSK, Medtronic, Merck, Novartis, Pfizer, Roche, Servier, Takeda and UCB.</w:t>
      </w:r>
    </w:p>
    <w:p w14:paraId="1BCF031C" w14:textId="3C04DF94" w:rsidR="004C2092" w:rsidRDefault="004C2092" w:rsidP="004C2092">
      <w:r>
        <w:t>NCH has received consultancy/lecture fees/honoraria/grant funding from Alliance for Better Bone Health, Amgen, MSD, Eli Lilly, Radius Health, Servier, Shire, UCB, Consilient Healthcare and Internis Pharma.</w:t>
      </w:r>
    </w:p>
    <w:p w14:paraId="22020F1A" w14:textId="66468F98" w:rsidR="00F8331E" w:rsidRDefault="00F8331E" w:rsidP="004C2092">
      <w:r>
        <w:t>M</w:t>
      </w:r>
      <w:r w:rsidR="00FE3019">
        <w:t>KJ</w:t>
      </w:r>
      <w:r w:rsidR="002D30C4">
        <w:t xml:space="preserve"> declare</w:t>
      </w:r>
      <w:r w:rsidR="006879FB">
        <w:t>s</w:t>
      </w:r>
      <w:r w:rsidR="002D30C4">
        <w:t xml:space="preserve"> </w:t>
      </w:r>
      <w:r w:rsidR="002D30C4" w:rsidRPr="002D30C4">
        <w:t xml:space="preserve">no conflicts of </w:t>
      </w:r>
      <w:r w:rsidR="00615E76" w:rsidRPr="002D30C4">
        <w:t>interest.</w:t>
      </w:r>
    </w:p>
    <w:p w14:paraId="2B2C4E69" w14:textId="5CCA599E" w:rsidR="00FE3019" w:rsidRDefault="00FE3019" w:rsidP="004C2092">
      <w:r>
        <w:t>ML</w:t>
      </w:r>
      <w:r w:rsidR="00D76E25" w:rsidRPr="00D76E25">
        <w:t xml:space="preserve"> has received lecture fees from Amgen, Lilly, Meda, Renapharma, UCB Pharma, and consulting fees from Amgen, Radius Health, UCB Pharma, Renapharma and Consilient Health, all outside the presented work</w:t>
      </w:r>
    </w:p>
    <w:p w14:paraId="39ED0A73" w14:textId="5BC7AE47" w:rsidR="00692AE4" w:rsidRDefault="00E70A69" w:rsidP="0005442A">
      <w:pPr>
        <w:spacing w:line="360" w:lineRule="auto"/>
      </w:pPr>
      <w:r w:rsidRPr="00E70A69">
        <w:t>JAK reports no additional competing interests.</w:t>
      </w:r>
    </w:p>
    <w:p w14:paraId="5B67A33A" w14:textId="5D596040" w:rsidR="000C6C63" w:rsidRDefault="00A164BC" w:rsidP="00E77889">
      <w:pPr>
        <w:autoSpaceDE w:val="0"/>
        <w:autoSpaceDN w:val="0"/>
        <w:adjustRightInd w:val="0"/>
        <w:spacing w:after="0" w:line="240" w:lineRule="auto"/>
        <w:rPr>
          <w:rFonts w:cstheme="minorHAnsi"/>
          <w:b/>
          <w:bCs/>
          <w:color w:val="131413"/>
          <w:sz w:val="24"/>
          <w:szCs w:val="24"/>
        </w:rPr>
      </w:pPr>
      <w:r w:rsidRPr="00E30F6D">
        <w:rPr>
          <w:rFonts w:cstheme="minorHAnsi"/>
          <w:b/>
          <w:bCs/>
          <w:color w:val="131413"/>
          <w:sz w:val="24"/>
          <w:szCs w:val="24"/>
        </w:rPr>
        <w:t>References</w:t>
      </w:r>
    </w:p>
    <w:p w14:paraId="48CE616C" w14:textId="77777777" w:rsidR="00711B20" w:rsidRDefault="00711B20" w:rsidP="00E77889">
      <w:pPr>
        <w:autoSpaceDE w:val="0"/>
        <w:autoSpaceDN w:val="0"/>
        <w:adjustRightInd w:val="0"/>
        <w:spacing w:after="0" w:line="240" w:lineRule="auto"/>
        <w:rPr>
          <w:rFonts w:cstheme="minorHAnsi"/>
          <w:b/>
          <w:bCs/>
          <w:color w:val="131413"/>
          <w:sz w:val="24"/>
          <w:szCs w:val="24"/>
        </w:rPr>
      </w:pPr>
    </w:p>
    <w:tbl>
      <w:tblPr>
        <w:tblStyle w:val="TableGrid3"/>
        <w:tblpPr w:leftFromText="180" w:rightFromText="180" w:vertAnchor="text" w:tblpX="-30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7630"/>
      </w:tblGrid>
      <w:tr w:rsidR="00711B20" w:rsidRPr="00307087" w14:paraId="2B40C546" w14:textId="77777777" w:rsidTr="006C761D">
        <w:tc>
          <w:tcPr>
            <w:tcW w:w="689" w:type="dxa"/>
          </w:tcPr>
          <w:p w14:paraId="49A6F7AC" w14:textId="148F3E8A"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1.</w:t>
            </w:r>
          </w:p>
        </w:tc>
        <w:tc>
          <w:tcPr>
            <w:tcW w:w="7630" w:type="dxa"/>
          </w:tcPr>
          <w:p w14:paraId="79F79CA1" w14:textId="77777777"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Klotzbuecher CM, Ross PD, Landsman PB, Abbott TA, 3</w:t>
            </w:r>
            <w:r w:rsidRPr="00787EFB">
              <w:rPr>
                <w:rFonts w:ascii="Calibri" w:eastAsia="Calibri" w:hAnsi="Calibri" w:cs="Calibri"/>
                <w:sz w:val="20"/>
                <w:szCs w:val="20"/>
                <w:vertAlign w:val="superscript"/>
              </w:rPr>
              <w:t>rd</w:t>
            </w:r>
            <w:r w:rsidRPr="00307087">
              <w:rPr>
                <w:rFonts w:ascii="Calibri" w:eastAsia="Calibri" w:hAnsi="Calibri" w:cs="Calibri"/>
                <w:sz w:val="20"/>
                <w:szCs w:val="20"/>
              </w:rPr>
              <w:t>, Berger M (2000) Patients with prior fractures have an increased risk of future fractures: a summary of the literature and statistical synthesis. J Bone Miner Res 15: 721-739.</w:t>
            </w:r>
          </w:p>
        </w:tc>
      </w:tr>
      <w:tr w:rsidR="00711B20" w:rsidRPr="00307087" w14:paraId="09BB7F23" w14:textId="77777777" w:rsidTr="006C761D">
        <w:tc>
          <w:tcPr>
            <w:tcW w:w="689" w:type="dxa"/>
          </w:tcPr>
          <w:p w14:paraId="2A673A3B" w14:textId="565EFBD7"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2.</w:t>
            </w:r>
          </w:p>
        </w:tc>
        <w:tc>
          <w:tcPr>
            <w:tcW w:w="7630" w:type="dxa"/>
          </w:tcPr>
          <w:p w14:paraId="2AA7FDAC" w14:textId="77777777"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Haentjens P, Johnell O, Kanis JA, Bouillon R, Cooper C, Lamraski G, Vanderschuren D, Kauffman J-M, Boonen S (2004) Gender-related differences in short and long-term absolute risk of hip fracture after Colles’ or spine fracture: Colles’ fracture as an early and sensitive marker of skeletal fragility in men. J Bone Miner Res 19: 1933-1944</w:t>
            </w:r>
          </w:p>
        </w:tc>
      </w:tr>
      <w:tr w:rsidR="00711B20" w:rsidRPr="00307087" w14:paraId="5CFE26B8" w14:textId="77777777" w:rsidTr="006C761D">
        <w:tc>
          <w:tcPr>
            <w:tcW w:w="689" w:type="dxa"/>
          </w:tcPr>
          <w:p w14:paraId="6A8E40E8" w14:textId="14F03A6E"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3.</w:t>
            </w:r>
          </w:p>
        </w:tc>
        <w:tc>
          <w:tcPr>
            <w:tcW w:w="7630" w:type="dxa"/>
          </w:tcPr>
          <w:p w14:paraId="6CFA64E9" w14:textId="77777777"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Johnell O, Kanis JA, Oden A, Sernbo I, Redlund-Johnell I, Pettersen C, De Laet C, Jonsson B (2004) Fracture risk following an osteoporotic fracture. Osteoporos Int 15: 175-179.</w:t>
            </w:r>
          </w:p>
        </w:tc>
      </w:tr>
      <w:tr w:rsidR="00711B20" w:rsidRPr="00307087" w14:paraId="09628671" w14:textId="77777777" w:rsidTr="006C761D">
        <w:tc>
          <w:tcPr>
            <w:tcW w:w="689" w:type="dxa"/>
          </w:tcPr>
          <w:p w14:paraId="1B63B99F" w14:textId="5EFE40D6"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4.</w:t>
            </w:r>
          </w:p>
        </w:tc>
        <w:tc>
          <w:tcPr>
            <w:tcW w:w="7630" w:type="dxa"/>
          </w:tcPr>
          <w:p w14:paraId="7A32C954" w14:textId="77777777"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Kanis JA, Johnell O, De Laet C, Johansson H, Oden A, Delmas P, Eisman J, Fujiwara S, Garnero P, Kroger H, McCloskey EV, Mellstrom D, Melton III LJ, Pols H, Reeve J, Silman A, Tenenhouse A (2004) A meta-analysis of previous fracture and subsequent fracture risk. Bone; 35: 375-382</w:t>
            </w:r>
          </w:p>
        </w:tc>
      </w:tr>
      <w:tr w:rsidR="00711B20" w:rsidRPr="00307087" w14:paraId="4D077680" w14:textId="77777777" w:rsidTr="006C761D">
        <w:tc>
          <w:tcPr>
            <w:tcW w:w="689" w:type="dxa"/>
          </w:tcPr>
          <w:p w14:paraId="2BCB7E28" w14:textId="5B0A3865"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5.</w:t>
            </w:r>
          </w:p>
        </w:tc>
        <w:tc>
          <w:tcPr>
            <w:tcW w:w="7630" w:type="dxa"/>
          </w:tcPr>
          <w:p w14:paraId="71650F43" w14:textId="77777777"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Johnell O, Oden A, Caulin F, Kanis JA (2001) Acute and long-term increase in fracture risk after hospitalization for vertebral fracture. Osteoporos Int 12: 207-214.</w:t>
            </w:r>
          </w:p>
        </w:tc>
      </w:tr>
      <w:tr w:rsidR="00711B20" w:rsidRPr="00307087" w14:paraId="67393E25" w14:textId="77777777" w:rsidTr="006C761D">
        <w:tc>
          <w:tcPr>
            <w:tcW w:w="689" w:type="dxa"/>
          </w:tcPr>
          <w:p w14:paraId="1C2EA969" w14:textId="32224EB0"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6.</w:t>
            </w:r>
          </w:p>
        </w:tc>
        <w:tc>
          <w:tcPr>
            <w:tcW w:w="7630" w:type="dxa"/>
          </w:tcPr>
          <w:p w14:paraId="3C42BC29" w14:textId="1DFDAF29"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Giangregorio LM, Leslie WD Manitoba Bone Density Program</w:t>
            </w:r>
            <w:r>
              <w:rPr>
                <w:rFonts w:ascii="Calibri" w:eastAsia="Calibri" w:hAnsi="Calibri" w:cs="Calibri"/>
                <w:sz w:val="20"/>
                <w:szCs w:val="20"/>
              </w:rPr>
              <w:t xml:space="preserve"> </w:t>
            </w:r>
            <w:r w:rsidRPr="00F77657">
              <w:rPr>
                <w:rFonts w:ascii="Calibri" w:eastAsia="Calibri" w:hAnsi="Calibri" w:cs="Calibri"/>
                <w:sz w:val="20"/>
                <w:szCs w:val="20"/>
              </w:rPr>
              <w:t xml:space="preserve">(2010) </w:t>
            </w:r>
            <w:r w:rsidRPr="00307087">
              <w:rPr>
                <w:rFonts w:ascii="Calibri" w:eastAsia="Calibri" w:hAnsi="Calibri" w:cs="Calibri"/>
                <w:sz w:val="20"/>
                <w:szCs w:val="20"/>
              </w:rPr>
              <w:t>Time since prior fracture is a risk modifier for 10-year osteoporotic fractures. J Bone Miner Res 25: 1400-5.</w:t>
            </w:r>
          </w:p>
        </w:tc>
      </w:tr>
      <w:tr w:rsidR="00711B20" w:rsidRPr="00307087" w14:paraId="5B8DEF35" w14:textId="77777777" w:rsidTr="006C761D">
        <w:tc>
          <w:tcPr>
            <w:tcW w:w="689" w:type="dxa"/>
          </w:tcPr>
          <w:p w14:paraId="3C985E0B" w14:textId="6931812A"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7.</w:t>
            </w:r>
          </w:p>
        </w:tc>
        <w:tc>
          <w:tcPr>
            <w:tcW w:w="7630" w:type="dxa"/>
          </w:tcPr>
          <w:p w14:paraId="3E0B88DA" w14:textId="77777777" w:rsidR="00711B20" w:rsidRPr="00307087" w:rsidRDefault="00711B20" w:rsidP="00E43287">
            <w:pPr>
              <w:spacing w:after="240"/>
              <w:rPr>
                <w:rFonts w:ascii="Calibri" w:eastAsia="Calibri" w:hAnsi="Calibri" w:cs="Calibri"/>
                <w:sz w:val="20"/>
                <w:szCs w:val="20"/>
              </w:rPr>
            </w:pPr>
            <w:r w:rsidRPr="00307087">
              <w:rPr>
                <w:rFonts w:ascii="Calibri" w:eastAsia="Calibri" w:hAnsi="Calibri" w:cs="Calibri"/>
                <w:sz w:val="20"/>
                <w:szCs w:val="20"/>
              </w:rPr>
              <w:t>Ryg J, Rejnmark L, Overgaard S, Brixen K, Vestergaard P (2009) Hip fracture patients at risk of second hip fracture: a nationwide population-based cohort study of 169,145 cases during 1977-2001. J Bone Miner Res 24: 1299-307</w:t>
            </w:r>
          </w:p>
        </w:tc>
      </w:tr>
      <w:tr w:rsidR="00711B20" w:rsidRPr="00307087" w14:paraId="721A0628" w14:textId="77777777" w:rsidTr="006C761D">
        <w:tc>
          <w:tcPr>
            <w:tcW w:w="689" w:type="dxa"/>
          </w:tcPr>
          <w:p w14:paraId="0619E20A" w14:textId="096F8557" w:rsidR="00711B20" w:rsidRDefault="00711B20" w:rsidP="00E43287">
            <w:pPr>
              <w:spacing w:after="240"/>
              <w:jc w:val="right"/>
              <w:rPr>
                <w:rFonts w:ascii="Calibri" w:eastAsia="Calibri" w:hAnsi="Calibri" w:cs="Calibri"/>
                <w:sz w:val="20"/>
                <w:szCs w:val="20"/>
              </w:rPr>
            </w:pPr>
            <w:r>
              <w:rPr>
                <w:rFonts w:ascii="Calibri" w:eastAsia="Calibri" w:hAnsi="Calibri" w:cs="Calibri"/>
                <w:sz w:val="20"/>
                <w:szCs w:val="20"/>
              </w:rPr>
              <w:t>8.</w:t>
            </w:r>
          </w:p>
        </w:tc>
        <w:tc>
          <w:tcPr>
            <w:tcW w:w="7630" w:type="dxa"/>
          </w:tcPr>
          <w:p w14:paraId="102B8F02" w14:textId="3D013F11" w:rsidR="00711B20" w:rsidRPr="00307087" w:rsidRDefault="00711B20" w:rsidP="00915104">
            <w:pPr>
              <w:spacing w:after="240"/>
              <w:rPr>
                <w:rFonts w:ascii="Calibri" w:eastAsia="Calibri" w:hAnsi="Calibri" w:cs="Calibri"/>
                <w:sz w:val="20"/>
                <w:szCs w:val="20"/>
              </w:rPr>
            </w:pPr>
            <w:r w:rsidRPr="00A377B6">
              <w:rPr>
                <w:rFonts w:ascii="Calibri" w:eastAsia="Calibri" w:hAnsi="Calibri" w:cs="Calibri"/>
                <w:sz w:val="20"/>
                <w:szCs w:val="20"/>
              </w:rPr>
              <w:t>van Geel TA, van Helden S, Geusens PP, Winkens B, Dinant GJ (2009) Clinical subsequent fractures cluster in time after first fractures. Ann Rheum Dis 68: 99-102</w:t>
            </w:r>
          </w:p>
        </w:tc>
      </w:tr>
      <w:tr w:rsidR="00711B20" w:rsidRPr="00307087" w14:paraId="2B31FACF" w14:textId="77777777" w:rsidTr="006C761D">
        <w:tc>
          <w:tcPr>
            <w:tcW w:w="689" w:type="dxa"/>
          </w:tcPr>
          <w:p w14:paraId="7B524ED7" w14:textId="3BF9272B" w:rsidR="00711B20" w:rsidRDefault="00711B20" w:rsidP="009234F4">
            <w:pPr>
              <w:spacing w:after="240"/>
              <w:jc w:val="right"/>
              <w:rPr>
                <w:rFonts w:ascii="Calibri" w:eastAsia="Times New Roman" w:hAnsi="Calibri" w:cs="Calibri"/>
                <w:bCs/>
                <w:sz w:val="20"/>
                <w:szCs w:val="20"/>
              </w:rPr>
            </w:pPr>
            <w:r>
              <w:rPr>
                <w:rFonts w:ascii="Calibri" w:eastAsia="Times New Roman" w:hAnsi="Calibri" w:cs="Calibri"/>
                <w:bCs/>
                <w:sz w:val="20"/>
                <w:szCs w:val="20"/>
              </w:rPr>
              <w:t>9.</w:t>
            </w:r>
          </w:p>
        </w:tc>
        <w:tc>
          <w:tcPr>
            <w:tcW w:w="7630" w:type="dxa"/>
          </w:tcPr>
          <w:p w14:paraId="04F44CC6" w14:textId="77777777" w:rsidR="00711B20" w:rsidRPr="00307087" w:rsidRDefault="00711B20" w:rsidP="009234F4">
            <w:pPr>
              <w:spacing w:after="240"/>
              <w:rPr>
                <w:rFonts w:ascii="Calibri" w:eastAsia="Calibri" w:hAnsi="Calibri" w:cs="Calibri"/>
                <w:sz w:val="20"/>
                <w:szCs w:val="20"/>
              </w:rPr>
            </w:pPr>
            <w:r w:rsidRPr="00307087">
              <w:rPr>
                <w:rFonts w:ascii="Calibri" w:eastAsia="Times New Roman" w:hAnsi="Calibri" w:cs="Calibri"/>
                <w:bCs/>
                <w:sz w:val="20"/>
                <w:szCs w:val="20"/>
              </w:rPr>
              <w:t xml:space="preserve">Johansson H, Siggeirsdóttir K, Harvey NC, Odén A, Gudnason V, McCloskey E, Sigurdsson G, Kanis JA </w:t>
            </w:r>
            <w:r w:rsidRPr="00307087">
              <w:rPr>
                <w:rFonts w:ascii="Calibri" w:eastAsia="Calibri" w:hAnsi="Calibri" w:cs="Calibri"/>
                <w:sz w:val="20"/>
                <w:szCs w:val="20"/>
              </w:rPr>
              <w:t>(2017) Imminent risk of fracture after fracture. Osteoporos Int 28:775-780</w:t>
            </w:r>
          </w:p>
        </w:tc>
      </w:tr>
      <w:tr w:rsidR="00711B20" w:rsidRPr="00307087" w14:paraId="36E5E303" w14:textId="77777777" w:rsidTr="006C761D">
        <w:tc>
          <w:tcPr>
            <w:tcW w:w="689" w:type="dxa"/>
          </w:tcPr>
          <w:p w14:paraId="294972F9" w14:textId="1ACCFF0C" w:rsidR="00711B20" w:rsidRDefault="00711B20" w:rsidP="009234F4">
            <w:pPr>
              <w:spacing w:after="240"/>
              <w:jc w:val="right"/>
              <w:rPr>
                <w:rFonts w:ascii="Calibri" w:eastAsia="Calibri" w:hAnsi="Calibri" w:cs="Calibri"/>
                <w:sz w:val="20"/>
                <w:szCs w:val="20"/>
              </w:rPr>
            </w:pPr>
            <w:r>
              <w:rPr>
                <w:rFonts w:ascii="Calibri" w:eastAsia="Calibri" w:hAnsi="Calibri" w:cs="Calibri"/>
                <w:sz w:val="20"/>
                <w:szCs w:val="20"/>
              </w:rPr>
              <w:t>10.</w:t>
            </w:r>
          </w:p>
        </w:tc>
        <w:tc>
          <w:tcPr>
            <w:tcW w:w="7630" w:type="dxa"/>
          </w:tcPr>
          <w:p w14:paraId="4F136A67" w14:textId="2DD3A831" w:rsidR="00711B20" w:rsidRPr="00307087" w:rsidRDefault="00711B20" w:rsidP="009234F4">
            <w:pPr>
              <w:spacing w:after="240"/>
              <w:rPr>
                <w:rFonts w:ascii="Calibri" w:eastAsia="Calibri" w:hAnsi="Calibri" w:cs="Calibri"/>
                <w:sz w:val="20"/>
                <w:szCs w:val="20"/>
              </w:rPr>
            </w:pPr>
            <w:r w:rsidRPr="0073182F">
              <w:rPr>
                <w:rFonts w:ascii="Calibri" w:eastAsia="Calibri" w:hAnsi="Calibri" w:cs="Calibri"/>
                <w:sz w:val="20"/>
                <w:szCs w:val="20"/>
              </w:rPr>
              <w:t>Almog YA, Rai A, Zhang P, Moulaison A, Powell R, Mishra A, Weinberg K, Hamilton C, Oates M, McCloskey E, Cummings SR</w:t>
            </w:r>
            <w:r>
              <w:rPr>
                <w:rFonts w:ascii="Calibri" w:eastAsia="Calibri" w:hAnsi="Calibri" w:cs="Calibri"/>
                <w:sz w:val="20"/>
                <w:szCs w:val="20"/>
              </w:rPr>
              <w:t xml:space="preserve"> (2020) </w:t>
            </w:r>
            <w:r w:rsidRPr="0073182F">
              <w:rPr>
                <w:rFonts w:ascii="Calibri" w:eastAsia="Calibri" w:hAnsi="Calibri" w:cs="Calibri"/>
                <w:sz w:val="20"/>
                <w:szCs w:val="20"/>
              </w:rPr>
              <w:t>Deep learning with electronic health records for short-term fracture risk identification: Crystal Bone algorithm development and validation. J Med Internet Res. 2020 Oct 16;22(10):e22550. Doi: 10.2196/22550.</w:t>
            </w:r>
          </w:p>
        </w:tc>
      </w:tr>
      <w:tr w:rsidR="00711B20" w:rsidRPr="00307087" w14:paraId="245B142B" w14:textId="77777777" w:rsidTr="006C761D">
        <w:tc>
          <w:tcPr>
            <w:tcW w:w="689" w:type="dxa"/>
          </w:tcPr>
          <w:p w14:paraId="6E99AF8D" w14:textId="2D5D69AF"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11.</w:t>
            </w:r>
          </w:p>
        </w:tc>
        <w:tc>
          <w:tcPr>
            <w:tcW w:w="7630" w:type="dxa"/>
          </w:tcPr>
          <w:p w14:paraId="14BFFD0A" w14:textId="7143A448" w:rsidR="00711B20" w:rsidRPr="0073182F" w:rsidRDefault="00711B20" w:rsidP="00D0613C">
            <w:pPr>
              <w:spacing w:after="240"/>
              <w:rPr>
                <w:rFonts w:ascii="Calibri" w:eastAsia="Calibri" w:hAnsi="Calibri" w:cs="Calibri"/>
                <w:sz w:val="20"/>
                <w:szCs w:val="20"/>
              </w:rPr>
            </w:pPr>
            <w:r>
              <w:rPr>
                <w:rFonts w:ascii="Calibri" w:eastAsia="Calibri" w:hAnsi="Calibri" w:cs="Calibri"/>
                <w:sz w:val="20"/>
                <w:szCs w:val="20"/>
              </w:rPr>
              <w:t>B</w:t>
            </w:r>
            <w:r w:rsidRPr="00AF1321">
              <w:rPr>
                <w:rFonts w:ascii="Calibri" w:eastAsia="Calibri" w:hAnsi="Calibri" w:cs="Calibri"/>
                <w:sz w:val="20"/>
                <w:szCs w:val="20"/>
              </w:rPr>
              <w:t>alasubramanian A, Zhang J, Chen L, Wenkert D, Daigle SG, Grauer A, Curtis JR</w:t>
            </w:r>
            <w:r>
              <w:rPr>
                <w:rFonts w:ascii="Calibri" w:eastAsia="Calibri" w:hAnsi="Calibri" w:cs="Calibri"/>
                <w:sz w:val="20"/>
                <w:szCs w:val="20"/>
              </w:rPr>
              <w:t xml:space="preserve"> (2019) </w:t>
            </w:r>
            <w:r w:rsidRPr="00AF1321">
              <w:rPr>
                <w:rFonts w:ascii="Calibri" w:eastAsia="Calibri" w:hAnsi="Calibri" w:cs="Calibri"/>
                <w:sz w:val="20"/>
                <w:szCs w:val="20"/>
              </w:rPr>
              <w:t>Risk of subsequent fracture after prior fracture among older women. Osteoporos Int</w:t>
            </w:r>
            <w:r>
              <w:rPr>
                <w:rFonts w:ascii="Calibri" w:eastAsia="Calibri" w:hAnsi="Calibri" w:cs="Calibri"/>
                <w:sz w:val="20"/>
                <w:szCs w:val="20"/>
              </w:rPr>
              <w:t xml:space="preserve"> </w:t>
            </w:r>
            <w:r w:rsidRPr="00AF1321">
              <w:rPr>
                <w:rFonts w:ascii="Calibri" w:eastAsia="Calibri" w:hAnsi="Calibri" w:cs="Calibri"/>
                <w:sz w:val="20"/>
                <w:szCs w:val="20"/>
              </w:rPr>
              <w:t>30</w:t>
            </w:r>
            <w:r>
              <w:rPr>
                <w:rFonts w:ascii="Calibri" w:eastAsia="Calibri" w:hAnsi="Calibri" w:cs="Calibri"/>
                <w:sz w:val="20"/>
                <w:szCs w:val="20"/>
              </w:rPr>
              <w:t xml:space="preserve">: </w:t>
            </w:r>
            <w:r w:rsidRPr="00AF1321">
              <w:rPr>
                <w:rFonts w:ascii="Calibri" w:eastAsia="Calibri" w:hAnsi="Calibri" w:cs="Calibri"/>
                <w:sz w:val="20"/>
                <w:szCs w:val="20"/>
              </w:rPr>
              <w:t>79-92.</w:t>
            </w:r>
          </w:p>
        </w:tc>
      </w:tr>
      <w:tr w:rsidR="00711B20" w:rsidRPr="00307087" w14:paraId="576572A7" w14:textId="77777777" w:rsidTr="006C761D">
        <w:tc>
          <w:tcPr>
            <w:tcW w:w="689" w:type="dxa"/>
          </w:tcPr>
          <w:p w14:paraId="5A3BC01E" w14:textId="73AC271A"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12.</w:t>
            </w:r>
          </w:p>
        </w:tc>
        <w:tc>
          <w:tcPr>
            <w:tcW w:w="7630" w:type="dxa"/>
          </w:tcPr>
          <w:p w14:paraId="00DA7274" w14:textId="11875EEE" w:rsidR="00711B20" w:rsidRPr="0073182F" w:rsidRDefault="00711B20" w:rsidP="00D0613C">
            <w:pPr>
              <w:spacing w:after="240"/>
              <w:rPr>
                <w:rFonts w:ascii="Calibri" w:eastAsia="Calibri" w:hAnsi="Calibri" w:cs="Calibri"/>
                <w:sz w:val="20"/>
                <w:szCs w:val="20"/>
              </w:rPr>
            </w:pPr>
            <w:r w:rsidRPr="00FA62BD">
              <w:rPr>
                <w:rFonts w:ascii="Calibri" w:eastAsia="Calibri" w:hAnsi="Calibri" w:cs="Calibri"/>
                <w:sz w:val="20"/>
                <w:szCs w:val="20"/>
              </w:rPr>
              <w:t>Banefelt J, Åkesson KE, Spångéus A, Ljunggren O, Karlsson L, Ström O, Ortsäter G, Libanati C, Toth E</w:t>
            </w:r>
            <w:r>
              <w:rPr>
                <w:rFonts w:ascii="Calibri" w:eastAsia="Calibri" w:hAnsi="Calibri" w:cs="Calibri"/>
                <w:sz w:val="20"/>
                <w:szCs w:val="20"/>
              </w:rPr>
              <w:t xml:space="preserve"> (2019) </w:t>
            </w:r>
            <w:r w:rsidRPr="00FA62BD">
              <w:rPr>
                <w:rFonts w:ascii="Calibri" w:eastAsia="Calibri" w:hAnsi="Calibri" w:cs="Calibri"/>
                <w:sz w:val="20"/>
                <w:szCs w:val="20"/>
              </w:rPr>
              <w:t>Risk of imminent fracture following a previous fracture in a Swedish database study. Osteoporos Int</w:t>
            </w:r>
            <w:r>
              <w:rPr>
                <w:rFonts w:ascii="Calibri" w:eastAsia="Calibri" w:hAnsi="Calibri" w:cs="Calibri"/>
                <w:sz w:val="20"/>
                <w:szCs w:val="20"/>
              </w:rPr>
              <w:t xml:space="preserve"> </w:t>
            </w:r>
            <w:r w:rsidRPr="00FA62BD">
              <w:rPr>
                <w:rFonts w:ascii="Calibri" w:eastAsia="Calibri" w:hAnsi="Calibri" w:cs="Calibri"/>
                <w:sz w:val="20"/>
                <w:szCs w:val="20"/>
              </w:rPr>
              <w:t>30</w:t>
            </w:r>
            <w:r>
              <w:rPr>
                <w:rFonts w:ascii="Calibri" w:eastAsia="Calibri" w:hAnsi="Calibri" w:cs="Calibri"/>
                <w:sz w:val="20"/>
                <w:szCs w:val="20"/>
              </w:rPr>
              <w:t xml:space="preserve">: </w:t>
            </w:r>
            <w:r w:rsidRPr="00FA62BD">
              <w:rPr>
                <w:rFonts w:ascii="Calibri" w:eastAsia="Calibri" w:hAnsi="Calibri" w:cs="Calibri"/>
                <w:sz w:val="20"/>
                <w:szCs w:val="20"/>
              </w:rPr>
              <w:t>601-609.</w:t>
            </w:r>
          </w:p>
        </w:tc>
      </w:tr>
      <w:tr w:rsidR="00711B20" w:rsidRPr="00307087" w14:paraId="353BC2D2" w14:textId="77777777" w:rsidTr="006C761D">
        <w:tc>
          <w:tcPr>
            <w:tcW w:w="689" w:type="dxa"/>
          </w:tcPr>
          <w:p w14:paraId="5DB01B3C" w14:textId="2E650A0E"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13.</w:t>
            </w:r>
          </w:p>
        </w:tc>
        <w:tc>
          <w:tcPr>
            <w:tcW w:w="7630" w:type="dxa"/>
          </w:tcPr>
          <w:p w14:paraId="2B09E24F" w14:textId="6CF7AA30" w:rsidR="00711B20" w:rsidRDefault="00711B20" w:rsidP="00D0613C">
            <w:pPr>
              <w:spacing w:after="240"/>
              <w:rPr>
                <w:rFonts w:ascii="Calibri" w:eastAsia="Calibri" w:hAnsi="Calibri" w:cs="Calibri"/>
                <w:sz w:val="20"/>
                <w:szCs w:val="20"/>
              </w:rPr>
            </w:pPr>
            <w:r w:rsidRPr="00CD14DA">
              <w:rPr>
                <w:rFonts w:ascii="Calibri" w:eastAsia="Calibri" w:hAnsi="Calibri" w:cs="Calibri"/>
                <w:sz w:val="20"/>
                <w:szCs w:val="20"/>
              </w:rPr>
              <w:t>Bonafede M, Shi N, Barron R, Li X, Crittenden DB, Chandler D</w:t>
            </w:r>
            <w:r>
              <w:rPr>
                <w:rFonts w:ascii="Calibri" w:eastAsia="Calibri" w:hAnsi="Calibri" w:cs="Calibri"/>
                <w:sz w:val="20"/>
                <w:szCs w:val="20"/>
              </w:rPr>
              <w:t xml:space="preserve"> (2016) </w:t>
            </w:r>
            <w:r w:rsidRPr="00CD14DA">
              <w:rPr>
                <w:rFonts w:ascii="Calibri" w:eastAsia="Calibri" w:hAnsi="Calibri" w:cs="Calibri"/>
                <w:sz w:val="20"/>
                <w:szCs w:val="20"/>
              </w:rPr>
              <w:t>Predicting imminent risk for fracture in patients aged 50 or older with osteoporosis using US claims data. Arch Osteoporos</w:t>
            </w:r>
            <w:r>
              <w:rPr>
                <w:rFonts w:ascii="Calibri" w:eastAsia="Calibri" w:hAnsi="Calibri" w:cs="Calibri"/>
                <w:sz w:val="20"/>
                <w:szCs w:val="20"/>
              </w:rPr>
              <w:t xml:space="preserve"> </w:t>
            </w:r>
            <w:r w:rsidRPr="00CD14DA">
              <w:rPr>
                <w:rFonts w:ascii="Calibri" w:eastAsia="Calibri" w:hAnsi="Calibri" w:cs="Calibri"/>
                <w:sz w:val="20"/>
                <w:szCs w:val="20"/>
              </w:rPr>
              <w:t>11(1):26. Doi: 10.1007/s11657-016-0280-5.</w:t>
            </w:r>
          </w:p>
        </w:tc>
      </w:tr>
      <w:tr w:rsidR="00711B20" w:rsidRPr="00307087" w14:paraId="2A9DBB6A" w14:textId="77777777" w:rsidTr="006C761D">
        <w:tc>
          <w:tcPr>
            <w:tcW w:w="689" w:type="dxa"/>
          </w:tcPr>
          <w:p w14:paraId="1C990586" w14:textId="753F8D6E"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14.</w:t>
            </w:r>
          </w:p>
        </w:tc>
        <w:tc>
          <w:tcPr>
            <w:tcW w:w="7630" w:type="dxa"/>
          </w:tcPr>
          <w:p w14:paraId="36EFDA7D" w14:textId="6139F135" w:rsidR="00711B20" w:rsidRPr="00745DC9" w:rsidRDefault="00711B20" w:rsidP="00D0613C">
            <w:pPr>
              <w:spacing w:after="240"/>
              <w:rPr>
                <w:rFonts w:ascii="Calibri" w:eastAsia="Calibri" w:hAnsi="Calibri" w:cs="Calibri"/>
                <w:sz w:val="20"/>
                <w:szCs w:val="20"/>
              </w:rPr>
            </w:pPr>
            <w:r w:rsidRPr="00CD14DA">
              <w:rPr>
                <w:rFonts w:ascii="Calibri" w:eastAsia="Calibri" w:hAnsi="Calibri" w:cs="Calibri"/>
                <w:sz w:val="20"/>
                <w:szCs w:val="20"/>
              </w:rPr>
              <w:t>Chapurlat RD, Bauer DC, Nevitt M, Stone K, Cummings SR</w:t>
            </w:r>
            <w:r>
              <w:rPr>
                <w:rFonts w:ascii="Calibri" w:eastAsia="Calibri" w:hAnsi="Calibri" w:cs="Calibri"/>
                <w:sz w:val="20"/>
                <w:szCs w:val="20"/>
              </w:rPr>
              <w:t xml:space="preserve"> (2003) I</w:t>
            </w:r>
            <w:r w:rsidRPr="00CD14DA">
              <w:rPr>
                <w:rFonts w:ascii="Calibri" w:eastAsia="Calibri" w:hAnsi="Calibri" w:cs="Calibri"/>
                <w:sz w:val="20"/>
                <w:szCs w:val="20"/>
              </w:rPr>
              <w:t>ncidence and risk factors for a second hip fracture in elderly women. The Study of Osteoporotic Fractures. Osteoporos Int</w:t>
            </w:r>
            <w:r>
              <w:rPr>
                <w:rFonts w:ascii="Calibri" w:eastAsia="Calibri" w:hAnsi="Calibri" w:cs="Calibri"/>
                <w:sz w:val="20"/>
                <w:szCs w:val="20"/>
              </w:rPr>
              <w:t xml:space="preserve"> </w:t>
            </w:r>
            <w:r w:rsidRPr="00CD14DA">
              <w:rPr>
                <w:rFonts w:ascii="Calibri" w:eastAsia="Calibri" w:hAnsi="Calibri" w:cs="Calibri"/>
                <w:sz w:val="20"/>
                <w:szCs w:val="20"/>
              </w:rPr>
              <w:t>14</w:t>
            </w:r>
            <w:r>
              <w:rPr>
                <w:rFonts w:ascii="Calibri" w:eastAsia="Calibri" w:hAnsi="Calibri" w:cs="Calibri"/>
                <w:sz w:val="20"/>
                <w:szCs w:val="20"/>
              </w:rPr>
              <w:t xml:space="preserve">: </w:t>
            </w:r>
            <w:r w:rsidRPr="00CD14DA">
              <w:rPr>
                <w:rFonts w:ascii="Calibri" w:eastAsia="Calibri" w:hAnsi="Calibri" w:cs="Calibri"/>
                <w:sz w:val="20"/>
                <w:szCs w:val="20"/>
              </w:rPr>
              <w:t>130-6.</w:t>
            </w:r>
          </w:p>
        </w:tc>
      </w:tr>
      <w:tr w:rsidR="00711B20" w:rsidRPr="00307087" w14:paraId="1F929FD1" w14:textId="77777777" w:rsidTr="006C761D">
        <w:tc>
          <w:tcPr>
            <w:tcW w:w="689" w:type="dxa"/>
          </w:tcPr>
          <w:p w14:paraId="07A21AB2" w14:textId="5C511CB5"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15.</w:t>
            </w:r>
          </w:p>
        </w:tc>
        <w:tc>
          <w:tcPr>
            <w:tcW w:w="7630" w:type="dxa"/>
          </w:tcPr>
          <w:p w14:paraId="211AE367" w14:textId="4828E904" w:rsidR="00711B20" w:rsidRPr="00307087" w:rsidRDefault="00711B20" w:rsidP="00D0613C">
            <w:pPr>
              <w:spacing w:after="240"/>
              <w:rPr>
                <w:rFonts w:ascii="Calibri" w:eastAsia="Calibri" w:hAnsi="Calibri" w:cs="Calibri"/>
                <w:sz w:val="20"/>
                <w:szCs w:val="20"/>
              </w:rPr>
            </w:pPr>
            <w:r w:rsidRPr="00D80143">
              <w:rPr>
                <w:rFonts w:ascii="Calibri" w:eastAsia="Calibri" w:hAnsi="Calibri" w:cs="Calibri"/>
                <w:sz w:val="20"/>
                <w:szCs w:val="20"/>
              </w:rPr>
              <w:t>Henry MJ, Pasco JA, Sanders KM, Nicholson GC, Kotowicz MA</w:t>
            </w:r>
            <w:r>
              <w:rPr>
                <w:rFonts w:ascii="Calibri" w:eastAsia="Calibri" w:hAnsi="Calibri" w:cs="Calibri"/>
                <w:sz w:val="20"/>
                <w:szCs w:val="20"/>
              </w:rPr>
              <w:t xml:space="preserve"> (2006) </w:t>
            </w:r>
            <w:r w:rsidRPr="00D80143">
              <w:rPr>
                <w:rFonts w:ascii="Calibri" w:eastAsia="Calibri" w:hAnsi="Calibri" w:cs="Calibri"/>
                <w:sz w:val="20"/>
                <w:szCs w:val="20"/>
              </w:rPr>
              <w:t>Fracture Risk (FRISK) Score: Geelong Osteoporosis Study. Radiology</w:t>
            </w:r>
            <w:r>
              <w:rPr>
                <w:rFonts w:ascii="Calibri" w:eastAsia="Calibri" w:hAnsi="Calibri" w:cs="Calibri"/>
                <w:sz w:val="20"/>
                <w:szCs w:val="20"/>
              </w:rPr>
              <w:t xml:space="preserve"> </w:t>
            </w:r>
            <w:r w:rsidRPr="00D80143">
              <w:rPr>
                <w:rFonts w:ascii="Calibri" w:eastAsia="Calibri" w:hAnsi="Calibri" w:cs="Calibri"/>
                <w:sz w:val="20"/>
                <w:szCs w:val="20"/>
              </w:rPr>
              <w:t>241</w:t>
            </w:r>
            <w:r>
              <w:rPr>
                <w:rFonts w:ascii="Calibri" w:eastAsia="Calibri" w:hAnsi="Calibri" w:cs="Calibri"/>
                <w:sz w:val="20"/>
                <w:szCs w:val="20"/>
              </w:rPr>
              <w:t xml:space="preserve">: </w:t>
            </w:r>
            <w:r w:rsidRPr="00D80143">
              <w:rPr>
                <w:rFonts w:ascii="Calibri" w:eastAsia="Calibri" w:hAnsi="Calibri" w:cs="Calibri"/>
                <w:sz w:val="20"/>
                <w:szCs w:val="20"/>
              </w:rPr>
              <w:t>190-6.</w:t>
            </w:r>
          </w:p>
        </w:tc>
      </w:tr>
      <w:tr w:rsidR="00711B20" w:rsidRPr="00307087" w14:paraId="5838ADC9" w14:textId="77777777" w:rsidTr="006C761D">
        <w:tc>
          <w:tcPr>
            <w:tcW w:w="689" w:type="dxa"/>
          </w:tcPr>
          <w:p w14:paraId="0FC0701D" w14:textId="09435BCB"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16.</w:t>
            </w:r>
          </w:p>
        </w:tc>
        <w:tc>
          <w:tcPr>
            <w:tcW w:w="7630" w:type="dxa"/>
          </w:tcPr>
          <w:p w14:paraId="7C580805" w14:textId="141F50E6" w:rsidR="00711B20" w:rsidRPr="00D80143" w:rsidRDefault="00711B20" w:rsidP="00D0613C">
            <w:pPr>
              <w:spacing w:after="240"/>
              <w:rPr>
                <w:rFonts w:ascii="Calibri" w:eastAsia="Calibri" w:hAnsi="Calibri" w:cs="Calibri"/>
                <w:sz w:val="20"/>
                <w:szCs w:val="20"/>
              </w:rPr>
            </w:pPr>
            <w:r w:rsidRPr="00DA75DF">
              <w:rPr>
                <w:sz w:val="18"/>
                <w:szCs w:val="18"/>
              </w:rPr>
              <w:t>Huntjens KM, Kosar S, van Geel TA, Geusens PP, Willems P, Kessels A,</w:t>
            </w:r>
            <w:r>
              <w:rPr>
                <w:sz w:val="18"/>
                <w:szCs w:val="18"/>
              </w:rPr>
              <w:t xml:space="preserve"> </w:t>
            </w:r>
            <w:r w:rsidRPr="00DA75DF">
              <w:rPr>
                <w:sz w:val="18"/>
                <w:szCs w:val="18"/>
              </w:rPr>
              <w:t>Winkens B, Brink P, van Helden S (2010) Risk of subsequent fracture and mortality</w:t>
            </w:r>
            <w:r>
              <w:rPr>
                <w:sz w:val="18"/>
                <w:szCs w:val="18"/>
              </w:rPr>
              <w:t xml:space="preserve"> </w:t>
            </w:r>
            <w:r w:rsidRPr="00DA75DF">
              <w:rPr>
                <w:sz w:val="18"/>
                <w:szCs w:val="18"/>
              </w:rPr>
              <w:t>within 5 years after a non-vertebral fracture. Osteoporos Int 21:2075-2082</w:t>
            </w:r>
          </w:p>
        </w:tc>
      </w:tr>
      <w:tr w:rsidR="00711B20" w:rsidRPr="00307087" w14:paraId="49605019" w14:textId="77777777" w:rsidTr="006C761D">
        <w:tc>
          <w:tcPr>
            <w:tcW w:w="689" w:type="dxa"/>
          </w:tcPr>
          <w:p w14:paraId="788CE95C" w14:textId="7EF09C75"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17.</w:t>
            </w:r>
          </w:p>
        </w:tc>
        <w:tc>
          <w:tcPr>
            <w:tcW w:w="7630" w:type="dxa"/>
          </w:tcPr>
          <w:p w14:paraId="304B0735" w14:textId="7A4E6D98" w:rsidR="00711B20" w:rsidRPr="00D80143" w:rsidRDefault="00711B20" w:rsidP="00D0613C">
            <w:pPr>
              <w:spacing w:after="240"/>
              <w:rPr>
                <w:rFonts w:ascii="Calibri" w:eastAsia="Calibri" w:hAnsi="Calibri" w:cs="Calibri"/>
                <w:sz w:val="20"/>
                <w:szCs w:val="20"/>
              </w:rPr>
            </w:pPr>
            <w:r w:rsidRPr="00483234">
              <w:rPr>
                <w:rFonts w:ascii="Calibri" w:eastAsia="Calibri" w:hAnsi="Calibri" w:cs="Calibri"/>
                <w:sz w:val="20"/>
                <w:szCs w:val="20"/>
              </w:rPr>
              <w:t>Iconaru L, Moreau M, Baleanu F, Kinnard V, Charles A, Mugisha A, Surquin M, Benoit F, Karmali R, Paesmans M, Body JJ, Bergmann P</w:t>
            </w:r>
            <w:r>
              <w:rPr>
                <w:rFonts w:ascii="Calibri" w:eastAsia="Calibri" w:hAnsi="Calibri" w:cs="Calibri"/>
                <w:sz w:val="20"/>
                <w:szCs w:val="20"/>
              </w:rPr>
              <w:t xml:space="preserve"> (2021) </w:t>
            </w:r>
            <w:r w:rsidRPr="00483234">
              <w:rPr>
                <w:rFonts w:ascii="Calibri" w:eastAsia="Calibri" w:hAnsi="Calibri" w:cs="Calibri"/>
                <w:sz w:val="20"/>
                <w:szCs w:val="20"/>
              </w:rPr>
              <w:t xml:space="preserve">Risk factors for imminent fractures: a substudy of the FRISBEE cohort. Osteoporos Int. doi: 10.1007/s00198-020-05772-8. </w:t>
            </w:r>
            <w:r w:rsidRPr="001D541F">
              <w:rPr>
                <w:rFonts w:ascii="Calibri" w:eastAsia="Calibri" w:hAnsi="Calibri" w:cs="Calibri"/>
                <w:sz w:val="20"/>
                <w:szCs w:val="20"/>
                <w:highlight w:val="yellow"/>
              </w:rPr>
              <w:t>Epub ahead of print</w:t>
            </w:r>
            <w:r w:rsidRPr="00483234">
              <w:rPr>
                <w:rFonts w:ascii="Calibri" w:eastAsia="Calibri" w:hAnsi="Calibri" w:cs="Calibri"/>
                <w:sz w:val="20"/>
                <w:szCs w:val="20"/>
              </w:rPr>
              <w:t>.</w:t>
            </w:r>
          </w:p>
        </w:tc>
      </w:tr>
      <w:tr w:rsidR="00711B20" w:rsidRPr="00307087" w14:paraId="164099DA" w14:textId="77777777" w:rsidTr="006C761D">
        <w:tc>
          <w:tcPr>
            <w:tcW w:w="689" w:type="dxa"/>
          </w:tcPr>
          <w:p w14:paraId="2BC06F06" w14:textId="6198173C"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18.</w:t>
            </w:r>
          </w:p>
        </w:tc>
        <w:tc>
          <w:tcPr>
            <w:tcW w:w="7630" w:type="dxa"/>
          </w:tcPr>
          <w:p w14:paraId="4FEEC677" w14:textId="50EC1DE7" w:rsidR="00711B20" w:rsidRDefault="00711B20" w:rsidP="00D0613C">
            <w:pPr>
              <w:spacing w:after="240"/>
              <w:rPr>
                <w:rFonts w:ascii="Calibri" w:eastAsia="Calibri" w:hAnsi="Calibri" w:cs="Calibri"/>
                <w:sz w:val="20"/>
                <w:szCs w:val="20"/>
              </w:rPr>
            </w:pPr>
            <w:r w:rsidRPr="007D5097">
              <w:rPr>
                <w:rFonts w:ascii="Calibri" w:eastAsia="Calibri" w:hAnsi="Calibri" w:cs="Calibri"/>
                <w:sz w:val="20"/>
                <w:szCs w:val="20"/>
              </w:rPr>
              <w:t>Ioannidis G, Jantzi M, Bucek J, Adachi JD, Giangregorio L, Hirdes J, Pickard L, Papaioannou A</w:t>
            </w:r>
            <w:r>
              <w:rPr>
                <w:rFonts w:ascii="Calibri" w:eastAsia="Calibri" w:hAnsi="Calibri" w:cs="Calibri"/>
                <w:sz w:val="20"/>
                <w:szCs w:val="20"/>
              </w:rPr>
              <w:t xml:space="preserve"> (2017) </w:t>
            </w:r>
            <w:r w:rsidRPr="007D5097">
              <w:rPr>
                <w:rFonts w:ascii="Calibri" w:eastAsia="Calibri" w:hAnsi="Calibri" w:cs="Calibri"/>
                <w:sz w:val="20"/>
                <w:szCs w:val="20"/>
              </w:rPr>
              <w:t>Development and validation of the Fracture Risk Scale (FRS) that predicts fracture over a 1-year time period in institutionalised frail older people living in Canada: an electronic record-linked longitudinal cohort study. BMJ Open</w:t>
            </w:r>
            <w:r>
              <w:rPr>
                <w:rFonts w:ascii="Calibri" w:eastAsia="Calibri" w:hAnsi="Calibri" w:cs="Calibri"/>
                <w:sz w:val="20"/>
                <w:szCs w:val="20"/>
              </w:rPr>
              <w:t xml:space="preserve"> </w:t>
            </w:r>
            <w:r w:rsidRPr="007D5097">
              <w:rPr>
                <w:rFonts w:ascii="Calibri" w:eastAsia="Calibri" w:hAnsi="Calibri" w:cs="Calibri"/>
                <w:sz w:val="20"/>
                <w:szCs w:val="20"/>
              </w:rPr>
              <w:t>7(9):e016477. Doi: 10.1136/bmjopen-2017-016477.</w:t>
            </w:r>
          </w:p>
        </w:tc>
      </w:tr>
      <w:tr w:rsidR="00711B20" w:rsidRPr="00307087" w14:paraId="4486FC99" w14:textId="77777777" w:rsidTr="006C761D">
        <w:tc>
          <w:tcPr>
            <w:tcW w:w="689" w:type="dxa"/>
          </w:tcPr>
          <w:p w14:paraId="6DB2E0D0" w14:textId="17BF773E"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19.</w:t>
            </w:r>
          </w:p>
        </w:tc>
        <w:tc>
          <w:tcPr>
            <w:tcW w:w="7630" w:type="dxa"/>
          </w:tcPr>
          <w:p w14:paraId="59BD0C20" w14:textId="06220965" w:rsidR="00711B20" w:rsidRPr="007D5097" w:rsidRDefault="00711B20" w:rsidP="00D0613C">
            <w:pPr>
              <w:spacing w:after="240"/>
              <w:rPr>
                <w:rFonts w:ascii="Calibri" w:eastAsia="Calibri" w:hAnsi="Calibri" w:cs="Calibri"/>
                <w:sz w:val="20"/>
                <w:szCs w:val="20"/>
              </w:rPr>
            </w:pPr>
            <w:r w:rsidRPr="00E0678A">
              <w:t>Negm AM, Ioannidis G, Jantzi M, Bucek J, Giangregorio L, Pickard L, Hirdes JP, Adachi JD, Richardson J, Thabane L, Papaioannou A (2018) Validation of a one year fracture prediction tool for absolute hip fracture risk in long term care residents. BMC Geriatr 18(1):320. Doi: 10.1186/s12877-018-1010-1.</w:t>
            </w:r>
          </w:p>
        </w:tc>
      </w:tr>
      <w:tr w:rsidR="00711B20" w:rsidRPr="00307087" w14:paraId="002AE43D" w14:textId="77777777" w:rsidTr="006C761D">
        <w:tc>
          <w:tcPr>
            <w:tcW w:w="689" w:type="dxa"/>
          </w:tcPr>
          <w:p w14:paraId="0EC5BA89" w14:textId="2C1DB7B6"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20.</w:t>
            </w:r>
          </w:p>
        </w:tc>
        <w:tc>
          <w:tcPr>
            <w:tcW w:w="7630" w:type="dxa"/>
          </w:tcPr>
          <w:p w14:paraId="072060B6" w14:textId="14509F06" w:rsidR="00711B20" w:rsidRPr="00307087" w:rsidRDefault="00711B20" w:rsidP="00D0613C">
            <w:pPr>
              <w:spacing w:after="240"/>
              <w:rPr>
                <w:rFonts w:ascii="Calibri" w:eastAsia="Calibri" w:hAnsi="Calibri" w:cs="Calibri"/>
                <w:sz w:val="20"/>
                <w:szCs w:val="20"/>
              </w:rPr>
            </w:pPr>
            <w:r w:rsidRPr="00C10DEE">
              <w:rPr>
                <w:rFonts w:ascii="Calibri" w:eastAsia="Calibri" w:hAnsi="Calibri" w:cs="Calibri"/>
                <w:sz w:val="20"/>
                <w:szCs w:val="20"/>
              </w:rPr>
              <w:t>Jung HS Jang S, Chung HY</w:t>
            </w:r>
            <w:r>
              <w:rPr>
                <w:rFonts w:ascii="Calibri" w:eastAsia="Calibri" w:hAnsi="Calibri" w:cs="Calibri"/>
                <w:sz w:val="20"/>
                <w:szCs w:val="20"/>
              </w:rPr>
              <w:t>,</w:t>
            </w:r>
            <w:r>
              <w:t xml:space="preserve"> </w:t>
            </w:r>
            <w:r w:rsidRPr="0097488F">
              <w:rPr>
                <w:rFonts w:ascii="Calibri" w:eastAsia="Calibri" w:hAnsi="Calibri" w:cs="Calibri"/>
                <w:sz w:val="20"/>
                <w:szCs w:val="20"/>
              </w:rPr>
              <w:t>Park SY, Kim HY, Ha YC, Lee YK, Nho JH</w:t>
            </w:r>
            <w:r>
              <w:rPr>
                <w:rFonts w:ascii="Calibri" w:eastAsia="Calibri" w:hAnsi="Calibri" w:cs="Calibri"/>
                <w:sz w:val="20"/>
                <w:szCs w:val="20"/>
              </w:rPr>
              <w:t xml:space="preserve"> (2021) </w:t>
            </w:r>
            <w:r w:rsidRPr="00C10DEE">
              <w:rPr>
                <w:rFonts w:ascii="Calibri" w:eastAsia="Calibri" w:hAnsi="Calibri" w:cs="Calibri"/>
                <w:sz w:val="20"/>
                <w:szCs w:val="20"/>
              </w:rPr>
              <w:t>Incidence of subsequent osteoporotic fractures after distal radius fractures and mortality of the subsequent distal radius fractures: a retrospective analysis of claims data of the Korea National Health Insurance Service. Osteoporos Int 32, 293–299</w:t>
            </w:r>
            <w:r>
              <w:rPr>
                <w:rFonts w:ascii="Calibri" w:eastAsia="Calibri" w:hAnsi="Calibri" w:cs="Calibri"/>
                <w:sz w:val="20"/>
                <w:szCs w:val="20"/>
              </w:rPr>
              <w:t>.</w:t>
            </w:r>
          </w:p>
        </w:tc>
      </w:tr>
      <w:tr w:rsidR="00711B20" w:rsidRPr="00307087" w14:paraId="1D9EC6BE" w14:textId="77777777" w:rsidTr="006C761D">
        <w:tc>
          <w:tcPr>
            <w:tcW w:w="689" w:type="dxa"/>
          </w:tcPr>
          <w:p w14:paraId="63D67C51" w14:textId="72A3B879"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21.</w:t>
            </w:r>
          </w:p>
        </w:tc>
        <w:tc>
          <w:tcPr>
            <w:tcW w:w="7630" w:type="dxa"/>
          </w:tcPr>
          <w:p w14:paraId="159559B2" w14:textId="7F28145B" w:rsidR="00711B20" w:rsidRPr="00307087" w:rsidRDefault="00711B20" w:rsidP="00D0613C">
            <w:pPr>
              <w:spacing w:after="240"/>
              <w:rPr>
                <w:rFonts w:ascii="Calibri" w:eastAsia="Calibri" w:hAnsi="Calibri" w:cs="Calibri"/>
                <w:sz w:val="20"/>
                <w:szCs w:val="20"/>
              </w:rPr>
            </w:pPr>
            <w:r w:rsidRPr="003E794C">
              <w:rPr>
                <w:rFonts w:ascii="Calibri" w:eastAsia="Calibri" w:hAnsi="Calibri" w:cs="Calibri"/>
                <w:sz w:val="20"/>
                <w:szCs w:val="20"/>
              </w:rPr>
              <w:t>Miller PD, Barlas S, Brenneman SK, Abbott TA, Chen YT, Barrett-Connor E, Siris ES</w:t>
            </w:r>
            <w:r>
              <w:rPr>
                <w:rFonts w:ascii="Calibri" w:eastAsia="Calibri" w:hAnsi="Calibri" w:cs="Calibri"/>
                <w:sz w:val="20"/>
                <w:szCs w:val="20"/>
              </w:rPr>
              <w:t xml:space="preserve"> (2004) </w:t>
            </w:r>
            <w:r w:rsidRPr="003E794C">
              <w:rPr>
                <w:rFonts w:ascii="Calibri" w:eastAsia="Calibri" w:hAnsi="Calibri" w:cs="Calibri"/>
                <w:sz w:val="20"/>
                <w:szCs w:val="20"/>
              </w:rPr>
              <w:t>An approach to identifying osteopenic women at increased short-term risk of fracture. Arch Intern Med</w:t>
            </w:r>
            <w:r>
              <w:rPr>
                <w:rFonts w:ascii="Calibri" w:eastAsia="Calibri" w:hAnsi="Calibri" w:cs="Calibri"/>
                <w:sz w:val="20"/>
                <w:szCs w:val="20"/>
              </w:rPr>
              <w:t xml:space="preserve"> </w:t>
            </w:r>
            <w:r w:rsidRPr="003E794C">
              <w:rPr>
                <w:rFonts w:ascii="Calibri" w:eastAsia="Calibri" w:hAnsi="Calibri" w:cs="Calibri"/>
                <w:sz w:val="20"/>
                <w:szCs w:val="20"/>
              </w:rPr>
              <w:t>164:</w:t>
            </w:r>
            <w:r>
              <w:rPr>
                <w:rFonts w:ascii="Calibri" w:eastAsia="Calibri" w:hAnsi="Calibri" w:cs="Calibri"/>
                <w:sz w:val="20"/>
                <w:szCs w:val="20"/>
              </w:rPr>
              <w:t xml:space="preserve"> </w:t>
            </w:r>
            <w:r w:rsidRPr="003E794C">
              <w:rPr>
                <w:rFonts w:ascii="Calibri" w:eastAsia="Calibri" w:hAnsi="Calibri" w:cs="Calibri"/>
                <w:sz w:val="20"/>
                <w:szCs w:val="20"/>
              </w:rPr>
              <w:t>1113-20.</w:t>
            </w:r>
          </w:p>
        </w:tc>
      </w:tr>
      <w:tr w:rsidR="00711B20" w:rsidRPr="00307087" w14:paraId="28E3C847" w14:textId="77777777" w:rsidTr="006C761D">
        <w:tc>
          <w:tcPr>
            <w:tcW w:w="689" w:type="dxa"/>
          </w:tcPr>
          <w:p w14:paraId="36B21230" w14:textId="78F991D1" w:rsidR="00711B20" w:rsidRDefault="00711B20" w:rsidP="00D0613C">
            <w:pPr>
              <w:spacing w:after="240"/>
              <w:jc w:val="right"/>
              <w:rPr>
                <w:rFonts w:ascii="Calibri" w:eastAsia="Cambria" w:hAnsi="Calibri" w:cs="Times New Roman"/>
              </w:rPr>
            </w:pPr>
            <w:r>
              <w:rPr>
                <w:rFonts w:ascii="Calibri" w:eastAsia="Cambria" w:hAnsi="Calibri" w:cs="Times New Roman"/>
              </w:rPr>
              <w:t>22.</w:t>
            </w:r>
          </w:p>
        </w:tc>
        <w:tc>
          <w:tcPr>
            <w:tcW w:w="7630" w:type="dxa"/>
          </w:tcPr>
          <w:p w14:paraId="49E31D31" w14:textId="77777777" w:rsidR="00711B20" w:rsidRPr="003E794C" w:rsidRDefault="00711B20" w:rsidP="00D0613C">
            <w:pPr>
              <w:spacing w:after="240"/>
              <w:rPr>
                <w:rFonts w:ascii="Calibri" w:eastAsia="Calibri" w:hAnsi="Calibri" w:cs="Calibri"/>
                <w:sz w:val="20"/>
                <w:szCs w:val="20"/>
              </w:rPr>
            </w:pPr>
            <w:r w:rsidRPr="00676BB3">
              <w:rPr>
                <w:rFonts w:ascii="Calibri" w:eastAsia="Cambria" w:hAnsi="Calibri" w:cs="Times New Roman"/>
              </w:rPr>
              <w:t>Möller S, Skjødt MK, Yan L, Abrahamsen B, Lix LM, McCloskey EV, Johansson H, Harvey NC,</w:t>
            </w:r>
            <w:r>
              <w:rPr>
                <w:rFonts w:ascii="Calibri" w:eastAsia="Cambria" w:hAnsi="Calibri" w:cs="Times New Roman"/>
              </w:rPr>
              <w:t xml:space="preserve"> </w:t>
            </w:r>
            <w:r w:rsidRPr="00676BB3">
              <w:rPr>
                <w:rFonts w:ascii="Calibri" w:eastAsia="Cambria" w:hAnsi="Calibri" w:cs="Times New Roman"/>
              </w:rPr>
              <w:t xml:space="preserve">Kanis JA, Rubin KH, Leslie WD (2020) Prediction of imminent fracture risk in Canadian women and men aged 45 years or older: External validation of the Fracture Risk Evaluation Model. </w:t>
            </w:r>
            <w:r>
              <w:rPr>
                <w:rFonts w:ascii="Calibri" w:eastAsia="Cambria" w:hAnsi="Calibri" w:cs="Times New Roman"/>
              </w:rPr>
              <w:t>J Bone Miner Res</w:t>
            </w:r>
            <w:r w:rsidRPr="00676BB3">
              <w:rPr>
                <w:rFonts w:ascii="Calibri" w:eastAsia="Cambria" w:hAnsi="Calibri" w:cs="Times New Roman"/>
              </w:rPr>
              <w:t xml:space="preserve">, </w:t>
            </w:r>
            <w:r w:rsidRPr="00CD0D04">
              <w:rPr>
                <w:rFonts w:ascii="Calibri" w:eastAsia="Cambria" w:hAnsi="Calibri" w:cs="Times New Roman"/>
                <w:highlight w:val="yellow"/>
              </w:rPr>
              <w:t>Submitted Jan 2021</w:t>
            </w:r>
          </w:p>
        </w:tc>
      </w:tr>
      <w:tr w:rsidR="00711B20" w:rsidRPr="00307087" w14:paraId="77933023" w14:textId="77777777" w:rsidTr="006C761D">
        <w:tc>
          <w:tcPr>
            <w:tcW w:w="689" w:type="dxa"/>
          </w:tcPr>
          <w:p w14:paraId="3DBA916E" w14:textId="2AF3FEB8" w:rsidR="00711B20" w:rsidRDefault="00711B20" w:rsidP="00D0613C">
            <w:pPr>
              <w:spacing w:after="240"/>
              <w:jc w:val="right"/>
              <w:rPr>
                <w:rFonts w:ascii="Calibri" w:eastAsia="Cambria" w:hAnsi="Calibri" w:cs="Times New Roman"/>
              </w:rPr>
            </w:pPr>
            <w:r>
              <w:rPr>
                <w:rFonts w:ascii="Calibri" w:eastAsia="Cambria" w:hAnsi="Calibri" w:cs="Times New Roman"/>
              </w:rPr>
              <w:t>23.</w:t>
            </w:r>
          </w:p>
        </w:tc>
        <w:tc>
          <w:tcPr>
            <w:tcW w:w="7630" w:type="dxa"/>
          </w:tcPr>
          <w:p w14:paraId="3167D640" w14:textId="76D5A94F" w:rsidR="00711B20" w:rsidRPr="00676BB3" w:rsidRDefault="00711B20" w:rsidP="00D0613C">
            <w:pPr>
              <w:spacing w:after="240"/>
              <w:rPr>
                <w:rFonts w:ascii="Calibri" w:eastAsia="Cambria" w:hAnsi="Calibri" w:cs="Times New Roman"/>
              </w:rPr>
            </w:pPr>
            <w:r w:rsidRPr="00A8449B">
              <w:rPr>
                <w:rFonts w:ascii="Calibri" w:eastAsia="Cambria" w:hAnsi="Calibri" w:cs="Times New Roman"/>
              </w:rPr>
              <w:t>Nymark T, Lauritsen JM, Ovesen O, Röck ND, Jeune B (2006) Short timeframe</w:t>
            </w:r>
            <w:r>
              <w:rPr>
                <w:rFonts w:ascii="Calibri" w:eastAsia="Cambria" w:hAnsi="Calibri" w:cs="Times New Roman"/>
              </w:rPr>
              <w:t xml:space="preserve"> </w:t>
            </w:r>
            <w:r w:rsidRPr="00A8449B">
              <w:rPr>
                <w:rFonts w:ascii="Calibri" w:eastAsia="Cambria" w:hAnsi="Calibri" w:cs="Times New Roman"/>
              </w:rPr>
              <w:t>from first to second hip fracture in the Funen County Hip Fracture Study.</w:t>
            </w:r>
            <w:r>
              <w:rPr>
                <w:rFonts w:ascii="Calibri" w:eastAsia="Cambria" w:hAnsi="Calibri" w:cs="Times New Roman"/>
              </w:rPr>
              <w:t xml:space="preserve"> </w:t>
            </w:r>
            <w:r w:rsidRPr="00A8449B">
              <w:rPr>
                <w:rFonts w:ascii="Calibri" w:eastAsia="Cambria" w:hAnsi="Calibri" w:cs="Times New Roman"/>
              </w:rPr>
              <w:t>Osteoporos Int 17:1353-1357</w:t>
            </w:r>
          </w:p>
        </w:tc>
      </w:tr>
      <w:tr w:rsidR="00711B20" w:rsidRPr="00307087" w14:paraId="69DD05B4" w14:textId="77777777" w:rsidTr="006C761D">
        <w:tc>
          <w:tcPr>
            <w:tcW w:w="689" w:type="dxa"/>
          </w:tcPr>
          <w:p w14:paraId="19628C2F" w14:textId="41E0767D" w:rsidR="00711B20" w:rsidRDefault="00711B20" w:rsidP="00D0613C">
            <w:pPr>
              <w:jc w:val="right"/>
              <w:rPr>
                <w:rFonts w:ascii="Calibri" w:hAnsi="Calibri" w:cs="Calibri"/>
                <w:noProof/>
                <w:sz w:val="20"/>
                <w:lang w:val="en-US"/>
              </w:rPr>
            </w:pPr>
            <w:r>
              <w:rPr>
                <w:rFonts w:ascii="Calibri" w:hAnsi="Calibri" w:cs="Calibri"/>
                <w:noProof/>
                <w:sz w:val="20"/>
                <w:lang w:val="en-US"/>
              </w:rPr>
              <w:t>24.</w:t>
            </w:r>
          </w:p>
        </w:tc>
        <w:tc>
          <w:tcPr>
            <w:tcW w:w="7630" w:type="dxa"/>
          </w:tcPr>
          <w:p w14:paraId="6BD873BD" w14:textId="22770E3C" w:rsidR="00711B20" w:rsidRPr="00787EFB" w:rsidRDefault="00711B20" w:rsidP="00D0613C">
            <w:pPr>
              <w:rPr>
                <w:rFonts w:ascii="Calibri" w:hAnsi="Calibri" w:cs="Calibri"/>
                <w:noProof/>
                <w:sz w:val="20"/>
                <w:lang w:val="en-US"/>
              </w:rPr>
            </w:pPr>
            <w:r w:rsidRPr="006033F4">
              <w:rPr>
                <w:rFonts w:ascii="Calibri" w:hAnsi="Calibri" w:cs="Calibri"/>
                <w:noProof/>
                <w:sz w:val="20"/>
                <w:lang w:val="en-US"/>
              </w:rPr>
              <w:t>Rubin, K. H., Möller, S., Holmberg, T., Bliddal, M., Søndergaard, J., &amp; Abrahamsen, B. (2018). A New Fracture Risk Assessment Tool (FREM) Based on Public Health Registries. J Bone Miner Res 33</w:t>
            </w:r>
            <w:r>
              <w:rPr>
                <w:rFonts w:ascii="Calibri" w:hAnsi="Calibri" w:cs="Calibri"/>
                <w:noProof/>
                <w:sz w:val="20"/>
                <w:lang w:val="en-US"/>
              </w:rPr>
              <w:t xml:space="preserve">: </w:t>
            </w:r>
            <w:r w:rsidRPr="006033F4">
              <w:rPr>
                <w:rFonts w:ascii="Calibri" w:hAnsi="Calibri" w:cs="Calibri"/>
                <w:noProof/>
                <w:sz w:val="20"/>
                <w:lang w:val="en-US"/>
              </w:rPr>
              <w:t xml:space="preserve"> 1967-1979.</w:t>
            </w:r>
          </w:p>
        </w:tc>
      </w:tr>
      <w:tr w:rsidR="00711B20" w:rsidRPr="00307087" w14:paraId="3636F228" w14:textId="77777777" w:rsidTr="006C761D">
        <w:tc>
          <w:tcPr>
            <w:tcW w:w="689" w:type="dxa"/>
          </w:tcPr>
          <w:p w14:paraId="32069DD9" w14:textId="0128340C"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25.</w:t>
            </w:r>
          </w:p>
        </w:tc>
        <w:tc>
          <w:tcPr>
            <w:tcW w:w="7630" w:type="dxa"/>
          </w:tcPr>
          <w:p w14:paraId="6D717F8B" w14:textId="33511CBB" w:rsidR="00711B20" w:rsidRPr="00307087" w:rsidRDefault="00711B20" w:rsidP="00D0613C">
            <w:pPr>
              <w:spacing w:after="240"/>
              <w:rPr>
                <w:rFonts w:ascii="Calibri" w:eastAsia="Calibri" w:hAnsi="Calibri" w:cs="Calibri"/>
                <w:sz w:val="20"/>
                <w:szCs w:val="20"/>
              </w:rPr>
            </w:pPr>
            <w:r w:rsidRPr="002406AE">
              <w:rPr>
                <w:rFonts w:ascii="Calibri" w:eastAsia="Calibri" w:hAnsi="Calibri" w:cs="Calibri"/>
                <w:sz w:val="20"/>
                <w:szCs w:val="20"/>
              </w:rPr>
              <w:t>Sheer RL, Barron RL, Sudharshan L, Pasquale MK</w:t>
            </w:r>
            <w:r>
              <w:rPr>
                <w:rFonts w:ascii="Calibri" w:eastAsia="Calibri" w:hAnsi="Calibri" w:cs="Calibri"/>
                <w:sz w:val="20"/>
                <w:szCs w:val="20"/>
              </w:rPr>
              <w:t xml:space="preserve"> (2020) </w:t>
            </w:r>
            <w:r w:rsidRPr="002406AE">
              <w:rPr>
                <w:rFonts w:ascii="Calibri" w:eastAsia="Calibri" w:hAnsi="Calibri" w:cs="Calibri"/>
                <w:sz w:val="20"/>
                <w:szCs w:val="20"/>
              </w:rPr>
              <w:t>Validated prediction of imminent risk of fracture for older adults. Am J Manag Care</w:t>
            </w:r>
            <w:r>
              <w:rPr>
                <w:rFonts w:ascii="Calibri" w:eastAsia="Calibri" w:hAnsi="Calibri" w:cs="Calibri"/>
                <w:sz w:val="20"/>
                <w:szCs w:val="20"/>
              </w:rPr>
              <w:t xml:space="preserve"> </w:t>
            </w:r>
            <w:r w:rsidRPr="002406AE">
              <w:rPr>
                <w:rFonts w:ascii="Calibri" w:eastAsia="Calibri" w:hAnsi="Calibri" w:cs="Calibri"/>
                <w:sz w:val="20"/>
                <w:szCs w:val="20"/>
              </w:rPr>
              <w:t>26:</w:t>
            </w:r>
            <w:r>
              <w:rPr>
                <w:rFonts w:ascii="Calibri" w:eastAsia="Calibri" w:hAnsi="Calibri" w:cs="Calibri"/>
                <w:sz w:val="20"/>
                <w:szCs w:val="20"/>
              </w:rPr>
              <w:t xml:space="preserve"> </w:t>
            </w:r>
            <w:r w:rsidRPr="002406AE">
              <w:rPr>
                <w:rFonts w:ascii="Calibri" w:eastAsia="Calibri" w:hAnsi="Calibri" w:cs="Calibri"/>
                <w:sz w:val="20"/>
                <w:szCs w:val="20"/>
              </w:rPr>
              <w:t>e91-e97. Doi: 10.37765/ajmc.2020.42641.</w:t>
            </w:r>
          </w:p>
        </w:tc>
      </w:tr>
      <w:tr w:rsidR="00711B20" w:rsidRPr="00307087" w14:paraId="182D4B7A" w14:textId="77777777" w:rsidTr="006C761D">
        <w:tc>
          <w:tcPr>
            <w:tcW w:w="689" w:type="dxa"/>
          </w:tcPr>
          <w:p w14:paraId="6373F7D2" w14:textId="25F535FE" w:rsidR="00711B20" w:rsidRPr="00C32A49" w:rsidRDefault="00711B20" w:rsidP="00D0613C">
            <w:pPr>
              <w:spacing w:after="240"/>
              <w:jc w:val="right"/>
              <w:rPr>
                <w:rFonts w:ascii="Calibri" w:eastAsia="Calibri" w:hAnsi="Calibri" w:cs="Calibri"/>
                <w:sz w:val="20"/>
                <w:szCs w:val="20"/>
              </w:rPr>
            </w:pPr>
            <w:r w:rsidRPr="00C32A49">
              <w:rPr>
                <w:rFonts w:ascii="Calibri" w:eastAsia="Calibri" w:hAnsi="Calibri" w:cs="Calibri"/>
                <w:sz w:val="20"/>
                <w:szCs w:val="20"/>
              </w:rPr>
              <w:t>26.</w:t>
            </w:r>
          </w:p>
        </w:tc>
        <w:tc>
          <w:tcPr>
            <w:tcW w:w="7630" w:type="dxa"/>
          </w:tcPr>
          <w:p w14:paraId="0C684BB6" w14:textId="704A12F1" w:rsidR="00711B20" w:rsidRPr="00C32A49" w:rsidRDefault="00711B20" w:rsidP="00D0613C">
            <w:pPr>
              <w:spacing w:after="240"/>
              <w:rPr>
                <w:rFonts w:ascii="Calibri" w:eastAsia="Calibri" w:hAnsi="Calibri" w:cs="Calibri"/>
                <w:sz w:val="20"/>
                <w:szCs w:val="20"/>
              </w:rPr>
            </w:pPr>
            <w:r w:rsidRPr="00C32A49">
              <w:rPr>
                <w:rFonts w:ascii="Calibri" w:eastAsia="Calibri" w:hAnsi="Calibri" w:cs="Calibri"/>
                <w:sz w:val="20"/>
                <w:szCs w:val="20"/>
              </w:rPr>
              <w:t>Shim YB, Park JA, Nam JH, Hong SH, Kim JW, Jeong J, Shin JY (2020) Incidence and risk factors of subsequent osteoporotic fracture: a nationwide cohort study in South Korea. Arch Osteoporos15(1):180. doi: 10.1007/s11657-020-00852-y.</w:t>
            </w:r>
          </w:p>
        </w:tc>
      </w:tr>
      <w:tr w:rsidR="00711B20" w:rsidRPr="00307087" w14:paraId="5D8424FB" w14:textId="77777777" w:rsidTr="006C761D">
        <w:tc>
          <w:tcPr>
            <w:tcW w:w="689" w:type="dxa"/>
          </w:tcPr>
          <w:p w14:paraId="61F80A7A" w14:textId="536010D4"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27.</w:t>
            </w:r>
          </w:p>
        </w:tc>
        <w:tc>
          <w:tcPr>
            <w:tcW w:w="7630" w:type="dxa"/>
          </w:tcPr>
          <w:p w14:paraId="69117360" w14:textId="5DFC6EB3" w:rsidR="00711B20" w:rsidRPr="00307087" w:rsidRDefault="00711B20" w:rsidP="00D0613C">
            <w:pPr>
              <w:spacing w:after="240"/>
              <w:rPr>
                <w:rFonts w:ascii="Calibri" w:eastAsia="Calibri" w:hAnsi="Calibri" w:cs="Calibri"/>
                <w:sz w:val="20"/>
                <w:szCs w:val="20"/>
              </w:rPr>
            </w:pPr>
            <w:r w:rsidRPr="002031D8">
              <w:rPr>
                <w:rFonts w:ascii="Calibri" w:eastAsia="Calibri" w:hAnsi="Calibri" w:cs="Calibri"/>
                <w:sz w:val="20"/>
                <w:szCs w:val="20"/>
              </w:rPr>
              <w:t>Söreskog E, Ström O, Spångéus A, Åkesson KE, Borgström F, Banefelt J, Toth E, Libanati C, Charokopou M</w:t>
            </w:r>
            <w:r>
              <w:rPr>
                <w:rFonts w:ascii="Calibri" w:eastAsia="Calibri" w:hAnsi="Calibri" w:cs="Calibri"/>
                <w:sz w:val="20"/>
                <w:szCs w:val="20"/>
              </w:rPr>
              <w:t xml:space="preserve"> (2020) </w:t>
            </w:r>
            <w:r w:rsidRPr="002031D8">
              <w:rPr>
                <w:rFonts w:ascii="Calibri" w:eastAsia="Calibri" w:hAnsi="Calibri" w:cs="Calibri"/>
                <w:sz w:val="20"/>
                <w:szCs w:val="20"/>
              </w:rPr>
              <w:t>Risk of major osteoporotic fracture after first, second and third fracture in Swedish women aged 50 years and older. Bone</w:t>
            </w:r>
            <w:r>
              <w:rPr>
                <w:rFonts w:ascii="Calibri" w:eastAsia="Calibri" w:hAnsi="Calibri" w:cs="Calibri"/>
                <w:sz w:val="20"/>
                <w:szCs w:val="20"/>
              </w:rPr>
              <w:t xml:space="preserve"> </w:t>
            </w:r>
            <w:r w:rsidRPr="002031D8">
              <w:rPr>
                <w:rFonts w:ascii="Calibri" w:eastAsia="Calibri" w:hAnsi="Calibri" w:cs="Calibri"/>
                <w:sz w:val="20"/>
                <w:szCs w:val="20"/>
              </w:rPr>
              <w:t>134:115286. Doi: 10.1016/j.bone.2020.115286.</w:t>
            </w:r>
          </w:p>
        </w:tc>
      </w:tr>
      <w:tr w:rsidR="00711B20" w:rsidRPr="00307087" w14:paraId="28D86034" w14:textId="77777777" w:rsidTr="006C761D">
        <w:tc>
          <w:tcPr>
            <w:tcW w:w="689" w:type="dxa"/>
          </w:tcPr>
          <w:p w14:paraId="17EF13A6" w14:textId="11DCA09B"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28.</w:t>
            </w:r>
          </w:p>
        </w:tc>
        <w:tc>
          <w:tcPr>
            <w:tcW w:w="7630" w:type="dxa"/>
          </w:tcPr>
          <w:p w14:paraId="53E23A03" w14:textId="15CE89FA" w:rsidR="00711B20" w:rsidRPr="002031D8" w:rsidRDefault="00711B20" w:rsidP="00D0613C">
            <w:pPr>
              <w:spacing w:after="240"/>
              <w:rPr>
                <w:rFonts w:ascii="Calibri" w:eastAsia="Calibri" w:hAnsi="Calibri" w:cs="Calibri"/>
                <w:sz w:val="20"/>
                <w:szCs w:val="20"/>
              </w:rPr>
            </w:pPr>
            <w:r w:rsidRPr="00AA2AC6">
              <w:rPr>
                <w:rFonts w:ascii="Calibri" w:eastAsia="Calibri" w:hAnsi="Calibri" w:cs="Calibri"/>
                <w:sz w:val="20"/>
                <w:szCs w:val="20"/>
              </w:rPr>
              <w:t>Toth E, Banefelt J, Åkesson K, Spångeus A, Ortsäter G, Libanati C</w:t>
            </w:r>
            <w:r>
              <w:rPr>
                <w:rFonts w:ascii="Calibri" w:eastAsia="Calibri" w:hAnsi="Calibri" w:cs="Calibri"/>
                <w:sz w:val="20"/>
                <w:szCs w:val="20"/>
              </w:rPr>
              <w:t xml:space="preserve"> (2020) </w:t>
            </w:r>
            <w:r w:rsidRPr="00AA2AC6">
              <w:rPr>
                <w:rFonts w:ascii="Calibri" w:eastAsia="Calibri" w:hAnsi="Calibri" w:cs="Calibri"/>
                <w:sz w:val="20"/>
                <w:szCs w:val="20"/>
              </w:rPr>
              <w:t xml:space="preserve">History of </w:t>
            </w:r>
            <w:r>
              <w:rPr>
                <w:rFonts w:ascii="Calibri" w:eastAsia="Calibri" w:hAnsi="Calibri" w:cs="Calibri"/>
                <w:sz w:val="20"/>
                <w:szCs w:val="20"/>
              </w:rPr>
              <w:t>p</w:t>
            </w:r>
            <w:r w:rsidRPr="00AA2AC6">
              <w:rPr>
                <w:rFonts w:ascii="Calibri" w:eastAsia="Calibri" w:hAnsi="Calibri" w:cs="Calibri"/>
                <w:sz w:val="20"/>
                <w:szCs w:val="20"/>
              </w:rPr>
              <w:t xml:space="preserve">revious </w:t>
            </w:r>
            <w:r>
              <w:rPr>
                <w:rFonts w:ascii="Calibri" w:eastAsia="Calibri" w:hAnsi="Calibri" w:cs="Calibri"/>
                <w:sz w:val="20"/>
                <w:szCs w:val="20"/>
              </w:rPr>
              <w:t>f</w:t>
            </w:r>
            <w:r w:rsidRPr="00AA2AC6">
              <w:rPr>
                <w:rFonts w:ascii="Calibri" w:eastAsia="Calibri" w:hAnsi="Calibri" w:cs="Calibri"/>
                <w:sz w:val="20"/>
                <w:szCs w:val="20"/>
              </w:rPr>
              <w:t xml:space="preserve">racture and </w:t>
            </w:r>
            <w:r>
              <w:rPr>
                <w:rFonts w:ascii="Calibri" w:eastAsia="Calibri" w:hAnsi="Calibri" w:cs="Calibri"/>
                <w:sz w:val="20"/>
                <w:szCs w:val="20"/>
              </w:rPr>
              <w:t>i</w:t>
            </w:r>
            <w:r w:rsidRPr="00AA2AC6">
              <w:rPr>
                <w:rFonts w:ascii="Calibri" w:eastAsia="Calibri" w:hAnsi="Calibri" w:cs="Calibri"/>
                <w:sz w:val="20"/>
                <w:szCs w:val="20"/>
              </w:rPr>
              <w:t xml:space="preserve">mminent </w:t>
            </w:r>
            <w:r>
              <w:rPr>
                <w:rFonts w:ascii="Calibri" w:eastAsia="Calibri" w:hAnsi="Calibri" w:cs="Calibri"/>
                <w:sz w:val="20"/>
                <w:szCs w:val="20"/>
              </w:rPr>
              <w:t>f</w:t>
            </w:r>
            <w:r w:rsidRPr="00AA2AC6">
              <w:rPr>
                <w:rFonts w:ascii="Calibri" w:eastAsia="Calibri" w:hAnsi="Calibri" w:cs="Calibri"/>
                <w:sz w:val="20"/>
                <w:szCs w:val="20"/>
              </w:rPr>
              <w:t xml:space="preserve">racture </w:t>
            </w:r>
            <w:r>
              <w:rPr>
                <w:rFonts w:ascii="Calibri" w:eastAsia="Calibri" w:hAnsi="Calibri" w:cs="Calibri"/>
                <w:sz w:val="20"/>
                <w:szCs w:val="20"/>
              </w:rPr>
              <w:t>r</w:t>
            </w:r>
            <w:r w:rsidRPr="00AA2AC6">
              <w:rPr>
                <w:rFonts w:ascii="Calibri" w:eastAsia="Calibri" w:hAnsi="Calibri" w:cs="Calibri"/>
                <w:sz w:val="20"/>
                <w:szCs w:val="20"/>
              </w:rPr>
              <w:t xml:space="preserve">isk in Swedish </w:t>
            </w:r>
            <w:r>
              <w:rPr>
                <w:rFonts w:ascii="Calibri" w:eastAsia="Calibri" w:hAnsi="Calibri" w:cs="Calibri"/>
                <w:sz w:val="20"/>
                <w:szCs w:val="20"/>
              </w:rPr>
              <w:t>w</w:t>
            </w:r>
            <w:r w:rsidRPr="00AA2AC6">
              <w:rPr>
                <w:rFonts w:ascii="Calibri" w:eastAsia="Calibri" w:hAnsi="Calibri" w:cs="Calibri"/>
                <w:sz w:val="20"/>
                <w:szCs w:val="20"/>
              </w:rPr>
              <w:t xml:space="preserve">omen </w:t>
            </w:r>
            <w:r>
              <w:rPr>
                <w:rFonts w:ascii="Calibri" w:eastAsia="Calibri" w:hAnsi="Calibri" w:cs="Calibri"/>
                <w:sz w:val="20"/>
                <w:szCs w:val="20"/>
              </w:rPr>
              <w:t>a</w:t>
            </w:r>
            <w:r w:rsidRPr="00AA2AC6">
              <w:rPr>
                <w:rFonts w:ascii="Calibri" w:eastAsia="Calibri" w:hAnsi="Calibri" w:cs="Calibri"/>
                <w:sz w:val="20"/>
                <w:szCs w:val="20"/>
              </w:rPr>
              <w:t>ged 55 to 90 </w:t>
            </w:r>
            <w:r>
              <w:rPr>
                <w:rFonts w:ascii="Calibri" w:eastAsia="Calibri" w:hAnsi="Calibri" w:cs="Calibri"/>
                <w:sz w:val="20"/>
                <w:szCs w:val="20"/>
              </w:rPr>
              <w:t>y</w:t>
            </w:r>
            <w:r w:rsidRPr="00AA2AC6">
              <w:rPr>
                <w:rFonts w:ascii="Calibri" w:eastAsia="Calibri" w:hAnsi="Calibri" w:cs="Calibri"/>
                <w:sz w:val="20"/>
                <w:szCs w:val="20"/>
              </w:rPr>
              <w:t xml:space="preserve">ears </w:t>
            </w:r>
            <w:r>
              <w:rPr>
                <w:rFonts w:ascii="Calibri" w:eastAsia="Calibri" w:hAnsi="Calibri" w:cs="Calibri"/>
                <w:sz w:val="20"/>
                <w:szCs w:val="20"/>
              </w:rPr>
              <w:t>p</w:t>
            </w:r>
            <w:r w:rsidRPr="00AA2AC6">
              <w:rPr>
                <w:rFonts w:ascii="Calibri" w:eastAsia="Calibri" w:hAnsi="Calibri" w:cs="Calibri"/>
                <w:sz w:val="20"/>
                <w:szCs w:val="20"/>
              </w:rPr>
              <w:t xml:space="preserve">resenting </w:t>
            </w:r>
            <w:r>
              <w:rPr>
                <w:rFonts w:ascii="Calibri" w:eastAsia="Calibri" w:hAnsi="Calibri" w:cs="Calibri"/>
                <w:sz w:val="20"/>
                <w:szCs w:val="20"/>
              </w:rPr>
              <w:t>w</w:t>
            </w:r>
            <w:r w:rsidRPr="00AA2AC6">
              <w:rPr>
                <w:rFonts w:ascii="Calibri" w:eastAsia="Calibri" w:hAnsi="Calibri" w:cs="Calibri"/>
                <w:sz w:val="20"/>
                <w:szCs w:val="20"/>
              </w:rPr>
              <w:t xml:space="preserve">ith a </w:t>
            </w:r>
            <w:r>
              <w:rPr>
                <w:rFonts w:ascii="Calibri" w:eastAsia="Calibri" w:hAnsi="Calibri" w:cs="Calibri"/>
                <w:sz w:val="20"/>
                <w:szCs w:val="20"/>
              </w:rPr>
              <w:t>f</w:t>
            </w:r>
            <w:r w:rsidRPr="00AA2AC6">
              <w:rPr>
                <w:rFonts w:ascii="Calibri" w:eastAsia="Calibri" w:hAnsi="Calibri" w:cs="Calibri"/>
                <w:sz w:val="20"/>
                <w:szCs w:val="20"/>
              </w:rPr>
              <w:t xml:space="preserve">ragility </w:t>
            </w:r>
            <w:r>
              <w:rPr>
                <w:rFonts w:ascii="Calibri" w:eastAsia="Calibri" w:hAnsi="Calibri" w:cs="Calibri"/>
                <w:sz w:val="20"/>
                <w:szCs w:val="20"/>
              </w:rPr>
              <w:t>f</w:t>
            </w:r>
            <w:r w:rsidRPr="00AA2AC6">
              <w:rPr>
                <w:rFonts w:ascii="Calibri" w:eastAsia="Calibri" w:hAnsi="Calibri" w:cs="Calibri"/>
                <w:sz w:val="20"/>
                <w:szCs w:val="20"/>
              </w:rPr>
              <w:t>racture. J Bone Miner Res</w:t>
            </w:r>
            <w:r>
              <w:rPr>
                <w:rFonts w:ascii="Calibri" w:eastAsia="Calibri" w:hAnsi="Calibri" w:cs="Calibri"/>
                <w:sz w:val="20"/>
                <w:szCs w:val="20"/>
              </w:rPr>
              <w:t xml:space="preserve"> </w:t>
            </w:r>
            <w:r w:rsidRPr="00AA2AC6">
              <w:rPr>
                <w:rFonts w:ascii="Calibri" w:eastAsia="Calibri" w:hAnsi="Calibri" w:cs="Calibri"/>
                <w:sz w:val="20"/>
                <w:szCs w:val="20"/>
              </w:rPr>
              <w:t>35:</w:t>
            </w:r>
            <w:r>
              <w:rPr>
                <w:rFonts w:ascii="Calibri" w:eastAsia="Calibri" w:hAnsi="Calibri" w:cs="Calibri"/>
                <w:sz w:val="20"/>
                <w:szCs w:val="20"/>
              </w:rPr>
              <w:t xml:space="preserve"> </w:t>
            </w:r>
            <w:r w:rsidRPr="00AA2AC6">
              <w:rPr>
                <w:rFonts w:ascii="Calibri" w:eastAsia="Calibri" w:hAnsi="Calibri" w:cs="Calibri"/>
                <w:sz w:val="20"/>
                <w:szCs w:val="20"/>
              </w:rPr>
              <w:t>861-868.</w:t>
            </w:r>
          </w:p>
        </w:tc>
      </w:tr>
      <w:tr w:rsidR="00711B20" w:rsidRPr="00307087" w14:paraId="4ACC59B2" w14:textId="77777777" w:rsidTr="006C761D">
        <w:tc>
          <w:tcPr>
            <w:tcW w:w="689" w:type="dxa"/>
          </w:tcPr>
          <w:p w14:paraId="2584E32B" w14:textId="45119F71"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29.</w:t>
            </w:r>
          </w:p>
        </w:tc>
        <w:tc>
          <w:tcPr>
            <w:tcW w:w="7630" w:type="dxa"/>
          </w:tcPr>
          <w:p w14:paraId="720BD3E1" w14:textId="7B6DA935" w:rsidR="00711B20" w:rsidRPr="002031D8" w:rsidRDefault="00711B20" w:rsidP="00D0613C">
            <w:pPr>
              <w:spacing w:after="240"/>
              <w:rPr>
                <w:rFonts w:ascii="Calibri" w:eastAsia="Calibri" w:hAnsi="Calibri" w:cs="Calibri"/>
                <w:sz w:val="20"/>
                <w:szCs w:val="20"/>
              </w:rPr>
            </w:pPr>
            <w:r w:rsidRPr="00376715">
              <w:rPr>
                <w:rFonts w:ascii="Calibri" w:eastAsia="Calibri" w:hAnsi="Calibri" w:cs="Calibri"/>
                <w:sz w:val="20"/>
                <w:szCs w:val="20"/>
              </w:rPr>
              <w:t>van Staa TP, Leufkens HG, Cooper C</w:t>
            </w:r>
            <w:r>
              <w:rPr>
                <w:rFonts w:ascii="Calibri" w:eastAsia="Calibri" w:hAnsi="Calibri" w:cs="Calibri"/>
                <w:sz w:val="20"/>
                <w:szCs w:val="20"/>
              </w:rPr>
              <w:t xml:space="preserve"> (2002) </w:t>
            </w:r>
            <w:r w:rsidRPr="00376715">
              <w:rPr>
                <w:rFonts w:ascii="Calibri" w:eastAsia="Calibri" w:hAnsi="Calibri" w:cs="Calibri"/>
                <w:sz w:val="20"/>
                <w:szCs w:val="20"/>
              </w:rPr>
              <w:t>Does a fracture at one site predict later fractures at other sites? A British cohort study. Osteoporos Int</w:t>
            </w:r>
            <w:r>
              <w:rPr>
                <w:rFonts w:ascii="Calibri" w:eastAsia="Calibri" w:hAnsi="Calibri" w:cs="Calibri"/>
                <w:sz w:val="20"/>
                <w:szCs w:val="20"/>
              </w:rPr>
              <w:t xml:space="preserve"> </w:t>
            </w:r>
            <w:r w:rsidRPr="00376715">
              <w:rPr>
                <w:rFonts w:ascii="Calibri" w:eastAsia="Calibri" w:hAnsi="Calibri" w:cs="Calibri"/>
                <w:sz w:val="20"/>
                <w:szCs w:val="20"/>
              </w:rPr>
              <w:t>13</w:t>
            </w:r>
            <w:r>
              <w:rPr>
                <w:rFonts w:ascii="Calibri" w:eastAsia="Calibri" w:hAnsi="Calibri" w:cs="Calibri"/>
                <w:sz w:val="20"/>
                <w:szCs w:val="20"/>
              </w:rPr>
              <w:t xml:space="preserve">: </w:t>
            </w:r>
            <w:r w:rsidRPr="00376715">
              <w:rPr>
                <w:rFonts w:ascii="Calibri" w:eastAsia="Calibri" w:hAnsi="Calibri" w:cs="Calibri"/>
                <w:sz w:val="20"/>
                <w:szCs w:val="20"/>
              </w:rPr>
              <w:t>624-9.</w:t>
            </w:r>
          </w:p>
        </w:tc>
      </w:tr>
      <w:tr w:rsidR="00711B20" w:rsidRPr="00307087" w14:paraId="0A62DA02" w14:textId="77777777" w:rsidTr="006C761D">
        <w:tc>
          <w:tcPr>
            <w:tcW w:w="689" w:type="dxa"/>
          </w:tcPr>
          <w:p w14:paraId="2BCB7932" w14:textId="3B94DF99"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30.</w:t>
            </w:r>
          </w:p>
        </w:tc>
        <w:tc>
          <w:tcPr>
            <w:tcW w:w="7630" w:type="dxa"/>
          </w:tcPr>
          <w:p w14:paraId="55F3F09F" w14:textId="4254E3D3" w:rsidR="00711B20" w:rsidRPr="003A268B" w:rsidRDefault="00711B20" w:rsidP="00D0613C">
            <w:pPr>
              <w:spacing w:after="240"/>
              <w:rPr>
                <w:rFonts w:ascii="Calibri" w:eastAsia="Calibri" w:hAnsi="Calibri" w:cs="Calibri"/>
                <w:sz w:val="20"/>
                <w:szCs w:val="20"/>
              </w:rPr>
            </w:pPr>
            <w:r w:rsidRPr="00004FA4">
              <w:rPr>
                <w:rFonts w:ascii="Calibri" w:eastAsia="Calibri" w:hAnsi="Calibri" w:cs="Calibri"/>
                <w:sz w:val="20"/>
                <w:szCs w:val="20"/>
              </w:rPr>
              <w:t>Wong RMY, Ho WT, Wai LS, Li W, Chau WW, Chow KS, Cheung WH</w:t>
            </w:r>
            <w:r>
              <w:rPr>
                <w:rFonts w:ascii="Calibri" w:eastAsia="Calibri" w:hAnsi="Calibri" w:cs="Calibri"/>
                <w:sz w:val="20"/>
                <w:szCs w:val="20"/>
              </w:rPr>
              <w:t xml:space="preserve"> (2019) </w:t>
            </w:r>
            <w:r w:rsidRPr="00004FA4">
              <w:rPr>
                <w:rFonts w:ascii="Calibri" w:eastAsia="Calibri" w:hAnsi="Calibri" w:cs="Calibri"/>
                <w:sz w:val="20"/>
                <w:szCs w:val="20"/>
              </w:rPr>
              <w:t>Fragility fractures and imminent fracture risk in Hong Kong: one of the cities with longest life expectancies. Arch Osteoporos</w:t>
            </w:r>
            <w:r>
              <w:rPr>
                <w:rFonts w:ascii="Calibri" w:eastAsia="Calibri" w:hAnsi="Calibri" w:cs="Calibri"/>
                <w:sz w:val="20"/>
                <w:szCs w:val="20"/>
              </w:rPr>
              <w:t xml:space="preserve"> </w:t>
            </w:r>
            <w:r w:rsidRPr="00004FA4">
              <w:rPr>
                <w:rFonts w:ascii="Calibri" w:eastAsia="Calibri" w:hAnsi="Calibri" w:cs="Calibri"/>
                <w:sz w:val="20"/>
                <w:szCs w:val="20"/>
              </w:rPr>
              <w:t>14(1):104. doi: 10.1007/s11657-019-0648-4.</w:t>
            </w:r>
          </w:p>
        </w:tc>
      </w:tr>
      <w:tr w:rsidR="00711B20" w:rsidRPr="00307087" w14:paraId="06DAD5E1" w14:textId="77777777" w:rsidTr="006C761D">
        <w:tc>
          <w:tcPr>
            <w:tcW w:w="689" w:type="dxa"/>
          </w:tcPr>
          <w:p w14:paraId="1372A4FE" w14:textId="7B4B1E20"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31.</w:t>
            </w:r>
          </w:p>
        </w:tc>
        <w:tc>
          <w:tcPr>
            <w:tcW w:w="7630" w:type="dxa"/>
          </w:tcPr>
          <w:p w14:paraId="25C1620A" w14:textId="166ABEAB" w:rsidR="00711B20" w:rsidRPr="00C10DEE" w:rsidRDefault="00711B20" w:rsidP="00D0613C">
            <w:pPr>
              <w:spacing w:after="240"/>
              <w:rPr>
                <w:rFonts w:ascii="Calibri" w:eastAsia="Calibri" w:hAnsi="Calibri" w:cs="Calibri"/>
                <w:sz w:val="20"/>
                <w:szCs w:val="20"/>
              </w:rPr>
            </w:pPr>
            <w:r w:rsidRPr="00C07924">
              <w:rPr>
                <w:rFonts w:ascii="Calibri" w:eastAsia="Calibri" w:hAnsi="Calibri" w:cs="Calibri"/>
                <w:sz w:val="20"/>
                <w:szCs w:val="20"/>
              </w:rPr>
              <w:t xml:space="preserve">Kanis JA, Odén A, McCloskey EV, Johansson H, Wahl D, Cyrus Cooper C on behalf of the IOF Working Group on Epidemiology and Quality of Life (2012) A systematic review of hip fracture incidence and probability of fracture worldwide. Osteoporos Int 23: 2239-2256.  </w:t>
            </w:r>
          </w:p>
        </w:tc>
      </w:tr>
      <w:tr w:rsidR="00711B20" w:rsidRPr="00307087" w14:paraId="3236431B" w14:textId="77777777" w:rsidTr="006C761D">
        <w:tc>
          <w:tcPr>
            <w:tcW w:w="689" w:type="dxa"/>
          </w:tcPr>
          <w:p w14:paraId="0FC56D7D" w14:textId="6C6B2B5F"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32.</w:t>
            </w:r>
          </w:p>
        </w:tc>
        <w:tc>
          <w:tcPr>
            <w:tcW w:w="7630" w:type="dxa"/>
          </w:tcPr>
          <w:p w14:paraId="0D9F4567" w14:textId="18F45269" w:rsidR="00711B20" w:rsidRPr="00C07924" w:rsidRDefault="00711B20" w:rsidP="00D0613C">
            <w:pPr>
              <w:spacing w:after="240"/>
              <w:rPr>
                <w:rFonts w:ascii="Calibri" w:eastAsia="Calibri" w:hAnsi="Calibri" w:cs="Calibri"/>
                <w:sz w:val="20"/>
                <w:szCs w:val="20"/>
              </w:rPr>
            </w:pPr>
            <w:r w:rsidRPr="00932D45">
              <w:rPr>
                <w:rFonts w:ascii="Calibri" w:eastAsia="Calibri" w:hAnsi="Calibri" w:cs="Calibri"/>
                <w:sz w:val="20"/>
                <w:szCs w:val="20"/>
              </w:rPr>
              <w:t>Kanis JA, Johansson H, Harvey NC, Gudnason V, Sigurdsson G, Siggeirsdottir K, Lorentzon M, Liu E, Vandenput L, McCloskey EV</w:t>
            </w:r>
            <w:r>
              <w:rPr>
                <w:rFonts w:ascii="Calibri" w:eastAsia="Calibri" w:hAnsi="Calibri" w:cs="Calibri"/>
                <w:sz w:val="20"/>
                <w:szCs w:val="20"/>
              </w:rPr>
              <w:t xml:space="preserve"> (2021) </w:t>
            </w:r>
            <w:r w:rsidRPr="00932D45">
              <w:rPr>
                <w:rFonts w:ascii="Calibri" w:eastAsia="Calibri" w:hAnsi="Calibri" w:cs="Calibri"/>
                <w:sz w:val="20"/>
                <w:szCs w:val="20"/>
              </w:rPr>
              <w:t xml:space="preserve">The effect on subsequent fracture risk of age, sex, and prior fracture site by recency of prior fracture. Osteoporos Int. 2021 Feb 4. doi: 10.1007/s00198-020-05803-4. </w:t>
            </w:r>
            <w:r w:rsidRPr="00F74317">
              <w:rPr>
                <w:rFonts w:ascii="Calibri" w:eastAsia="Calibri" w:hAnsi="Calibri" w:cs="Calibri"/>
                <w:sz w:val="20"/>
                <w:szCs w:val="20"/>
                <w:highlight w:val="yellow"/>
              </w:rPr>
              <w:t>Epub ahead of print</w:t>
            </w:r>
            <w:r w:rsidRPr="00932D45">
              <w:rPr>
                <w:rFonts w:ascii="Calibri" w:eastAsia="Calibri" w:hAnsi="Calibri" w:cs="Calibri"/>
                <w:sz w:val="20"/>
                <w:szCs w:val="20"/>
              </w:rPr>
              <w:t>.</w:t>
            </w:r>
          </w:p>
        </w:tc>
      </w:tr>
      <w:tr w:rsidR="00711B20" w:rsidRPr="00307087" w14:paraId="45E117AD" w14:textId="77777777" w:rsidTr="006C761D">
        <w:tc>
          <w:tcPr>
            <w:tcW w:w="689" w:type="dxa"/>
          </w:tcPr>
          <w:p w14:paraId="4F836A00" w14:textId="6EE685E1"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33.</w:t>
            </w:r>
          </w:p>
        </w:tc>
        <w:tc>
          <w:tcPr>
            <w:tcW w:w="7630" w:type="dxa"/>
          </w:tcPr>
          <w:p w14:paraId="557A0A11" w14:textId="35E90F79" w:rsidR="00711B20" w:rsidRPr="00C07924" w:rsidRDefault="00711B20" w:rsidP="00D0613C">
            <w:pPr>
              <w:spacing w:after="240"/>
              <w:rPr>
                <w:rFonts w:ascii="Calibri" w:eastAsia="Calibri" w:hAnsi="Calibri" w:cs="Calibri"/>
                <w:sz w:val="20"/>
                <w:szCs w:val="20"/>
              </w:rPr>
            </w:pPr>
            <w:r w:rsidRPr="00CA22A2">
              <w:rPr>
                <w:rFonts w:ascii="Calibri" w:eastAsia="Calibri" w:hAnsi="Calibri" w:cs="Calibri"/>
                <w:sz w:val="20"/>
                <w:szCs w:val="20"/>
              </w:rPr>
              <w:t>Deloumeau A, Moltó A, Roux C, Briot K (2017) Determinants of short term fracture risk in patients with a recent history of low-trauma non-vertebral fracture. Bone 105:287-291. Doi: 10.1016/j.bone.2017.08.018.</w:t>
            </w:r>
          </w:p>
        </w:tc>
      </w:tr>
      <w:tr w:rsidR="00711B20" w:rsidRPr="00307087" w14:paraId="48A5C4DF" w14:textId="77777777" w:rsidTr="006C761D">
        <w:tc>
          <w:tcPr>
            <w:tcW w:w="689" w:type="dxa"/>
          </w:tcPr>
          <w:p w14:paraId="563EE23A" w14:textId="7B390B44"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34.</w:t>
            </w:r>
          </w:p>
        </w:tc>
        <w:tc>
          <w:tcPr>
            <w:tcW w:w="7630" w:type="dxa"/>
          </w:tcPr>
          <w:p w14:paraId="3B1FA911" w14:textId="62A68DCD" w:rsidR="00711B20" w:rsidRPr="0073182F" w:rsidRDefault="00711B20" w:rsidP="00D0613C">
            <w:pPr>
              <w:spacing w:after="240"/>
              <w:rPr>
                <w:rFonts w:ascii="Calibri" w:eastAsia="Calibri" w:hAnsi="Calibri" w:cs="Calibri"/>
                <w:sz w:val="20"/>
                <w:szCs w:val="20"/>
              </w:rPr>
            </w:pPr>
            <w:r w:rsidRPr="004F2ABA">
              <w:rPr>
                <w:rFonts w:ascii="Calibri" w:eastAsia="Calibri" w:hAnsi="Calibri" w:cs="Calibri"/>
                <w:sz w:val="20"/>
                <w:szCs w:val="20"/>
              </w:rPr>
              <w:t xml:space="preserve">Adachi JD, Berger C, Barron R, </w:t>
            </w:r>
            <w:r>
              <w:t>Weycker</w:t>
            </w:r>
            <w:r w:rsidRPr="000A3E8E">
              <w:rPr>
                <w:rFonts w:ascii="Calibri" w:eastAsia="Calibri" w:hAnsi="Calibri" w:cs="Calibri"/>
                <w:sz w:val="20"/>
                <w:szCs w:val="20"/>
              </w:rPr>
              <w:t xml:space="preserve"> D, Anastassiades TP, Davison KS, Hanley DA, Ioannidis G, Jackson SA, Josse RG, Kaiser SM, Kovacs CS, Leslie WD, Morin SN, Papaioannou A, Prior JC, Shyta E, Silvia A, Towheed T, Goltzman D</w:t>
            </w:r>
            <w:r>
              <w:rPr>
                <w:rFonts w:ascii="Calibri" w:eastAsia="Calibri" w:hAnsi="Calibri" w:cs="Calibri"/>
                <w:sz w:val="20"/>
                <w:szCs w:val="20"/>
              </w:rPr>
              <w:t xml:space="preserve"> (2019) </w:t>
            </w:r>
            <w:r w:rsidRPr="004F2ABA">
              <w:rPr>
                <w:rFonts w:ascii="Calibri" w:eastAsia="Calibri" w:hAnsi="Calibri" w:cs="Calibri"/>
                <w:sz w:val="20"/>
                <w:szCs w:val="20"/>
              </w:rPr>
              <w:t>Predictors of imminent nonvertebral</w:t>
            </w:r>
            <w:r>
              <w:rPr>
                <w:rFonts w:ascii="Calibri" w:eastAsia="Calibri" w:hAnsi="Calibri" w:cs="Calibri"/>
                <w:sz w:val="20"/>
                <w:szCs w:val="20"/>
              </w:rPr>
              <w:t xml:space="preserve"> </w:t>
            </w:r>
            <w:r w:rsidRPr="004F2ABA">
              <w:rPr>
                <w:rFonts w:ascii="Calibri" w:eastAsia="Calibri" w:hAnsi="Calibri" w:cs="Calibri"/>
                <w:sz w:val="20"/>
                <w:szCs w:val="20"/>
              </w:rPr>
              <w:t>fracture in elderly women with osteoporosis, low bone</w:t>
            </w:r>
            <w:r>
              <w:rPr>
                <w:rFonts w:ascii="Calibri" w:eastAsia="Calibri" w:hAnsi="Calibri" w:cs="Calibri"/>
                <w:sz w:val="20"/>
                <w:szCs w:val="20"/>
              </w:rPr>
              <w:t xml:space="preserve"> </w:t>
            </w:r>
            <w:r w:rsidRPr="004F2ABA">
              <w:rPr>
                <w:rFonts w:ascii="Calibri" w:eastAsia="Calibri" w:hAnsi="Calibri" w:cs="Calibri"/>
                <w:sz w:val="20"/>
                <w:szCs w:val="20"/>
              </w:rPr>
              <w:t>mass, or a history of fracture, based on data from the population</w:t>
            </w:r>
            <w:r>
              <w:rPr>
                <w:rFonts w:ascii="Calibri" w:eastAsia="Calibri" w:hAnsi="Calibri" w:cs="Calibri"/>
                <w:sz w:val="20"/>
                <w:szCs w:val="20"/>
              </w:rPr>
              <w:t xml:space="preserve"> </w:t>
            </w:r>
            <w:r w:rsidRPr="004F2ABA">
              <w:rPr>
                <w:rFonts w:ascii="Calibri" w:eastAsia="Calibri" w:hAnsi="Calibri" w:cs="Calibri"/>
                <w:sz w:val="20"/>
                <w:szCs w:val="20"/>
              </w:rPr>
              <w:t>based</w:t>
            </w:r>
            <w:r>
              <w:rPr>
                <w:rFonts w:ascii="Calibri" w:eastAsia="Calibri" w:hAnsi="Calibri" w:cs="Calibri"/>
                <w:sz w:val="20"/>
                <w:szCs w:val="20"/>
              </w:rPr>
              <w:t xml:space="preserve"> </w:t>
            </w:r>
            <w:r w:rsidRPr="004F2ABA">
              <w:rPr>
                <w:rFonts w:ascii="Calibri" w:eastAsia="Calibri" w:hAnsi="Calibri" w:cs="Calibri"/>
                <w:sz w:val="20"/>
                <w:szCs w:val="20"/>
              </w:rPr>
              <w:t>Canadian Multicentre Osteoporosis Study (CaMos). Arch</w:t>
            </w:r>
            <w:r>
              <w:rPr>
                <w:rFonts w:ascii="Calibri" w:eastAsia="Calibri" w:hAnsi="Calibri" w:cs="Calibri"/>
                <w:sz w:val="20"/>
                <w:szCs w:val="20"/>
              </w:rPr>
              <w:t xml:space="preserve"> </w:t>
            </w:r>
            <w:r w:rsidRPr="004F2ABA">
              <w:rPr>
                <w:rFonts w:ascii="Calibri" w:eastAsia="Calibri" w:hAnsi="Calibri" w:cs="Calibri"/>
                <w:sz w:val="20"/>
                <w:szCs w:val="20"/>
              </w:rPr>
              <w:t>Osteoporos</w:t>
            </w:r>
            <w:r>
              <w:rPr>
                <w:rFonts w:ascii="Calibri" w:eastAsia="Calibri" w:hAnsi="Calibri" w:cs="Calibri"/>
                <w:sz w:val="20"/>
                <w:szCs w:val="20"/>
              </w:rPr>
              <w:t xml:space="preserve"> </w:t>
            </w:r>
            <w:r w:rsidRPr="004F2ABA">
              <w:rPr>
                <w:rFonts w:ascii="Calibri" w:eastAsia="Calibri" w:hAnsi="Calibri" w:cs="Calibri"/>
                <w:sz w:val="20"/>
                <w:szCs w:val="20"/>
              </w:rPr>
              <w:t>4(1):53.</w:t>
            </w:r>
            <w:r>
              <w:t xml:space="preserve"> </w:t>
            </w:r>
            <w:r w:rsidRPr="00B20A99">
              <w:rPr>
                <w:rFonts w:ascii="Calibri" w:eastAsia="Calibri" w:hAnsi="Calibri" w:cs="Calibri"/>
                <w:sz w:val="20"/>
                <w:szCs w:val="20"/>
              </w:rPr>
              <w:t>doi: 10.1007/s11657-019-0598-x.</w:t>
            </w:r>
          </w:p>
        </w:tc>
      </w:tr>
      <w:tr w:rsidR="00711B20" w:rsidRPr="00307087" w14:paraId="378D7624" w14:textId="77777777" w:rsidTr="006C761D">
        <w:tc>
          <w:tcPr>
            <w:tcW w:w="689" w:type="dxa"/>
          </w:tcPr>
          <w:p w14:paraId="4C607752" w14:textId="69172A6B"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35.</w:t>
            </w:r>
          </w:p>
        </w:tc>
        <w:tc>
          <w:tcPr>
            <w:tcW w:w="7630" w:type="dxa"/>
          </w:tcPr>
          <w:p w14:paraId="2FE677C4" w14:textId="24DEB741" w:rsidR="00711B20" w:rsidRDefault="00711B20" w:rsidP="00D0613C">
            <w:pPr>
              <w:spacing w:after="240"/>
              <w:rPr>
                <w:rFonts w:ascii="Calibri" w:eastAsia="Calibri" w:hAnsi="Calibri" w:cs="Calibri"/>
                <w:sz w:val="20"/>
                <w:szCs w:val="20"/>
              </w:rPr>
            </w:pPr>
            <w:r w:rsidRPr="004A67A8">
              <w:rPr>
                <w:rFonts w:ascii="Calibri" w:eastAsia="Calibri" w:hAnsi="Calibri" w:cs="Calibri"/>
                <w:sz w:val="20"/>
                <w:szCs w:val="20"/>
              </w:rPr>
              <w:t>Hannan MT, Weycker D, McLean RR, Sahni S, Bornheimer R, Barron R, Travison TG, Kiel DP</w:t>
            </w:r>
            <w:r>
              <w:rPr>
                <w:rFonts w:ascii="Calibri" w:eastAsia="Calibri" w:hAnsi="Calibri" w:cs="Calibri"/>
                <w:sz w:val="20"/>
                <w:szCs w:val="20"/>
              </w:rPr>
              <w:t xml:space="preserve"> (2019) </w:t>
            </w:r>
            <w:r w:rsidRPr="004A67A8">
              <w:rPr>
                <w:rFonts w:ascii="Calibri" w:eastAsia="Calibri" w:hAnsi="Calibri" w:cs="Calibri"/>
                <w:sz w:val="20"/>
                <w:szCs w:val="20"/>
              </w:rPr>
              <w:t xml:space="preserve">Predictors of </w:t>
            </w:r>
            <w:r>
              <w:rPr>
                <w:rFonts w:ascii="Calibri" w:eastAsia="Calibri" w:hAnsi="Calibri" w:cs="Calibri"/>
                <w:sz w:val="20"/>
                <w:szCs w:val="20"/>
              </w:rPr>
              <w:t>i</w:t>
            </w:r>
            <w:r w:rsidRPr="004A67A8">
              <w:rPr>
                <w:rFonts w:ascii="Calibri" w:eastAsia="Calibri" w:hAnsi="Calibri" w:cs="Calibri"/>
                <w:sz w:val="20"/>
                <w:szCs w:val="20"/>
              </w:rPr>
              <w:t xml:space="preserve">mminent </w:t>
            </w:r>
            <w:r>
              <w:rPr>
                <w:rFonts w:ascii="Calibri" w:eastAsia="Calibri" w:hAnsi="Calibri" w:cs="Calibri"/>
                <w:sz w:val="20"/>
                <w:szCs w:val="20"/>
              </w:rPr>
              <w:t>r</w:t>
            </w:r>
            <w:r w:rsidRPr="004A67A8">
              <w:rPr>
                <w:rFonts w:ascii="Calibri" w:eastAsia="Calibri" w:hAnsi="Calibri" w:cs="Calibri"/>
                <w:sz w:val="20"/>
                <w:szCs w:val="20"/>
              </w:rPr>
              <w:t xml:space="preserve">isk of </w:t>
            </w:r>
            <w:r>
              <w:rPr>
                <w:rFonts w:ascii="Calibri" w:eastAsia="Calibri" w:hAnsi="Calibri" w:cs="Calibri"/>
                <w:sz w:val="20"/>
                <w:szCs w:val="20"/>
              </w:rPr>
              <w:t>n</w:t>
            </w:r>
            <w:r w:rsidRPr="004A67A8">
              <w:rPr>
                <w:rFonts w:ascii="Calibri" w:eastAsia="Calibri" w:hAnsi="Calibri" w:cs="Calibri"/>
                <w:sz w:val="20"/>
                <w:szCs w:val="20"/>
              </w:rPr>
              <w:t xml:space="preserve">onvertebral </w:t>
            </w:r>
            <w:r>
              <w:rPr>
                <w:rFonts w:ascii="Calibri" w:eastAsia="Calibri" w:hAnsi="Calibri" w:cs="Calibri"/>
                <w:sz w:val="20"/>
                <w:szCs w:val="20"/>
              </w:rPr>
              <w:t>f</w:t>
            </w:r>
            <w:r w:rsidRPr="004A67A8">
              <w:rPr>
                <w:rFonts w:ascii="Calibri" w:eastAsia="Calibri" w:hAnsi="Calibri" w:cs="Calibri"/>
                <w:sz w:val="20"/>
                <w:szCs w:val="20"/>
              </w:rPr>
              <w:t xml:space="preserve">racture in </w:t>
            </w:r>
            <w:r>
              <w:rPr>
                <w:rFonts w:ascii="Calibri" w:eastAsia="Calibri" w:hAnsi="Calibri" w:cs="Calibri"/>
                <w:sz w:val="20"/>
                <w:szCs w:val="20"/>
              </w:rPr>
              <w:t>o</w:t>
            </w:r>
            <w:r w:rsidRPr="004A67A8">
              <w:rPr>
                <w:rFonts w:ascii="Calibri" w:eastAsia="Calibri" w:hAnsi="Calibri" w:cs="Calibri"/>
                <w:sz w:val="20"/>
                <w:szCs w:val="20"/>
              </w:rPr>
              <w:t xml:space="preserve">lder, </w:t>
            </w:r>
            <w:r>
              <w:rPr>
                <w:rFonts w:ascii="Calibri" w:eastAsia="Calibri" w:hAnsi="Calibri" w:cs="Calibri"/>
                <w:sz w:val="20"/>
                <w:szCs w:val="20"/>
              </w:rPr>
              <w:t>h</w:t>
            </w:r>
            <w:r w:rsidRPr="004A67A8">
              <w:rPr>
                <w:rFonts w:ascii="Calibri" w:eastAsia="Calibri" w:hAnsi="Calibri" w:cs="Calibri"/>
                <w:sz w:val="20"/>
                <w:szCs w:val="20"/>
              </w:rPr>
              <w:t>igh-</w:t>
            </w:r>
            <w:r>
              <w:rPr>
                <w:rFonts w:ascii="Calibri" w:eastAsia="Calibri" w:hAnsi="Calibri" w:cs="Calibri"/>
                <w:sz w:val="20"/>
                <w:szCs w:val="20"/>
              </w:rPr>
              <w:t>r</w:t>
            </w:r>
            <w:r w:rsidRPr="004A67A8">
              <w:rPr>
                <w:rFonts w:ascii="Calibri" w:eastAsia="Calibri" w:hAnsi="Calibri" w:cs="Calibri"/>
                <w:sz w:val="20"/>
                <w:szCs w:val="20"/>
              </w:rPr>
              <w:t xml:space="preserve">isk </w:t>
            </w:r>
            <w:r>
              <w:rPr>
                <w:rFonts w:ascii="Calibri" w:eastAsia="Calibri" w:hAnsi="Calibri" w:cs="Calibri"/>
                <w:sz w:val="20"/>
                <w:szCs w:val="20"/>
              </w:rPr>
              <w:t>w</w:t>
            </w:r>
            <w:r w:rsidRPr="004A67A8">
              <w:rPr>
                <w:rFonts w:ascii="Calibri" w:eastAsia="Calibri" w:hAnsi="Calibri" w:cs="Calibri"/>
                <w:sz w:val="20"/>
                <w:szCs w:val="20"/>
              </w:rPr>
              <w:t>omen: The Framingham Osteoporosis Study. JBMR Plus</w:t>
            </w:r>
            <w:r>
              <w:rPr>
                <w:rFonts w:ascii="Calibri" w:eastAsia="Calibri" w:hAnsi="Calibri" w:cs="Calibri"/>
                <w:sz w:val="20"/>
                <w:szCs w:val="20"/>
              </w:rPr>
              <w:t xml:space="preserve"> </w:t>
            </w:r>
            <w:r w:rsidRPr="004A67A8">
              <w:rPr>
                <w:rFonts w:ascii="Calibri" w:eastAsia="Calibri" w:hAnsi="Calibri" w:cs="Calibri"/>
                <w:sz w:val="20"/>
                <w:szCs w:val="20"/>
              </w:rPr>
              <w:t>3(6):e10129. doi: 10.1002/jbm4.10129.</w:t>
            </w:r>
          </w:p>
        </w:tc>
      </w:tr>
      <w:tr w:rsidR="00711B20" w:rsidRPr="00307087" w14:paraId="7402DD7D" w14:textId="77777777" w:rsidTr="006C761D">
        <w:tc>
          <w:tcPr>
            <w:tcW w:w="689" w:type="dxa"/>
          </w:tcPr>
          <w:p w14:paraId="0E98687D" w14:textId="49263B67"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36.</w:t>
            </w:r>
          </w:p>
        </w:tc>
        <w:tc>
          <w:tcPr>
            <w:tcW w:w="7630" w:type="dxa"/>
          </w:tcPr>
          <w:p w14:paraId="3D795D73" w14:textId="61D4D0E6" w:rsidR="00711B20" w:rsidRPr="00745DC9" w:rsidRDefault="00711B20" w:rsidP="00D0613C">
            <w:pPr>
              <w:spacing w:after="240"/>
              <w:rPr>
                <w:rFonts w:ascii="Calibri" w:eastAsia="Calibri" w:hAnsi="Calibri" w:cs="Calibri"/>
                <w:sz w:val="20"/>
                <w:szCs w:val="20"/>
              </w:rPr>
            </w:pPr>
            <w:r w:rsidRPr="00B462C0">
              <w:rPr>
                <w:rFonts w:ascii="Calibri" w:eastAsia="Calibri" w:hAnsi="Calibri" w:cs="Calibri"/>
                <w:sz w:val="20"/>
                <w:szCs w:val="20"/>
              </w:rPr>
              <w:t>Chen YT, Miller PD, Barrett-Connor E, Weiss TW, Sajjan SG, Siris ES</w:t>
            </w:r>
            <w:r>
              <w:rPr>
                <w:rFonts w:ascii="Calibri" w:eastAsia="Calibri" w:hAnsi="Calibri" w:cs="Calibri"/>
                <w:sz w:val="20"/>
                <w:szCs w:val="20"/>
              </w:rPr>
              <w:t xml:space="preserve"> (2007) </w:t>
            </w:r>
            <w:r w:rsidRPr="00B462C0">
              <w:rPr>
                <w:rFonts w:ascii="Calibri" w:eastAsia="Calibri" w:hAnsi="Calibri" w:cs="Calibri"/>
                <w:sz w:val="20"/>
                <w:szCs w:val="20"/>
              </w:rPr>
              <w:t>An approach for identifying postmenopausal women age 50-64 years at increased short-term risk for osteoporotic fracture. Osteoporos Int</w:t>
            </w:r>
            <w:r>
              <w:rPr>
                <w:rFonts w:ascii="Calibri" w:eastAsia="Calibri" w:hAnsi="Calibri" w:cs="Calibri"/>
                <w:sz w:val="20"/>
                <w:szCs w:val="20"/>
              </w:rPr>
              <w:t xml:space="preserve"> </w:t>
            </w:r>
            <w:r w:rsidRPr="00B462C0">
              <w:rPr>
                <w:rFonts w:ascii="Calibri" w:eastAsia="Calibri" w:hAnsi="Calibri" w:cs="Calibri"/>
                <w:sz w:val="20"/>
                <w:szCs w:val="20"/>
              </w:rPr>
              <w:t>18</w:t>
            </w:r>
            <w:r>
              <w:rPr>
                <w:rFonts w:ascii="Calibri" w:eastAsia="Calibri" w:hAnsi="Calibri" w:cs="Calibri"/>
                <w:sz w:val="20"/>
                <w:szCs w:val="20"/>
              </w:rPr>
              <w:t xml:space="preserve">: </w:t>
            </w:r>
            <w:r w:rsidRPr="00B462C0">
              <w:rPr>
                <w:rFonts w:ascii="Calibri" w:eastAsia="Calibri" w:hAnsi="Calibri" w:cs="Calibri"/>
                <w:sz w:val="20"/>
                <w:szCs w:val="20"/>
              </w:rPr>
              <w:t>1287-96.</w:t>
            </w:r>
          </w:p>
        </w:tc>
      </w:tr>
      <w:tr w:rsidR="00711B20" w:rsidRPr="00307087" w14:paraId="0AEB3185" w14:textId="77777777" w:rsidTr="006C761D">
        <w:tc>
          <w:tcPr>
            <w:tcW w:w="689" w:type="dxa"/>
          </w:tcPr>
          <w:p w14:paraId="22614C2D" w14:textId="4EDC1C6C"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37.</w:t>
            </w:r>
          </w:p>
        </w:tc>
        <w:tc>
          <w:tcPr>
            <w:tcW w:w="7630" w:type="dxa"/>
          </w:tcPr>
          <w:p w14:paraId="4231C8A5" w14:textId="4E957CE8" w:rsidR="00711B20" w:rsidRPr="003A268B" w:rsidRDefault="00711B20" w:rsidP="00D0613C">
            <w:pPr>
              <w:spacing w:after="240"/>
              <w:rPr>
                <w:rFonts w:ascii="Calibri" w:eastAsia="Calibri" w:hAnsi="Calibri" w:cs="Calibri"/>
                <w:sz w:val="20"/>
                <w:szCs w:val="20"/>
              </w:rPr>
            </w:pPr>
            <w:bookmarkStart w:id="3" w:name="_Hlk61390267"/>
            <w:r w:rsidRPr="00ED20C7">
              <w:rPr>
                <w:rFonts w:ascii="Calibri" w:eastAsia="Calibri" w:hAnsi="Calibri" w:cs="Calibri"/>
                <w:sz w:val="20"/>
                <w:szCs w:val="20"/>
              </w:rPr>
              <w:t>Weycker</w:t>
            </w:r>
            <w:bookmarkEnd w:id="3"/>
            <w:r w:rsidRPr="00ED20C7">
              <w:rPr>
                <w:rFonts w:ascii="Calibri" w:eastAsia="Calibri" w:hAnsi="Calibri" w:cs="Calibri"/>
                <w:sz w:val="20"/>
                <w:szCs w:val="20"/>
              </w:rPr>
              <w:t xml:space="preserve"> D, Edelsberg J, Barron R, Atwood M, Oster G, Crittenden DB, Grauer A</w:t>
            </w:r>
            <w:r>
              <w:rPr>
                <w:rFonts w:ascii="Calibri" w:eastAsia="Calibri" w:hAnsi="Calibri" w:cs="Calibri"/>
                <w:sz w:val="20"/>
                <w:szCs w:val="20"/>
              </w:rPr>
              <w:t xml:space="preserve"> (2017) </w:t>
            </w:r>
            <w:r w:rsidRPr="00ED20C7">
              <w:rPr>
                <w:rFonts w:ascii="Calibri" w:eastAsia="Calibri" w:hAnsi="Calibri" w:cs="Calibri"/>
                <w:sz w:val="20"/>
                <w:szCs w:val="20"/>
              </w:rPr>
              <w:t>Predictors of near-term fracture in osteoporotic women aged ≥65 years, based on data from the study of osteoporotic fractures. Osteoporos Int</w:t>
            </w:r>
            <w:r>
              <w:rPr>
                <w:rFonts w:ascii="Calibri" w:eastAsia="Calibri" w:hAnsi="Calibri" w:cs="Calibri"/>
                <w:sz w:val="20"/>
                <w:szCs w:val="20"/>
              </w:rPr>
              <w:t xml:space="preserve"> </w:t>
            </w:r>
            <w:r w:rsidRPr="00ED20C7">
              <w:rPr>
                <w:rFonts w:ascii="Calibri" w:eastAsia="Calibri" w:hAnsi="Calibri" w:cs="Calibri"/>
                <w:sz w:val="20"/>
                <w:szCs w:val="20"/>
              </w:rPr>
              <w:t>28</w:t>
            </w:r>
            <w:r>
              <w:rPr>
                <w:rFonts w:ascii="Calibri" w:eastAsia="Calibri" w:hAnsi="Calibri" w:cs="Calibri"/>
                <w:sz w:val="20"/>
                <w:szCs w:val="20"/>
              </w:rPr>
              <w:t xml:space="preserve">: </w:t>
            </w:r>
            <w:r w:rsidRPr="00ED20C7">
              <w:rPr>
                <w:rFonts w:ascii="Calibri" w:eastAsia="Calibri" w:hAnsi="Calibri" w:cs="Calibri"/>
                <w:sz w:val="20"/>
                <w:szCs w:val="20"/>
              </w:rPr>
              <w:t>2565-2571.</w:t>
            </w:r>
          </w:p>
        </w:tc>
      </w:tr>
      <w:tr w:rsidR="00711B20" w:rsidRPr="00307087" w14:paraId="6E2B899D" w14:textId="77777777" w:rsidTr="006C761D">
        <w:tc>
          <w:tcPr>
            <w:tcW w:w="689" w:type="dxa"/>
          </w:tcPr>
          <w:p w14:paraId="66A14B12" w14:textId="691A6AEA"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38.</w:t>
            </w:r>
          </w:p>
        </w:tc>
        <w:tc>
          <w:tcPr>
            <w:tcW w:w="7630" w:type="dxa"/>
          </w:tcPr>
          <w:p w14:paraId="643F5EFA" w14:textId="77777777" w:rsidR="00711B20" w:rsidRPr="00AE63D3" w:rsidRDefault="00711B20" w:rsidP="00D0613C">
            <w:pPr>
              <w:spacing w:after="240"/>
              <w:rPr>
                <w:rFonts w:ascii="Calibri" w:eastAsia="Calibri" w:hAnsi="Calibri" w:cs="Calibri"/>
                <w:sz w:val="20"/>
                <w:szCs w:val="20"/>
              </w:rPr>
            </w:pPr>
            <w:r w:rsidRPr="005D7F37">
              <w:rPr>
                <w:rFonts w:ascii="Calibri" w:eastAsia="Calibri" w:hAnsi="Calibri" w:cs="Calibri"/>
                <w:sz w:val="20"/>
                <w:szCs w:val="20"/>
              </w:rPr>
              <w:t>Hans D, Shevroja E, Leslie WD</w:t>
            </w:r>
            <w:r>
              <w:rPr>
                <w:rFonts w:ascii="Calibri" w:eastAsia="Calibri" w:hAnsi="Calibri" w:cs="Calibri"/>
                <w:sz w:val="20"/>
                <w:szCs w:val="20"/>
              </w:rPr>
              <w:t xml:space="preserve"> (2021) </w:t>
            </w:r>
            <w:r w:rsidRPr="005D7F37">
              <w:rPr>
                <w:rFonts w:ascii="Calibri" w:eastAsia="Calibri" w:hAnsi="Calibri" w:cs="Calibri"/>
                <w:sz w:val="20"/>
                <w:szCs w:val="20"/>
              </w:rPr>
              <w:t>Evolution in fracture risk assessment: artificial versus augmented intelligence. Osteoporos Int</w:t>
            </w:r>
            <w:r>
              <w:rPr>
                <w:rFonts w:ascii="Calibri" w:eastAsia="Calibri" w:hAnsi="Calibri" w:cs="Calibri"/>
                <w:sz w:val="20"/>
                <w:szCs w:val="20"/>
              </w:rPr>
              <w:t xml:space="preserve"> </w:t>
            </w:r>
            <w:r w:rsidRPr="005D7F37">
              <w:rPr>
                <w:rFonts w:ascii="Calibri" w:eastAsia="Calibri" w:hAnsi="Calibri" w:cs="Calibri"/>
                <w:sz w:val="20"/>
                <w:szCs w:val="20"/>
              </w:rPr>
              <w:t>32</w:t>
            </w:r>
            <w:r>
              <w:rPr>
                <w:rFonts w:ascii="Calibri" w:eastAsia="Calibri" w:hAnsi="Calibri" w:cs="Calibri"/>
                <w:sz w:val="20"/>
                <w:szCs w:val="20"/>
              </w:rPr>
              <w:t xml:space="preserve">: </w:t>
            </w:r>
            <w:r w:rsidRPr="005D7F37">
              <w:rPr>
                <w:rFonts w:ascii="Calibri" w:eastAsia="Calibri" w:hAnsi="Calibri" w:cs="Calibri"/>
                <w:sz w:val="20"/>
                <w:szCs w:val="20"/>
              </w:rPr>
              <w:t>209-212.</w:t>
            </w:r>
          </w:p>
        </w:tc>
      </w:tr>
      <w:tr w:rsidR="00711B20" w:rsidRPr="00307087" w14:paraId="6D73B812" w14:textId="77777777" w:rsidTr="006C761D">
        <w:tc>
          <w:tcPr>
            <w:tcW w:w="689" w:type="dxa"/>
          </w:tcPr>
          <w:p w14:paraId="56F6BBC2" w14:textId="04256A46"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39.</w:t>
            </w:r>
          </w:p>
        </w:tc>
        <w:tc>
          <w:tcPr>
            <w:tcW w:w="7630" w:type="dxa"/>
          </w:tcPr>
          <w:p w14:paraId="3D3D22FA" w14:textId="7FFD1151" w:rsidR="00711B20" w:rsidRPr="00307087" w:rsidRDefault="00711B20" w:rsidP="00D0613C">
            <w:pPr>
              <w:spacing w:after="240"/>
              <w:rPr>
                <w:rFonts w:ascii="Calibri" w:eastAsia="Calibri" w:hAnsi="Calibri" w:cs="Calibri"/>
                <w:sz w:val="20"/>
                <w:szCs w:val="20"/>
              </w:rPr>
            </w:pPr>
            <w:r w:rsidRPr="00086B10">
              <w:rPr>
                <w:rFonts w:ascii="Calibri" w:eastAsia="Calibri" w:hAnsi="Calibri" w:cs="Calibri"/>
                <w:sz w:val="20"/>
                <w:szCs w:val="20"/>
              </w:rPr>
              <w:t>Kanis JA, Johansson H, Harvey NC, Gudnason V, Sigurdsson G, Siggeirsdottir K, Lorentzon M, Liu M, Vandenput L, McCloskey E (2021) The use of two-, five- and 10-year probabilities to characterise fracture risk after a recent sentinel fracture. Osteoporos Int 32: 47-54.</w:t>
            </w:r>
          </w:p>
        </w:tc>
      </w:tr>
      <w:tr w:rsidR="00711B20" w:rsidRPr="00307087" w14:paraId="3024ACEC" w14:textId="77777777" w:rsidTr="006C761D">
        <w:tc>
          <w:tcPr>
            <w:tcW w:w="689" w:type="dxa"/>
          </w:tcPr>
          <w:p w14:paraId="76227F34" w14:textId="628B2A11"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40.</w:t>
            </w:r>
          </w:p>
        </w:tc>
        <w:tc>
          <w:tcPr>
            <w:tcW w:w="7630" w:type="dxa"/>
          </w:tcPr>
          <w:p w14:paraId="7ECA40CB" w14:textId="446A0CA4" w:rsidR="00711B20" w:rsidRPr="00086B10" w:rsidRDefault="00711B20" w:rsidP="00D0613C">
            <w:pPr>
              <w:spacing w:after="240"/>
              <w:rPr>
                <w:rFonts w:ascii="Calibri" w:eastAsia="Calibri" w:hAnsi="Calibri" w:cs="Calibri"/>
                <w:sz w:val="20"/>
                <w:szCs w:val="20"/>
              </w:rPr>
            </w:pPr>
            <w:r w:rsidRPr="00EB3D5E">
              <w:rPr>
                <w:rFonts w:ascii="Calibri" w:eastAsia="Calibri" w:hAnsi="Calibri" w:cs="Calibri"/>
                <w:sz w:val="20"/>
                <w:szCs w:val="20"/>
              </w:rPr>
              <w:t>Trevena L</w:t>
            </w:r>
            <w:r>
              <w:rPr>
                <w:rFonts w:ascii="Calibri" w:eastAsia="Calibri" w:hAnsi="Calibri" w:cs="Calibri"/>
                <w:sz w:val="20"/>
                <w:szCs w:val="20"/>
              </w:rPr>
              <w:t xml:space="preserve"> (2004) </w:t>
            </w:r>
            <w:r w:rsidRPr="00EB3D5E">
              <w:rPr>
                <w:rFonts w:ascii="Calibri" w:eastAsia="Calibri" w:hAnsi="Calibri" w:cs="Calibri"/>
                <w:sz w:val="20"/>
                <w:szCs w:val="20"/>
              </w:rPr>
              <w:t>Assessing, communicating, and managing risk in general practice. Br J Gen Pract</w:t>
            </w:r>
            <w:r>
              <w:rPr>
                <w:rFonts w:ascii="Calibri" w:eastAsia="Calibri" w:hAnsi="Calibri" w:cs="Calibri"/>
                <w:sz w:val="20"/>
                <w:szCs w:val="20"/>
              </w:rPr>
              <w:t xml:space="preserve"> </w:t>
            </w:r>
            <w:r w:rsidRPr="00EB3D5E">
              <w:rPr>
                <w:rFonts w:ascii="Calibri" w:eastAsia="Calibri" w:hAnsi="Calibri" w:cs="Calibri"/>
                <w:sz w:val="20"/>
                <w:szCs w:val="20"/>
              </w:rPr>
              <w:t>64:</w:t>
            </w:r>
            <w:r>
              <w:rPr>
                <w:rFonts w:ascii="Calibri" w:eastAsia="Calibri" w:hAnsi="Calibri" w:cs="Calibri"/>
                <w:sz w:val="20"/>
                <w:szCs w:val="20"/>
              </w:rPr>
              <w:t xml:space="preserve"> </w:t>
            </w:r>
            <w:r w:rsidRPr="00EB3D5E">
              <w:rPr>
                <w:rFonts w:ascii="Calibri" w:eastAsia="Calibri" w:hAnsi="Calibri" w:cs="Calibri"/>
                <w:sz w:val="20"/>
                <w:szCs w:val="20"/>
              </w:rPr>
              <w:t>166-7.</w:t>
            </w:r>
          </w:p>
        </w:tc>
      </w:tr>
      <w:tr w:rsidR="00711B20" w:rsidRPr="00307087" w14:paraId="68E6ADAD" w14:textId="77777777" w:rsidTr="006C761D">
        <w:tc>
          <w:tcPr>
            <w:tcW w:w="689" w:type="dxa"/>
          </w:tcPr>
          <w:p w14:paraId="7B01E798" w14:textId="6318D823"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41.</w:t>
            </w:r>
          </w:p>
        </w:tc>
        <w:tc>
          <w:tcPr>
            <w:tcW w:w="7630" w:type="dxa"/>
          </w:tcPr>
          <w:p w14:paraId="19A1A293" w14:textId="6C3E88C5" w:rsidR="00711B20" w:rsidRPr="00086B10" w:rsidRDefault="00711B20" w:rsidP="00D0613C">
            <w:pPr>
              <w:spacing w:after="240"/>
              <w:rPr>
                <w:rFonts w:ascii="Calibri" w:eastAsia="Calibri" w:hAnsi="Calibri" w:cs="Calibri"/>
                <w:sz w:val="20"/>
                <w:szCs w:val="20"/>
              </w:rPr>
            </w:pPr>
            <w:r w:rsidRPr="00EB3D5E">
              <w:rPr>
                <w:rFonts w:ascii="Calibri" w:eastAsia="Calibri" w:hAnsi="Calibri" w:cs="Calibri"/>
                <w:sz w:val="20"/>
                <w:szCs w:val="20"/>
              </w:rPr>
              <w:t>Epstein RM, Alper BS, Quill TE</w:t>
            </w:r>
            <w:r>
              <w:rPr>
                <w:rFonts w:ascii="Calibri" w:eastAsia="Calibri" w:hAnsi="Calibri" w:cs="Calibri"/>
                <w:sz w:val="20"/>
                <w:szCs w:val="20"/>
              </w:rPr>
              <w:t xml:space="preserve"> (2004) </w:t>
            </w:r>
            <w:r w:rsidRPr="00EB3D5E">
              <w:rPr>
                <w:rFonts w:ascii="Calibri" w:eastAsia="Calibri" w:hAnsi="Calibri" w:cs="Calibri"/>
                <w:sz w:val="20"/>
                <w:szCs w:val="20"/>
              </w:rPr>
              <w:t>Communicating evidence for participatory decision making. JAMA</w:t>
            </w:r>
            <w:r>
              <w:rPr>
                <w:rFonts w:ascii="Calibri" w:eastAsia="Calibri" w:hAnsi="Calibri" w:cs="Calibri"/>
                <w:sz w:val="20"/>
                <w:szCs w:val="20"/>
              </w:rPr>
              <w:t xml:space="preserve"> </w:t>
            </w:r>
            <w:r w:rsidRPr="00EB3D5E">
              <w:rPr>
                <w:rFonts w:ascii="Calibri" w:eastAsia="Calibri" w:hAnsi="Calibri" w:cs="Calibri"/>
                <w:sz w:val="20"/>
                <w:szCs w:val="20"/>
              </w:rPr>
              <w:t>291:</w:t>
            </w:r>
            <w:r>
              <w:rPr>
                <w:rFonts w:ascii="Calibri" w:eastAsia="Calibri" w:hAnsi="Calibri" w:cs="Calibri"/>
                <w:sz w:val="20"/>
                <w:szCs w:val="20"/>
              </w:rPr>
              <w:t xml:space="preserve"> </w:t>
            </w:r>
            <w:r w:rsidRPr="00EB3D5E">
              <w:rPr>
                <w:rFonts w:ascii="Calibri" w:eastAsia="Calibri" w:hAnsi="Calibri" w:cs="Calibri"/>
                <w:sz w:val="20"/>
                <w:szCs w:val="20"/>
              </w:rPr>
              <w:t>2359-66.</w:t>
            </w:r>
          </w:p>
        </w:tc>
      </w:tr>
      <w:tr w:rsidR="00711B20" w:rsidRPr="00307087" w14:paraId="524E0D57" w14:textId="77777777" w:rsidTr="006C761D">
        <w:tc>
          <w:tcPr>
            <w:tcW w:w="689" w:type="dxa"/>
          </w:tcPr>
          <w:p w14:paraId="457E64E2" w14:textId="68F589DF"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42.</w:t>
            </w:r>
          </w:p>
        </w:tc>
        <w:tc>
          <w:tcPr>
            <w:tcW w:w="7630" w:type="dxa"/>
          </w:tcPr>
          <w:p w14:paraId="646A04FB" w14:textId="7AE9F530" w:rsidR="00711B20" w:rsidRPr="00086B10" w:rsidRDefault="00711B20" w:rsidP="00D0613C">
            <w:pPr>
              <w:spacing w:after="240"/>
              <w:rPr>
                <w:rFonts w:ascii="Calibri" w:eastAsia="Calibri" w:hAnsi="Calibri" w:cs="Calibri"/>
                <w:sz w:val="20"/>
                <w:szCs w:val="20"/>
              </w:rPr>
            </w:pPr>
            <w:r w:rsidRPr="001301C2">
              <w:rPr>
                <w:rFonts w:ascii="Calibri" w:eastAsia="Calibri" w:hAnsi="Calibri" w:cs="Calibri"/>
                <w:sz w:val="20"/>
                <w:szCs w:val="20"/>
              </w:rPr>
              <w:t>Fortin JM, Hirota LK, Bond BE, O'Connor AM, Col NF</w:t>
            </w:r>
            <w:r>
              <w:rPr>
                <w:rFonts w:ascii="Calibri" w:eastAsia="Calibri" w:hAnsi="Calibri" w:cs="Calibri"/>
                <w:sz w:val="20"/>
                <w:szCs w:val="20"/>
              </w:rPr>
              <w:t xml:space="preserve"> (2001) </w:t>
            </w:r>
            <w:r w:rsidRPr="001301C2">
              <w:rPr>
                <w:rFonts w:ascii="Calibri" w:eastAsia="Calibri" w:hAnsi="Calibri" w:cs="Calibri"/>
                <w:sz w:val="20"/>
                <w:szCs w:val="20"/>
              </w:rPr>
              <w:t>Identifying patient preferences for communicating risk estimates: a descriptive pilot study. BMC Med Inform Decis Mak</w:t>
            </w:r>
            <w:r>
              <w:rPr>
                <w:rFonts w:ascii="Calibri" w:eastAsia="Calibri" w:hAnsi="Calibri" w:cs="Calibri"/>
                <w:sz w:val="20"/>
                <w:szCs w:val="20"/>
              </w:rPr>
              <w:t xml:space="preserve"> </w:t>
            </w:r>
            <w:r w:rsidRPr="001301C2">
              <w:rPr>
                <w:rFonts w:ascii="Calibri" w:eastAsia="Calibri" w:hAnsi="Calibri" w:cs="Calibri"/>
                <w:sz w:val="20"/>
                <w:szCs w:val="20"/>
              </w:rPr>
              <w:t>1:2. doi: 10.1186/1472-6947-1-2.</w:t>
            </w:r>
          </w:p>
        </w:tc>
      </w:tr>
      <w:tr w:rsidR="00711B20" w:rsidRPr="00307087" w14:paraId="375DB073" w14:textId="77777777" w:rsidTr="006C761D">
        <w:tc>
          <w:tcPr>
            <w:tcW w:w="689" w:type="dxa"/>
          </w:tcPr>
          <w:p w14:paraId="477A3D07" w14:textId="52570566"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43.</w:t>
            </w:r>
          </w:p>
        </w:tc>
        <w:tc>
          <w:tcPr>
            <w:tcW w:w="7630" w:type="dxa"/>
          </w:tcPr>
          <w:p w14:paraId="57D23C3C" w14:textId="1A61D9C0" w:rsidR="00711B20" w:rsidRPr="00307087" w:rsidRDefault="00711B20" w:rsidP="00D0613C">
            <w:pPr>
              <w:spacing w:after="240"/>
              <w:rPr>
                <w:rFonts w:ascii="Calibri" w:eastAsia="Calibri" w:hAnsi="Calibri" w:cs="Calibri"/>
                <w:sz w:val="20"/>
                <w:szCs w:val="20"/>
              </w:rPr>
            </w:pPr>
            <w:r w:rsidRPr="00440C0C">
              <w:rPr>
                <w:rFonts w:ascii="Calibri" w:eastAsia="Calibri" w:hAnsi="Calibri" w:cs="Calibri"/>
                <w:sz w:val="20"/>
                <w:szCs w:val="20"/>
              </w:rPr>
              <w:t>Kanis JA, Johansson H, Harvey NC, Gudnason V, Sigurdsson G, Siggeirsdottir K, Lorentzon M, Liu E, Vandenput L, McCloskey EV</w:t>
            </w:r>
            <w:r>
              <w:rPr>
                <w:rFonts w:ascii="Calibri" w:eastAsia="Calibri" w:hAnsi="Calibri" w:cs="Calibri"/>
                <w:sz w:val="20"/>
                <w:szCs w:val="20"/>
              </w:rPr>
              <w:t xml:space="preserve"> (2020) </w:t>
            </w:r>
            <w:r w:rsidRPr="00440C0C">
              <w:rPr>
                <w:rFonts w:ascii="Calibri" w:eastAsia="Calibri" w:hAnsi="Calibri" w:cs="Calibri"/>
                <w:sz w:val="20"/>
                <w:szCs w:val="20"/>
              </w:rPr>
              <w:t>Adjusting conventional FRAX estimates of fracture probability according to the recency of sentinel fractures. Osteoporos 31</w:t>
            </w:r>
            <w:r>
              <w:rPr>
                <w:rFonts w:ascii="Calibri" w:eastAsia="Calibri" w:hAnsi="Calibri" w:cs="Calibri"/>
                <w:sz w:val="20"/>
                <w:szCs w:val="20"/>
              </w:rPr>
              <w:t xml:space="preserve">: </w:t>
            </w:r>
            <w:r w:rsidRPr="00440C0C">
              <w:rPr>
                <w:rFonts w:ascii="Calibri" w:eastAsia="Calibri" w:hAnsi="Calibri" w:cs="Calibri"/>
                <w:sz w:val="20"/>
                <w:szCs w:val="20"/>
              </w:rPr>
              <w:t>1817-1828.</w:t>
            </w:r>
          </w:p>
        </w:tc>
      </w:tr>
      <w:tr w:rsidR="00711B20" w:rsidRPr="00307087" w14:paraId="4A2B5875" w14:textId="77777777" w:rsidTr="006C761D">
        <w:tc>
          <w:tcPr>
            <w:tcW w:w="689" w:type="dxa"/>
          </w:tcPr>
          <w:p w14:paraId="45D5AF30" w14:textId="1D36A72F" w:rsidR="00711B20" w:rsidRDefault="00711B20" w:rsidP="00D0613C">
            <w:pPr>
              <w:spacing w:after="240"/>
              <w:jc w:val="right"/>
              <w:rPr>
                <w:rFonts w:ascii="Calibri" w:eastAsia="Calibri" w:hAnsi="Calibri" w:cs="Calibri"/>
                <w:sz w:val="20"/>
                <w:szCs w:val="20"/>
              </w:rPr>
            </w:pPr>
            <w:r>
              <w:rPr>
                <w:rFonts w:ascii="Calibri" w:eastAsia="Calibri" w:hAnsi="Calibri" w:cs="Calibri"/>
                <w:sz w:val="20"/>
                <w:szCs w:val="20"/>
              </w:rPr>
              <w:t>44.</w:t>
            </w:r>
          </w:p>
        </w:tc>
        <w:tc>
          <w:tcPr>
            <w:tcW w:w="7630" w:type="dxa"/>
          </w:tcPr>
          <w:p w14:paraId="5ECF1A28" w14:textId="4572E845" w:rsidR="00711B20" w:rsidRPr="00440C0C" w:rsidRDefault="00711B20" w:rsidP="00D0613C">
            <w:pPr>
              <w:spacing w:after="240"/>
              <w:rPr>
                <w:rFonts w:ascii="Calibri" w:eastAsia="Calibri" w:hAnsi="Calibri" w:cs="Calibri"/>
                <w:sz w:val="20"/>
                <w:szCs w:val="20"/>
              </w:rPr>
            </w:pPr>
            <w:r w:rsidRPr="00E15E11">
              <w:rPr>
                <w:rFonts w:ascii="Calibri" w:eastAsia="Calibri" w:hAnsi="Calibri" w:cs="Calibri"/>
                <w:sz w:val="20"/>
                <w:szCs w:val="20"/>
              </w:rPr>
              <w:t xml:space="preserve">Kanis JA, Harvey NC, McCloskey E, Bruyère O, Veronese N, Lorentzon M, Cooper C, Rizzoli R, Adib G, Al-Daghri N, Campusano C, Chandran M, Dawson-Hughes B, Javaid K, F Jiwa F, Johansson H, Lee JK, Liu E, Messina D, Mkinsi O, Pinto D, Prieto-Alhambra D, Saag K, Xia W, Zakraoui L, Reginster J-Y (2020) Algorithm for the management of patients at low/middle/high risk of osteoporotic fracture: a global perspective.  Osteoporos Int 31: 1-12.  </w:t>
            </w:r>
          </w:p>
        </w:tc>
      </w:tr>
    </w:tbl>
    <w:p w14:paraId="6C73416F" w14:textId="77777777" w:rsidR="004C4145" w:rsidRDefault="004C4145" w:rsidP="00E77889">
      <w:pPr>
        <w:autoSpaceDE w:val="0"/>
        <w:autoSpaceDN w:val="0"/>
        <w:adjustRightInd w:val="0"/>
        <w:spacing w:after="0" w:line="240" w:lineRule="auto"/>
        <w:rPr>
          <w:rFonts w:cstheme="minorHAnsi"/>
          <w:color w:val="131413"/>
        </w:rPr>
        <w:sectPr w:rsidR="004C4145">
          <w:headerReference w:type="default" r:id="rId12"/>
          <w:footerReference w:type="default" r:id="rId13"/>
          <w:pgSz w:w="11906" w:h="16838"/>
          <w:pgMar w:top="1440" w:right="1440" w:bottom="1440" w:left="1440" w:header="708" w:footer="708" w:gutter="0"/>
          <w:cols w:space="708"/>
          <w:docGrid w:linePitch="360"/>
        </w:sectPr>
      </w:pPr>
    </w:p>
    <w:tbl>
      <w:tblPr>
        <w:tblStyle w:val="TableGrid"/>
        <w:tblpPr w:leftFromText="180" w:rightFromText="180" w:horzAnchor="page" w:tblpX="451" w:tblpY="-711"/>
        <w:tblW w:w="15021" w:type="dxa"/>
        <w:tblLayout w:type="fixed"/>
        <w:tblLook w:val="04A0" w:firstRow="1" w:lastRow="0" w:firstColumn="1" w:lastColumn="0" w:noHBand="0" w:noVBand="1"/>
      </w:tblPr>
      <w:tblGrid>
        <w:gridCol w:w="1271"/>
        <w:gridCol w:w="992"/>
        <w:gridCol w:w="1134"/>
        <w:gridCol w:w="851"/>
        <w:gridCol w:w="850"/>
        <w:gridCol w:w="1276"/>
        <w:gridCol w:w="1565"/>
        <w:gridCol w:w="987"/>
        <w:gridCol w:w="992"/>
        <w:gridCol w:w="5103"/>
      </w:tblGrid>
      <w:tr w:rsidR="006B42FD" w:rsidRPr="00F37E8F" w14:paraId="4766820F" w14:textId="77777777" w:rsidTr="00E96715">
        <w:tc>
          <w:tcPr>
            <w:tcW w:w="15021" w:type="dxa"/>
            <w:gridSpan w:val="10"/>
          </w:tcPr>
          <w:p w14:paraId="2F43A4F8" w14:textId="511C88DF" w:rsidR="00646844" w:rsidRDefault="00C24D85" w:rsidP="00676BB3">
            <w:pPr>
              <w:rPr>
                <w:b/>
                <w:bCs/>
                <w:sz w:val="18"/>
                <w:szCs w:val="18"/>
              </w:rPr>
            </w:pPr>
            <w:r>
              <w:rPr>
                <w:b/>
                <w:bCs/>
                <w:sz w:val="18"/>
                <w:szCs w:val="18"/>
              </w:rPr>
              <w:t>Table 1</w:t>
            </w:r>
            <w:r w:rsidR="009F19B9">
              <w:rPr>
                <w:b/>
                <w:bCs/>
                <w:sz w:val="18"/>
                <w:szCs w:val="18"/>
              </w:rPr>
              <w:t xml:space="preserve"> </w:t>
            </w:r>
            <w:r w:rsidR="009F19B9" w:rsidRPr="00646844">
              <w:rPr>
                <w:sz w:val="18"/>
                <w:szCs w:val="18"/>
              </w:rPr>
              <w:t xml:space="preserve">Studies of </w:t>
            </w:r>
            <w:r w:rsidR="005518EC" w:rsidRPr="00646844">
              <w:rPr>
                <w:sz w:val="18"/>
                <w:szCs w:val="18"/>
              </w:rPr>
              <w:t>short term (2 years or less)</w:t>
            </w:r>
            <w:r w:rsidR="00DE4B0E" w:rsidRPr="00646844">
              <w:rPr>
                <w:sz w:val="18"/>
                <w:szCs w:val="18"/>
              </w:rPr>
              <w:t xml:space="preserve"> fracture risk following a sentinel fracture</w:t>
            </w:r>
            <w:r w:rsidR="00646844">
              <w:rPr>
                <w:sz w:val="18"/>
                <w:szCs w:val="18"/>
              </w:rPr>
              <w:t>.</w:t>
            </w:r>
          </w:p>
          <w:p w14:paraId="5AC80B4D" w14:textId="3DBA4DB3" w:rsidR="006B42FD" w:rsidRPr="00F37E8F" w:rsidRDefault="00C24D85" w:rsidP="00676BB3">
            <w:pPr>
              <w:rPr>
                <w:b/>
                <w:bCs/>
                <w:sz w:val="18"/>
                <w:szCs w:val="18"/>
              </w:rPr>
            </w:pPr>
            <w:r>
              <w:rPr>
                <w:b/>
                <w:bCs/>
                <w:sz w:val="18"/>
                <w:szCs w:val="18"/>
              </w:rPr>
              <w:t xml:space="preserve"> </w:t>
            </w:r>
          </w:p>
        </w:tc>
      </w:tr>
      <w:tr w:rsidR="00676BB3" w:rsidRPr="00F37E8F" w14:paraId="02418679" w14:textId="77777777" w:rsidTr="00181E6E">
        <w:tc>
          <w:tcPr>
            <w:tcW w:w="1271" w:type="dxa"/>
          </w:tcPr>
          <w:p w14:paraId="4298414E" w14:textId="77777777" w:rsidR="004C4145" w:rsidRPr="00F37E8F" w:rsidRDefault="004C4145" w:rsidP="00676BB3">
            <w:pPr>
              <w:rPr>
                <w:b/>
                <w:bCs/>
                <w:sz w:val="18"/>
                <w:szCs w:val="18"/>
              </w:rPr>
            </w:pPr>
            <w:r w:rsidRPr="00F37E8F">
              <w:rPr>
                <w:b/>
                <w:bCs/>
                <w:sz w:val="18"/>
                <w:szCs w:val="18"/>
              </w:rPr>
              <w:t>Source</w:t>
            </w:r>
          </w:p>
        </w:tc>
        <w:tc>
          <w:tcPr>
            <w:tcW w:w="992" w:type="dxa"/>
          </w:tcPr>
          <w:p w14:paraId="660E2E97" w14:textId="77777777" w:rsidR="004C4145" w:rsidRPr="00F37E8F" w:rsidRDefault="004C4145" w:rsidP="00676BB3">
            <w:pPr>
              <w:rPr>
                <w:b/>
                <w:bCs/>
                <w:sz w:val="18"/>
                <w:szCs w:val="18"/>
              </w:rPr>
            </w:pPr>
            <w:r w:rsidRPr="00F37E8F">
              <w:rPr>
                <w:b/>
                <w:bCs/>
                <w:sz w:val="18"/>
                <w:szCs w:val="18"/>
              </w:rPr>
              <w:t>Country</w:t>
            </w:r>
          </w:p>
        </w:tc>
        <w:tc>
          <w:tcPr>
            <w:tcW w:w="1134" w:type="dxa"/>
          </w:tcPr>
          <w:p w14:paraId="491E4E37" w14:textId="77777777" w:rsidR="004C4145" w:rsidRPr="00F37E8F" w:rsidRDefault="004C4145" w:rsidP="00676BB3">
            <w:pPr>
              <w:rPr>
                <w:b/>
                <w:bCs/>
                <w:sz w:val="18"/>
                <w:szCs w:val="18"/>
              </w:rPr>
            </w:pPr>
            <w:r w:rsidRPr="00F37E8F">
              <w:rPr>
                <w:b/>
                <w:bCs/>
                <w:sz w:val="18"/>
                <w:szCs w:val="18"/>
              </w:rPr>
              <w:t>Study</w:t>
            </w:r>
            <w:r>
              <w:rPr>
                <w:b/>
                <w:bCs/>
                <w:sz w:val="18"/>
                <w:szCs w:val="18"/>
              </w:rPr>
              <w:t xml:space="preserve"> size</w:t>
            </w:r>
          </w:p>
        </w:tc>
        <w:tc>
          <w:tcPr>
            <w:tcW w:w="851" w:type="dxa"/>
          </w:tcPr>
          <w:p w14:paraId="2AAB7B62" w14:textId="77777777" w:rsidR="004C4145" w:rsidRDefault="004C4145" w:rsidP="00676BB3">
            <w:pPr>
              <w:rPr>
                <w:b/>
                <w:bCs/>
                <w:sz w:val="18"/>
                <w:szCs w:val="18"/>
              </w:rPr>
            </w:pPr>
            <w:r w:rsidRPr="00F37E8F">
              <w:rPr>
                <w:b/>
                <w:bCs/>
                <w:sz w:val="18"/>
                <w:szCs w:val="18"/>
              </w:rPr>
              <w:t>Age</w:t>
            </w:r>
          </w:p>
          <w:p w14:paraId="0FA92B8E" w14:textId="77777777" w:rsidR="004C4145" w:rsidRPr="00F37E8F" w:rsidRDefault="004C4145" w:rsidP="00676BB3">
            <w:pPr>
              <w:rPr>
                <w:b/>
                <w:bCs/>
                <w:sz w:val="18"/>
                <w:szCs w:val="18"/>
              </w:rPr>
            </w:pPr>
            <w:r>
              <w:rPr>
                <w:b/>
                <w:bCs/>
                <w:sz w:val="18"/>
                <w:szCs w:val="18"/>
              </w:rPr>
              <w:t>(years)</w:t>
            </w:r>
          </w:p>
        </w:tc>
        <w:tc>
          <w:tcPr>
            <w:tcW w:w="850" w:type="dxa"/>
          </w:tcPr>
          <w:p w14:paraId="67F8AEF7" w14:textId="77777777" w:rsidR="004C4145" w:rsidRPr="00F37E8F" w:rsidRDefault="004C4145" w:rsidP="00676BB3">
            <w:pPr>
              <w:rPr>
                <w:b/>
                <w:bCs/>
                <w:sz w:val="18"/>
                <w:szCs w:val="18"/>
              </w:rPr>
            </w:pPr>
            <w:r w:rsidRPr="00F37E8F">
              <w:rPr>
                <w:b/>
                <w:bCs/>
                <w:sz w:val="18"/>
                <w:szCs w:val="18"/>
              </w:rPr>
              <w:t>Time horizon</w:t>
            </w:r>
            <w:r>
              <w:rPr>
                <w:b/>
                <w:bCs/>
                <w:sz w:val="18"/>
                <w:szCs w:val="18"/>
              </w:rPr>
              <w:t xml:space="preserve"> (years)</w:t>
            </w:r>
          </w:p>
        </w:tc>
        <w:tc>
          <w:tcPr>
            <w:tcW w:w="1276" w:type="dxa"/>
          </w:tcPr>
          <w:p w14:paraId="4A5D2567" w14:textId="77777777" w:rsidR="004C4145" w:rsidRPr="00F37E8F" w:rsidRDefault="004C4145" w:rsidP="00676BB3">
            <w:pPr>
              <w:rPr>
                <w:b/>
                <w:bCs/>
                <w:sz w:val="18"/>
                <w:szCs w:val="18"/>
              </w:rPr>
            </w:pPr>
            <w:r>
              <w:rPr>
                <w:b/>
                <w:bCs/>
                <w:sz w:val="18"/>
                <w:szCs w:val="18"/>
              </w:rPr>
              <w:t>O</w:t>
            </w:r>
            <w:r w:rsidRPr="00F37E8F">
              <w:rPr>
                <w:b/>
                <w:bCs/>
                <w:sz w:val="18"/>
                <w:szCs w:val="18"/>
              </w:rPr>
              <w:t>ut</w:t>
            </w:r>
            <w:r>
              <w:rPr>
                <w:b/>
                <w:bCs/>
                <w:sz w:val="18"/>
                <w:szCs w:val="18"/>
              </w:rPr>
              <w:t>come fracture</w:t>
            </w:r>
          </w:p>
        </w:tc>
        <w:tc>
          <w:tcPr>
            <w:tcW w:w="1565" w:type="dxa"/>
          </w:tcPr>
          <w:p w14:paraId="7270BAEE" w14:textId="77777777" w:rsidR="004C4145" w:rsidRPr="00F37E8F" w:rsidRDefault="004C4145" w:rsidP="00676BB3">
            <w:pPr>
              <w:rPr>
                <w:b/>
                <w:bCs/>
                <w:sz w:val="18"/>
                <w:szCs w:val="18"/>
              </w:rPr>
            </w:pPr>
            <w:r>
              <w:rPr>
                <w:b/>
                <w:bCs/>
                <w:sz w:val="18"/>
                <w:szCs w:val="18"/>
              </w:rPr>
              <w:t>Incidence at 2 years</w:t>
            </w:r>
            <w:r w:rsidRPr="004A3A75">
              <w:rPr>
                <w:b/>
                <w:bCs/>
                <w:sz w:val="18"/>
                <w:szCs w:val="18"/>
                <w:vertAlign w:val="superscript"/>
              </w:rPr>
              <w:t>a</w:t>
            </w:r>
            <w:r>
              <w:rPr>
                <w:b/>
                <w:bCs/>
                <w:sz w:val="18"/>
                <w:szCs w:val="18"/>
              </w:rPr>
              <w:t xml:space="preserve"> (%)</w:t>
            </w:r>
          </w:p>
        </w:tc>
        <w:tc>
          <w:tcPr>
            <w:tcW w:w="987" w:type="dxa"/>
          </w:tcPr>
          <w:p w14:paraId="69C0267B" w14:textId="77777777" w:rsidR="004C4145" w:rsidRDefault="004C4145" w:rsidP="00676BB3">
            <w:pPr>
              <w:rPr>
                <w:b/>
                <w:bCs/>
                <w:sz w:val="18"/>
                <w:szCs w:val="18"/>
              </w:rPr>
            </w:pPr>
            <w:r>
              <w:rPr>
                <w:b/>
                <w:bCs/>
                <w:sz w:val="18"/>
                <w:szCs w:val="18"/>
              </w:rPr>
              <w:t>Reversibility</w:t>
            </w:r>
          </w:p>
          <w:p w14:paraId="0B913DCA" w14:textId="77777777" w:rsidR="004C4145" w:rsidRPr="00F37E8F" w:rsidRDefault="004C4145" w:rsidP="00676BB3">
            <w:pPr>
              <w:rPr>
                <w:b/>
                <w:bCs/>
                <w:sz w:val="18"/>
                <w:szCs w:val="18"/>
              </w:rPr>
            </w:pPr>
            <w:r>
              <w:rPr>
                <w:b/>
                <w:bCs/>
                <w:sz w:val="18"/>
                <w:szCs w:val="18"/>
              </w:rPr>
              <w:t>of risk</w:t>
            </w:r>
            <w:r>
              <w:rPr>
                <w:b/>
                <w:bCs/>
                <w:sz w:val="18"/>
                <w:szCs w:val="18"/>
                <w:vertAlign w:val="superscript"/>
              </w:rPr>
              <w:t>c</w:t>
            </w:r>
          </w:p>
        </w:tc>
        <w:tc>
          <w:tcPr>
            <w:tcW w:w="992" w:type="dxa"/>
          </w:tcPr>
          <w:p w14:paraId="5DFC2095" w14:textId="77777777" w:rsidR="004C4145" w:rsidRPr="00F37E8F" w:rsidRDefault="004C4145" w:rsidP="00676BB3">
            <w:pPr>
              <w:rPr>
                <w:b/>
                <w:bCs/>
                <w:sz w:val="18"/>
                <w:szCs w:val="18"/>
              </w:rPr>
            </w:pPr>
            <w:r>
              <w:rPr>
                <w:b/>
                <w:bCs/>
                <w:sz w:val="18"/>
                <w:szCs w:val="18"/>
              </w:rPr>
              <w:t>External validation</w:t>
            </w:r>
          </w:p>
        </w:tc>
        <w:tc>
          <w:tcPr>
            <w:tcW w:w="5103" w:type="dxa"/>
          </w:tcPr>
          <w:p w14:paraId="2C7AE8CB" w14:textId="77777777" w:rsidR="004C4145" w:rsidRPr="00F37E8F" w:rsidRDefault="004C4145" w:rsidP="00676BB3">
            <w:pPr>
              <w:rPr>
                <w:b/>
                <w:bCs/>
                <w:sz w:val="18"/>
                <w:szCs w:val="18"/>
              </w:rPr>
            </w:pPr>
            <w:r>
              <w:rPr>
                <w:b/>
                <w:bCs/>
                <w:sz w:val="18"/>
                <w:szCs w:val="18"/>
              </w:rPr>
              <w:t>Population or predictive factors (N</w:t>
            </w:r>
            <w:r w:rsidRPr="00F37E8F">
              <w:rPr>
                <w:b/>
                <w:bCs/>
                <w:sz w:val="18"/>
                <w:szCs w:val="18"/>
              </w:rPr>
              <w:t>otes</w:t>
            </w:r>
            <w:r>
              <w:rPr>
                <w:b/>
                <w:bCs/>
                <w:sz w:val="18"/>
                <w:szCs w:val="18"/>
              </w:rPr>
              <w:t>)</w:t>
            </w:r>
          </w:p>
        </w:tc>
      </w:tr>
      <w:tr w:rsidR="00676BB3" w:rsidRPr="00F37E8F" w14:paraId="1FE438A3" w14:textId="77777777" w:rsidTr="00181E6E">
        <w:tc>
          <w:tcPr>
            <w:tcW w:w="1271" w:type="dxa"/>
          </w:tcPr>
          <w:p w14:paraId="26D07174" w14:textId="69D26E75" w:rsidR="004C4145" w:rsidRPr="00F37E8F" w:rsidRDefault="004C4145" w:rsidP="00676BB3">
            <w:pPr>
              <w:rPr>
                <w:sz w:val="18"/>
                <w:szCs w:val="18"/>
              </w:rPr>
            </w:pPr>
            <w:r w:rsidRPr="00664769">
              <w:rPr>
                <w:sz w:val="18"/>
                <w:szCs w:val="18"/>
              </w:rPr>
              <w:t>Almog</w:t>
            </w:r>
            <w:r w:rsidRPr="00F37E8F">
              <w:rPr>
                <w:sz w:val="18"/>
                <w:szCs w:val="18"/>
              </w:rPr>
              <w:t xml:space="preserve"> 2020</w:t>
            </w:r>
            <w:r w:rsidR="001354F8">
              <w:rPr>
                <w:sz w:val="18"/>
                <w:szCs w:val="18"/>
              </w:rPr>
              <w:t xml:space="preserve"> [</w:t>
            </w:r>
            <w:r w:rsidR="0058327B">
              <w:rPr>
                <w:sz w:val="18"/>
                <w:szCs w:val="18"/>
              </w:rPr>
              <w:t>10</w:t>
            </w:r>
            <w:r w:rsidR="001354F8">
              <w:rPr>
                <w:sz w:val="18"/>
                <w:szCs w:val="18"/>
              </w:rPr>
              <w:t>]</w:t>
            </w:r>
          </w:p>
        </w:tc>
        <w:tc>
          <w:tcPr>
            <w:tcW w:w="992" w:type="dxa"/>
          </w:tcPr>
          <w:p w14:paraId="259D2A0A" w14:textId="77777777" w:rsidR="004C4145" w:rsidRPr="00F37E8F" w:rsidRDefault="004C4145" w:rsidP="00676BB3">
            <w:pPr>
              <w:rPr>
                <w:sz w:val="18"/>
                <w:szCs w:val="18"/>
              </w:rPr>
            </w:pPr>
            <w:r w:rsidRPr="00F37E8F">
              <w:rPr>
                <w:sz w:val="18"/>
                <w:szCs w:val="18"/>
              </w:rPr>
              <w:t>US</w:t>
            </w:r>
          </w:p>
        </w:tc>
        <w:tc>
          <w:tcPr>
            <w:tcW w:w="1134" w:type="dxa"/>
          </w:tcPr>
          <w:p w14:paraId="19628346" w14:textId="77777777" w:rsidR="004C4145" w:rsidRPr="00F37E8F" w:rsidRDefault="004C4145" w:rsidP="00676BB3">
            <w:pPr>
              <w:rPr>
                <w:sz w:val="18"/>
                <w:szCs w:val="18"/>
              </w:rPr>
            </w:pPr>
            <w:r>
              <w:rPr>
                <w:sz w:val="18"/>
                <w:szCs w:val="18"/>
              </w:rPr>
              <w:t>&gt;1,000,000</w:t>
            </w:r>
          </w:p>
        </w:tc>
        <w:tc>
          <w:tcPr>
            <w:tcW w:w="851" w:type="dxa"/>
          </w:tcPr>
          <w:p w14:paraId="7352CC66" w14:textId="77777777" w:rsidR="004C4145" w:rsidRDefault="004C4145" w:rsidP="00676BB3">
            <w:pPr>
              <w:rPr>
                <w:sz w:val="18"/>
                <w:szCs w:val="18"/>
              </w:rPr>
            </w:pPr>
            <w:r w:rsidRPr="009A5C71">
              <w:rPr>
                <w:sz w:val="18"/>
                <w:szCs w:val="18"/>
                <w:u w:val="single"/>
              </w:rPr>
              <w:t>&gt;</w:t>
            </w:r>
            <w:r>
              <w:rPr>
                <w:sz w:val="18"/>
                <w:szCs w:val="18"/>
              </w:rPr>
              <w:t>50</w:t>
            </w:r>
          </w:p>
        </w:tc>
        <w:tc>
          <w:tcPr>
            <w:tcW w:w="850" w:type="dxa"/>
          </w:tcPr>
          <w:p w14:paraId="4A785931" w14:textId="77777777" w:rsidR="004C4145" w:rsidRPr="00F37E8F" w:rsidRDefault="004C4145" w:rsidP="00676BB3">
            <w:pPr>
              <w:rPr>
                <w:sz w:val="18"/>
                <w:szCs w:val="18"/>
              </w:rPr>
            </w:pPr>
            <w:r>
              <w:rPr>
                <w:sz w:val="18"/>
                <w:szCs w:val="18"/>
              </w:rPr>
              <w:t>1, 2</w:t>
            </w:r>
          </w:p>
        </w:tc>
        <w:tc>
          <w:tcPr>
            <w:tcW w:w="1276" w:type="dxa"/>
          </w:tcPr>
          <w:p w14:paraId="06029BA0" w14:textId="77777777" w:rsidR="004C4145" w:rsidRPr="00F37E8F" w:rsidRDefault="004C4145" w:rsidP="00676BB3">
            <w:pPr>
              <w:rPr>
                <w:sz w:val="18"/>
                <w:szCs w:val="18"/>
              </w:rPr>
            </w:pPr>
            <w:r>
              <w:rPr>
                <w:sz w:val="18"/>
                <w:szCs w:val="18"/>
              </w:rPr>
              <w:t>Fracture</w:t>
            </w:r>
          </w:p>
        </w:tc>
        <w:tc>
          <w:tcPr>
            <w:tcW w:w="1565" w:type="dxa"/>
          </w:tcPr>
          <w:p w14:paraId="2D18EF0A" w14:textId="7805E571" w:rsidR="004C4145" w:rsidRPr="00F37E8F" w:rsidRDefault="004C4145" w:rsidP="00676BB3">
            <w:pPr>
              <w:rPr>
                <w:sz w:val="18"/>
                <w:szCs w:val="18"/>
              </w:rPr>
            </w:pPr>
            <w:r w:rsidRPr="00FD5F28">
              <w:rPr>
                <w:sz w:val="18"/>
                <w:szCs w:val="18"/>
              </w:rPr>
              <w:t>6.5</w:t>
            </w:r>
          </w:p>
        </w:tc>
        <w:tc>
          <w:tcPr>
            <w:tcW w:w="987" w:type="dxa"/>
          </w:tcPr>
          <w:p w14:paraId="30972907" w14:textId="77777777" w:rsidR="004C4145" w:rsidRPr="00F37E8F" w:rsidRDefault="004C4145" w:rsidP="00676BB3">
            <w:pPr>
              <w:rPr>
                <w:sz w:val="18"/>
                <w:szCs w:val="18"/>
              </w:rPr>
            </w:pPr>
            <w:r>
              <w:rPr>
                <w:sz w:val="18"/>
                <w:szCs w:val="18"/>
              </w:rPr>
              <w:t>Unknown</w:t>
            </w:r>
          </w:p>
        </w:tc>
        <w:tc>
          <w:tcPr>
            <w:tcW w:w="992" w:type="dxa"/>
          </w:tcPr>
          <w:p w14:paraId="320DB594" w14:textId="77777777" w:rsidR="004C4145" w:rsidRDefault="004C4145" w:rsidP="00676BB3">
            <w:pPr>
              <w:rPr>
                <w:sz w:val="18"/>
                <w:szCs w:val="18"/>
              </w:rPr>
            </w:pPr>
            <w:r>
              <w:rPr>
                <w:sz w:val="18"/>
                <w:szCs w:val="18"/>
              </w:rPr>
              <w:t>No</w:t>
            </w:r>
          </w:p>
        </w:tc>
        <w:tc>
          <w:tcPr>
            <w:tcW w:w="5103" w:type="dxa"/>
          </w:tcPr>
          <w:p w14:paraId="52FBC5E8" w14:textId="5E041B9E" w:rsidR="004C4145" w:rsidRPr="00F37E8F" w:rsidRDefault="004C4145" w:rsidP="00676BB3">
            <w:pPr>
              <w:rPr>
                <w:sz w:val="18"/>
                <w:szCs w:val="18"/>
              </w:rPr>
            </w:pPr>
            <w:r>
              <w:rPr>
                <w:sz w:val="18"/>
                <w:szCs w:val="18"/>
              </w:rPr>
              <w:t>Primary care records</w:t>
            </w:r>
            <w:r w:rsidR="00437FB3">
              <w:rPr>
                <w:sz w:val="18"/>
                <w:szCs w:val="18"/>
              </w:rPr>
              <w:t xml:space="preserve"> using all </w:t>
            </w:r>
            <w:r>
              <w:rPr>
                <w:sz w:val="18"/>
                <w:szCs w:val="18"/>
              </w:rPr>
              <w:t>ICD codes. (</w:t>
            </w:r>
            <w:r w:rsidRPr="00F37E8F">
              <w:rPr>
                <w:sz w:val="18"/>
                <w:szCs w:val="18"/>
              </w:rPr>
              <w:t xml:space="preserve">Black box.  </w:t>
            </w:r>
            <w:r>
              <w:rPr>
                <w:sz w:val="18"/>
                <w:szCs w:val="18"/>
              </w:rPr>
              <w:t>Incidence estimated from “time windows” rather than individuals</w:t>
            </w:r>
            <w:r w:rsidR="00846663">
              <w:rPr>
                <w:sz w:val="18"/>
                <w:szCs w:val="18"/>
              </w:rPr>
              <w:t>).</w:t>
            </w:r>
          </w:p>
        </w:tc>
      </w:tr>
      <w:tr w:rsidR="00676BB3" w:rsidRPr="00F37E8F" w14:paraId="7AC86753" w14:textId="77777777" w:rsidTr="00181E6E">
        <w:tc>
          <w:tcPr>
            <w:tcW w:w="1271" w:type="dxa"/>
            <w:shd w:val="clear" w:color="auto" w:fill="auto"/>
          </w:tcPr>
          <w:p w14:paraId="115D9983" w14:textId="7E0C37E2" w:rsidR="004C4145" w:rsidRPr="00F37E8F" w:rsidRDefault="004C4145" w:rsidP="00676BB3">
            <w:pPr>
              <w:rPr>
                <w:sz w:val="18"/>
                <w:szCs w:val="18"/>
              </w:rPr>
            </w:pPr>
            <w:r w:rsidRPr="00F37E8F">
              <w:rPr>
                <w:sz w:val="18"/>
                <w:szCs w:val="18"/>
              </w:rPr>
              <w:t>Balasubramanian 2019</w:t>
            </w:r>
            <w:r w:rsidR="00393884">
              <w:rPr>
                <w:sz w:val="18"/>
                <w:szCs w:val="18"/>
              </w:rPr>
              <w:t xml:space="preserve"> [1</w:t>
            </w:r>
            <w:r w:rsidR="0058327B">
              <w:rPr>
                <w:sz w:val="18"/>
                <w:szCs w:val="18"/>
              </w:rPr>
              <w:t>1</w:t>
            </w:r>
            <w:r w:rsidR="00393884">
              <w:rPr>
                <w:sz w:val="18"/>
                <w:szCs w:val="18"/>
              </w:rPr>
              <w:t>]</w:t>
            </w:r>
          </w:p>
        </w:tc>
        <w:tc>
          <w:tcPr>
            <w:tcW w:w="992" w:type="dxa"/>
            <w:shd w:val="clear" w:color="auto" w:fill="auto"/>
          </w:tcPr>
          <w:p w14:paraId="4ED6F754" w14:textId="77777777" w:rsidR="004C4145" w:rsidRPr="00F37E8F" w:rsidRDefault="004C4145" w:rsidP="00676BB3">
            <w:pPr>
              <w:rPr>
                <w:sz w:val="18"/>
                <w:szCs w:val="18"/>
              </w:rPr>
            </w:pPr>
            <w:r w:rsidRPr="00F37E8F">
              <w:rPr>
                <w:sz w:val="18"/>
                <w:szCs w:val="18"/>
              </w:rPr>
              <w:t>US</w:t>
            </w:r>
          </w:p>
        </w:tc>
        <w:tc>
          <w:tcPr>
            <w:tcW w:w="1134" w:type="dxa"/>
            <w:shd w:val="clear" w:color="auto" w:fill="auto"/>
          </w:tcPr>
          <w:p w14:paraId="27DB28F5" w14:textId="77777777" w:rsidR="004C4145" w:rsidRPr="00F37E8F" w:rsidRDefault="004C4145" w:rsidP="00676BB3">
            <w:pPr>
              <w:rPr>
                <w:sz w:val="18"/>
                <w:szCs w:val="18"/>
              </w:rPr>
            </w:pPr>
            <w:r w:rsidRPr="00E30568">
              <w:rPr>
                <w:sz w:val="18"/>
                <w:szCs w:val="18"/>
              </w:rPr>
              <w:t>377,561</w:t>
            </w:r>
            <w:r>
              <w:rPr>
                <w:sz w:val="18"/>
                <w:szCs w:val="18"/>
              </w:rPr>
              <w:t xml:space="preserve"> </w:t>
            </w:r>
            <w:r w:rsidRPr="00681926">
              <w:rPr>
                <w:sz w:val="18"/>
                <w:szCs w:val="18"/>
                <w:vertAlign w:val="superscript"/>
              </w:rPr>
              <w:t>b</w:t>
            </w:r>
            <w:r>
              <w:rPr>
                <w:sz w:val="18"/>
                <w:szCs w:val="18"/>
              </w:rPr>
              <w:t xml:space="preserve"> </w:t>
            </w:r>
          </w:p>
        </w:tc>
        <w:tc>
          <w:tcPr>
            <w:tcW w:w="851" w:type="dxa"/>
            <w:shd w:val="clear" w:color="auto" w:fill="auto"/>
          </w:tcPr>
          <w:p w14:paraId="1DBF17DF" w14:textId="77777777" w:rsidR="004C4145" w:rsidRDefault="004C4145" w:rsidP="00676BB3">
            <w:pPr>
              <w:rPr>
                <w:sz w:val="18"/>
                <w:szCs w:val="18"/>
              </w:rPr>
            </w:pPr>
            <w:r w:rsidRPr="00234A2A">
              <w:rPr>
                <w:sz w:val="18"/>
                <w:szCs w:val="18"/>
                <w:u w:val="single"/>
              </w:rPr>
              <w:t>&gt;</w:t>
            </w:r>
            <w:r>
              <w:rPr>
                <w:sz w:val="18"/>
                <w:szCs w:val="18"/>
              </w:rPr>
              <w:t>65</w:t>
            </w:r>
          </w:p>
        </w:tc>
        <w:tc>
          <w:tcPr>
            <w:tcW w:w="850" w:type="dxa"/>
            <w:shd w:val="clear" w:color="auto" w:fill="auto"/>
          </w:tcPr>
          <w:p w14:paraId="470389D2" w14:textId="77777777" w:rsidR="004C4145" w:rsidRDefault="004C4145" w:rsidP="00676BB3">
            <w:pPr>
              <w:rPr>
                <w:sz w:val="18"/>
                <w:szCs w:val="18"/>
              </w:rPr>
            </w:pPr>
            <w:r>
              <w:rPr>
                <w:sz w:val="18"/>
                <w:szCs w:val="18"/>
              </w:rPr>
              <w:t xml:space="preserve">1, </w:t>
            </w:r>
            <w:r w:rsidRPr="00F37E8F">
              <w:rPr>
                <w:sz w:val="18"/>
                <w:szCs w:val="18"/>
              </w:rPr>
              <w:t>2</w:t>
            </w:r>
            <w:r>
              <w:rPr>
                <w:sz w:val="18"/>
                <w:szCs w:val="18"/>
              </w:rPr>
              <w:t>, 5</w:t>
            </w:r>
          </w:p>
        </w:tc>
        <w:tc>
          <w:tcPr>
            <w:tcW w:w="1276" w:type="dxa"/>
            <w:shd w:val="clear" w:color="auto" w:fill="auto"/>
          </w:tcPr>
          <w:p w14:paraId="6DCB25E3" w14:textId="77777777" w:rsidR="004C4145" w:rsidRDefault="004C4145" w:rsidP="00676BB3">
            <w:pPr>
              <w:rPr>
                <w:sz w:val="18"/>
                <w:szCs w:val="18"/>
              </w:rPr>
            </w:pPr>
            <w:r>
              <w:rPr>
                <w:sz w:val="18"/>
                <w:szCs w:val="18"/>
              </w:rPr>
              <w:t xml:space="preserve">Clinical </w:t>
            </w:r>
          </w:p>
        </w:tc>
        <w:tc>
          <w:tcPr>
            <w:tcW w:w="1565" w:type="dxa"/>
            <w:shd w:val="clear" w:color="auto" w:fill="auto"/>
          </w:tcPr>
          <w:p w14:paraId="2579652F" w14:textId="77777777" w:rsidR="004C4145" w:rsidRDefault="004C4145" w:rsidP="00676BB3">
            <w:pPr>
              <w:rPr>
                <w:sz w:val="18"/>
                <w:szCs w:val="18"/>
              </w:rPr>
            </w:pPr>
            <w:r w:rsidRPr="00F37E8F">
              <w:rPr>
                <w:sz w:val="18"/>
                <w:szCs w:val="18"/>
              </w:rPr>
              <w:t>18</w:t>
            </w:r>
          </w:p>
        </w:tc>
        <w:tc>
          <w:tcPr>
            <w:tcW w:w="987" w:type="dxa"/>
            <w:shd w:val="clear" w:color="auto" w:fill="auto"/>
          </w:tcPr>
          <w:p w14:paraId="3D2B8F52" w14:textId="77777777" w:rsidR="004C4145" w:rsidRDefault="004C4145" w:rsidP="00676BB3">
            <w:pPr>
              <w:rPr>
                <w:sz w:val="18"/>
                <w:szCs w:val="18"/>
              </w:rPr>
            </w:pPr>
            <w:r>
              <w:rPr>
                <w:sz w:val="18"/>
                <w:szCs w:val="18"/>
              </w:rPr>
              <w:t>na</w:t>
            </w:r>
          </w:p>
        </w:tc>
        <w:tc>
          <w:tcPr>
            <w:tcW w:w="992" w:type="dxa"/>
            <w:shd w:val="clear" w:color="auto" w:fill="auto"/>
          </w:tcPr>
          <w:p w14:paraId="4B260F0F" w14:textId="77777777" w:rsidR="004C4145" w:rsidRDefault="004C4145" w:rsidP="00676BB3">
            <w:pPr>
              <w:rPr>
                <w:sz w:val="18"/>
                <w:szCs w:val="18"/>
              </w:rPr>
            </w:pPr>
            <w:r>
              <w:rPr>
                <w:sz w:val="18"/>
                <w:szCs w:val="18"/>
              </w:rPr>
              <w:t>No</w:t>
            </w:r>
          </w:p>
        </w:tc>
        <w:tc>
          <w:tcPr>
            <w:tcW w:w="5103" w:type="dxa"/>
            <w:shd w:val="clear" w:color="auto" w:fill="auto"/>
          </w:tcPr>
          <w:p w14:paraId="0E1C9D3A" w14:textId="38FF3EA9" w:rsidR="004C4145" w:rsidRPr="00F37E8F" w:rsidRDefault="004C4145" w:rsidP="00676BB3">
            <w:pPr>
              <w:rPr>
                <w:sz w:val="18"/>
                <w:szCs w:val="18"/>
              </w:rPr>
            </w:pPr>
            <w:r>
              <w:rPr>
                <w:sz w:val="18"/>
                <w:szCs w:val="18"/>
              </w:rPr>
              <w:t>Recent clinical fractures. (</w:t>
            </w:r>
            <w:r w:rsidRPr="00F37E8F">
              <w:rPr>
                <w:sz w:val="18"/>
                <w:szCs w:val="18"/>
              </w:rPr>
              <w:t>1,2,5 yr</w:t>
            </w:r>
            <w:r>
              <w:rPr>
                <w:sz w:val="18"/>
                <w:szCs w:val="18"/>
              </w:rPr>
              <w:t xml:space="preserve"> incidence</w:t>
            </w:r>
            <w:r w:rsidRPr="00F37E8F">
              <w:rPr>
                <w:sz w:val="18"/>
                <w:szCs w:val="18"/>
              </w:rPr>
              <w:t xml:space="preserve"> 10, 18, 31</w:t>
            </w:r>
            <w:r>
              <w:rPr>
                <w:sz w:val="18"/>
                <w:szCs w:val="18"/>
              </w:rPr>
              <w:t>% respectively; evidence for imminent risk)</w:t>
            </w:r>
          </w:p>
        </w:tc>
      </w:tr>
      <w:tr w:rsidR="00676BB3" w:rsidRPr="00F37E8F" w14:paraId="64CBF856" w14:textId="77777777" w:rsidTr="00181E6E">
        <w:tc>
          <w:tcPr>
            <w:tcW w:w="1271" w:type="dxa"/>
            <w:shd w:val="clear" w:color="auto" w:fill="auto"/>
          </w:tcPr>
          <w:p w14:paraId="7530D043" w14:textId="74FD7A63" w:rsidR="004C4145" w:rsidRPr="00F37E8F" w:rsidRDefault="004C4145" w:rsidP="00676BB3">
            <w:pPr>
              <w:rPr>
                <w:sz w:val="18"/>
                <w:szCs w:val="18"/>
              </w:rPr>
            </w:pPr>
            <w:r w:rsidRPr="00F37E8F">
              <w:rPr>
                <w:sz w:val="18"/>
                <w:szCs w:val="18"/>
              </w:rPr>
              <w:t>Banefelt 2019</w:t>
            </w:r>
            <w:r w:rsidR="00CD14DA">
              <w:rPr>
                <w:sz w:val="18"/>
                <w:szCs w:val="18"/>
              </w:rPr>
              <w:t xml:space="preserve"> [1</w:t>
            </w:r>
            <w:r w:rsidR="0058327B">
              <w:rPr>
                <w:sz w:val="18"/>
                <w:szCs w:val="18"/>
              </w:rPr>
              <w:t>2</w:t>
            </w:r>
            <w:r w:rsidR="00CD14DA">
              <w:rPr>
                <w:sz w:val="18"/>
                <w:szCs w:val="18"/>
              </w:rPr>
              <w:t>]</w:t>
            </w:r>
          </w:p>
        </w:tc>
        <w:tc>
          <w:tcPr>
            <w:tcW w:w="992" w:type="dxa"/>
            <w:shd w:val="clear" w:color="auto" w:fill="auto"/>
          </w:tcPr>
          <w:p w14:paraId="6CB296F1" w14:textId="77777777" w:rsidR="004C4145" w:rsidRPr="00F37E8F" w:rsidRDefault="004C4145" w:rsidP="00676BB3">
            <w:pPr>
              <w:rPr>
                <w:sz w:val="18"/>
                <w:szCs w:val="18"/>
              </w:rPr>
            </w:pPr>
            <w:r w:rsidRPr="00F37E8F">
              <w:rPr>
                <w:sz w:val="18"/>
                <w:szCs w:val="18"/>
              </w:rPr>
              <w:t>Sweden</w:t>
            </w:r>
          </w:p>
        </w:tc>
        <w:tc>
          <w:tcPr>
            <w:tcW w:w="1134" w:type="dxa"/>
            <w:shd w:val="clear" w:color="auto" w:fill="auto"/>
          </w:tcPr>
          <w:p w14:paraId="1A559E74" w14:textId="77777777" w:rsidR="004C4145" w:rsidRPr="00E30568" w:rsidRDefault="004C4145" w:rsidP="00676BB3">
            <w:pPr>
              <w:rPr>
                <w:sz w:val="18"/>
                <w:szCs w:val="18"/>
              </w:rPr>
            </w:pPr>
            <w:r>
              <w:rPr>
                <w:sz w:val="18"/>
                <w:szCs w:val="18"/>
              </w:rPr>
              <w:t xml:space="preserve">242,108 </w:t>
            </w:r>
            <w:r w:rsidRPr="00681926">
              <w:rPr>
                <w:sz w:val="18"/>
                <w:szCs w:val="18"/>
                <w:vertAlign w:val="superscript"/>
              </w:rPr>
              <w:t>b</w:t>
            </w:r>
            <w:r>
              <w:rPr>
                <w:sz w:val="18"/>
                <w:szCs w:val="18"/>
              </w:rPr>
              <w:t xml:space="preserve"> </w:t>
            </w:r>
          </w:p>
        </w:tc>
        <w:tc>
          <w:tcPr>
            <w:tcW w:w="851" w:type="dxa"/>
            <w:shd w:val="clear" w:color="auto" w:fill="auto"/>
          </w:tcPr>
          <w:p w14:paraId="61AC8834" w14:textId="77777777" w:rsidR="004C4145" w:rsidRDefault="004C4145" w:rsidP="00676BB3">
            <w:pPr>
              <w:rPr>
                <w:sz w:val="18"/>
                <w:szCs w:val="18"/>
              </w:rPr>
            </w:pPr>
            <w:r w:rsidRPr="00F37E8F">
              <w:rPr>
                <w:sz w:val="18"/>
                <w:szCs w:val="18"/>
              </w:rPr>
              <w:t>74</w:t>
            </w:r>
          </w:p>
        </w:tc>
        <w:tc>
          <w:tcPr>
            <w:tcW w:w="850" w:type="dxa"/>
            <w:shd w:val="clear" w:color="auto" w:fill="auto"/>
          </w:tcPr>
          <w:p w14:paraId="32F21858" w14:textId="77777777" w:rsidR="004C4145" w:rsidRDefault="004C4145" w:rsidP="00676BB3">
            <w:pPr>
              <w:rPr>
                <w:sz w:val="18"/>
                <w:szCs w:val="18"/>
              </w:rPr>
            </w:pPr>
            <w:r>
              <w:rPr>
                <w:sz w:val="18"/>
                <w:szCs w:val="18"/>
              </w:rPr>
              <w:t xml:space="preserve">1, </w:t>
            </w:r>
            <w:r w:rsidRPr="00F37E8F">
              <w:rPr>
                <w:sz w:val="18"/>
                <w:szCs w:val="18"/>
              </w:rPr>
              <w:t>2</w:t>
            </w:r>
          </w:p>
        </w:tc>
        <w:tc>
          <w:tcPr>
            <w:tcW w:w="1276" w:type="dxa"/>
            <w:shd w:val="clear" w:color="auto" w:fill="auto"/>
          </w:tcPr>
          <w:p w14:paraId="0C9CBF90" w14:textId="77777777" w:rsidR="004C4145" w:rsidRDefault="004C4145" w:rsidP="00676BB3">
            <w:pPr>
              <w:rPr>
                <w:sz w:val="18"/>
                <w:szCs w:val="18"/>
              </w:rPr>
            </w:pPr>
            <w:r>
              <w:rPr>
                <w:sz w:val="18"/>
                <w:szCs w:val="18"/>
              </w:rPr>
              <w:t>Osteoporotic</w:t>
            </w:r>
          </w:p>
        </w:tc>
        <w:tc>
          <w:tcPr>
            <w:tcW w:w="1565" w:type="dxa"/>
            <w:shd w:val="clear" w:color="auto" w:fill="auto"/>
          </w:tcPr>
          <w:p w14:paraId="746DB7BF" w14:textId="77777777" w:rsidR="004C4145" w:rsidRPr="00F37E8F" w:rsidRDefault="004C4145" w:rsidP="00676BB3">
            <w:pPr>
              <w:rPr>
                <w:sz w:val="18"/>
                <w:szCs w:val="18"/>
              </w:rPr>
            </w:pPr>
            <w:r w:rsidRPr="00F37E8F">
              <w:rPr>
                <w:sz w:val="18"/>
                <w:szCs w:val="18"/>
              </w:rPr>
              <w:t>12</w:t>
            </w:r>
            <w:r>
              <w:rPr>
                <w:sz w:val="18"/>
                <w:szCs w:val="18"/>
              </w:rPr>
              <w:t>.0</w:t>
            </w:r>
          </w:p>
        </w:tc>
        <w:tc>
          <w:tcPr>
            <w:tcW w:w="987" w:type="dxa"/>
            <w:shd w:val="clear" w:color="auto" w:fill="auto"/>
          </w:tcPr>
          <w:p w14:paraId="302F22AF" w14:textId="77777777" w:rsidR="004C4145" w:rsidRDefault="004C4145" w:rsidP="00676BB3">
            <w:pPr>
              <w:rPr>
                <w:sz w:val="18"/>
                <w:szCs w:val="18"/>
              </w:rPr>
            </w:pPr>
            <w:r>
              <w:rPr>
                <w:sz w:val="18"/>
                <w:szCs w:val="18"/>
              </w:rPr>
              <w:t>Yes</w:t>
            </w:r>
          </w:p>
        </w:tc>
        <w:tc>
          <w:tcPr>
            <w:tcW w:w="992" w:type="dxa"/>
            <w:shd w:val="clear" w:color="auto" w:fill="auto"/>
          </w:tcPr>
          <w:p w14:paraId="1B5256A3" w14:textId="77777777" w:rsidR="004C4145" w:rsidRDefault="004C4145" w:rsidP="00676BB3">
            <w:pPr>
              <w:rPr>
                <w:sz w:val="18"/>
                <w:szCs w:val="18"/>
              </w:rPr>
            </w:pPr>
            <w:r>
              <w:rPr>
                <w:sz w:val="18"/>
                <w:szCs w:val="18"/>
              </w:rPr>
              <w:t>No</w:t>
            </w:r>
          </w:p>
        </w:tc>
        <w:tc>
          <w:tcPr>
            <w:tcW w:w="5103" w:type="dxa"/>
            <w:shd w:val="clear" w:color="auto" w:fill="auto"/>
          </w:tcPr>
          <w:p w14:paraId="40D2747F" w14:textId="1826ABD5" w:rsidR="004C4145" w:rsidRPr="00F37E8F" w:rsidRDefault="004C4145" w:rsidP="00676BB3">
            <w:pPr>
              <w:rPr>
                <w:sz w:val="18"/>
                <w:szCs w:val="18"/>
              </w:rPr>
            </w:pPr>
            <w:r>
              <w:rPr>
                <w:sz w:val="18"/>
                <w:szCs w:val="18"/>
              </w:rPr>
              <w:t>Recent clinical fractures. (</w:t>
            </w:r>
            <w:r w:rsidRPr="00F37E8F">
              <w:rPr>
                <w:sz w:val="18"/>
                <w:szCs w:val="18"/>
              </w:rPr>
              <w:t>I yr =7.1</w:t>
            </w:r>
            <w:r>
              <w:rPr>
                <w:sz w:val="18"/>
                <w:szCs w:val="18"/>
              </w:rPr>
              <w:t>%</w:t>
            </w:r>
            <w:r w:rsidRPr="00F37E8F">
              <w:rPr>
                <w:sz w:val="18"/>
                <w:szCs w:val="18"/>
              </w:rPr>
              <w:t xml:space="preserve">. </w:t>
            </w:r>
            <w:r>
              <w:rPr>
                <w:sz w:val="18"/>
                <w:szCs w:val="18"/>
              </w:rPr>
              <w:t xml:space="preserve">Older age and vertebral fracture </w:t>
            </w:r>
            <w:r w:rsidR="00CC49EC">
              <w:rPr>
                <w:sz w:val="18"/>
                <w:szCs w:val="18"/>
              </w:rPr>
              <w:t xml:space="preserve">associated </w:t>
            </w:r>
            <w:r w:rsidR="00EE40DF">
              <w:rPr>
                <w:sz w:val="18"/>
                <w:szCs w:val="18"/>
              </w:rPr>
              <w:t xml:space="preserve">with </w:t>
            </w:r>
            <w:r>
              <w:rPr>
                <w:sz w:val="18"/>
                <w:szCs w:val="18"/>
              </w:rPr>
              <w:t xml:space="preserve">increased risk) </w:t>
            </w:r>
            <w:r w:rsidRPr="00F37E8F">
              <w:rPr>
                <w:sz w:val="18"/>
                <w:szCs w:val="18"/>
              </w:rPr>
              <w:t xml:space="preserve"> </w:t>
            </w:r>
          </w:p>
        </w:tc>
      </w:tr>
      <w:tr w:rsidR="00676BB3" w:rsidRPr="00F37E8F" w14:paraId="799ECFC8" w14:textId="77777777" w:rsidTr="00181E6E">
        <w:tc>
          <w:tcPr>
            <w:tcW w:w="1271" w:type="dxa"/>
            <w:shd w:val="clear" w:color="auto" w:fill="auto"/>
          </w:tcPr>
          <w:p w14:paraId="0002F109" w14:textId="1A4168FD" w:rsidR="004C4145" w:rsidRPr="00F37E8F" w:rsidRDefault="004C4145" w:rsidP="00676BB3">
            <w:pPr>
              <w:rPr>
                <w:sz w:val="18"/>
                <w:szCs w:val="18"/>
              </w:rPr>
            </w:pPr>
            <w:r>
              <w:rPr>
                <w:sz w:val="18"/>
                <w:szCs w:val="18"/>
              </w:rPr>
              <w:t>Bonafede 2016</w:t>
            </w:r>
            <w:r w:rsidR="00022B1D">
              <w:rPr>
                <w:sz w:val="18"/>
                <w:szCs w:val="18"/>
              </w:rPr>
              <w:t xml:space="preserve"> [1</w:t>
            </w:r>
            <w:r w:rsidR="0058327B">
              <w:rPr>
                <w:sz w:val="18"/>
                <w:szCs w:val="18"/>
              </w:rPr>
              <w:t>3</w:t>
            </w:r>
            <w:r w:rsidR="00022B1D">
              <w:rPr>
                <w:sz w:val="18"/>
                <w:szCs w:val="18"/>
              </w:rPr>
              <w:t>]</w:t>
            </w:r>
          </w:p>
        </w:tc>
        <w:tc>
          <w:tcPr>
            <w:tcW w:w="992" w:type="dxa"/>
            <w:shd w:val="clear" w:color="auto" w:fill="auto"/>
          </w:tcPr>
          <w:p w14:paraId="0BE58811" w14:textId="77777777" w:rsidR="004C4145" w:rsidRPr="00F37E8F" w:rsidRDefault="004C4145" w:rsidP="00676BB3">
            <w:pPr>
              <w:rPr>
                <w:sz w:val="18"/>
                <w:szCs w:val="18"/>
              </w:rPr>
            </w:pPr>
            <w:r>
              <w:rPr>
                <w:sz w:val="18"/>
                <w:szCs w:val="18"/>
              </w:rPr>
              <w:t>US</w:t>
            </w:r>
          </w:p>
        </w:tc>
        <w:tc>
          <w:tcPr>
            <w:tcW w:w="1134" w:type="dxa"/>
            <w:shd w:val="clear" w:color="auto" w:fill="auto"/>
          </w:tcPr>
          <w:p w14:paraId="7FA1A494" w14:textId="77777777" w:rsidR="004C4145" w:rsidRDefault="004C4145" w:rsidP="00676BB3">
            <w:pPr>
              <w:rPr>
                <w:sz w:val="18"/>
                <w:szCs w:val="18"/>
              </w:rPr>
            </w:pPr>
            <w:r>
              <w:rPr>
                <w:sz w:val="18"/>
                <w:szCs w:val="18"/>
              </w:rPr>
              <w:t>163,186</w:t>
            </w:r>
          </w:p>
        </w:tc>
        <w:tc>
          <w:tcPr>
            <w:tcW w:w="851" w:type="dxa"/>
            <w:shd w:val="clear" w:color="auto" w:fill="auto"/>
          </w:tcPr>
          <w:p w14:paraId="7733B679" w14:textId="77777777" w:rsidR="004C4145" w:rsidRDefault="004C4145" w:rsidP="00676BB3">
            <w:pPr>
              <w:rPr>
                <w:sz w:val="18"/>
                <w:szCs w:val="18"/>
              </w:rPr>
            </w:pPr>
            <w:r w:rsidRPr="009A5C71">
              <w:rPr>
                <w:sz w:val="18"/>
                <w:szCs w:val="18"/>
                <w:u w:val="single"/>
              </w:rPr>
              <w:t>&gt;</w:t>
            </w:r>
            <w:r>
              <w:rPr>
                <w:sz w:val="18"/>
                <w:szCs w:val="18"/>
              </w:rPr>
              <w:t>50</w:t>
            </w:r>
          </w:p>
        </w:tc>
        <w:tc>
          <w:tcPr>
            <w:tcW w:w="850" w:type="dxa"/>
            <w:shd w:val="clear" w:color="auto" w:fill="auto"/>
          </w:tcPr>
          <w:p w14:paraId="15EC38AB" w14:textId="77777777" w:rsidR="004C4145" w:rsidRDefault="004C4145" w:rsidP="00676BB3">
            <w:pPr>
              <w:rPr>
                <w:sz w:val="18"/>
                <w:szCs w:val="18"/>
              </w:rPr>
            </w:pPr>
            <w:r>
              <w:rPr>
                <w:sz w:val="18"/>
                <w:szCs w:val="18"/>
              </w:rPr>
              <w:t>1, 2</w:t>
            </w:r>
          </w:p>
        </w:tc>
        <w:tc>
          <w:tcPr>
            <w:tcW w:w="1276" w:type="dxa"/>
            <w:shd w:val="clear" w:color="auto" w:fill="auto"/>
          </w:tcPr>
          <w:p w14:paraId="2246C393" w14:textId="77777777" w:rsidR="004C4145" w:rsidRDefault="004C4145" w:rsidP="00676BB3">
            <w:pPr>
              <w:rPr>
                <w:sz w:val="18"/>
                <w:szCs w:val="18"/>
              </w:rPr>
            </w:pPr>
            <w:r>
              <w:rPr>
                <w:sz w:val="18"/>
                <w:szCs w:val="18"/>
              </w:rPr>
              <w:t>Osteoporotic</w:t>
            </w:r>
          </w:p>
        </w:tc>
        <w:tc>
          <w:tcPr>
            <w:tcW w:w="1565" w:type="dxa"/>
            <w:shd w:val="clear" w:color="auto" w:fill="auto"/>
          </w:tcPr>
          <w:p w14:paraId="0FC9B4DF" w14:textId="77777777" w:rsidR="004C4145" w:rsidRPr="00F37E8F" w:rsidRDefault="004C4145" w:rsidP="00676BB3">
            <w:pPr>
              <w:rPr>
                <w:sz w:val="18"/>
                <w:szCs w:val="18"/>
              </w:rPr>
            </w:pPr>
            <w:r>
              <w:rPr>
                <w:sz w:val="18"/>
                <w:szCs w:val="18"/>
              </w:rPr>
              <w:t>-</w:t>
            </w:r>
          </w:p>
        </w:tc>
        <w:tc>
          <w:tcPr>
            <w:tcW w:w="987" w:type="dxa"/>
            <w:shd w:val="clear" w:color="auto" w:fill="auto"/>
          </w:tcPr>
          <w:p w14:paraId="482C9A04" w14:textId="77777777" w:rsidR="004C4145" w:rsidRDefault="004C4145" w:rsidP="00676BB3">
            <w:pPr>
              <w:rPr>
                <w:sz w:val="18"/>
                <w:szCs w:val="18"/>
              </w:rPr>
            </w:pPr>
            <w:r>
              <w:rPr>
                <w:sz w:val="18"/>
                <w:szCs w:val="18"/>
              </w:rPr>
              <w:t>No</w:t>
            </w:r>
          </w:p>
        </w:tc>
        <w:tc>
          <w:tcPr>
            <w:tcW w:w="992" w:type="dxa"/>
            <w:shd w:val="clear" w:color="auto" w:fill="auto"/>
          </w:tcPr>
          <w:p w14:paraId="721D5E79" w14:textId="77777777" w:rsidR="004C4145" w:rsidRDefault="004C4145" w:rsidP="00676BB3">
            <w:pPr>
              <w:rPr>
                <w:sz w:val="18"/>
                <w:szCs w:val="18"/>
              </w:rPr>
            </w:pPr>
            <w:r>
              <w:rPr>
                <w:sz w:val="18"/>
                <w:szCs w:val="18"/>
              </w:rPr>
              <w:t>No</w:t>
            </w:r>
          </w:p>
        </w:tc>
        <w:tc>
          <w:tcPr>
            <w:tcW w:w="5103" w:type="dxa"/>
            <w:shd w:val="clear" w:color="auto" w:fill="auto"/>
          </w:tcPr>
          <w:p w14:paraId="6BBE2BAF" w14:textId="77777777" w:rsidR="004C4145" w:rsidRPr="00F37E8F" w:rsidRDefault="004C4145" w:rsidP="00676BB3">
            <w:pPr>
              <w:autoSpaceDE w:val="0"/>
              <w:autoSpaceDN w:val="0"/>
              <w:adjustRightInd w:val="0"/>
              <w:rPr>
                <w:sz w:val="18"/>
                <w:szCs w:val="18"/>
              </w:rPr>
            </w:pPr>
            <w:r>
              <w:rPr>
                <w:sz w:val="18"/>
                <w:szCs w:val="18"/>
              </w:rPr>
              <w:t>Retrospective case control study. (No determination of imminency of risk; similar risk factors for both time horizons)</w:t>
            </w:r>
          </w:p>
        </w:tc>
      </w:tr>
      <w:tr w:rsidR="00676BB3" w:rsidRPr="00F37E8F" w14:paraId="3E2424ED" w14:textId="77777777" w:rsidTr="00181E6E">
        <w:tc>
          <w:tcPr>
            <w:tcW w:w="1271" w:type="dxa"/>
            <w:shd w:val="clear" w:color="auto" w:fill="auto"/>
          </w:tcPr>
          <w:p w14:paraId="5C962B8F" w14:textId="00B86414" w:rsidR="004C4145" w:rsidRDefault="004C4145" w:rsidP="00676BB3">
            <w:pPr>
              <w:rPr>
                <w:sz w:val="18"/>
                <w:szCs w:val="18"/>
              </w:rPr>
            </w:pPr>
            <w:r w:rsidRPr="00620E85">
              <w:rPr>
                <w:sz w:val="18"/>
                <w:szCs w:val="18"/>
              </w:rPr>
              <w:t>Chapurlat</w:t>
            </w:r>
            <w:r>
              <w:rPr>
                <w:sz w:val="18"/>
                <w:szCs w:val="18"/>
              </w:rPr>
              <w:t xml:space="preserve"> 2003</w:t>
            </w:r>
            <w:r w:rsidR="00022B1D">
              <w:rPr>
                <w:sz w:val="18"/>
                <w:szCs w:val="18"/>
              </w:rPr>
              <w:t xml:space="preserve"> [1</w:t>
            </w:r>
            <w:r w:rsidR="0058327B">
              <w:rPr>
                <w:sz w:val="18"/>
                <w:szCs w:val="18"/>
              </w:rPr>
              <w:t>4</w:t>
            </w:r>
            <w:r w:rsidR="002F22F2">
              <w:rPr>
                <w:sz w:val="18"/>
                <w:szCs w:val="18"/>
              </w:rPr>
              <w:t>]</w:t>
            </w:r>
          </w:p>
        </w:tc>
        <w:tc>
          <w:tcPr>
            <w:tcW w:w="992" w:type="dxa"/>
            <w:shd w:val="clear" w:color="auto" w:fill="auto"/>
          </w:tcPr>
          <w:p w14:paraId="0811E931" w14:textId="77777777" w:rsidR="004C4145" w:rsidRDefault="004C4145" w:rsidP="00676BB3">
            <w:pPr>
              <w:rPr>
                <w:sz w:val="18"/>
                <w:szCs w:val="18"/>
              </w:rPr>
            </w:pPr>
            <w:r>
              <w:rPr>
                <w:sz w:val="18"/>
                <w:szCs w:val="18"/>
              </w:rPr>
              <w:t>US</w:t>
            </w:r>
          </w:p>
        </w:tc>
        <w:tc>
          <w:tcPr>
            <w:tcW w:w="1134" w:type="dxa"/>
            <w:shd w:val="clear" w:color="auto" w:fill="auto"/>
          </w:tcPr>
          <w:p w14:paraId="322BA0EB" w14:textId="77777777" w:rsidR="004C4145" w:rsidRDefault="004C4145" w:rsidP="00676BB3">
            <w:pPr>
              <w:rPr>
                <w:sz w:val="18"/>
                <w:szCs w:val="18"/>
              </w:rPr>
            </w:pPr>
            <w:r>
              <w:rPr>
                <w:sz w:val="18"/>
                <w:szCs w:val="18"/>
              </w:rPr>
              <w:t xml:space="preserve">632 </w:t>
            </w:r>
            <w:r w:rsidRPr="00681926">
              <w:rPr>
                <w:sz w:val="18"/>
                <w:szCs w:val="18"/>
                <w:vertAlign w:val="superscript"/>
              </w:rPr>
              <w:t>b</w:t>
            </w:r>
            <w:r>
              <w:rPr>
                <w:sz w:val="18"/>
                <w:szCs w:val="18"/>
              </w:rPr>
              <w:t xml:space="preserve"> </w:t>
            </w:r>
          </w:p>
        </w:tc>
        <w:tc>
          <w:tcPr>
            <w:tcW w:w="851" w:type="dxa"/>
            <w:shd w:val="clear" w:color="auto" w:fill="auto"/>
          </w:tcPr>
          <w:p w14:paraId="4EC91FFA" w14:textId="77777777" w:rsidR="004C4145" w:rsidRDefault="004C4145" w:rsidP="00676BB3">
            <w:pPr>
              <w:rPr>
                <w:sz w:val="18"/>
                <w:szCs w:val="18"/>
              </w:rPr>
            </w:pPr>
            <w:r w:rsidRPr="009212E1">
              <w:rPr>
                <w:sz w:val="18"/>
                <w:szCs w:val="18"/>
              </w:rPr>
              <w:t>75</w:t>
            </w:r>
          </w:p>
        </w:tc>
        <w:tc>
          <w:tcPr>
            <w:tcW w:w="850" w:type="dxa"/>
            <w:shd w:val="clear" w:color="auto" w:fill="auto"/>
          </w:tcPr>
          <w:p w14:paraId="14DC9409" w14:textId="77777777" w:rsidR="004C4145" w:rsidRDefault="004C4145" w:rsidP="00676BB3">
            <w:pPr>
              <w:rPr>
                <w:sz w:val="18"/>
                <w:szCs w:val="18"/>
              </w:rPr>
            </w:pPr>
            <w:r>
              <w:rPr>
                <w:sz w:val="18"/>
                <w:szCs w:val="18"/>
              </w:rPr>
              <w:t>Up to 13</w:t>
            </w:r>
          </w:p>
        </w:tc>
        <w:tc>
          <w:tcPr>
            <w:tcW w:w="1276" w:type="dxa"/>
            <w:shd w:val="clear" w:color="auto" w:fill="auto"/>
          </w:tcPr>
          <w:p w14:paraId="6D27EB6B" w14:textId="77777777" w:rsidR="004C4145" w:rsidRDefault="004C4145" w:rsidP="00676BB3">
            <w:pPr>
              <w:rPr>
                <w:sz w:val="18"/>
                <w:szCs w:val="18"/>
              </w:rPr>
            </w:pPr>
            <w:r>
              <w:rPr>
                <w:sz w:val="18"/>
                <w:szCs w:val="18"/>
              </w:rPr>
              <w:t>Hip</w:t>
            </w:r>
          </w:p>
        </w:tc>
        <w:tc>
          <w:tcPr>
            <w:tcW w:w="1565" w:type="dxa"/>
            <w:shd w:val="clear" w:color="auto" w:fill="auto"/>
          </w:tcPr>
          <w:p w14:paraId="2F7F5305" w14:textId="154025F3" w:rsidR="004C4145" w:rsidRDefault="004C4145" w:rsidP="00676BB3">
            <w:pPr>
              <w:rPr>
                <w:sz w:val="18"/>
                <w:szCs w:val="18"/>
              </w:rPr>
            </w:pPr>
            <w:r>
              <w:rPr>
                <w:sz w:val="18"/>
                <w:szCs w:val="18"/>
              </w:rPr>
              <w:t>4.6</w:t>
            </w:r>
          </w:p>
        </w:tc>
        <w:tc>
          <w:tcPr>
            <w:tcW w:w="987" w:type="dxa"/>
            <w:shd w:val="clear" w:color="auto" w:fill="auto"/>
          </w:tcPr>
          <w:p w14:paraId="42A0B711" w14:textId="77777777" w:rsidR="004C4145" w:rsidRDefault="004C4145" w:rsidP="00676BB3">
            <w:pPr>
              <w:rPr>
                <w:sz w:val="18"/>
                <w:szCs w:val="18"/>
              </w:rPr>
            </w:pPr>
            <w:r>
              <w:rPr>
                <w:sz w:val="18"/>
                <w:szCs w:val="18"/>
              </w:rPr>
              <w:t>Partly</w:t>
            </w:r>
          </w:p>
        </w:tc>
        <w:tc>
          <w:tcPr>
            <w:tcW w:w="992" w:type="dxa"/>
            <w:shd w:val="clear" w:color="auto" w:fill="auto"/>
          </w:tcPr>
          <w:p w14:paraId="2A9BCF42" w14:textId="77777777" w:rsidR="004C4145" w:rsidRDefault="004C4145" w:rsidP="00676BB3">
            <w:pPr>
              <w:rPr>
                <w:sz w:val="18"/>
                <w:szCs w:val="18"/>
              </w:rPr>
            </w:pPr>
            <w:r>
              <w:rPr>
                <w:sz w:val="18"/>
                <w:szCs w:val="18"/>
              </w:rPr>
              <w:t>No</w:t>
            </w:r>
          </w:p>
        </w:tc>
        <w:tc>
          <w:tcPr>
            <w:tcW w:w="5103" w:type="dxa"/>
            <w:shd w:val="clear" w:color="auto" w:fill="auto"/>
          </w:tcPr>
          <w:p w14:paraId="366AE6C7" w14:textId="36050939" w:rsidR="004C4145" w:rsidRDefault="004C4145" w:rsidP="00676BB3">
            <w:pPr>
              <w:rPr>
                <w:sz w:val="18"/>
                <w:szCs w:val="18"/>
              </w:rPr>
            </w:pPr>
            <w:r>
              <w:rPr>
                <w:sz w:val="18"/>
                <w:szCs w:val="18"/>
              </w:rPr>
              <w:t>Recent hip fracture.  (Kaplan-Meier showing 2.3% risk per year. Small study; no evidence of imminency)</w:t>
            </w:r>
            <w:r w:rsidR="00B311CF">
              <w:rPr>
                <w:sz w:val="18"/>
                <w:szCs w:val="18"/>
              </w:rPr>
              <w:t>.</w:t>
            </w:r>
          </w:p>
        </w:tc>
      </w:tr>
      <w:tr w:rsidR="00676BB3" w:rsidRPr="00F37E8F" w14:paraId="137D458F" w14:textId="77777777" w:rsidTr="00181E6E">
        <w:tc>
          <w:tcPr>
            <w:tcW w:w="1271" w:type="dxa"/>
            <w:shd w:val="clear" w:color="auto" w:fill="auto"/>
          </w:tcPr>
          <w:p w14:paraId="0BA980A0" w14:textId="56C17772" w:rsidR="004C4145" w:rsidRPr="00620E85" w:rsidRDefault="004C4145" w:rsidP="00676BB3">
            <w:pPr>
              <w:rPr>
                <w:sz w:val="18"/>
                <w:szCs w:val="18"/>
              </w:rPr>
            </w:pPr>
            <w:r w:rsidRPr="00F37E8F">
              <w:rPr>
                <w:sz w:val="18"/>
                <w:szCs w:val="18"/>
              </w:rPr>
              <w:t>Giangregorio 2010</w:t>
            </w:r>
            <w:r w:rsidR="002F22F2">
              <w:rPr>
                <w:sz w:val="18"/>
                <w:szCs w:val="18"/>
              </w:rPr>
              <w:t xml:space="preserve"> [6]</w:t>
            </w:r>
          </w:p>
        </w:tc>
        <w:tc>
          <w:tcPr>
            <w:tcW w:w="992" w:type="dxa"/>
            <w:shd w:val="clear" w:color="auto" w:fill="auto"/>
          </w:tcPr>
          <w:p w14:paraId="00B83C84" w14:textId="77777777" w:rsidR="004C4145" w:rsidRDefault="004C4145" w:rsidP="00676BB3">
            <w:pPr>
              <w:rPr>
                <w:sz w:val="18"/>
                <w:szCs w:val="18"/>
              </w:rPr>
            </w:pPr>
            <w:r w:rsidRPr="00F37E8F">
              <w:rPr>
                <w:sz w:val="18"/>
                <w:szCs w:val="18"/>
              </w:rPr>
              <w:t>Canada</w:t>
            </w:r>
          </w:p>
        </w:tc>
        <w:tc>
          <w:tcPr>
            <w:tcW w:w="1134" w:type="dxa"/>
            <w:shd w:val="clear" w:color="auto" w:fill="auto"/>
          </w:tcPr>
          <w:p w14:paraId="36F644E2" w14:textId="77777777" w:rsidR="004C4145" w:rsidRDefault="004C4145" w:rsidP="00676BB3">
            <w:pPr>
              <w:rPr>
                <w:sz w:val="18"/>
                <w:szCs w:val="18"/>
              </w:rPr>
            </w:pPr>
            <w:r>
              <w:rPr>
                <w:sz w:val="18"/>
                <w:szCs w:val="18"/>
              </w:rPr>
              <w:t>39,991</w:t>
            </w:r>
          </w:p>
        </w:tc>
        <w:tc>
          <w:tcPr>
            <w:tcW w:w="851" w:type="dxa"/>
            <w:shd w:val="clear" w:color="auto" w:fill="auto"/>
          </w:tcPr>
          <w:p w14:paraId="20BD5D09" w14:textId="77777777" w:rsidR="004C4145" w:rsidRDefault="004C4145" w:rsidP="00676BB3">
            <w:pPr>
              <w:rPr>
                <w:sz w:val="18"/>
                <w:szCs w:val="18"/>
              </w:rPr>
            </w:pPr>
            <w:r w:rsidRPr="00F37E8F">
              <w:rPr>
                <w:sz w:val="18"/>
                <w:szCs w:val="18"/>
              </w:rPr>
              <w:t>67.0</w:t>
            </w:r>
          </w:p>
        </w:tc>
        <w:tc>
          <w:tcPr>
            <w:tcW w:w="850" w:type="dxa"/>
            <w:shd w:val="clear" w:color="auto" w:fill="auto"/>
          </w:tcPr>
          <w:p w14:paraId="1BA6D36D" w14:textId="77777777" w:rsidR="004C4145" w:rsidRDefault="004C4145" w:rsidP="00676BB3">
            <w:pPr>
              <w:rPr>
                <w:sz w:val="18"/>
                <w:szCs w:val="18"/>
              </w:rPr>
            </w:pPr>
            <w:r>
              <w:rPr>
                <w:sz w:val="18"/>
                <w:szCs w:val="18"/>
              </w:rPr>
              <w:t>Up to 10</w:t>
            </w:r>
          </w:p>
        </w:tc>
        <w:tc>
          <w:tcPr>
            <w:tcW w:w="1276" w:type="dxa"/>
            <w:shd w:val="clear" w:color="auto" w:fill="auto"/>
          </w:tcPr>
          <w:p w14:paraId="6A09B611" w14:textId="77777777" w:rsidR="004C4145" w:rsidRDefault="004C4145" w:rsidP="00676BB3">
            <w:pPr>
              <w:rPr>
                <w:sz w:val="18"/>
                <w:szCs w:val="18"/>
              </w:rPr>
            </w:pPr>
            <w:r w:rsidRPr="00F37E8F">
              <w:rPr>
                <w:sz w:val="18"/>
                <w:szCs w:val="18"/>
              </w:rPr>
              <w:t>MOF</w:t>
            </w:r>
          </w:p>
          <w:p w14:paraId="119A903B" w14:textId="77777777" w:rsidR="004C4145" w:rsidRDefault="004C4145" w:rsidP="00676BB3">
            <w:pPr>
              <w:rPr>
                <w:sz w:val="18"/>
                <w:szCs w:val="18"/>
              </w:rPr>
            </w:pPr>
            <w:r>
              <w:rPr>
                <w:sz w:val="18"/>
                <w:szCs w:val="18"/>
              </w:rPr>
              <w:t>MOF</w:t>
            </w:r>
          </w:p>
        </w:tc>
        <w:tc>
          <w:tcPr>
            <w:tcW w:w="1565" w:type="dxa"/>
            <w:shd w:val="clear" w:color="auto" w:fill="auto"/>
          </w:tcPr>
          <w:p w14:paraId="719BEA0B" w14:textId="58FCA588" w:rsidR="004C4145" w:rsidRPr="000430E3" w:rsidRDefault="004C4145" w:rsidP="00676BB3">
            <w:pPr>
              <w:rPr>
                <w:sz w:val="18"/>
                <w:szCs w:val="18"/>
              </w:rPr>
            </w:pPr>
            <w:r w:rsidRPr="000430E3">
              <w:rPr>
                <w:sz w:val="18"/>
                <w:szCs w:val="18"/>
              </w:rPr>
              <w:t>Major 10.2</w:t>
            </w:r>
          </w:p>
          <w:p w14:paraId="056E9432" w14:textId="6F672C78" w:rsidR="004C4145" w:rsidRPr="000430E3" w:rsidRDefault="004C4145" w:rsidP="00676BB3">
            <w:pPr>
              <w:rPr>
                <w:sz w:val="18"/>
                <w:szCs w:val="18"/>
              </w:rPr>
            </w:pPr>
            <w:r w:rsidRPr="000430E3">
              <w:rPr>
                <w:sz w:val="18"/>
                <w:szCs w:val="18"/>
              </w:rPr>
              <w:t>Minor 6.1</w:t>
            </w:r>
          </w:p>
        </w:tc>
        <w:tc>
          <w:tcPr>
            <w:tcW w:w="987" w:type="dxa"/>
            <w:shd w:val="clear" w:color="auto" w:fill="auto"/>
          </w:tcPr>
          <w:p w14:paraId="7E3800BA" w14:textId="77777777" w:rsidR="004C4145" w:rsidRPr="000430E3" w:rsidRDefault="004C4145" w:rsidP="00676BB3">
            <w:pPr>
              <w:rPr>
                <w:sz w:val="18"/>
                <w:szCs w:val="18"/>
              </w:rPr>
            </w:pPr>
            <w:r w:rsidRPr="000430E3">
              <w:rPr>
                <w:sz w:val="18"/>
                <w:szCs w:val="18"/>
              </w:rPr>
              <w:t>na</w:t>
            </w:r>
          </w:p>
        </w:tc>
        <w:tc>
          <w:tcPr>
            <w:tcW w:w="992" w:type="dxa"/>
            <w:shd w:val="clear" w:color="auto" w:fill="auto"/>
          </w:tcPr>
          <w:p w14:paraId="4580D31C" w14:textId="77777777" w:rsidR="004C4145" w:rsidRDefault="004C4145" w:rsidP="00676BB3">
            <w:pPr>
              <w:rPr>
                <w:sz w:val="18"/>
                <w:szCs w:val="18"/>
              </w:rPr>
            </w:pPr>
            <w:r>
              <w:rPr>
                <w:sz w:val="18"/>
                <w:szCs w:val="18"/>
              </w:rPr>
              <w:t>no</w:t>
            </w:r>
          </w:p>
        </w:tc>
        <w:tc>
          <w:tcPr>
            <w:tcW w:w="5103" w:type="dxa"/>
            <w:shd w:val="clear" w:color="auto" w:fill="auto"/>
          </w:tcPr>
          <w:p w14:paraId="7A2FB69B" w14:textId="4553D52B" w:rsidR="004C4145" w:rsidRDefault="00415A66" w:rsidP="00676BB3">
            <w:pPr>
              <w:rPr>
                <w:sz w:val="18"/>
                <w:szCs w:val="18"/>
              </w:rPr>
            </w:pPr>
            <w:r>
              <w:rPr>
                <w:sz w:val="18"/>
                <w:szCs w:val="18"/>
              </w:rPr>
              <w:t>Recent</w:t>
            </w:r>
            <w:r w:rsidR="004C4145">
              <w:rPr>
                <w:sz w:val="18"/>
                <w:szCs w:val="18"/>
              </w:rPr>
              <w:t xml:space="preserve"> major or minor fracture.  (data presented for 1-5 years rather than 2 years; evidence of imminent risk for both major and minor fractures</w:t>
            </w:r>
          </w:p>
        </w:tc>
      </w:tr>
      <w:tr w:rsidR="00676BB3" w:rsidRPr="00F37E8F" w14:paraId="0D263C08" w14:textId="77777777" w:rsidTr="00181E6E">
        <w:tc>
          <w:tcPr>
            <w:tcW w:w="1271" w:type="dxa"/>
            <w:shd w:val="clear" w:color="auto" w:fill="auto"/>
          </w:tcPr>
          <w:p w14:paraId="47E22C21" w14:textId="2FB1EC37" w:rsidR="004C4145" w:rsidRPr="00F37E8F" w:rsidRDefault="004C4145" w:rsidP="00676BB3">
            <w:pPr>
              <w:rPr>
                <w:sz w:val="18"/>
                <w:szCs w:val="18"/>
              </w:rPr>
            </w:pPr>
            <w:r>
              <w:rPr>
                <w:sz w:val="18"/>
                <w:szCs w:val="18"/>
              </w:rPr>
              <w:t>Henry 2006</w:t>
            </w:r>
            <w:r w:rsidR="002F22F2">
              <w:rPr>
                <w:sz w:val="18"/>
                <w:szCs w:val="18"/>
              </w:rPr>
              <w:t xml:space="preserve"> [1</w:t>
            </w:r>
            <w:r w:rsidR="008571DB">
              <w:rPr>
                <w:sz w:val="18"/>
                <w:szCs w:val="18"/>
              </w:rPr>
              <w:t>5</w:t>
            </w:r>
            <w:r w:rsidR="00F11443">
              <w:rPr>
                <w:sz w:val="18"/>
                <w:szCs w:val="18"/>
              </w:rPr>
              <w:t>]</w:t>
            </w:r>
          </w:p>
        </w:tc>
        <w:tc>
          <w:tcPr>
            <w:tcW w:w="992" w:type="dxa"/>
            <w:shd w:val="clear" w:color="auto" w:fill="auto"/>
          </w:tcPr>
          <w:p w14:paraId="4AC3DC22" w14:textId="77777777" w:rsidR="004C4145" w:rsidRPr="00F37E8F" w:rsidRDefault="004C4145" w:rsidP="00676BB3">
            <w:pPr>
              <w:rPr>
                <w:sz w:val="18"/>
                <w:szCs w:val="18"/>
              </w:rPr>
            </w:pPr>
            <w:r>
              <w:rPr>
                <w:sz w:val="18"/>
                <w:szCs w:val="18"/>
              </w:rPr>
              <w:t>Australia</w:t>
            </w:r>
          </w:p>
        </w:tc>
        <w:tc>
          <w:tcPr>
            <w:tcW w:w="1134" w:type="dxa"/>
            <w:shd w:val="clear" w:color="auto" w:fill="auto"/>
          </w:tcPr>
          <w:p w14:paraId="56E0DEA4" w14:textId="77777777" w:rsidR="004C4145" w:rsidRDefault="004C4145" w:rsidP="00676BB3">
            <w:pPr>
              <w:rPr>
                <w:sz w:val="18"/>
                <w:szCs w:val="18"/>
              </w:rPr>
            </w:pPr>
            <w:r>
              <w:rPr>
                <w:sz w:val="18"/>
                <w:szCs w:val="18"/>
              </w:rPr>
              <w:t xml:space="preserve">679 </w:t>
            </w:r>
            <w:r w:rsidRPr="00681926">
              <w:rPr>
                <w:sz w:val="18"/>
                <w:szCs w:val="18"/>
                <w:vertAlign w:val="superscript"/>
              </w:rPr>
              <w:t>b</w:t>
            </w:r>
            <w:r>
              <w:rPr>
                <w:sz w:val="18"/>
                <w:szCs w:val="18"/>
              </w:rPr>
              <w:t xml:space="preserve"> </w:t>
            </w:r>
          </w:p>
        </w:tc>
        <w:tc>
          <w:tcPr>
            <w:tcW w:w="851" w:type="dxa"/>
            <w:shd w:val="clear" w:color="auto" w:fill="auto"/>
          </w:tcPr>
          <w:p w14:paraId="0BCA0EB3" w14:textId="77777777" w:rsidR="004C4145" w:rsidRDefault="004C4145" w:rsidP="00676BB3">
            <w:pPr>
              <w:rPr>
                <w:sz w:val="18"/>
                <w:szCs w:val="18"/>
              </w:rPr>
            </w:pPr>
            <w:r w:rsidRPr="009A5C71">
              <w:rPr>
                <w:sz w:val="18"/>
                <w:szCs w:val="18"/>
                <w:u w:val="single"/>
              </w:rPr>
              <w:t>&gt;</w:t>
            </w:r>
            <w:r>
              <w:rPr>
                <w:sz w:val="18"/>
                <w:szCs w:val="18"/>
              </w:rPr>
              <w:t>60</w:t>
            </w:r>
          </w:p>
        </w:tc>
        <w:tc>
          <w:tcPr>
            <w:tcW w:w="850" w:type="dxa"/>
            <w:shd w:val="clear" w:color="auto" w:fill="auto"/>
          </w:tcPr>
          <w:p w14:paraId="61A2A9B0" w14:textId="77777777" w:rsidR="004C4145" w:rsidRPr="00F37E8F" w:rsidRDefault="004C4145" w:rsidP="00676BB3">
            <w:pPr>
              <w:rPr>
                <w:sz w:val="18"/>
                <w:szCs w:val="18"/>
              </w:rPr>
            </w:pPr>
            <w:r>
              <w:rPr>
                <w:sz w:val="18"/>
                <w:szCs w:val="18"/>
              </w:rPr>
              <w:t>2</w:t>
            </w:r>
          </w:p>
        </w:tc>
        <w:tc>
          <w:tcPr>
            <w:tcW w:w="1276" w:type="dxa"/>
            <w:shd w:val="clear" w:color="auto" w:fill="auto"/>
          </w:tcPr>
          <w:p w14:paraId="3854BBC6" w14:textId="77777777" w:rsidR="004C4145" w:rsidRPr="00FD5F28" w:rsidRDefault="004C4145" w:rsidP="00676BB3">
            <w:pPr>
              <w:rPr>
                <w:sz w:val="18"/>
                <w:szCs w:val="18"/>
              </w:rPr>
            </w:pPr>
            <w:r w:rsidRPr="00FD5F28">
              <w:rPr>
                <w:sz w:val="18"/>
                <w:szCs w:val="18"/>
              </w:rPr>
              <w:t>MOF</w:t>
            </w:r>
          </w:p>
        </w:tc>
        <w:tc>
          <w:tcPr>
            <w:tcW w:w="1565" w:type="dxa"/>
            <w:shd w:val="clear" w:color="auto" w:fill="auto"/>
          </w:tcPr>
          <w:p w14:paraId="25B477EB" w14:textId="19F34B72" w:rsidR="004C4145" w:rsidRPr="00FD5F28" w:rsidRDefault="004C4145" w:rsidP="00676BB3">
            <w:pPr>
              <w:rPr>
                <w:sz w:val="18"/>
                <w:szCs w:val="18"/>
              </w:rPr>
            </w:pPr>
            <w:r w:rsidRPr="00FD5F28">
              <w:rPr>
                <w:sz w:val="18"/>
                <w:szCs w:val="18"/>
              </w:rPr>
              <w:t>5.3</w:t>
            </w:r>
          </w:p>
        </w:tc>
        <w:tc>
          <w:tcPr>
            <w:tcW w:w="987" w:type="dxa"/>
            <w:shd w:val="clear" w:color="auto" w:fill="auto"/>
          </w:tcPr>
          <w:p w14:paraId="176935CF" w14:textId="77777777" w:rsidR="004C4145" w:rsidRDefault="004C4145" w:rsidP="00676BB3">
            <w:pPr>
              <w:rPr>
                <w:sz w:val="18"/>
                <w:szCs w:val="18"/>
              </w:rPr>
            </w:pPr>
            <w:r>
              <w:rPr>
                <w:sz w:val="18"/>
                <w:szCs w:val="18"/>
              </w:rPr>
              <w:t>yes</w:t>
            </w:r>
          </w:p>
        </w:tc>
        <w:tc>
          <w:tcPr>
            <w:tcW w:w="992" w:type="dxa"/>
            <w:shd w:val="clear" w:color="auto" w:fill="auto"/>
          </w:tcPr>
          <w:p w14:paraId="3A420BF5" w14:textId="77777777" w:rsidR="004C4145" w:rsidRDefault="004C4145" w:rsidP="00676BB3">
            <w:pPr>
              <w:rPr>
                <w:sz w:val="18"/>
                <w:szCs w:val="18"/>
              </w:rPr>
            </w:pPr>
            <w:r>
              <w:rPr>
                <w:sz w:val="18"/>
                <w:szCs w:val="18"/>
              </w:rPr>
              <w:t>no</w:t>
            </w:r>
          </w:p>
        </w:tc>
        <w:tc>
          <w:tcPr>
            <w:tcW w:w="5103" w:type="dxa"/>
            <w:shd w:val="clear" w:color="auto" w:fill="auto"/>
          </w:tcPr>
          <w:p w14:paraId="12D193F8" w14:textId="77777777" w:rsidR="004C4145" w:rsidRDefault="004C4145" w:rsidP="00676BB3">
            <w:pPr>
              <w:rPr>
                <w:sz w:val="18"/>
                <w:szCs w:val="18"/>
              </w:rPr>
            </w:pPr>
            <w:r w:rsidRPr="0019025E">
              <w:rPr>
                <w:sz w:val="18"/>
                <w:szCs w:val="18"/>
              </w:rPr>
              <w:t>Case control study</w:t>
            </w:r>
          </w:p>
        </w:tc>
      </w:tr>
      <w:tr w:rsidR="00AA5F03" w:rsidRPr="00F37E8F" w14:paraId="56A6D365" w14:textId="77777777" w:rsidTr="00181E6E">
        <w:tc>
          <w:tcPr>
            <w:tcW w:w="1271" w:type="dxa"/>
            <w:shd w:val="clear" w:color="auto" w:fill="auto"/>
          </w:tcPr>
          <w:p w14:paraId="30CF28FE" w14:textId="29EDFA8E" w:rsidR="00AA5F03" w:rsidRDefault="00AA5F03" w:rsidP="00676BB3">
            <w:pPr>
              <w:rPr>
                <w:sz w:val="18"/>
                <w:szCs w:val="18"/>
              </w:rPr>
            </w:pPr>
            <w:r w:rsidRPr="00AA5F03">
              <w:rPr>
                <w:sz w:val="18"/>
                <w:szCs w:val="18"/>
              </w:rPr>
              <w:t xml:space="preserve">Huntjens </w:t>
            </w:r>
            <w:r w:rsidR="000F688C">
              <w:rPr>
                <w:sz w:val="18"/>
                <w:szCs w:val="18"/>
              </w:rPr>
              <w:t>[</w:t>
            </w:r>
            <w:r w:rsidR="008571DB">
              <w:rPr>
                <w:sz w:val="18"/>
                <w:szCs w:val="18"/>
              </w:rPr>
              <w:t>16</w:t>
            </w:r>
            <w:r w:rsidR="000F688C">
              <w:rPr>
                <w:sz w:val="18"/>
                <w:szCs w:val="18"/>
              </w:rPr>
              <w:t>]</w:t>
            </w:r>
          </w:p>
        </w:tc>
        <w:tc>
          <w:tcPr>
            <w:tcW w:w="992" w:type="dxa"/>
            <w:shd w:val="clear" w:color="auto" w:fill="auto"/>
          </w:tcPr>
          <w:p w14:paraId="16645D0F" w14:textId="62908EE5" w:rsidR="00AA5F03" w:rsidRDefault="00CB7F29" w:rsidP="00676BB3">
            <w:pPr>
              <w:rPr>
                <w:sz w:val="18"/>
                <w:szCs w:val="18"/>
              </w:rPr>
            </w:pPr>
            <w:r>
              <w:rPr>
                <w:sz w:val="18"/>
                <w:szCs w:val="18"/>
              </w:rPr>
              <w:t>Netherlands</w:t>
            </w:r>
          </w:p>
        </w:tc>
        <w:tc>
          <w:tcPr>
            <w:tcW w:w="1134" w:type="dxa"/>
            <w:shd w:val="clear" w:color="auto" w:fill="auto"/>
          </w:tcPr>
          <w:p w14:paraId="2352D88D" w14:textId="78C35038" w:rsidR="00AA5F03" w:rsidRDefault="00CB7F29" w:rsidP="00676BB3">
            <w:pPr>
              <w:rPr>
                <w:sz w:val="18"/>
                <w:szCs w:val="18"/>
              </w:rPr>
            </w:pPr>
            <w:r>
              <w:rPr>
                <w:sz w:val="18"/>
                <w:szCs w:val="18"/>
              </w:rPr>
              <w:t>1921</w:t>
            </w:r>
          </w:p>
        </w:tc>
        <w:tc>
          <w:tcPr>
            <w:tcW w:w="851" w:type="dxa"/>
            <w:shd w:val="clear" w:color="auto" w:fill="auto"/>
          </w:tcPr>
          <w:p w14:paraId="3C4A535E" w14:textId="1C0023CE" w:rsidR="00AA5F03" w:rsidRPr="009A5C71" w:rsidRDefault="00BD581A" w:rsidP="00676BB3">
            <w:pPr>
              <w:rPr>
                <w:sz w:val="18"/>
                <w:szCs w:val="18"/>
                <w:u w:val="single"/>
              </w:rPr>
            </w:pPr>
            <w:r w:rsidRPr="009A5C71">
              <w:rPr>
                <w:sz w:val="18"/>
                <w:szCs w:val="18"/>
                <w:u w:val="single"/>
              </w:rPr>
              <w:t>&gt;</w:t>
            </w:r>
            <w:r>
              <w:rPr>
                <w:sz w:val="18"/>
                <w:szCs w:val="18"/>
              </w:rPr>
              <w:t>50</w:t>
            </w:r>
          </w:p>
        </w:tc>
        <w:tc>
          <w:tcPr>
            <w:tcW w:w="850" w:type="dxa"/>
            <w:shd w:val="clear" w:color="auto" w:fill="auto"/>
          </w:tcPr>
          <w:p w14:paraId="0A6D1531" w14:textId="3D71D2F8" w:rsidR="00AA5F03" w:rsidRDefault="00BD581A" w:rsidP="00676BB3">
            <w:pPr>
              <w:rPr>
                <w:sz w:val="18"/>
                <w:szCs w:val="18"/>
              </w:rPr>
            </w:pPr>
            <w:r>
              <w:rPr>
                <w:sz w:val="18"/>
                <w:szCs w:val="18"/>
              </w:rPr>
              <w:t>1,</w:t>
            </w:r>
            <w:r w:rsidR="00F65B3B">
              <w:rPr>
                <w:sz w:val="18"/>
                <w:szCs w:val="18"/>
              </w:rPr>
              <w:t xml:space="preserve"> </w:t>
            </w:r>
            <w:r>
              <w:rPr>
                <w:sz w:val="18"/>
                <w:szCs w:val="18"/>
              </w:rPr>
              <w:t>2</w:t>
            </w:r>
            <w:r w:rsidR="00F65B3B">
              <w:rPr>
                <w:sz w:val="18"/>
                <w:szCs w:val="18"/>
              </w:rPr>
              <w:t>, 5</w:t>
            </w:r>
          </w:p>
        </w:tc>
        <w:tc>
          <w:tcPr>
            <w:tcW w:w="1276" w:type="dxa"/>
            <w:shd w:val="clear" w:color="auto" w:fill="auto"/>
          </w:tcPr>
          <w:p w14:paraId="15D2BCB0" w14:textId="2DA7497F" w:rsidR="00AA5F03" w:rsidRPr="00FD5F28" w:rsidRDefault="00F65B3B" w:rsidP="00676BB3">
            <w:pPr>
              <w:rPr>
                <w:sz w:val="18"/>
                <w:szCs w:val="18"/>
              </w:rPr>
            </w:pPr>
            <w:r>
              <w:rPr>
                <w:sz w:val="18"/>
                <w:szCs w:val="18"/>
              </w:rPr>
              <w:t>Non</w:t>
            </w:r>
            <w:r w:rsidR="008B1298">
              <w:rPr>
                <w:sz w:val="18"/>
                <w:szCs w:val="18"/>
              </w:rPr>
              <w:t xml:space="preserve">-vertebral </w:t>
            </w:r>
          </w:p>
        </w:tc>
        <w:tc>
          <w:tcPr>
            <w:tcW w:w="1565" w:type="dxa"/>
            <w:shd w:val="clear" w:color="auto" w:fill="auto"/>
          </w:tcPr>
          <w:p w14:paraId="509D7524" w14:textId="74165A71" w:rsidR="00AA5F03" w:rsidRPr="00FD5F28" w:rsidRDefault="00DC4737" w:rsidP="00676BB3">
            <w:pPr>
              <w:rPr>
                <w:sz w:val="18"/>
                <w:szCs w:val="18"/>
              </w:rPr>
            </w:pPr>
            <w:r>
              <w:rPr>
                <w:sz w:val="18"/>
                <w:szCs w:val="18"/>
              </w:rPr>
              <w:t>10.0</w:t>
            </w:r>
          </w:p>
        </w:tc>
        <w:tc>
          <w:tcPr>
            <w:tcW w:w="987" w:type="dxa"/>
            <w:shd w:val="clear" w:color="auto" w:fill="auto"/>
          </w:tcPr>
          <w:p w14:paraId="43A3D1AD" w14:textId="096373F8" w:rsidR="00AA5F03" w:rsidRDefault="00282C14" w:rsidP="00676BB3">
            <w:pPr>
              <w:rPr>
                <w:sz w:val="18"/>
                <w:szCs w:val="18"/>
              </w:rPr>
            </w:pPr>
            <w:r>
              <w:rPr>
                <w:sz w:val="18"/>
                <w:szCs w:val="18"/>
              </w:rPr>
              <w:t>na</w:t>
            </w:r>
          </w:p>
        </w:tc>
        <w:tc>
          <w:tcPr>
            <w:tcW w:w="992" w:type="dxa"/>
            <w:shd w:val="clear" w:color="auto" w:fill="auto"/>
          </w:tcPr>
          <w:p w14:paraId="7EAFAD64" w14:textId="79BCD5B6" w:rsidR="00AA5F03" w:rsidRDefault="00282C14" w:rsidP="00676BB3">
            <w:pPr>
              <w:rPr>
                <w:sz w:val="18"/>
                <w:szCs w:val="18"/>
              </w:rPr>
            </w:pPr>
            <w:r>
              <w:rPr>
                <w:sz w:val="18"/>
                <w:szCs w:val="18"/>
              </w:rPr>
              <w:t>no</w:t>
            </w:r>
          </w:p>
        </w:tc>
        <w:tc>
          <w:tcPr>
            <w:tcW w:w="5103" w:type="dxa"/>
            <w:shd w:val="clear" w:color="auto" w:fill="auto"/>
          </w:tcPr>
          <w:p w14:paraId="349BC379" w14:textId="217A1EF6" w:rsidR="00AA5F03" w:rsidRPr="0019025E" w:rsidRDefault="00E4241D" w:rsidP="00676BB3">
            <w:pPr>
              <w:rPr>
                <w:sz w:val="18"/>
                <w:szCs w:val="18"/>
              </w:rPr>
            </w:pPr>
            <w:r>
              <w:rPr>
                <w:sz w:val="18"/>
                <w:szCs w:val="18"/>
              </w:rPr>
              <w:t>R</w:t>
            </w:r>
            <w:r w:rsidR="003D0C51" w:rsidRPr="003D0C51">
              <w:rPr>
                <w:sz w:val="18"/>
                <w:szCs w:val="18"/>
              </w:rPr>
              <w:t>etrospective hospital database</w:t>
            </w:r>
            <w:r w:rsidR="007D1A59">
              <w:rPr>
                <w:sz w:val="18"/>
                <w:szCs w:val="18"/>
              </w:rPr>
              <w:t xml:space="preserve">. </w:t>
            </w:r>
            <w:r w:rsidR="007D1A59" w:rsidRPr="007D1A59">
              <w:rPr>
                <w:sz w:val="18"/>
                <w:szCs w:val="18"/>
              </w:rPr>
              <w:t xml:space="preserve">1,2, </w:t>
            </w:r>
            <w:r w:rsidR="009B727D">
              <w:rPr>
                <w:sz w:val="18"/>
                <w:szCs w:val="18"/>
              </w:rPr>
              <w:t>5</w:t>
            </w:r>
            <w:r w:rsidR="007D1A59" w:rsidRPr="007D1A59">
              <w:rPr>
                <w:sz w:val="18"/>
                <w:szCs w:val="18"/>
              </w:rPr>
              <w:t xml:space="preserve"> yr incidence </w:t>
            </w:r>
            <w:r w:rsidR="000852B7">
              <w:rPr>
                <w:sz w:val="18"/>
                <w:szCs w:val="18"/>
              </w:rPr>
              <w:t>6.4</w:t>
            </w:r>
            <w:r w:rsidR="007D1A59" w:rsidRPr="007D1A59">
              <w:rPr>
                <w:sz w:val="18"/>
                <w:szCs w:val="18"/>
              </w:rPr>
              <w:t xml:space="preserve">, </w:t>
            </w:r>
            <w:r w:rsidR="00FF5DD7">
              <w:rPr>
                <w:sz w:val="18"/>
                <w:szCs w:val="18"/>
              </w:rPr>
              <w:t>10</w:t>
            </w:r>
            <w:r w:rsidR="00DC4737">
              <w:rPr>
                <w:sz w:val="18"/>
                <w:szCs w:val="18"/>
              </w:rPr>
              <w:t xml:space="preserve"> </w:t>
            </w:r>
            <w:r w:rsidR="007D1A59" w:rsidRPr="007D1A59">
              <w:rPr>
                <w:sz w:val="18"/>
                <w:szCs w:val="18"/>
              </w:rPr>
              <w:t xml:space="preserve">and </w:t>
            </w:r>
            <w:r w:rsidR="00DC4737">
              <w:rPr>
                <w:sz w:val="18"/>
                <w:szCs w:val="18"/>
              </w:rPr>
              <w:t>17.6</w:t>
            </w:r>
            <w:r w:rsidR="007D1A59" w:rsidRPr="007D1A59">
              <w:rPr>
                <w:sz w:val="18"/>
                <w:szCs w:val="18"/>
              </w:rPr>
              <w:t>% respectively; evidence for imminent risk</w:t>
            </w:r>
          </w:p>
        </w:tc>
      </w:tr>
      <w:tr w:rsidR="00230105" w:rsidRPr="00F37E8F" w14:paraId="173A1092" w14:textId="77777777" w:rsidTr="00181E6E">
        <w:tc>
          <w:tcPr>
            <w:tcW w:w="1271" w:type="dxa"/>
            <w:shd w:val="clear" w:color="auto" w:fill="auto"/>
          </w:tcPr>
          <w:p w14:paraId="1DBB9404" w14:textId="261D2497" w:rsidR="00230105" w:rsidRDefault="006E127C" w:rsidP="00676BB3">
            <w:pPr>
              <w:rPr>
                <w:sz w:val="18"/>
                <w:szCs w:val="18"/>
              </w:rPr>
            </w:pPr>
            <w:r>
              <w:rPr>
                <w:sz w:val="18"/>
                <w:szCs w:val="18"/>
              </w:rPr>
              <w:t>Iconaru 2021</w:t>
            </w:r>
            <w:r w:rsidR="00F11443">
              <w:rPr>
                <w:sz w:val="18"/>
                <w:szCs w:val="18"/>
              </w:rPr>
              <w:t xml:space="preserve"> [1</w:t>
            </w:r>
            <w:r w:rsidR="008571DB">
              <w:rPr>
                <w:sz w:val="18"/>
                <w:szCs w:val="18"/>
              </w:rPr>
              <w:t>7</w:t>
            </w:r>
            <w:r w:rsidR="00F11443">
              <w:rPr>
                <w:sz w:val="18"/>
                <w:szCs w:val="18"/>
              </w:rPr>
              <w:t>]</w:t>
            </w:r>
          </w:p>
        </w:tc>
        <w:tc>
          <w:tcPr>
            <w:tcW w:w="992" w:type="dxa"/>
            <w:shd w:val="clear" w:color="auto" w:fill="auto"/>
          </w:tcPr>
          <w:p w14:paraId="402A26A9" w14:textId="461A1441" w:rsidR="00230105" w:rsidRDefault="006E127C" w:rsidP="00676BB3">
            <w:pPr>
              <w:rPr>
                <w:sz w:val="18"/>
                <w:szCs w:val="18"/>
              </w:rPr>
            </w:pPr>
            <w:r>
              <w:rPr>
                <w:sz w:val="18"/>
                <w:szCs w:val="18"/>
              </w:rPr>
              <w:t>Belgium</w:t>
            </w:r>
          </w:p>
        </w:tc>
        <w:tc>
          <w:tcPr>
            <w:tcW w:w="1134" w:type="dxa"/>
            <w:shd w:val="clear" w:color="auto" w:fill="auto"/>
          </w:tcPr>
          <w:p w14:paraId="2C19E6A1" w14:textId="56DF45F4" w:rsidR="00230105" w:rsidRDefault="00AC1A4A" w:rsidP="00676BB3">
            <w:pPr>
              <w:rPr>
                <w:sz w:val="18"/>
                <w:szCs w:val="18"/>
              </w:rPr>
            </w:pPr>
            <w:r>
              <w:rPr>
                <w:sz w:val="18"/>
                <w:szCs w:val="18"/>
              </w:rPr>
              <w:t xml:space="preserve">3560 </w:t>
            </w:r>
            <w:r w:rsidRPr="00AC1A4A">
              <w:rPr>
                <w:sz w:val="18"/>
                <w:szCs w:val="18"/>
                <w:vertAlign w:val="superscript"/>
              </w:rPr>
              <w:t>b</w:t>
            </w:r>
          </w:p>
        </w:tc>
        <w:tc>
          <w:tcPr>
            <w:tcW w:w="851" w:type="dxa"/>
            <w:shd w:val="clear" w:color="auto" w:fill="auto"/>
          </w:tcPr>
          <w:p w14:paraId="78B18208" w14:textId="7A4196E6" w:rsidR="00230105" w:rsidRPr="00AC1A4A" w:rsidRDefault="00AC1A4A" w:rsidP="00676BB3">
            <w:pPr>
              <w:rPr>
                <w:sz w:val="18"/>
                <w:szCs w:val="18"/>
              </w:rPr>
            </w:pPr>
            <w:r w:rsidRPr="00AC1A4A">
              <w:rPr>
                <w:sz w:val="18"/>
                <w:szCs w:val="18"/>
              </w:rPr>
              <w:t>70.1</w:t>
            </w:r>
          </w:p>
        </w:tc>
        <w:tc>
          <w:tcPr>
            <w:tcW w:w="850" w:type="dxa"/>
            <w:shd w:val="clear" w:color="auto" w:fill="auto"/>
          </w:tcPr>
          <w:p w14:paraId="4CD65B0D" w14:textId="758CB10F" w:rsidR="00230105" w:rsidRDefault="00AC1A4A" w:rsidP="00676BB3">
            <w:pPr>
              <w:rPr>
                <w:sz w:val="18"/>
                <w:szCs w:val="18"/>
              </w:rPr>
            </w:pPr>
            <w:r>
              <w:rPr>
                <w:sz w:val="18"/>
                <w:szCs w:val="18"/>
              </w:rPr>
              <w:t>1</w:t>
            </w:r>
            <w:r w:rsidR="003C1D43">
              <w:rPr>
                <w:sz w:val="18"/>
                <w:szCs w:val="18"/>
              </w:rPr>
              <w:t xml:space="preserve">, 2 </w:t>
            </w:r>
          </w:p>
        </w:tc>
        <w:tc>
          <w:tcPr>
            <w:tcW w:w="1276" w:type="dxa"/>
            <w:shd w:val="clear" w:color="auto" w:fill="auto"/>
          </w:tcPr>
          <w:p w14:paraId="566FDC29" w14:textId="73EA783C" w:rsidR="00230105" w:rsidRPr="00FD5F28" w:rsidRDefault="003C1D43" w:rsidP="00676BB3">
            <w:pPr>
              <w:rPr>
                <w:sz w:val="18"/>
                <w:szCs w:val="18"/>
              </w:rPr>
            </w:pPr>
            <w:r>
              <w:rPr>
                <w:sz w:val="18"/>
                <w:szCs w:val="18"/>
              </w:rPr>
              <w:t>Osteoporotic</w:t>
            </w:r>
          </w:p>
        </w:tc>
        <w:tc>
          <w:tcPr>
            <w:tcW w:w="1565" w:type="dxa"/>
            <w:shd w:val="clear" w:color="auto" w:fill="auto"/>
          </w:tcPr>
          <w:p w14:paraId="1C5DF3F4" w14:textId="19B0A373" w:rsidR="00230105" w:rsidRPr="00FD5F28" w:rsidRDefault="003C1D43" w:rsidP="00676BB3">
            <w:pPr>
              <w:rPr>
                <w:sz w:val="18"/>
                <w:szCs w:val="18"/>
              </w:rPr>
            </w:pPr>
            <w:r>
              <w:rPr>
                <w:sz w:val="18"/>
                <w:szCs w:val="18"/>
              </w:rPr>
              <w:t>19.9</w:t>
            </w:r>
          </w:p>
        </w:tc>
        <w:tc>
          <w:tcPr>
            <w:tcW w:w="987" w:type="dxa"/>
            <w:shd w:val="clear" w:color="auto" w:fill="auto"/>
          </w:tcPr>
          <w:p w14:paraId="5B64900F" w14:textId="74DF46E5" w:rsidR="00230105" w:rsidRDefault="00D51604" w:rsidP="00676BB3">
            <w:pPr>
              <w:rPr>
                <w:sz w:val="18"/>
                <w:szCs w:val="18"/>
              </w:rPr>
            </w:pPr>
            <w:r>
              <w:rPr>
                <w:sz w:val="18"/>
                <w:szCs w:val="18"/>
              </w:rPr>
              <w:t>yes</w:t>
            </w:r>
          </w:p>
        </w:tc>
        <w:tc>
          <w:tcPr>
            <w:tcW w:w="992" w:type="dxa"/>
            <w:shd w:val="clear" w:color="auto" w:fill="auto"/>
          </w:tcPr>
          <w:p w14:paraId="3BF78709" w14:textId="56A747EB" w:rsidR="00230105" w:rsidRDefault="00D51604" w:rsidP="00676BB3">
            <w:pPr>
              <w:rPr>
                <w:sz w:val="18"/>
                <w:szCs w:val="18"/>
              </w:rPr>
            </w:pPr>
            <w:r>
              <w:rPr>
                <w:sz w:val="18"/>
                <w:szCs w:val="18"/>
              </w:rPr>
              <w:t>no</w:t>
            </w:r>
          </w:p>
        </w:tc>
        <w:tc>
          <w:tcPr>
            <w:tcW w:w="5103" w:type="dxa"/>
            <w:shd w:val="clear" w:color="auto" w:fill="auto"/>
          </w:tcPr>
          <w:p w14:paraId="7D33EC50" w14:textId="5C5F9230" w:rsidR="00230105" w:rsidRDefault="00AB19C9" w:rsidP="00C7212B">
            <w:pPr>
              <w:rPr>
                <w:sz w:val="18"/>
                <w:szCs w:val="18"/>
              </w:rPr>
            </w:pPr>
            <w:r>
              <w:rPr>
                <w:sz w:val="18"/>
                <w:szCs w:val="18"/>
              </w:rPr>
              <w:t>P</w:t>
            </w:r>
            <w:r w:rsidRPr="00AB19C9">
              <w:rPr>
                <w:sz w:val="18"/>
                <w:szCs w:val="18"/>
              </w:rPr>
              <w:t>rospective cohort of postmenopausal women</w:t>
            </w:r>
            <w:r w:rsidR="00D15119">
              <w:rPr>
                <w:sz w:val="18"/>
                <w:szCs w:val="18"/>
              </w:rPr>
              <w:t>.</w:t>
            </w:r>
          </w:p>
          <w:p w14:paraId="22043A37" w14:textId="7A13A27F" w:rsidR="00D15119" w:rsidRPr="0019025E" w:rsidRDefault="004A3C0F" w:rsidP="00C7212B">
            <w:pPr>
              <w:rPr>
                <w:sz w:val="18"/>
                <w:szCs w:val="18"/>
              </w:rPr>
            </w:pPr>
            <w:r>
              <w:rPr>
                <w:sz w:val="18"/>
                <w:szCs w:val="18"/>
              </w:rPr>
              <w:t xml:space="preserve">. </w:t>
            </w:r>
          </w:p>
        </w:tc>
      </w:tr>
      <w:tr w:rsidR="00676BB3" w:rsidRPr="00F37E8F" w14:paraId="45F0262D" w14:textId="77777777" w:rsidTr="00181E6E">
        <w:tc>
          <w:tcPr>
            <w:tcW w:w="1271" w:type="dxa"/>
            <w:shd w:val="clear" w:color="auto" w:fill="auto"/>
          </w:tcPr>
          <w:p w14:paraId="0ED9B575" w14:textId="02778F92" w:rsidR="004C4145" w:rsidRDefault="004C4145" w:rsidP="00676BB3">
            <w:pPr>
              <w:rPr>
                <w:sz w:val="18"/>
                <w:szCs w:val="18"/>
              </w:rPr>
            </w:pPr>
            <w:r w:rsidRPr="0047488D">
              <w:rPr>
                <w:sz w:val="18"/>
                <w:szCs w:val="18"/>
              </w:rPr>
              <w:t>Ioannidis</w:t>
            </w:r>
            <w:r>
              <w:rPr>
                <w:sz w:val="18"/>
                <w:szCs w:val="18"/>
              </w:rPr>
              <w:t xml:space="preserve"> 2017</w:t>
            </w:r>
            <w:r w:rsidR="00F11443">
              <w:rPr>
                <w:sz w:val="18"/>
                <w:szCs w:val="18"/>
              </w:rPr>
              <w:t xml:space="preserve"> [1</w:t>
            </w:r>
            <w:r w:rsidR="008571DB">
              <w:rPr>
                <w:sz w:val="18"/>
                <w:szCs w:val="18"/>
              </w:rPr>
              <w:t>8</w:t>
            </w:r>
            <w:r w:rsidR="00F11443">
              <w:rPr>
                <w:sz w:val="18"/>
                <w:szCs w:val="18"/>
              </w:rPr>
              <w:t>]</w:t>
            </w:r>
          </w:p>
        </w:tc>
        <w:tc>
          <w:tcPr>
            <w:tcW w:w="992" w:type="dxa"/>
            <w:shd w:val="clear" w:color="auto" w:fill="auto"/>
          </w:tcPr>
          <w:p w14:paraId="511305F8" w14:textId="77777777" w:rsidR="004C4145" w:rsidRDefault="004C4145" w:rsidP="00676BB3">
            <w:pPr>
              <w:rPr>
                <w:sz w:val="18"/>
                <w:szCs w:val="18"/>
              </w:rPr>
            </w:pPr>
            <w:r>
              <w:rPr>
                <w:sz w:val="18"/>
                <w:szCs w:val="18"/>
              </w:rPr>
              <w:t>Canada</w:t>
            </w:r>
          </w:p>
        </w:tc>
        <w:tc>
          <w:tcPr>
            <w:tcW w:w="1134" w:type="dxa"/>
            <w:shd w:val="clear" w:color="auto" w:fill="auto"/>
          </w:tcPr>
          <w:p w14:paraId="61D8EB56" w14:textId="77777777" w:rsidR="004C4145" w:rsidRDefault="004C4145" w:rsidP="00676BB3">
            <w:pPr>
              <w:rPr>
                <w:sz w:val="18"/>
                <w:szCs w:val="18"/>
              </w:rPr>
            </w:pPr>
            <w:r>
              <w:rPr>
                <w:sz w:val="18"/>
                <w:szCs w:val="18"/>
              </w:rPr>
              <w:t>29,848</w:t>
            </w:r>
          </w:p>
        </w:tc>
        <w:tc>
          <w:tcPr>
            <w:tcW w:w="851" w:type="dxa"/>
            <w:shd w:val="clear" w:color="auto" w:fill="auto"/>
          </w:tcPr>
          <w:p w14:paraId="59C91FD4" w14:textId="77777777" w:rsidR="004C4145" w:rsidRDefault="004C4145" w:rsidP="00676BB3">
            <w:pPr>
              <w:rPr>
                <w:sz w:val="18"/>
                <w:szCs w:val="18"/>
              </w:rPr>
            </w:pPr>
            <w:r w:rsidRPr="009A5C71">
              <w:rPr>
                <w:sz w:val="18"/>
                <w:szCs w:val="18"/>
                <w:u w:val="single"/>
              </w:rPr>
              <w:t>&gt;</w:t>
            </w:r>
            <w:r>
              <w:rPr>
                <w:sz w:val="18"/>
                <w:szCs w:val="18"/>
              </w:rPr>
              <w:t>18</w:t>
            </w:r>
          </w:p>
        </w:tc>
        <w:tc>
          <w:tcPr>
            <w:tcW w:w="850" w:type="dxa"/>
            <w:shd w:val="clear" w:color="auto" w:fill="auto"/>
          </w:tcPr>
          <w:p w14:paraId="13D6DCD6" w14:textId="77777777" w:rsidR="004C4145" w:rsidRDefault="004C4145" w:rsidP="00676BB3">
            <w:pPr>
              <w:rPr>
                <w:sz w:val="18"/>
                <w:szCs w:val="18"/>
              </w:rPr>
            </w:pPr>
            <w:r>
              <w:rPr>
                <w:sz w:val="18"/>
                <w:szCs w:val="18"/>
              </w:rPr>
              <w:t>1</w:t>
            </w:r>
          </w:p>
        </w:tc>
        <w:tc>
          <w:tcPr>
            <w:tcW w:w="1276" w:type="dxa"/>
            <w:shd w:val="clear" w:color="auto" w:fill="auto"/>
          </w:tcPr>
          <w:p w14:paraId="34E2C8E5" w14:textId="77777777" w:rsidR="004C4145" w:rsidRDefault="004C4145" w:rsidP="00676BB3">
            <w:pPr>
              <w:rPr>
                <w:sz w:val="18"/>
                <w:szCs w:val="18"/>
              </w:rPr>
            </w:pPr>
            <w:r>
              <w:rPr>
                <w:sz w:val="18"/>
                <w:szCs w:val="18"/>
              </w:rPr>
              <w:t>Hip</w:t>
            </w:r>
          </w:p>
        </w:tc>
        <w:tc>
          <w:tcPr>
            <w:tcW w:w="1565" w:type="dxa"/>
            <w:shd w:val="clear" w:color="auto" w:fill="auto"/>
          </w:tcPr>
          <w:p w14:paraId="7B41DA25" w14:textId="77777777" w:rsidR="004C4145" w:rsidRDefault="004C4145" w:rsidP="00676BB3">
            <w:pPr>
              <w:rPr>
                <w:sz w:val="18"/>
                <w:szCs w:val="18"/>
              </w:rPr>
            </w:pPr>
            <w:r w:rsidRPr="00A920D8">
              <w:rPr>
                <w:sz w:val="18"/>
                <w:szCs w:val="18"/>
              </w:rPr>
              <w:t>10.4</w:t>
            </w:r>
          </w:p>
        </w:tc>
        <w:tc>
          <w:tcPr>
            <w:tcW w:w="987" w:type="dxa"/>
            <w:shd w:val="clear" w:color="auto" w:fill="auto"/>
          </w:tcPr>
          <w:p w14:paraId="285ABF4B" w14:textId="77777777" w:rsidR="004C4145" w:rsidRPr="008571DB" w:rsidRDefault="004C4145" w:rsidP="00676BB3">
            <w:pPr>
              <w:rPr>
                <w:sz w:val="18"/>
                <w:szCs w:val="18"/>
              </w:rPr>
            </w:pPr>
            <w:r w:rsidRPr="008571DB">
              <w:rPr>
                <w:sz w:val="18"/>
                <w:szCs w:val="18"/>
              </w:rPr>
              <w:t>no</w:t>
            </w:r>
          </w:p>
        </w:tc>
        <w:tc>
          <w:tcPr>
            <w:tcW w:w="992" w:type="dxa"/>
            <w:shd w:val="clear" w:color="auto" w:fill="auto"/>
          </w:tcPr>
          <w:p w14:paraId="3C6971D8" w14:textId="39923406" w:rsidR="004C4145" w:rsidRPr="008571DB" w:rsidRDefault="004C4145" w:rsidP="00676BB3">
            <w:pPr>
              <w:rPr>
                <w:sz w:val="18"/>
                <w:szCs w:val="18"/>
              </w:rPr>
            </w:pPr>
            <w:r w:rsidRPr="008571DB">
              <w:rPr>
                <w:sz w:val="18"/>
                <w:szCs w:val="18"/>
              </w:rPr>
              <w:t>Yes</w:t>
            </w:r>
            <w:r w:rsidRPr="008571DB">
              <w:rPr>
                <w:sz w:val="18"/>
                <w:szCs w:val="18"/>
              </w:rPr>
              <w:br/>
              <w:t>Negm 2018</w:t>
            </w:r>
            <w:r w:rsidR="00CE1B56" w:rsidRPr="008571DB">
              <w:rPr>
                <w:sz w:val="18"/>
                <w:szCs w:val="18"/>
              </w:rPr>
              <w:t xml:space="preserve"> [</w:t>
            </w:r>
            <w:r w:rsidR="008571DB" w:rsidRPr="008571DB">
              <w:rPr>
                <w:sz w:val="18"/>
                <w:szCs w:val="18"/>
              </w:rPr>
              <w:t>19</w:t>
            </w:r>
            <w:r w:rsidR="00CE1B56" w:rsidRPr="008571DB">
              <w:rPr>
                <w:sz w:val="18"/>
                <w:szCs w:val="18"/>
              </w:rPr>
              <w:t>]</w:t>
            </w:r>
          </w:p>
        </w:tc>
        <w:tc>
          <w:tcPr>
            <w:tcW w:w="5103" w:type="dxa"/>
            <w:shd w:val="clear" w:color="auto" w:fill="auto"/>
          </w:tcPr>
          <w:p w14:paraId="34413DE4" w14:textId="77777777" w:rsidR="004C4145" w:rsidRPr="0019025E" w:rsidRDefault="004C4145" w:rsidP="00676BB3">
            <w:pPr>
              <w:rPr>
                <w:sz w:val="18"/>
                <w:szCs w:val="18"/>
              </w:rPr>
            </w:pPr>
            <w:r>
              <w:rPr>
                <w:sz w:val="18"/>
                <w:szCs w:val="18"/>
              </w:rPr>
              <w:t>Long term care residents.  (Extrapolated from 1 year data; mean risk 5.2% at 1 yr; Decision tree analysis identified 8 levels of risk 0.6-12.6%)</w:t>
            </w:r>
          </w:p>
        </w:tc>
      </w:tr>
      <w:tr w:rsidR="0054203E" w:rsidRPr="00F37E8F" w14:paraId="446EBB9F" w14:textId="77777777" w:rsidTr="00181E6E">
        <w:tc>
          <w:tcPr>
            <w:tcW w:w="1271" w:type="dxa"/>
            <w:shd w:val="clear" w:color="auto" w:fill="auto"/>
          </w:tcPr>
          <w:p w14:paraId="06B0EBA4" w14:textId="309A4A05" w:rsidR="0054203E" w:rsidRPr="0047488D" w:rsidRDefault="0054203E" w:rsidP="0054203E">
            <w:pPr>
              <w:rPr>
                <w:sz w:val="18"/>
                <w:szCs w:val="18"/>
              </w:rPr>
            </w:pPr>
            <w:r>
              <w:rPr>
                <w:sz w:val="18"/>
                <w:szCs w:val="18"/>
              </w:rPr>
              <w:t>Jung 2021</w:t>
            </w:r>
            <w:r w:rsidR="00130B33">
              <w:rPr>
                <w:sz w:val="18"/>
                <w:szCs w:val="18"/>
              </w:rPr>
              <w:t xml:space="preserve"> [</w:t>
            </w:r>
            <w:r w:rsidR="00AE3E81">
              <w:rPr>
                <w:sz w:val="18"/>
                <w:szCs w:val="18"/>
              </w:rPr>
              <w:t>20</w:t>
            </w:r>
            <w:r w:rsidR="00130B33">
              <w:rPr>
                <w:sz w:val="18"/>
                <w:szCs w:val="18"/>
              </w:rPr>
              <w:t>]</w:t>
            </w:r>
          </w:p>
        </w:tc>
        <w:tc>
          <w:tcPr>
            <w:tcW w:w="992" w:type="dxa"/>
            <w:shd w:val="clear" w:color="auto" w:fill="auto"/>
          </w:tcPr>
          <w:p w14:paraId="4C4C99C4" w14:textId="55E53104" w:rsidR="0054203E" w:rsidRDefault="0054203E" w:rsidP="0054203E">
            <w:pPr>
              <w:rPr>
                <w:sz w:val="18"/>
                <w:szCs w:val="18"/>
              </w:rPr>
            </w:pPr>
            <w:r>
              <w:rPr>
                <w:sz w:val="18"/>
                <w:szCs w:val="18"/>
              </w:rPr>
              <w:t>Korea</w:t>
            </w:r>
          </w:p>
        </w:tc>
        <w:tc>
          <w:tcPr>
            <w:tcW w:w="1134" w:type="dxa"/>
            <w:shd w:val="clear" w:color="auto" w:fill="auto"/>
          </w:tcPr>
          <w:p w14:paraId="31B3CDF8" w14:textId="2CF64DEF" w:rsidR="0054203E" w:rsidRDefault="0054203E" w:rsidP="0054203E">
            <w:pPr>
              <w:rPr>
                <w:sz w:val="18"/>
                <w:szCs w:val="18"/>
              </w:rPr>
            </w:pPr>
            <w:r>
              <w:rPr>
                <w:sz w:val="18"/>
                <w:szCs w:val="18"/>
              </w:rPr>
              <w:t>4.417</w:t>
            </w:r>
          </w:p>
        </w:tc>
        <w:tc>
          <w:tcPr>
            <w:tcW w:w="851" w:type="dxa"/>
            <w:shd w:val="clear" w:color="auto" w:fill="auto"/>
          </w:tcPr>
          <w:p w14:paraId="59F16DCC" w14:textId="0F31A27E" w:rsidR="0054203E" w:rsidRPr="009A5C71" w:rsidRDefault="0054203E" w:rsidP="0054203E">
            <w:pPr>
              <w:rPr>
                <w:sz w:val="18"/>
                <w:szCs w:val="18"/>
                <w:u w:val="single"/>
              </w:rPr>
            </w:pPr>
            <w:r w:rsidRPr="009A5C71">
              <w:rPr>
                <w:sz w:val="18"/>
                <w:szCs w:val="18"/>
                <w:u w:val="single"/>
              </w:rPr>
              <w:t>&gt;</w:t>
            </w:r>
            <w:r>
              <w:rPr>
                <w:sz w:val="18"/>
                <w:szCs w:val="18"/>
              </w:rPr>
              <w:t>50</w:t>
            </w:r>
          </w:p>
        </w:tc>
        <w:tc>
          <w:tcPr>
            <w:tcW w:w="850" w:type="dxa"/>
            <w:shd w:val="clear" w:color="auto" w:fill="auto"/>
          </w:tcPr>
          <w:p w14:paraId="1E0E089F" w14:textId="08AAC28C" w:rsidR="0054203E" w:rsidRDefault="000404DB" w:rsidP="0054203E">
            <w:pPr>
              <w:rPr>
                <w:sz w:val="18"/>
                <w:szCs w:val="18"/>
              </w:rPr>
            </w:pPr>
            <w:r>
              <w:rPr>
                <w:sz w:val="18"/>
                <w:szCs w:val="18"/>
              </w:rPr>
              <w:t>1, 2, 3, 4</w:t>
            </w:r>
          </w:p>
        </w:tc>
        <w:tc>
          <w:tcPr>
            <w:tcW w:w="1276" w:type="dxa"/>
            <w:shd w:val="clear" w:color="auto" w:fill="auto"/>
          </w:tcPr>
          <w:p w14:paraId="1B6D899D" w14:textId="4B20C6A2" w:rsidR="0054203E" w:rsidRDefault="00D060F0" w:rsidP="0054203E">
            <w:pPr>
              <w:rPr>
                <w:sz w:val="18"/>
                <w:szCs w:val="18"/>
              </w:rPr>
            </w:pPr>
            <w:r>
              <w:rPr>
                <w:sz w:val="18"/>
                <w:szCs w:val="18"/>
              </w:rPr>
              <w:t>MOF</w:t>
            </w:r>
          </w:p>
        </w:tc>
        <w:tc>
          <w:tcPr>
            <w:tcW w:w="1565" w:type="dxa"/>
            <w:shd w:val="clear" w:color="auto" w:fill="auto"/>
          </w:tcPr>
          <w:p w14:paraId="54451B4F" w14:textId="28D217D4" w:rsidR="0054203E" w:rsidRPr="00A920D8" w:rsidRDefault="00D060F0" w:rsidP="0054203E">
            <w:pPr>
              <w:rPr>
                <w:sz w:val="18"/>
                <w:szCs w:val="18"/>
              </w:rPr>
            </w:pPr>
            <w:r>
              <w:rPr>
                <w:sz w:val="18"/>
                <w:szCs w:val="18"/>
              </w:rPr>
              <w:t>8.4</w:t>
            </w:r>
          </w:p>
        </w:tc>
        <w:tc>
          <w:tcPr>
            <w:tcW w:w="987" w:type="dxa"/>
            <w:shd w:val="clear" w:color="auto" w:fill="auto"/>
          </w:tcPr>
          <w:p w14:paraId="7A358647" w14:textId="63B3B881" w:rsidR="0054203E" w:rsidRDefault="00C61F9B" w:rsidP="0054203E">
            <w:pPr>
              <w:rPr>
                <w:sz w:val="18"/>
                <w:szCs w:val="18"/>
              </w:rPr>
            </w:pPr>
            <w:r>
              <w:rPr>
                <w:sz w:val="18"/>
                <w:szCs w:val="18"/>
              </w:rPr>
              <w:t>na</w:t>
            </w:r>
          </w:p>
        </w:tc>
        <w:tc>
          <w:tcPr>
            <w:tcW w:w="992" w:type="dxa"/>
            <w:shd w:val="clear" w:color="auto" w:fill="auto"/>
          </w:tcPr>
          <w:p w14:paraId="726D572A" w14:textId="77777777" w:rsidR="0054203E" w:rsidRDefault="0054203E" w:rsidP="0054203E">
            <w:pPr>
              <w:rPr>
                <w:sz w:val="18"/>
                <w:szCs w:val="18"/>
              </w:rPr>
            </w:pPr>
          </w:p>
        </w:tc>
        <w:tc>
          <w:tcPr>
            <w:tcW w:w="5103" w:type="dxa"/>
            <w:shd w:val="clear" w:color="auto" w:fill="auto"/>
          </w:tcPr>
          <w:p w14:paraId="67B5CC62" w14:textId="1D562F1E" w:rsidR="0054203E" w:rsidRDefault="00D42BF6" w:rsidP="0054203E">
            <w:pPr>
              <w:rPr>
                <w:sz w:val="18"/>
                <w:szCs w:val="18"/>
              </w:rPr>
            </w:pPr>
            <w:r>
              <w:rPr>
                <w:sz w:val="18"/>
                <w:szCs w:val="18"/>
              </w:rPr>
              <w:t>Recent distal forearm fracture</w:t>
            </w:r>
            <w:r w:rsidR="008A51E7">
              <w:rPr>
                <w:sz w:val="18"/>
                <w:szCs w:val="18"/>
              </w:rPr>
              <w:t xml:space="preserve">. </w:t>
            </w:r>
            <w:r w:rsidR="008A51E7" w:rsidRPr="008A51E7">
              <w:rPr>
                <w:sz w:val="18"/>
                <w:szCs w:val="18"/>
              </w:rPr>
              <w:t>(1,2,</w:t>
            </w:r>
            <w:r w:rsidR="00FC5835">
              <w:rPr>
                <w:sz w:val="18"/>
                <w:szCs w:val="18"/>
              </w:rPr>
              <w:t xml:space="preserve"> 3, 4</w:t>
            </w:r>
            <w:r w:rsidR="008A51E7" w:rsidRPr="008A51E7">
              <w:rPr>
                <w:sz w:val="18"/>
                <w:szCs w:val="18"/>
              </w:rPr>
              <w:t xml:space="preserve"> yr incidence </w:t>
            </w:r>
            <w:r w:rsidR="00FC5835">
              <w:rPr>
                <w:sz w:val="18"/>
                <w:szCs w:val="18"/>
              </w:rPr>
              <w:t>4.0</w:t>
            </w:r>
            <w:r w:rsidR="0090447D">
              <w:rPr>
                <w:sz w:val="18"/>
                <w:szCs w:val="18"/>
              </w:rPr>
              <w:t>, 8.4, 11.6 and 14.7</w:t>
            </w:r>
            <w:r w:rsidR="008A51E7" w:rsidRPr="008A51E7">
              <w:rPr>
                <w:sz w:val="18"/>
                <w:szCs w:val="18"/>
              </w:rPr>
              <w:t>% respectively; evidence for imminent risk)</w:t>
            </w:r>
          </w:p>
        </w:tc>
      </w:tr>
      <w:tr w:rsidR="0054203E" w:rsidRPr="00F37E8F" w14:paraId="757A9A0D" w14:textId="77777777" w:rsidTr="00181E6E">
        <w:tc>
          <w:tcPr>
            <w:tcW w:w="1271" w:type="dxa"/>
            <w:shd w:val="clear" w:color="auto" w:fill="auto"/>
          </w:tcPr>
          <w:p w14:paraId="28F557BA" w14:textId="18DE4310" w:rsidR="0054203E" w:rsidRPr="0047488D" w:rsidRDefault="0054203E" w:rsidP="0054203E">
            <w:pPr>
              <w:rPr>
                <w:sz w:val="18"/>
                <w:szCs w:val="18"/>
              </w:rPr>
            </w:pPr>
            <w:r>
              <w:rPr>
                <w:sz w:val="18"/>
                <w:szCs w:val="18"/>
              </w:rPr>
              <w:t>Miller 2004</w:t>
            </w:r>
            <w:r w:rsidR="00130B33">
              <w:rPr>
                <w:sz w:val="18"/>
                <w:szCs w:val="18"/>
              </w:rPr>
              <w:t xml:space="preserve"> [</w:t>
            </w:r>
            <w:r w:rsidR="00AE3E81">
              <w:rPr>
                <w:sz w:val="18"/>
                <w:szCs w:val="18"/>
              </w:rPr>
              <w:t>21</w:t>
            </w:r>
            <w:r w:rsidR="00CE5A8E">
              <w:rPr>
                <w:sz w:val="18"/>
                <w:szCs w:val="18"/>
              </w:rPr>
              <w:t>]</w:t>
            </w:r>
          </w:p>
        </w:tc>
        <w:tc>
          <w:tcPr>
            <w:tcW w:w="992" w:type="dxa"/>
            <w:shd w:val="clear" w:color="auto" w:fill="auto"/>
          </w:tcPr>
          <w:p w14:paraId="67334A11" w14:textId="77777777" w:rsidR="0054203E" w:rsidRDefault="0054203E" w:rsidP="0054203E">
            <w:pPr>
              <w:rPr>
                <w:sz w:val="18"/>
                <w:szCs w:val="18"/>
              </w:rPr>
            </w:pPr>
            <w:r>
              <w:rPr>
                <w:sz w:val="18"/>
                <w:szCs w:val="18"/>
              </w:rPr>
              <w:t>US</w:t>
            </w:r>
          </w:p>
        </w:tc>
        <w:tc>
          <w:tcPr>
            <w:tcW w:w="1134" w:type="dxa"/>
            <w:shd w:val="clear" w:color="auto" w:fill="auto"/>
          </w:tcPr>
          <w:p w14:paraId="35AD63AA" w14:textId="77777777" w:rsidR="0054203E" w:rsidRDefault="0054203E" w:rsidP="0054203E">
            <w:pPr>
              <w:rPr>
                <w:sz w:val="18"/>
                <w:szCs w:val="18"/>
              </w:rPr>
            </w:pPr>
            <w:r>
              <w:rPr>
                <w:sz w:val="18"/>
                <w:szCs w:val="18"/>
              </w:rPr>
              <w:t xml:space="preserve">57,421 </w:t>
            </w:r>
            <w:r w:rsidRPr="00681926">
              <w:rPr>
                <w:sz w:val="18"/>
                <w:szCs w:val="18"/>
                <w:vertAlign w:val="superscript"/>
              </w:rPr>
              <w:t>b</w:t>
            </w:r>
            <w:r>
              <w:rPr>
                <w:sz w:val="18"/>
                <w:szCs w:val="18"/>
              </w:rPr>
              <w:t xml:space="preserve"> </w:t>
            </w:r>
          </w:p>
        </w:tc>
        <w:tc>
          <w:tcPr>
            <w:tcW w:w="851" w:type="dxa"/>
            <w:shd w:val="clear" w:color="auto" w:fill="auto"/>
          </w:tcPr>
          <w:p w14:paraId="57D54367" w14:textId="77777777" w:rsidR="0054203E" w:rsidRDefault="0054203E" w:rsidP="0054203E">
            <w:pPr>
              <w:rPr>
                <w:sz w:val="18"/>
                <w:szCs w:val="18"/>
              </w:rPr>
            </w:pPr>
            <w:r w:rsidRPr="0013229B">
              <w:rPr>
                <w:sz w:val="18"/>
                <w:szCs w:val="18"/>
              </w:rPr>
              <w:t>66.8</w:t>
            </w:r>
          </w:p>
        </w:tc>
        <w:tc>
          <w:tcPr>
            <w:tcW w:w="850" w:type="dxa"/>
            <w:shd w:val="clear" w:color="auto" w:fill="auto"/>
          </w:tcPr>
          <w:p w14:paraId="2B87ADAC" w14:textId="77777777" w:rsidR="0054203E" w:rsidRDefault="0054203E" w:rsidP="0054203E">
            <w:pPr>
              <w:rPr>
                <w:sz w:val="18"/>
                <w:szCs w:val="18"/>
              </w:rPr>
            </w:pPr>
            <w:r>
              <w:rPr>
                <w:sz w:val="18"/>
                <w:szCs w:val="18"/>
              </w:rPr>
              <w:t>1</w:t>
            </w:r>
          </w:p>
        </w:tc>
        <w:tc>
          <w:tcPr>
            <w:tcW w:w="1276" w:type="dxa"/>
            <w:shd w:val="clear" w:color="auto" w:fill="auto"/>
          </w:tcPr>
          <w:p w14:paraId="0F1E5E81" w14:textId="77777777" w:rsidR="0054203E" w:rsidRDefault="0054203E" w:rsidP="0054203E">
            <w:pPr>
              <w:rPr>
                <w:sz w:val="18"/>
                <w:szCs w:val="18"/>
              </w:rPr>
            </w:pPr>
            <w:r>
              <w:rPr>
                <w:sz w:val="18"/>
                <w:szCs w:val="18"/>
              </w:rPr>
              <w:t>Osteoporotic</w:t>
            </w:r>
          </w:p>
        </w:tc>
        <w:tc>
          <w:tcPr>
            <w:tcW w:w="1565" w:type="dxa"/>
            <w:shd w:val="clear" w:color="auto" w:fill="auto"/>
          </w:tcPr>
          <w:p w14:paraId="1B1C2520" w14:textId="543CCE11" w:rsidR="0054203E" w:rsidRPr="00DB0A1B" w:rsidRDefault="0054203E" w:rsidP="0054203E">
            <w:pPr>
              <w:rPr>
                <w:sz w:val="18"/>
                <w:szCs w:val="18"/>
              </w:rPr>
            </w:pPr>
            <w:r w:rsidRPr="00DB0A1B">
              <w:rPr>
                <w:sz w:val="18"/>
                <w:szCs w:val="18"/>
              </w:rPr>
              <w:t>Overall 4.0</w:t>
            </w:r>
          </w:p>
          <w:p w14:paraId="21C90130" w14:textId="7AE45C8A" w:rsidR="0054203E" w:rsidRDefault="0054203E" w:rsidP="0054203E">
            <w:pPr>
              <w:rPr>
                <w:sz w:val="18"/>
                <w:szCs w:val="18"/>
              </w:rPr>
            </w:pPr>
            <w:r w:rsidRPr="00DB0A1B">
              <w:rPr>
                <w:sz w:val="18"/>
                <w:szCs w:val="18"/>
              </w:rPr>
              <w:t>Prior fracture 8.2</w:t>
            </w:r>
          </w:p>
        </w:tc>
        <w:tc>
          <w:tcPr>
            <w:tcW w:w="987" w:type="dxa"/>
            <w:shd w:val="clear" w:color="auto" w:fill="auto"/>
          </w:tcPr>
          <w:p w14:paraId="373F49A2" w14:textId="131FC8BD" w:rsidR="0054203E" w:rsidRDefault="0054203E" w:rsidP="0054203E">
            <w:pPr>
              <w:rPr>
                <w:sz w:val="18"/>
                <w:szCs w:val="18"/>
              </w:rPr>
            </w:pPr>
            <w:r>
              <w:rPr>
                <w:sz w:val="18"/>
                <w:szCs w:val="18"/>
              </w:rPr>
              <w:t>partly</w:t>
            </w:r>
          </w:p>
        </w:tc>
        <w:tc>
          <w:tcPr>
            <w:tcW w:w="992" w:type="dxa"/>
            <w:shd w:val="clear" w:color="auto" w:fill="auto"/>
          </w:tcPr>
          <w:p w14:paraId="11F8925D" w14:textId="77777777" w:rsidR="0054203E" w:rsidRDefault="0054203E" w:rsidP="0054203E">
            <w:pPr>
              <w:rPr>
                <w:sz w:val="18"/>
                <w:szCs w:val="18"/>
              </w:rPr>
            </w:pPr>
            <w:r>
              <w:rPr>
                <w:sz w:val="18"/>
                <w:szCs w:val="18"/>
              </w:rPr>
              <w:t>no</w:t>
            </w:r>
          </w:p>
        </w:tc>
        <w:tc>
          <w:tcPr>
            <w:tcW w:w="5103" w:type="dxa"/>
            <w:shd w:val="clear" w:color="auto" w:fill="auto"/>
          </w:tcPr>
          <w:p w14:paraId="0813AA58" w14:textId="77777777" w:rsidR="0054203E" w:rsidRDefault="0054203E" w:rsidP="0054203E">
            <w:pPr>
              <w:rPr>
                <w:sz w:val="18"/>
                <w:szCs w:val="18"/>
              </w:rPr>
            </w:pPr>
            <w:r>
              <w:rPr>
                <w:sz w:val="18"/>
                <w:szCs w:val="18"/>
              </w:rPr>
              <w:t>Postmenopausal women, without osteoporosis diagnosis.  (Extrapolated from 1 year data).</w:t>
            </w:r>
          </w:p>
        </w:tc>
      </w:tr>
      <w:tr w:rsidR="0054203E" w:rsidRPr="00F37E8F" w14:paraId="6A8C9054" w14:textId="77777777" w:rsidTr="00181E6E">
        <w:tc>
          <w:tcPr>
            <w:tcW w:w="1271" w:type="dxa"/>
            <w:shd w:val="clear" w:color="auto" w:fill="auto"/>
          </w:tcPr>
          <w:p w14:paraId="7B74EBBD" w14:textId="0F2FF859" w:rsidR="0054203E" w:rsidRPr="004A3A75" w:rsidRDefault="0054203E" w:rsidP="0054203E">
            <w:pPr>
              <w:rPr>
                <w:sz w:val="18"/>
                <w:szCs w:val="18"/>
              </w:rPr>
            </w:pPr>
            <w:r w:rsidRPr="004A3A75">
              <w:rPr>
                <w:sz w:val="18"/>
                <w:szCs w:val="18"/>
                <w:lang w:val="en-US"/>
              </w:rPr>
              <w:t>Möller 2021</w:t>
            </w:r>
            <w:r w:rsidR="000F7DEF">
              <w:rPr>
                <w:sz w:val="18"/>
                <w:szCs w:val="18"/>
                <w:lang w:val="en-US"/>
              </w:rPr>
              <w:t xml:space="preserve"> [</w:t>
            </w:r>
            <w:r w:rsidR="00AE3E81">
              <w:rPr>
                <w:sz w:val="18"/>
                <w:szCs w:val="18"/>
                <w:lang w:val="en-US"/>
              </w:rPr>
              <w:t>22</w:t>
            </w:r>
            <w:r w:rsidR="000F7DEF">
              <w:rPr>
                <w:sz w:val="18"/>
                <w:szCs w:val="18"/>
                <w:lang w:val="en-US"/>
              </w:rPr>
              <w:t>]</w:t>
            </w:r>
          </w:p>
        </w:tc>
        <w:tc>
          <w:tcPr>
            <w:tcW w:w="992" w:type="dxa"/>
            <w:shd w:val="clear" w:color="auto" w:fill="auto"/>
          </w:tcPr>
          <w:p w14:paraId="4F84BE26" w14:textId="77777777" w:rsidR="0054203E" w:rsidRDefault="0054203E" w:rsidP="0054203E">
            <w:pPr>
              <w:rPr>
                <w:sz w:val="18"/>
                <w:szCs w:val="18"/>
              </w:rPr>
            </w:pPr>
            <w:r>
              <w:rPr>
                <w:sz w:val="18"/>
                <w:szCs w:val="18"/>
              </w:rPr>
              <w:t>Canada</w:t>
            </w:r>
          </w:p>
        </w:tc>
        <w:tc>
          <w:tcPr>
            <w:tcW w:w="1134" w:type="dxa"/>
            <w:shd w:val="clear" w:color="auto" w:fill="auto"/>
          </w:tcPr>
          <w:p w14:paraId="327FA7D3" w14:textId="77777777" w:rsidR="0054203E" w:rsidRPr="00D4151C" w:rsidRDefault="0054203E" w:rsidP="0054203E">
            <w:pPr>
              <w:rPr>
                <w:sz w:val="18"/>
                <w:szCs w:val="18"/>
              </w:rPr>
            </w:pPr>
            <w:r w:rsidRPr="00D4151C">
              <w:rPr>
                <w:color w:val="000000"/>
                <w:sz w:val="18"/>
                <w:szCs w:val="18"/>
                <w:lang w:val="en-US"/>
              </w:rPr>
              <w:t>74,828</w:t>
            </w:r>
          </w:p>
        </w:tc>
        <w:tc>
          <w:tcPr>
            <w:tcW w:w="851" w:type="dxa"/>
            <w:shd w:val="clear" w:color="auto" w:fill="auto"/>
          </w:tcPr>
          <w:p w14:paraId="66561255" w14:textId="77777777" w:rsidR="0054203E" w:rsidRPr="00234A2A" w:rsidRDefault="0054203E" w:rsidP="0054203E">
            <w:pPr>
              <w:rPr>
                <w:sz w:val="18"/>
                <w:szCs w:val="18"/>
                <w:u w:val="single"/>
              </w:rPr>
            </w:pPr>
            <w:r w:rsidRPr="00234A2A">
              <w:rPr>
                <w:sz w:val="18"/>
                <w:szCs w:val="18"/>
                <w:u w:val="single"/>
              </w:rPr>
              <w:t>&gt;</w:t>
            </w:r>
            <w:r>
              <w:rPr>
                <w:sz w:val="18"/>
                <w:szCs w:val="18"/>
              </w:rPr>
              <w:t>45</w:t>
            </w:r>
          </w:p>
        </w:tc>
        <w:tc>
          <w:tcPr>
            <w:tcW w:w="850" w:type="dxa"/>
            <w:shd w:val="clear" w:color="auto" w:fill="auto"/>
          </w:tcPr>
          <w:p w14:paraId="0F0A2810" w14:textId="77777777" w:rsidR="0054203E" w:rsidRDefault="0054203E" w:rsidP="0054203E">
            <w:pPr>
              <w:rPr>
                <w:sz w:val="18"/>
                <w:szCs w:val="18"/>
              </w:rPr>
            </w:pPr>
            <w:r>
              <w:rPr>
                <w:sz w:val="18"/>
                <w:szCs w:val="18"/>
              </w:rPr>
              <w:t>1-2</w:t>
            </w:r>
          </w:p>
        </w:tc>
        <w:tc>
          <w:tcPr>
            <w:tcW w:w="1276" w:type="dxa"/>
            <w:shd w:val="clear" w:color="auto" w:fill="auto"/>
          </w:tcPr>
          <w:p w14:paraId="13AFB7D8" w14:textId="77777777" w:rsidR="0054203E" w:rsidRDefault="0054203E" w:rsidP="0054203E">
            <w:pPr>
              <w:rPr>
                <w:sz w:val="18"/>
                <w:szCs w:val="18"/>
              </w:rPr>
            </w:pPr>
            <w:r>
              <w:rPr>
                <w:sz w:val="18"/>
                <w:szCs w:val="18"/>
              </w:rPr>
              <w:t>Hip</w:t>
            </w:r>
          </w:p>
          <w:p w14:paraId="572C9EA0" w14:textId="77777777" w:rsidR="0054203E" w:rsidRDefault="0054203E" w:rsidP="0054203E">
            <w:pPr>
              <w:rPr>
                <w:sz w:val="18"/>
                <w:szCs w:val="18"/>
              </w:rPr>
            </w:pPr>
            <w:r>
              <w:rPr>
                <w:sz w:val="18"/>
                <w:szCs w:val="18"/>
              </w:rPr>
              <w:t>MOF</w:t>
            </w:r>
          </w:p>
        </w:tc>
        <w:tc>
          <w:tcPr>
            <w:tcW w:w="1565" w:type="dxa"/>
            <w:shd w:val="clear" w:color="auto" w:fill="auto"/>
          </w:tcPr>
          <w:p w14:paraId="65CE5310" w14:textId="2F062B21" w:rsidR="0054203E" w:rsidRDefault="0054203E" w:rsidP="0054203E">
            <w:pPr>
              <w:rPr>
                <w:sz w:val="18"/>
                <w:szCs w:val="18"/>
              </w:rPr>
            </w:pPr>
            <w:r>
              <w:rPr>
                <w:sz w:val="18"/>
                <w:szCs w:val="18"/>
              </w:rPr>
              <w:t>M 0.4, W 0.4</w:t>
            </w:r>
          </w:p>
          <w:p w14:paraId="37557F14" w14:textId="211A52AF" w:rsidR="0054203E" w:rsidRDefault="0054203E" w:rsidP="0054203E">
            <w:pPr>
              <w:rPr>
                <w:sz w:val="18"/>
                <w:szCs w:val="18"/>
              </w:rPr>
            </w:pPr>
            <w:r>
              <w:rPr>
                <w:sz w:val="18"/>
                <w:szCs w:val="18"/>
              </w:rPr>
              <w:t>M 2.4, W 2.1</w:t>
            </w:r>
          </w:p>
        </w:tc>
        <w:tc>
          <w:tcPr>
            <w:tcW w:w="987" w:type="dxa"/>
            <w:shd w:val="clear" w:color="auto" w:fill="auto"/>
          </w:tcPr>
          <w:p w14:paraId="65F8FC2D" w14:textId="77777777" w:rsidR="0054203E" w:rsidRDefault="0054203E" w:rsidP="0054203E">
            <w:pPr>
              <w:rPr>
                <w:sz w:val="18"/>
                <w:szCs w:val="18"/>
              </w:rPr>
            </w:pPr>
            <w:r>
              <w:rPr>
                <w:sz w:val="18"/>
                <w:szCs w:val="18"/>
              </w:rPr>
              <w:t>No</w:t>
            </w:r>
          </w:p>
        </w:tc>
        <w:tc>
          <w:tcPr>
            <w:tcW w:w="992" w:type="dxa"/>
            <w:shd w:val="clear" w:color="auto" w:fill="auto"/>
          </w:tcPr>
          <w:p w14:paraId="1BEF495B" w14:textId="77777777" w:rsidR="0054203E" w:rsidRDefault="0054203E" w:rsidP="0054203E">
            <w:pPr>
              <w:rPr>
                <w:sz w:val="18"/>
                <w:szCs w:val="18"/>
              </w:rPr>
            </w:pPr>
            <w:r>
              <w:rPr>
                <w:sz w:val="18"/>
                <w:szCs w:val="18"/>
              </w:rPr>
              <w:t>-</w:t>
            </w:r>
          </w:p>
        </w:tc>
        <w:tc>
          <w:tcPr>
            <w:tcW w:w="5103" w:type="dxa"/>
            <w:shd w:val="clear" w:color="auto" w:fill="auto"/>
          </w:tcPr>
          <w:p w14:paraId="45DDD6F7" w14:textId="77777777" w:rsidR="0054203E" w:rsidRDefault="0054203E" w:rsidP="0054203E">
            <w:pPr>
              <w:rPr>
                <w:sz w:val="18"/>
                <w:szCs w:val="18"/>
              </w:rPr>
            </w:pPr>
            <w:r>
              <w:rPr>
                <w:sz w:val="18"/>
                <w:szCs w:val="18"/>
              </w:rPr>
              <w:t>Clinical population undergoing BMD. (ICD codes in previous 10 years)</w:t>
            </w:r>
          </w:p>
        </w:tc>
      </w:tr>
      <w:tr w:rsidR="00F171B5" w:rsidRPr="00F37E8F" w14:paraId="67E63DC7" w14:textId="77777777" w:rsidTr="00181E6E">
        <w:tc>
          <w:tcPr>
            <w:tcW w:w="1271" w:type="dxa"/>
            <w:shd w:val="clear" w:color="auto" w:fill="auto"/>
          </w:tcPr>
          <w:p w14:paraId="546C063F" w14:textId="224B2D5D" w:rsidR="00F171B5" w:rsidRPr="004A3A75" w:rsidRDefault="00F171B5" w:rsidP="0054203E">
            <w:pPr>
              <w:rPr>
                <w:sz w:val="18"/>
                <w:szCs w:val="18"/>
                <w:lang w:val="en-US"/>
              </w:rPr>
            </w:pPr>
            <w:r>
              <w:rPr>
                <w:sz w:val="18"/>
                <w:szCs w:val="18"/>
                <w:lang w:val="en-US"/>
              </w:rPr>
              <w:t>Nymark</w:t>
            </w:r>
            <w:r w:rsidR="00773212">
              <w:rPr>
                <w:sz w:val="18"/>
                <w:szCs w:val="18"/>
                <w:lang w:val="en-US"/>
              </w:rPr>
              <w:t xml:space="preserve"> [</w:t>
            </w:r>
            <w:r w:rsidR="00BF6E60">
              <w:rPr>
                <w:sz w:val="18"/>
                <w:szCs w:val="18"/>
                <w:lang w:val="en-US"/>
              </w:rPr>
              <w:t>23</w:t>
            </w:r>
            <w:r w:rsidR="00773212">
              <w:rPr>
                <w:sz w:val="18"/>
                <w:szCs w:val="18"/>
                <w:lang w:val="en-US"/>
              </w:rPr>
              <w:t>]</w:t>
            </w:r>
          </w:p>
        </w:tc>
        <w:tc>
          <w:tcPr>
            <w:tcW w:w="992" w:type="dxa"/>
            <w:shd w:val="clear" w:color="auto" w:fill="auto"/>
          </w:tcPr>
          <w:p w14:paraId="4F3889CF" w14:textId="352DD8E0" w:rsidR="00F171B5" w:rsidRDefault="00773212" w:rsidP="0054203E">
            <w:pPr>
              <w:rPr>
                <w:sz w:val="18"/>
                <w:szCs w:val="18"/>
              </w:rPr>
            </w:pPr>
            <w:r>
              <w:rPr>
                <w:sz w:val="18"/>
                <w:szCs w:val="18"/>
              </w:rPr>
              <w:t>Denmark</w:t>
            </w:r>
          </w:p>
        </w:tc>
        <w:tc>
          <w:tcPr>
            <w:tcW w:w="1134" w:type="dxa"/>
            <w:shd w:val="clear" w:color="auto" w:fill="auto"/>
          </w:tcPr>
          <w:p w14:paraId="470BABC1" w14:textId="37BEC152" w:rsidR="00F171B5" w:rsidRPr="00D4151C" w:rsidRDefault="004E1A90" w:rsidP="0054203E">
            <w:pPr>
              <w:rPr>
                <w:color w:val="000000"/>
                <w:sz w:val="18"/>
                <w:szCs w:val="18"/>
                <w:lang w:val="en-US"/>
              </w:rPr>
            </w:pPr>
            <w:r>
              <w:rPr>
                <w:color w:val="000000"/>
                <w:sz w:val="18"/>
                <w:szCs w:val="18"/>
                <w:lang w:val="en-US"/>
              </w:rPr>
              <w:t>9122</w:t>
            </w:r>
          </w:p>
        </w:tc>
        <w:tc>
          <w:tcPr>
            <w:tcW w:w="851" w:type="dxa"/>
            <w:shd w:val="clear" w:color="auto" w:fill="auto"/>
          </w:tcPr>
          <w:p w14:paraId="25C8F7FC" w14:textId="4DD68758" w:rsidR="00F171B5" w:rsidRPr="00234A2A" w:rsidRDefault="004E1A90" w:rsidP="0054203E">
            <w:pPr>
              <w:rPr>
                <w:sz w:val="18"/>
                <w:szCs w:val="18"/>
                <w:u w:val="single"/>
              </w:rPr>
            </w:pPr>
            <w:r w:rsidRPr="004E1A90">
              <w:rPr>
                <w:sz w:val="18"/>
                <w:szCs w:val="18"/>
                <w:u w:val="single"/>
              </w:rPr>
              <w:t>&gt;50</w:t>
            </w:r>
          </w:p>
        </w:tc>
        <w:tc>
          <w:tcPr>
            <w:tcW w:w="850" w:type="dxa"/>
            <w:shd w:val="clear" w:color="auto" w:fill="auto"/>
          </w:tcPr>
          <w:p w14:paraId="29DE5577" w14:textId="3ACDB26C" w:rsidR="00F171B5" w:rsidRDefault="004E1A90" w:rsidP="0054203E">
            <w:pPr>
              <w:rPr>
                <w:sz w:val="18"/>
                <w:szCs w:val="18"/>
              </w:rPr>
            </w:pPr>
            <w:r>
              <w:rPr>
                <w:sz w:val="18"/>
                <w:szCs w:val="18"/>
              </w:rPr>
              <w:t>1,</w:t>
            </w:r>
            <w:r w:rsidR="00130119">
              <w:rPr>
                <w:sz w:val="18"/>
                <w:szCs w:val="18"/>
              </w:rPr>
              <w:t xml:space="preserve"> 2, 5</w:t>
            </w:r>
          </w:p>
        </w:tc>
        <w:tc>
          <w:tcPr>
            <w:tcW w:w="1276" w:type="dxa"/>
            <w:shd w:val="clear" w:color="auto" w:fill="auto"/>
          </w:tcPr>
          <w:p w14:paraId="518184AE" w14:textId="3CBCD2BB" w:rsidR="00F171B5" w:rsidRDefault="00130119" w:rsidP="0054203E">
            <w:pPr>
              <w:rPr>
                <w:sz w:val="18"/>
                <w:szCs w:val="18"/>
              </w:rPr>
            </w:pPr>
            <w:r>
              <w:rPr>
                <w:sz w:val="18"/>
                <w:szCs w:val="18"/>
              </w:rPr>
              <w:t>Hip</w:t>
            </w:r>
          </w:p>
        </w:tc>
        <w:tc>
          <w:tcPr>
            <w:tcW w:w="1565" w:type="dxa"/>
            <w:shd w:val="clear" w:color="auto" w:fill="auto"/>
          </w:tcPr>
          <w:p w14:paraId="70CBE7DE" w14:textId="288A4223" w:rsidR="00F171B5" w:rsidRDefault="00FE797B" w:rsidP="0054203E">
            <w:pPr>
              <w:rPr>
                <w:sz w:val="18"/>
                <w:szCs w:val="18"/>
              </w:rPr>
            </w:pPr>
            <w:r>
              <w:rPr>
                <w:sz w:val="18"/>
                <w:szCs w:val="18"/>
              </w:rPr>
              <w:t xml:space="preserve">M 0.63, W </w:t>
            </w:r>
            <w:r w:rsidR="00C852E0">
              <w:rPr>
                <w:sz w:val="18"/>
                <w:szCs w:val="18"/>
              </w:rPr>
              <w:t>0.55</w:t>
            </w:r>
          </w:p>
        </w:tc>
        <w:tc>
          <w:tcPr>
            <w:tcW w:w="987" w:type="dxa"/>
            <w:shd w:val="clear" w:color="auto" w:fill="auto"/>
          </w:tcPr>
          <w:p w14:paraId="598B15A0" w14:textId="41DDCDAD" w:rsidR="00F171B5" w:rsidRDefault="00C852E0" w:rsidP="0054203E">
            <w:pPr>
              <w:rPr>
                <w:sz w:val="18"/>
                <w:szCs w:val="18"/>
              </w:rPr>
            </w:pPr>
            <w:r>
              <w:rPr>
                <w:sz w:val="18"/>
                <w:szCs w:val="18"/>
              </w:rPr>
              <w:t>na</w:t>
            </w:r>
          </w:p>
        </w:tc>
        <w:tc>
          <w:tcPr>
            <w:tcW w:w="992" w:type="dxa"/>
            <w:shd w:val="clear" w:color="auto" w:fill="auto"/>
          </w:tcPr>
          <w:p w14:paraId="47C97D35" w14:textId="119A1E1C" w:rsidR="00F171B5" w:rsidRDefault="00E26EEB" w:rsidP="0054203E">
            <w:pPr>
              <w:rPr>
                <w:sz w:val="18"/>
                <w:szCs w:val="18"/>
              </w:rPr>
            </w:pPr>
            <w:r>
              <w:rPr>
                <w:sz w:val="18"/>
                <w:szCs w:val="18"/>
              </w:rPr>
              <w:t>no</w:t>
            </w:r>
          </w:p>
        </w:tc>
        <w:tc>
          <w:tcPr>
            <w:tcW w:w="5103" w:type="dxa"/>
            <w:shd w:val="clear" w:color="auto" w:fill="auto"/>
          </w:tcPr>
          <w:p w14:paraId="17D52B2E" w14:textId="7321086E" w:rsidR="00F171B5" w:rsidRDefault="00E26EEB" w:rsidP="0054203E">
            <w:pPr>
              <w:rPr>
                <w:sz w:val="18"/>
                <w:szCs w:val="18"/>
              </w:rPr>
            </w:pPr>
            <w:r w:rsidRPr="00E26EEB">
              <w:rPr>
                <w:sz w:val="18"/>
                <w:szCs w:val="18"/>
              </w:rPr>
              <w:t xml:space="preserve">Retrospective </w:t>
            </w:r>
            <w:r w:rsidR="00F02CC3">
              <w:rPr>
                <w:sz w:val="18"/>
                <w:szCs w:val="18"/>
              </w:rPr>
              <w:t>register</w:t>
            </w:r>
            <w:r w:rsidRPr="00E26EEB">
              <w:rPr>
                <w:sz w:val="18"/>
                <w:szCs w:val="18"/>
              </w:rPr>
              <w:t xml:space="preserve"> database. 1,2, 5 yr incidence </w:t>
            </w:r>
            <w:r w:rsidR="001609A9">
              <w:rPr>
                <w:sz w:val="18"/>
                <w:szCs w:val="18"/>
              </w:rPr>
              <w:t>0.49</w:t>
            </w:r>
            <w:r w:rsidRPr="00E26EEB">
              <w:rPr>
                <w:sz w:val="18"/>
                <w:szCs w:val="18"/>
              </w:rPr>
              <w:t xml:space="preserve">, </w:t>
            </w:r>
            <w:r w:rsidR="005973C7">
              <w:rPr>
                <w:sz w:val="18"/>
                <w:szCs w:val="18"/>
              </w:rPr>
              <w:t>.63</w:t>
            </w:r>
            <w:r w:rsidRPr="00E26EEB">
              <w:rPr>
                <w:sz w:val="18"/>
                <w:szCs w:val="18"/>
              </w:rPr>
              <w:t xml:space="preserve"> and </w:t>
            </w:r>
            <w:r w:rsidR="005973C7">
              <w:rPr>
                <w:sz w:val="18"/>
                <w:szCs w:val="18"/>
              </w:rPr>
              <w:t>0.86</w:t>
            </w:r>
            <w:r w:rsidRPr="00E26EEB">
              <w:rPr>
                <w:sz w:val="18"/>
                <w:szCs w:val="18"/>
              </w:rPr>
              <w:t>%</w:t>
            </w:r>
            <w:r w:rsidR="009E31DE">
              <w:rPr>
                <w:sz w:val="18"/>
                <w:szCs w:val="18"/>
              </w:rPr>
              <w:t>in men</w:t>
            </w:r>
            <w:r w:rsidR="00F64A0A">
              <w:rPr>
                <w:sz w:val="18"/>
                <w:szCs w:val="18"/>
              </w:rPr>
              <w:t xml:space="preserve"> and 39, 0.55, and 0.</w:t>
            </w:r>
            <w:r w:rsidR="00F13C5E">
              <w:rPr>
                <w:sz w:val="18"/>
                <w:szCs w:val="18"/>
              </w:rPr>
              <w:t>85 in wimen,</w:t>
            </w:r>
            <w:r w:rsidRPr="00E26EEB">
              <w:rPr>
                <w:sz w:val="18"/>
                <w:szCs w:val="18"/>
              </w:rPr>
              <w:t xml:space="preserve"> respectively; evidence for imminent risk</w:t>
            </w:r>
          </w:p>
        </w:tc>
      </w:tr>
      <w:tr w:rsidR="0054203E" w:rsidRPr="00F37E8F" w14:paraId="21CE225C" w14:textId="77777777" w:rsidTr="00181E6E">
        <w:tc>
          <w:tcPr>
            <w:tcW w:w="1271" w:type="dxa"/>
            <w:shd w:val="clear" w:color="auto" w:fill="auto"/>
          </w:tcPr>
          <w:p w14:paraId="2D89D51C" w14:textId="6B8841BB" w:rsidR="0054203E" w:rsidRPr="00F37E8F" w:rsidRDefault="0054203E" w:rsidP="0054203E">
            <w:pPr>
              <w:rPr>
                <w:sz w:val="18"/>
                <w:szCs w:val="18"/>
              </w:rPr>
            </w:pPr>
            <w:r>
              <w:rPr>
                <w:sz w:val="18"/>
                <w:szCs w:val="18"/>
              </w:rPr>
              <w:t>Rubin 2018</w:t>
            </w:r>
            <w:r w:rsidR="00065397">
              <w:rPr>
                <w:sz w:val="18"/>
                <w:szCs w:val="18"/>
              </w:rPr>
              <w:t xml:space="preserve"> [2</w:t>
            </w:r>
            <w:r w:rsidR="00BF6E60">
              <w:rPr>
                <w:sz w:val="18"/>
                <w:szCs w:val="18"/>
              </w:rPr>
              <w:t>4</w:t>
            </w:r>
            <w:r w:rsidR="00065397">
              <w:rPr>
                <w:sz w:val="18"/>
                <w:szCs w:val="18"/>
              </w:rPr>
              <w:t>]</w:t>
            </w:r>
          </w:p>
        </w:tc>
        <w:tc>
          <w:tcPr>
            <w:tcW w:w="992" w:type="dxa"/>
            <w:shd w:val="clear" w:color="auto" w:fill="auto"/>
          </w:tcPr>
          <w:p w14:paraId="1BC170E9" w14:textId="77777777" w:rsidR="0054203E" w:rsidRPr="00F37E8F" w:rsidRDefault="0054203E" w:rsidP="0054203E">
            <w:pPr>
              <w:rPr>
                <w:sz w:val="18"/>
                <w:szCs w:val="18"/>
              </w:rPr>
            </w:pPr>
            <w:r>
              <w:rPr>
                <w:sz w:val="18"/>
                <w:szCs w:val="18"/>
              </w:rPr>
              <w:t>Denmark</w:t>
            </w:r>
          </w:p>
        </w:tc>
        <w:tc>
          <w:tcPr>
            <w:tcW w:w="1134" w:type="dxa"/>
            <w:shd w:val="clear" w:color="auto" w:fill="auto"/>
          </w:tcPr>
          <w:p w14:paraId="67155709" w14:textId="77777777" w:rsidR="0054203E" w:rsidRDefault="0054203E" w:rsidP="0054203E">
            <w:pPr>
              <w:rPr>
                <w:sz w:val="18"/>
                <w:szCs w:val="18"/>
              </w:rPr>
            </w:pPr>
            <w:r>
              <w:rPr>
                <w:sz w:val="18"/>
                <w:szCs w:val="18"/>
              </w:rPr>
              <w:t>2,495,339</w:t>
            </w:r>
          </w:p>
        </w:tc>
        <w:tc>
          <w:tcPr>
            <w:tcW w:w="851" w:type="dxa"/>
            <w:shd w:val="clear" w:color="auto" w:fill="auto"/>
          </w:tcPr>
          <w:p w14:paraId="38B8DD8B" w14:textId="77777777" w:rsidR="0054203E" w:rsidRDefault="0054203E" w:rsidP="0054203E">
            <w:pPr>
              <w:rPr>
                <w:sz w:val="18"/>
                <w:szCs w:val="18"/>
              </w:rPr>
            </w:pPr>
            <w:r w:rsidRPr="00234A2A">
              <w:rPr>
                <w:sz w:val="18"/>
                <w:szCs w:val="18"/>
                <w:u w:val="single"/>
              </w:rPr>
              <w:t>&gt;</w:t>
            </w:r>
            <w:r>
              <w:rPr>
                <w:sz w:val="18"/>
                <w:szCs w:val="18"/>
              </w:rPr>
              <w:t>45</w:t>
            </w:r>
          </w:p>
        </w:tc>
        <w:tc>
          <w:tcPr>
            <w:tcW w:w="850" w:type="dxa"/>
            <w:shd w:val="clear" w:color="auto" w:fill="auto"/>
          </w:tcPr>
          <w:p w14:paraId="2717FF34" w14:textId="77777777" w:rsidR="0054203E" w:rsidRDefault="0054203E" w:rsidP="0054203E">
            <w:pPr>
              <w:rPr>
                <w:sz w:val="18"/>
                <w:szCs w:val="18"/>
              </w:rPr>
            </w:pPr>
            <w:r>
              <w:rPr>
                <w:sz w:val="18"/>
                <w:szCs w:val="18"/>
              </w:rPr>
              <w:t>1-2</w:t>
            </w:r>
          </w:p>
        </w:tc>
        <w:tc>
          <w:tcPr>
            <w:tcW w:w="1276" w:type="dxa"/>
            <w:shd w:val="clear" w:color="auto" w:fill="auto"/>
          </w:tcPr>
          <w:p w14:paraId="5EA64255" w14:textId="77777777" w:rsidR="0054203E" w:rsidRPr="00B674AD" w:rsidRDefault="0054203E" w:rsidP="0054203E">
            <w:pPr>
              <w:rPr>
                <w:sz w:val="18"/>
                <w:szCs w:val="18"/>
              </w:rPr>
            </w:pPr>
            <w:r w:rsidRPr="00B674AD">
              <w:rPr>
                <w:sz w:val="18"/>
                <w:szCs w:val="18"/>
              </w:rPr>
              <w:t>Hip</w:t>
            </w:r>
          </w:p>
          <w:p w14:paraId="2B4BABEB" w14:textId="77777777" w:rsidR="0054203E" w:rsidRPr="00B674AD" w:rsidRDefault="0054203E" w:rsidP="0054203E">
            <w:pPr>
              <w:rPr>
                <w:sz w:val="18"/>
                <w:szCs w:val="18"/>
              </w:rPr>
            </w:pPr>
            <w:r w:rsidRPr="00B674AD">
              <w:rPr>
                <w:sz w:val="18"/>
                <w:szCs w:val="18"/>
              </w:rPr>
              <w:t>MOF</w:t>
            </w:r>
          </w:p>
        </w:tc>
        <w:tc>
          <w:tcPr>
            <w:tcW w:w="1565" w:type="dxa"/>
            <w:shd w:val="clear" w:color="auto" w:fill="auto"/>
          </w:tcPr>
          <w:p w14:paraId="110F2593" w14:textId="5CEAF8FC" w:rsidR="0054203E" w:rsidRPr="00B674AD" w:rsidRDefault="0054203E" w:rsidP="0054203E">
            <w:pPr>
              <w:rPr>
                <w:sz w:val="18"/>
                <w:szCs w:val="18"/>
              </w:rPr>
            </w:pPr>
            <w:r w:rsidRPr="00B674AD">
              <w:rPr>
                <w:sz w:val="18"/>
                <w:szCs w:val="18"/>
              </w:rPr>
              <w:t>M 0.4, W 1.0</w:t>
            </w:r>
          </w:p>
          <w:p w14:paraId="0D212BA8" w14:textId="75DD0313" w:rsidR="0054203E" w:rsidRPr="00B674AD" w:rsidRDefault="0054203E" w:rsidP="0054203E">
            <w:pPr>
              <w:rPr>
                <w:sz w:val="18"/>
                <w:szCs w:val="18"/>
              </w:rPr>
            </w:pPr>
            <w:r w:rsidRPr="00B674AD">
              <w:rPr>
                <w:sz w:val="18"/>
                <w:szCs w:val="18"/>
              </w:rPr>
              <w:t>M 1.2, W 2.8</w:t>
            </w:r>
          </w:p>
        </w:tc>
        <w:tc>
          <w:tcPr>
            <w:tcW w:w="987" w:type="dxa"/>
            <w:shd w:val="clear" w:color="auto" w:fill="auto"/>
          </w:tcPr>
          <w:p w14:paraId="4C9488CC" w14:textId="77777777" w:rsidR="0054203E" w:rsidRDefault="0054203E" w:rsidP="0054203E">
            <w:pPr>
              <w:rPr>
                <w:sz w:val="18"/>
                <w:szCs w:val="18"/>
              </w:rPr>
            </w:pPr>
            <w:r>
              <w:rPr>
                <w:sz w:val="18"/>
                <w:szCs w:val="18"/>
              </w:rPr>
              <w:t>No</w:t>
            </w:r>
          </w:p>
        </w:tc>
        <w:tc>
          <w:tcPr>
            <w:tcW w:w="992" w:type="dxa"/>
            <w:shd w:val="clear" w:color="auto" w:fill="auto"/>
          </w:tcPr>
          <w:p w14:paraId="7950DFDC" w14:textId="7F441B7D" w:rsidR="0054203E" w:rsidRDefault="003868D2" w:rsidP="0054203E">
            <w:pPr>
              <w:rPr>
                <w:sz w:val="18"/>
                <w:szCs w:val="18"/>
              </w:rPr>
            </w:pPr>
            <w:r>
              <w:rPr>
                <w:sz w:val="18"/>
                <w:szCs w:val="18"/>
              </w:rPr>
              <w:t>Yes</w:t>
            </w:r>
            <w:r w:rsidR="0054203E">
              <w:rPr>
                <w:sz w:val="18"/>
                <w:szCs w:val="18"/>
              </w:rPr>
              <w:t xml:space="preserve"> (</w:t>
            </w:r>
            <w:r w:rsidR="0054203E" w:rsidRPr="004A3A75">
              <w:rPr>
                <w:sz w:val="18"/>
                <w:szCs w:val="18"/>
                <w:lang w:val="en-US"/>
              </w:rPr>
              <w:t xml:space="preserve">Möller </w:t>
            </w:r>
            <w:r w:rsidR="0054203E">
              <w:rPr>
                <w:sz w:val="18"/>
                <w:szCs w:val="18"/>
              </w:rPr>
              <w:t>2021)</w:t>
            </w:r>
            <w:r w:rsidR="00065397">
              <w:rPr>
                <w:sz w:val="18"/>
                <w:szCs w:val="18"/>
              </w:rPr>
              <w:t xml:space="preserve"> [</w:t>
            </w:r>
            <w:r w:rsidR="00BF6E60">
              <w:rPr>
                <w:sz w:val="18"/>
                <w:szCs w:val="18"/>
              </w:rPr>
              <w:t>22</w:t>
            </w:r>
            <w:r w:rsidR="00065397">
              <w:rPr>
                <w:sz w:val="18"/>
                <w:szCs w:val="18"/>
              </w:rPr>
              <w:t>]</w:t>
            </w:r>
          </w:p>
        </w:tc>
        <w:tc>
          <w:tcPr>
            <w:tcW w:w="5103" w:type="dxa"/>
            <w:shd w:val="clear" w:color="auto" w:fill="auto"/>
          </w:tcPr>
          <w:p w14:paraId="2EA8EE63" w14:textId="77777777" w:rsidR="0054203E" w:rsidRPr="00F37E8F" w:rsidRDefault="0054203E" w:rsidP="0054203E">
            <w:pPr>
              <w:rPr>
                <w:sz w:val="18"/>
                <w:szCs w:val="18"/>
              </w:rPr>
            </w:pPr>
            <w:r>
              <w:rPr>
                <w:sz w:val="18"/>
                <w:szCs w:val="18"/>
              </w:rPr>
              <w:t>Population of Denmark.  (ICD codes over a 14 year period prior to 2013.  Extrapolated from 1-yr incidence for 2013)</w:t>
            </w:r>
          </w:p>
        </w:tc>
      </w:tr>
      <w:tr w:rsidR="0054203E" w:rsidRPr="00F37E8F" w14:paraId="1B4E6BA7" w14:textId="77777777" w:rsidTr="00181E6E">
        <w:tc>
          <w:tcPr>
            <w:tcW w:w="1271" w:type="dxa"/>
            <w:shd w:val="clear" w:color="auto" w:fill="auto"/>
          </w:tcPr>
          <w:p w14:paraId="7C08E774" w14:textId="023A98CA" w:rsidR="0054203E" w:rsidRPr="00F37E8F" w:rsidRDefault="0054203E" w:rsidP="0054203E">
            <w:pPr>
              <w:rPr>
                <w:sz w:val="18"/>
                <w:szCs w:val="18"/>
              </w:rPr>
            </w:pPr>
            <w:r>
              <w:rPr>
                <w:sz w:val="18"/>
                <w:szCs w:val="18"/>
              </w:rPr>
              <w:t>Sheer 2020</w:t>
            </w:r>
            <w:r w:rsidR="00065397">
              <w:rPr>
                <w:sz w:val="18"/>
                <w:szCs w:val="18"/>
              </w:rPr>
              <w:t xml:space="preserve"> [2</w:t>
            </w:r>
            <w:r w:rsidR="00BF6E60">
              <w:rPr>
                <w:sz w:val="18"/>
                <w:szCs w:val="18"/>
              </w:rPr>
              <w:t>5</w:t>
            </w:r>
            <w:r w:rsidR="00065397">
              <w:rPr>
                <w:sz w:val="18"/>
                <w:szCs w:val="18"/>
              </w:rPr>
              <w:t>]</w:t>
            </w:r>
          </w:p>
        </w:tc>
        <w:tc>
          <w:tcPr>
            <w:tcW w:w="992" w:type="dxa"/>
            <w:shd w:val="clear" w:color="auto" w:fill="auto"/>
          </w:tcPr>
          <w:p w14:paraId="7CA44AA4" w14:textId="77777777" w:rsidR="0054203E" w:rsidRPr="00F37E8F" w:rsidRDefault="0054203E" w:rsidP="0054203E">
            <w:pPr>
              <w:rPr>
                <w:sz w:val="18"/>
                <w:szCs w:val="18"/>
              </w:rPr>
            </w:pPr>
            <w:r>
              <w:rPr>
                <w:sz w:val="18"/>
                <w:szCs w:val="18"/>
              </w:rPr>
              <w:t>US</w:t>
            </w:r>
          </w:p>
        </w:tc>
        <w:tc>
          <w:tcPr>
            <w:tcW w:w="1134" w:type="dxa"/>
            <w:shd w:val="clear" w:color="auto" w:fill="auto"/>
          </w:tcPr>
          <w:p w14:paraId="45D07F5F" w14:textId="77777777" w:rsidR="0054203E" w:rsidRDefault="0054203E" w:rsidP="0054203E">
            <w:pPr>
              <w:rPr>
                <w:sz w:val="18"/>
                <w:szCs w:val="18"/>
              </w:rPr>
            </w:pPr>
            <w:r>
              <w:rPr>
                <w:sz w:val="18"/>
                <w:szCs w:val="18"/>
              </w:rPr>
              <w:t>1,287,354</w:t>
            </w:r>
          </w:p>
        </w:tc>
        <w:tc>
          <w:tcPr>
            <w:tcW w:w="851" w:type="dxa"/>
            <w:shd w:val="clear" w:color="auto" w:fill="auto"/>
          </w:tcPr>
          <w:p w14:paraId="6AB33AD9" w14:textId="77777777" w:rsidR="0054203E" w:rsidRDefault="0054203E" w:rsidP="0054203E">
            <w:pPr>
              <w:rPr>
                <w:sz w:val="18"/>
                <w:szCs w:val="18"/>
              </w:rPr>
            </w:pPr>
            <w:r>
              <w:rPr>
                <w:sz w:val="18"/>
                <w:szCs w:val="18"/>
              </w:rPr>
              <w:t>67-87</w:t>
            </w:r>
          </w:p>
        </w:tc>
        <w:tc>
          <w:tcPr>
            <w:tcW w:w="850" w:type="dxa"/>
            <w:shd w:val="clear" w:color="auto" w:fill="auto"/>
          </w:tcPr>
          <w:p w14:paraId="78E580C7" w14:textId="77777777" w:rsidR="0054203E" w:rsidRDefault="0054203E" w:rsidP="0054203E">
            <w:pPr>
              <w:rPr>
                <w:sz w:val="18"/>
                <w:szCs w:val="18"/>
              </w:rPr>
            </w:pPr>
            <w:r>
              <w:rPr>
                <w:sz w:val="18"/>
                <w:szCs w:val="18"/>
              </w:rPr>
              <w:t>1, 2</w:t>
            </w:r>
          </w:p>
        </w:tc>
        <w:tc>
          <w:tcPr>
            <w:tcW w:w="1276" w:type="dxa"/>
            <w:shd w:val="clear" w:color="auto" w:fill="auto"/>
          </w:tcPr>
          <w:p w14:paraId="178A4C5B" w14:textId="77777777" w:rsidR="0054203E" w:rsidRDefault="0054203E" w:rsidP="0054203E">
            <w:pPr>
              <w:rPr>
                <w:sz w:val="18"/>
                <w:szCs w:val="18"/>
              </w:rPr>
            </w:pPr>
            <w:r>
              <w:rPr>
                <w:sz w:val="18"/>
                <w:szCs w:val="18"/>
              </w:rPr>
              <w:t>Fragility</w:t>
            </w:r>
          </w:p>
          <w:p w14:paraId="2F9FEE7D" w14:textId="77777777" w:rsidR="0054203E" w:rsidRDefault="0054203E" w:rsidP="0054203E">
            <w:pPr>
              <w:rPr>
                <w:sz w:val="18"/>
                <w:szCs w:val="18"/>
              </w:rPr>
            </w:pPr>
            <w:r>
              <w:rPr>
                <w:sz w:val="18"/>
                <w:szCs w:val="18"/>
              </w:rPr>
              <w:t>Hip</w:t>
            </w:r>
          </w:p>
          <w:p w14:paraId="258D0A6D" w14:textId="77777777" w:rsidR="0054203E" w:rsidRDefault="0054203E" w:rsidP="0054203E">
            <w:pPr>
              <w:rPr>
                <w:sz w:val="18"/>
                <w:szCs w:val="18"/>
              </w:rPr>
            </w:pPr>
            <w:r>
              <w:rPr>
                <w:sz w:val="18"/>
                <w:szCs w:val="18"/>
              </w:rPr>
              <w:t>Spine</w:t>
            </w:r>
          </w:p>
        </w:tc>
        <w:tc>
          <w:tcPr>
            <w:tcW w:w="1565" w:type="dxa"/>
            <w:shd w:val="clear" w:color="auto" w:fill="auto"/>
          </w:tcPr>
          <w:p w14:paraId="2ED5C959" w14:textId="6D3D394B" w:rsidR="0054203E" w:rsidRDefault="0054203E" w:rsidP="0054203E">
            <w:pPr>
              <w:rPr>
                <w:sz w:val="18"/>
                <w:szCs w:val="18"/>
              </w:rPr>
            </w:pPr>
            <w:r>
              <w:rPr>
                <w:sz w:val="18"/>
                <w:szCs w:val="18"/>
              </w:rPr>
              <w:t>M 4.4, W 8.3</w:t>
            </w:r>
          </w:p>
          <w:p w14:paraId="5A9A1553" w14:textId="0AB0DC7F" w:rsidR="0054203E" w:rsidRDefault="0054203E" w:rsidP="0054203E">
            <w:pPr>
              <w:rPr>
                <w:sz w:val="18"/>
                <w:szCs w:val="18"/>
              </w:rPr>
            </w:pPr>
            <w:r>
              <w:rPr>
                <w:sz w:val="18"/>
                <w:szCs w:val="18"/>
              </w:rPr>
              <w:t>M 0.9, W 1.7</w:t>
            </w:r>
          </w:p>
          <w:p w14:paraId="6431019E" w14:textId="47BB97F0" w:rsidR="0054203E" w:rsidRPr="00F37E8F" w:rsidRDefault="0054203E" w:rsidP="0054203E">
            <w:pPr>
              <w:rPr>
                <w:sz w:val="18"/>
                <w:szCs w:val="18"/>
              </w:rPr>
            </w:pPr>
            <w:r>
              <w:rPr>
                <w:sz w:val="18"/>
                <w:szCs w:val="18"/>
              </w:rPr>
              <w:t>M 1.7, W 3.0</w:t>
            </w:r>
          </w:p>
        </w:tc>
        <w:tc>
          <w:tcPr>
            <w:tcW w:w="987" w:type="dxa"/>
            <w:shd w:val="clear" w:color="auto" w:fill="auto"/>
          </w:tcPr>
          <w:p w14:paraId="4717FCE4" w14:textId="7C88CB2C" w:rsidR="0054203E" w:rsidRDefault="0054203E" w:rsidP="0054203E">
            <w:pPr>
              <w:rPr>
                <w:sz w:val="18"/>
                <w:szCs w:val="18"/>
              </w:rPr>
            </w:pPr>
            <w:r>
              <w:rPr>
                <w:sz w:val="18"/>
                <w:szCs w:val="18"/>
              </w:rPr>
              <w:t>Partly</w:t>
            </w:r>
          </w:p>
        </w:tc>
        <w:tc>
          <w:tcPr>
            <w:tcW w:w="992" w:type="dxa"/>
            <w:shd w:val="clear" w:color="auto" w:fill="auto"/>
          </w:tcPr>
          <w:p w14:paraId="7E4D7F48" w14:textId="77777777" w:rsidR="0054203E" w:rsidRDefault="0054203E" w:rsidP="0054203E">
            <w:pPr>
              <w:rPr>
                <w:sz w:val="18"/>
                <w:szCs w:val="18"/>
              </w:rPr>
            </w:pPr>
            <w:r>
              <w:rPr>
                <w:sz w:val="18"/>
                <w:szCs w:val="18"/>
              </w:rPr>
              <w:t>no</w:t>
            </w:r>
          </w:p>
        </w:tc>
        <w:tc>
          <w:tcPr>
            <w:tcW w:w="5103" w:type="dxa"/>
            <w:shd w:val="clear" w:color="auto" w:fill="auto"/>
          </w:tcPr>
          <w:p w14:paraId="7E18DFCB" w14:textId="77777777" w:rsidR="0054203E" w:rsidRPr="00F37E8F" w:rsidRDefault="0054203E" w:rsidP="0054203E">
            <w:pPr>
              <w:rPr>
                <w:sz w:val="18"/>
                <w:szCs w:val="18"/>
              </w:rPr>
            </w:pPr>
            <w:r>
              <w:rPr>
                <w:sz w:val="18"/>
                <w:szCs w:val="18"/>
              </w:rPr>
              <w:t>Medical insurance database.  (Risk factors in 2014 with incident fractures over 2015-16 inclusive.) Age, fracture, female and comorbidities predictive.</w:t>
            </w:r>
          </w:p>
        </w:tc>
      </w:tr>
      <w:tr w:rsidR="00622C02" w:rsidRPr="00F37E8F" w14:paraId="195FFACE" w14:textId="77777777" w:rsidTr="00181E6E">
        <w:tc>
          <w:tcPr>
            <w:tcW w:w="1271" w:type="dxa"/>
            <w:shd w:val="clear" w:color="auto" w:fill="auto"/>
          </w:tcPr>
          <w:p w14:paraId="3E636A57" w14:textId="2389475D" w:rsidR="00622C02" w:rsidRPr="00BF6E60" w:rsidRDefault="009A60BB" w:rsidP="0054203E">
            <w:pPr>
              <w:rPr>
                <w:color w:val="FF0000"/>
                <w:sz w:val="18"/>
                <w:szCs w:val="18"/>
              </w:rPr>
            </w:pPr>
            <w:r w:rsidRPr="00BF6E60">
              <w:rPr>
                <w:sz w:val="18"/>
                <w:szCs w:val="18"/>
              </w:rPr>
              <w:t>Shim [</w:t>
            </w:r>
            <w:r w:rsidR="00BF6E60" w:rsidRPr="00BF6E60">
              <w:rPr>
                <w:sz w:val="18"/>
                <w:szCs w:val="18"/>
              </w:rPr>
              <w:t>26</w:t>
            </w:r>
            <w:r w:rsidRPr="00BF6E60">
              <w:rPr>
                <w:sz w:val="18"/>
                <w:szCs w:val="18"/>
              </w:rPr>
              <w:t>]</w:t>
            </w:r>
          </w:p>
        </w:tc>
        <w:tc>
          <w:tcPr>
            <w:tcW w:w="992" w:type="dxa"/>
            <w:shd w:val="clear" w:color="auto" w:fill="auto"/>
          </w:tcPr>
          <w:p w14:paraId="06F36838" w14:textId="2AAF0442" w:rsidR="00622C02" w:rsidRPr="00BF6E60" w:rsidRDefault="002D009C" w:rsidP="0054203E">
            <w:pPr>
              <w:rPr>
                <w:sz w:val="18"/>
                <w:szCs w:val="18"/>
              </w:rPr>
            </w:pPr>
            <w:r w:rsidRPr="00BF6E60">
              <w:rPr>
                <w:sz w:val="18"/>
                <w:szCs w:val="18"/>
              </w:rPr>
              <w:t>Korea</w:t>
            </w:r>
          </w:p>
        </w:tc>
        <w:tc>
          <w:tcPr>
            <w:tcW w:w="1134" w:type="dxa"/>
            <w:shd w:val="clear" w:color="auto" w:fill="auto"/>
          </w:tcPr>
          <w:p w14:paraId="42F1F34D" w14:textId="0D4F5A1F" w:rsidR="00622C02" w:rsidRPr="00BF6E60" w:rsidRDefault="002D009C" w:rsidP="0054203E">
            <w:pPr>
              <w:rPr>
                <w:sz w:val="18"/>
                <w:szCs w:val="18"/>
              </w:rPr>
            </w:pPr>
            <w:r w:rsidRPr="00BF6E60">
              <w:rPr>
                <w:sz w:val="18"/>
                <w:szCs w:val="18"/>
              </w:rPr>
              <w:t>73717</w:t>
            </w:r>
          </w:p>
        </w:tc>
        <w:tc>
          <w:tcPr>
            <w:tcW w:w="851" w:type="dxa"/>
            <w:shd w:val="clear" w:color="auto" w:fill="auto"/>
          </w:tcPr>
          <w:p w14:paraId="570FAB56" w14:textId="4653B734" w:rsidR="00622C02" w:rsidRPr="00BF6E60" w:rsidRDefault="003A1B1C" w:rsidP="0054203E">
            <w:pPr>
              <w:rPr>
                <w:sz w:val="18"/>
                <w:szCs w:val="18"/>
              </w:rPr>
            </w:pPr>
            <w:r w:rsidRPr="00BF6E60">
              <w:rPr>
                <w:sz w:val="18"/>
                <w:szCs w:val="18"/>
                <w:u w:val="single"/>
              </w:rPr>
              <w:t>&gt;</w:t>
            </w:r>
            <w:r w:rsidRPr="00BF6E60">
              <w:rPr>
                <w:sz w:val="18"/>
                <w:szCs w:val="18"/>
              </w:rPr>
              <w:t>50</w:t>
            </w:r>
          </w:p>
        </w:tc>
        <w:tc>
          <w:tcPr>
            <w:tcW w:w="850" w:type="dxa"/>
            <w:shd w:val="clear" w:color="auto" w:fill="auto"/>
          </w:tcPr>
          <w:p w14:paraId="0F2CDE55" w14:textId="4EB6253F" w:rsidR="00622C02" w:rsidRPr="00BF6E60" w:rsidRDefault="00731E15" w:rsidP="0054203E">
            <w:pPr>
              <w:rPr>
                <w:sz w:val="18"/>
                <w:szCs w:val="18"/>
              </w:rPr>
            </w:pPr>
            <w:r w:rsidRPr="00BF6E60">
              <w:rPr>
                <w:sz w:val="18"/>
                <w:szCs w:val="18"/>
              </w:rPr>
              <w:t>1,2</w:t>
            </w:r>
          </w:p>
        </w:tc>
        <w:tc>
          <w:tcPr>
            <w:tcW w:w="1276" w:type="dxa"/>
            <w:shd w:val="clear" w:color="auto" w:fill="auto"/>
          </w:tcPr>
          <w:p w14:paraId="475A1F6C" w14:textId="58BA733D" w:rsidR="00622C02" w:rsidRPr="00BF6E60" w:rsidRDefault="00731E15" w:rsidP="0054203E">
            <w:pPr>
              <w:rPr>
                <w:sz w:val="18"/>
                <w:szCs w:val="18"/>
              </w:rPr>
            </w:pPr>
            <w:r w:rsidRPr="00BF6E60">
              <w:rPr>
                <w:sz w:val="18"/>
                <w:szCs w:val="18"/>
              </w:rPr>
              <w:t>Osteoporotic</w:t>
            </w:r>
          </w:p>
        </w:tc>
        <w:tc>
          <w:tcPr>
            <w:tcW w:w="1565" w:type="dxa"/>
            <w:shd w:val="clear" w:color="auto" w:fill="auto"/>
          </w:tcPr>
          <w:p w14:paraId="67744314" w14:textId="3C235365" w:rsidR="00622C02" w:rsidRPr="00BF6E60" w:rsidRDefault="00193888" w:rsidP="0054203E">
            <w:pPr>
              <w:rPr>
                <w:sz w:val="18"/>
                <w:szCs w:val="18"/>
              </w:rPr>
            </w:pPr>
            <w:r w:rsidRPr="00BF6E60">
              <w:rPr>
                <w:sz w:val="18"/>
                <w:szCs w:val="18"/>
              </w:rPr>
              <w:t>17.9</w:t>
            </w:r>
          </w:p>
        </w:tc>
        <w:tc>
          <w:tcPr>
            <w:tcW w:w="987" w:type="dxa"/>
            <w:shd w:val="clear" w:color="auto" w:fill="auto"/>
          </w:tcPr>
          <w:p w14:paraId="723E5617" w14:textId="53EDB321" w:rsidR="00622C02" w:rsidRPr="00BF6E60" w:rsidRDefault="00193888" w:rsidP="0054203E">
            <w:pPr>
              <w:rPr>
                <w:sz w:val="18"/>
                <w:szCs w:val="18"/>
              </w:rPr>
            </w:pPr>
            <w:r w:rsidRPr="00BF6E60">
              <w:rPr>
                <w:sz w:val="18"/>
                <w:szCs w:val="18"/>
              </w:rPr>
              <w:t>na</w:t>
            </w:r>
          </w:p>
        </w:tc>
        <w:tc>
          <w:tcPr>
            <w:tcW w:w="992" w:type="dxa"/>
            <w:shd w:val="clear" w:color="auto" w:fill="auto"/>
          </w:tcPr>
          <w:p w14:paraId="5C79ABE9" w14:textId="3287E887" w:rsidR="00622C02" w:rsidRPr="00BF6E60" w:rsidRDefault="00397FEE" w:rsidP="0054203E">
            <w:pPr>
              <w:rPr>
                <w:sz w:val="18"/>
                <w:szCs w:val="18"/>
              </w:rPr>
            </w:pPr>
            <w:r w:rsidRPr="00BF6E60">
              <w:rPr>
                <w:sz w:val="18"/>
                <w:szCs w:val="18"/>
              </w:rPr>
              <w:t>-</w:t>
            </w:r>
          </w:p>
        </w:tc>
        <w:tc>
          <w:tcPr>
            <w:tcW w:w="5103" w:type="dxa"/>
            <w:shd w:val="clear" w:color="auto" w:fill="auto"/>
          </w:tcPr>
          <w:p w14:paraId="42C4F7B7" w14:textId="1926E067" w:rsidR="00622C02" w:rsidRPr="00BF6E60" w:rsidRDefault="008922D3" w:rsidP="008922D3">
            <w:pPr>
              <w:rPr>
                <w:sz w:val="18"/>
                <w:szCs w:val="18"/>
              </w:rPr>
            </w:pPr>
            <w:r w:rsidRPr="00BF6E60">
              <w:rPr>
                <w:sz w:val="18"/>
                <w:szCs w:val="18"/>
              </w:rPr>
              <w:t>South Korean Health Insurance Review and Assessment Service</w:t>
            </w:r>
            <w:r w:rsidR="008F6459" w:rsidRPr="00BF6E60">
              <w:rPr>
                <w:sz w:val="18"/>
                <w:szCs w:val="18"/>
              </w:rPr>
              <w:t xml:space="preserve">. 1 year incidence = </w:t>
            </w:r>
            <w:r w:rsidR="00E258EB" w:rsidRPr="00BF6E60">
              <w:rPr>
                <w:sz w:val="18"/>
                <w:szCs w:val="18"/>
              </w:rPr>
              <w:t>11.6</w:t>
            </w:r>
            <w:r w:rsidR="009175BF" w:rsidRPr="00BF6E60">
              <w:rPr>
                <w:sz w:val="18"/>
                <w:szCs w:val="18"/>
              </w:rPr>
              <w:t>%; evidence</w:t>
            </w:r>
            <w:r w:rsidR="004764DB" w:rsidRPr="00BF6E60">
              <w:rPr>
                <w:sz w:val="18"/>
                <w:szCs w:val="18"/>
              </w:rPr>
              <w:t xml:space="preserve"> for imminent risk</w:t>
            </w:r>
          </w:p>
        </w:tc>
      </w:tr>
      <w:tr w:rsidR="0054203E" w:rsidRPr="00F37E8F" w14:paraId="3765D893" w14:textId="77777777" w:rsidTr="00181E6E">
        <w:tc>
          <w:tcPr>
            <w:tcW w:w="1271" w:type="dxa"/>
            <w:shd w:val="clear" w:color="auto" w:fill="auto"/>
          </w:tcPr>
          <w:p w14:paraId="2A84B7B7" w14:textId="06AE769E" w:rsidR="0054203E" w:rsidRPr="00F37E8F" w:rsidRDefault="0054203E" w:rsidP="0054203E">
            <w:pPr>
              <w:rPr>
                <w:sz w:val="18"/>
                <w:szCs w:val="18"/>
              </w:rPr>
            </w:pPr>
            <w:r w:rsidRPr="00F37E8F">
              <w:rPr>
                <w:sz w:val="18"/>
                <w:szCs w:val="18"/>
              </w:rPr>
              <w:t>Söreskog 20</w:t>
            </w:r>
            <w:r>
              <w:rPr>
                <w:sz w:val="18"/>
                <w:szCs w:val="18"/>
              </w:rPr>
              <w:t>2</w:t>
            </w:r>
            <w:r w:rsidRPr="00F37E8F">
              <w:rPr>
                <w:sz w:val="18"/>
                <w:szCs w:val="18"/>
              </w:rPr>
              <w:t>0</w:t>
            </w:r>
            <w:r w:rsidR="00065397">
              <w:rPr>
                <w:sz w:val="18"/>
                <w:szCs w:val="18"/>
              </w:rPr>
              <w:t xml:space="preserve"> [2</w:t>
            </w:r>
            <w:r w:rsidR="00676EA9">
              <w:rPr>
                <w:sz w:val="18"/>
                <w:szCs w:val="18"/>
              </w:rPr>
              <w:t>7</w:t>
            </w:r>
            <w:r w:rsidR="00065397">
              <w:rPr>
                <w:sz w:val="18"/>
                <w:szCs w:val="18"/>
              </w:rPr>
              <w:t>]</w:t>
            </w:r>
          </w:p>
        </w:tc>
        <w:tc>
          <w:tcPr>
            <w:tcW w:w="992" w:type="dxa"/>
            <w:shd w:val="clear" w:color="auto" w:fill="auto"/>
          </w:tcPr>
          <w:p w14:paraId="4088BD59" w14:textId="77777777" w:rsidR="0054203E" w:rsidRPr="00F37E8F" w:rsidRDefault="0054203E" w:rsidP="0054203E">
            <w:pPr>
              <w:rPr>
                <w:sz w:val="18"/>
                <w:szCs w:val="18"/>
              </w:rPr>
            </w:pPr>
            <w:r w:rsidRPr="00F37E8F">
              <w:rPr>
                <w:sz w:val="18"/>
                <w:szCs w:val="18"/>
              </w:rPr>
              <w:t>Sweden</w:t>
            </w:r>
          </w:p>
        </w:tc>
        <w:tc>
          <w:tcPr>
            <w:tcW w:w="1134" w:type="dxa"/>
            <w:shd w:val="clear" w:color="auto" w:fill="auto"/>
          </w:tcPr>
          <w:p w14:paraId="58D4DF50" w14:textId="77777777" w:rsidR="0054203E" w:rsidRDefault="0054203E" w:rsidP="0054203E">
            <w:pPr>
              <w:rPr>
                <w:sz w:val="18"/>
                <w:szCs w:val="18"/>
              </w:rPr>
            </w:pPr>
            <w:r>
              <w:rPr>
                <w:sz w:val="18"/>
                <w:szCs w:val="18"/>
              </w:rPr>
              <w:t xml:space="preserve">278,949 </w:t>
            </w:r>
            <w:r w:rsidRPr="00681926">
              <w:rPr>
                <w:sz w:val="18"/>
                <w:szCs w:val="18"/>
                <w:vertAlign w:val="superscript"/>
              </w:rPr>
              <w:t>b</w:t>
            </w:r>
            <w:r>
              <w:rPr>
                <w:sz w:val="18"/>
                <w:szCs w:val="18"/>
              </w:rPr>
              <w:t xml:space="preserve"> </w:t>
            </w:r>
          </w:p>
          <w:p w14:paraId="7987F40C" w14:textId="77777777" w:rsidR="0054203E" w:rsidRPr="00F37E8F" w:rsidRDefault="0054203E" w:rsidP="0054203E">
            <w:pPr>
              <w:rPr>
                <w:sz w:val="18"/>
                <w:szCs w:val="18"/>
              </w:rPr>
            </w:pPr>
          </w:p>
        </w:tc>
        <w:tc>
          <w:tcPr>
            <w:tcW w:w="851" w:type="dxa"/>
            <w:shd w:val="clear" w:color="auto" w:fill="auto"/>
          </w:tcPr>
          <w:p w14:paraId="6FAA7774" w14:textId="77777777" w:rsidR="0054203E" w:rsidRPr="00F37E8F" w:rsidRDefault="0054203E" w:rsidP="0054203E">
            <w:pPr>
              <w:rPr>
                <w:sz w:val="18"/>
                <w:szCs w:val="18"/>
              </w:rPr>
            </w:pPr>
            <w:r w:rsidRPr="00F37E8F">
              <w:rPr>
                <w:sz w:val="18"/>
                <w:szCs w:val="18"/>
              </w:rPr>
              <w:t>79.3</w:t>
            </w:r>
          </w:p>
        </w:tc>
        <w:tc>
          <w:tcPr>
            <w:tcW w:w="850" w:type="dxa"/>
            <w:shd w:val="clear" w:color="auto" w:fill="auto"/>
          </w:tcPr>
          <w:p w14:paraId="79B58A28" w14:textId="77777777" w:rsidR="0054203E" w:rsidRPr="00F37E8F" w:rsidRDefault="0054203E" w:rsidP="0054203E">
            <w:pPr>
              <w:rPr>
                <w:sz w:val="18"/>
                <w:szCs w:val="18"/>
              </w:rPr>
            </w:pPr>
            <w:r w:rsidRPr="00F37E8F">
              <w:rPr>
                <w:sz w:val="18"/>
                <w:szCs w:val="18"/>
              </w:rPr>
              <w:t>1, 2, 3, 4, 5</w:t>
            </w:r>
          </w:p>
        </w:tc>
        <w:tc>
          <w:tcPr>
            <w:tcW w:w="1276" w:type="dxa"/>
            <w:shd w:val="clear" w:color="auto" w:fill="auto"/>
          </w:tcPr>
          <w:p w14:paraId="44822BD3" w14:textId="77777777" w:rsidR="0054203E" w:rsidRPr="00617AF3" w:rsidRDefault="0054203E" w:rsidP="0054203E">
            <w:pPr>
              <w:rPr>
                <w:sz w:val="18"/>
                <w:szCs w:val="18"/>
              </w:rPr>
            </w:pPr>
            <w:r w:rsidRPr="00617AF3">
              <w:rPr>
                <w:sz w:val="18"/>
                <w:szCs w:val="18"/>
              </w:rPr>
              <w:t>MOF</w:t>
            </w:r>
          </w:p>
        </w:tc>
        <w:tc>
          <w:tcPr>
            <w:tcW w:w="1565" w:type="dxa"/>
            <w:shd w:val="clear" w:color="auto" w:fill="auto"/>
          </w:tcPr>
          <w:p w14:paraId="50D80AE7" w14:textId="02C0B433" w:rsidR="0054203E" w:rsidRPr="00617AF3" w:rsidRDefault="0054203E" w:rsidP="0054203E">
            <w:pPr>
              <w:rPr>
                <w:sz w:val="18"/>
                <w:szCs w:val="18"/>
              </w:rPr>
            </w:pPr>
            <w:r w:rsidRPr="00617AF3">
              <w:rPr>
                <w:sz w:val="18"/>
                <w:szCs w:val="18"/>
              </w:rPr>
              <w:t>10.7</w:t>
            </w:r>
          </w:p>
        </w:tc>
        <w:tc>
          <w:tcPr>
            <w:tcW w:w="987" w:type="dxa"/>
            <w:shd w:val="clear" w:color="auto" w:fill="auto"/>
          </w:tcPr>
          <w:p w14:paraId="0B27242D" w14:textId="77777777" w:rsidR="0054203E" w:rsidRPr="00F37E8F" w:rsidRDefault="0054203E" w:rsidP="0054203E">
            <w:pPr>
              <w:rPr>
                <w:sz w:val="18"/>
                <w:szCs w:val="18"/>
              </w:rPr>
            </w:pPr>
            <w:r>
              <w:rPr>
                <w:sz w:val="18"/>
                <w:szCs w:val="18"/>
              </w:rPr>
              <w:t>-</w:t>
            </w:r>
          </w:p>
        </w:tc>
        <w:tc>
          <w:tcPr>
            <w:tcW w:w="992" w:type="dxa"/>
            <w:shd w:val="clear" w:color="auto" w:fill="auto"/>
          </w:tcPr>
          <w:p w14:paraId="77A3872B" w14:textId="77777777" w:rsidR="0054203E" w:rsidRPr="00F37E8F" w:rsidRDefault="0054203E" w:rsidP="0054203E">
            <w:pPr>
              <w:rPr>
                <w:sz w:val="18"/>
                <w:szCs w:val="18"/>
              </w:rPr>
            </w:pPr>
            <w:r>
              <w:rPr>
                <w:sz w:val="18"/>
                <w:szCs w:val="18"/>
              </w:rPr>
              <w:t>No</w:t>
            </w:r>
          </w:p>
        </w:tc>
        <w:tc>
          <w:tcPr>
            <w:tcW w:w="5103" w:type="dxa"/>
            <w:shd w:val="clear" w:color="auto" w:fill="auto"/>
          </w:tcPr>
          <w:p w14:paraId="57857EFF" w14:textId="77777777" w:rsidR="0054203E" w:rsidRPr="00802AEA" w:rsidRDefault="0054203E" w:rsidP="0054203E">
            <w:pPr>
              <w:autoSpaceDE w:val="0"/>
              <w:autoSpaceDN w:val="0"/>
              <w:adjustRightInd w:val="0"/>
              <w:rPr>
                <w:rFonts w:cstheme="minorHAnsi"/>
                <w:sz w:val="18"/>
                <w:szCs w:val="18"/>
              </w:rPr>
            </w:pPr>
            <w:r w:rsidRPr="00802AEA">
              <w:rPr>
                <w:rFonts w:cstheme="minorHAnsi"/>
                <w:sz w:val="18"/>
                <w:szCs w:val="18"/>
              </w:rPr>
              <w:t xml:space="preserve">All with </w:t>
            </w:r>
            <w:r w:rsidRPr="00802AEA">
              <w:rPr>
                <w:rFonts w:eastAsia="AdvOT596495f2+22" w:cstheme="minorHAnsi"/>
                <w:sz w:val="18"/>
                <w:szCs w:val="18"/>
              </w:rPr>
              <w:t>≥</w:t>
            </w:r>
            <w:r w:rsidRPr="00802AEA">
              <w:rPr>
                <w:rFonts w:cstheme="minorHAnsi"/>
                <w:sz w:val="18"/>
                <w:szCs w:val="18"/>
              </w:rPr>
              <w:t xml:space="preserve">1 clinical fragility fracture (each matched to </w:t>
            </w:r>
            <w:r>
              <w:rPr>
                <w:rFonts w:cstheme="minorHAnsi"/>
                <w:sz w:val="18"/>
                <w:szCs w:val="18"/>
              </w:rPr>
              <w:t>3</w:t>
            </w:r>
            <w:r w:rsidRPr="00802AEA">
              <w:rPr>
                <w:rFonts w:cstheme="minorHAnsi"/>
                <w:sz w:val="18"/>
                <w:szCs w:val="18"/>
              </w:rPr>
              <w:t xml:space="preserve"> controls without history of fracture</w:t>
            </w:r>
            <w:r>
              <w:rPr>
                <w:rFonts w:cstheme="minorHAnsi"/>
                <w:sz w:val="18"/>
                <w:szCs w:val="18"/>
              </w:rPr>
              <w:t>)</w:t>
            </w:r>
            <w:r w:rsidRPr="00802AEA">
              <w:rPr>
                <w:rFonts w:cstheme="minorHAnsi"/>
                <w:sz w:val="18"/>
                <w:szCs w:val="18"/>
              </w:rPr>
              <w:t xml:space="preserve">.   Overall 2-yr fracture incidence estimated.  </w:t>
            </w:r>
            <w:r>
              <w:rPr>
                <w:rFonts w:cstheme="minorHAnsi"/>
                <w:sz w:val="18"/>
                <w:szCs w:val="18"/>
              </w:rPr>
              <w:t>Similar</w:t>
            </w:r>
            <w:r w:rsidRPr="00802AEA">
              <w:rPr>
                <w:rFonts w:cstheme="minorHAnsi"/>
                <w:sz w:val="18"/>
                <w:szCs w:val="18"/>
              </w:rPr>
              <w:t xml:space="preserve"> increase in fracture risk noted at all time points</w:t>
            </w:r>
            <w:r>
              <w:rPr>
                <w:rFonts w:cstheme="minorHAnsi"/>
                <w:sz w:val="18"/>
                <w:szCs w:val="18"/>
              </w:rPr>
              <w:t>, especially at younger ages</w:t>
            </w:r>
            <w:r w:rsidRPr="00802AEA">
              <w:rPr>
                <w:rFonts w:cstheme="minorHAnsi"/>
                <w:sz w:val="18"/>
                <w:szCs w:val="18"/>
              </w:rPr>
              <w:t xml:space="preserve"> i.e. no evidence of imminent risk</w:t>
            </w:r>
          </w:p>
        </w:tc>
      </w:tr>
      <w:tr w:rsidR="0054203E" w:rsidRPr="00F37E8F" w14:paraId="09FE4F82" w14:textId="77777777" w:rsidTr="00181E6E">
        <w:tc>
          <w:tcPr>
            <w:tcW w:w="1271" w:type="dxa"/>
            <w:shd w:val="clear" w:color="auto" w:fill="auto"/>
          </w:tcPr>
          <w:p w14:paraId="5932545F" w14:textId="712BA6A9" w:rsidR="0054203E" w:rsidRPr="00F37E8F" w:rsidRDefault="0054203E" w:rsidP="0054203E">
            <w:pPr>
              <w:rPr>
                <w:sz w:val="18"/>
                <w:szCs w:val="18"/>
              </w:rPr>
            </w:pPr>
            <w:r>
              <w:rPr>
                <w:sz w:val="18"/>
                <w:szCs w:val="18"/>
              </w:rPr>
              <w:t>Toth 2020</w:t>
            </w:r>
            <w:r w:rsidR="00C133E9">
              <w:rPr>
                <w:sz w:val="18"/>
                <w:szCs w:val="18"/>
              </w:rPr>
              <w:t xml:space="preserve"> [2</w:t>
            </w:r>
            <w:r w:rsidR="00676EA9">
              <w:rPr>
                <w:sz w:val="18"/>
                <w:szCs w:val="18"/>
              </w:rPr>
              <w:t>8</w:t>
            </w:r>
            <w:r w:rsidR="00C133E9">
              <w:rPr>
                <w:sz w:val="18"/>
                <w:szCs w:val="18"/>
              </w:rPr>
              <w:t>]</w:t>
            </w:r>
          </w:p>
        </w:tc>
        <w:tc>
          <w:tcPr>
            <w:tcW w:w="992" w:type="dxa"/>
            <w:shd w:val="clear" w:color="auto" w:fill="auto"/>
          </w:tcPr>
          <w:p w14:paraId="7ADB9999" w14:textId="77777777" w:rsidR="0054203E" w:rsidRPr="00F37E8F" w:rsidRDefault="0054203E" w:rsidP="0054203E">
            <w:pPr>
              <w:rPr>
                <w:sz w:val="18"/>
                <w:szCs w:val="18"/>
              </w:rPr>
            </w:pPr>
            <w:r>
              <w:rPr>
                <w:sz w:val="18"/>
                <w:szCs w:val="18"/>
              </w:rPr>
              <w:t>Sweden</w:t>
            </w:r>
          </w:p>
        </w:tc>
        <w:tc>
          <w:tcPr>
            <w:tcW w:w="1134" w:type="dxa"/>
            <w:shd w:val="clear" w:color="auto" w:fill="auto"/>
          </w:tcPr>
          <w:p w14:paraId="55A081A9" w14:textId="77777777" w:rsidR="0054203E" w:rsidRDefault="0054203E" w:rsidP="0054203E">
            <w:pPr>
              <w:rPr>
                <w:sz w:val="18"/>
                <w:szCs w:val="18"/>
              </w:rPr>
            </w:pPr>
            <w:r w:rsidRPr="00F5722D">
              <w:rPr>
                <w:sz w:val="18"/>
                <w:szCs w:val="18"/>
              </w:rPr>
              <w:t>35,146</w:t>
            </w:r>
            <w:r>
              <w:rPr>
                <w:sz w:val="18"/>
                <w:szCs w:val="18"/>
              </w:rPr>
              <w:t xml:space="preserve"> </w:t>
            </w:r>
            <w:r w:rsidRPr="00681926">
              <w:rPr>
                <w:sz w:val="18"/>
                <w:szCs w:val="18"/>
                <w:vertAlign w:val="superscript"/>
              </w:rPr>
              <w:t>b</w:t>
            </w:r>
            <w:r>
              <w:rPr>
                <w:sz w:val="18"/>
                <w:szCs w:val="18"/>
              </w:rPr>
              <w:t xml:space="preserve"> </w:t>
            </w:r>
          </w:p>
          <w:p w14:paraId="099B0CA3" w14:textId="77777777" w:rsidR="0054203E" w:rsidRDefault="0054203E" w:rsidP="0054203E">
            <w:pPr>
              <w:rPr>
                <w:sz w:val="18"/>
                <w:szCs w:val="18"/>
              </w:rPr>
            </w:pPr>
          </w:p>
        </w:tc>
        <w:tc>
          <w:tcPr>
            <w:tcW w:w="851" w:type="dxa"/>
            <w:shd w:val="clear" w:color="auto" w:fill="auto"/>
          </w:tcPr>
          <w:p w14:paraId="1C406D55" w14:textId="77777777" w:rsidR="0054203E" w:rsidRDefault="0054203E" w:rsidP="0054203E">
            <w:pPr>
              <w:rPr>
                <w:sz w:val="18"/>
                <w:szCs w:val="18"/>
              </w:rPr>
            </w:pPr>
            <w:r>
              <w:rPr>
                <w:sz w:val="18"/>
                <w:szCs w:val="18"/>
              </w:rPr>
              <w:t>73.8</w:t>
            </w:r>
          </w:p>
        </w:tc>
        <w:tc>
          <w:tcPr>
            <w:tcW w:w="850" w:type="dxa"/>
            <w:shd w:val="clear" w:color="auto" w:fill="auto"/>
          </w:tcPr>
          <w:p w14:paraId="6EAF1E7B" w14:textId="77777777" w:rsidR="0054203E" w:rsidRPr="00F37E8F" w:rsidRDefault="0054203E" w:rsidP="0054203E">
            <w:pPr>
              <w:rPr>
                <w:sz w:val="18"/>
                <w:szCs w:val="18"/>
              </w:rPr>
            </w:pPr>
            <w:r>
              <w:rPr>
                <w:sz w:val="18"/>
                <w:szCs w:val="18"/>
              </w:rPr>
              <w:t>1,2</w:t>
            </w:r>
          </w:p>
        </w:tc>
        <w:tc>
          <w:tcPr>
            <w:tcW w:w="1276" w:type="dxa"/>
            <w:shd w:val="clear" w:color="auto" w:fill="auto"/>
          </w:tcPr>
          <w:p w14:paraId="4F315543" w14:textId="77777777" w:rsidR="0054203E" w:rsidRDefault="0054203E" w:rsidP="0054203E">
            <w:pPr>
              <w:rPr>
                <w:sz w:val="18"/>
                <w:szCs w:val="18"/>
              </w:rPr>
            </w:pPr>
            <w:r>
              <w:rPr>
                <w:sz w:val="18"/>
                <w:szCs w:val="18"/>
              </w:rPr>
              <w:t>Fragility</w:t>
            </w:r>
          </w:p>
          <w:p w14:paraId="32A0B97E" w14:textId="77777777" w:rsidR="0054203E" w:rsidRDefault="0054203E" w:rsidP="0054203E">
            <w:pPr>
              <w:rPr>
                <w:sz w:val="18"/>
                <w:szCs w:val="18"/>
              </w:rPr>
            </w:pPr>
            <w:r>
              <w:rPr>
                <w:sz w:val="18"/>
                <w:szCs w:val="18"/>
              </w:rPr>
              <w:t>Fragility</w:t>
            </w:r>
          </w:p>
          <w:p w14:paraId="5AF8DB8E" w14:textId="77777777" w:rsidR="0054203E" w:rsidRDefault="0054203E" w:rsidP="0054203E">
            <w:pPr>
              <w:rPr>
                <w:sz w:val="18"/>
                <w:szCs w:val="18"/>
              </w:rPr>
            </w:pPr>
            <w:r>
              <w:rPr>
                <w:sz w:val="18"/>
                <w:szCs w:val="18"/>
              </w:rPr>
              <w:t>Fragility</w:t>
            </w:r>
          </w:p>
          <w:p w14:paraId="180BCD0D" w14:textId="77777777" w:rsidR="0054203E" w:rsidRPr="00F37E8F" w:rsidRDefault="0054203E" w:rsidP="0054203E">
            <w:pPr>
              <w:rPr>
                <w:sz w:val="18"/>
                <w:szCs w:val="18"/>
              </w:rPr>
            </w:pPr>
            <w:r>
              <w:rPr>
                <w:sz w:val="18"/>
                <w:szCs w:val="18"/>
              </w:rPr>
              <w:t>Fragility</w:t>
            </w:r>
          </w:p>
        </w:tc>
        <w:tc>
          <w:tcPr>
            <w:tcW w:w="1565" w:type="dxa"/>
            <w:shd w:val="clear" w:color="auto" w:fill="auto"/>
          </w:tcPr>
          <w:p w14:paraId="17C625DF" w14:textId="77777777" w:rsidR="0054203E" w:rsidRDefault="0054203E" w:rsidP="0054203E">
            <w:pPr>
              <w:rPr>
                <w:sz w:val="18"/>
                <w:szCs w:val="18"/>
              </w:rPr>
            </w:pPr>
            <w:r>
              <w:rPr>
                <w:sz w:val="18"/>
                <w:szCs w:val="18"/>
              </w:rPr>
              <w:t>Fragility 11.3%</w:t>
            </w:r>
          </w:p>
          <w:p w14:paraId="27A78DB1" w14:textId="77777777" w:rsidR="0054203E" w:rsidRDefault="0054203E" w:rsidP="0054203E">
            <w:pPr>
              <w:rPr>
                <w:sz w:val="18"/>
                <w:szCs w:val="18"/>
              </w:rPr>
            </w:pPr>
            <w:r>
              <w:rPr>
                <w:sz w:val="18"/>
                <w:szCs w:val="18"/>
              </w:rPr>
              <w:t>Hip 13.7%</w:t>
            </w:r>
          </w:p>
          <w:p w14:paraId="61F3832F" w14:textId="77777777" w:rsidR="0054203E" w:rsidRDefault="0054203E" w:rsidP="0054203E">
            <w:pPr>
              <w:rPr>
                <w:sz w:val="18"/>
                <w:szCs w:val="18"/>
              </w:rPr>
            </w:pPr>
            <w:r>
              <w:rPr>
                <w:sz w:val="18"/>
                <w:szCs w:val="18"/>
              </w:rPr>
              <w:t>Spine 17.6%</w:t>
            </w:r>
          </w:p>
          <w:p w14:paraId="55FC91A4" w14:textId="77777777" w:rsidR="0054203E" w:rsidRPr="00F37E8F" w:rsidRDefault="0054203E" w:rsidP="0054203E">
            <w:pPr>
              <w:rPr>
                <w:sz w:val="18"/>
                <w:szCs w:val="18"/>
              </w:rPr>
            </w:pPr>
            <w:r>
              <w:rPr>
                <w:sz w:val="18"/>
                <w:szCs w:val="18"/>
              </w:rPr>
              <w:t>Humerus 11.4%</w:t>
            </w:r>
          </w:p>
        </w:tc>
        <w:tc>
          <w:tcPr>
            <w:tcW w:w="987" w:type="dxa"/>
            <w:shd w:val="clear" w:color="auto" w:fill="auto"/>
          </w:tcPr>
          <w:p w14:paraId="556C2C2D" w14:textId="77777777" w:rsidR="0054203E" w:rsidRDefault="0054203E" w:rsidP="0054203E">
            <w:pPr>
              <w:rPr>
                <w:sz w:val="18"/>
                <w:szCs w:val="18"/>
              </w:rPr>
            </w:pPr>
            <w:r>
              <w:rPr>
                <w:sz w:val="18"/>
                <w:szCs w:val="18"/>
              </w:rPr>
              <w:t>-</w:t>
            </w:r>
          </w:p>
        </w:tc>
        <w:tc>
          <w:tcPr>
            <w:tcW w:w="992" w:type="dxa"/>
            <w:shd w:val="clear" w:color="auto" w:fill="auto"/>
          </w:tcPr>
          <w:p w14:paraId="31E78DE5" w14:textId="77777777" w:rsidR="0054203E" w:rsidRDefault="0054203E" w:rsidP="0054203E">
            <w:pPr>
              <w:rPr>
                <w:sz w:val="18"/>
                <w:szCs w:val="18"/>
              </w:rPr>
            </w:pPr>
            <w:r>
              <w:rPr>
                <w:sz w:val="18"/>
                <w:szCs w:val="18"/>
              </w:rPr>
              <w:t>-</w:t>
            </w:r>
          </w:p>
        </w:tc>
        <w:tc>
          <w:tcPr>
            <w:tcW w:w="5103" w:type="dxa"/>
            <w:shd w:val="clear" w:color="auto" w:fill="auto"/>
          </w:tcPr>
          <w:p w14:paraId="1B3B51FA" w14:textId="77777777" w:rsidR="0054203E" w:rsidRPr="00F37E8F" w:rsidRDefault="0054203E" w:rsidP="0054203E">
            <w:pPr>
              <w:autoSpaceDE w:val="0"/>
              <w:autoSpaceDN w:val="0"/>
              <w:adjustRightInd w:val="0"/>
              <w:rPr>
                <w:sz w:val="18"/>
                <w:szCs w:val="18"/>
              </w:rPr>
            </w:pPr>
            <w:r>
              <w:rPr>
                <w:rFonts w:ascii="AdvOT46dcae81" w:hAnsi="AdvOT46dcae81" w:cs="AdvOT46dcae81"/>
                <w:sz w:val="18"/>
                <w:szCs w:val="18"/>
              </w:rPr>
              <w:t>Index fragility fracture in 2013. Outcome fragility fracture incidence at 2-yrs by index fracture type.</w:t>
            </w:r>
          </w:p>
          <w:p w14:paraId="4DC497BF" w14:textId="77777777" w:rsidR="0054203E" w:rsidRPr="00F37E8F" w:rsidRDefault="0054203E" w:rsidP="0054203E">
            <w:pPr>
              <w:rPr>
                <w:sz w:val="18"/>
                <w:szCs w:val="18"/>
              </w:rPr>
            </w:pPr>
          </w:p>
        </w:tc>
      </w:tr>
      <w:tr w:rsidR="0054203E" w:rsidRPr="00F37E8F" w14:paraId="1EF75D8A" w14:textId="77777777" w:rsidTr="00181E6E">
        <w:tc>
          <w:tcPr>
            <w:tcW w:w="1271" w:type="dxa"/>
            <w:shd w:val="clear" w:color="auto" w:fill="auto"/>
          </w:tcPr>
          <w:p w14:paraId="7C3CEEE3" w14:textId="14D9977D" w:rsidR="0054203E" w:rsidRPr="00F37E8F" w:rsidRDefault="0054203E" w:rsidP="0054203E">
            <w:pPr>
              <w:rPr>
                <w:sz w:val="18"/>
                <w:szCs w:val="18"/>
              </w:rPr>
            </w:pPr>
            <w:r w:rsidRPr="00F37E8F">
              <w:rPr>
                <w:sz w:val="18"/>
                <w:szCs w:val="18"/>
              </w:rPr>
              <w:t>Van Staa 2002</w:t>
            </w:r>
            <w:r w:rsidR="00C133E9">
              <w:rPr>
                <w:sz w:val="18"/>
                <w:szCs w:val="18"/>
              </w:rPr>
              <w:t xml:space="preserve"> [2</w:t>
            </w:r>
            <w:r w:rsidR="00676EA9">
              <w:rPr>
                <w:sz w:val="18"/>
                <w:szCs w:val="18"/>
              </w:rPr>
              <w:t>9</w:t>
            </w:r>
            <w:r w:rsidR="00C133E9">
              <w:rPr>
                <w:sz w:val="18"/>
                <w:szCs w:val="18"/>
              </w:rPr>
              <w:t>]</w:t>
            </w:r>
          </w:p>
        </w:tc>
        <w:tc>
          <w:tcPr>
            <w:tcW w:w="992" w:type="dxa"/>
            <w:shd w:val="clear" w:color="auto" w:fill="auto"/>
          </w:tcPr>
          <w:p w14:paraId="48A5714D" w14:textId="77777777" w:rsidR="0054203E" w:rsidRPr="00F37E8F" w:rsidRDefault="0054203E" w:rsidP="0054203E">
            <w:pPr>
              <w:rPr>
                <w:sz w:val="18"/>
                <w:szCs w:val="18"/>
              </w:rPr>
            </w:pPr>
            <w:r w:rsidRPr="00F37E8F">
              <w:rPr>
                <w:sz w:val="18"/>
                <w:szCs w:val="18"/>
              </w:rPr>
              <w:t>UK</w:t>
            </w:r>
          </w:p>
        </w:tc>
        <w:tc>
          <w:tcPr>
            <w:tcW w:w="1134" w:type="dxa"/>
            <w:shd w:val="clear" w:color="auto" w:fill="auto"/>
          </w:tcPr>
          <w:p w14:paraId="0DF8741D" w14:textId="77777777" w:rsidR="0054203E" w:rsidRPr="00F37E8F" w:rsidRDefault="0054203E" w:rsidP="0054203E">
            <w:pPr>
              <w:rPr>
                <w:sz w:val="18"/>
                <w:szCs w:val="18"/>
              </w:rPr>
            </w:pPr>
            <w:r w:rsidRPr="002F5145">
              <w:rPr>
                <w:sz w:val="18"/>
                <w:szCs w:val="18"/>
              </w:rPr>
              <w:t>222</w:t>
            </w:r>
            <w:r>
              <w:rPr>
                <w:sz w:val="18"/>
                <w:szCs w:val="18"/>
              </w:rPr>
              <w:t>,</w:t>
            </w:r>
            <w:r w:rsidRPr="002F5145">
              <w:rPr>
                <w:sz w:val="18"/>
                <w:szCs w:val="18"/>
              </w:rPr>
              <w:t>369</w:t>
            </w:r>
          </w:p>
        </w:tc>
        <w:tc>
          <w:tcPr>
            <w:tcW w:w="851" w:type="dxa"/>
            <w:shd w:val="clear" w:color="auto" w:fill="auto"/>
          </w:tcPr>
          <w:p w14:paraId="0F8B278C" w14:textId="77777777" w:rsidR="0054203E" w:rsidRPr="00F37E8F" w:rsidRDefault="0054203E" w:rsidP="0054203E">
            <w:pPr>
              <w:rPr>
                <w:sz w:val="18"/>
                <w:szCs w:val="18"/>
              </w:rPr>
            </w:pPr>
            <w:r w:rsidRPr="00234A2A">
              <w:rPr>
                <w:sz w:val="18"/>
                <w:szCs w:val="18"/>
                <w:u w:val="single"/>
              </w:rPr>
              <w:t>&gt;</w:t>
            </w:r>
            <w:r>
              <w:rPr>
                <w:sz w:val="18"/>
                <w:szCs w:val="18"/>
              </w:rPr>
              <w:t>20</w:t>
            </w:r>
          </w:p>
        </w:tc>
        <w:tc>
          <w:tcPr>
            <w:tcW w:w="850" w:type="dxa"/>
            <w:shd w:val="clear" w:color="auto" w:fill="auto"/>
          </w:tcPr>
          <w:p w14:paraId="6878E360" w14:textId="77777777" w:rsidR="0054203E" w:rsidRPr="00F37E8F" w:rsidRDefault="0054203E" w:rsidP="0054203E">
            <w:pPr>
              <w:rPr>
                <w:sz w:val="18"/>
                <w:szCs w:val="18"/>
              </w:rPr>
            </w:pPr>
            <w:r w:rsidRPr="00F37E8F">
              <w:rPr>
                <w:sz w:val="18"/>
                <w:szCs w:val="18"/>
              </w:rPr>
              <w:t>1, 2, 3, 4, 5</w:t>
            </w:r>
          </w:p>
        </w:tc>
        <w:tc>
          <w:tcPr>
            <w:tcW w:w="1276" w:type="dxa"/>
            <w:shd w:val="clear" w:color="auto" w:fill="auto"/>
          </w:tcPr>
          <w:p w14:paraId="00B7B897" w14:textId="77777777" w:rsidR="0054203E" w:rsidRDefault="0054203E" w:rsidP="0054203E">
            <w:pPr>
              <w:rPr>
                <w:sz w:val="18"/>
                <w:szCs w:val="18"/>
              </w:rPr>
            </w:pPr>
            <w:r>
              <w:rPr>
                <w:sz w:val="18"/>
                <w:szCs w:val="18"/>
              </w:rPr>
              <w:t>Hip</w:t>
            </w:r>
          </w:p>
          <w:p w14:paraId="23311CC0" w14:textId="77777777" w:rsidR="0054203E" w:rsidRDefault="0054203E" w:rsidP="0054203E">
            <w:pPr>
              <w:rPr>
                <w:sz w:val="18"/>
                <w:szCs w:val="18"/>
              </w:rPr>
            </w:pPr>
            <w:r>
              <w:rPr>
                <w:sz w:val="18"/>
                <w:szCs w:val="18"/>
              </w:rPr>
              <w:t>Spine</w:t>
            </w:r>
          </w:p>
          <w:p w14:paraId="2E28A574" w14:textId="77777777" w:rsidR="0054203E" w:rsidRDefault="0054203E" w:rsidP="0054203E">
            <w:pPr>
              <w:rPr>
                <w:sz w:val="18"/>
                <w:szCs w:val="18"/>
              </w:rPr>
            </w:pPr>
            <w:r>
              <w:rPr>
                <w:sz w:val="18"/>
                <w:szCs w:val="18"/>
              </w:rPr>
              <w:t>Hip</w:t>
            </w:r>
          </w:p>
          <w:p w14:paraId="68601EDB" w14:textId="77777777" w:rsidR="0054203E" w:rsidRPr="00F37E8F" w:rsidRDefault="0054203E" w:rsidP="0054203E">
            <w:pPr>
              <w:rPr>
                <w:sz w:val="18"/>
                <w:szCs w:val="18"/>
              </w:rPr>
            </w:pPr>
          </w:p>
        </w:tc>
        <w:tc>
          <w:tcPr>
            <w:tcW w:w="1565" w:type="dxa"/>
            <w:shd w:val="clear" w:color="auto" w:fill="auto"/>
          </w:tcPr>
          <w:p w14:paraId="4A8C933C" w14:textId="77777777" w:rsidR="0054203E" w:rsidRDefault="0054203E" w:rsidP="0054203E">
            <w:pPr>
              <w:rPr>
                <w:sz w:val="18"/>
                <w:szCs w:val="18"/>
              </w:rPr>
            </w:pPr>
            <w:r>
              <w:rPr>
                <w:sz w:val="18"/>
                <w:szCs w:val="18"/>
              </w:rPr>
              <w:t>Forearm 3.0%</w:t>
            </w:r>
          </w:p>
          <w:p w14:paraId="0DF93486" w14:textId="77777777" w:rsidR="0054203E" w:rsidRDefault="0054203E" w:rsidP="0054203E">
            <w:pPr>
              <w:rPr>
                <w:sz w:val="18"/>
                <w:szCs w:val="18"/>
              </w:rPr>
            </w:pPr>
            <w:r>
              <w:rPr>
                <w:sz w:val="18"/>
                <w:szCs w:val="18"/>
              </w:rPr>
              <w:t>Hip 1.6%</w:t>
            </w:r>
          </w:p>
          <w:p w14:paraId="2C60B659" w14:textId="77777777" w:rsidR="0054203E" w:rsidRPr="00F37E8F" w:rsidRDefault="0054203E" w:rsidP="0054203E">
            <w:pPr>
              <w:rPr>
                <w:sz w:val="18"/>
                <w:szCs w:val="18"/>
              </w:rPr>
            </w:pPr>
            <w:r>
              <w:rPr>
                <w:sz w:val="18"/>
                <w:szCs w:val="18"/>
              </w:rPr>
              <w:t>Spine 4.5%</w:t>
            </w:r>
          </w:p>
        </w:tc>
        <w:tc>
          <w:tcPr>
            <w:tcW w:w="987" w:type="dxa"/>
            <w:shd w:val="clear" w:color="auto" w:fill="auto"/>
          </w:tcPr>
          <w:p w14:paraId="15403A9E" w14:textId="77777777" w:rsidR="0054203E" w:rsidRPr="00F37E8F" w:rsidRDefault="0054203E" w:rsidP="0054203E">
            <w:pPr>
              <w:rPr>
                <w:sz w:val="18"/>
                <w:szCs w:val="18"/>
              </w:rPr>
            </w:pPr>
            <w:r>
              <w:rPr>
                <w:sz w:val="18"/>
                <w:szCs w:val="18"/>
              </w:rPr>
              <w:t>-</w:t>
            </w:r>
          </w:p>
        </w:tc>
        <w:tc>
          <w:tcPr>
            <w:tcW w:w="992" w:type="dxa"/>
            <w:shd w:val="clear" w:color="auto" w:fill="auto"/>
          </w:tcPr>
          <w:p w14:paraId="5C158169" w14:textId="77777777" w:rsidR="0054203E" w:rsidRPr="00F37E8F" w:rsidRDefault="0054203E" w:rsidP="0054203E">
            <w:pPr>
              <w:rPr>
                <w:sz w:val="18"/>
                <w:szCs w:val="18"/>
              </w:rPr>
            </w:pPr>
            <w:r>
              <w:rPr>
                <w:sz w:val="18"/>
                <w:szCs w:val="18"/>
              </w:rPr>
              <w:t>-</w:t>
            </w:r>
          </w:p>
        </w:tc>
        <w:tc>
          <w:tcPr>
            <w:tcW w:w="5103" w:type="dxa"/>
            <w:shd w:val="clear" w:color="auto" w:fill="auto"/>
          </w:tcPr>
          <w:p w14:paraId="401273F5" w14:textId="5CE8A85D" w:rsidR="0054203E" w:rsidRPr="00F37E8F" w:rsidRDefault="0054203E" w:rsidP="0054203E">
            <w:pPr>
              <w:rPr>
                <w:sz w:val="18"/>
                <w:szCs w:val="18"/>
              </w:rPr>
            </w:pPr>
            <w:r>
              <w:rPr>
                <w:sz w:val="18"/>
                <w:szCs w:val="18"/>
              </w:rPr>
              <w:t>Men and women with fracture in register database. (</w:t>
            </w:r>
            <w:r w:rsidRPr="00F37E8F">
              <w:rPr>
                <w:sz w:val="18"/>
                <w:szCs w:val="18"/>
              </w:rPr>
              <w:t>Rates</w:t>
            </w:r>
            <w:r>
              <w:rPr>
                <w:sz w:val="18"/>
                <w:szCs w:val="18"/>
              </w:rPr>
              <w:t xml:space="preserve"> shown for women only – estimated from </w:t>
            </w:r>
            <w:r w:rsidRPr="00F37E8F">
              <w:rPr>
                <w:sz w:val="18"/>
                <w:szCs w:val="18"/>
              </w:rPr>
              <w:t>chart</w:t>
            </w:r>
            <w:r>
              <w:rPr>
                <w:sz w:val="18"/>
                <w:szCs w:val="18"/>
              </w:rPr>
              <w:t xml:space="preserve">.  Similar </w:t>
            </w:r>
            <w:r w:rsidRPr="00F37E8F">
              <w:rPr>
                <w:sz w:val="18"/>
                <w:szCs w:val="18"/>
              </w:rPr>
              <w:t>increase in fracture risk noted at all time points i.e. no evidence of imminent risk</w:t>
            </w:r>
          </w:p>
        </w:tc>
      </w:tr>
      <w:tr w:rsidR="002A0B4D" w:rsidRPr="00F37E8F" w14:paraId="2C681BF8" w14:textId="77777777" w:rsidTr="00181E6E">
        <w:tc>
          <w:tcPr>
            <w:tcW w:w="1271" w:type="dxa"/>
            <w:shd w:val="clear" w:color="auto" w:fill="auto"/>
          </w:tcPr>
          <w:p w14:paraId="172A7468" w14:textId="088D7066" w:rsidR="002A0B4D" w:rsidRPr="00F37E8F" w:rsidRDefault="002A0B4D" w:rsidP="0054203E">
            <w:pPr>
              <w:rPr>
                <w:sz w:val="18"/>
                <w:szCs w:val="18"/>
              </w:rPr>
            </w:pPr>
            <w:r>
              <w:rPr>
                <w:sz w:val="18"/>
                <w:szCs w:val="18"/>
              </w:rPr>
              <w:t>Wong 2019</w:t>
            </w:r>
            <w:r w:rsidR="00E4270D">
              <w:rPr>
                <w:sz w:val="18"/>
                <w:szCs w:val="18"/>
              </w:rPr>
              <w:t xml:space="preserve"> [</w:t>
            </w:r>
            <w:r w:rsidR="00676EA9">
              <w:rPr>
                <w:sz w:val="18"/>
                <w:szCs w:val="18"/>
              </w:rPr>
              <w:t>30</w:t>
            </w:r>
            <w:r w:rsidR="00CC3DA0">
              <w:rPr>
                <w:sz w:val="18"/>
                <w:szCs w:val="18"/>
              </w:rPr>
              <w:t>]</w:t>
            </w:r>
          </w:p>
        </w:tc>
        <w:tc>
          <w:tcPr>
            <w:tcW w:w="992" w:type="dxa"/>
            <w:shd w:val="clear" w:color="auto" w:fill="auto"/>
          </w:tcPr>
          <w:p w14:paraId="52C08263" w14:textId="5442C99C" w:rsidR="002A0B4D" w:rsidRPr="00F37E8F" w:rsidRDefault="002A0B4D" w:rsidP="0054203E">
            <w:pPr>
              <w:rPr>
                <w:sz w:val="18"/>
                <w:szCs w:val="18"/>
              </w:rPr>
            </w:pPr>
            <w:r>
              <w:rPr>
                <w:sz w:val="18"/>
                <w:szCs w:val="18"/>
              </w:rPr>
              <w:t>Hong Kong</w:t>
            </w:r>
          </w:p>
        </w:tc>
        <w:tc>
          <w:tcPr>
            <w:tcW w:w="1134" w:type="dxa"/>
            <w:shd w:val="clear" w:color="auto" w:fill="auto"/>
          </w:tcPr>
          <w:p w14:paraId="3E56EA2E" w14:textId="04320727" w:rsidR="002A0B4D" w:rsidRPr="002F5145" w:rsidRDefault="00134F0F" w:rsidP="0054203E">
            <w:pPr>
              <w:rPr>
                <w:sz w:val="18"/>
                <w:szCs w:val="18"/>
              </w:rPr>
            </w:pPr>
            <w:r>
              <w:rPr>
                <w:sz w:val="18"/>
                <w:szCs w:val="18"/>
              </w:rPr>
              <w:t>7039</w:t>
            </w:r>
          </w:p>
        </w:tc>
        <w:tc>
          <w:tcPr>
            <w:tcW w:w="851" w:type="dxa"/>
            <w:shd w:val="clear" w:color="auto" w:fill="auto"/>
          </w:tcPr>
          <w:p w14:paraId="2762B4DD" w14:textId="2C2316C1" w:rsidR="002A0B4D" w:rsidRPr="00234A2A" w:rsidRDefault="00134F0F" w:rsidP="0054203E">
            <w:pPr>
              <w:rPr>
                <w:sz w:val="18"/>
                <w:szCs w:val="18"/>
                <w:u w:val="single"/>
              </w:rPr>
            </w:pPr>
            <w:r w:rsidRPr="00234A2A">
              <w:rPr>
                <w:sz w:val="18"/>
                <w:szCs w:val="18"/>
                <w:u w:val="single"/>
              </w:rPr>
              <w:t>&gt;</w:t>
            </w:r>
            <w:r>
              <w:rPr>
                <w:sz w:val="18"/>
                <w:szCs w:val="18"/>
              </w:rPr>
              <w:t>50</w:t>
            </w:r>
          </w:p>
        </w:tc>
        <w:tc>
          <w:tcPr>
            <w:tcW w:w="850" w:type="dxa"/>
            <w:shd w:val="clear" w:color="auto" w:fill="auto"/>
          </w:tcPr>
          <w:p w14:paraId="10C14713" w14:textId="0382A8CF" w:rsidR="002A0B4D" w:rsidRPr="00F37E8F" w:rsidRDefault="00134F0F" w:rsidP="0054203E">
            <w:pPr>
              <w:rPr>
                <w:sz w:val="18"/>
                <w:szCs w:val="18"/>
              </w:rPr>
            </w:pPr>
            <w:r>
              <w:rPr>
                <w:sz w:val="18"/>
                <w:szCs w:val="18"/>
              </w:rPr>
              <w:t>1, 2</w:t>
            </w:r>
          </w:p>
        </w:tc>
        <w:tc>
          <w:tcPr>
            <w:tcW w:w="1276" w:type="dxa"/>
            <w:shd w:val="clear" w:color="auto" w:fill="auto"/>
          </w:tcPr>
          <w:p w14:paraId="61D04DA3" w14:textId="26631C2D" w:rsidR="002A0B4D" w:rsidRDefault="008F2FCE" w:rsidP="0054203E">
            <w:pPr>
              <w:rPr>
                <w:sz w:val="18"/>
                <w:szCs w:val="18"/>
              </w:rPr>
            </w:pPr>
            <w:r>
              <w:rPr>
                <w:sz w:val="18"/>
                <w:szCs w:val="18"/>
              </w:rPr>
              <w:t>MOF</w:t>
            </w:r>
          </w:p>
        </w:tc>
        <w:tc>
          <w:tcPr>
            <w:tcW w:w="1565" w:type="dxa"/>
            <w:shd w:val="clear" w:color="auto" w:fill="auto"/>
          </w:tcPr>
          <w:p w14:paraId="0F3F46BA" w14:textId="2C83F78E" w:rsidR="002A0B4D" w:rsidRDefault="00A262FD" w:rsidP="0054203E">
            <w:pPr>
              <w:rPr>
                <w:sz w:val="18"/>
                <w:szCs w:val="18"/>
              </w:rPr>
            </w:pPr>
            <w:r>
              <w:rPr>
                <w:sz w:val="18"/>
                <w:szCs w:val="18"/>
              </w:rPr>
              <w:t>6.5</w:t>
            </w:r>
          </w:p>
        </w:tc>
        <w:tc>
          <w:tcPr>
            <w:tcW w:w="987" w:type="dxa"/>
            <w:shd w:val="clear" w:color="auto" w:fill="auto"/>
          </w:tcPr>
          <w:p w14:paraId="0988FF40" w14:textId="04BA7826" w:rsidR="002A0B4D" w:rsidRDefault="00A262FD" w:rsidP="0054203E">
            <w:pPr>
              <w:rPr>
                <w:sz w:val="18"/>
                <w:szCs w:val="18"/>
              </w:rPr>
            </w:pPr>
            <w:r>
              <w:rPr>
                <w:sz w:val="18"/>
                <w:szCs w:val="18"/>
              </w:rPr>
              <w:t>-</w:t>
            </w:r>
          </w:p>
        </w:tc>
        <w:tc>
          <w:tcPr>
            <w:tcW w:w="992" w:type="dxa"/>
            <w:shd w:val="clear" w:color="auto" w:fill="auto"/>
          </w:tcPr>
          <w:p w14:paraId="67B4FE22" w14:textId="009FEB27" w:rsidR="002A0B4D" w:rsidRDefault="00A262FD" w:rsidP="0054203E">
            <w:pPr>
              <w:rPr>
                <w:sz w:val="18"/>
                <w:szCs w:val="18"/>
              </w:rPr>
            </w:pPr>
            <w:r>
              <w:rPr>
                <w:sz w:val="18"/>
                <w:szCs w:val="18"/>
              </w:rPr>
              <w:t>-</w:t>
            </w:r>
          </w:p>
        </w:tc>
        <w:tc>
          <w:tcPr>
            <w:tcW w:w="5103" w:type="dxa"/>
            <w:shd w:val="clear" w:color="auto" w:fill="auto"/>
          </w:tcPr>
          <w:p w14:paraId="25864DEC" w14:textId="530960F5" w:rsidR="002A0B4D" w:rsidRDefault="00A22B1B" w:rsidP="0054203E">
            <w:pPr>
              <w:rPr>
                <w:sz w:val="18"/>
                <w:szCs w:val="18"/>
              </w:rPr>
            </w:pPr>
            <w:r w:rsidRPr="00A22B1B">
              <w:rPr>
                <w:sz w:val="18"/>
                <w:szCs w:val="18"/>
              </w:rPr>
              <w:t>Men and women with</w:t>
            </w:r>
            <w:r w:rsidR="008F1E89">
              <w:rPr>
                <w:sz w:val="18"/>
                <w:szCs w:val="18"/>
              </w:rPr>
              <w:t xml:space="preserve"> hip, forearm or proximal humerus fracture</w:t>
            </w:r>
            <w:r w:rsidRPr="00A22B1B">
              <w:rPr>
                <w:sz w:val="18"/>
                <w:szCs w:val="18"/>
              </w:rPr>
              <w:t xml:space="preserve"> in register database</w:t>
            </w:r>
            <w:r w:rsidR="004A3C0F">
              <w:rPr>
                <w:sz w:val="18"/>
                <w:szCs w:val="18"/>
              </w:rPr>
              <w:t xml:space="preserve">.  </w:t>
            </w:r>
            <w:r w:rsidR="004A3C0F" w:rsidRPr="004A3C0F">
              <w:rPr>
                <w:sz w:val="18"/>
                <w:szCs w:val="18"/>
              </w:rPr>
              <w:t xml:space="preserve">1 year incidence = </w:t>
            </w:r>
            <w:r w:rsidR="004A3C0F">
              <w:rPr>
                <w:sz w:val="18"/>
                <w:szCs w:val="18"/>
              </w:rPr>
              <w:t>3.8</w:t>
            </w:r>
            <w:r w:rsidR="004A3C0F" w:rsidRPr="004A3C0F">
              <w:rPr>
                <w:sz w:val="18"/>
                <w:szCs w:val="18"/>
              </w:rPr>
              <w:t>%</w:t>
            </w:r>
          </w:p>
        </w:tc>
      </w:tr>
    </w:tbl>
    <w:p w14:paraId="7EE03E56" w14:textId="7BC46CD1" w:rsidR="00E45540" w:rsidRDefault="00E45540" w:rsidP="00E77889">
      <w:pPr>
        <w:autoSpaceDE w:val="0"/>
        <w:autoSpaceDN w:val="0"/>
        <w:adjustRightInd w:val="0"/>
        <w:spacing w:after="0" w:line="240" w:lineRule="auto"/>
        <w:rPr>
          <w:rFonts w:cstheme="minorHAnsi"/>
          <w:color w:val="131413"/>
        </w:rPr>
      </w:pPr>
    </w:p>
    <w:tbl>
      <w:tblPr>
        <w:tblStyle w:val="TableGrid"/>
        <w:tblW w:w="0" w:type="auto"/>
        <w:tblLook w:val="04A0" w:firstRow="1" w:lastRow="0" w:firstColumn="1" w:lastColumn="0" w:noHBand="0" w:noVBand="1"/>
      </w:tblPr>
      <w:tblGrid>
        <w:gridCol w:w="988"/>
        <w:gridCol w:w="6678"/>
      </w:tblGrid>
      <w:tr w:rsidR="00E45540" w14:paraId="1376A34D" w14:textId="77777777" w:rsidTr="000F49E9">
        <w:tc>
          <w:tcPr>
            <w:tcW w:w="988" w:type="dxa"/>
          </w:tcPr>
          <w:p w14:paraId="76F9282D" w14:textId="31399103" w:rsidR="00E45540" w:rsidRDefault="001D5F42" w:rsidP="00E77889">
            <w:pPr>
              <w:autoSpaceDE w:val="0"/>
              <w:autoSpaceDN w:val="0"/>
              <w:adjustRightInd w:val="0"/>
              <w:rPr>
                <w:rFonts w:cstheme="minorHAnsi"/>
                <w:color w:val="131413"/>
              </w:rPr>
            </w:pPr>
            <w:r>
              <w:rPr>
                <w:rFonts w:cstheme="minorHAnsi"/>
                <w:color w:val="131413"/>
              </w:rPr>
              <w:t>a</w:t>
            </w:r>
          </w:p>
        </w:tc>
        <w:tc>
          <w:tcPr>
            <w:tcW w:w="6678" w:type="dxa"/>
          </w:tcPr>
          <w:p w14:paraId="4F874533" w14:textId="1171C66D" w:rsidR="00E45540" w:rsidRDefault="005A35C2" w:rsidP="00E77889">
            <w:pPr>
              <w:autoSpaceDE w:val="0"/>
              <w:autoSpaceDN w:val="0"/>
              <w:adjustRightInd w:val="0"/>
              <w:rPr>
                <w:rFonts w:cstheme="minorHAnsi"/>
                <w:color w:val="131413"/>
              </w:rPr>
            </w:pPr>
            <w:r>
              <w:rPr>
                <w:rFonts w:cstheme="minorHAnsi"/>
                <w:color w:val="131413"/>
              </w:rPr>
              <w:t>Includes clinical risk factors</w:t>
            </w:r>
            <w:r w:rsidR="00580E9D">
              <w:rPr>
                <w:rFonts w:cstheme="minorHAnsi"/>
                <w:color w:val="131413"/>
              </w:rPr>
              <w:t xml:space="preserve"> with reversibility of risk (yes/no</w:t>
            </w:r>
            <w:r w:rsidR="00A04C8B">
              <w:rPr>
                <w:rFonts w:cstheme="minorHAnsi"/>
                <w:color w:val="131413"/>
              </w:rPr>
              <w:t>/partly)</w:t>
            </w:r>
          </w:p>
        </w:tc>
      </w:tr>
      <w:tr w:rsidR="00E45540" w14:paraId="5744CE5F" w14:textId="77777777" w:rsidTr="000F49E9">
        <w:tc>
          <w:tcPr>
            <w:tcW w:w="988" w:type="dxa"/>
          </w:tcPr>
          <w:p w14:paraId="4963786B" w14:textId="54D5F799" w:rsidR="00E45540" w:rsidRDefault="00A04C8B" w:rsidP="00E77889">
            <w:pPr>
              <w:autoSpaceDE w:val="0"/>
              <w:autoSpaceDN w:val="0"/>
              <w:adjustRightInd w:val="0"/>
              <w:rPr>
                <w:rFonts w:cstheme="minorHAnsi"/>
                <w:color w:val="131413"/>
              </w:rPr>
            </w:pPr>
            <w:r>
              <w:rPr>
                <w:rFonts w:cstheme="minorHAnsi"/>
                <w:color w:val="131413"/>
              </w:rPr>
              <w:t>b</w:t>
            </w:r>
          </w:p>
        </w:tc>
        <w:tc>
          <w:tcPr>
            <w:tcW w:w="6678" w:type="dxa"/>
          </w:tcPr>
          <w:p w14:paraId="080F8A99" w14:textId="76FC7D40" w:rsidR="00E45540" w:rsidRDefault="003F3987" w:rsidP="00E77889">
            <w:pPr>
              <w:autoSpaceDE w:val="0"/>
              <w:autoSpaceDN w:val="0"/>
              <w:adjustRightInd w:val="0"/>
              <w:rPr>
                <w:rFonts w:cstheme="minorHAnsi"/>
                <w:color w:val="131413"/>
              </w:rPr>
            </w:pPr>
            <w:r>
              <w:rPr>
                <w:rFonts w:cstheme="minorHAnsi"/>
                <w:color w:val="131413"/>
              </w:rPr>
              <w:t>Includes women only</w:t>
            </w:r>
          </w:p>
        </w:tc>
      </w:tr>
      <w:tr w:rsidR="00E45540" w14:paraId="2E491183" w14:textId="77777777" w:rsidTr="000F49E9">
        <w:tc>
          <w:tcPr>
            <w:tcW w:w="988" w:type="dxa"/>
          </w:tcPr>
          <w:p w14:paraId="05ADF499" w14:textId="4E27721E" w:rsidR="00E45540" w:rsidRDefault="008776D6" w:rsidP="00E77889">
            <w:pPr>
              <w:autoSpaceDE w:val="0"/>
              <w:autoSpaceDN w:val="0"/>
              <w:adjustRightInd w:val="0"/>
              <w:rPr>
                <w:rFonts w:cstheme="minorHAnsi"/>
                <w:color w:val="131413"/>
              </w:rPr>
            </w:pPr>
            <w:r>
              <w:rPr>
                <w:rFonts w:cstheme="minorHAnsi"/>
                <w:color w:val="131413"/>
              </w:rPr>
              <w:t>n</w:t>
            </w:r>
            <w:r w:rsidR="00490816">
              <w:rPr>
                <w:rFonts w:cstheme="minorHAnsi"/>
                <w:color w:val="131413"/>
              </w:rPr>
              <w:t>a</w:t>
            </w:r>
          </w:p>
        </w:tc>
        <w:tc>
          <w:tcPr>
            <w:tcW w:w="6678" w:type="dxa"/>
          </w:tcPr>
          <w:p w14:paraId="7D8D3C23" w14:textId="50C19AC3" w:rsidR="00E45540" w:rsidRDefault="008776D6" w:rsidP="00E77889">
            <w:pPr>
              <w:autoSpaceDE w:val="0"/>
              <w:autoSpaceDN w:val="0"/>
              <w:adjustRightInd w:val="0"/>
              <w:rPr>
                <w:rFonts w:cstheme="minorHAnsi"/>
                <w:color w:val="131413"/>
              </w:rPr>
            </w:pPr>
            <w:r>
              <w:rPr>
                <w:rFonts w:cstheme="minorHAnsi"/>
                <w:color w:val="131413"/>
              </w:rPr>
              <w:t xml:space="preserve">Not </w:t>
            </w:r>
            <w:r w:rsidR="00490816">
              <w:rPr>
                <w:rFonts w:cstheme="minorHAnsi"/>
                <w:color w:val="131413"/>
              </w:rPr>
              <w:t>assessed</w:t>
            </w:r>
          </w:p>
        </w:tc>
      </w:tr>
      <w:tr w:rsidR="003F3987" w14:paraId="74C0A9EB" w14:textId="77777777" w:rsidTr="000F49E9">
        <w:tc>
          <w:tcPr>
            <w:tcW w:w="988" w:type="dxa"/>
          </w:tcPr>
          <w:p w14:paraId="60FB8AD5" w14:textId="189DAF28" w:rsidR="003F3987" w:rsidRDefault="00E35E8F" w:rsidP="00E77889">
            <w:pPr>
              <w:autoSpaceDE w:val="0"/>
              <w:autoSpaceDN w:val="0"/>
              <w:adjustRightInd w:val="0"/>
              <w:rPr>
                <w:rFonts w:cstheme="minorHAnsi"/>
                <w:color w:val="131413"/>
              </w:rPr>
            </w:pPr>
            <w:r>
              <w:rPr>
                <w:rFonts w:cstheme="minorHAnsi"/>
                <w:color w:val="131413"/>
              </w:rPr>
              <w:t>MOF</w:t>
            </w:r>
          </w:p>
        </w:tc>
        <w:tc>
          <w:tcPr>
            <w:tcW w:w="6678" w:type="dxa"/>
          </w:tcPr>
          <w:p w14:paraId="2D0A0724" w14:textId="58C1E98B" w:rsidR="003F3987" w:rsidRDefault="00E35E8F" w:rsidP="00E77889">
            <w:pPr>
              <w:autoSpaceDE w:val="0"/>
              <w:autoSpaceDN w:val="0"/>
              <w:adjustRightInd w:val="0"/>
              <w:rPr>
                <w:rFonts w:cstheme="minorHAnsi"/>
                <w:color w:val="131413"/>
              </w:rPr>
            </w:pPr>
            <w:r>
              <w:rPr>
                <w:rFonts w:cstheme="minorHAnsi"/>
                <w:color w:val="131413"/>
              </w:rPr>
              <w:t>Major osteoporotic fracture</w:t>
            </w:r>
          </w:p>
        </w:tc>
      </w:tr>
    </w:tbl>
    <w:p w14:paraId="398F7D58" w14:textId="20A1DD0F" w:rsidR="00E45540" w:rsidRDefault="00E45540" w:rsidP="00E77889">
      <w:pPr>
        <w:autoSpaceDE w:val="0"/>
        <w:autoSpaceDN w:val="0"/>
        <w:adjustRightInd w:val="0"/>
        <w:spacing w:after="0" w:line="240" w:lineRule="auto"/>
        <w:rPr>
          <w:rFonts w:cstheme="minorHAnsi"/>
          <w:color w:val="131413"/>
        </w:rPr>
      </w:pPr>
    </w:p>
    <w:sectPr w:rsidR="00E45540" w:rsidSect="004C41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A11E" w14:textId="77777777" w:rsidR="00E35C9B" w:rsidRDefault="00E35C9B" w:rsidP="00C80BF4">
      <w:pPr>
        <w:spacing w:after="0" w:line="240" w:lineRule="auto"/>
      </w:pPr>
      <w:r>
        <w:separator/>
      </w:r>
    </w:p>
  </w:endnote>
  <w:endnote w:type="continuationSeparator" w:id="0">
    <w:p w14:paraId="2D8CA99A" w14:textId="77777777" w:rsidR="00E35C9B" w:rsidRDefault="00E35C9B" w:rsidP="00C80BF4">
      <w:pPr>
        <w:spacing w:after="0" w:line="240" w:lineRule="auto"/>
      </w:pPr>
      <w:r>
        <w:continuationSeparator/>
      </w:r>
    </w:p>
  </w:endnote>
  <w:endnote w:type="continuationNotice" w:id="1">
    <w:p w14:paraId="7CECD09A" w14:textId="77777777" w:rsidR="00E35C9B" w:rsidRDefault="00E35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dvOT596495f2+22">
    <w:altName w:val="Yu Gothic"/>
    <w:panose1 w:val="00000000000000000000"/>
    <w:charset w:val="80"/>
    <w:family w:val="auto"/>
    <w:notTrueType/>
    <w:pitch w:val="default"/>
    <w:sig w:usb0="00000001" w:usb1="08070000" w:usb2="00000010" w:usb3="00000000" w:csb0="00020000" w:csb1="00000000"/>
  </w:font>
  <w:font w:name="AdvOT46dcae81">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803019"/>
      <w:docPartObj>
        <w:docPartGallery w:val="Page Numbers (Bottom of Page)"/>
        <w:docPartUnique/>
      </w:docPartObj>
    </w:sdtPr>
    <w:sdtEndPr>
      <w:rPr>
        <w:noProof/>
      </w:rPr>
    </w:sdtEndPr>
    <w:sdtContent>
      <w:p w14:paraId="18289BAF" w14:textId="3D42BF50" w:rsidR="00C80BF4" w:rsidRDefault="00C80BF4">
        <w:pPr>
          <w:pStyle w:val="Footer"/>
          <w:jc w:val="right"/>
        </w:pPr>
        <w:r>
          <w:fldChar w:fldCharType="begin"/>
        </w:r>
        <w:r>
          <w:instrText xml:space="preserve"> PAGE   \* MERGEFORMAT </w:instrText>
        </w:r>
        <w:r>
          <w:fldChar w:fldCharType="separate"/>
        </w:r>
        <w:r w:rsidR="00670B7E">
          <w:rPr>
            <w:noProof/>
          </w:rPr>
          <w:t>1</w:t>
        </w:r>
        <w:r>
          <w:rPr>
            <w:noProof/>
          </w:rPr>
          <w:fldChar w:fldCharType="end"/>
        </w:r>
      </w:p>
    </w:sdtContent>
  </w:sdt>
  <w:p w14:paraId="08A63338" w14:textId="77777777" w:rsidR="00C80BF4" w:rsidRDefault="00C80BF4" w:rsidP="004C4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7F52E" w14:textId="77777777" w:rsidR="00E35C9B" w:rsidRDefault="00E35C9B" w:rsidP="00C80BF4">
      <w:pPr>
        <w:spacing w:after="0" w:line="240" w:lineRule="auto"/>
      </w:pPr>
      <w:r>
        <w:separator/>
      </w:r>
    </w:p>
  </w:footnote>
  <w:footnote w:type="continuationSeparator" w:id="0">
    <w:p w14:paraId="52379D95" w14:textId="77777777" w:rsidR="00E35C9B" w:rsidRDefault="00E35C9B" w:rsidP="00C80BF4">
      <w:pPr>
        <w:spacing w:after="0" w:line="240" w:lineRule="auto"/>
      </w:pPr>
      <w:r>
        <w:continuationSeparator/>
      </w:r>
    </w:p>
  </w:footnote>
  <w:footnote w:type="continuationNotice" w:id="1">
    <w:p w14:paraId="712623A6" w14:textId="77777777" w:rsidR="00E35C9B" w:rsidRDefault="00E35C9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04C1" w14:textId="77777777" w:rsidR="00315A04" w:rsidRDefault="00315A04" w:rsidP="004C4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D5"/>
    <w:rsid w:val="00004D0F"/>
    <w:rsid w:val="00004FA4"/>
    <w:rsid w:val="000113D6"/>
    <w:rsid w:val="00022B1D"/>
    <w:rsid w:val="00030524"/>
    <w:rsid w:val="00032DD7"/>
    <w:rsid w:val="00032E0C"/>
    <w:rsid w:val="00033346"/>
    <w:rsid w:val="000346DD"/>
    <w:rsid w:val="000404DB"/>
    <w:rsid w:val="000407E9"/>
    <w:rsid w:val="00040CBB"/>
    <w:rsid w:val="000430E3"/>
    <w:rsid w:val="0004341B"/>
    <w:rsid w:val="0004472A"/>
    <w:rsid w:val="000466A0"/>
    <w:rsid w:val="00052B35"/>
    <w:rsid w:val="0005442A"/>
    <w:rsid w:val="000568AE"/>
    <w:rsid w:val="00064D7B"/>
    <w:rsid w:val="00065397"/>
    <w:rsid w:val="00073BF7"/>
    <w:rsid w:val="0008083E"/>
    <w:rsid w:val="00083C1B"/>
    <w:rsid w:val="000844B6"/>
    <w:rsid w:val="000852B7"/>
    <w:rsid w:val="0008652E"/>
    <w:rsid w:val="00086986"/>
    <w:rsid w:val="00086B10"/>
    <w:rsid w:val="00090D88"/>
    <w:rsid w:val="00094DD2"/>
    <w:rsid w:val="00096428"/>
    <w:rsid w:val="000A3E8E"/>
    <w:rsid w:val="000B0B45"/>
    <w:rsid w:val="000B1A40"/>
    <w:rsid w:val="000B3E2C"/>
    <w:rsid w:val="000B43F7"/>
    <w:rsid w:val="000B4CED"/>
    <w:rsid w:val="000B4ED7"/>
    <w:rsid w:val="000C30B3"/>
    <w:rsid w:val="000C3BCD"/>
    <w:rsid w:val="000C4F94"/>
    <w:rsid w:val="000C5653"/>
    <w:rsid w:val="000C6C63"/>
    <w:rsid w:val="000D1F21"/>
    <w:rsid w:val="000D236F"/>
    <w:rsid w:val="000D4A27"/>
    <w:rsid w:val="000D74B0"/>
    <w:rsid w:val="000E63D8"/>
    <w:rsid w:val="000F01C0"/>
    <w:rsid w:val="000F49E9"/>
    <w:rsid w:val="000F688C"/>
    <w:rsid w:val="000F7DEF"/>
    <w:rsid w:val="00100913"/>
    <w:rsid w:val="0010288F"/>
    <w:rsid w:val="00103DAF"/>
    <w:rsid w:val="00103FFD"/>
    <w:rsid w:val="00106AC0"/>
    <w:rsid w:val="00106D61"/>
    <w:rsid w:val="00114283"/>
    <w:rsid w:val="00115AA3"/>
    <w:rsid w:val="001171EA"/>
    <w:rsid w:val="00120D9E"/>
    <w:rsid w:val="00124816"/>
    <w:rsid w:val="00130119"/>
    <w:rsid w:val="001301C2"/>
    <w:rsid w:val="00130B33"/>
    <w:rsid w:val="00131E61"/>
    <w:rsid w:val="00134F0F"/>
    <w:rsid w:val="001354F8"/>
    <w:rsid w:val="001378DC"/>
    <w:rsid w:val="001417A6"/>
    <w:rsid w:val="001457C6"/>
    <w:rsid w:val="001470D8"/>
    <w:rsid w:val="001476AF"/>
    <w:rsid w:val="00150C01"/>
    <w:rsid w:val="00154F80"/>
    <w:rsid w:val="00157E3D"/>
    <w:rsid w:val="001609A9"/>
    <w:rsid w:val="00161CBF"/>
    <w:rsid w:val="00163149"/>
    <w:rsid w:val="001631DC"/>
    <w:rsid w:val="001650C6"/>
    <w:rsid w:val="00170E45"/>
    <w:rsid w:val="00173060"/>
    <w:rsid w:val="0018186E"/>
    <w:rsid w:val="00181E6E"/>
    <w:rsid w:val="00183038"/>
    <w:rsid w:val="001834EB"/>
    <w:rsid w:val="00185D35"/>
    <w:rsid w:val="00193888"/>
    <w:rsid w:val="00197C1A"/>
    <w:rsid w:val="001A5396"/>
    <w:rsid w:val="001B30B7"/>
    <w:rsid w:val="001B4B79"/>
    <w:rsid w:val="001D16FA"/>
    <w:rsid w:val="001D541F"/>
    <w:rsid w:val="001D5F42"/>
    <w:rsid w:val="001D6C6E"/>
    <w:rsid w:val="001D6F05"/>
    <w:rsid w:val="001F1F34"/>
    <w:rsid w:val="001F297D"/>
    <w:rsid w:val="001F3953"/>
    <w:rsid w:val="001F42A0"/>
    <w:rsid w:val="001F430A"/>
    <w:rsid w:val="001F5B7A"/>
    <w:rsid w:val="001F72F9"/>
    <w:rsid w:val="002031D8"/>
    <w:rsid w:val="00203EA6"/>
    <w:rsid w:val="002126AA"/>
    <w:rsid w:val="00212D71"/>
    <w:rsid w:val="00214214"/>
    <w:rsid w:val="0021651C"/>
    <w:rsid w:val="002207DE"/>
    <w:rsid w:val="00230105"/>
    <w:rsid w:val="00231C88"/>
    <w:rsid w:val="00232622"/>
    <w:rsid w:val="0023516C"/>
    <w:rsid w:val="00237F0E"/>
    <w:rsid w:val="00240298"/>
    <w:rsid w:val="002406AE"/>
    <w:rsid w:val="00242E14"/>
    <w:rsid w:val="00245236"/>
    <w:rsid w:val="00247CA0"/>
    <w:rsid w:val="00255533"/>
    <w:rsid w:val="002565F7"/>
    <w:rsid w:val="00261455"/>
    <w:rsid w:val="00262A6E"/>
    <w:rsid w:val="002667FC"/>
    <w:rsid w:val="002765D3"/>
    <w:rsid w:val="00282C14"/>
    <w:rsid w:val="0028719C"/>
    <w:rsid w:val="00297B2B"/>
    <w:rsid w:val="002A0273"/>
    <w:rsid w:val="002A0A8E"/>
    <w:rsid w:val="002A0B4D"/>
    <w:rsid w:val="002A6BC7"/>
    <w:rsid w:val="002B02E7"/>
    <w:rsid w:val="002B0613"/>
    <w:rsid w:val="002B698F"/>
    <w:rsid w:val="002B777A"/>
    <w:rsid w:val="002C215B"/>
    <w:rsid w:val="002C44EF"/>
    <w:rsid w:val="002C7C12"/>
    <w:rsid w:val="002D009C"/>
    <w:rsid w:val="002D1589"/>
    <w:rsid w:val="002D30C4"/>
    <w:rsid w:val="002D6D8E"/>
    <w:rsid w:val="002D768F"/>
    <w:rsid w:val="002E0802"/>
    <w:rsid w:val="002E27D9"/>
    <w:rsid w:val="002E73DA"/>
    <w:rsid w:val="002E7427"/>
    <w:rsid w:val="002F08A3"/>
    <w:rsid w:val="002F22F2"/>
    <w:rsid w:val="002F4A2A"/>
    <w:rsid w:val="002F6EC1"/>
    <w:rsid w:val="00301155"/>
    <w:rsid w:val="003066AB"/>
    <w:rsid w:val="00310460"/>
    <w:rsid w:val="00313094"/>
    <w:rsid w:val="0031340E"/>
    <w:rsid w:val="00315A04"/>
    <w:rsid w:val="003166CE"/>
    <w:rsid w:val="003173A3"/>
    <w:rsid w:val="003248B0"/>
    <w:rsid w:val="00324B1D"/>
    <w:rsid w:val="00331911"/>
    <w:rsid w:val="003410AD"/>
    <w:rsid w:val="003419CF"/>
    <w:rsid w:val="003427AE"/>
    <w:rsid w:val="003430B5"/>
    <w:rsid w:val="00344B25"/>
    <w:rsid w:val="00347084"/>
    <w:rsid w:val="00350467"/>
    <w:rsid w:val="003605DA"/>
    <w:rsid w:val="003608C9"/>
    <w:rsid w:val="003613A1"/>
    <w:rsid w:val="00365A4B"/>
    <w:rsid w:val="00376715"/>
    <w:rsid w:val="0038022F"/>
    <w:rsid w:val="00385127"/>
    <w:rsid w:val="003868D2"/>
    <w:rsid w:val="003915EC"/>
    <w:rsid w:val="003919A1"/>
    <w:rsid w:val="00393884"/>
    <w:rsid w:val="00393E05"/>
    <w:rsid w:val="00397CB3"/>
    <w:rsid w:val="00397FEE"/>
    <w:rsid w:val="003A1B1C"/>
    <w:rsid w:val="003A268B"/>
    <w:rsid w:val="003A6A73"/>
    <w:rsid w:val="003A726D"/>
    <w:rsid w:val="003A7F76"/>
    <w:rsid w:val="003B4B39"/>
    <w:rsid w:val="003B6279"/>
    <w:rsid w:val="003C1D43"/>
    <w:rsid w:val="003D0C51"/>
    <w:rsid w:val="003D472E"/>
    <w:rsid w:val="003D4B96"/>
    <w:rsid w:val="003E2589"/>
    <w:rsid w:val="003E3755"/>
    <w:rsid w:val="003E794C"/>
    <w:rsid w:val="003F3987"/>
    <w:rsid w:val="003F3B50"/>
    <w:rsid w:val="00403125"/>
    <w:rsid w:val="00403B9A"/>
    <w:rsid w:val="00404DCD"/>
    <w:rsid w:val="004055DA"/>
    <w:rsid w:val="004104D1"/>
    <w:rsid w:val="004156FA"/>
    <w:rsid w:val="00415A66"/>
    <w:rsid w:val="00421376"/>
    <w:rsid w:val="004248D1"/>
    <w:rsid w:val="00424CBE"/>
    <w:rsid w:val="00425DBC"/>
    <w:rsid w:val="00426D3E"/>
    <w:rsid w:val="00430BDE"/>
    <w:rsid w:val="00434DAF"/>
    <w:rsid w:val="0043735A"/>
    <w:rsid w:val="00437FB3"/>
    <w:rsid w:val="00440C0C"/>
    <w:rsid w:val="00444A51"/>
    <w:rsid w:val="00444B36"/>
    <w:rsid w:val="00450777"/>
    <w:rsid w:val="004510CA"/>
    <w:rsid w:val="00451395"/>
    <w:rsid w:val="00452542"/>
    <w:rsid w:val="0045351F"/>
    <w:rsid w:val="0045382D"/>
    <w:rsid w:val="00453F8C"/>
    <w:rsid w:val="004604ED"/>
    <w:rsid w:val="0046175D"/>
    <w:rsid w:val="004672F5"/>
    <w:rsid w:val="00470ADB"/>
    <w:rsid w:val="00470D29"/>
    <w:rsid w:val="004764DB"/>
    <w:rsid w:val="004775A7"/>
    <w:rsid w:val="00480D8C"/>
    <w:rsid w:val="00483234"/>
    <w:rsid w:val="00490816"/>
    <w:rsid w:val="00492A62"/>
    <w:rsid w:val="00497F49"/>
    <w:rsid w:val="004A3C0F"/>
    <w:rsid w:val="004A4A63"/>
    <w:rsid w:val="004A67A8"/>
    <w:rsid w:val="004B0567"/>
    <w:rsid w:val="004B52E5"/>
    <w:rsid w:val="004B5D00"/>
    <w:rsid w:val="004C2092"/>
    <w:rsid w:val="004C3308"/>
    <w:rsid w:val="004C4145"/>
    <w:rsid w:val="004C565B"/>
    <w:rsid w:val="004C6BAE"/>
    <w:rsid w:val="004C76FC"/>
    <w:rsid w:val="004D09AA"/>
    <w:rsid w:val="004D2108"/>
    <w:rsid w:val="004D2D3D"/>
    <w:rsid w:val="004E1631"/>
    <w:rsid w:val="004E1A90"/>
    <w:rsid w:val="004F2ABA"/>
    <w:rsid w:val="004F5CA1"/>
    <w:rsid w:val="005011A4"/>
    <w:rsid w:val="0050260C"/>
    <w:rsid w:val="005039B2"/>
    <w:rsid w:val="0050611B"/>
    <w:rsid w:val="00515392"/>
    <w:rsid w:val="00515837"/>
    <w:rsid w:val="00516209"/>
    <w:rsid w:val="00517779"/>
    <w:rsid w:val="00517B8F"/>
    <w:rsid w:val="005244F3"/>
    <w:rsid w:val="005319A5"/>
    <w:rsid w:val="00536F33"/>
    <w:rsid w:val="0054203E"/>
    <w:rsid w:val="00545D69"/>
    <w:rsid w:val="00550D94"/>
    <w:rsid w:val="005518EC"/>
    <w:rsid w:val="005548B4"/>
    <w:rsid w:val="0056299E"/>
    <w:rsid w:val="00562AE4"/>
    <w:rsid w:val="00563E4D"/>
    <w:rsid w:val="005718BE"/>
    <w:rsid w:val="00571F08"/>
    <w:rsid w:val="005739C0"/>
    <w:rsid w:val="00573CFE"/>
    <w:rsid w:val="00580E9D"/>
    <w:rsid w:val="0058324E"/>
    <w:rsid w:val="0058327B"/>
    <w:rsid w:val="0058425D"/>
    <w:rsid w:val="0059009A"/>
    <w:rsid w:val="00591552"/>
    <w:rsid w:val="00592390"/>
    <w:rsid w:val="00593B52"/>
    <w:rsid w:val="005973C7"/>
    <w:rsid w:val="005A20FE"/>
    <w:rsid w:val="005A35C2"/>
    <w:rsid w:val="005A35E4"/>
    <w:rsid w:val="005A3EF4"/>
    <w:rsid w:val="005A7B9A"/>
    <w:rsid w:val="005B115E"/>
    <w:rsid w:val="005B4BEC"/>
    <w:rsid w:val="005B71F2"/>
    <w:rsid w:val="005C0CE9"/>
    <w:rsid w:val="005C18F5"/>
    <w:rsid w:val="005C33A5"/>
    <w:rsid w:val="005C775D"/>
    <w:rsid w:val="005D69E3"/>
    <w:rsid w:val="005D7F37"/>
    <w:rsid w:val="005E1E98"/>
    <w:rsid w:val="005E5294"/>
    <w:rsid w:val="005E6983"/>
    <w:rsid w:val="005F0941"/>
    <w:rsid w:val="005F2CBF"/>
    <w:rsid w:val="005F4A65"/>
    <w:rsid w:val="005F74E4"/>
    <w:rsid w:val="006032C0"/>
    <w:rsid w:val="006033F4"/>
    <w:rsid w:val="00614126"/>
    <w:rsid w:val="00615E76"/>
    <w:rsid w:val="00617963"/>
    <w:rsid w:val="00617AF3"/>
    <w:rsid w:val="006206DD"/>
    <w:rsid w:val="00621A00"/>
    <w:rsid w:val="00622C02"/>
    <w:rsid w:val="00623BB2"/>
    <w:rsid w:val="006467A1"/>
    <w:rsid w:val="00646844"/>
    <w:rsid w:val="006529F8"/>
    <w:rsid w:val="00654DB9"/>
    <w:rsid w:val="00655A82"/>
    <w:rsid w:val="00663A1C"/>
    <w:rsid w:val="0066403D"/>
    <w:rsid w:val="00664769"/>
    <w:rsid w:val="00666C42"/>
    <w:rsid w:val="0066729F"/>
    <w:rsid w:val="00667564"/>
    <w:rsid w:val="00670A28"/>
    <w:rsid w:val="00670B7E"/>
    <w:rsid w:val="00671A03"/>
    <w:rsid w:val="00673D8F"/>
    <w:rsid w:val="00673F14"/>
    <w:rsid w:val="00676BB3"/>
    <w:rsid w:val="00676EA9"/>
    <w:rsid w:val="0068120F"/>
    <w:rsid w:val="00683362"/>
    <w:rsid w:val="006856B3"/>
    <w:rsid w:val="00686481"/>
    <w:rsid w:val="006879FB"/>
    <w:rsid w:val="00690171"/>
    <w:rsid w:val="00692AE4"/>
    <w:rsid w:val="00693B4A"/>
    <w:rsid w:val="0069569F"/>
    <w:rsid w:val="0069740E"/>
    <w:rsid w:val="006A0AFD"/>
    <w:rsid w:val="006A21BC"/>
    <w:rsid w:val="006A23C2"/>
    <w:rsid w:val="006B04BC"/>
    <w:rsid w:val="006B04C1"/>
    <w:rsid w:val="006B077A"/>
    <w:rsid w:val="006B2DA8"/>
    <w:rsid w:val="006B42FD"/>
    <w:rsid w:val="006B584F"/>
    <w:rsid w:val="006C761D"/>
    <w:rsid w:val="006D2563"/>
    <w:rsid w:val="006D289F"/>
    <w:rsid w:val="006E127C"/>
    <w:rsid w:val="006E1429"/>
    <w:rsid w:val="006E206B"/>
    <w:rsid w:val="006E3226"/>
    <w:rsid w:val="006E46A2"/>
    <w:rsid w:val="006E48D3"/>
    <w:rsid w:val="006E5BA7"/>
    <w:rsid w:val="006F2223"/>
    <w:rsid w:val="006F3B52"/>
    <w:rsid w:val="00702494"/>
    <w:rsid w:val="00703DE9"/>
    <w:rsid w:val="00706B8A"/>
    <w:rsid w:val="00711B20"/>
    <w:rsid w:val="00712C88"/>
    <w:rsid w:val="00715DC9"/>
    <w:rsid w:val="00717056"/>
    <w:rsid w:val="007208D1"/>
    <w:rsid w:val="007210D8"/>
    <w:rsid w:val="0072282F"/>
    <w:rsid w:val="00731198"/>
    <w:rsid w:val="0073182F"/>
    <w:rsid w:val="00731E15"/>
    <w:rsid w:val="00733876"/>
    <w:rsid w:val="007367D5"/>
    <w:rsid w:val="00740F30"/>
    <w:rsid w:val="00741E3D"/>
    <w:rsid w:val="00745472"/>
    <w:rsid w:val="00745DC9"/>
    <w:rsid w:val="00753D68"/>
    <w:rsid w:val="007574AB"/>
    <w:rsid w:val="00757C70"/>
    <w:rsid w:val="00760628"/>
    <w:rsid w:val="007655F8"/>
    <w:rsid w:val="00770607"/>
    <w:rsid w:val="00770CE0"/>
    <w:rsid w:val="00773212"/>
    <w:rsid w:val="0077583B"/>
    <w:rsid w:val="00776E34"/>
    <w:rsid w:val="00783C9A"/>
    <w:rsid w:val="00787EFB"/>
    <w:rsid w:val="007902CF"/>
    <w:rsid w:val="00793380"/>
    <w:rsid w:val="00797783"/>
    <w:rsid w:val="007A53F6"/>
    <w:rsid w:val="007B067E"/>
    <w:rsid w:val="007C1A55"/>
    <w:rsid w:val="007C2583"/>
    <w:rsid w:val="007C5FA1"/>
    <w:rsid w:val="007C6374"/>
    <w:rsid w:val="007C64EB"/>
    <w:rsid w:val="007D085B"/>
    <w:rsid w:val="007D1A59"/>
    <w:rsid w:val="007D2F00"/>
    <w:rsid w:val="007D3AEA"/>
    <w:rsid w:val="007D4FAE"/>
    <w:rsid w:val="007D5097"/>
    <w:rsid w:val="007D712C"/>
    <w:rsid w:val="007D7EAC"/>
    <w:rsid w:val="007F30E2"/>
    <w:rsid w:val="007F382E"/>
    <w:rsid w:val="007F4D4D"/>
    <w:rsid w:val="00803041"/>
    <w:rsid w:val="0080525A"/>
    <w:rsid w:val="00807E19"/>
    <w:rsid w:val="008134EA"/>
    <w:rsid w:val="00813D95"/>
    <w:rsid w:val="008231E5"/>
    <w:rsid w:val="008259DA"/>
    <w:rsid w:val="00832177"/>
    <w:rsid w:val="00833083"/>
    <w:rsid w:val="00834D09"/>
    <w:rsid w:val="00835B01"/>
    <w:rsid w:val="00841475"/>
    <w:rsid w:val="00844431"/>
    <w:rsid w:val="00846663"/>
    <w:rsid w:val="00850421"/>
    <w:rsid w:val="0085148C"/>
    <w:rsid w:val="00852CF1"/>
    <w:rsid w:val="00854EBE"/>
    <w:rsid w:val="008571DB"/>
    <w:rsid w:val="008576CC"/>
    <w:rsid w:val="0086100F"/>
    <w:rsid w:val="00863CFF"/>
    <w:rsid w:val="00866AE7"/>
    <w:rsid w:val="0087557F"/>
    <w:rsid w:val="008760AE"/>
    <w:rsid w:val="008776D6"/>
    <w:rsid w:val="0088112C"/>
    <w:rsid w:val="0088632E"/>
    <w:rsid w:val="008919EB"/>
    <w:rsid w:val="008922D3"/>
    <w:rsid w:val="00893582"/>
    <w:rsid w:val="008974E2"/>
    <w:rsid w:val="008A125C"/>
    <w:rsid w:val="008A1779"/>
    <w:rsid w:val="008A51E7"/>
    <w:rsid w:val="008A69A1"/>
    <w:rsid w:val="008B1298"/>
    <w:rsid w:val="008B42DE"/>
    <w:rsid w:val="008B4411"/>
    <w:rsid w:val="008B5ED0"/>
    <w:rsid w:val="008D06DA"/>
    <w:rsid w:val="008D4F4A"/>
    <w:rsid w:val="008D786E"/>
    <w:rsid w:val="008E1BE5"/>
    <w:rsid w:val="008E2516"/>
    <w:rsid w:val="008E4B91"/>
    <w:rsid w:val="008F1E89"/>
    <w:rsid w:val="008F2FCE"/>
    <w:rsid w:val="008F6459"/>
    <w:rsid w:val="008F741F"/>
    <w:rsid w:val="0090116E"/>
    <w:rsid w:val="0090447D"/>
    <w:rsid w:val="00907DC2"/>
    <w:rsid w:val="009130B9"/>
    <w:rsid w:val="00914B27"/>
    <w:rsid w:val="00915104"/>
    <w:rsid w:val="0091567E"/>
    <w:rsid w:val="00916226"/>
    <w:rsid w:val="009169D5"/>
    <w:rsid w:val="009175BF"/>
    <w:rsid w:val="00921FD8"/>
    <w:rsid w:val="009234F4"/>
    <w:rsid w:val="00923D27"/>
    <w:rsid w:val="00923F61"/>
    <w:rsid w:val="0092496F"/>
    <w:rsid w:val="009251C5"/>
    <w:rsid w:val="0093011A"/>
    <w:rsid w:val="00932D45"/>
    <w:rsid w:val="00933FF6"/>
    <w:rsid w:val="009367C1"/>
    <w:rsid w:val="009367E9"/>
    <w:rsid w:val="0094088B"/>
    <w:rsid w:val="0094161D"/>
    <w:rsid w:val="00943204"/>
    <w:rsid w:val="00945B4D"/>
    <w:rsid w:val="009508C8"/>
    <w:rsid w:val="009525B8"/>
    <w:rsid w:val="009527AB"/>
    <w:rsid w:val="00953C63"/>
    <w:rsid w:val="00954F48"/>
    <w:rsid w:val="0095505B"/>
    <w:rsid w:val="00960CD4"/>
    <w:rsid w:val="00962179"/>
    <w:rsid w:val="00967CFA"/>
    <w:rsid w:val="0097488F"/>
    <w:rsid w:val="00975638"/>
    <w:rsid w:val="00975AD7"/>
    <w:rsid w:val="009768E5"/>
    <w:rsid w:val="00984C3F"/>
    <w:rsid w:val="009851DB"/>
    <w:rsid w:val="009930F4"/>
    <w:rsid w:val="00995A96"/>
    <w:rsid w:val="00997C8B"/>
    <w:rsid w:val="00997F4D"/>
    <w:rsid w:val="009A60BB"/>
    <w:rsid w:val="009A706A"/>
    <w:rsid w:val="009A709A"/>
    <w:rsid w:val="009B0DF2"/>
    <w:rsid w:val="009B3268"/>
    <w:rsid w:val="009B727D"/>
    <w:rsid w:val="009B73A0"/>
    <w:rsid w:val="009C0391"/>
    <w:rsid w:val="009C48E9"/>
    <w:rsid w:val="009E0AB1"/>
    <w:rsid w:val="009E272A"/>
    <w:rsid w:val="009E31DE"/>
    <w:rsid w:val="009E3373"/>
    <w:rsid w:val="009E41A0"/>
    <w:rsid w:val="009F00B8"/>
    <w:rsid w:val="009F19B9"/>
    <w:rsid w:val="009F1B21"/>
    <w:rsid w:val="009F2595"/>
    <w:rsid w:val="009F4C45"/>
    <w:rsid w:val="009F7FBA"/>
    <w:rsid w:val="00A04C8B"/>
    <w:rsid w:val="00A07B83"/>
    <w:rsid w:val="00A131F0"/>
    <w:rsid w:val="00A156E6"/>
    <w:rsid w:val="00A164BC"/>
    <w:rsid w:val="00A171FC"/>
    <w:rsid w:val="00A20007"/>
    <w:rsid w:val="00A22B1B"/>
    <w:rsid w:val="00A25CFA"/>
    <w:rsid w:val="00A262FD"/>
    <w:rsid w:val="00A27D56"/>
    <w:rsid w:val="00A30FCC"/>
    <w:rsid w:val="00A323AF"/>
    <w:rsid w:val="00A32DD7"/>
    <w:rsid w:val="00A33D46"/>
    <w:rsid w:val="00A34626"/>
    <w:rsid w:val="00A36656"/>
    <w:rsid w:val="00A377B6"/>
    <w:rsid w:val="00A43253"/>
    <w:rsid w:val="00A43CE3"/>
    <w:rsid w:val="00A50717"/>
    <w:rsid w:val="00A54393"/>
    <w:rsid w:val="00A5445C"/>
    <w:rsid w:val="00A5765E"/>
    <w:rsid w:val="00A66048"/>
    <w:rsid w:val="00A67567"/>
    <w:rsid w:val="00A70B6D"/>
    <w:rsid w:val="00A8449B"/>
    <w:rsid w:val="00A907EE"/>
    <w:rsid w:val="00A91E6A"/>
    <w:rsid w:val="00A920D8"/>
    <w:rsid w:val="00AA0A12"/>
    <w:rsid w:val="00AA2AC6"/>
    <w:rsid w:val="00AA4C54"/>
    <w:rsid w:val="00AA5F03"/>
    <w:rsid w:val="00AB19C9"/>
    <w:rsid w:val="00AB5106"/>
    <w:rsid w:val="00AB5879"/>
    <w:rsid w:val="00AC1A4A"/>
    <w:rsid w:val="00AC280B"/>
    <w:rsid w:val="00AC313A"/>
    <w:rsid w:val="00AC52E8"/>
    <w:rsid w:val="00AD431A"/>
    <w:rsid w:val="00AD73A0"/>
    <w:rsid w:val="00AE3E81"/>
    <w:rsid w:val="00AE5CF4"/>
    <w:rsid w:val="00AE63D3"/>
    <w:rsid w:val="00AF1321"/>
    <w:rsid w:val="00B017F4"/>
    <w:rsid w:val="00B115C4"/>
    <w:rsid w:val="00B20A99"/>
    <w:rsid w:val="00B22BE3"/>
    <w:rsid w:val="00B3079B"/>
    <w:rsid w:val="00B311CF"/>
    <w:rsid w:val="00B34464"/>
    <w:rsid w:val="00B36365"/>
    <w:rsid w:val="00B36381"/>
    <w:rsid w:val="00B3665B"/>
    <w:rsid w:val="00B37C8B"/>
    <w:rsid w:val="00B4181B"/>
    <w:rsid w:val="00B423AB"/>
    <w:rsid w:val="00B450FF"/>
    <w:rsid w:val="00B462C0"/>
    <w:rsid w:val="00B4745E"/>
    <w:rsid w:val="00B503D9"/>
    <w:rsid w:val="00B53C7A"/>
    <w:rsid w:val="00B56A3D"/>
    <w:rsid w:val="00B61181"/>
    <w:rsid w:val="00B623DD"/>
    <w:rsid w:val="00B62EC8"/>
    <w:rsid w:val="00B63DC2"/>
    <w:rsid w:val="00B674AD"/>
    <w:rsid w:val="00B67BDB"/>
    <w:rsid w:val="00B67CC8"/>
    <w:rsid w:val="00B760F6"/>
    <w:rsid w:val="00B823DE"/>
    <w:rsid w:val="00B95AF0"/>
    <w:rsid w:val="00B971BC"/>
    <w:rsid w:val="00BA3041"/>
    <w:rsid w:val="00BA3B0D"/>
    <w:rsid w:val="00BA7F9D"/>
    <w:rsid w:val="00BB0317"/>
    <w:rsid w:val="00BB26A6"/>
    <w:rsid w:val="00BB2EAB"/>
    <w:rsid w:val="00BB3650"/>
    <w:rsid w:val="00BB54A9"/>
    <w:rsid w:val="00BB57E9"/>
    <w:rsid w:val="00BC28E4"/>
    <w:rsid w:val="00BD1110"/>
    <w:rsid w:val="00BD1BB1"/>
    <w:rsid w:val="00BD581A"/>
    <w:rsid w:val="00BE763B"/>
    <w:rsid w:val="00BF643E"/>
    <w:rsid w:val="00BF6802"/>
    <w:rsid w:val="00BF6E60"/>
    <w:rsid w:val="00C00537"/>
    <w:rsid w:val="00C00578"/>
    <w:rsid w:val="00C07924"/>
    <w:rsid w:val="00C104C5"/>
    <w:rsid w:val="00C10DEE"/>
    <w:rsid w:val="00C11E98"/>
    <w:rsid w:val="00C133E9"/>
    <w:rsid w:val="00C14AD4"/>
    <w:rsid w:val="00C1640E"/>
    <w:rsid w:val="00C166EF"/>
    <w:rsid w:val="00C1738F"/>
    <w:rsid w:val="00C24D85"/>
    <w:rsid w:val="00C32A49"/>
    <w:rsid w:val="00C423AD"/>
    <w:rsid w:val="00C46A92"/>
    <w:rsid w:val="00C47E3B"/>
    <w:rsid w:val="00C5309B"/>
    <w:rsid w:val="00C6112A"/>
    <w:rsid w:val="00C61F9B"/>
    <w:rsid w:val="00C6419E"/>
    <w:rsid w:val="00C673B2"/>
    <w:rsid w:val="00C67F8E"/>
    <w:rsid w:val="00C71AE8"/>
    <w:rsid w:val="00C7212B"/>
    <w:rsid w:val="00C7290E"/>
    <w:rsid w:val="00C774CE"/>
    <w:rsid w:val="00C80BF4"/>
    <w:rsid w:val="00C81F03"/>
    <w:rsid w:val="00C82050"/>
    <w:rsid w:val="00C852E0"/>
    <w:rsid w:val="00C87DAC"/>
    <w:rsid w:val="00C909CF"/>
    <w:rsid w:val="00C915AE"/>
    <w:rsid w:val="00C91E80"/>
    <w:rsid w:val="00C92D3C"/>
    <w:rsid w:val="00C92F72"/>
    <w:rsid w:val="00C97CC8"/>
    <w:rsid w:val="00CA11B6"/>
    <w:rsid w:val="00CA198D"/>
    <w:rsid w:val="00CA22A2"/>
    <w:rsid w:val="00CA3E33"/>
    <w:rsid w:val="00CA4259"/>
    <w:rsid w:val="00CB156E"/>
    <w:rsid w:val="00CB1663"/>
    <w:rsid w:val="00CB7F29"/>
    <w:rsid w:val="00CC3DA0"/>
    <w:rsid w:val="00CC479A"/>
    <w:rsid w:val="00CC49EC"/>
    <w:rsid w:val="00CD0D04"/>
    <w:rsid w:val="00CD14DA"/>
    <w:rsid w:val="00CE1B56"/>
    <w:rsid w:val="00CE1B7A"/>
    <w:rsid w:val="00CE41F9"/>
    <w:rsid w:val="00CE5A8E"/>
    <w:rsid w:val="00CF062F"/>
    <w:rsid w:val="00CF0632"/>
    <w:rsid w:val="00CF2F09"/>
    <w:rsid w:val="00CF5ADC"/>
    <w:rsid w:val="00CF73AD"/>
    <w:rsid w:val="00D05493"/>
    <w:rsid w:val="00D060F0"/>
    <w:rsid w:val="00D0613C"/>
    <w:rsid w:val="00D061C4"/>
    <w:rsid w:val="00D068B1"/>
    <w:rsid w:val="00D11053"/>
    <w:rsid w:val="00D11F95"/>
    <w:rsid w:val="00D1308F"/>
    <w:rsid w:val="00D15119"/>
    <w:rsid w:val="00D15ECC"/>
    <w:rsid w:val="00D1648B"/>
    <w:rsid w:val="00D22F34"/>
    <w:rsid w:val="00D2381C"/>
    <w:rsid w:val="00D26041"/>
    <w:rsid w:val="00D3235A"/>
    <w:rsid w:val="00D3328D"/>
    <w:rsid w:val="00D35002"/>
    <w:rsid w:val="00D35BB3"/>
    <w:rsid w:val="00D36891"/>
    <w:rsid w:val="00D42BF6"/>
    <w:rsid w:val="00D43C55"/>
    <w:rsid w:val="00D45765"/>
    <w:rsid w:val="00D46B59"/>
    <w:rsid w:val="00D50CA5"/>
    <w:rsid w:val="00D51604"/>
    <w:rsid w:val="00D55DE1"/>
    <w:rsid w:val="00D63826"/>
    <w:rsid w:val="00D66571"/>
    <w:rsid w:val="00D67772"/>
    <w:rsid w:val="00D71437"/>
    <w:rsid w:val="00D71D22"/>
    <w:rsid w:val="00D73047"/>
    <w:rsid w:val="00D75986"/>
    <w:rsid w:val="00D760AC"/>
    <w:rsid w:val="00D76E25"/>
    <w:rsid w:val="00D80017"/>
    <w:rsid w:val="00D800F1"/>
    <w:rsid w:val="00D80143"/>
    <w:rsid w:val="00D83C53"/>
    <w:rsid w:val="00D848C4"/>
    <w:rsid w:val="00D8586B"/>
    <w:rsid w:val="00D90BCC"/>
    <w:rsid w:val="00D918D3"/>
    <w:rsid w:val="00D94B57"/>
    <w:rsid w:val="00DA7251"/>
    <w:rsid w:val="00DA75DF"/>
    <w:rsid w:val="00DB0A1B"/>
    <w:rsid w:val="00DB0EC6"/>
    <w:rsid w:val="00DB7320"/>
    <w:rsid w:val="00DC3427"/>
    <w:rsid w:val="00DC37EA"/>
    <w:rsid w:val="00DC4737"/>
    <w:rsid w:val="00DC64B1"/>
    <w:rsid w:val="00DD31C2"/>
    <w:rsid w:val="00DD41FE"/>
    <w:rsid w:val="00DD56F6"/>
    <w:rsid w:val="00DE06B9"/>
    <w:rsid w:val="00DE24CD"/>
    <w:rsid w:val="00DE323E"/>
    <w:rsid w:val="00DE3455"/>
    <w:rsid w:val="00DE4B0E"/>
    <w:rsid w:val="00DE68A0"/>
    <w:rsid w:val="00DF63B8"/>
    <w:rsid w:val="00E01D24"/>
    <w:rsid w:val="00E0590A"/>
    <w:rsid w:val="00E14B5A"/>
    <w:rsid w:val="00E15E11"/>
    <w:rsid w:val="00E20417"/>
    <w:rsid w:val="00E23852"/>
    <w:rsid w:val="00E258EB"/>
    <w:rsid w:val="00E26EEB"/>
    <w:rsid w:val="00E30F6D"/>
    <w:rsid w:val="00E3102D"/>
    <w:rsid w:val="00E33DB2"/>
    <w:rsid w:val="00E35C9B"/>
    <w:rsid w:val="00E35E8F"/>
    <w:rsid w:val="00E361F0"/>
    <w:rsid w:val="00E37F96"/>
    <w:rsid w:val="00E41CE0"/>
    <w:rsid w:val="00E4241D"/>
    <w:rsid w:val="00E4270D"/>
    <w:rsid w:val="00E43287"/>
    <w:rsid w:val="00E45540"/>
    <w:rsid w:val="00E455BF"/>
    <w:rsid w:val="00E55521"/>
    <w:rsid w:val="00E557B9"/>
    <w:rsid w:val="00E55C56"/>
    <w:rsid w:val="00E67BA7"/>
    <w:rsid w:val="00E70A69"/>
    <w:rsid w:val="00E71540"/>
    <w:rsid w:val="00E72221"/>
    <w:rsid w:val="00E767F7"/>
    <w:rsid w:val="00E77889"/>
    <w:rsid w:val="00E7791D"/>
    <w:rsid w:val="00E80AF1"/>
    <w:rsid w:val="00E83343"/>
    <w:rsid w:val="00E85DD1"/>
    <w:rsid w:val="00E96715"/>
    <w:rsid w:val="00E96EF5"/>
    <w:rsid w:val="00EA1178"/>
    <w:rsid w:val="00EA5BB7"/>
    <w:rsid w:val="00EB0712"/>
    <w:rsid w:val="00EB121F"/>
    <w:rsid w:val="00EB3D5E"/>
    <w:rsid w:val="00EC5351"/>
    <w:rsid w:val="00EC5896"/>
    <w:rsid w:val="00EC5E02"/>
    <w:rsid w:val="00ED20C7"/>
    <w:rsid w:val="00ED27B8"/>
    <w:rsid w:val="00ED6A50"/>
    <w:rsid w:val="00EE35DE"/>
    <w:rsid w:val="00EE40DF"/>
    <w:rsid w:val="00EE46FA"/>
    <w:rsid w:val="00EF4A77"/>
    <w:rsid w:val="00EF5B4F"/>
    <w:rsid w:val="00EF5E84"/>
    <w:rsid w:val="00EF79B3"/>
    <w:rsid w:val="00F02CC3"/>
    <w:rsid w:val="00F07083"/>
    <w:rsid w:val="00F11443"/>
    <w:rsid w:val="00F13C5E"/>
    <w:rsid w:val="00F13F60"/>
    <w:rsid w:val="00F1536B"/>
    <w:rsid w:val="00F160D6"/>
    <w:rsid w:val="00F171B5"/>
    <w:rsid w:val="00F1785F"/>
    <w:rsid w:val="00F17878"/>
    <w:rsid w:val="00F21539"/>
    <w:rsid w:val="00F21E06"/>
    <w:rsid w:val="00F235EB"/>
    <w:rsid w:val="00F2376F"/>
    <w:rsid w:val="00F243C3"/>
    <w:rsid w:val="00F300B1"/>
    <w:rsid w:val="00F31C3C"/>
    <w:rsid w:val="00F32324"/>
    <w:rsid w:val="00F32A14"/>
    <w:rsid w:val="00F3327E"/>
    <w:rsid w:val="00F36DDA"/>
    <w:rsid w:val="00F4571C"/>
    <w:rsid w:val="00F47CC6"/>
    <w:rsid w:val="00F525D8"/>
    <w:rsid w:val="00F53110"/>
    <w:rsid w:val="00F575C4"/>
    <w:rsid w:val="00F60E29"/>
    <w:rsid w:val="00F64A0A"/>
    <w:rsid w:val="00F652E0"/>
    <w:rsid w:val="00F65B3B"/>
    <w:rsid w:val="00F676EC"/>
    <w:rsid w:val="00F67DD7"/>
    <w:rsid w:val="00F705CD"/>
    <w:rsid w:val="00F74317"/>
    <w:rsid w:val="00F75A80"/>
    <w:rsid w:val="00F77657"/>
    <w:rsid w:val="00F81F5B"/>
    <w:rsid w:val="00F824AB"/>
    <w:rsid w:val="00F82B73"/>
    <w:rsid w:val="00F8331E"/>
    <w:rsid w:val="00F858F7"/>
    <w:rsid w:val="00F8639C"/>
    <w:rsid w:val="00F9193C"/>
    <w:rsid w:val="00F9321F"/>
    <w:rsid w:val="00F9547C"/>
    <w:rsid w:val="00F96527"/>
    <w:rsid w:val="00F965BA"/>
    <w:rsid w:val="00FA3197"/>
    <w:rsid w:val="00FA3E78"/>
    <w:rsid w:val="00FA5764"/>
    <w:rsid w:val="00FA62BD"/>
    <w:rsid w:val="00FA69EC"/>
    <w:rsid w:val="00FA7B39"/>
    <w:rsid w:val="00FB0C9E"/>
    <w:rsid w:val="00FB289F"/>
    <w:rsid w:val="00FC3178"/>
    <w:rsid w:val="00FC5835"/>
    <w:rsid w:val="00FD0675"/>
    <w:rsid w:val="00FD1AEC"/>
    <w:rsid w:val="00FD1F5B"/>
    <w:rsid w:val="00FD5F28"/>
    <w:rsid w:val="00FE3019"/>
    <w:rsid w:val="00FE4627"/>
    <w:rsid w:val="00FE797B"/>
    <w:rsid w:val="00FE7E96"/>
    <w:rsid w:val="00FF0385"/>
    <w:rsid w:val="00FF1115"/>
    <w:rsid w:val="00FF4F65"/>
    <w:rsid w:val="00FF5DD7"/>
    <w:rsid w:val="00FF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0944"/>
  <w15:chartTrackingRefBased/>
  <w15:docId w15:val="{FD8CFC61-3508-424D-BE25-B3B3A2F7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FA1"/>
    <w:rPr>
      <w:color w:val="0563C1" w:themeColor="hyperlink"/>
      <w:u w:val="single"/>
    </w:rPr>
  </w:style>
  <w:style w:type="character" w:customStyle="1" w:styleId="UnresolvedMention">
    <w:name w:val="Unresolved Mention"/>
    <w:basedOn w:val="DefaultParagraphFont"/>
    <w:uiPriority w:val="99"/>
    <w:semiHidden/>
    <w:unhideWhenUsed/>
    <w:rsid w:val="007C5FA1"/>
    <w:rPr>
      <w:color w:val="605E5C"/>
      <w:shd w:val="clear" w:color="auto" w:fill="E1DFDD"/>
    </w:rPr>
  </w:style>
  <w:style w:type="character" w:styleId="CommentReference">
    <w:name w:val="annotation reference"/>
    <w:basedOn w:val="DefaultParagraphFont"/>
    <w:uiPriority w:val="99"/>
    <w:semiHidden/>
    <w:unhideWhenUsed/>
    <w:rsid w:val="00AC313A"/>
    <w:rPr>
      <w:sz w:val="16"/>
      <w:szCs w:val="16"/>
    </w:rPr>
  </w:style>
  <w:style w:type="paragraph" w:styleId="CommentText">
    <w:name w:val="annotation text"/>
    <w:basedOn w:val="Normal"/>
    <w:link w:val="CommentTextChar"/>
    <w:uiPriority w:val="99"/>
    <w:unhideWhenUsed/>
    <w:rsid w:val="00AC313A"/>
    <w:pPr>
      <w:spacing w:line="240" w:lineRule="auto"/>
    </w:pPr>
    <w:rPr>
      <w:sz w:val="20"/>
      <w:szCs w:val="20"/>
    </w:rPr>
  </w:style>
  <w:style w:type="character" w:customStyle="1" w:styleId="CommentTextChar">
    <w:name w:val="Comment Text Char"/>
    <w:basedOn w:val="DefaultParagraphFont"/>
    <w:link w:val="CommentText"/>
    <w:uiPriority w:val="99"/>
    <w:rsid w:val="00AC313A"/>
    <w:rPr>
      <w:sz w:val="20"/>
      <w:szCs w:val="20"/>
    </w:rPr>
  </w:style>
  <w:style w:type="paragraph" w:styleId="CommentSubject">
    <w:name w:val="annotation subject"/>
    <w:basedOn w:val="CommentText"/>
    <w:next w:val="CommentText"/>
    <w:link w:val="CommentSubjectChar"/>
    <w:uiPriority w:val="99"/>
    <w:semiHidden/>
    <w:unhideWhenUsed/>
    <w:rsid w:val="00AC313A"/>
    <w:rPr>
      <w:b/>
      <w:bCs/>
    </w:rPr>
  </w:style>
  <w:style w:type="character" w:customStyle="1" w:styleId="CommentSubjectChar">
    <w:name w:val="Comment Subject Char"/>
    <w:basedOn w:val="CommentTextChar"/>
    <w:link w:val="CommentSubject"/>
    <w:uiPriority w:val="99"/>
    <w:semiHidden/>
    <w:rsid w:val="00AC313A"/>
    <w:rPr>
      <w:b/>
      <w:bCs/>
      <w:sz w:val="20"/>
      <w:szCs w:val="20"/>
    </w:rPr>
  </w:style>
  <w:style w:type="paragraph" w:styleId="BalloonText">
    <w:name w:val="Balloon Text"/>
    <w:basedOn w:val="Normal"/>
    <w:link w:val="BalloonTextChar"/>
    <w:uiPriority w:val="99"/>
    <w:semiHidden/>
    <w:unhideWhenUsed/>
    <w:rsid w:val="00AC3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3A"/>
    <w:rPr>
      <w:rFonts w:ascii="Segoe UI" w:hAnsi="Segoe UI" w:cs="Segoe UI"/>
      <w:sz w:val="18"/>
      <w:szCs w:val="18"/>
    </w:rPr>
  </w:style>
  <w:style w:type="table" w:customStyle="1" w:styleId="TableGrid3">
    <w:name w:val="Table Grid3"/>
    <w:basedOn w:val="TableNormal"/>
    <w:next w:val="TableGrid"/>
    <w:uiPriority w:val="39"/>
    <w:rsid w:val="00EA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BF4"/>
  </w:style>
  <w:style w:type="paragraph" w:styleId="Footer">
    <w:name w:val="footer"/>
    <w:basedOn w:val="Normal"/>
    <w:link w:val="FooterChar"/>
    <w:uiPriority w:val="99"/>
    <w:unhideWhenUsed/>
    <w:rsid w:val="00C80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BF4"/>
  </w:style>
  <w:style w:type="paragraph" w:styleId="Revision">
    <w:name w:val="Revision"/>
    <w:hidden/>
    <w:uiPriority w:val="99"/>
    <w:semiHidden/>
    <w:rsid w:val="00315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4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mrc.soton.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w.j.pontefract@shef.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3284-2306-4FA2-B53E-D99663CB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4151</Words>
  <Characters>23662</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McCloskey</dc:creator>
  <cp:keywords/>
  <dc:description/>
  <cp:lastModifiedBy>Karen Drake</cp:lastModifiedBy>
  <cp:revision>2</cp:revision>
  <dcterms:created xsi:type="dcterms:W3CDTF">2021-05-04T14:18:00Z</dcterms:created>
  <dcterms:modified xsi:type="dcterms:W3CDTF">2021-05-04T14:18:00Z</dcterms:modified>
</cp:coreProperties>
</file>