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43B8" w14:textId="623BBC66" w:rsidR="00036B1D" w:rsidRDefault="00036B1D" w:rsidP="00036B1D">
      <w:pPr>
        <w:jc w:val="right"/>
        <w:rPr>
          <w:b/>
        </w:rPr>
      </w:pPr>
      <w:r w:rsidRPr="000A4B72">
        <w:rPr>
          <w:b/>
        </w:rPr>
        <w:tab/>
      </w:r>
      <w:r w:rsidRPr="000A4B72">
        <w:rPr>
          <w:b/>
        </w:rPr>
        <w:tab/>
      </w:r>
      <w:r w:rsidRPr="000A4B72">
        <w:rPr>
          <w:b/>
        </w:rPr>
        <w:tab/>
      </w:r>
      <w:r>
        <w:rPr>
          <w:b/>
        </w:rPr>
        <w:tab/>
      </w:r>
      <w:r>
        <w:rPr>
          <w:b/>
        </w:rPr>
        <w:tab/>
        <w:t>Author version of submitted manuscript</w:t>
      </w:r>
    </w:p>
    <w:p w14:paraId="7C8B69D3" w14:textId="77777777" w:rsidR="00036B1D" w:rsidRDefault="00036B1D" w:rsidP="00036B1D">
      <w:pPr>
        <w:jc w:val="right"/>
        <w:rPr>
          <w:b/>
        </w:rPr>
      </w:pPr>
      <w:r>
        <w:rPr>
          <w:b/>
        </w:rPr>
        <w:t>Accepted for publication 3</w:t>
      </w:r>
      <w:r w:rsidRPr="00036B1D">
        <w:rPr>
          <w:b/>
          <w:vertAlign w:val="superscript"/>
        </w:rPr>
        <w:t>rd</w:t>
      </w:r>
      <w:r>
        <w:rPr>
          <w:b/>
        </w:rPr>
        <w:t xml:space="preserve"> November 2020</w:t>
      </w:r>
    </w:p>
    <w:p w14:paraId="28B78F1D" w14:textId="18BEAE09" w:rsidR="00036B1D" w:rsidRDefault="00036B1D" w:rsidP="00036B1D">
      <w:pPr>
        <w:jc w:val="right"/>
        <w:rPr>
          <w:b/>
        </w:rPr>
      </w:pPr>
      <w:r>
        <w:rPr>
          <w:b/>
        </w:rPr>
        <w:t>In Journal of Psychiatric Research</w:t>
      </w:r>
      <w:r>
        <w:rPr>
          <w:b/>
        </w:rPr>
        <w:tab/>
      </w:r>
    </w:p>
    <w:p w14:paraId="7D399D5B" w14:textId="77777777" w:rsidR="00036B1D" w:rsidRDefault="00036B1D" w:rsidP="00036B1D">
      <w:pPr>
        <w:rPr>
          <w:b/>
        </w:rPr>
      </w:pPr>
    </w:p>
    <w:p w14:paraId="76BCED29" w14:textId="606E2977" w:rsidR="00036B1D" w:rsidRPr="000A4B72" w:rsidRDefault="00036B1D" w:rsidP="00036B1D">
      <w:pPr>
        <w:rPr>
          <w:b/>
        </w:rPr>
      </w:pPr>
      <w:r>
        <w:rPr>
          <w:b/>
        </w:rPr>
        <w:tab/>
      </w:r>
      <w:r w:rsidRPr="000A4B72">
        <w:rPr>
          <w:b/>
        </w:rPr>
        <w:t>Word Count:3524</w:t>
      </w:r>
    </w:p>
    <w:p w14:paraId="48E3443E" w14:textId="77777777" w:rsidR="00036B1D" w:rsidRPr="000A4B72" w:rsidRDefault="00036B1D" w:rsidP="00036B1D">
      <w:pPr>
        <w:rPr>
          <w:b/>
        </w:rPr>
      </w:pPr>
    </w:p>
    <w:p w14:paraId="51BDCC39" w14:textId="77777777" w:rsidR="00036B1D" w:rsidRPr="000A4B72" w:rsidRDefault="00036B1D" w:rsidP="00036B1D">
      <w:pPr>
        <w:jc w:val="center"/>
      </w:pPr>
      <w:r w:rsidRPr="000A4B72">
        <w:rPr>
          <w:b/>
        </w:rPr>
        <w:t>Identifying Subtypes of Trichotillomania (Hair Pulling Disorder) and Excoriation (Skin Picking) Disorder Using Mixture Modeling in a Multicenter Sample</w:t>
      </w:r>
    </w:p>
    <w:p w14:paraId="79508E68" w14:textId="77777777" w:rsidR="00036B1D" w:rsidRPr="000A4B72" w:rsidRDefault="00036B1D" w:rsidP="00036B1D">
      <w:pPr>
        <w:jc w:val="center"/>
        <w:rPr>
          <w:lang w:val="pt-BR"/>
        </w:rPr>
      </w:pPr>
    </w:p>
    <w:p w14:paraId="2274149C" w14:textId="77777777" w:rsidR="00036B1D" w:rsidRPr="000A4B72" w:rsidRDefault="00036B1D" w:rsidP="00036B1D">
      <w:pPr>
        <w:jc w:val="center"/>
        <w:rPr>
          <w:lang w:val="pt-BR"/>
        </w:rPr>
      </w:pPr>
    </w:p>
    <w:p w14:paraId="5A475CA4" w14:textId="77777777" w:rsidR="00036B1D" w:rsidRPr="000A4B72" w:rsidRDefault="00036B1D" w:rsidP="00036B1D"/>
    <w:p w14:paraId="7EB9F3B7" w14:textId="77777777" w:rsidR="00036B1D" w:rsidRPr="000A4B72" w:rsidRDefault="00036B1D" w:rsidP="00036B1D">
      <w:pPr>
        <w:ind w:left="720" w:hanging="720"/>
        <w:jc w:val="center"/>
      </w:pPr>
      <w:r w:rsidRPr="000A4B72">
        <w:t xml:space="preserve">Jon E. Grant, M.D., M.D., </w:t>
      </w:r>
      <w:proofErr w:type="spellStart"/>
      <w:proofErr w:type="gramStart"/>
      <w:r w:rsidRPr="000A4B72">
        <w:t>M.P.H.,</w:t>
      </w:r>
      <w:r w:rsidRPr="000A4B72">
        <w:rPr>
          <w:vertAlign w:val="superscript"/>
        </w:rPr>
        <w:t>a</w:t>
      </w:r>
      <w:proofErr w:type="spellEnd"/>
      <w:proofErr w:type="gramEnd"/>
      <w:r w:rsidRPr="000A4B72">
        <w:t xml:space="preserve">* Tara S. Peris, </w:t>
      </w:r>
      <w:proofErr w:type="spellStart"/>
      <w:r w:rsidRPr="000A4B72">
        <w:t>Ph.D.,</w:t>
      </w:r>
      <w:r w:rsidRPr="000A4B72">
        <w:rPr>
          <w:vertAlign w:val="superscript"/>
        </w:rPr>
        <w:t>b</w:t>
      </w:r>
      <w:proofErr w:type="spellEnd"/>
      <w:r w:rsidRPr="000A4B72">
        <w:t xml:space="preserve"> Emily J. Ricketts, </w:t>
      </w:r>
      <w:proofErr w:type="spellStart"/>
      <w:r w:rsidRPr="000A4B72">
        <w:t>Ph.D.,</w:t>
      </w:r>
      <w:r w:rsidRPr="000A4B72">
        <w:rPr>
          <w:vertAlign w:val="superscript"/>
        </w:rPr>
        <w:t>b</w:t>
      </w:r>
      <w:proofErr w:type="spellEnd"/>
      <w:r w:rsidRPr="000A4B72">
        <w:t xml:space="preserve"> Christine Lochner, </w:t>
      </w:r>
      <w:proofErr w:type="spellStart"/>
      <w:r w:rsidRPr="000A4B72">
        <w:t>Ph.D.,</w:t>
      </w:r>
      <w:r w:rsidRPr="000A4B72">
        <w:rPr>
          <w:vertAlign w:val="superscript"/>
        </w:rPr>
        <w:t>c</w:t>
      </w:r>
      <w:proofErr w:type="spellEnd"/>
      <w:r w:rsidRPr="000A4B72">
        <w:t xml:space="preserve"> Dan J.  Stein, </w:t>
      </w:r>
      <w:proofErr w:type="spellStart"/>
      <w:proofErr w:type="gramStart"/>
      <w:r w:rsidRPr="000A4B72">
        <w:t>Ph.D.,</w:t>
      </w:r>
      <w:r w:rsidRPr="000A4B72">
        <w:rPr>
          <w:vertAlign w:val="superscript"/>
        </w:rPr>
        <w:t>d</w:t>
      </w:r>
      <w:proofErr w:type="spellEnd"/>
      <w:proofErr w:type="gramEnd"/>
      <w:r w:rsidRPr="000A4B72">
        <w:t xml:space="preserve"> Jan </w:t>
      </w:r>
      <w:proofErr w:type="spellStart"/>
      <w:r w:rsidRPr="000A4B72">
        <w:t>Stochl</w:t>
      </w:r>
      <w:proofErr w:type="spellEnd"/>
      <w:r w:rsidRPr="000A4B72">
        <w:t>, Ph.D.,</w:t>
      </w:r>
      <w:proofErr w:type="spellStart"/>
      <w:r w:rsidRPr="000A4B72">
        <w:rPr>
          <w:vertAlign w:val="superscript"/>
        </w:rPr>
        <w:t>e,f</w:t>
      </w:r>
      <w:proofErr w:type="spellEnd"/>
    </w:p>
    <w:p w14:paraId="3EC7A226" w14:textId="77777777" w:rsidR="00036B1D" w:rsidRPr="000A4B72" w:rsidRDefault="00036B1D" w:rsidP="00036B1D">
      <w:pPr>
        <w:ind w:left="720" w:hanging="720"/>
        <w:jc w:val="center"/>
      </w:pPr>
      <w:r w:rsidRPr="000A4B72">
        <w:t xml:space="preserve">Samuel R. Chamberlain, </w:t>
      </w:r>
      <w:proofErr w:type="spellStart"/>
      <w:proofErr w:type="gramStart"/>
      <w:r w:rsidRPr="000A4B72">
        <w:t>Ph.D.,</w:t>
      </w:r>
      <w:r w:rsidRPr="000A4B72">
        <w:rPr>
          <w:vertAlign w:val="superscript"/>
        </w:rPr>
        <w:t>e</w:t>
      </w:r>
      <w:proofErr w:type="spellEnd"/>
      <w:proofErr w:type="gramEnd"/>
      <w:r w:rsidRPr="000A4B72">
        <w:t xml:space="preserve"> Jeremiah M. Scharf, M.D., </w:t>
      </w:r>
      <w:proofErr w:type="spellStart"/>
      <w:r w:rsidRPr="000A4B72">
        <w:t>Ph.D.,</w:t>
      </w:r>
      <w:r w:rsidRPr="000A4B72">
        <w:rPr>
          <w:vertAlign w:val="superscript"/>
        </w:rPr>
        <w:t>g</w:t>
      </w:r>
      <w:proofErr w:type="spellEnd"/>
    </w:p>
    <w:p w14:paraId="0BA47096" w14:textId="77777777" w:rsidR="00036B1D" w:rsidRPr="000A4B72" w:rsidRDefault="00036B1D" w:rsidP="00036B1D">
      <w:pPr>
        <w:ind w:left="720" w:hanging="720"/>
        <w:jc w:val="center"/>
      </w:pPr>
      <w:r w:rsidRPr="000A4B72">
        <w:t xml:space="preserve">Darin D. Dougherty, </w:t>
      </w:r>
      <w:proofErr w:type="spellStart"/>
      <w:proofErr w:type="gramStart"/>
      <w:r w:rsidRPr="000A4B72">
        <w:t>M.D.,</w:t>
      </w:r>
      <w:r w:rsidRPr="000A4B72">
        <w:rPr>
          <w:vertAlign w:val="superscript"/>
        </w:rPr>
        <w:t>g</w:t>
      </w:r>
      <w:proofErr w:type="spellEnd"/>
      <w:proofErr w:type="gramEnd"/>
      <w:r w:rsidRPr="000A4B72">
        <w:t xml:space="preserve"> Douglas W. Woods, </w:t>
      </w:r>
      <w:proofErr w:type="spellStart"/>
      <w:r w:rsidRPr="000A4B72">
        <w:t>Ph.D.,</w:t>
      </w:r>
      <w:r w:rsidRPr="000A4B72">
        <w:rPr>
          <w:vertAlign w:val="superscript"/>
        </w:rPr>
        <w:t>h</w:t>
      </w:r>
      <w:proofErr w:type="spellEnd"/>
      <w:r w:rsidRPr="000A4B72">
        <w:t xml:space="preserve"> John </w:t>
      </w:r>
      <w:proofErr w:type="spellStart"/>
      <w:r w:rsidRPr="000A4B72">
        <w:t>Piacentini</w:t>
      </w:r>
      <w:proofErr w:type="spellEnd"/>
      <w:r w:rsidRPr="000A4B72">
        <w:t xml:space="preserve">, </w:t>
      </w:r>
      <w:proofErr w:type="spellStart"/>
      <w:r w:rsidRPr="000A4B72">
        <w:t>Ph.D.,</w:t>
      </w:r>
      <w:r w:rsidRPr="000A4B72">
        <w:rPr>
          <w:vertAlign w:val="superscript"/>
        </w:rPr>
        <w:t>b</w:t>
      </w:r>
      <w:proofErr w:type="spellEnd"/>
      <w:r w:rsidRPr="000A4B72">
        <w:t xml:space="preserve">** and Nancy J. </w:t>
      </w:r>
      <w:proofErr w:type="spellStart"/>
      <w:r w:rsidRPr="000A4B72">
        <w:t>Keuthen</w:t>
      </w:r>
      <w:proofErr w:type="spellEnd"/>
      <w:r w:rsidRPr="000A4B72">
        <w:t xml:space="preserve">, </w:t>
      </w:r>
      <w:proofErr w:type="spellStart"/>
      <w:r w:rsidRPr="000A4B72">
        <w:t>Ph.D.</w:t>
      </w:r>
      <w:r w:rsidRPr="000A4B72">
        <w:rPr>
          <w:vertAlign w:val="superscript"/>
        </w:rPr>
        <w:t>g</w:t>
      </w:r>
      <w:proofErr w:type="spellEnd"/>
      <w:r w:rsidRPr="000A4B72">
        <w:t>**</w:t>
      </w:r>
    </w:p>
    <w:p w14:paraId="3E7FE9BB" w14:textId="77777777" w:rsidR="00036B1D" w:rsidRPr="000A4B72" w:rsidRDefault="00036B1D" w:rsidP="00036B1D">
      <w:pPr>
        <w:ind w:left="720" w:hanging="720"/>
      </w:pPr>
    </w:p>
    <w:p w14:paraId="4C369076" w14:textId="77777777" w:rsidR="00036B1D" w:rsidRPr="000A4B72" w:rsidRDefault="00036B1D" w:rsidP="00036B1D">
      <w:pPr>
        <w:ind w:left="720" w:hanging="720"/>
      </w:pPr>
    </w:p>
    <w:p w14:paraId="6450DD6D" w14:textId="77777777" w:rsidR="00036B1D" w:rsidRPr="000A4B72" w:rsidRDefault="00036B1D" w:rsidP="00036B1D">
      <w:pPr>
        <w:ind w:left="720" w:hanging="720"/>
      </w:pPr>
      <w:proofErr w:type="spellStart"/>
      <w:r w:rsidRPr="000A4B72">
        <w:rPr>
          <w:vertAlign w:val="superscript"/>
        </w:rPr>
        <w:t>a</w:t>
      </w:r>
      <w:r w:rsidRPr="000A4B72">
        <w:t>Department</w:t>
      </w:r>
      <w:proofErr w:type="spellEnd"/>
      <w:r w:rsidRPr="000A4B72">
        <w:t xml:space="preserve"> of Psychiatry &amp; Behavioral Neuroscience University of Chicago, Chicago,</w:t>
      </w:r>
    </w:p>
    <w:p w14:paraId="0D4B8148" w14:textId="77777777" w:rsidR="00036B1D" w:rsidRPr="000A4B72" w:rsidRDefault="00036B1D" w:rsidP="00036B1D">
      <w:pPr>
        <w:ind w:left="720" w:hanging="720"/>
      </w:pPr>
      <w:r w:rsidRPr="000A4B72">
        <w:t>IL, USA</w:t>
      </w:r>
    </w:p>
    <w:p w14:paraId="24AB631A" w14:textId="77777777" w:rsidR="00036B1D" w:rsidRPr="000A4B72" w:rsidRDefault="00036B1D" w:rsidP="00036B1D">
      <w:pPr>
        <w:ind w:left="720" w:hanging="720"/>
      </w:pPr>
      <w:proofErr w:type="spellStart"/>
      <w:r w:rsidRPr="000A4B72">
        <w:rPr>
          <w:vertAlign w:val="superscript"/>
        </w:rPr>
        <w:t>b</w:t>
      </w:r>
      <w:r w:rsidRPr="000A4B72">
        <w:t>Department</w:t>
      </w:r>
      <w:proofErr w:type="spellEnd"/>
      <w:r w:rsidRPr="000A4B72">
        <w:t xml:space="preserve"> of Psychiatry and Biobehavioral Sciences, University of California, Los </w:t>
      </w:r>
    </w:p>
    <w:p w14:paraId="5E059BE8" w14:textId="77777777" w:rsidR="00036B1D" w:rsidRPr="000A4B72" w:rsidRDefault="00036B1D" w:rsidP="00036B1D">
      <w:pPr>
        <w:ind w:left="720" w:hanging="720"/>
      </w:pPr>
      <w:r w:rsidRPr="000A4B72">
        <w:t>Angeles, CA, USA</w:t>
      </w:r>
    </w:p>
    <w:p w14:paraId="183B0DB8" w14:textId="77777777" w:rsidR="00036B1D" w:rsidRPr="000A4B72" w:rsidRDefault="00036B1D" w:rsidP="00036B1D">
      <w:pPr>
        <w:ind w:left="720" w:hanging="720"/>
      </w:pPr>
      <w:proofErr w:type="spellStart"/>
      <w:r w:rsidRPr="000A4B72">
        <w:rPr>
          <w:vertAlign w:val="superscript"/>
        </w:rPr>
        <w:t>c</w:t>
      </w:r>
      <w:r w:rsidRPr="000A4B72">
        <w:t>Department</w:t>
      </w:r>
      <w:proofErr w:type="spellEnd"/>
      <w:r w:rsidRPr="000A4B72">
        <w:t xml:space="preserve"> of Psychiatry, University of Stellenbosch, South Africa</w:t>
      </w:r>
    </w:p>
    <w:p w14:paraId="2C89F7AE" w14:textId="77777777" w:rsidR="00036B1D" w:rsidRPr="000A4B72" w:rsidRDefault="00036B1D" w:rsidP="00036B1D">
      <w:pPr>
        <w:ind w:left="720" w:hanging="720"/>
        <w:rPr>
          <w:lang w:val="en-ZA"/>
        </w:rPr>
      </w:pPr>
      <w:r w:rsidRPr="000A4B72">
        <w:rPr>
          <w:vertAlign w:val="superscript"/>
        </w:rPr>
        <w:t>d</w:t>
      </w:r>
      <w:r w:rsidRPr="000A4B72">
        <w:rPr>
          <w:lang w:val="en-ZA"/>
        </w:rPr>
        <w:t xml:space="preserve">SA MRC Unit on Risk &amp; Resilience in Mental Disorders, Dept of Psychiatry &amp; </w:t>
      </w:r>
    </w:p>
    <w:p w14:paraId="43EF8BA7" w14:textId="77777777" w:rsidR="00036B1D" w:rsidRPr="000A4B72" w:rsidRDefault="00036B1D" w:rsidP="00036B1D">
      <w:pPr>
        <w:ind w:left="720" w:hanging="720"/>
      </w:pPr>
      <w:r w:rsidRPr="000A4B72">
        <w:rPr>
          <w:lang w:val="en-ZA"/>
        </w:rPr>
        <w:t>Neuroscience Institute, University of Cape Town, south Africa</w:t>
      </w:r>
    </w:p>
    <w:p w14:paraId="57CD5D68" w14:textId="77777777" w:rsidR="00036B1D" w:rsidRPr="000A4B72" w:rsidRDefault="00036B1D" w:rsidP="00036B1D">
      <w:pPr>
        <w:ind w:left="720" w:hanging="720"/>
      </w:pPr>
      <w:proofErr w:type="spellStart"/>
      <w:r w:rsidRPr="000A4B72">
        <w:rPr>
          <w:vertAlign w:val="superscript"/>
        </w:rPr>
        <w:t>e</w:t>
      </w:r>
      <w:r w:rsidRPr="000A4B72">
        <w:t>Department</w:t>
      </w:r>
      <w:proofErr w:type="spellEnd"/>
      <w:r w:rsidRPr="000A4B72">
        <w:t xml:space="preserve"> of Psychiatry, University of Cambridge, Cambridge, UK </w:t>
      </w:r>
    </w:p>
    <w:p w14:paraId="7C855384" w14:textId="77777777" w:rsidR="00036B1D" w:rsidRPr="000A4B72" w:rsidRDefault="00036B1D" w:rsidP="00036B1D">
      <w:pPr>
        <w:ind w:left="720" w:hanging="720"/>
      </w:pPr>
      <w:proofErr w:type="spellStart"/>
      <w:r w:rsidRPr="000A4B72">
        <w:rPr>
          <w:vertAlign w:val="superscript"/>
        </w:rPr>
        <w:t>f</w:t>
      </w:r>
      <w:r w:rsidRPr="000A4B72">
        <w:t>Department</w:t>
      </w:r>
      <w:proofErr w:type="spellEnd"/>
      <w:r w:rsidRPr="000A4B72">
        <w:t xml:space="preserve"> of </w:t>
      </w:r>
      <w:proofErr w:type="spellStart"/>
      <w:r w:rsidRPr="000A4B72">
        <w:t>Kinanthropology</w:t>
      </w:r>
      <w:proofErr w:type="spellEnd"/>
      <w:r w:rsidRPr="000A4B72">
        <w:t xml:space="preserve">, Charles University, Prague, Czechia </w:t>
      </w:r>
    </w:p>
    <w:p w14:paraId="21E1EF02" w14:textId="77777777" w:rsidR="00036B1D" w:rsidRPr="000A4B72" w:rsidRDefault="00036B1D" w:rsidP="00036B1D">
      <w:pPr>
        <w:ind w:left="720" w:hanging="720"/>
      </w:pPr>
      <w:proofErr w:type="spellStart"/>
      <w:r w:rsidRPr="000A4B72">
        <w:rPr>
          <w:vertAlign w:val="superscript"/>
        </w:rPr>
        <w:t>g</w:t>
      </w:r>
      <w:r w:rsidRPr="000A4B72">
        <w:t>Department</w:t>
      </w:r>
      <w:proofErr w:type="spellEnd"/>
      <w:r w:rsidRPr="000A4B72">
        <w:t xml:space="preserve"> of Psychiatry, Massachusetts General Hospital and Harvard Medical School, </w:t>
      </w:r>
    </w:p>
    <w:p w14:paraId="739AE389" w14:textId="77777777" w:rsidR="00036B1D" w:rsidRPr="000A4B72" w:rsidRDefault="00036B1D" w:rsidP="00036B1D">
      <w:pPr>
        <w:ind w:left="720" w:hanging="720"/>
      </w:pPr>
      <w:r w:rsidRPr="000A4B72">
        <w:t>Boston, USA</w:t>
      </w:r>
    </w:p>
    <w:p w14:paraId="1817E75F" w14:textId="77777777" w:rsidR="00036B1D" w:rsidRPr="000A4B72" w:rsidRDefault="00036B1D" w:rsidP="00036B1D">
      <w:pPr>
        <w:ind w:left="720" w:hanging="720"/>
      </w:pPr>
      <w:proofErr w:type="spellStart"/>
      <w:r w:rsidRPr="000A4B72">
        <w:rPr>
          <w:vertAlign w:val="superscript"/>
        </w:rPr>
        <w:t>h</w:t>
      </w:r>
      <w:r w:rsidRPr="000A4B72">
        <w:t>Department</w:t>
      </w:r>
      <w:proofErr w:type="spellEnd"/>
      <w:r w:rsidRPr="000A4B72">
        <w:t xml:space="preserve"> of Psychology, Marquette University, Milwaukee, WI, USA</w:t>
      </w:r>
    </w:p>
    <w:p w14:paraId="6813F0DD" w14:textId="77777777" w:rsidR="00036B1D" w:rsidRPr="000A4B72" w:rsidRDefault="00036B1D" w:rsidP="00036B1D">
      <w:pPr>
        <w:ind w:left="720" w:hanging="720"/>
      </w:pPr>
    </w:p>
    <w:p w14:paraId="600C47D1" w14:textId="77777777" w:rsidR="00036B1D" w:rsidRPr="000A4B72" w:rsidRDefault="00036B1D" w:rsidP="00036B1D">
      <w:pPr>
        <w:ind w:left="720" w:hanging="720"/>
      </w:pPr>
      <w:r w:rsidRPr="000A4B72">
        <w:t xml:space="preserve">*Address correspondence to: </w:t>
      </w:r>
    </w:p>
    <w:p w14:paraId="522C0E97" w14:textId="77777777" w:rsidR="00036B1D" w:rsidRPr="000A4B72" w:rsidRDefault="00036B1D" w:rsidP="00036B1D">
      <w:pPr>
        <w:ind w:left="720" w:hanging="720"/>
      </w:pPr>
      <w:r w:rsidRPr="000A4B72">
        <w:t>Jon E. Grant, JD, MD, MPH</w:t>
      </w:r>
    </w:p>
    <w:p w14:paraId="7F38A5BF" w14:textId="77777777" w:rsidR="00036B1D" w:rsidRPr="000A4B72" w:rsidRDefault="00036B1D" w:rsidP="00036B1D">
      <w:pPr>
        <w:ind w:left="720" w:hanging="720"/>
      </w:pPr>
      <w:r w:rsidRPr="000A4B72">
        <w:t>Professor, Department of Psychiatry &amp; Behavioral Neuroscience</w:t>
      </w:r>
    </w:p>
    <w:p w14:paraId="3B3B89FF" w14:textId="77777777" w:rsidR="00036B1D" w:rsidRPr="000A4B72" w:rsidRDefault="00036B1D" w:rsidP="00036B1D">
      <w:pPr>
        <w:ind w:left="720" w:hanging="720"/>
      </w:pPr>
      <w:r w:rsidRPr="000A4B72">
        <w:t>University of Chicago, 5841 S. Maryland Avenue, MC 3077, Chicago, IL 60637</w:t>
      </w:r>
    </w:p>
    <w:p w14:paraId="7629CDFB" w14:textId="77777777" w:rsidR="00036B1D" w:rsidRPr="000A4B72" w:rsidRDefault="00036B1D" w:rsidP="00036B1D">
      <w:pPr>
        <w:ind w:left="720" w:hanging="720"/>
      </w:pPr>
      <w:r w:rsidRPr="000A4B72">
        <w:t>Phone: 773-834-1325; Fax: 773-834-6761; Email: jongrant@uchicago.edu</w:t>
      </w:r>
    </w:p>
    <w:p w14:paraId="3CD007ED" w14:textId="77777777" w:rsidR="00036B1D" w:rsidRPr="000A4B72" w:rsidRDefault="00036B1D" w:rsidP="00036B1D">
      <w:pPr>
        <w:ind w:left="720" w:hanging="720"/>
      </w:pPr>
    </w:p>
    <w:p w14:paraId="13CCDEC0" w14:textId="77777777" w:rsidR="00036B1D" w:rsidRPr="000A4B72" w:rsidRDefault="00036B1D" w:rsidP="00036B1D">
      <w:pPr>
        <w:ind w:left="720" w:hanging="720"/>
      </w:pPr>
      <w:r w:rsidRPr="000A4B72">
        <w:t>**Co-Senior Authors</w:t>
      </w:r>
    </w:p>
    <w:p w14:paraId="358A2273" w14:textId="77777777" w:rsidR="00036B1D" w:rsidRPr="000A4B72" w:rsidRDefault="00036B1D" w:rsidP="00036B1D">
      <w:pPr>
        <w:ind w:left="720" w:hanging="720"/>
      </w:pPr>
    </w:p>
    <w:p w14:paraId="0F58602F" w14:textId="77777777" w:rsidR="00036B1D" w:rsidRPr="000A4B72" w:rsidRDefault="00036B1D" w:rsidP="00036B1D">
      <w:pPr>
        <w:ind w:left="720" w:hanging="720"/>
      </w:pPr>
    </w:p>
    <w:p w14:paraId="4C6EACB6" w14:textId="77777777" w:rsidR="00036B1D" w:rsidRPr="000A4B72" w:rsidRDefault="00036B1D" w:rsidP="00036B1D">
      <w:pPr>
        <w:rPr>
          <w:b/>
        </w:rPr>
      </w:pPr>
    </w:p>
    <w:p w14:paraId="4CE4A074" w14:textId="77777777" w:rsidR="00036B1D" w:rsidRPr="000A4B72" w:rsidRDefault="00036B1D" w:rsidP="00036B1D">
      <w:r w:rsidRPr="000A4B72">
        <w:rPr>
          <w:b/>
        </w:rPr>
        <w:t xml:space="preserve">Running title: </w:t>
      </w:r>
      <w:r w:rsidRPr="000A4B72">
        <w:t>Subtypes of BFRBs</w:t>
      </w:r>
    </w:p>
    <w:p w14:paraId="79EC4FEA" w14:textId="77777777" w:rsidR="00036B1D" w:rsidRPr="000A4B72" w:rsidRDefault="00036B1D" w:rsidP="00036B1D"/>
    <w:p w14:paraId="0A9B9196" w14:textId="2F344208" w:rsidR="00036B1D" w:rsidRPr="00552D7F" w:rsidRDefault="00036B1D" w:rsidP="00036B1D">
      <w:pPr>
        <w:rPr>
          <w:lang w:val="pt-BR"/>
        </w:rPr>
      </w:pPr>
      <w:r w:rsidRPr="00552D7F">
        <w:rPr>
          <w:lang w:val="pt-BR"/>
        </w:rPr>
        <w:t xml:space="preserve">Disclosures: </w:t>
      </w:r>
      <w:r w:rsidRPr="00AB1D8B">
        <w:rPr>
          <w:lang w:val="pt-BR"/>
        </w:rPr>
        <w:t>This study was funded by the Body Focused Precision Medicine Initiative granted by the TLC Foundation for Body Focused Repetitive Behaviors Foundation to University of Chicago (Dr. Grant), Massachusetts General Hospital</w:t>
      </w:r>
      <w:r>
        <w:rPr>
          <w:lang w:val="pt-BR"/>
        </w:rPr>
        <w:t xml:space="preserve"> (MGH)</w:t>
      </w:r>
      <w:r w:rsidRPr="00AB1D8B">
        <w:rPr>
          <w:lang w:val="pt-BR"/>
        </w:rPr>
        <w:t xml:space="preserve">/Harvard (Dr. </w:t>
      </w:r>
      <w:r w:rsidRPr="00AB1D8B">
        <w:rPr>
          <w:lang w:val="pt-BR"/>
        </w:rPr>
        <w:lastRenderedPageBreak/>
        <w:t>Keuthen), and University of California, Los Angeles</w:t>
      </w:r>
      <w:r>
        <w:rPr>
          <w:lang w:val="pt-BR"/>
        </w:rPr>
        <w:t xml:space="preserve"> (U</w:t>
      </w:r>
      <w:r w:rsidRPr="00AB1D8B">
        <w:rPr>
          <w:lang w:val="pt-BR"/>
        </w:rPr>
        <w:t>CLA</w:t>
      </w:r>
      <w:r>
        <w:rPr>
          <w:lang w:val="pt-BR"/>
        </w:rPr>
        <w:t>)</w:t>
      </w:r>
      <w:r w:rsidRPr="00AB1D8B">
        <w:rPr>
          <w:lang w:val="pt-BR"/>
        </w:rPr>
        <w:t xml:space="preserve"> (Dr. Piacentini). This study was completed with support from the REDCap project at the University of Chicago, which is hosted and managed by the Center for Research Informatics and funded by the Biological Sciences Division and by the Institute for Translational Medicine, CTSA grant number UL1 TR000430 from the National Institutes of Health.</w:t>
      </w:r>
      <w:r>
        <w:rPr>
          <w:lang w:val="pt-BR"/>
        </w:rPr>
        <w:t xml:space="preserve"> </w:t>
      </w:r>
      <w:r w:rsidRPr="00552D7F">
        <w:rPr>
          <w:lang w:val="pt-BR"/>
        </w:rPr>
        <w:t xml:space="preserve">Dr. Grant has received research grants from Biohaven, Promentis, and Otsuka Pharmaceuticals.  Dr. Grant receives yearly compensation from Springer Publishing for acting as Editor-in-Chief of the Journal of Gambling Studies and has received royalties from Oxford University Press, American Psychiatric Publishing, Inc., Norton Press, and McGraw Hill. </w:t>
      </w:r>
      <w:r w:rsidRPr="00343B5E">
        <w:rPr>
          <w:lang w:val="pt-BR"/>
        </w:rPr>
        <w:t>D</w:t>
      </w:r>
      <w:r>
        <w:rPr>
          <w:lang w:val="pt-BR"/>
        </w:rPr>
        <w:t>r. Stein</w:t>
      </w:r>
      <w:r w:rsidRPr="00343B5E">
        <w:rPr>
          <w:lang w:val="pt-BR"/>
        </w:rPr>
        <w:t xml:space="preserve"> and </w:t>
      </w:r>
      <w:r>
        <w:rPr>
          <w:lang w:val="pt-BR"/>
        </w:rPr>
        <w:t>Dr. Lochner</w:t>
      </w:r>
      <w:r w:rsidRPr="00343B5E">
        <w:rPr>
          <w:lang w:val="pt-BR"/>
        </w:rPr>
        <w:t xml:space="preserve"> are supported by the SAMRC Unit on Risk &amp; Resilience in Mental Disorders.  D</w:t>
      </w:r>
      <w:r>
        <w:rPr>
          <w:lang w:val="pt-BR"/>
        </w:rPr>
        <w:t>r. Stein</w:t>
      </w:r>
      <w:r w:rsidRPr="00343B5E">
        <w:rPr>
          <w:lang w:val="pt-BR"/>
        </w:rPr>
        <w:t xml:space="preserve"> has received research grants and/or consultancy honoria from Lundbeck and Sun.</w:t>
      </w:r>
      <w:r>
        <w:rPr>
          <w:lang w:val="pt-BR"/>
        </w:rPr>
        <w:t xml:space="preserve">  </w:t>
      </w:r>
      <w:r w:rsidRPr="00DA3C1E">
        <w:rPr>
          <w:lang w:val="pt-BR"/>
        </w:rPr>
        <w:t xml:space="preserve">Dr. Chamberlain’s time on this study was supported in part by a Wellcome Trust Clinical Fellowship (110049/Z/15/Z).  </w:t>
      </w:r>
      <w:r w:rsidRPr="00552D7F">
        <w:rPr>
          <w:lang w:val="pt-BR"/>
        </w:rPr>
        <w:t>Dr. Chamberlain consults for Pro</w:t>
      </w:r>
      <w:r>
        <w:rPr>
          <w:lang w:val="pt-BR"/>
        </w:rPr>
        <w:t>mentis.</w:t>
      </w:r>
    </w:p>
    <w:p w14:paraId="79C2B2AC" w14:textId="77777777" w:rsidR="00036B1D" w:rsidRDefault="00036B1D" w:rsidP="00036B1D"/>
    <w:p w14:paraId="6DD21296" w14:textId="77777777" w:rsidR="00036B1D" w:rsidRDefault="00036B1D" w:rsidP="00036B1D">
      <w:pPr>
        <w:rPr>
          <w:b/>
        </w:rPr>
      </w:pPr>
    </w:p>
    <w:p w14:paraId="6E2F7A1F" w14:textId="77777777" w:rsidR="00036B1D" w:rsidRDefault="00036B1D" w:rsidP="00036B1D">
      <w:pPr>
        <w:rPr>
          <w:b/>
        </w:rPr>
      </w:pPr>
    </w:p>
    <w:p w14:paraId="6915B8C1" w14:textId="77777777" w:rsidR="00036B1D" w:rsidRDefault="00036B1D" w:rsidP="00036B1D">
      <w:pPr>
        <w:rPr>
          <w:b/>
        </w:rPr>
      </w:pPr>
    </w:p>
    <w:p w14:paraId="5CA0967D" w14:textId="77777777" w:rsidR="00036B1D" w:rsidRDefault="00036B1D" w:rsidP="00036B1D">
      <w:pPr>
        <w:rPr>
          <w:b/>
        </w:rPr>
      </w:pPr>
    </w:p>
    <w:p w14:paraId="6077E2A7" w14:textId="77777777" w:rsidR="00036B1D" w:rsidRDefault="00036B1D" w:rsidP="00036B1D">
      <w:pPr>
        <w:rPr>
          <w:b/>
        </w:rPr>
      </w:pPr>
    </w:p>
    <w:p w14:paraId="0934DC6D" w14:textId="77777777" w:rsidR="00036B1D" w:rsidRDefault="00036B1D" w:rsidP="00036B1D">
      <w:pPr>
        <w:rPr>
          <w:b/>
        </w:rPr>
      </w:pPr>
    </w:p>
    <w:p w14:paraId="72CE4FEA" w14:textId="77777777" w:rsidR="00036B1D" w:rsidRDefault="00036B1D">
      <w:pPr>
        <w:rPr>
          <w:b/>
        </w:rPr>
      </w:pPr>
      <w:r>
        <w:rPr>
          <w:b/>
        </w:rPr>
        <w:br w:type="page"/>
      </w:r>
    </w:p>
    <w:p w14:paraId="615E351E" w14:textId="23905309" w:rsidR="00036B1D" w:rsidRDefault="00036B1D" w:rsidP="00036B1D">
      <w:pPr>
        <w:rPr>
          <w:b/>
        </w:rPr>
      </w:pPr>
      <w:r>
        <w:rPr>
          <w:b/>
        </w:rPr>
        <w:lastRenderedPageBreak/>
        <w:t>ABSTRACT</w:t>
      </w:r>
    </w:p>
    <w:p w14:paraId="76289CBB" w14:textId="77777777" w:rsidR="00036B1D" w:rsidRDefault="00036B1D" w:rsidP="00036B1D"/>
    <w:p w14:paraId="0F11B42A" w14:textId="77777777" w:rsidR="00036B1D" w:rsidRDefault="00036B1D" w:rsidP="00036B1D">
      <w:r w:rsidRPr="00E840C9">
        <w:rPr>
          <w:shd w:val="clear" w:color="auto" w:fill="FFFFFF"/>
        </w:rPr>
        <w:t>Body-focused repetitive behavior disorders (BFRBs)</w:t>
      </w:r>
      <w:r>
        <w:rPr>
          <w:shd w:val="clear" w:color="auto" w:fill="FFFFFF"/>
        </w:rPr>
        <w:t xml:space="preserve"> include Trichotillomania </w:t>
      </w:r>
      <w:r w:rsidRPr="00E840C9">
        <w:rPr>
          <w:shd w:val="clear" w:color="auto" w:fill="FFFFFF"/>
        </w:rPr>
        <w:t>(</w:t>
      </w:r>
      <w:r>
        <w:rPr>
          <w:shd w:val="clear" w:color="auto" w:fill="FFFFFF"/>
        </w:rPr>
        <w:t>TTM; Hair pulling disorder</w:t>
      </w:r>
      <w:r w:rsidRPr="00E840C9">
        <w:rPr>
          <w:shd w:val="clear" w:color="auto" w:fill="FFFFFF"/>
        </w:rPr>
        <w:t xml:space="preserve">) and </w:t>
      </w:r>
      <w:r>
        <w:rPr>
          <w:shd w:val="clear" w:color="auto" w:fill="FFFFFF"/>
        </w:rPr>
        <w:t>Excoriation (</w:t>
      </w:r>
      <w:r w:rsidRPr="00E840C9">
        <w:rPr>
          <w:shd w:val="clear" w:color="auto" w:fill="FFFFFF"/>
        </w:rPr>
        <w:t>Skin Picking</w:t>
      </w:r>
      <w:r>
        <w:rPr>
          <w:shd w:val="clear" w:color="auto" w:fill="FFFFFF"/>
        </w:rPr>
        <w:t>)</w:t>
      </w:r>
      <w:r w:rsidRPr="00E840C9">
        <w:rPr>
          <w:shd w:val="clear" w:color="auto" w:fill="FFFFFF"/>
        </w:rPr>
        <w:t xml:space="preserve"> Disorder (SPD)</w:t>
      </w:r>
      <w:r>
        <w:rPr>
          <w:shd w:val="clear" w:color="auto" w:fill="FFFFFF"/>
        </w:rPr>
        <w:t xml:space="preserve">. These conditions are prevalent, highly heterogeneous, under-researched, and under-treated. </w:t>
      </w:r>
      <w:r w:rsidRPr="00C50A99">
        <w:rPr>
          <w:shd w:val="clear" w:color="auto" w:fill="FFFFFF"/>
        </w:rPr>
        <w:t xml:space="preserve">In order for progress to be made in optimally classifying and treating these conditions, it is necessary to identify meaningful subtypes. </w:t>
      </w:r>
      <w:r w:rsidRPr="00C50A99">
        <w:t xml:space="preserve">279 </w:t>
      </w:r>
      <w:r>
        <w:t>adults</w:t>
      </w:r>
      <w:r w:rsidRPr="00C50A99">
        <w:t xml:space="preserve"> (100 with TTM, 81 with SPD, 40 with both TTM and SPD, and 58 controls)</w:t>
      </w:r>
      <w:r>
        <w:t xml:space="preserve"> were recruited for an i</w:t>
      </w:r>
      <w:r w:rsidRPr="00C50A99">
        <w:rPr>
          <w:bCs/>
          <w:color w:val="212121"/>
        </w:rPr>
        <w:t>nternational, multi-center</w:t>
      </w:r>
      <w:r>
        <w:rPr>
          <w:bCs/>
          <w:color w:val="212121"/>
        </w:rPr>
        <w:t xml:space="preserve"> </w:t>
      </w:r>
      <w:r w:rsidRPr="00C50A99">
        <w:t>b</w:t>
      </w:r>
      <w:r w:rsidRPr="00C50A99">
        <w:rPr>
          <w:color w:val="212121"/>
        </w:rPr>
        <w:t>etween-group comparison using mixture modeling, with stringent correction for multiple comparisons.</w:t>
      </w:r>
      <w:r>
        <w:rPr>
          <w:color w:val="212121"/>
        </w:rPr>
        <w:t xml:space="preserve"> The m</w:t>
      </w:r>
      <w:r w:rsidRPr="00C50A99">
        <w:rPr>
          <w:bCs/>
          <w:color w:val="212121"/>
        </w:rPr>
        <w:t>ain outcome measure</w:t>
      </w:r>
      <w:r>
        <w:rPr>
          <w:bCs/>
          <w:color w:val="212121"/>
        </w:rPr>
        <w:t xml:space="preserve"> was to examine di</w:t>
      </w:r>
      <w:r w:rsidRPr="00C50A99">
        <w:t xml:space="preserve">stinct subtypes (aka latent classes) across all study participants using item-level data from </w:t>
      </w:r>
      <w:r>
        <w:t>gold-standard instruments assessing detailed clinical measures. Mixture models identified 3 subtypes of TTM (entropy 0.98) and 2 subtypes of SPD</w:t>
      </w:r>
      <w:r w:rsidRPr="0047364B">
        <w:t xml:space="preserve"> (</w:t>
      </w:r>
      <w:r>
        <w:t>e</w:t>
      </w:r>
      <w:r w:rsidRPr="0047364B">
        <w:t>ntropy 0.9</w:t>
      </w:r>
      <w:r>
        <w:t>9</w:t>
      </w:r>
      <w:r w:rsidRPr="0047364B">
        <w:t>)</w:t>
      </w:r>
      <w:r>
        <w:t xml:space="preserve"> independent of the control group</w:t>
      </w:r>
      <w:r w:rsidRPr="0047364B">
        <w:t xml:space="preserve">. </w:t>
      </w:r>
      <w:r>
        <w:t>Significant differences between these classes were identified on measures of disability, automatic and focused symptoms, perfectionism, trait impulsiveness, and inattention and hyperactivity.</w:t>
      </w:r>
      <w:r>
        <w:softHyphen/>
      </w:r>
      <w:r>
        <w:softHyphen/>
      </w:r>
      <w:r>
        <w:softHyphen/>
      </w:r>
      <w:r>
        <w:softHyphen/>
      </w:r>
      <w:r>
        <w:softHyphen/>
      </w:r>
      <w:r w:rsidRPr="00C50A99">
        <w:rPr>
          <w:bCs/>
          <w:color w:val="212121"/>
        </w:rPr>
        <w:t> </w:t>
      </w:r>
      <w:r>
        <w:t xml:space="preserve">These data indicate the existence of three separate subtypes of TTM, and two separate subtypes of SPD, which are distinct from controls. The identified clinical differences between these latent classes may be useful to tailor future treatments by focusing on particular traits. Future work should examine whether these latent subtypes relate to treatment outcomes, or particular psychobiological findings using neuroimaging techniques. </w:t>
      </w:r>
    </w:p>
    <w:p w14:paraId="3539570C" w14:textId="77777777" w:rsidR="00036B1D" w:rsidRDefault="00036B1D" w:rsidP="00036B1D">
      <w:pPr>
        <w:pStyle w:val="CommentText"/>
        <w:rPr>
          <w:b/>
          <w:sz w:val="24"/>
          <w:szCs w:val="24"/>
        </w:rPr>
      </w:pPr>
    </w:p>
    <w:p w14:paraId="73CD2C24" w14:textId="77777777" w:rsidR="00036B1D" w:rsidRPr="003A272B" w:rsidRDefault="00036B1D" w:rsidP="00036B1D">
      <w:pPr>
        <w:pStyle w:val="CommentText"/>
        <w:rPr>
          <w:sz w:val="24"/>
          <w:szCs w:val="24"/>
        </w:rPr>
      </w:pPr>
      <w:r w:rsidRPr="003A272B">
        <w:rPr>
          <w:b/>
          <w:sz w:val="24"/>
          <w:szCs w:val="24"/>
        </w:rPr>
        <w:t>Keywords</w:t>
      </w:r>
      <w:r w:rsidRPr="003A272B">
        <w:rPr>
          <w:sz w:val="24"/>
          <w:szCs w:val="24"/>
        </w:rPr>
        <w:t>: trichotillomania</w:t>
      </w:r>
      <w:r>
        <w:rPr>
          <w:sz w:val="24"/>
          <w:szCs w:val="24"/>
        </w:rPr>
        <w:t>;</w:t>
      </w:r>
      <w:r w:rsidRPr="003A272B">
        <w:rPr>
          <w:sz w:val="24"/>
          <w:szCs w:val="24"/>
        </w:rPr>
        <w:t xml:space="preserve"> skin picking disorder</w:t>
      </w:r>
      <w:r>
        <w:rPr>
          <w:sz w:val="24"/>
          <w:szCs w:val="24"/>
        </w:rPr>
        <w:t>;</w:t>
      </w:r>
      <w:r w:rsidRPr="003A272B">
        <w:rPr>
          <w:sz w:val="24"/>
          <w:szCs w:val="24"/>
        </w:rPr>
        <w:t xml:space="preserve"> subtypes</w:t>
      </w:r>
      <w:r>
        <w:rPr>
          <w:sz w:val="24"/>
          <w:szCs w:val="24"/>
        </w:rPr>
        <w:t>;</w:t>
      </w:r>
      <w:r w:rsidRPr="003A272B">
        <w:rPr>
          <w:sz w:val="24"/>
          <w:szCs w:val="24"/>
        </w:rPr>
        <w:t xml:space="preserve"> classification</w:t>
      </w:r>
      <w:r>
        <w:rPr>
          <w:sz w:val="24"/>
          <w:szCs w:val="24"/>
        </w:rPr>
        <w:t>;</w:t>
      </w:r>
      <w:r w:rsidRPr="003A272B">
        <w:rPr>
          <w:sz w:val="24"/>
          <w:szCs w:val="24"/>
        </w:rPr>
        <w:t xml:space="preserve"> treatment</w:t>
      </w:r>
      <w:r>
        <w:rPr>
          <w:sz w:val="24"/>
          <w:szCs w:val="24"/>
        </w:rPr>
        <w:t>; mixture modeling</w:t>
      </w:r>
    </w:p>
    <w:p w14:paraId="2123578B" w14:textId="77777777" w:rsidR="00036B1D" w:rsidRDefault="00036B1D" w:rsidP="00036B1D"/>
    <w:p w14:paraId="63E229B7" w14:textId="77777777" w:rsidR="00036B1D" w:rsidRPr="003A272B" w:rsidRDefault="00036B1D" w:rsidP="00036B1D">
      <w:pPr>
        <w:rPr>
          <w:b/>
        </w:rPr>
      </w:pPr>
      <w:r w:rsidRPr="003A272B">
        <w:rPr>
          <w:b/>
        </w:rPr>
        <w:br w:type="page"/>
      </w:r>
    </w:p>
    <w:p w14:paraId="7667307D" w14:textId="77777777" w:rsidR="00036B1D" w:rsidRDefault="00036B1D" w:rsidP="00036B1D"/>
    <w:p w14:paraId="675E0820" w14:textId="072BD46D" w:rsidR="00E13FC4" w:rsidRDefault="00050A9E">
      <w:pPr>
        <w:rPr>
          <w:b/>
        </w:rPr>
      </w:pPr>
      <w:r>
        <w:rPr>
          <w:b/>
        </w:rPr>
        <w:tab/>
      </w:r>
      <w:r>
        <w:rPr>
          <w:b/>
        </w:rPr>
        <w:tab/>
      </w:r>
      <w:r>
        <w:rPr>
          <w:b/>
        </w:rPr>
        <w:tab/>
      </w:r>
    </w:p>
    <w:p w14:paraId="3A217CB6" w14:textId="3877C7CB" w:rsidR="00B072B9" w:rsidRPr="00E840C9" w:rsidRDefault="009C785D" w:rsidP="0058599D">
      <w:pPr>
        <w:spacing w:line="480" w:lineRule="auto"/>
        <w:rPr>
          <w:b/>
        </w:rPr>
      </w:pPr>
      <w:r>
        <w:rPr>
          <w:b/>
        </w:rPr>
        <w:t>Introduction</w:t>
      </w:r>
    </w:p>
    <w:p w14:paraId="2A40B05C" w14:textId="45B48948" w:rsidR="00F96098" w:rsidRPr="00E840C9" w:rsidRDefault="004B54F8" w:rsidP="0058599D">
      <w:pPr>
        <w:spacing w:line="480" w:lineRule="auto"/>
        <w:ind w:firstLine="720"/>
        <w:rPr>
          <w:shd w:val="clear" w:color="auto" w:fill="FFFFFF"/>
        </w:rPr>
      </w:pPr>
      <w:r>
        <w:rPr>
          <w:shd w:val="clear" w:color="auto" w:fill="FFFFFF"/>
        </w:rPr>
        <w:t>Trichotillomania</w:t>
      </w:r>
      <w:r w:rsidR="00901F70">
        <w:rPr>
          <w:shd w:val="clear" w:color="auto" w:fill="FFFFFF"/>
        </w:rPr>
        <w:t xml:space="preserve"> </w:t>
      </w:r>
      <w:r w:rsidR="00390FFF" w:rsidRPr="00E840C9">
        <w:rPr>
          <w:shd w:val="clear" w:color="auto" w:fill="FFFFFF"/>
        </w:rPr>
        <w:t>(</w:t>
      </w:r>
      <w:r w:rsidR="00901F70">
        <w:rPr>
          <w:shd w:val="clear" w:color="auto" w:fill="FFFFFF"/>
        </w:rPr>
        <w:t>TTM</w:t>
      </w:r>
      <w:r w:rsidR="00390FFF" w:rsidRPr="00E840C9">
        <w:rPr>
          <w:shd w:val="clear" w:color="auto" w:fill="FFFFFF"/>
        </w:rPr>
        <w:t xml:space="preserve">) </w:t>
      </w:r>
      <w:r w:rsidR="004628C8" w:rsidRPr="00E840C9">
        <w:rPr>
          <w:shd w:val="clear" w:color="auto" w:fill="FFFFFF"/>
        </w:rPr>
        <w:t xml:space="preserve">and </w:t>
      </w:r>
      <w:r w:rsidR="002D3A97">
        <w:rPr>
          <w:shd w:val="clear" w:color="auto" w:fill="FFFFFF"/>
        </w:rPr>
        <w:t>Excoriation (</w:t>
      </w:r>
      <w:r w:rsidR="004628C8" w:rsidRPr="00E840C9">
        <w:rPr>
          <w:shd w:val="clear" w:color="auto" w:fill="FFFFFF"/>
        </w:rPr>
        <w:t>Skin Picking</w:t>
      </w:r>
      <w:r w:rsidR="002D3A97">
        <w:rPr>
          <w:shd w:val="clear" w:color="auto" w:fill="FFFFFF"/>
        </w:rPr>
        <w:t>)</w:t>
      </w:r>
      <w:r w:rsidR="004628C8" w:rsidRPr="00E840C9">
        <w:rPr>
          <w:shd w:val="clear" w:color="auto" w:fill="FFFFFF"/>
        </w:rPr>
        <w:t xml:space="preserve"> Disorder</w:t>
      </w:r>
      <w:r w:rsidR="00390FFF" w:rsidRPr="00E840C9">
        <w:rPr>
          <w:shd w:val="clear" w:color="auto" w:fill="FFFFFF"/>
        </w:rPr>
        <w:t xml:space="preserve"> (SPD)</w:t>
      </w:r>
      <w:r w:rsidR="004628C8" w:rsidRPr="00E840C9">
        <w:rPr>
          <w:shd w:val="clear" w:color="auto" w:fill="FFFFFF"/>
        </w:rPr>
        <w:t>, are characterized by repeated pulling out of one’s hair resulting in hair loss</w:t>
      </w:r>
      <w:r w:rsidR="007A21D7">
        <w:rPr>
          <w:shd w:val="clear" w:color="auto" w:fill="FFFFFF"/>
        </w:rPr>
        <w:t xml:space="preserve"> </w:t>
      </w:r>
      <w:r w:rsidR="001664C1">
        <w:rPr>
          <w:shd w:val="clear" w:color="auto" w:fill="FFFFFF"/>
        </w:rPr>
        <w:t>and</w:t>
      </w:r>
      <w:r w:rsidR="004628C8" w:rsidRPr="00E840C9">
        <w:rPr>
          <w:shd w:val="clear" w:color="auto" w:fill="FFFFFF"/>
        </w:rPr>
        <w:t xml:space="preserve"> picking at one’s skin resulting in tissue damage, respectively</w:t>
      </w:r>
      <w:r w:rsidR="00A156FE">
        <w:rPr>
          <w:shd w:val="clear" w:color="auto" w:fill="FFFFFF"/>
        </w:rPr>
        <w:t>, and have been conceptualized as body focused repetitive behavior disorders (BFRBs)</w:t>
      </w:r>
      <w:r w:rsidR="004628C8" w:rsidRPr="00E840C9">
        <w:rPr>
          <w:shd w:val="clear" w:color="auto" w:fill="FFFFFF"/>
        </w:rPr>
        <w:t xml:space="preserve">. </w:t>
      </w:r>
      <w:r w:rsidR="00A156FE">
        <w:rPr>
          <w:shd w:val="clear" w:color="auto" w:fill="FFFFFF"/>
        </w:rPr>
        <w:t xml:space="preserve"> </w:t>
      </w:r>
      <w:r w:rsidR="004628C8" w:rsidRPr="00E840C9">
        <w:rPr>
          <w:shd w:val="clear" w:color="auto" w:fill="FFFFFF"/>
        </w:rPr>
        <w:t xml:space="preserve">BFRBs </w:t>
      </w:r>
      <w:r>
        <w:rPr>
          <w:shd w:val="clear" w:color="auto" w:fill="FFFFFF"/>
        </w:rPr>
        <w:t xml:space="preserve">often </w:t>
      </w:r>
      <w:r w:rsidR="004628C8" w:rsidRPr="00E840C9">
        <w:rPr>
          <w:shd w:val="clear" w:color="auto" w:fill="FFFFFF"/>
        </w:rPr>
        <w:t>result in significant impairmen</w:t>
      </w:r>
      <w:r w:rsidR="00417C1C" w:rsidRPr="00E840C9">
        <w:rPr>
          <w:shd w:val="clear" w:color="auto" w:fill="FFFFFF"/>
        </w:rPr>
        <w:t>t in physical, social, and psychological domains</w:t>
      </w:r>
      <w:r w:rsidR="00F96098" w:rsidRPr="00E840C9">
        <w:rPr>
          <w:shd w:val="clear" w:color="auto" w:fill="FFFFFF"/>
        </w:rPr>
        <w:t xml:space="preserve">, and they </w:t>
      </w:r>
      <w:r w:rsidR="00A156FE">
        <w:rPr>
          <w:shd w:val="clear" w:color="auto" w:fill="FFFFFF"/>
        </w:rPr>
        <w:t xml:space="preserve">may </w:t>
      </w:r>
      <w:r w:rsidR="00F96098" w:rsidRPr="00E840C9">
        <w:rPr>
          <w:shd w:val="clear" w:color="auto" w:fill="FFFFFF"/>
        </w:rPr>
        <w:t>exact an enormous personal and societal cost</w:t>
      </w:r>
      <w:r w:rsidR="005A7D88">
        <w:rPr>
          <w:shd w:val="clear" w:color="auto" w:fill="FFFFFF"/>
        </w:rPr>
        <w:t xml:space="preserve"> (</w:t>
      </w:r>
      <w:r w:rsidR="005A7D88" w:rsidRPr="002044C1">
        <w:t>Tucker</w:t>
      </w:r>
      <w:r w:rsidR="00C22DE7">
        <w:t xml:space="preserve"> et al.,</w:t>
      </w:r>
      <w:r w:rsidR="005A7D88">
        <w:t xml:space="preserve"> 2011; Walther et al., 2014)</w:t>
      </w:r>
      <w:r w:rsidR="001A7F4A">
        <w:rPr>
          <w:shd w:val="clear" w:color="auto" w:fill="FFFFFF"/>
        </w:rPr>
        <w:t>. B</w:t>
      </w:r>
      <w:r w:rsidR="00065257">
        <w:rPr>
          <w:shd w:val="clear" w:color="auto" w:fill="FFFFFF"/>
        </w:rPr>
        <w:t>oth p</w:t>
      </w:r>
      <w:r w:rsidR="00B11EC7" w:rsidRPr="00E840C9">
        <w:rPr>
          <w:shd w:val="clear" w:color="auto" w:fill="FFFFFF"/>
        </w:rPr>
        <w:t>sychosocial and psychopharmacological treatments have demonstrated some degree of efficacy</w:t>
      </w:r>
      <w:r w:rsidR="00065257">
        <w:rPr>
          <w:shd w:val="clear" w:color="auto" w:fill="FFFFFF"/>
        </w:rPr>
        <w:t>; however,</w:t>
      </w:r>
      <w:r w:rsidR="00B11EC7" w:rsidRPr="00E840C9">
        <w:rPr>
          <w:shd w:val="clear" w:color="auto" w:fill="FFFFFF"/>
        </w:rPr>
        <w:t xml:space="preserve"> many </w:t>
      </w:r>
      <w:r w:rsidR="001664C1">
        <w:rPr>
          <w:shd w:val="clear" w:color="auto" w:fill="FFFFFF"/>
        </w:rPr>
        <w:t>individuals</w:t>
      </w:r>
      <w:r w:rsidR="00B11EC7" w:rsidRPr="00E840C9">
        <w:rPr>
          <w:shd w:val="clear" w:color="auto" w:fill="FFFFFF"/>
        </w:rPr>
        <w:t xml:space="preserve"> fail to respond or exhibit only partial response</w:t>
      </w:r>
      <w:r w:rsidR="00F96098" w:rsidRPr="00E840C9">
        <w:rPr>
          <w:shd w:val="clear" w:color="auto" w:fill="FFFFFF"/>
        </w:rPr>
        <w:t xml:space="preserve"> to these interventions</w:t>
      </w:r>
      <w:r w:rsidR="005A7D88">
        <w:rPr>
          <w:shd w:val="clear" w:color="auto" w:fill="FFFFFF"/>
        </w:rPr>
        <w:t xml:space="preserve"> (</w:t>
      </w:r>
      <w:r w:rsidR="005A7D88" w:rsidRPr="002044C1">
        <w:t>Lee</w:t>
      </w:r>
      <w:r w:rsidR="00C22DE7">
        <w:t xml:space="preserve"> et al.,</w:t>
      </w:r>
      <w:r w:rsidR="005A7D88">
        <w:t xml:space="preserve"> 2019; Sani et al., 2019).</w:t>
      </w:r>
      <w:r>
        <w:rPr>
          <w:shd w:val="clear" w:color="auto" w:fill="FFFFFF"/>
        </w:rPr>
        <w:t xml:space="preserve"> </w:t>
      </w:r>
      <w:r w:rsidR="00F96098" w:rsidRPr="00E840C9">
        <w:rPr>
          <w:shd w:val="clear" w:color="auto" w:fill="FFFFFF"/>
        </w:rPr>
        <w:t>R</w:t>
      </w:r>
      <w:r w:rsidR="00B11EC7" w:rsidRPr="00E840C9">
        <w:rPr>
          <w:shd w:val="clear" w:color="auto" w:fill="FFFFFF"/>
        </w:rPr>
        <w:t xml:space="preserve">elapse is common over the long-term and remission is </w:t>
      </w:r>
      <w:r w:rsidR="00343B5E">
        <w:rPr>
          <w:shd w:val="clear" w:color="auto" w:fill="FFFFFF"/>
        </w:rPr>
        <w:t>unusual</w:t>
      </w:r>
      <w:r w:rsidR="00EF4B9E" w:rsidRPr="00EF4B9E">
        <w:t xml:space="preserve"> </w:t>
      </w:r>
      <w:r w:rsidR="00EF4B9E">
        <w:t>(</w:t>
      </w:r>
      <w:r w:rsidR="00EF4B9E" w:rsidRPr="002044C1">
        <w:t>Franklin</w:t>
      </w:r>
      <w:r w:rsidR="00C22DE7">
        <w:t xml:space="preserve"> et al.,</w:t>
      </w:r>
      <w:r w:rsidR="00EF4B9E">
        <w:t xml:space="preserve"> 2011)</w:t>
      </w:r>
      <w:r w:rsidR="00796E93">
        <w:rPr>
          <w:shd w:val="clear" w:color="auto" w:fill="FFFFFF"/>
        </w:rPr>
        <w:t>.</w:t>
      </w:r>
      <w:r w:rsidR="00F96098" w:rsidRPr="00E840C9">
        <w:rPr>
          <w:shd w:val="clear" w:color="auto" w:fill="FFFFFF"/>
        </w:rPr>
        <w:t xml:space="preserve"> </w:t>
      </w:r>
    </w:p>
    <w:p w14:paraId="2409315E" w14:textId="1A21B5FC" w:rsidR="00901F70" w:rsidRPr="00153162" w:rsidRDefault="00B80661" w:rsidP="00153162">
      <w:pPr>
        <w:spacing w:line="480" w:lineRule="auto"/>
        <w:ind w:firstLine="720"/>
        <w:rPr>
          <w:shd w:val="clear" w:color="auto" w:fill="FFFFFF"/>
          <w:vertAlign w:val="superscript"/>
        </w:rPr>
      </w:pPr>
      <w:r w:rsidRPr="00B80661">
        <w:rPr>
          <w:shd w:val="clear" w:color="auto" w:fill="FFFFFF"/>
        </w:rPr>
        <w:t xml:space="preserve">One issue that has hampered treatment development to date is that the understanding of the phenomenology and pathophysiology of BFRBs remains limited by </w:t>
      </w:r>
      <w:r w:rsidR="001664C1">
        <w:rPr>
          <w:shd w:val="clear" w:color="auto" w:fill="FFFFFF"/>
        </w:rPr>
        <w:t xml:space="preserve">the </w:t>
      </w:r>
      <w:r w:rsidRPr="00B80661">
        <w:rPr>
          <w:shd w:val="clear" w:color="auto" w:fill="FFFFFF"/>
        </w:rPr>
        <w:t>relatively small samples</w:t>
      </w:r>
      <w:r w:rsidR="001664C1" w:rsidRPr="001664C1">
        <w:t xml:space="preserve"> </w:t>
      </w:r>
      <w:r w:rsidR="001664C1" w:rsidRPr="001664C1">
        <w:rPr>
          <w:shd w:val="clear" w:color="auto" w:fill="FFFFFF"/>
        </w:rPr>
        <w:t>enrolled in most clinical studies</w:t>
      </w:r>
      <w:r>
        <w:rPr>
          <w:shd w:val="clear" w:color="auto" w:fill="FFFFFF"/>
        </w:rPr>
        <w:t xml:space="preserve">.  </w:t>
      </w:r>
      <w:r w:rsidR="007A21D7">
        <w:rPr>
          <w:shd w:val="clear" w:color="auto" w:fill="FFFFFF"/>
        </w:rPr>
        <w:t>E</w:t>
      </w:r>
      <w:r w:rsidR="007A21D7" w:rsidRPr="007A21D7">
        <w:rPr>
          <w:shd w:val="clear" w:color="auto" w:fill="FFFFFF"/>
        </w:rPr>
        <w:t>xisting literature suggests environmental and internal factors, including boredom, activity restriction, emotional reactivity, stress</w:t>
      </w:r>
      <w:r w:rsidR="007B7304">
        <w:rPr>
          <w:shd w:val="clear" w:color="auto" w:fill="FFFFFF"/>
        </w:rPr>
        <w:t xml:space="preserve"> response</w:t>
      </w:r>
      <w:r w:rsidR="007A21D7" w:rsidRPr="007A21D7">
        <w:rPr>
          <w:shd w:val="clear" w:color="auto" w:fill="FFFFFF"/>
        </w:rPr>
        <w:t xml:space="preserve">, </w:t>
      </w:r>
      <w:r w:rsidR="00E54C2E">
        <w:rPr>
          <w:shd w:val="clear" w:color="auto" w:fill="FFFFFF"/>
        </w:rPr>
        <w:t xml:space="preserve">abnormalities in perceptual sensitivity, </w:t>
      </w:r>
      <w:r w:rsidR="00BC2C2D">
        <w:rPr>
          <w:shd w:val="clear" w:color="auto" w:fill="FFFFFF"/>
        </w:rPr>
        <w:t xml:space="preserve">dissociation, </w:t>
      </w:r>
      <w:r w:rsidR="007A21D7" w:rsidRPr="007A21D7">
        <w:rPr>
          <w:shd w:val="clear" w:color="auto" w:fill="FFFFFF"/>
        </w:rPr>
        <w:t xml:space="preserve">and trauma </w:t>
      </w:r>
      <w:r w:rsidR="007B7304">
        <w:rPr>
          <w:shd w:val="clear" w:color="auto" w:fill="FFFFFF"/>
        </w:rPr>
        <w:t xml:space="preserve">history </w:t>
      </w:r>
      <w:r w:rsidR="007A21D7" w:rsidRPr="007A21D7">
        <w:rPr>
          <w:shd w:val="clear" w:color="auto" w:fill="FFFFFF"/>
        </w:rPr>
        <w:t xml:space="preserve">may </w:t>
      </w:r>
      <w:r w:rsidR="00FF08CA">
        <w:rPr>
          <w:shd w:val="clear" w:color="auto" w:fill="FFFFFF"/>
        </w:rPr>
        <w:t xml:space="preserve">all </w:t>
      </w:r>
      <w:r w:rsidR="007A21D7" w:rsidRPr="007A21D7">
        <w:rPr>
          <w:shd w:val="clear" w:color="auto" w:fill="FFFFFF"/>
        </w:rPr>
        <w:t xml:space="preserve">contribute to symptom </w:t>
      </w:r>
      <w:r w:rsidR="007A21D7">
        <w:rPr>
          <w:shd w:val="clear" w:color="auto" w:fill="FFFFFF"/>
        </w:rPr>
        <w:t xml:space="preserve">provocation and </w:t>
      </w:r>
      <w:r w:rsidR="007A21D7" w:rsidRPr="007A21D7">
        <w:rPr>
          <w:shd w:val="clear" w:color="auto" w:fill="FFFFFF"/>
        </w:rPr>
        <w:t>exacerbation</w:t>
      </w:r>
      <w:r w:rsidR="00A607A8">
        <w:rPr>
          <w:shd w:val="clear" w:color="auto" w:fill="FFFFFF"/>
        </w:rPr>
        <w:t xml:space="preserve"> of BFRBs</w:t>
      </w:r>
      <w:r w:rsidR="007A21D7" w:rsidRPr="007A21D7">
        <w:rPr>
          <w:shd w:val="clear" w:color="auto" w:fill="FFFFFF"/>
        </w:rPr>
        <w:t xml:space="preserve"> (</w:t>
      </w:r>
      <w:r w:rsidR="00C76631">
        <w:rPr>
          <w:shd w:val="clear" w:color="auto" w:fill="FFFFFF"/>
        </w:rPr>
        <w:t>f</w:t>
      </w:r>
      <w:r w:rsidR="00C52FA6">
        <w:rPr>
          <w:shd w:val="clear" w:color="auto" w:fill="FFFFFF"/>
        </w:rPr>
        <w:t>or a review</w:t>
      </w:r>
      <w:r w:rsidR="001A7F4A">
        <w:rPr>
          <w:shd w:val="clear" w:color="auto" w:fill="FFFFFF"/>
        </w:rPr>
        <w:t xml:space="preserve"> </w:t>
      </w:r>
      <w:r w:rsidR="00EF4B9E">
        <w:rPr>
          <w:shd w:val="clear" w:color="auto" w:fill="FFFFFF"/>
        </w:rPr>
        <w:t>(Snorrason et al., 2012)</w:t>
      </w:r>
      <w:r w:rsidR="007A21D7" w:rsidRPr="007A21D7">
        <w:rPr>
          <w:shd w:val="clear" w:color="auto" w:fill="FFFFFF"/>
        </w:rPr>
        <w:t xml:space="preserve">). </w:t>
      </w:r>
      <w:r w:rsidR="004B54F8">
        <w:rPr>
          <w:shd w:val="clear" w:color="auto" w:fill="FFFFFF"/>
        </w:rPr>
        <w:t xml:space="preserve"> </w:t>
      </w:r>
      <w:r w:rsidR="00BC17E1">
        <w:rPr>
          <w:shd w:val="clear" w:color="auto" w:fill="FFFFFF"/>
        </w:rPr>
        <w:t>Both disorders are familial, and twin studies have demonstrated significant shared genetic risk between TTM and SPD, as well as shared heritability with obsessive-compulsive spectrum disorders more broadly</w:t>
      </w:r>
      <w:r w:rsidR="001A7F4A">
        <w:rPr>
          <w:shd w:val="clear" w:color="auto" w:fill="FFFFFF"/>
        </w:rPr>
        <w:t xml:space="preserve"> </w:t>
      </w:r>
      <w:r w:rsidR="00EF4B9E">
        <w:rPr>
          <w:shd w:val="clear" w:color="auto" w:fill="FFFFFF"/>
        </w:rPr>
        <w:t>(</w:t>
      </w:r>
      <w:proofErr w:type="spellStart"/>
      <w:r w:rsidR="00EF4B9E" w:rsidRPr="00086743">
        <w:rPr>
          <w:color w:val="212121"/>
          <w:shd w:val="clear" w:color="auto" w:fill="FFFFFF"/>
        </w:rPr>
        <w:t>Monzani</w:t>
      </w:r>
      <w:proofErr w:type="spellEnd"/>
      <w:r w:rsidR="00C22DE7">
        <w:rPr>
          <w:color w:val="212121"/>
          <w:shd w:val="clear" w:color="auto" w:fill="FFFFFF"/>
        </w:rPr>
        <w:t xml:space="preserve"> et al., </w:t>
      </w:r>
      <w:r w:rsidR="00EF4B9E" w:rsidRPr="00153162">
        <w:rPr>
          <w:color w:val="212121"/>
          <w:shd w:val="clear" w:color="auto" w:fill="FFFFFF"/>
        </w:rPr>
        <w:t>2014)</w:t>
      </w:r>
      <w:r w:rsidR="00BC17E1" w:rsidRPr="00153162">
        <w:rPr>
          <w:shd w:val="clear" w:color="auto" w:fill="FFFFFF"/>
        </w:rPr>
        <w:t>.</w:t>
      </w:r>
    </w:p>
    <w:p w14:paraId="60C33A07" w14:textId="6AFBEAE5" w:rsidR="00A07575" w:rsidRPr="00153162" w:rsidRDefault="00901F70" w:rsidP="00153162">
      <w:pPr>
        <w:spacing w:line="480" w:lineRule="auto"/>
        <w:ind w:firstLine="720"/>
        <w:rPr>
          <w:shd w:val="clear" w:color="auto" w:fill="FFFFFF"/>
        </w:rPr>
      </w:pPr>
      <w:r w:rsidRPr="00153162">
        <w:rPr>
          <w:shd w:val="clear" w:color="auto" w:fill="FFFFFF"/>
        </w:rPr>
        <w:lastRenderedPageBreak/>
        <w:t xml:space="preserve">In terms of </w:t>
      </w:r>
      <w:r w:rsidR="001664C1" w:rsidRPr="00153162">
        <w:rPr>
          <w:shd w:val="clear" w:color="auto" w:fill="FFFFFF"/>
        </w:rPr>
        <w:t>neuro</w:t>
      </w:r>
      <w:r w:rsidRPr="00153162">
        <w:rPr>
          <w:shd w:val="clear" w:color="auto" w:fill="FFFFFF"/>
        </w:rPr>
        <w:t>cognitive processing and brain networks</w:t>
      </w:r>
      <w:r w:rsidR="004A5758" w:rsidRPr="00153162">
        <w:rPr>
          <w:shd w:val="clear" w:color="auto" w:fill="FFFFFF"/>
        </w:rPr>
        <w:t xml:space="preserve"> in BFRBs</w:t>
      </w:r>
      <w:r w:rsidRPr="00153162">
        <w:rPr>
          <w:shd w:val="clear" w:color="auto" w:fill="FFFFFF"/>
        </w:rPr>
        <w:t>, t</w:t>
      </w:r>
      <w:r w:rsidR="004B54F8" w:rsidRPr="00153162">
        <w:rPr>
          <w:shd w:val="clear" w:color="auto" w:fill="FFFFFF"/>
        </w:rPr>
        <w:t xml:space="preserve">he literature </w:t>
      </w:r>
      <w:r w:rsidR="00F96098" w:rsidRPr="00153162">
        <w:rPr>
          <w:shd w:val="clear" w:color="auto" w:fill="FFFFFF"/>
        </w:rPr>
        <w:t>reveals</w:t>
      </w:r>
      <w:r w:rsidR="00623FCC" w:rsidRPr="00153162">
        <w:rPr>
          <w:shd w:val="clear" w:color="auto" w:fill="FFFFFF"/>
        </w:rPr>
        <w:t xml:space="preserve"> </w:t>
      </w:r>
      <w:r w:rsidR="00983487" w:rsidRPr="00153162">
        <w:rPr>
          <w:shd w:val="clear" w:color="auto" w:fill="FFFFFF"/>
        </w:rPr>
        <w:t xml:space="preserve">mixed </w:t>
      </w:r>
      <w:r w:rsidR="00BC2C2D" w:rsidRPr="00153162">
        <w:rPr>
          <w:shd w:val="clear" w:color="auto" w:fill="FFFFFF"/>
        </w:rPr>
        <w:t>findings from neurocognitive examinations designed to assess motor inhibition, spatial working memory, divided attention, visuo-spatial learning, and cognitive flexibility</w:t>
      </w:r>
      <w:r w:rsidR="00EF4B9E" w:rsidRPr="00153162">
        <w:t xml:space="preserve"> (Chamberlain</w:t>
      </w:r>
      <w:r w:rsidR="00C22DE7">
        <w:t xml:space="preserve"> et al.,</w:t>
      </w:r>
      <w:r w:rsidR="00EF4B9E" w:rsidRPr="00153162">
        <w:t xml:space="preserve"> 2009;</w:t>
      </w:r>
      <w:r w:rsidR="00BC2C2D" w:rsidRPr="00153162">
        <w:rPr>
          <w:shd w:val="clear" w:color="auto" w:fill="FFFFFF"/>
        </w:rPr>
        <w:t xml:space="preserve"> </w:t>
      </w:r>
      <w:r w:rsidR="00EF4B9E" w:rsidRPr="00153162">
        <w:t>Snorrason</w:t>
      </w:r>
      <w:r w:rsidR="00C22DE7">
        <w:t xml:space="preserve"> et al.,</w:t>
      </w:r>
      <w:r w:rsidR="00EF4B9E" w:rsidRPr="00153162">
        <w:t xml:space="preserve"> 2011; </w:t>
      </w:r>
      <w:proofErr w:type="spellStart"/>
      <w:r w:rsidR="00EF4B9E" w:rsidRPr="00153162">
        <w:t>Francazio</w:t>
      </w:r>
      <w:proofErr w:type="spellEnd"/>
      <w:r w:rsidR="00EF4B9E" w:rsidRPr="00153162">
        <w:t xml:space="preserve"> and Flessner, 2015).</w:t>
      </w:r>
    </w:p>
    <w:p w14:paraId="2EE51DF0" w14:textId="1E11904D" w:rsidR="00D37796" w:rsidRPr="00153162" w:rsidRDefault="00C52FA6" w:rsidP="00153162">
      <w:pPr>
        <w:spacing w:line="480" w:lineRule="auto"/>
        <w:ind w:firstLine="720"/>
        <w:rPr>
          <w:shd w:val="clear" w:color="auto" w:fill="FFFFFF"/>
        </w:rPr>
      </w:pPr>
      <w:r w:rsidRPr="00153162">
        <w:rPr>
          <w:shd w:val="clear" w:color="auto" w:fill="FFFFFF"/>
        </w:rPr>
        <w:t xml:space="preserve">Furthermore, </w:t>
      </w:r>
      <w:r w:rsidR="00901F70" w:rsidRPr="00153162">
        <w:rPr>
          <w:shd w:val="clear" w:color="auto" w:fill="FFFFFF"/>
        </w:rPr>
        <w:t>BFRB</w:t>
      </w:r>
      <w:r w:rsidR="00882834" w:rsidRPr="00153162">
        <w:rPr>
          <w:shd w:val="clear" w:color="auto" w:fill="FFFFFF"/>
        </w:rPr>
        <w:t xml:space="preserve"> research </w:t>
      </w:r>
      <w:r w:rsidR="00A607A8" w:rsidRPr="00153162">
        <w:rPr>
          <w:shd w:val="clear" w:color="auto" w:fill="FFFFFF"/>
        </w:rPr>
        <w:t xml:space="preserve">comparing patients to matched controls </w:t>
      </w:r>
      <w:r w:rsidR="00882834" w:rsidRPr="00153162">
        <w:rPr>
          <w:shd w:val="clear" w:color="auto" w:fill="FFFFFF"/>
        </w:rPr>
        <w:t xml:space="preserve">has </w:t>
      </w:r>
      <w:r w:rsidR="00A607A8" w:rsidRPr="00153162">
        <w:rPr>
          <w:shd w:val="clear" w:color="auto" w:fill="FFFFFF"/>
        </w:rPr>
        <w:t xml:space="preserve">identified </w:t>
      </w:r>
      <w:r w:rsidR="00FF62C3" w:rsidRPr="00153162">
        <w:rPr>
          <w:shd w:val="clear" w:color="auto" w:fill="FFFFFF"/>
        </w:rPr>
        <w:t xml:space="preserve">abnormalities in </w:t>
      </w:r>
      <w:r w:rsidR="00901F70" w:rsidRPr="00153162">
        <w:rPr>
          <w:shd w:val="clear" w:color="auto" w:fill="FFFFFF"/>
        </w:rPr>
        <w:t xml:space="preserve">multiple brain regions </w:t>
      </w:r>
      <w:r w:rsidR="00A607A8" w:rsidRPr="00153162">
        <w:rPr>
          <w:shd w:val="clear" w:color="auto" w:fill="FFFFFF"/>
        </w:rPr>
        <w:t xml:space="preserve">underpinning many of the above </w:t>
      </w:r>
      <w:r w:rsidR="001664C1" w:rsidRPr="00153162">
        <w:rPr>
          <w:shd w:val="clear" w:color="auto" w:fill="FFFFFF"/>
        </w:rPr>
        <w:t>neuro</w:t>
      </w:r>
      <w:r w:rsidR="00A607A8" w:rsidRPr="00153162">
        <w:rPr>
          <w:shd w:val="clear" w:color="auto" w:fill="FFFFFF"/>
        </w:rPr>
        <w:t>cognitive domains</w:t>
      </w:r>
      <w:r w:rsidR="00901F70" w:rsidRPr="00153162">
        <w:rPr>
          <w:shd w:val="clear" w:color="auto" w:fill="FFFFFF"/>
        </w:rPr>
        <w:t>.  In small samples</w:t>
      </w:r>
      <w:r w:rsidR="004A5758" w:rsidRPr="00153162">
        <w:rPr>
          <w:shd w:val="clear" w:color="auto" w:fill="FFFFFF"/>
        </w:rPr>
        <w:t xml:space="preserve"> of</w:t>
      </w:r>
      <w:r w:rsidR="00901F70" w:rsidRPr="00153162">
        <w:rPr>
          <w:shd w:val="clear" w:color="auto" w:fill="FFFFFF"/>
        </w:rPr>
        <w:t xml:space="preserve"> participants</w:t>
      </w:r>
      <w:r w:rsidR="007E2487" w:rsidRPr="00153162">
        <w:rPr>
          <w:shd w:val="clear" w:color="auto" w:fill="FFFFFF"/>
        </w:rPr>
        <w:t xml:space="preserve"> (Ns ranging from 10-</w:t>
      </w:r>
      <w:r w:rsidR="00021332" w:rsidRPr="00153162">
        <w:rPr>
          <w:shd w:val="clear" w:color="auto" w:fill="FFFFFF"/>
        </w:rPr>
        <w:t>76</w:t>
      </w:r>
      <w:r w:rsidR="007E2487" w:rsidRPr="00153162">
        <w:rPr>
          <w:shd w:val="clear" w:color="auto" w:fill="FFFFFF"/>
        </w:rPr>
        <w:t>)</w:t>
      </w:r>
      <w:r w:rsidR="00901F70" w:rsidRPr="00153162">
        <w:rPr>
          <w:shd w:val="clear" w:color="auto" w:fill="FFFFFF"/>
        </w:rPr>
        <w:t xml:space="preserve">, </w:t>
      </w:r>
      <w:r w:rsidR="0060332A" w:rsidRPr="00153162">
        <w:rPr>
          <w:shd w:val="clear" w:color="auto" w:fill="FFFFFF"/>
        </w:rPr>
        <w:t xml:space="preserve">there has been evidence for abnormalities in </w:t>
      </w:r>
      <w:r w:rsidR="002E5F55" w:rsidRPr="00153162">
        <w:rPr>
          <w:shd w:val="clear" w:color="auto" w:fill="FFFFFF"/>
        </w:rPr>
        <w:t xml:space="preserve">multiple </w:t>
      </w:r>
      <w:r w:rsidR="00A607A8" w:rsidRPr="00153162">
        <w:rPr>
          <w:shd w:val="clear" w:color="auto" w:fill="FFFFFF"/>
        </w:rPr>
        <w:t xml:space="preserve">brain </w:t>
      </w:r>
      <w:r w:rsidR="0060332A" w:rsidRPr="00153162">
        <w:rPr>
          <w:shd w:val="clear" w:color="auto" w:fill="FFFFFF"/>
        </w:rPr>
        <w:t>regions</w:t>
      </w:r>
      <w:r w:rsidR="002E5F55" w:rsidRPr="00153162">
        <w:rPr>
          <w:shd w:val="clear" w:color="auto" w:fill="FFFFFF"/>
        </w:rPr>
        <w:t>, including those regions</w:t>
      </w:r>
      <w:r w:rsidR="0060332A" w:rsidRPr="00153162">
        <w:rPr>
          <w:shd w:val="clear" w:color="auto" w:fill="FFFFFF"/>
        </w:rPr>
        <w:t xml:space="preserve"> involved in habit learning (e.g., striatum), emotion regulation (e.g., </w:t>
      </w:r>
      <w:proofErr w:type="spellStart"/>
      <w:r w:rsidR="0060332A" w:rsidRPr="00153162">
        <w:rPr>
          <w:shd w:val="clear" w:color="auto" w:fill="FFFFFF"/>
        </w:rPr>
        <w:t>amygdalo</w:t>
      </w:r>
      <w:proofErr w:type="spellEnd"/>
      <w:r w:rsidR="0060332A" w:rsidRPr="00153162">
        <w:rPr>
          <w:shd w:val="clear" w:color="auto" w:fill="FFFFFF"/>
        </w:rPr>
        <w:t xml:space="preserve">–hippocampal complex), memory processing (e.g., temporal lobe), self-monitoring and awareness (e.g., precuneus), </w:t>
      </w:r>
      <w:r w:rsidR="00A07575" w:rsidRPr="00153162">
        <w:rPr>
          <w:shd w:val="clear" w:color="auto" w:fill="FFFFFF"/>
        </w:rPr>
        <w:t xml:space="preserve">reward processing (e.g., ventral striatum, frontal hemisphere, bilateral cuneus), </w:t>
      </w:r>
      <w:r w:rsidR="0060332A" w:rsidRPr="00153162">
        <w:rPr>
          <w:shd w:val="clear" w:color="auto" w:fill="FFFFFF"/>
        </w:rPr>
        <w:t>visual processing</w:t>
      </w:r>
      <w:r w:rsidR="00A07575" w:rsidRPr="00153162">
        <w:rPr>
          <w:shd w:val="clear" w:color="auto" w:fill="FFFFFF"/>
        </w:rPr>
        <w:t xml:space="preserve"> of disgust (e.g., insula and putamen)</w:t>
      </w:r>
      <w:r w:rsidR="0060332A" w:rsidRPr="00153162">
        <w:rPr>
          <w:shd w:val="clear" w:color="auto" w:fill="FFFFFF"/>
        </w:rPr>
        <w:t>, and the ability to generate and suppress motor responses (e.g., several cortical areas</w:t>
      </w:r>
      <w:r w:rsidR="00A607A8" w:rsidRPr="00153162">
        <w:rPr>
          <w:shd w:val="clear" w:color="auto" w:fill="FFFFFF"/>
        </w:rPr>
        <w:t>, including the right frontal gyrus</w:t>
      </w:r>
      <w:r w:rsidR="0060332A" w:rsidRPr="00153162">
        <w:rPr>
          <w:shd w:val="clear" w:color="auto" w:fill="FFFFFF"/>
        </w:rPr>
        <w:t>)</w:t>
      </w:r>
      <w:r w:rsidR="001A7F4A" w:rsidRPr="00153162">
        <w:rPr>
          <w:shd w:val="clear" w:color="auto" w:fill="FFFFFF"/>
        </w:rPr>
        <w:t xml:space="preserve"> </w:t>
      </w:r>
      <w:r w:rsidR="00EF4B9E" w:rsidRPr="00153162">
        <w:rPr>
          <w:shd w:val="clear" w:color="auto" w:fill="FFFFFF"/>
        </w:rPr>
        <w:t xml:space="preserve">(Chamberlain et al., 2009; </w:t>
      </w:r>
      <w:r w:rsidR="00EF4B9E" w:rsidRPr="00153162">
        <w:t>Flessner</w:t>
      </w:r>
      <w:r w:rsidR="00C22DE7">
        <w:t xml:space="preserve"> et al.,</w:t>
      </w:r>
      <w:r w:rsidR="00EF4B9E" w:rsidRPr="00153162">
        <w:t xml:space="preserve"> 2012; </w:t>
      </w:r>
      <w:r w:rsidR="00EF4B9E" w:rsidRPr="00153162">
        <w:rPr>
          <w:shd w:val="clear" w:color="auto" w:fill="FFFFFF"/>
        </w:rPr>
        <w:t xml:space="preserve">Chamberlain, et al., 2018; </w:t>
      </w:r>
      <w:proofErr w:type="spellStart"/>
      <w:r w:rsidR="00EF4B9E" w:rsidRPr="00153162">
        <w:rPr>
          <w:shd w:val="clear" w:color="auto" w:fill="FFFFFF"/>
        </w:rPr>
        <w:t>Isobe</w:t>
      </w:r>
      <w:proofErr w:type="spellEnd"/>
      <w:r w:rsidR="00EF4B9E" w:rsidRPr="00153162">
        <w:rPr>
          <w:shd w:val="clear" w:color="auto" w:fill="FFFFFF"/>
        </w:rPr>
        <w:t xml:space="preserve"> et al., 2018)</w:t>
      </w:r>
      <w:r w:rsidR="001A7F4A" w:rsidRPr="00153162">
        <w:rPr>
          <w:shd w:val="clear" w:color="auto" w:fill="FFFFFF"/>
        </w:rPr>
        <w:t>.</w:t>
      </w:r>
      <w:r w:rsidR="00C72688" w:rsidRPr="00153162">
        <w:rPr>
          <w:shd w:val="clear" w:color="auto" w:fill="FFFFFF"/>
        </w:rPr>
        <w:t xml:space="preserve"> </w:t>
      </w:r>
    </w:p>
    <w:p w14:paraId="2884DB91" w14:textId="65A38E44" w:rsidR="00A83848" w:rsidRPr="00153162" w:rsidRDefault="00A156FE" w:rsidP="00153162">
      <w:pPr>
        <w:pStyle w:val="PlainText"/>
        <w:spacing w:line="480" w:lineRule="auto"/>
        <w:ind w:firstLine="720"/>
        <w:rPr>
          <w:rFonts w:ascii="Times New Roman" w:hAnsi="Times New Roman"/>
          <w:sz w:val="24"/>
          <w:szCs w:val="24"/>
          <w:shd w:val="clear" w:color="auto" w:fill="FFFFFF"/>
        </w:rPr>
      </w:pPr>
      <w:r w:rsidRPr="00153162">
        <w:rPr>
          <w:rFonts w:ascii="Times New Roman" w:hAnsi="Times New Roman"/>
          <w:sz w:val="24"/>
          <w:szCs w:val="24"/>
          <w:shd w:val="clear" w:color="auto" w:fill="FFFFFF"/>
        </w:rPr>
        <w:t>These v</w:t>
      </w:r>
      <w:r w:rsidR="00DF09F0" w:rsidRPr="00153162">
        <w:rPr>
          <w:rFonts w:ascii="Times New Roman" w:hAnsi="Times New Roman"/>
          <w:sz w:val="24"/>
          <w:szCs w:val="24"/>
          <w:shd w:val="clear" w:color="auto" w:fill="FFFFFF"/>
        </w:rPr>
        <w:t xml:space="preserve">aried findings from </w:t>
      </w:r>
      <w:r w:rsidR="00FF08CA" w:rsidRPr="00153162">
        <w:rPr>
          <w:rFonts w:ascii="Times New Roman" w:hAnsi="Times New Roman"/>
          <w:sz w:val="24"/>
          <w:szCs w:val="24"/>
          <w:shd w:val="clear" w:color="auto" w:fill="FFFFFF"/>
        </w:rPr>
        <w:t xml:space="preserve">phenomenological, </w:t>
      </w:r>
      <w:r w:rsidR="00DF09F0" w:rsidRPr="00153162">
        <w:rPr>
          <w:rFonts w:ascii="Times New Roman" w:hAnsi="Times New Roman"/>
          <w:sz w:val="24"/>
          <w:szCs w:val="24"/>
          <w:shd w:val="clear" w:color="auto" w:fill="FFFFFF"/>
        </w:rPr>
        <w:t>cognitive</w:t>
      </w:r>
      <w:r w:rsidR="00FF08CA" w:rsidRPr="00153162">
        <w:rPr>
          <w:rFonts w:ascii="Times New Roman" w:hAnsi="Times New Roman"/>
          <w:sz w:val="24"/>
          <w:szCs w:val="24"/>
          <w:shd w:val="clear" w:color="auto" w:fill="FFFFFF"/>
        </w:rPr>
        <w:t>,</w:t>
      </w:r>
      <w:r w:rsidR="00DF09F0" w:rsidRPr="00153162">
        <w:rPr>
          <w:rFonts w:ascii="Times New Roman" w:hAnsi="Times New Roman"/>
          <w:sz w:val="24"/>
          <w:szCs w:val="24"/>
          <w:shd w:val="clear" w:color="auto" w:fill="FFFFFF"/>
        </w:rPr>
        <w:t xml:space="preserve"> and neurobiological studies, as well as inconsistent results from psychosocial and pharmacological interventions</w:t>
      </w:r>
      <w:r w:rsidR="00EF4B9E" w:rsidRPr="00153162">
        <w:rPr>
          <w:rFonts w:ascii="Times New Roman" w:hAnsi="Times New Roman"/>
          <w:sz w:val="24"/>
          <w:szCs w:val="24"/>
        </w:rPr>
        <w:t xml:space="preserve"> (Franklin et al., 2011; Rothbart et al., 2013)</w:t>
      </w:r>
      <w:r w:rsidR="002C59F7" w:rsidRPr="00153162">
        <w:rPr>
          <w:rFonts w:ascii="Times New Roman" w:hAnsi="Times New Roman"/>
          <w:sz w:val="24"/>
          <w:szCs w:val="24"/>
          <w:shd w:val="clear" w:color="auto" w:fill="FFFFFF"/>
        </w:rPr>
        <w:t>,</w:t>
      </w:r>
      <w:r w:rsidR="00DF09F0" w:rsidRPr="00153162">
        <w:rPr>
          <w:rFonts w:ascii="Times New Roman" w:hAnsi="Times New Roman"/>
          <w:sz w:val="24"/>
          <w:szCs w:val="24"/>
          <w:shd w:val="clear" w:color="auto" w:fill="FFFFFF"/>
        </w:rPr>
        <w:t xml:space="preserve"> suggest heterogeneity within the</w:t>
      </w:r>
      <w:r w:rsidR="00E27DDD" w:rsidRPr="00153162">
        <w:rPr>
          <w:rFonts w:ascii="Times New Roman" w:hAnsi="Times New Roman"/>
          <w:sz w:val="24"/>
          <w:szCs w:val="24"/>
          <w:shd w:val="clear" w:color="auto" w:fill="FFFFFF"/>
        </w:rPr>
        <w:t>se</w:t>
      </w:r>
      <w:r w:rsidR="00DF09F0" w:rsidRPr="00153162">
        <w:rPr>
          <w:rFonts w:ascii="Times New Roman" w:hAnsi="Times New Roman"/>
          <w:sz w:val="24"/>
          <w:szCs w:val="24"/>
          <w:shd w:val="clear" w:color="auto" w:fill="FFFFFF"/>
        </w:rPr>
        <w:t xml:space="preserve"> disorder</w:t>
      </w:r>
      <w:r w:rsidR="00E54C2E" w:rsidRPr="00153162">
        <w:rPr>
          <w:rFonts w:ascii="Times New Roman" w:hAnsi="Times New Roman"/>
          <w:sz w:val="24"/>
          <w:szCs w:val="24"/>
          <w:shd w:val="clear" w:color="auto" w:fill="FFFFFF"/>
        </w:rPr>
        <w:t>s</w:t>
      </w:r>
      <w:r w:rsidR="00DF09F0" w:rsidRPr="00153162">
        <w:rPr>
          <w:rFonts w:ascii="Times New Roman" w:hAnsi="Times New Roman"/>
          <w:sz w:val="24"/>
          <w:szCs w:val="24"/>
          <w:shd w:val="clear" w:color="auto" w:fill="FFFFFF"/>
        </w:rPr>
        <w:t xml:space="preserve">.  In fact, </w:t>
      </w:r>
      <w:r w:rsidR="00786EED" w:rsidRPr="00153162">
        <w:rPr>
          <w:rFonts w:ascii="Times New Roman" w:hAnsi="Times New Roman"/>
          <w:sz w:val="24"/>
          <w:szCs w:val="24"/>
          <w:shd w:val="clear" w:color="auto" w:fill="FFFFFF"/>
        </w:rPr>
        <w:t>for years</w:t>
      </w:r>
      <w:r w:rsidR="00153162" w:rsidRPr="00153162">
        <w:rPr>
          <w:rFonts w:ascii="Times New Roman" w:hAnsi="Times New Roman"/>
          <w:sz w:val="24"/>
          <w:szCs w:val="24"/>
          <w:shd w:val="clear" w:color="auto" w:fill="FFFFFF"/>
        </w:rPr>
        <w:t>,</w:t>
      </w:r>
      <w:r w:rsidR="00786EED" w:rsidRPr="00153162">
        <w:rPr>
          <w:rFonts w:ascii="Times New Roman" w:hAnsi="Times New Roman"/>
          <w:sz w:val="24"/>
          <w:szCs w:val="24"/>
          <w:shd w:val="clear" w:color="auto" w:fill="FFFFFF"/>
        </w:rPr>
        <w:t xml:space="preserve"> </w:t>
      </w:r>
      <w:r w:rsidR="00DF09F0" w:rsidRPr="00153162">
        <w:rPr>
          <w:rFonts w:ascii="Times New Roman" w:hAnsi="Times New Roman"/>
          <w:sz w:val="24"/>
          <w:szCs w:val="24"/>
          <w:shd w:val="clear" w:color="auto" w:fill="FFFFFF"/>
        </w:rPr>
        <w:t>c</w:t>
      </w:r>
      <w:r w:rsidR="007A21D7" w:rsidRPr="00153162">
        <w:rPr>
          <w:rFonts w:ascii="Times New Roman" w:hAnsi="Times New Roman"/>
          <w:sz w:val="24"/>
          <w:szCs w:val="24"/>
          <w:shd w:val="clear" w:color="auto" w:fill="FFFFFF"/>
        </w:rPr>
        <w:t xml:space="preserve">linical studies have </w:t>
      </w:r>
      <w:r w:rsidR="00DF09F0" w:rsidRPr="00153162">
        <w:rPr>
          <w:rFonts w:ascii="Times New Roman" w:hAnsi="Times New Roman"/>
          <w:sz w:val="24"/>
          <w:szCs w:val="24"/>
          <w:shd w:val="clear" w:color="auto" w:fill="FFFFFF"/>
        </w:rPr>
        <w:t>attempted to parse the possible</w:t>
      </w:r>
      <w:r w:rsidR="007A21D7" w:rsidRPr="00153162">
        <w:rPr>
          <w:rFonts w:ascii="Times New Roman" w:hAnsi="Times New Roman"/>
          <w:sz w:val="24"/>
          <w:szCs w:val="24"/>
          <w:shd w:val="clear" w:color="auto" w:fill="FFFFFF"/>
        </w:rPr>
        <w:t xml:space="preserve"> etiological and phenotypic heterogeneity in </w:t>
      </w:r>
      <w:r w:rsidR="004A5758" w:rsidRPr="00153162">
        <w:rPr>
          <w:rFonts w:ascii="Times New Roman" w:hAnsi="Times New Roman"/>
          <w:sz w:val="24"/>
          <w:szCs w:val="24"/>
          <w:shd w:val="clear" w:color="auto" w:fill="FFFFFF"/>
        </w:rPr>
        <w:t>TTM</w:t>
      </w:r>
      <w:r w:rsidRPr="00153162">
        <w:rPr>
          <w:rFonts w:ascii="Times New Roman" w:hAnsi="Times New Roman"/>
          <w:sz w:val="24"/>
          <w:szCs w:val="24"/>
          <w:shd w:val="clear" w:color="auto" w:fill="FFFFFF"/>
        </w:rPr>
        <w:t xml:space="preserve"> and </w:t>
      </w:r>
      <w:r w:rsidR="004A5758" w:rsidRPr="00153162">
        <w:rPr>
          <w:rFonts w:ascii="Times New Roman" w:hAnsi="Times New Roman"/>
          <w:sz w:val="24"/>
          <w:szCs w:val="24"/>
          <w:shd w:val="clear" w:color="auto" w:fill="FFFFFF"/>
        </w:rPr>
        <w:t>SPD</w:t>
      </w:r>
      <w:r w:rsidR="007A21D7" w:rsidRPr="00153162">
        <w:rPr>
          <w:rFonts w:ascii="Times New Roman" w:hAnsi="Times New Roman"/>
          <w:sz w:val="24"/>
          <w:szCs w:val="24"/>
          <w:shd w:val="clear" w:color="auto" w:fill="FFFFFF"/>
        </w:rPr>
        <w:t xml:space="preserve"> based on </w:t>
      </w:r>
      <w:r w:rsidR="00DF09F0" w:rsidRPr="00153162">
        <w:rPr>
          <w:rFonts w:ascii="Times New Roman" w:hAnsi="Times New Roman"/>
          <w:sz w:val="24"/>
          <w:szCs w:val="24"/>
          <w:shd w:val="clear" w:color="auto" w:fill="FFFFFF"/>
        </w:rPr>
        <w:t xml:space="preserve">a variety of </w:t>
      </w:r>
      <w:r w:rsidR="00E27DDD" w:rsidRPr="00153162">
        <w:rPr>
          <w:rFonts w:ascii="Times New Roman" w:hAnsi="Times New Roman"/>
          <w:sz w:val="24"/>
          <w:szCs w:val="24"/>
          <w:shd w:val="clear" w:color="auto" w:fill="FFFFFF"/>
        </w:rPr>
        <w:t xml:space="preserve">parameters </w:t>
      </w:r>
      <w:r w:rsidR="00DF09F0" w:rsidRPr="00153162">
        <w:rPr>
          <w:rFonts w:ascii="Times New Roman" w:hAnsi="Times New Roman"/>
          <w:sz w:val="24"/>
          <w:szCs w:val="24"/>
          <w:shd w:val="clear" w:color="auto" w:fill="FFFFFF"/>
        </w:rPr>
        <w:t xml:space="preserve">such as </w:t>
      </w:r>
      <w:r w:rsidR="001664C1" w:rsidRPr="00153162">
        <w:rPr>
          <w:rFonts w:ascii="Times New Roman" w:hAnsi="Times New Roman"/>
          <w:sz w:val="24"/>
          <w:szCs w:val="24"/>
          <w:shd w:val="clear" w:color="auto" w:fill="FFFFFF"/>
        </w:rPr>
        <w:t>sex</w:t>
      </w:r>
      <w:r w:rsidR="007A21D7" w:rsidRPr="00153162">
        <w:rPr>
          <w:rFonts w:ascii="Times New Roman" w:hAnsi="Times New Roman"/>
          <w:sz w:val="24"/>
          <w:szCs w:val="24"/>
          <w:shd w:val="clear" w:color="auto" w:fill="FFFFFF"/>
        </w:rPr>
        <w:t xml:space="preserve">, </w:t>
      </w:r>
      <w:r w:rsidR="007B7304" w:rsidRPr="00153162">
        <w:rPr>
          <w:rFonts w:ascii="Times New Roman" w:hAnsi="Times New Roman"/>
          <w:sz w:val="24"/>
          <w:szCs w:val="24"/>
          <w:shd w:val="clear" w:color="auto" w:fill="FFFFFF"/>
        </w:rPr>
        <w:t>pulling/picking</w:t>
      </w:r>
      <w:r w:rsidR="001664C1" w:rsidRPr="00153162">
        <w:rPr>
          <w:rFonts w:ascii="Times New Roman" w:hAnsi="Times New Roman"/>
          <w:sz w:val="24"/>
          <w:szCs w:val="24"/>
          <w:shd w:val="clear" w:color="auto" w:fill="FFFFFF"/>
        </w:rPr>
        <w:t xml:space="preserve"> style</w:t>
      </w:r>
      <w:r w:rsidR="007B7304" w:rsidRPr="00153162">
        <w:rPr>
          <w:rFonts w:ascii="Times New Roman" w:hAnsi="Times New Roman"/>
          <w:sz w:val="24"/>
          <w:szCs w:val="24"/>
          <w:shd w:val="clear" w:color="auto" w:fill="FFFFFF"/>
        </w:rPr>
        <w:t xml:space="preserve">, </w:t>
      </w:r>
      <w:r w:rsidR="007A21D7" w:rsidRPr="00153162">
        <w:rPr>
          <w:rFonts w:ascii="Times New Roman" w:hAnsi="Times New Roman"/>
          <w:sz w:val="24"/>
          <w:szCs w:val="24"/>
          <w:shd w:val="clear" w:color="auto" w:fill="FFFFFF"/>
        </w:rPr>
        <w:t>pulling/picking triggers, age of onset</w:t>
      </w:r>
      <w:r w:rsidR="007B7304" w:rsidRPr="00153162">
        <w:rPr>
          <w:rFonts w:ascii="Times New Roman" w:hAnsi="Times New Roman"/>
          <w:sz w:val="24"/>
          <w:szCs w:val="24"/>
          <w:shd w:val="clear" w:color="auto" w:fill="FFFFFF"/>
        </w:rPr>
        <w:t>, co-occurring mental health disorders, family history, affect regulation and emotional cues</w:t>
      </w:r>
      <w:r w:rsidR="00EF4B9E" w:rsidRPr="00153162">
        <w:rPr>
          <w:rFonts w:ascii="Times New Roman" w:hAnsi="Times New Roman"/>
          <w:sz w:val="24"/>
          <w:szCs w:val="24"/>
          <w:shd w:val="clear" w:color="auto" w:fill="FFFFFF"/>
        </w:rPr>
        <w:t xml:space="preserve"> </w:t>
      </w:r>
      <w:r w:rsidR="00EF4B9E" w:rsidRPr="00153162">
        <w:rPr>
          <w:rFonts w:ascii="Times New Roman" w:hAnsi="Times New Roman"/>
          <w:sz w:val="24"/>
          <w:szCs w:val="24"/>
          <w:shd w:val="clear" w:color="auto" w:fill="FFFFFF"/>
        </w:rPr>
        <w:lastRenderedPageBreak/>
        <w:t xml:space="preserve">(Flessner et al., 2013; </w:t>
      </w:r>
      <w:proofErr w:type="spellStart"/>
      <w:r w:rsidR="00153162" w:rsidRPr="00153162">
        <w:rPr>
          <w:rStyle w:val="docsum-authors"/>
          <w:rFonts w:ascii="Times New Roman" w:hAnsi="Times New Roman"/>
          <w:sz w:val="24"/>
          <w:szCs w:val="24"/>
          <w:shd w:val="clear" w:color="auto" w:fill="FFFFFF"/>
        </w:rPr>
        <w:t>Pozza</w:t>
      </w:r>
      <w:proofErr w:type="spellEnd"/>
      <w:r w:rsidR="00153162" w:rsidRPr="00153162">
        <w:rPr>
          <w:rStyle w:val="docsum-authors"/>
          <w:rFonts w:ascii="Times New Roman" w:hAnsi="Times New Roman"/>
          <w:sz w:val="24"/>
          <w:szCs w:val="24"/>
          <w:shd w:val="clear" w:color="auto" w:fill="FFFFFF"/>
        </w:rPr>
        <w:t xml:space="preserve"> </w:t>
      </w:r>
      <w:r w:rsidR="00BD0FCA">
        <w:rPr>
          <w:rStyle w:val="docsum-authors"/>
          <w:rFonts w:ascii="Times New Roman" w:hAnsi="Times New Roman"/>
          <w:sz w:val="24"/>
          <w:szCs w:val="24"/>
          <w:shd w:val="clear" w:color="auto" w:fill="FFFFFF"/>
        </w:rPr>
        <w:t xml:space="preserve">et al., </w:t>
      </w:r>
      <w:r w:rsidR="00153162">
        <w:rPr>
          <w:rFonts w:ascii="Times New Roman" w:hAnsi="Times New Roman"/>
          <w:sz w:val="24"/>
          <w:szCs w:val="24"/>
          <w:shd w:val="clear" w:color="auto" w:fill="FFFFFF"/>
        </w:rPr>
        <w:t xml:space="preserve">2016; </w:t>
      </w:r>
      <w:r w:rsidR="00EF4B9E" w:rsidRPr="00153162">
        <w:rPr>
          <w:rFonts w:ascii="Times New Roman" w:hAnsi="Times New Roman"/>
          <w:sz w:val="24"/>
          <w:szCs w:val="24"/>
          <w:shd w:val="clear" w:color="auto" w:fill="FFFFFF"/>
        </w:rPr>
        <w:t>Lochner et al., 2019</w:t>
      </w:r>
      <w:r w:rsidR="00153162">
        <w:rPr>
          <w:rFonts w:ascii="Times New Roman" w:hAnsi="Times New Roman"/>
          <w:sz w:val="24"/>
          <w:szCs w:val="24"/>
          <w:shd w:val="clear" w:color="auto" w:fill="FFFFFF"/>
        </w:rPr>
        <w:t xml:space="preserve">; </w:t>
      </w:r>
      <w:r w:rsidR="00153162" w:rsidRPr="00153162">
        <w:rPr>
          <w:rFonts w:ascii="Times New Roman" w:hAnsi="Times New Roman"/>
          <w:color w:val="212121"/>
          <w:sz w:val="24"/>
          <w:szCs w:val="24"/>
          <w:shd w:val="clear" w:color="auto" w:fill="FFFFFF"/>
        </w:rPr>
        <w:t>Ricketts</w:t>
      </w:r>
      <w:r w:rsidR="00BD0FCA">
        <w:rPr>
          <w:rFonts w:ascii="Times New Roman" w:hAnsi="Times New Roman"/>
          <w:color w:val="212121"/>
          <w:sz w:val="24"/>
          <w:szCs w:val="24"/>
          <w:shd w:val="clear" w:color="auto" w:fill="FFFFFF"/>
        </w:rPr>
        <w:t xml:space="preserve"> et al.,</w:t>
      </w:r>
      <w:r w:rsidR="00153162" w:rsidRPr="00153162">
        <w:rPr>
          <w:rFonts w:ascii="Times New Roman" w:hAnsi="Times New Roman"/>
          <w:sz w:val="24"/>
          <w:szCs w:val="24"/>
        </w:rPr>
        <w:t xml:space="preserve"> 201</w:t>
      </w:r>
      <w:r w:rsidR="00153162">
        <w:rPr>
          <w:rFonts w:ascii="Times New Roman" w:hAnsi="Times New Roman"/>
          <w:sz w:val="24"/>
          <w:szCs w:val="24"/>
        </w:rPr>
        <w:t xml:space="preserve">9). </w:t>
      </w:r>
      <w:r w:rsidR="00A83848" w:rsidRPr="00153162">
        <w:rPr>
          <w:rFonts w:ascii="Times New Roman" w:hAnsi="Times New Roman"/>
          <w:sz w:val="24"/>
          <w:szCs w:val="24"/>
          <w:shd w:val="clear" w:color="auto" w:fill="FFFFFF"/>
        </w:rPr>
        <w:t>These findings, however, have been</w:t>
      </w:r>
      <w:r w:rsidR="00F96098" w:rsidRPr="00153162">
        <w:rPr>
          <w:rFonts w:ascii="Times New Roman" w:hAnsi="Times New Roman"/>
          <w:sz w:val="24"/>
          <w:szCs w:val="24"/>
          <w:shd w:val="clear" w:color="auto" w:fill="FFFFFF"/>
        </w:rPr>
        <w:t xml:space="preserve"> </w:t>
      </w:r>
      <w:r w:rsidR="0095442B" w:rsidRPr="00153162">
        <w:rPr>
          <w:rFonts w:ascii="Times New Roman" w:hAnsi="Times New Roman"/>
          <w:sz w:val="24"/>
          <w:szCs w:val="24"/>
          <w:shd w:val="clear" w:color="auto" w:fill="FFFFFF"/>
        </w:rPr>
        <w:t>undermined</w:t>
      </w:r>
      <w:r w:rsidR="00F96098" w:rsidRPr="00153162">
        <w:rPr>
          <w:rFonts w:ascii="Times New Roman" w:hAnsi="Times New Roman"/>
          <w:sz w:val="24"/>
          <w:szCs w:val="24"/>
          <w:shd w:val="clear" w:color="auto" w:fill="FFFFFF"/>
        </w:rPr>
        <w:t xml:space="preserve"> by relatively small sample sizes</w:t>
      </w:r>
      <w:r w:rsidR="00962B02" w:rsidRPr="00153162">
        <w:rPr>
          <w:rFonts w:ascii="Times New Roman" w:hAnsi="Times New Roman"/>
          <w:sz w:val="24"/>
          <w:szCs w:val="24"/>
          <w:shd w:val="clear" w:color="auto" w:fill="FFFFFF"/>
        </w:rPr>
        <w:t xml:space="preserve"> and inconsistent findings, and integrated models of disease pathology have yet to emerge.  </w:t>
      </w:r>
      <w:r w:rsidR="00F96098" w:rsidRPr="00153162">
        <w:rPr>
          <w:rFonts w:ascii="Times New Roman" w:hAnsi="Times New Roman"/>
          <w:sz w:val="24"/>
          <w:szCs w:val="24"/>
          <w:shd w:val="clear" w:color="auto" w:fill="FFFFFF"/>
        </w:rPr>
        <w:t xml:space="preserve">The result is that there remains a substantive need for further work aimed at understanding the clinical, biological, and neurocognitive </w:t>
      </w:r>
      <w:r w:rsidR="00E27DDD" w:rsidRPr="00153162">
        <w:rPr>
          <w:rFonts w:ascii="Times New Roman" w:hAnsi="Times New Roman"/>
          <w:sz w:val="24"/>
          <w:szCs w:val="24"/>
          <w:shd w:val="clear" w:color="auto" w:fill="FFFFFF"/>
        </w:rPr>
        <w:t xml:space="preserve">underpinnings </w:t>
      </w:r>
      <w:r w:rsidR="00F96098" w:rsidRPr="00153162">
        <w:rPr>
          <w:rFonts w:ascii="Times New Roman" w:hAnsi="Times New Roman"/>
          <w:sz w:val="24"/>
          <w:szCs w:val="24"/>
          <w:shd w:val="clear" w:color="auto" w:fill="FFFFFF"/>
        </w:rPr>
        <w:t>of BFRBs.</w:t>
      </w:r>
      <w:r w:rsidR="00962B02" w:rsidRPr="00153162">
        <w:rPr>
          <w:rFonts w:ascii="Times New Roman" w:hAnsi="Times New Roman"/>
          <w:sz w:val="24"/>
          <w:szCs w:val="24"/>
          <w:shd w:val="clear" w:color="auto" w:fill="FFFFFF"/>
        </w:rPr>
        <w:t xml:space="preserve">  </w:t>
      </w:r>
    </w:p>
    <w:p w14:paraId="460CFB38" w14:textId="0EAF884C" w:rsidR="00AA1516" w:rsidRPr="00E840C9" w:rsidRDefault="00F6539B" w:rsidP="00634403">
      <w:pPr>
        <w:spacing w:line="480" w:lineRule="auto"/>
        <w:ind w:firstLine="720"/>
      </w:pPr>
      <w:r w:rsidRPr="00153162">
        <w:rPr>
          <w:shd w:val="clear" w:color="auto" w:fill="FFFFFF"/>
        </w:rPr>
        <w:t>A deeper</w:t>
      </w:r>
      <w:r w:rsidR="00A83848" w:rsidRPr="00153162">
        <w:rPr>
          <w:shd w:val="clear" w:color="auto" w:fill="FFFFFF"/>
        </w:rPr>
        <w:t xml:space="preserve"> understanding of phenotypic heterogeneity should improve efforts to</w:t>
      </w:r>
      <w:r w:rsidR="00A83848">
        <w:rPr>
          <w:shd w:val="clear" w:color="auto" w:fill="FFFFFF"/>
        </w:rPr>
        <w:t xml:space="preserve"> clarify BFRB pathophysiology by identifying more homogeneous BFRB-related </w:t>
      </w:r>
      <w:r w:rsidR="00A87D73">
        <w:rPr>
          <w:shd w:val="clear" w:color="auto" w:fill="FFFFFF"/>
        </w:rPr>
        <w:t>latent phenotypes.</w:t>
      </w:r>
      <w:r w:rsidR="00A83848">
        <w:rPr>
          <w:shd w:val="clear" w:color="auto" w:fill="FFFFFF"/>
        </w:rPr>
        <w:t xml:space="preserve"> </w:t>
      </w:r>
      <w:r w:rsidR="008549F9">
        <w:rPr>
          <w:shd w:val="clear" w:color="auto" w:fill="FFFFFF"/>
        </w:rPr>
        <w:t xml:space="preserve">Mixture modeling </w:t>
      </w:r>
      <w:r w:rsidR="00CB3F89">
        <w:rPr>
          <w:shd w:val="clear" w:color="auto" w:fill="FFFFFF"/>
        </w:rPr>
        <w:t xml:space="preserve">(MM) </w:t>
      </w:r>
      <w:r w:rsidR="00E27DDD">
        <w:rPr>
          <w:shd w:val="clear" w:color="auto" w:fill="FFFFFF"/>
        </w:rPr>
        <w:t xml:space="preserve">is a type of statistical </w:t>
      </w:r>
      <w:r w:rsidR="00DE02FC">
        <w:rPr>
          <w:shd w:val="clear" w:color="auto" w:fill="FFFFFF"/>
        </w:rPr>
        <w:t xml:space="preserve">methodology </w:t>
      </w:r>
      <w:r w:rsidR="00CB3F89">
        <w:rPr>
          <w:shd w:val="clear" w:color="auto" w:fill="FFFFFF"/>
        </w:rPr>
        <w:t xml:space="preserve">combining latent profile analysis and latent class analysis </w:t>
      </w:r>
      <w:r w:rsidR="00652FD1">
        <w:rPr>
          <w:shd w:val="clear" w:color="auto" w:fill="FFFFFF"/>
        </w:rPr>
        <w:t>that has been widely used to identify candidate subtypes of a variety of mental disorders, including eating disorder</w:t>
      </w:r>
      <w:r w:rsidR="00A87D73">
        <w:rPr>
          <w:shd w:val="clear" w:color="auto" w:fill="FFFFFF"/>
        </w:rPr>
        <w:t>s</w:t>
      </w:r>
      <w:r w:rsidR="00652FD1">
        <w:rPr>
          <w:shd w:val="clear" w:color="auto" w:fill="FFFFFF"/>
        </w:rPr>
        <w:t xml:space="preserve">, depression, </w:t>
      </w:r>
      <w:r w:rsidR="00302BBA">
        <w:rPr>
          <w:shd w:val="clear" w:color="auto" w:fill="FFFFFF"/>
        </w:rPr>
        <w:t xml:space="preserve">and </w:t>
      </w:r>
      <w:r w:rsidR="00652FD1">
        <w:rPr>
          <w:shd w:val="clear" w:color="auto" w:fill="FFFFFF"/>
        </w:rPr>
        <w:t>post-traumatic stress disorder</w:t>
      </w:r>
      <w:r w:rsidR="001A7F4A">
        <w:rPr>
          <w:shd w:val="clear" w:color="auto" w:fill="FFFFFF"/>
        </w:rPr>
        <w:t xml:space="preserve"> </w:t>
      </w:r>
      <w:r w:rsidR="00EF4B9E">
        <w:rPr>
          <w:shd w:val="clear" w:color="auto" w:fill="FFFFFF"/>
        </w:rPr>
        <w:t>(</w:t>
      </w:r>
      <w:r w:rsidR="00EF4B9E" w:rsidRPr="00983AB4">
        <w:t>Wade</w:t>
      </w:r>
      <w:r w:rsidR="00BD0FCA">
        <w:t xml:space="preserve"> et al.,</w:t>
      </w:r>
      <w:r w:rsidR="00EF4B9E">
        <w:t xml:space="preserve"> 2006; </w:t>
      </w:r>
      <w:r w:rsidR="00EF4B9E" w:rsidRPr="00983AB4">
        <w:t>Hansen</w:t>
      </w:r>
      <w:r w:rsidR="00BD0FCA">
        <w:t xml:space="preserve"> et al.,</w:t>
      </w:r>
      <w:r w:rsidR="00EF4B9E">
        <w:t xml:space="preserve"> 2017). </w:t>
      </w:r>
      <w:r w:rsidR="00EF4B9E" w:rsidRPr="00983AB4">
        <w:t xml:space="preserve"> </w:t>
      </w:r>
      <w:r w:rsidR="00DE02FC">
        <w:rPr>
          <w:shd w:val="clear" w:color="auto" w:fill="FFFFFF"/>
        </w:rPr>
        <w:t xml:space="preserve">Essentially, </w:t>
      </w:r>
      <w:r w:rsidR="00CB3F89">
        <w:rPr>
          <w:shd w:val="clear" w:color="auto" w:fill="FFFFFF"/>
        </w:rPr>
        <w:t>MM</w:t>
      </w:r>
      <w:r w:rsidR="00DE02FC">
        <w:rPr>
          <w:shd w:val="clear" w:color="auto" w:fill="FFFFFF"/>
        </w:rPr>
        <w:t xml:space="preserve"> identifies separable groups of individuals differentiated by values on an unobserved </w:t>
      </w:r>
      <w:r w:rsidR="00302BBA">
        <w:rPr>
          <w:shd w:val="clear" w:color="auto" w:fill="FFFFFF"/>
        </w:rPr>
        <w:t xml:space="preserve">latent variable, constructed from multiple measured variables. </w:t>
      </w:r>
      <w:r w:rsidR="00A83848">
        <w:rPr>
          <w:shd w:val="clear" w:color="auto" w:fill="FFFFFF"/>
        </w:rPr>
        <w:t xml:space="preserve">The use </w:t>
      </w:r>
      <w:r w:rsidR="00A87D73">
        <w:rPr>
          <w:shd w:val="clear" w:color="auto" w:fill="FFFFFF"/>
        </w:rPr>
        <w:t xml:space="preserve">of </w:t>
      </w:r>
      <w:r w:rsidR="00CB3F89">
        <w:rPr>
          <w:shd w:val="clear" w:color="auto" w:fill="FFFFFF"/>
        </w:rPr>
        <w:t>MM</w:t>
      </w:r>
      <w:r w:rsidR="00A83848">
        <w:rPr>
          <w:shd w:val="clear" w:color="auto" w:fill="FFFFFF"/>
        </w:rPr>
        <w:t xml:space="preserve"> </w:t>
      </w:r>
      <w:r w:rsidR="00E27DDD">
        <w:rPr>
          <w:shd w:val="clear" w:color="auto" w:fill="FFFFFF"/>
        </w:rPr>
        <w:t xml:space="preserve">statistical </w:t>
      </w:r>
      <w:r w:rsidR="00A83848">
        <w:rPr>
          <w:shd w:val="clear" w:color="auto" w:fill="FFFFFF"/>
        </w:rPr>
        <w:t>approaches to identify subgroups of people wi</w:t>
      </w:r>
      <w:r w:rsidR="00DF022C">
        <w:rPr>
          <w:shd w:val="clear" w:color="auto" w:fill="FFFFFF"/>
        </w:rPr>
        <w:t>t</w:t>
      </w:r>
      <w:r w:rsidR="00A83848">
        <w:rPr>
          <w:shd w:val="clear" w:color="auto" w:fill="FFFFFF"/>
        </w:rPr>
        <w:t>h BFRBs based on patterns of symptom expression can provide evidenc</w:t>
      </w:r>
      <w:r w:rsidR="00343B5E">
        <w:rPr>
          <w:shd w:val="clear" w:color="auto" w:fill="FFFFFF"/>
        </w:rPr>
        <w:t xml:space="preserve">e of novel phenotypic subtypes </w:t>
      </w:r>
      <w:r w:rsidR="00A83848">
        <w:rPr>
          <w:shd w:val="clear" w:color="auto" w:fill="FFFFFF"/>
        </w:rPr>
        <w:t xml:space="preserve">that </w:t>
      </w:r>
      <w:r w:rsidR="001664C1">
        <w:rPr>
          <w:shd w:val="clear" w:color="auto" w:fill="FFFFFF"/>
        </w:rPr>
        <w:t xml:space="preserve">may </w:t>
      </w:r>
      <w:r w:rsidR="00A83848">
        <w:rPr>
          <w:shd w:val="clear" w:color="auto" w:fill="FFFFFF"/>
        </w:rPr>
        <w:t xml:space="preserve">reflect the underlying neurocircuitry of these behaviors. </w:t>
      </w:r>
      <w:r w:rsidR="004B1356" w:rsidRPr="00E840C9">
        <w:rPr>
          <w:shd w:val="clear" w:color="auto" w:fill="FFFFFF"/>
        </w:rPr>
        <w:t>This approach</w:t>
      </w:r>
      <w:r w:rsidR="00A83848">
        <w:rPr>
          <w:shd w:val="clear" w:color="auto" w:fill="FFFFFF"/>
        </w:rPr>
        <w:t>, in turn, should allow for improved</w:t>
      </w:r>
      <w:r w:rsidR="004B1356" w:rsidRPr="00E840C9">
        <w:rPr>
          <w:shd w:val="clear" w:color="auto" w:fill="FFFFFF"/>
        </w:rPr>
        <w:t xml:space="preserve"> prevention and treatment strategies </w:t>
      </w:r>
      <w:r w:rsidR="00A83848" w:rsidRPr="00A83848">
        <w:rPr>
          <w:shd w:val="clear" w:color="auto" w:fill="FFFFFF"/>
        </w:rPr>
        <w:t>tailored to the needs of individual profiles</w:t>
      </w:r>
      <w:r w:rsidR="001A7F4A">
        <w:rPr>
          <w:shd w:val="clear" w:color="auto" w:fill="FFFFFF"/>
        </w:rPr>
        <w:t xml:space="preserve"> </w:t>
      </w:r>
      <w:r w:rsidR="00F94914">
        <w:rPr>
          <w:shd w:val="clear" w:color="auto" w:fill="FFFFFF"/>
        </w:rPr>
        <w:t>(</w:t>
      </w:r>
      <w:r w:rsidR="00F94914" w:rsidRPr="00983AB4">
        <w:t xml:space="preserve">Collins </w:t>
      </w:r>
      <w:r w:rsidR="00F94914">
        <w:t>and</w:t>
      </w:r>
      <w:r w:rsidR="00F94914" w:rsidRPr="00983AB4">
        <w:t xml:space="preserve"> Varmus</w:t>
      </w:r>
      <w:r w:rsidR="00F94914">
        <w:t>, 2015)</w:t>
      </w:r>
      <w:r w:rsidR="001A7F4A">
        <w:rPr>
          <w:shd w:val="clear" w:color="auto" w:fill="FFFFFF"/>
        </w:rPr>
        <w:t>.</w:t>
      </w:r>
      <w:r w:rsidR="00634403">
        <w:rPr>
          <w:shd w:val="clear" w:color="auto" w:fill="FFFFFF"/>
        </w:rPr>
        <w:t xml:space="preserve"> Thus, the objective of this study </w:t>
      </w:r>
      <w:r w:rsidR="00634403">
        <w:t>wa</w:t>
      </w:r>
      <w:r w:rsidR="00AA1516" w:rsidRPr="00E840C9">
        <w:t>s to i</w:t>
      </w:r>
      <w:r w:rsidR="003C11FA" w:rsidRPr="00E840C9">
        <w:t>dentify</w:t>
      </w:r>
      <w:r w:rsidR="00634403">
        <w:t xml:space="preserve"> and characterize </w:t>
      </w:r>
      <w:r w:rsidR="00302BBA">
        <w:t>distinct latent</w:t>
      </w:r>
      <w:r w:rsidR="00302BBA" w:rsidRPr="00E840C9">
        <w:t xml:space="preserve"> </w:t>
      </w:r>
      <w:r w:rsidR="002578E4">
        <w:t>subtypes</w:t>
      </w:r>
      <w:r w:rsidR="007B6FA7" w:rsidRPr="00E840C9">
        <w:t xml:space="preserve"> </w:t>
      </w:r>
      <w:r w:rsidR="003C11FA" w:rsidRPr="00E840C9">
        <w:t xml:space="preserve">of </w:t>
      </w:r>
      <w:r w:rsidR="00E54C2E">
        <w:t>TTM</w:t>
      </w:r>
      <w:r w:rsidR="003C11FA" w:rsidRPr="00E840C9">
        <w:t xml:space="preserve"> and</w:t>
      </w:r>
      <w:r w:rsidR="00D7504E" w:rsidRPr="00E840C9">
        <w:t xml:space="preserve"> </w:t>
      </w:r>
      <w:r w:rsidR="003C11FA" w:rsidRPr="00E840C9">
        <w:t xml:space="preserve">SPD among </w:t>
      </w:r>
      <w:r w:rsidR="00634403">
        <w:t xml:space="preserve">a large </w:t>
      </w:r>
      <w:r w:rsidR="001878AF">
        <w:t>well characterized sample of diagnosed adults.</w:t>
      </w:r>
      <w:r w:rsidR="0058599D">
        <w:t xml:space="preserve"> </w:t>
      </w:r>
    </w:p>
    <w:p w14:paraId="7DAEDC4B" w14:textId="77777777" w:rsidR="00182A11" w:rsidRPr="00E840C9" w:rsidRDefault="00182A11" w:rsidP="00C137FF">
      <w:pPr>
        <w:tabs>
          <w:tab w:val="num" w:pos="0"/>
        </w:tabs>
        <w:spacing w:line="480" w:lineRule="auto"/>
      </w:pPr>
    </w:p>
    <w:p w14:paraId="59280E0B" w14:textId="00DEF2BD" w:rsidR="00B072B9" w:rsidRPr="00E840C9" w:rsidRDefault="0058599D" w:rsidP="00C137FF">
      <w:pPr>
        <w:spacing w:line="480" w:lineRule="auto"/>
        <w:rPr>
          <w:b/>
        </w:rPr>
      </w:pPr>
      <w:r>
        <w:rPr>
          <w:b/>
        </w:rPr>
        <w:t>M</w:t>
      </w:r>
      <w:r w:rsidR="00113FE6">
        <w:rPr>
          <w:b/>
        </w:rPr>
        <w:t>aterials and M</w:t>
      </w:r>
      <w:r>
        <w:rPr>
          <w:b/>
        </w:rPr>
        <w:t>ethods</w:t>
      </w:r>
    </w:p>
    <w:p w14:paraId="07816C7B" w14:textId="4DEA8A9C" w:rsidR="00BE655F" w:rsidRDefault="003C11FA" w:rsidP="00C137FF">
      <w:pPr>
        <w:spacing w:line="480" w:lineRule="auto"/>
        <w:ind w:firstLine="720"/>
      </w:pPr>
      <w:r w:rsidRPr="00E840C9">
        <w:lastRenderedPageBreak/>
        <w:t>Participants include</w:t>
      </w:r>
      <w:r w:rsidR="0058599D">
        <w:t>d</w:t>
      </w:r>
      <w:r w:rsidRPr="00E840C9">
        <w:t xml:space="preserve"> </w:t>
      </w:r>
      <w:r w:rsidR="00612601">
        <w:t>2</w:t>
      </w:r>
      <w:r w:rsidR="00EE4260">
        <w:t>79</w:t>
      </w:r>
      <w:r w:rsidRPr="00E840C9">
        <w:t xml:space="preserve"> adults recruited </w:t>
      </w:r>
      <w:r w:rsidR="00C137FF">
        <w:t>from the community</w:t>
      </w:r>
      <w:r w:rsidR="00BE655F">
        <w:t xml:space="preserve"> </w:t>
      </w:r>
      <w:r w:rsidR="001664C1">
        <w:t xml:space="preserve">and identified </w:t>
      </w:r>
      <w:r w:rsidR="00BE655F">
        <w:t>as having either a BFRB (</w:t>
      </w:r>
      <w:r w:rsidR="0036177A">
        <w:t xml:space="preserve">meeting DSM-5 criteria for </w:t>
      </w:r>
      <w:r w:rsidR="001664C1">
        <w:t>TTM, SPD</w:t>
      </w:r>
      <w:r w:rsidR="00410E77">
        <w:t>,</w:t>
      </w:r>
      <w:r w:rsidR="00BE655F">
        <w:t xml:space="preserve"> or both</w:t>
      </w:r>
      <w:r w:rsidR="00410E77">
        <w:t xml:space="preserve"> as their primary psychiatric problem</w:t>
      </w:r>
      <w:r w:rsidR="0036177A">
        <w:t>; if a person had DSM-5 TTM and some skin picking that did not meet full diagnostic criteria for SPD, they would be classified as having only TTM</w:t>
      </w:r>
      <w:r w:rsidR="00BE655F">
        <w:t>) or being a healthy control</w:t>
      </w:r>
      <w:r w:rsidR="00C137FF">
        <w:t xml:space="preserve">. </w:t>
      </w:r>
      <w:r w:rsidR="00BE655F">
        <w:t xml:space="preserve"> </w:t>
      </w:r>
      <w:r w:rsidR="001664C1" w:rsidRPr="001664C1">
        <w:t>Four sites were involved in recruitment: University of Chicago, University of California, Los Angeles, Massachusetts General Hospital/Harvard</w:t>
      </w:r>
      <w:r w:rsidR="00811070">
        <w:t xml:space="preserve"> Medical School</w:t>
      </w:r>
      <w:r w:rsidR="001664C1" w:rsidRPr="001664C1">
        <w:t xml:space="preserve">, and </w:t>
      </w:r>
      <w:r w:rsidR="00827BA9" w:rsidRPr="00827BA9">
        <w:t>Stellenbosch University</w:t>
      </w:r>
      <w:r w:rsidR="001664C1" w:rsidRPr="001664C1">
        <w:t>.  Recruitment started in October 2017 and ended in March 2019.</w:t>
      </w:r>
      <w:r w:rsidR="00827BA9">
        <w:t xml:space="preserve"> </w:t>
      </w:r>
    </w:p>
    <w:p w14:paraId="74C797EA" w14:textId="08483CE1" w:rsidR="003D7F22" w:rsidRDefault="003D7F22" w:rsidP="003D7F22">
      <w:pPr>
        <w:spacing w:line="480" w:lineRule="auto"/>
        <w:ind w:firstLine="720"/>
      </w:pPr>
      <w:r>
        <w:t>Inclusion cri</w:t>
      </w:r>
      <w:r w:rsidR="00343B5E">
        <w:t>teria for the clinical sample were</w:t>
      </w:r>
      <w:r>
        <w:t xml:space="preserve">: a) DSM-5 diagnosis of </w:t>
      </w:r>
      <w:r w:rsidR="00827BA9">
        <w:t>TTM</w:t>
      </w:r>
      <w:r w:rsidR="00E2611F">
        <w:t xml:space="preserve"> </w:t>
      </w:r>
      <w:r>
        <w:t xml:space="preserve">and/or </w:t>
      </w:r>
      <w:r w:rsidR="00827BA9">
        <w:t>SPD</w:t>
      </w:r>
      <w:r>
        <w:t>; b)</w:t>
      </w:r>
      <w:r w:rsidR="00F3120E">
        <w:t xml:space="preserve"> </w:t>
      </w:r>
      <w:r w:rsidR="00410E77">
        <w:t>a</w:t>
      </w:r>
      <w:r>
        <w:t>ge</w:t>
      </w:r>
      <w:r w:rsidR="00F3120E">
        <w:t>d</w:t>
      </w:r>
      <w:r>
        <w:t xml:space="preserve"> 1</w:t>
      </w:r>
      <w:r w:rsidR="000A57CB">
        <w:t>8</w:t>
      </w:r>
      <w:r>
        <w:t xml:space="preserve"> to 65</w:t>
      </w:r>
      <w:r w:rsidR="002D3A97">
        <w:t xml:space="preserve"> years</w:t>
      </w:r>
      <w:r>
        <w:t>; c)</w:t>
      </w:r>
      <w:r w:rsidR="00F3120E">
        <w:t xml:space="preserve"> </w:t>
      </w:r>
      <w:r w:rsidR="00410E77">
        <w:t>f</w:t>
      </w:r>
      <w:r>
        <w:t xml:space="preserve">luency in English; </w:t>
      </w:r>
      <w:r w:rsidR="00F3120E">
        <w:t xml:space="preserve">and </w:t>
      </w:r>
      <w:r>
        <w:t>d)</w:t>
      </w:r>
      <w:r w:rsidR="00F3120E">
        <w:t xml:space="preserve"> </w:t>
      </w:r>
      <w:r w:rsidR="00410E77">
        <w:t>c</w:t>
      </w:r>
      <w:r>
        <w:t>apable of providing informed consent. Inclusion criteria for the health</w:t>
      </w:r>
      <w:r w:rsidR="00F3120E">
        <w:t>y</w:t>
      </w:r>
      <w:r>
        <w:t xml:space="preserve"> controls </w:t>
      </w:r>
      <w:r w:rsidR="00410E77">
        <w:t xml:space="preserve">were the same except they could have no </w:t>
      </w:r>
      <w:r>
        <w:t>current or lifetime history of any DSM-5 psychiatric disorder</w:t>
      </w:r>
      <w:r w:rsidR="00410E77">
        <w:t>.</w:t>
      </w:r>
      <w:r>
        <w:t xml:space="preserve"> </w:t>
      </w:r>
    </w:p>
    <w:p w14:paraId="14D8A5FB" w14:textId="597426D5" w:rsidR="007A085D" w:rsidRPr="00E840C9" w:rsidRDefault="003D7F22" w:rsidP="00060856">
      <w:pPr>
        <w:spacing w:line="480" w:lineRule="auto"/>
        <w:ind w:firstLine="720"/>
      </w:pPr>
      <w:r>
        <w:t xml:space="preserve">Exclusion </w:t>
      </w:r>
      <w:r w:rsidR="00F3120E">
        <w:t>c</w:t>
      </w:r>
      <w:r>
        <w:t xml:space="preserve">riteria for the clinical sample </w:t>
      </w:r>
      <w:r w:rsidR="00410E77">
        <w:t>and healthy control</w:t>
      </w:r>
      <w:r w:rsidR="00F3120E">
        <w:t>s</w:t>
      </w:r>
      <w:r w:rsidR="00410E77">
        <w:t xml:space="preserve"> </w:t>
      </w:r>
      <w:r>
        <w:t>w</w:t>
      </w:r>
      <w:r w:rsidR="00410E77">
        <w:t>ere</w:t>
      </w:r>
      <w:r>
        <w:t>: (a)</w:t>
      </w:r>
      <w:r w:rsidR="00F3120E">
        <w:t xml:space="preserve"> </w:t>
      </w:r>
      <w:r w:rsidR="00410E77">
        <w:t>c</w:t>
      </w:r>
      <w:r>
        <w:t>urrent o</w:t>
      </w:r>
      <w:r w:rsidR="00E2611F">
        <w:t>r</w:t>
      </w:r>
      <w:r>
        <w:t xml:space="preserve"> lifetime diagnosis of any serious medical or psychiatric illness that would preclude successful study participation (e.g., psychotic disorder, intellectual disability); (b)</w:t>
      </w:r>
      <w:r w:rsidR="00F3120E">
        <w:t xml:space="preserve"> </w:t>
      </w:r>
      <w:r w:rsidR="00410E77">
        <w:t>n</w:t>
      </w:r>
      <w:r>
        <w:t>eurological conditions that would preclude completion of neurocognitive tasks; (c)</w:t>
      </w:r>
      <w:r w:rsidR="00F3120E">
        <w:t xml:space="preserve"> </w:t>
      </w:r>
      <w:r w:rsidR="00E2611F">
        <w:t xml:space="preserve">use of </w:t>
      </w:r>
      <w:r>
        <w:t xml:space="preserve">psychotropic medications </w:t>
      </w:r>
      <w:r w:rsidR="00E2611F">
        <w:t xml:space="preserve">unless the dose had been </w:t>
      </w:r>
      <w:r w:rsidR="00E2611F" w:rsidRPr="00E2611F">
        <w:t xml:space="preserve">stable </w:t>
      </w:r>
      <w:r>
        <w:t>for at least the past 3 months; (d)</w:t>
      </w:r>
      <w:r w:rsidR="00F3120E">
        <w:t xml:space="preserve"> </w:t>
      </w:r>
      <w:r w:rsidR="00410E77">
        <w:t>b</w:t>
      </w:r>
      <w:r>
        <w:t xml:space="preserve">ody metal other than dental fillings (assessed using </w:t>
      </w:r>
      <w:r w:rsidR="00F3120E">
        <w:t xml:space="preserve">a neuroimaging </w:t>
      </w:r>
      <w:r>
        <w:t>screening form)</w:t>
      </w:r>
      <w:r w:rsidR="00410E77">
        <w:t xml:space="preserve"> (this was because all participants were only enrolled at the US sites if they were also able to undergo </w:t>
      </w:r>
      <w:r w:rsidR="00E2611F">
        <w:t>neuro</w:t>
      </w:r>
      <w:r w:rsidR="00410E77">
        <w:t>imaging)</w:t>
      </w:r>
      <w:r>
        <w:t>; (e)</w:t>
      </w:r>
      <w:r w:rsidR="00F3120E">
        <w:t xml:space="preserve"> </w:t>
      </w:r>
      <w:r w:rsidR="00E2611F">
        <w:t>positive</w:t>
      </w:r>
      <w:r w:rsidR="00410E77">
        <w:t xml:space="preserve"> p</w:t>
      </w:r>
      <w:r>
        <w:t>regnancy</w:t>
      </w:r>
      <w:r w:rsidR="00410E77">
        <w:t xml:space="preserve"> test for </w:t>
      </w:r>
      <w:r>
        <w:t>females of childbearing age; and (f)</w:t>
      </w:r>
      <w:r w:rsidR="00F3120E">
        <w:t xml:space="preserve"> </w:t>
      </w:r>
      <w:r w:rsidR="00410E77">
        <w:t>m</w:t>
      </w:r>
      <w:r>
        <w:t>edical condition or other factor (e.g., vision or hearing problems) that would interfere in the subject’s ability to participate in the study</w:t>
      </w:r>
      <w:r w:rsidR="006D52F6">
        <w:t>.</w:t>
      </w:r>
      <w:r w:rsidR="002D3A97" w:rsidRPr="002D3A97">
        <w:t xml:space="preserve"> </w:t>
      </w:r>
    </w:p>
    <w:p w14:paraId="28E46800" w14:textId="77777777" w:rsidR="00060856" w:rsidRDefault="00060856" w:rsidP="00C137FF">
      <w:pPr>
        <w:spacing w:line="480" w:lineRule="auto"/>
        <w:rPr>
          <w:b/>
        </w:rPr>
      </w:pPr>
    </w:p>
    <w:p w14:paraId="56644D0C" w14:textId="7B9B7997" w:rsidR="008237F3" w:rsidRPr="003A272B" w:rsidRDefault="007A085D" w:rsidP="003A272B">
      <w:pPr>
        <w:spacing w:line="480" w:lineRule="auto"/>
        <w:rPr>
          <w:b/>
          <w:i/>
        </w:rPr>
      </w:pPr>
      <w:r w:rsidRPr="003A272B">
        <w:rPr>
          <w:b/>
          <w:i/>
        </w:rPr>
        <w:lastRenderedPageBreak/>
        <w:t>Procedures</w:t>
      </w:r>
    </w:p>
    <w:p w14:paraId="7EE28386" w14:textId="12AC4479" w:rsidR="00793D84" w:rsidRPr="003A272B" w:rsidRDefault="00410E77" w:rsidP="003A272B">
      <w:pPr>
        <w:pStyle w:val="CommentText"/>
        <w:spacing w:line="480" w:lineRule="auto"/>
        <w:ind w:firstLine="720"/>
        <w:rPr>
          <w:color w:val="000000"/>
          <w:sz w:val="24"/>
          <w:szCs w:val="24"/>
        </w:rPr>
      </w:pPr>
      <w:r w:rsidRPr="003A272B">
        <w:rPr>
          <w:color w:val="000000"/>
          <w:sz w:val="24"/>
          <w:szCs w:val="24"/>
        </w:rPr>
        <w:t>P</w:t>
      </w:r>
      <w:r w:rsidR="00C10B07" w:rsidRPr="003A272B">
        <w:rPr>
          <w:color w:val="000000"/>
          <w:sz w:val="24"/>
          <w:szCs w:val="24"/>
        </w:rPr>
        <w:t>otential participants w</w:t>
      </w:r>
      <w:r w:rsidR="00BE655F" w:rsidRPr="003A272B">
        <w:rPr>
          <w:color w:val="000000"/>
          <w:sz w:val="24"/>
          <w:szCs w:val="24"/>
        </w:rPr>
        <w:t>ere</w:t>
      </w:r>
      <w:r w:rsidR="00C10B07" w:rsidRPr="003A272B">
        <w:rPr>
          <w:color w:val="000000"/>
          <w:sz w:val="24"/>
          <w:szCs w:val="24"/>
        </w:rPr>
        <w:t xml:space="preserve"> screened by t</w:t>
      </w:r>
      <w:r w:rsidR="00DD04C1" w:rsidRPr="003A272B">
        <w:rPr>
          <w:color w:val="000000"/>
          <w:sz w:val="24"/>
          <w:szCs w:val="24"/>
        </w:rPr>
        <w:t>he</w:t>
      </w:r>
      <w:r w:rsidR="007B6074" w:rsidRPr="003A272B">
        <w:rPr>
          <w:color w:val="000000"/>
          <w:sz w:val="24"/>
          <w:szCs w:val="24"/>
        </w:rPr>
        <w:t xml:space="preserve"> study site</w:t>
      </w:r>
      <w:r w:rsidR="00DD04C1" w:rsidRPr="003A272B">
        <w:rPr>
          <w:color w:val="000000"/>
          <w:sz w:val="24"/>
          <w:szCs w:val="24"/>
        </w:rPr>
        <w:t xml:space="preserve"> coordinator</w:t>
      </w:r>
      <w:r w:rsidR="00C10B07" w:rsidRPr="003A272B">
        <w:rPr>
          <w:color w:val="000000"/>
          <w:sz w:val="24"/>
          <w:szCs w:val="24"/>
        </w:rPr>
        <w:t>, who</w:t>
      </w:r>
      <w:r w:rsidR="007B6074" w:rsidRPr="003A272B">
        <w:rPr>
          <w:color w:val="000000"/>
          <w:sz w:val="24"/>
          <w:szCs w:val="24"/>
        </w:rPr>
        <w:t xml:space="preserve"> </w:t>
      </w:r>
      <w:r w:rsidR="009C314D" w:rsidRPr="003A272B">
        <w:rPr>
          <w:color w:val="000000"/>
          <w:sz w:val="24"/>
          <w:szCs w:val="24"/>
        </w:rPr>
        <w:t xml:space="preserve">then </w:t>
      </w:r>
      <w:r w:rsidR="005025E6" w:rsidRPr="003A272B">
        <w:rPr>
          <w:color w:val="000000"/>
          <w:sz w:val="24"/>
          <w:szCs w:val="24"/>
        </w:rPr>
        <w:t>schedule</w:t>
      </w:r>
      <w:r w:rsidR="00BE655F" w:rsidRPr="003A272B">
        <w:rPr>
          <w:color w:val="000000"/>
          <w:sz w:val="24"/>
          <w:szCs w:val="24"/>
        </w:rPr>
        <w:t>d</w:t>
      </w:r>
      <w:r w:rsidR="005025E6" w:rsidRPr="003A272B">
        <w:rPr>
          <w:color w:val="000000"/>
          <w:sz w:val="24"/>
          <w:szCs w:val="24"/>
        </w:rPr>
        <w:t xml:space="preserve"> an interview date</w:t>
      </w:r>
      <w:r w:rsidRPr="003A272B">
        <w:rPr>
          <w:color w:val="000000"/>
          <w:sz w:val="24"/>
          <w:szCs w:val="24"/>
        </w:rPr>
        <w:t xml:space="preserve">. </w:t>
      </w:r>
      <w:r w:rsidR="00DD04C1" w:rsidRPr="003A272B">
        <w:rPr>
          <w:color w:val="000000"/>
          <w:sz w:val="24"/>
          <w:szCs w:val="24"/>
        </w:rPr>
        <w:t xml:space="preserve"> On the day</w:t>
      </w:r>
      <w:r w:rsidR="00C10B07" w:rsidRPr="003A272B">
        <w:rPr>
          <w:color w:val="000000"/>
          <w:sz w:val="24"/>
          <w:szCs w:val="24"/>
        </w:rPr>
        <w:t xml:space="preserve"> of the assessment</w:t>
      </w:r>
      <w:r w:rsidR="00DD04C1" w:rsidRPr="003A272B">
        <w:rPr>
          <w:color w:val="000000"/>
          <w:sz w:val="24"/>
          <w:szCs w:val="24"/>
        </w:rPr>
        <w:t xml:space="preserve">, participants </w:t>
      </w:r>
      <w:r w:rsidR="00BE655F" w:rsidRPr="003A272B">
        <w:rPr>
          <w:color w:val="000000"/>
          <w:sz w:val="24"/>
          <w:szCs w:val="24"/>
        </w:rPr>
        <w:t xml:space="preserve">met </w:t>
      </w:r>
      <w:r w:rsidR="00DD04C1" w:rsidRPr="003A272B">
        <w:rPr>
          <w:color w:val="000000"/>
          <w:sz w:val="24"/>
          <w:szCs w:val="24"/>
        </w:rPr>
        <w:t xml:space="preserve">with </w:t>
      </w:r>
      <w:r w:rsidR="00C10B07" w:rsidRPr="003A272B">
        <w:rPr>
          <w:color w:val="000000"/>
          <w:sz w:val="24"/>
          <w:szCs w:val="24"/>
        </w:rPr>
        <w:t>study staff</w:t>
      </w:r>
      <w:r w:rsidR="00DD04C1" w:rsidRPr="003A272B">
        <w:rPr>
          <w:color w:val="000000"/>
          <w:sz w:val="24"/>
          <w:szCs w:val="24"/>
        </w:rPr>
        <w:t xml:space="preserve"> to </w:t>
      </w:r>
      <w:r w:rsidR="00C10B07" w:rsidRPr="003A272B">
        <w:rPr>
          <w:color w:val="000000"/>
          <w:sz w:val="24"/>
          <w:szCs w:val="24"/>
        </w:rPr>
        <w:t xml:space="preserve">complete </w:t>
      </w:r>
      <w:r w:rsidR="00DD04C1" w:rsidRPr="003A272B">
        <w:rPr>
          <w:color w:val="000000"/>
          <w:sz w:val="24"/>
          <w:szCs w:val="24"/>
        </w:rPr>
        <w:t xml:space="preserve">informed consent. </w:t>
      </w:r>
      <w:r w:rsidR="00C10B07" w:rsidRPr="003A272B">
        <w:rPr>
          <w:color w:val="000000"/>
          <w:sz w:val="24"/>
          <w:szCs w:val="24"/>
        </w:rPr>
        <w:t>They w</w:t>
      </w:r>
      <w:r w:rsidR="00BE655F" w:rsidRPr="003A272B">
        <w:rPr>
          <w:color w:val="000000"/>
          <w:sz w:val="24"/>
          <w:szCs w:val="24"/>
        </w:rPr>
        <w:t>ere</w:t>
      </w:r>
      <w:r w:rsidR="00C10B07" w:rsidRPr="003A272B">
        <w:rPr>
          <w:color w:val="000000"/>
          <w:sz w:val="24"/>
          <w:szCs w:val="24"/>
        </w:rPr>
        <w:t xml:space="preserve"> given an opportunity to ask questions and </w:t>
      </w:r>
      <w:r w:rsidR="00BE655F" w:rsidRPr="003A272B">
        <w:rPr>
          <w:color w:val="000000"/>
          <w:sz w:val="24"/>
          <w:szCs w:val="24"/>
        </w:rPr>
        <w:t>were</w:t>
      </w:r>
      <w:r w:rsidR="00C10B07" w:rsidRPr="003A272B">
        <w:rPr>
          <w:color w:val="000000"/>
          <w:sz w:val="24"/>
          <w:szCs w:val="24"/>
        </w:rPr>
        <w:t xml:space="preserve"> reminded that study participation </w:t>
      </w:r>
      <w:r w:rsidR="00BE655F" w:rsidRPr="003A272B">
        <w:rPr>
          <w:color w:val="000000"/>
          <w:sz w:val="24"/>
          <w:szCs w:val="24"/>
        </w:rPr>
        <w:t>wa</w:t>
      </w:r>
      <w:r w:rsidR="00C10B07" w:rsidRPr="003A272B">
        <w:rPr>
          <w:color w:val="000000"/>
          <w:sz w:val="24"/>
          <w:szCs w:val="24"/>
        </w:rPr>
        <w:t xml:space="preserve">s voluntary.  </w:t>
      </w:r>
      <w:r w:rsidR="00965EE0" w:rsidRPr="003A272B">
        <w:rPr>
          <w:color w:val="000000"/>
          <w:sz w:val="24"/>
          <w:szCs w:val="24"/>
        </w:rPr>
        <w:t>T</w:t>
      </w:r>
      <w:r w:rsidR="0067442F" w:rsidRPr="003A272B">
        <w:rPr>
          <w:color w:val="000000"/>
          <w:sz w:val="24"/>
          <w:szCs w:val="24"/>
        </w:rPr>
        <w:t>he primary investigator and/or trained study personnel discussed potential risks of the study prior to obtaining informed consent</w:t>
      </w:r>
      <w:r w:rsidR="00A87D73" w:rsidRPr="003A272B">
        <w:rPr>
          <w:color w:val="000000"/>
          <w:sz w:val="24"/>
          <w:szCs w:val="24"/>
        </w:rPr>
        <w:t>. A</w:t>
      </w:r>
      <w:r w:rsidR="0067442F" w:rsidRPr="003A272B">
        <w:rPr>
          <w:color w:val="000000"/>
          <w:sz w:val="24"/>
          <w:szCs w:val="24"/>
        </w:rPr>
        <w:t xml:space="preserve">fter receiving a complete description of the study, participants provided written informed consent. </w:t>
      </w:r>
      <w:r w:rsidR="00BE655F" w:rsidRPr="003A272B">
        <w:rPr>
          <w:color w:val="000000"/>
          <w:sz w:val="24"/>
          <w:szCs w:val="24"/>
        </w:rPr>
        <w:t>P</w:t>
      </w:r>
      <w:r w:rsidR="00FF29DD" w:rsidRPr="003A272B">
        <w:rPr>
          <w:color w:val="000000"/>
          <w:sz w:val="24"/>
          <w:szCs w:val="24"/>
        </w:rPr>
        <w:t>articipants receive</w:t>
      </w:r>
      <w:r w:rsidR="00BE655F" w:rsidRPr="003A272B">
        <w:rPr>
          <w:color w:val="000000"/>
          <w:sz w:val="24"/>
          <w:szCs w:val="24"/>
        </w:rPr>
        <w:t>d</w:t>
      </w:r>
      <w:r w:rsidR="00FF29DD" w:rsidRPr="003A272B">
        <w:rPr>
          <w:color w:val="000000"/>
          <w:sz w:val="24"/>
          <w:szCs w:val="24"/>
        </w:rPr>
        <w:t xml:space="preserve"> </w:t>
      </w:r>
      <w:r w:rsidR="003A272B" w:rsidRPr="003A272B">
        <w:rPr>
          <w:sz w:val="24"/>
          <w:szCs w:val="24"/>
        </w:rPr>
        <w:t>a cash incentive for participation to reimburse them for their time and transport costs.</w:t>
      </w:r>
      <w:r w:rsidR="00FF29DD" w:rsidRPr="003A272B">
        <w:rPr>
          <w:color w:val="000000"/>
          <w:sz w:val="24"/>
          <w:szCs w:val="24"/>
        </w:rPr>
        <w:t xml:space="preserve"> </w:t>
      </w:r>
    </w:p>
    <w:p w14:paraId="0C6CE3BB" w14:textId="7426D8A9" w:rsidR="00FF29DD" w:rsidRDefault="00AF1F2F" w:rsidP="003A272B">
      <w:pPr>
        <w:spacing w:line="480" w:lineRule="auto"/>
        <w:ind w:firstLine="720"/>
        <w:rPr>
          <w:color w:val="000000"/>
        </w:rPr>
      </w:pPr>
      <w:r w:rsidRPr="003A272B">
        <w:rPr>
          <w:color w:val="000000"/>
        </w:rPr>
        <w:t>The authors assert that all procedures contributing to this work comply with the ethical standards of the relevant national and institutional committees on human experimentation and with the Helsinki Declaration of 1975, as revised in 2008.  All procedures involving human subjects were approved by t</w:t>
      </w:r>
      <w:r w:rsidR="00FF29DD" w:rsidRPr="003A272B">
        <w:rPr>
          <w:color w:val="000000"/>
        </w:rPr>
        <w:t xml:space="preserve">he </w:t>
      </w:r>
      <w:r w:rsidR="00421646" w:rsidRPr="003A272B">
        <w:rPr>
          <w:color w:val="000000"/>
        </w:rPr>
        <w:t>I</w:t>
      </w:r>
      <w:r w:rsidR="00FF29DD" w:rsidRPr="003A272B">
        <w:rPr>
          <w:color w:val="000000"/>
        </w:rPr>
        <w:t xml:space="preserve">nstitutional </w:t>
      </w:r>
      <w:r w:rsidR="00421646" w:rsidRPr="003A272B">
        <w:rPr>
          <w:color w:val="000000"/>
        </w:rPr>
        <w:t>R</w:t>
      </w:r>
      <w:r w:rsidR="00FF29DD" w:rsidRPr="003A272B">
        <w:rPr>
          <w:color w:val="000000"/>
        </w:rPr>
        <w:t xml:space="preserve">eview </w:t>
      </w:r>
      <w:r w:rsidR="00421646" w:rsidRPr="003A272B">
        <w:rPr>
          <w:color w:val="000000"/>
        </w:rPr>
        <w:t>B</w:t>
      </w:r>
      <w:r w:rsidR="00FF29DD" w:rsidRPr="003A272B">
        <w:rPr>
          <w:color w:val="000000"/>
        </w:rPr>
        <w:t xml:space="preserve">oards </w:t>
      </w:r>
      <w:r w:rsidR="00C60660" w:rsidRPr="003A272B">
        <w:rPr>
          <w:color w:val="000000"/>
        </w:rPr>
        <w:t>at each of the participating universities</w:t>
      </w:r>
      <w:r w:rsidR="00581DCF">
        <w:rPr>
          <w:color w:val="000000"/>
        </w:rPr>
        <w:t>.</w:t>
      </w:r>
      <w:r w:rsidR="00FF29DD" w:rsidRPr="00FF29DD">
        <w:rPr>
          <w:color w:val="000000"/>
        </w:rPr>
        <w:t xml:space="preserve"> </w:t>
      </w:r>
      <w:r w:rsidR="003D7F22">
        <w:rPr>
          <w:color w:val="000000"/>
        </w:rPr>
        <w:t>Data sharing agreements were arranged across all sites</w:t>
      </w:r>
      <w:r w:rsidR="007E2487">
        <w:rPr>
          <w:color w:val="000000"/>
        </w:rPr>
        <w:t xml:space="preserve">. </w:t>
      </w:r>
      <w:r w:rsidR="003D7F22">
        <w:rPr>
          <w:color w:val="000000"/>
        </w:rPr>
        <w:t xml:space="preserve"> </w:t>
      </w:r>
    </w:p>
    <w:p w14:paraId="7B96C800" w14:textId="77777777" w:rsidR="00660ABC" w:rsidRDefault="00660ABC" w:rsidP="00660ABC">
      <w:pPr>
        <w:spacing w:line="480" w:lineRule="auto"/>
        <w:rPr>
          <w:color w:val="000000"/>
        </w:rPr>
      </w:pPr>
    </w:p>
    <w:p w14:paraId="62838FC6" w14:textId="6C2F8ECC" w:rsidR="00660ABC" w:rsidRPr="009C785D" w:rsidRDefault="00660ABC" w:rsidP="00660ABC">
      <w:pPr>
        <w:spacing w:line="480" w:lineRule="auto"/>
        <w:rPr>
          <w:b/>
          <w:i/>
          <w:color w:val="000000"/>
        </w:rPr>
      </w:pPr>
      <w:r w:rsidRPr="009C785D">
        <w:rPr>
          <w:b/>
          <w:i/>
          <w:color w:val="000000"/>
        </w:rPr>
        <w:t>Assessments</w:t>
      </w:r>
    </w:p>
    <w:p w14:paraId="149275A2" w14:textId="0946F00B" w:rsidR="00E840C9" w:rsidRDefault="00827BA9" w:rsidP="003D7F22">
      <w:pPr>
        <w:spacing w:line="480" w:lineRule="auto"/>
        <w:ind w:firstLine="720"/>
        <w:rPr>
          <w:color w:val="000000"/>
        </w:rPr>
      </w:pPr>
      <w:r w:rsidRPr="00827BA9">
        <w:rPr>
          <w:color w:val="000000"/>
        </w:rPr>
        <w:t xml:space="preserve">All participants </w:t>
      </w:r>
      <w:r w:rsidR="00C60660">
        <w:rPr>
          <w:color w:val="000000"/>
        </w:rPr>
        <w:t>completed a comprehensive</w:t>
      </w:r>
      <w:r w:rsidRPr="00827BA9">
        <w:rPr>
          <w:color w:val="000000"/>
        </w:rPr>
        <w:t xml:space="preserve"> diagnostic interview (Mini International Neuropsychiatric Interview 7.0 (MINI 7.0</w:t>
      </w:r>
      <w:r w:rsidR="002B283B">
        <w:rPr>
          <w:color w:val="000000"/>
        </w:rPr>
        <w:t>)</w:t>
      </w:r>
      <w:r w:rsidR="00F94914">
        <w:rPr>
          <w:color w:val="000000"/>
        </w:rPr>
        <w:t xml:space="preserve"> (Sheehan, et al., 1998)</w:t>
      </w:r>
      <w:r w:rsidRPr="00827BA9">
        <w:rPr>
          <w:color w:val="000000"/>
        </w:rPr>
        <w:t xml:space="preserve">; BFRB diagnostic modules and symptom severity scales, which were completed by trained diagnosticians with a bachelor’s degree or higher trained to reliability and supervised by a doctoral-level clinician; neurocognitive tasks from the Cambridge Neurocognitive Test Automated Battery (CANTAB; http://www.cantab.com), which were counter-balanced; </w:t>
      </w:r>
      <w:r w:rsidRPr="00827BA9">
        <w:rPr>
          <w:color w:val="000000"/>
        </w:rPr>
        <w:lastRenderedPageBreak/>
        <w:t>and self-report questionnaires regarding BFRB symptoms, general psychopathology, quality of life, and family environment completed at home via a web link through Research electronic data capture (</w:t>
      </w:r>
      <w:proofErr w:type="spellStart"/>
      <w:r w:rsidRPr="00827BA9">
        <w:rPr>
          <w:color w:val="000000"/>
        </w:rPr>
        <w:t>REDCap</w:t>
      </w:r>
      <w:proofErr w:type="spellEnd"/>
      <w:r w:rsidR="002B283B">
        <w:rPr>
          <w:color w:val="000000"/>
        </w:rPr>
        <w:t>)</w:t>
      </w:r>
      <w:r w:rsidR="00F94914">
        <w:rPr>
          <w:color w:val="000000"/>
        </w:rPr>
        <w:t>(Harris et al., 2009)</w:t>
      </w:r>
      <w:r w:rsidR="001A7F4A">
        <w:rPr>
          <w:color w:val="000000"/>
        </w:rPr>
        <w:t>.</w:t>
      </w:r>
      <w:r w:rsidRPr="00827BA9">
        <w:rPr>
          <w:color w:val="000000"/>
        </w:rPr>
        <w:t xml:space="preserve">  </w:t>
      </w:r>
      <w:r w:rsidR="004104D8">
        <w:rPr>
          <w:color w:val="000000"/>
        </w:rPr>
        <w:t>A</w:t>
      </w:r>
      <w:r w:rsidR="00E747B1" w:rsidRPr="00E840C9">
        <w:rPr>
          <w:color w:val="000000"/>
        </w:rPr>
        <w:t xml:space="preserve"> detailed list of the</w:t>
      </w:r>
      <w:r w:rsidR="00DD04C1" w:rsidRPr="00E840C9">
        <w:rPr>
          <w:color w:val="000000"/>
        </w:rPr>
        <w:t xml:space="preserve"> assessments</w:t>
      </w:r>
      <w:r w:rsidR="004104D8">
        <w:rPr>
          <w:color w:val="000000"/>
        </w:rPr>
        <w:t xml:space="preserve"> </w:t>
      </w:r>
      <w:r w:rsidR="007D6EDB">
        <w:rPr>
          <w:color w:val="000000"/>
        </w:rPr>
        <w:t>is</w:t>
      </w:r>
      <w:r w:rsidR="004104D8">
        <w:rPr>
          <w:color w:val="000000"/>
        </w:rPr>
        <w:t xml:space="preserve"> provided in the Supplement</w:t>
      </w:r>
      <w:r w:rsidR="00E747B1" w:rsidRPr="00E840C9">
        <w:rPr>
          <w:color w:val="000000"/>
        </w:rPr>
        <w:t>.</w:t>
      </w:r>
      <w:r w:rsidR="001C14CB" w:rsidRPr="00E840C9">
        <w:rPr>
          <w:color w:val="000000"/>
        </w:rPr>
        <w:t xml:space="preserve"> </w:t>
      </w:r>
      <w:r w:rsidR="00EB0CA8">
        <w:rPr>
          <w:color w:val="000000"/>
        </w:rPr>
        <w:t>The t</w:t>
      </w:r>
      <w:r w:rsidR="00080B1F" w:rsidRPr="00E840C9">
        <w:rPr>
          <w:color w:val="000000"/>
        </w:rPr>
        <w:t xml:space="preserve">otal assessment time </w:t>
      </w:r>
      <w:r w:rsidR="007C5024">
        <w:rPr>
          <w:color w:val="000000"/>
        </w:rPr>
        <w:t>was approximately</w:t>
      </w:r>
      <w:r w:rsidR="00080B1F" w:rsidRPr="00E840C9">
        <w:rPr>
          <w:color w:val="000000"/>
        </w:rPr>
        <w:t xml:space="preserve"> 4-5 hours.</w:t>
      </w:r>
      <w:r w:rsidR="007D4AC7" w:rsidRPr="00E840C9">
        <w:rPr>
          <w:color w:val="000000"/>
        </w:rPr>
        <w:t xml:space="preserve">  </w:t>
      </w:r>
      <w:r w:rsidR="00EA1B64" w:rsidRPr="00EA1B64">
        <w:rPr>
          <w:color w:val="000000"/>
        </w:rPr>
        <w:t xml:space="preserve">Study participation </w:t>
      </w:r>
      <w:r w:rsidR="00EA1B64">
        <w:rPr>
          <w:color w:val="000000"/>
        </w:rPr>
        <w:t>could be</w:t>
      </w:r>
      <w:r w:rsidR="00EA1B64" w:rsidRPr="00EA1B64">
        <w:rPr>
          <w:color w:val="000000"/>
        </w:rPr>
        <w:t xml:space="preserve"> divided into two visits scheduled across two consecutive days (no more than 14 days between visits)</w:t>
      </w:r>
      <w:r w:rsidR="00EB0CA8">
        <w:rPr>
          <w:color w:val="000000"/>
        </w:rPr>
        <w:t xml:space="preserve">, </w:t>
      </w:r>
      <w:r>
        <w:rPr>
          <w:color w:val="000000"/>
        </w:rPr>
        <w:t>with breaks</w:t>
      </w:r>
      <w:r w:rsidR="00EB0CA8">
        <w:rPr>
          <w:color w:val="000000"/>
        </w:rPr>
        <w:t xml:space="preserve"> permitted if needed</w:t>
      </w:r>
      <w:r w:rsidR="00EA1B64" w:rsidRPr="00EA1B64">
        <w:rPr>
          <w:color w:val="000000"/>
        </w:rPr>
        <w:t>.</w:t>
      </w:r>
    </w:p>
    <w:p w14:paraId="25EEAF3F" w14:textId="3E1F61C8" w:rsidR="00060856" w:rsidRDefault="00060856" w:rsidP="00060856">
      <w:pPr>
        <w:tabs>
          <w:tab w:val="left" w:pos="360"/>
        </w:tabs>
        <w:autoSpaceDE w:val="0"/>
        <w:autoSpaceDN w:val="0"/>
        <w:adjustRightInd w:val="0"/>
        <w:spacing w:line="480" w:lineRule="auto"/>
        <w:rPr>
          <w:color w:val="000000"/>
        </w:rPr>
      </w:pPr>
      <w:bookmarkStart w:id="0" w:name="_Toc100650609"/>
      <w:r>
        <w:rPr>
          <w:color w:val="000000"/>
        </w:rPr>
        <w:tab/>
      </w:r>
      <w:r>
        <w:rPr>
          <w:color w:val="000000"/>
        </w:rPr>
        <w:tab/>
      </w:r>
    </w:p>
    <w:p w14:paraId="5B8CFA08" w14:textId="6127E253" w:rsidR="00C65177" w:rsidRPr="009C785D" w:rsidRDefault="00C65177" w:rsidP="003D7F22">
      <w:pPr>
        <w:tabs>
          <w:tab w:val="left" w:pos="360"/>
        </w:tabs>
        <w:autoSpaceDE w:val="0"/>
        <w:autoSpaceDN w:val="0"/>
        <w:adjustRightInd w:val="0"/>
        <w:spacing w:line="480" w:lineRule="auto"/>
        <w:rPr>
          <w:b/>
          <w:i/>
        </w:rPr>
      </w:pPr>
      <w:r w:rsidRPr="009C785D">
        <w:rPr>
          <w:b/>
          <w:i/>
        </w:rPr>
        <w:t>Quality Assurance</w:t>
      </w:r>
      <w:bookmarkEnd w:id="0"/>
    </w:p>
    <w:p w14:paraId="43A71B7F" w14:textId="7C4C88C0" w:rsidR="00C65177" w:rsidRPr="00793D84" w:rsidRDefault="00C65177" w:rsidP="003D7F22">
      <w:pPr>
        <w:pStyle w:val="CAMSText"/>
        <w:spacing w:after="0" w:line="480" w:lineRule="auto"/>
        <w:ind w:firstLine="720"/>
        <w:rPr>
          <w:rFonts w:ascii="Times New Roman" w:hAnsi="Times New Roman" w:cs="Times New Roman"/>
          <w:sz w:val="24"/>
          <w:szCs w:val="24"/>
        </w:rPr>
      </w:pPr>
      <w:r w:rsidRPr="00793D84">
        <w:rPr>
          <w:rFonts w:ascii="Times New Roman" w:hAnsi="Times New Roman" w:cs="Times New Roman"/>
          <w:sz w:val="24"/>
          <w:szCs w:val="24"/>
        </w:rPr>
        <w:t>Drawing on approaches used in other research where the integrity of diagnostic conclusions has been paramount and where there have been multiple domains of assessment</w:t>
      </w:r>
      <w:r w:rsidR="00457836">
        <w:rPr>
          <w:rFonts w:ascii="Times New Roman" w:hAnsi="Times New Roman" w:cs="Times New Roman"/>
          <w:sz w:val="24"/>
          <w:szCs w:val="24"/>
        </w:rPr>
        <w:t>, we tracked</w:t>
      </w:r>
      <w:r w:rsidRPr="00793D84">
        <w:rPr>
          <w:rFonts w:ascii="Times New Roman" w:hAnsi="Times New Roman" w:cs="Times New Roman"/>
          <w:sz w:val="24"/>
          <w:szCs w:val="24"/>
        </w:rPr>
        <w:t xml:space="preserve"> diagnostic assessment and clinical interview procedures; adherence to imaging and neurocognitive protocols; and adverse event prevention and response. Protocol fidelity monitoring w</w:t>
      </w:r>
      <w:r w:rsidR="00E764E7">
        <w:rPr>
          <w:rFonts w:ascii="Times New Roman" w:hAnsi="Times New Roman" w:cs="Times New Roman"/>
          <w:sz w:val="24"/>
          <w:szCs w:val="24"/>
        </w:rPr>
        <w:t>as</w:t>
      </w:r>
      <w:r w:rsidRPr="00793D84">
        <w:rPr>
          <w:rFonts w:ascii="Times New Roman" w:hAnsi="Times New Roman" w:cs="Times New Roman"/>
          <w:sz w:val="24"/>
          <w:szCs w:val="24"/>
        </w:rPr>
        <w:t xml:space="preserve"> addressed by several mechanisms including written guidelines, monitoring forms, on-site supervision, and cross-site calls. Each site </w:t>
      </w:r>
      <w:r w:rsidR="00E764E7">
        <w:rPr>
          <w:rFonts w:ascii="Times New Roman" w:hAnsi="Times New Roman" w:cs="Times New Roman"/>
          <w:sz w:val="24"/>
          <w:szCs w:val="24"/>
        </w:rPr>
        <w:t>wa</w:t>
      </w:r>
      <w:r w:rsidRPr="00793D84">
        <w:rPr>
          <w:rFonts w:ascii="Times New Roman" w:hAnsi="Times New Roman" w:cs="Times New Roman"/>
          <w:sz w:val="24"/>
          <w:szCs w:val="24"/>
        </w:rPr>
        <w:t xml:space="preserve">s led by </w:t>
      </w:r>
      <w:r w:rsidR="00EA1B64">
        <w:rPr>
          <w:rFonts w:ascii="Times New Roman" w:hAnsi="Times New Roman" w:cs="Times New Roman"/>
          <w:sz w:val="24"/>
          <w:szCs w:val="24"/>
        </w:rPr>
        <w:t>an investigator</w:t>
      </w:r>
      <w:r w:rsidRPr="00793D84">
        <w:rPr>
          <w:rFonts w:ascii="Times New Roman" w:hAnsi="Times New Roman" w:cs="Times New Roman"/>
          <w:sz w:val="24"/>
          <w:szCs w:val="24"/>
        </w:rPr>
        <w:t xml:space="preserve"> with extensive </w:t>
      </w:r>
      <w:r w:rsidR="00A87D73">
        <w:rPr>
          <w:rFonts w:ascii="Times New Roman" w:hAnsi="Times New Roman" w:cs="Times New Roman"/>
          <w:sz w:val="24"/>
          <w:szCs w:val="24"/>
        </w:rPr>
        <w:t>clinical and research expertise</w:t>
      </w:r>
      <w:r w:rsidRPr="00793D84">
        <w:rPr>
          <w:rFonts w:ascii="Times New Roman" w:hAnsi="Times New Roman" w:cs="Times New Roman"/>
          <w:sz w:val="24"/>
          <w:szCs w:val="24"/>
        </w:rPr>
        <w:t xml:space="preserve"> in BFRBs.  Cross-site panels </w:t>
      </w:r>
      <w:bookmarkStart w:id="1" w:name="_Toc100650612"/>
      <w:r w:rsidRPr="00793D84">
        <w:rPr>
          <w:rFonts w:ascii="Times New Roman" w:hAnsi="Times New Roman" w:cs="Times New Roman"/>
          <w:sz w:val="24"/>
          <w:szCs w:val="24"/>
        </w:rPr>
        <w:t>monitor</w:t>
      </w:r>
      <w:r w:rsidR="001878AF">
        <w:rPr>
          <w:rFonts w:ascii="Times New Roman" w:hAnsi="Times New Roman" w:cs="Times New Roman"/>
          <w:sz w:val="24"/>
          <w:szCs w:val="24"/>
        </w:rPr>
        <w:t>ed</w:t>
      </w:r>
      <w:r w:rsidRPr="00793D84">
        <w:rPr>
          <w:rFonts w:ascii="Times New Roman" w:hAnsi="Times New Roman" w:cs="Times New Roman"/>
          <w:sz w:val="24"/>
          <w:szCs w:val="24"/>
        </w:rPr>
        <w:t xml:space="preserve"> </w:t>
      </w:r>
      <w:proofErr w:type="spellStart"/>
      <w:r w:rsidRPr="00793D84">
        <w:rPr>
          <w:rFonts w:ascii="Times New Roman" w:hAnsi="Times New Roman" w:cs="Times New Roman"/>
          <w:sz w:val="24"/>
          <w:szCs w:val="24"/>
        </w:rPr>
        <w:t>caseness</w:t>
      </w:r>
      <w:proofErr w:type="spellEnd"/>
      <w:r w:rsidRPr="00793D84">
        <w:rPr>
          <w:rFonts w:ascii="Times New Roman" w:hAnsi="Times New Roman" w:cs="Times New Roman"/>
          <w:sz w:val="24"/>
          <w:szCs w:val="24"/>
        </w:rPr>
        <w:t>.</w:t>
      </w:r>
      <w:r w:rsidR="00793D84" w:rsidRPr="00793D84">
        <w:rPr>
          <w:rFonts w:ascii="Times New Roman" w:hAnsi="Times New Roman" w:cs="Times New Roman"/>
          <w:sz w:val="24"/>
          <w:szCs w:val="24"/>
        </w:rPr>
        <w:t xml:space="preserve"> </w:t>
      </w:r>
      <w:bookmarkEnd w:id="1"/>
      <w:r w:rsidR="00793D84" w:rsidRPr="00793D84">
        <w:rPr>
          <w:rFonts w:ascii="Times New Roman" w:hAnsi="Times New Roman" w:cs="Times New Roman"/>
          <w:sz w:val="24"/>
          <w:szCs w:val="24"/>
        </w:rPr>
        <w:t xml:space="preserve"> </w:t>
      </w:r>
      <w:r w:rsidR="00793D84">
        <w:rPr>
          <w:rFonts w:ascii="Times New Roman" w:hAnsi="Times New Roman" w:cs="Times New Roman"/>
          <w:sz w:val="24"/>
          <w:szCs w:val="24"/>
        </w:rPr>
        <w:t>O</w:t>
      </w:r>
      <w:r w:rsidRPr="00793D84">
        <w:rPr>
          <w:rFonts w:ascii="Times New Roman" w:hAnsi="Times New Roman" w:cs="Times New Roman"/>
          <w:sz w:val="24"/>
          <w:szCs w:val="24"/>
        </w:rPr>
        <w:t xml:space="preserve">ngoing monitoring </w:t>
      </w:r>
      <w:r w:rsidR="00ED2BCD">
        <w:rPr>
          <w:rFonts w:ascii="Times New Roman" w:hAnsi="Times New Roman" w:cs="Times New Roman"/>
          <w:sz w:val="24"/>
          <w:szCs w:val="24"/>
        </w:rPr>
        <w:t>took</w:t>
      </w:r>
      <w:r w:rsidRPr="00793D84">
        <w:rPr>
          <w:rFonts w:ascii="Times New Roman" w:hAnsi="Times New Roman" w:cs="Times New Roman"/>
          <w:sz w:val="24"/>
          <w:szCs w:val="24"/>
        </w:rPr>
        <w:t xml:space="preserve"> place via team meetings at each site weekly and cross-site teleconferences conducted regularly. Among other things, the cross-site calls w</w:t>
      </w:r>
      <w:r w:rsidR="00ED2BCD">
        <w:rPr>
          <w:rFonts w:ascii="Times New Roman" w:hAnsi="Times New Roman" w:cs="Times New Roman"/>
          <w:sz w:val="24"/>
          <w:szCs w:val="24"/>
        </w:rPr>
        <w:t>ere</w:t>
      </w:r>
      <w:r w:rsidRPr="00793D84">
        <w:rPr>
          <w:rFonts w:ascii="Times New Roman" w:hAnsi="Times New Roman" w:cs="Times New Roman"/>
          <w:sz w:val="24"/>
          <w:szCs w:val="24"/>
        </w:rPr>
        <w:t xml:space="preserve"> used to review interviews, and in the instance of diagnostic disagreement, the sources of these differences </w:t>
      </w:r>
      <w:r w:rsidR="00ED2BCD">
        <w:rPr>
          <w:rFonts w:ascii="Times New Roman" w:hAnsi="Times New Roman" w:cs="Times New Roman"/>
          <w:sz w:val="24"/>
          <w:szCs w:val="24"/>
        </w:rPr>
        <w:t>we</w:t>
      </w:r>
      <w:r w:rsidRPr="00793D84">
        <w:rPr>
          <w:rFonts w:ascii="Times New Roman" w:hAnsi="Times New Roman" w:cs="Times New Roman"/>
          <w:sz w:val="24"/>
          <w:szCs w:val="24"/>
        </w:rPr>
        <w:t xml:space="preserve">re discussed and a consensus diagnosis </w:t>
      </w:r>
      <w:r w:rsidR="00ED2BCD">
        <w:rPr>
          <w:rFonts w:ascii="Times New Roman" w:hAnsi="Times New Roman" w:cs="Times New Roman"/>
          <w:sz w:val="24"/>
          <w:szCs w:val="24"/>
        </w:rPr>
        <w:t>wa</w:t>
      </w:r>
      <w:r w:rsidRPr="00793D84">
        <w:rPr>
          <w:rFonts w:ascii="Times New Roman" w:hAnsi="Times New Roman" w:cs="Times New Roman"/>
          <w:sz w:val="24"/>
          <w:szCs w:val="24"/>
        </w:rPr>
        <w:t xml:space="preserve">s reached.  </w:t>
      </w:r>
    </w:p>
    <w:p w14:paraId="4878CE66" w14:textId="438E8F24" w:rsidR="003A666D" w:rsidRPr="00FF29DD" w:rsidRDefault="003A666D" w:rsidP="00FF29DD">
      <w:pPr>
        <w:spacing w:line="480" w:lineRule="auto"/>
        <w:rPr>
          <w:b/>
        </w:rPr>
      </w:pPr>
    </w:p>
    <w:p w14:paraId="7EB48AB9" w14:textId="04B0E9B1" w:rsidR="001873F6" w:rsidRPr="003B6EA4" w:rsidRDefault="00FF29DD" w:rsidP="003B6EA4">
      <w:pPr>
        <w:spacing w:line="480" w:lineRule="auto"/>
        <w:rPr>
          <w:b/>
          <w:i/>
        </w:rPr>
      </w:pPr>
      <w:r w:rsidRPr="003B6EA4">
        <w:rPr>
          <w:b/>
          <w:i/>
        </w:rPr>
        <w:t>Data Analysis</w:t>
      </w:r>
      <w:r w:rsidR="00540D34" w:rsidRPr="003B6EA4">
        <w:rPr>
          <w:b/>
          <w:i/>
        </w:rPr>
        <w:t xml:space="preserve"> </w:t>
      </w:r>
    </w:p>
    <w:p w14:paraId="3E02A772" w14:textId="64B7BBA4" w:rsidR="00AD1D3A" w:rsidRPr="003B6EA4" w:rsidRDefault="009A39F6" w:rsidP="003B6EA4">
      <w:pPr>
        <w:pStyle w:val="CommentText"/>
        <w:spacing w:line="480" w:lineRule="auto"/>
        <w:ind w:firstLine="720"/>
        <w:rPr>
          <w:sz w:val="24"/>
          <w:szCs w:val="24"/>
        </w:rPr>
      </w:pPr>
      <w:r w:rsidRPr="003B6EA4">
        <w:rPr>
          <w:sz w:val="24"/>
          <w:szCs w:val="24"/>
        </w:rPr>
        <w:lastRenderedPageBreak/>
        <w:t>Mixture modeling (MM)</w:t>
      </w:r>
      <w:r w:rsidR="00823CD2" w:rsidRPr="003B6EA4">
        <w:rPr>
          <w:sz w:val="24"/>
          <w:szCs w:val="24"/>
        </w:rPr>
        <w:t xml:space="preserve"> w</w:t>
      </w:r>
      <w:r w:rsidR="00ED2BCD" w:rsidRPr="003B6EA4">
        <w:rPr>
          <w:sz w:val="24"/>
          <w:szCs w:val="24"/>
        </w:rPr>
        <w:t>as</w:t>
      </w:r>
      <w:r w:rsidR="00823CD2" w:rsidRPr="003B6EA4">
        <w:rPr>
          <w:sz w:val="24"/>
          <w:szCs w:val="24"/>
        </w:rPr>
        <w:t xml:space="preserve"> used to identify a number of homogeneous, distinct subtypes (aka classes) </w:t>
      </w:r>
      <w:r w:rsidR="000415AF" w:rsidRPr="003B6EA4">
        <w:rPr>
          <w:sz w:val="24"/>
          <w:szCs w:val="24"/>
        </w:rPr>
        <w:t>across all study participants</w:t>
      </w:r>
      <w:r w:rsidR="00823CD2" w:rsidRPr="003B6EA4">
        <w:rPr>
          <w:sz w:val="24"/>
          <w:szCs w:val="24"/>
        </w:rPr>
        <w:t xml:space="preserve">. </w:t>
      </w:r>
      <w:r w:rsidR="00171E25" w:rsidRPr="003B6EA4">
        <w:rPr>
          <w:sz w:val="24"/>
          <w:szCs w:val="24"/>
        </w:rPr>
        <w:t xml:space="preserve"> </w:t>
      </w:r>
      <w:r w:rsidR="00DF022C" w:rsidRPr="003B6EA4">
        <w:rPr>
          <w:sz w:val="24"/>
          <w:szCs w:val="24"/>
        </w:rPr>
        <w:t xml:space="preserve">To identify </w:t>
      </w:r>
      <w:r w:rsidR="00021332" w:rsidRPr="003B6EA4">
        <w:rPr>
          <w:sz w:val="24"/>
          <w:szCs w:val="24"/>
        </w:rPr>
        <w:t>TTM</w:t>
      </w:r>
      <w:r w:rsidR="00DF022C" w:rsidRPr="003B6EA4">
        <w:rPr>
          <w:sz w:val="24"/>
          <w:szCs w:val="24"/>
        </w:rPr>
        <w:t xml:space="preserve"> subtypes, w</w:t>
      </w:r>
      <w:r w:rsidR="00F31B9E" w:rsidRPr="003B6EA4">
        <w:rPr>
          <w:sz w:val="24"/>
          <w:szCs w:val="24"/>
        </w:rPr>
        <w:t xml:space="preserve">e used item-level data of the </w:t>
      </w:r>
      <w:r w:rsidRPr="003B6EA4">
        <w:rPr>
          <w:sz w:val="24"/>
          <w:szCs w:val="24"/>
        </w:rPr>
        <w:t xml:space="preserve">13-item </w:t>
      </w:r>
      <w:r w:rsidR="00F31B9E" w:rsidRPr="003B6EA4">
        <w:rPr>
          <w:sz w:val="24"/>
          <w:szCs w:val="24"/>
        </w:rPr>
        <w:t>Milwaukee Inventory for Subtypes of Trichotillomania (MIST</w:t>
      </w:r>
      <w:r w:rsidR="007D6EDB">
        <w:rPr>
          <w:sz w:val="24"/>
          <w:szCs w:val="24"/>
        </w:rPr>
        <w:t>-A-R</w:t>
      </w:r>
      <w:r w:rsidR="00F31B9E" w:rsidRPr="003B6EA4">
        <w:rPr>
          <w:sz w:val="24"/>
          <w:szCs w:val="24"/>
        </w:rPr>
        <w:t>)</w:t>
      </w:r>
      <w:r w:rsidR="00F94914">
        <w:rPr>
          <w:sz w:val="24"/>
          <w:szCs w:val="24"/>
        </w:rPr>
        <w:t>(</w:t>
      </w:r>
      <w:proofErr w:type="spellStart"/>
      <w:r w:rsidR="00F94914">
        <w:rPr>
          <w:sz w:val="24"/>
          <w:szCs w:val="24"/>
        </w:rPr>
        <w:t>Keuthen</w:t>
      </w:r>
      <w:proofErr w:type="spellEnd"/>
      <w:r w:rsidR="00F94914">
        <w:rPr>
          <w:sz w:val="24"/>
          <w:szCs w:val="24"/>
        </w:rPr>
        <w:t xml:space="preserve"> et  al., 2015)</w:t>
      </w:r>
      <w:r w:rsidR="001A7F4A">
        <w:rPr>
          <w:sz w:val="24"/>
          <w:szCs w:val="24"/>
        </w:rPr>
        <w:t>,</w:t>
      </w:r>
      <w:r w:rsidR="00F31B9E" w:rsidRPr="003B6EA4">
        <w:rPr>
          <w:sz w:val="24"/>
          <w:szCs w:val="24"/>
        </w:rPr>
        <w:t xml:space="preserve"> which assesses intentionality and emotionality</w:t>
      </w:r>
      <w:r w:rsidR="00CB3F23" w:rsidRPr="003B6EA4">
        <w:rPr>
          <w:sz w:val="24"/>
          <w:szCs w:val="24"/>
        </w:rPr>
        <w:t>,</w:t>
      </w:r>
      <w:r w:rsidR="00F31B9E" w:rsidRPr="003B6EA4">
        <w:rPr>
          <w:sz w:val="24"/>
          <w:szCs w:val="24"/>
        </w:rPr>
        <w:t xml:space="preserve"> combined with item-level data from the</w:t>
      </w:r>
      <w:r w:rsidRPr="003B6EA4">
        <w:rPr>
          <w:sz w:val="24"/>
          <w:szCs w:val="24"/>
        </w:rPr>
        <w:t xml:space="preserve"> </w:t>
      </w:r>
      <w:r w:rsidR="00F31B9E" w:rsidRPr="003B6EA4">
        <w:rPr>
          <w:sz w:val="24"/>
          <w:szCs w:val="24"/>
        </w:rPr>
        <w:t>Massachusetts General Hospital Hair Pulling Scale (MGH-HPS)</w:t>
      </w:r>
      <w:r w:rsidR="00F94914">
        <w:rPr>
          <w:sz w:val="24"/>
          <w:szCs w:val="24"/>
        </w:rPr>
        <w:t xml:space="preserve"> (</w:t>
      </w:r>
      <w:proofErr w:type="spellStart"/>
      <w:r w:rsidR="00F94914">
        <w:rPr>
          <w:sz w:val="24"/>
          <w:szCs w:val="24"/>
        </w:rPr>
        <w:t>Keuthen</w:t>
      </w:r>
      <w:proofErr w:type="spellEnd"/>
      <w:r w:rsidR="00F94914">
        <w:rPr>
          <w:sz w:val="24"/>
          <w:szCs w:val="24"/>
        </w:rPr>
        <w:t xml:space="preserve"> et al., 2005)</w:t>
      </w:r>
      <w:r w:rsidR="002C59F7">
        <w:rPr>
          <w:sz w:val="24"/>
          <w:szCs w:val="24"/>
        </w:rPr>
        <w:t>,</w:t>
      </w:r>
      <w:r w:rsidR="00CB3F23" w:rsidRPr="003B6EA4">
        <w:rPr>
          <w:sz w:val="24"/>
          <w:szCs w:val="24"/>
        </w:rPr>
        <w:t xml:space="preserve"> a </w:t>
      </w:r>
      <w:r w:rsidRPr="003B6EA4">
        <w:rPr>
          <w:sz w:val="24"/>
          <w:szCs w:val="24"/>
        </w:rPr>
        <w:t xml:space="preserve">7-item </w:t>
      </w:r>
      <w:r w:rsidR="00CB3F23" w:rsidRPr="003B6EA4">
        <w:rPr>
          <w:sz w:val="24"/>
          <w:szCs w:val="24"/>
        </w:rPr>
        <w:t xml:space="preserve">severity scale assessing urges and resistance. </w:t>
      </w:r>
      <w:r w:rsidR="00DF022C" w:rsidRPr="003B6EA4">
        <w:rPr>
          <w:sz w:val="24"/>
          <w:szCs w:val="24"/>
        </w:rPr>
        <w:t xml:space="preserve">To identify </w:t>
      </w:r>
      <w:r w:rsidR="00021332" w:rsidRPr="003B6EA4">
        <w:rPr>
          <w:sz w:val="24"/>
          <w:szCs w:val="24"/>
        </w:rPr>
        <w:t>SPD</w:t>
      </w:r>
      <w:r w:rsidR="00DF022C" w:rsidRPr="003B6EA4">
        <w:rPr>
          <w:sz w:val="24"/>
          <w:szCs w:val="24"/>
        </w:rPr>
        <w:t xml:space="preserve"> subtypes, w</w:t>
      </w:r>
      <w:r w:rsidR="00CB3F23" w:rsidRPr="003B6EA4">
        <w:rPr>
          <w:sz w:val="24"/>
          <w:szCs w:val="24"/>
        </w:rPr>
        <w:t xml:space="preserve">e used item-level data of the </w:t>
      </w:r>
      <w:r w:rsidR="00BB0B99" w:rsidRPr="003B6EA4">
        <w:rPr>
          <w:sz w:val="24"/>
          <w:szCs w:val="24"/>
        </w:rPr>
        <w:t xml:space="preserve">12-item </w:t>
      </w:r>
      <w:r w:rsidR="00CB3F23" w:rsidRPr="003B6EA4">
        <w:rPr>
          <w:sz w:val="24"/>
          <w:szCs w:val="24"/>
        </w:rPr>
        <w:t>MIDAS (Milwaukee Inventory for the Dimensions of Skin Picking)</w:t>
      </w:r>
      <w:r w:rsidR="00F94914" w:rsidRPr="00F94914">
        <w:rPr>
          <w:sz w:val="24"/>
          <w:szCs w:val="24"/>
          <w:shd w:val="clear" w:color="auto" w:fill="FFFFFF"/>
        </w:rPr>
        <w:t xml:space="preserve"> </w:t>
      </w:r>
      <w:r w:rsidR="00F94914">
        <w:rPr>
          <w:sz w:val="24"/>
          <w:szCs w:val="24"/>
          <w:shd w:val="clear" w:color="auto" w:fill="FFFFFF"/>
        </w:rPr>
        <w:t>(</w:t>
      </w:r>
      <w:r w:rsidR="00F94914" w:rsidRPr="000C6116">
        <w:rPr>
          <w:sz w:val="24"/>
          <w:szCs w:val="24"/>
          <w:shd w:val="clear" w:color="auto" w:fill="FFFFFF"/>
        </w:rPr>
        <w:t>Walther</w:t>
      </w:r>
      <w:r w:rsidR="00BD0FCA">
        <w:rPr>
          <w:sz w:val="24"/>
          <w:szCs w:val="24"/>
          <w:shd w:val="clear" w:color="auto" w:fill="FFFFFF"/>
        </w:rPr>
        <w:t xml:space="preserve"> et al.,</w:t>
      </w:r>
      <w:r w:rsidR="00F94914">
        <w:rPr>
          <w:sz w:val="24"/>
          <w:szCs w:val="24"/>
          <w:shd w:val="clear" w:color="auto" w:fill="FFFFFF"/>
        </w:rPr>
        <w:t xml:space="preserve"> 2009)</w:t>
      </w:r>
      <w:r w:rsidR="002C59F7">
        <w:rPr>
          <w:sz w:val="24"/>
          <w:szCs w:val="24"/>
        </w:rPr>
        <w:t>,</w:t>
      </w:r>
      <w:r w:rsidR="00CB3F23" w:rsidRPr="003B6EA4">
        <w:rPr>
          <w:sz w:val="24"/>
          <w:szCs w:val="24"/>
        </w:rPr>
        <w:t xml:space="preserve"> which assesses automatic and focused picking styles, combined with item-level data from the</w:t>
      </w:r>
      <w:r w:rsidR="00BB0B99" w:rsidRPr="003B6EA4">
        <w:rPr>
          <w:sz w:val="24"/>
          <w:szCs w:val="24"/>
        </w:rPr>
        <w:t xml:space="preserve"> 8-item</w:t>
      </w:r>
      <w:r w:rsidR="00CB3F23" w:rsidRPr="003B6EA4">
        <w:rPr>
          <w:sz w:val="24"/>
          <w:szCs w:val="24"/>
        </w:rPr>
        <w:t xml:space="preserve"> Skin Picking Scale-Revised (SPS-R)</w:t>
      </w:r>
      <w:r w:rsidR="00F94914">
        <w:rPr>
          <w:sz w:val="24"/>
          <w:szCs w:val="24"/>
        </w:rPr>
        <w:t xml:space="preserve"> (Snorrason et al., 2012)</w:t>
      </w:r>
      <w:r w:rsidR="001A7F4A">
        <w:rPr>
          <w:sz w:val="24"/>
          <w:szCs w:val="24"/>
        </w:rPr>
        <w:t>,</w:t>
      </w:r>
      <w:r w:rsidR="00CB3F23" w:rsidRPr="003B6EA4">
        <w:rPr>
          <w:sz w:val="24"/>
          <w:szCs w:val="24"/>
        </w:rPr>
        <w:t xml:space="preserve"> a scale of severity based on urge and resistance. </w:t>
      </w:r>
      <w:r w:rsidR="00065257">
        <w:rPr>
          <w:sz w:val="24"/>
          <w:szCs w:val="24"/>
        </w:rPr>
        <w:t xml:space="preserve">Each measure used has excellent psychometric properties. </w:t>
      </w:r>
      <w:r w:rsidR="00CB3F89" w:rsidRPr="003B6EA4">
        <w:rPr>
          <w:sz w:val="24"/>
          <w:szCs w:val="24"/>
        </w:rPr>
        <w:t>After several online meetings consensus was reached amongst international experts of BFRBs that these</w:t>
      </w:r>
      <w:r w:rsidR="00801E4E" w:rsidRPr="003B6EA4">
        <w:rPr>
          <w:sz w:val="24"/>
          <w:szCs w:val="24"/>
        </w:rPr>
        <w:t xml:space="preserve"> </w:t>
      </w:r>
      <w:r w:rsidR="00E103C6" w:rsidRPr="003B6EA4">
        <w:rPr>
          <w:sz w:val="24"/>
          <w:szCs w:val="24"/>
        </w:rPr>
        <w:t xml:space="preserve">MM input </w:t>
      </w:r>
      <w:r w:rsidR="00801E4E" w:rsidRPr="003B6EA4">
        <w:rPr>
          <w:sz w:val="24"/>
          <w:szCs w:val="24"/>
        </w:rPr>
        <w:t>variables were most reflective of the c</w:t>
      </w:r>
      <w:r w:rsidR="00CB3F23" w:rsidRPr="003B6EA4">
        <w:rPr>
          <w:sz w:val="24"/>
          <w:szCs w:val="24"/>
        </w:rPr>
        <w:t>ore validated symptoms of each disorder</w:t>
      </w:r>
      <w:r w:rsidR="00DF022C" w:rsidRPr="003B6EA4">
        <w:rPr>
          <w:sz w:val="24"/>
          <w:szCs w:val="24"/>
        </w:rPr>
        <w:t>.</w:t>
      </w:r>
      <w:r w:rsidR="00AD1D3A" w:rsidRPr="003B6EA4">
        <w:rPr>
          <w:sz w:val="24"/>
          <w:szCs w:val="24"/>
        </w:rPr>
        <w:t xml:space="preserve"> We </w:t>
      </w:r>
      <w:r w:rsidR="00AD1D3A">
        <w:rPr>
          <w:sz w:val="24"/>
          <w:szCs w:val="24"/>
        </w:rPr>
        <w:t>also</w:t>
      </w:r>
      <w:r w:rsidR="00AD1D3A" w:rsidRPr="003B6EA4">
        <w:rPr>
          <w:sz w:val="24"/>
          <w:szCs w:val="24"/>
        </w:rPr>
        <w:t xml:space="preserve"> ran sensitivity analysis where we estimated MM models (without </w:t>
      </w:r>
      <w:r w:rsidR="00B0382F">
        <w:rPr>
          <w:sz w:val="24"/>
          <w:szCs w:val="24"/>
        </w:rPr>
        <w:t>predictors</w:t>
      </w:r>
      <w:r w:rsidR="00AD1D3A" w:rsidRPr="003B6EA4">
        <w:rPr>
          <w:sz w:val="24"/>
          <w:szCs w:val="24"/>
        </w:rPr>
        <w:t>) for only clinical cases</w:t>
      </w:r>
      <w:r w:rsidR="00AD1D3A">
        <w:rPr>
          <w:sz w:val="24"/>
          <w:szCs w:val="24"/>
        </w:rPr>
        <w:t xml:space="preserve"> (see Supplement)</w:t>
      </w:r>
      <w:r w:rsidR="00AD1D3A" w:rsidRPr="003B6EA4">
        <w:rPr>
          <w:sz w:val="24"/>
          <w:szCs w:val="24"/>
        </w:rPr>
        <w:t>.</w:t>
      </w:r>
    </w:p>
    <w:p w14:paraId="2766A5D7" w14:textId="08A0798B" w:rsidR="00A87D73" w:rsidRPr="00AD2A68" w:rsidRDefault="00823CD2" w:rsidP="003B6EA4">
      <w:pPr>
        <w:pStyle w:val="CommentText"/>
        <w:spacing w:line="480" w:lineRule="auto"/>
        <w:ind w:firstLine="720"/>
        <w:rPr>
          <w:sz w:val="24"/>
          <w:szCs w:val="24"/>
        </w:rPr>
      </w:pPr>
      <w:r w:rsidRPr="003B6EA4">
        <w:rPr>
          <w:sz w:val="24"/>
          <w:szCs w:val="24"/>
        </w:rPr>
        <w:t xml:space="preserve">Maximum likelihood estimation with </w:t>
      </w:r>
      <w:r w:rsidR="0047364B" w:rsidRPr="003B6EA4">
        <w:rPr>
          <w:sz w:val="24"/>
          <w:szCs w:val="24"/>
        </w:rPr>
        <w:t>10</w:t>
      </w:r>
      <w:r w:rsidRPr="003B6EA4">
        <w:rPr>
          <w:sz w:val="24"/>
          <w:szCs w:val="24"/>
        </w:rPr>
        <w:t>0 random starts w</w:t>
      </w:r>
      <w:r w:rsidR="000415AF" w:rsidRPr="003B6EA4">
        <w:rPr>
          <w:sz w:val="24"/>
          <w:szCs w:val="24"/>
        </w:rPr>
        <w:t>as</w:t>
      </w:r>
      <w:r w:rsidRPr="003B6EA4">
        <w:rPr>
          <w:sz w:val="24"/>
          <w:szCs w:val="24"/>
        </w:rPr>
        <w:t xml:space="preserve"> used to</w:t>
      </w:r>
      <w:r w:rsidR="00DB45F0" w:rsidRPr="003B6EA4">
        <w:rPr>
          <w:sz w:val="24"/>
          <w:szCs w:val="24"/>
        </w:rPr>
        <w:t xml:space="preserve"> </w:t>
      </w:r>
      <w:r w:rsidRPr="003B6EA4">
        <w:rPr>
          <w:sz w:val="24"/>
          <w:szCs w:val="24"/>
        </w:rPr>
        <w:t>minimize the risk of finding</w:t>
      </w:r>
      <w:r w:rsidRPr="00AD2A68">
        <w:rPr>
          <w:sz w:val="24"/>
          <w:szCs w:val="24"/>
        </w:rPr>
        <w:t xml:space="preserve"> local maxima. We test</w:t>
      </w:r>
      <w:r w:rsidR="00111DA0" w:rsidRPr="00AD2A68">
        <w:rPr>
          <w:sz w:val="24"/>
          <w:szCs w:val="24"/>
        </w:rPr>
        <w:t xml:space="preserve">ed models with up to </w:t>
      </w:r>
      <w:r w:rsidR="00D5646D" w:rsidRPr="00AD2A68">
        <w:rPr>
          <w:sz w:val="24"/>
          <w:szCs w:val="24"/>
        </w:rPr>
        <w:t xml:space="preserve">six </w:t>
      </w:r>
      <w:r w:rsidRPr="00AD2A68">
        <w:rPr>
          <w:sz w:val="24"/>
          <w:szCs w:val="24"/>
        </w:rPr>
        <w:t xml:space="preserve">classes. </w:t>
      </w:r>
      <w:r w:rsidR="000415AF" w:rsidRPr="00AD2A68">
        <w:rPr>
          <w:sz w:val="24"/>
          <w:szCs w:val="24"/>
        </w:rPr>
        <w:t>Selection of the optimal</w:t>
      </w:r>
      <w:r w:rsidRPr="00AD2A68">
        <w:rPr>
          <w:sz w:val="24"/>
          <w:szCs w:val="24"/>
        </w:rPr>
        <w:t xml:space="preserve"> model w</w:t>
      </w:r>
      <w:r w:rsidR="00A87D73" w:rsidRPr="00AD2A68">
        <w:rPr>
          <w:sz w:val="24"/>
          <w:szCs w:val="24"/>
        </w:rPr>
        <w:t>as</w:t>
      </w:r>
      <w:r w:rsidRPr="00AD2A68">
        <w:rPr>
          <w:sz w:val="24"/>
          <w:szCs w:val="24"/>
        </w:rPr>
        <w:t xml:space="preserve"> based on Bayesian Information Criteria (BIC</w:t>
      </w:r>
      <w:r w:rsidR="00C6583B" w:rsidRPr="00AD2A68">
        <w:rPr>
          <w:sz w:val="24"/>
          <w:szCs w:val="24"/>
        </w:rPr>
        <w:t>)</w:t>
      </w:r>
      <w:r w:rsidR="00F94914">
        <w:rPr>
          <w:sz w:val="24"/>
          <w:szCs w:val="24"/>
        </w:rPr>
        <w:t xml:space="preserve"> (Akaike, 1974; </w:t>
      </w:r>
      <w:r w:rsidR="00F94914" w:rsidRPr="000C6116">
        <w:rPr>
          <w:sz w:val="24"/>
          <w:szCs w:val="24"/>
        </w:rPr>
        <w:t>Schwarz</w:t>
      </w:r>
      <w:r w:rsidR="00F94914">
        <w:rPr>
          <w:sz w:val="24"/>
          <w:szCs w:val="24"/>
        </w:rPr>
        <w:t>, 1978)</w:t>
      </w:r>
      <w:r w:rsidR="00AD2A68">
        <w:rPr>
          <w:sz w:val="24"/>
          <w:szCs w:val="24"/>
        </w:rPr>
        <w:t xml:space="preserve"> (we</w:t>
      </w:r>
      <w:r w:rsidRPr="00AD2A68">
        <w:rPr>
          <w:sz w:val="24"/>
          <w:szCs w:val="24"/>
        </w:rPr>
        <w:t xml:space="preserve"> </w:t>
      </w:r>
      <w:r w:rsidR="00AD2A68" w:rsidRPr="00AD2A68">
        <w:rPr>
          <w:sz w:val="24"/>
          <w:szCs w:val="24"/>
        </w:rPr>
        <w:t xml:space="preserve">report both </w:t>
      </w:r>
      <w:r w:rsidR="00811070" w:rsidRPr="00811070">
        <w:rPr>
          <w:sz w:val="24"/>
          <w:szCs w:val="24"/>
          <w:shd w:val="clear" w:color="auto" w:fill="FFFFFF"/>
        </w:rPr>
        <w:t>Akaike's Information Criterion</w:t>
      </w:r>
      <w:r w:rsidR="00811070" w:rsidRPr="00811070">
        <w:rPr>
          <w:rFonts w:ascii="Arial" w:hAnsi="Arial" w:cs="Arial"/>
          <w:sz w:val="21"/>
          <w:szCs w:val="21"/>
          <w:shd w:val="clear" w:color="auto" w:fill="FFFFFF"/>
        </w:rPr>
        <w:t xml:space="preserve"> </w:t>
      </w:r>
      <w:r w:rsidR="00811070">
        <w:rPr>
          <w:rFonts w:ascii="Arial" w:hAnsi="Arial" w:cs="Arial"/>
          <w:color w:val="4D5156"/>
          <w:sz w:val="21"/>
          <w:szCs w:val="21"/>
          <w:shd w:val="clear" w:color="auto" w:fill="FFFFFF"/>
        </w:rPr>
        <w:t>(</w:t>
      </w:r>
      <w:r w:rsidR="00AD2A68" w:rsidRPr="00AD2A68">
        <w:rPr>
          <w:sz w:val="24"/>
          <w:szCs w:val="24"/>
        </w:rPr>
        <w:t>AIC</w:t>
      </w:r>
      <w:r w:rsidR="00811070">
        <w:rPr>
          <w:sz w:val="24"/>
          <w:szCs w:val="24"/>
        </w:rPr>
        <w:t>)</w:t>
      </w:r>
      <w:r w:rsidR="00AD2A68" w:rsidRPr="00AD2A68">
        <w:rPr>
          <w:sz w:val="24"/>
          <w:szCs w:val="24"/>
        </w:rPr>
        <w:t xml:space="preserve"> and BIC</w:t>
      </w:r>
      <w:r w:rsidR="00AD2A68">
        <w:rPr>
          <w:sz w:val="24"/>
          <w:szCs w:val="24"/>
        </w:rPr>
        <w:t xml:space="preserve"> </w:t>
      </w:r>
      <w:r w:rsidR="00AD1D3A">
        <w:rPr>
          <w:sz w:val="24"/>
          <w:szCs w:val="24"/>
        </w:rPr>
        <w:t>but used</w:t>
      </w:r>
      <w:r w:rsidR="00AD2A68" w:rsidRPr="00AD2A68">
        <w:rPr>
          <w:sz w:val="24"/>
          <w:szCs w:val="24"/>
        </w:rPr>
        <w:t xml:space="preserve"> BIC for decision on number of classes</w:t>
      </w:r>
      <w:r w:rsidR="00AD2A68">
        <w:rPr>
          <w:sz w:val="24"/>
          <w:szCs w:val="24"/>
        </w:rPr>
        <w:t xml:space="preserve">) </w:t>
      </w:r>
      <w:r w:rsidR="0047364B" w:rsidRPr="00AD2A68">
        <w:rPr>
          <w:sz w:val="24"/>
          <w:szCs w:val="24"/>
        </w:rPr>
        <w:t>and</w:t>
      </w:r>
      <w:r w:rsidRPr="00AD2A68">
        <w:rPr>
          <w:sz w:val="24"/>
          <w:szCs w:val="24"/>
        </w:rPr>
        <w:t xml:space="preserve"> classification entropy. Individuals w</w:t>
      </w:r>
      <w:r w:rsidR="00111DA0" w:rsidRPr="00AD2A68">
        <w:rPr>
          <w:sz w:val="24"/>
          <w:szCs w:val="24"/>
        </w:rPr>
        <w:t>ere</w:t>
      </w:r>
      <w:r w:rsidRPr="00AD2A68">
        <w:rPr>
          <w:sz w:val="24"/>
          <w:szCs w:val="24"/>
        </w:rPr>
        <w:t xml:space="preserve"> allocated into</w:t>
      </w:r>
      <w:r w:rsidR="005602D0" w:rsidRPr="00AD2A68">
        <w:rPr>
          <w:sz w:val="24"/>
          <w:szCs w:val="24"/>
        </w:rPr>
        <w:t xml:space="preserve"> </w:t>
      </w:r>
      <w:r w:rsidRPr="00AD2A68">
        <w:rPr>
          <w:sz w:val="24"/>
          <w:szCs w:val="24"/>
        </w:rPr>
        <w:t xml:space="preserve">classes based on the largest probability (maximum </w:t>
      </w:r>
      <w:proofErr w:type="gramStart"/>
      <w:r w:rsidRPr="00AD2A68">
        <w:rPr>
          <w:sz w:val="24"/>
          <w:szCs w:val="24"/>
        </w:rPr>
        <w:t>a posteriori</w:t>
      </w:r>
      <w:proofErr w:type="gramEnd"/>
      <w:r w:rsidRPr="00AD2A68">
        <w:rPr>
          <w:sz w:val="24"/>
          <w:szCs w:val="24"/>
        </w:rPr>
        <w:t>, MAP).</w:t>
      </w:r>
      <w:r w:rsidR="005602D0" w:rsidRPr="00AD2A68">
        <w:rPr>
          <w:sz w:val="24"/>
          <w:szCs w:val="24"/>
        </w:rPr>
        <w:t xml:space="preserve"> </w:t>
      </w:r>
    </w:p>
    <w:p w14:paraId="2BF137F7" w14:textId="21B3662E" w:rsidR="00021332" w:rsidRDefault="00823CD2" w:rsidP="00DF022C">
      <w:pPr>
        <w:spacing w:line="480" w:lineRule="auto"/>
        <w:ind w:firstLine="720"/>
      </w:pPr>
      <w:r w:rsidRPr="00823CD2">
        <w:t xml:space="preserve">Once meaningful and reliable subtypes </w:t>
      </w:r>
      <w:r w:rsidR="00111DA0">
        <w:t>we</w:t>
      </w:r>
      <w:r w:rsidRPr="00823CD2">
        <w:t>re identified</w:t>
      </w:r>
      <w:r w:rsidR="00DF022C">
        <w:t xml:space="preserve"> based on symptom scales</w:t>
      </w:r>
      <w:r w:rsidRPr="00823CD2">
        <w:t>, we include</w:t>
      </w:r>
      <w:r w:rsidR="00111DA0">
        <w:t>d</w:t>
      </w:r>
      <w:r w:rsidRPr="00823CD2">
        <w:t xml:space="preserve"> </w:t>
      </w:r>
      <w:r w:rsidR="00B0382F">
        <w:t xml:space="preserve">predictors of latent classes </w:t>
      </w:r>
      <w:r w:rsidR="0073549F">
        <w:t>as auxiliary variables</w:t>
      </w:r>
      <w:r w:rsidRPr="00823CD2">
        <w:t xml:space="preserve"> in the </w:t>
      </w:r>
      <w:r w:rsidR="00CC2A7C">
        <w:t xml:space="preserve">mixture </w:t>
      </w:r>
      <w:r w:rsidRPr="00823CD2">
        <w:t>model</w:t>
      </w:r>
      <w:r w:rsidR="00DF022C">
        <w:t>s</w:t>
      </w:r>
      <w:r w:rsidR="0073549F">
        <w:t xml:space="preserve"> </w:t>
      </w:r>
      <w:r w:rsidR="0073549F">
        <w:lastRenderedPageBreak/>
        <w:t>(using a 3-step-approach</w:t>
      </w:r>
      <w:r w:rsidR="001A7F4A">
        <w:t xml:space="preserve"> </w:t>
      </w:r>
      <w:r w:rsidR="00F94914">
        <w:t>(</w:t>
      </w:r>
      <w:proofErr w:type="spellStart"/>
      <w:r w:rsidR="00311566">
        <w:fldChar w:fldCharType="begin"/>
      </w:r>
      <w:r w:rsidR="00311566">
        <w:instrText xml:space="preserve"> HYPERLINK "http://www.statmodel.com/download/webnotes/webnote15.pdf" </w:instrText>
      </w:r>
      <w:r w:rsidR="00311566">
        <w:fldChar w:fldCharType="separate"/>
      </w:r>
      <w:r w:rsidR="00F94914" w:rsidRPr="00F94914">
        <w:rPr>
          <w:rStyle w:val="Hyperlink"/>
          <w:color w:val="auto"/>
          <w:u w:val="none"/>
        </w:rPr>
        <w:t>Asp</w:t>
      </w:r>
      <w:r w:rsidR="00311566">
        <w:rPr>
          <w:rStyle w:val="Hyperlink"/>
          <w:color w:val="auto"/>
          <w:u w:val="none"/>
        </w:rPr>
        <w:fldChar w:fldCharType="end"/>
      </w:r>
      <w:hyperlink r:id="rId8" w:history="1">
        <w:r w:rsidR="00F94914" w:rsidRPr="00F94914">
          <w:rPr>
            <w:rStyle w:val="Hyperlink"/>
            <w:color w:val="auto"/>
            <w:u w:val="none"/>
          </w:rPr>
          <w:t>arouhov</w:t>
        </w:r>
        <w:proofErr w:type="spellEnd"/>
        <w:r w:rsidR="00F94914" w:rsidRPr="00F94914">
          <w:rPr>
            <w:rStyle w:val="Hyperlink"/>
            <w:color w:val="auto"/>
            <w:u w:val="none"/>
          </w:rPr>
          <w:t xml:space="preserve"> and </w:t>
        </w:r>
        <w:proofErr w:type="spellStart"/>
        <w:r w:rsidR="00F94914" w:rsidRPr="00F94914">
          <w:rPr>
            <w:rStyle w:val="Hyperlink"/>
            <w:color w:val="auto"/>
            <w:u w:val="none"/>
          </w:rPr>
          <w:t>Muthén</w:t>
        </w:r>
        <w:proofErr w:type="spellEnd"/>
        <w:r w:rsidR="00F94914" w:rsidRPr="00F94914">
          <w:rPr>
            <w:rStyle w:val="Hyperlink"/>
            <w:color w:val="auto"/>
            <w:u w:val="none"/>
          </w:rPr>
          <w:t>, 2014)</w:t>
        </w:r>
      </w:hyperlink>
      <w:r w:rsidR="0073549F">
        <w:t>)</w:t>
      </w:r>
      <w:r w:rsidRPr="00823CD2">
        <w:t xml:space="preserve"> to assess</w:t>
      </w:r>
      <w:r w:rsidR="005602D0">
        <w:t xml:space="preserve"> </w:t>
      </w:r>
      <w:r w:rsidR="000415AF">
        <w:t xml:space="preserve">the </w:t>
      </w:r>
      <w:r w:rsidRPr="00823CD2">
        <w:t xml:space="preserve">distribution and prevalence of comorbidities (and </w:t>
      </w:r>
      <w:r w:rsidR="00827BA9">
        <w:t>neuro</w:t>
      </w:r>
      <w:r w:rsidRPr="00823CD2">
        <w:t xml:space="preserve">cognitive </w:t>
      </w:r>
      <w:r w:rsidR="00DF022C">
        <w:t>functions</w:t>
      </w:r>
      <w:r w:rsidRPr="00823CD2">
        <w:t>) across subtypes</w:t>
      </w:r>
      <w:r w:rsidR="00DF022C">
        <w:t xml:space="preserve">. </w:t>
      </w:r>
      <w:r w:rsidR="00111DA0" w:rsidRPr="00A87D73">
        <w:t>W</w:t>
      </w:r>
      <w:r w:rsidRPr="00A87D73">
        <w:t>e</w:t>
      </w:r>
      <w:r w:rsidR="005602D0" w:rsidRPr="00A87D73">
        <w:t xml:space="preserve"> </w:t>
      </w:r>
      <w:r w:rsidRPr="00A87D73">
        <w:t>consider</w:t>
      </w:r>
      <w:r w:rsidR="00111DA0" w:rsidRPr="00A87D73">
        <w:t>ed</w:t>
      </w:r>
      <w:r w:rsidRPr="00A87D73">
        <w:t xml:space="preserve"> the following measures (disorders) as </w:t>
      </w:r>
      <w:r w:rsidR="00B0382F">
        <w:t>predictors of latent classes</w:t>
      </w:r>
      <w:r w:rsidR="00AD2A68">
        <w:t>:</w:t>
      </w:r>
      <w:r w:rsidR="000415AF" w:rsidRPr="00A87D73">
        <w:t xml:space="preserve"> </w:t>
      </w:r>
      <w:r w:rsidR="00CB3F23" w:rsidRPr="00CB3F23">
        <w:t xml:space="preserve">Emotion Regulation Questionnaire - Reappraisal and </w:t>
      </w:r>
      <w:r w:rsidR="00021332">
        <w:t>S</w:t>
      </w:r>
      <w:r w:rsidR="00CB3F23" w:rsidRPr="00CB3F23">
        <w:t>uppression subscales</w:t>
      </w:r>
      <w:r w:rsidR="00F94914">
        <w:t xml:space="preserve"> (Gross and John, 2003)</w:t>
      </w:r>
      <w:r w:rsidR="00CB3F23" w:rsidRPr="00CB3F23">
        <w:t>; Distress Tolerance Scale total score</w:t>
      </w:r>
      <w:r w:rsidR="00F94914" w:rsidRPr="00F94914">
        <w:t xml:space="preserve"> </w:t>
      </w:r>
      <w:r w:rsidR="00F94914">
        <w:t>(</w:t>
      </w:r>
      <w:r w:rsidR="00F94914" w:rsidRPr="000C6116">
        <w:t xml:space="preserve">Simons </w:t>
      </w:r>
      <w:r w:rsidR="00F94914">
        <w:t>and</w:t>
      </w:r>
      <w:r w:rsidR="00F94914" w:rsidRPr="000C6116">
        <w:t xml:space="preserve"> </w:t>
      </w:r>
      <w:proofErr w:type="spellStart"/>
      <w:r w:rsidR="00F94914" w:rsidRPr="000C6116">
        <w:t>Gaher</w:t>
      </w:r>
      <w:proofErr w:type="spellEnd"/>
      <w:r w:rsidR="00F94914">
        <w:t>, 2005)</w:t>
      </w:r>
      <w:r w:rsidR="00CB3F23" w:rsidRPr="00CB3F23">
        <w:t>;</w:t>
      </w:r>
      <w:r w:rsidR="00CB3F23">
        <w:t xml:space="preserve"> A</w:t>
      </w:r>
      <w:r w:rsidR="00CB3F23" w:rsidRPr="00CB3F23">
        <w:t xml:space="preserve">dult </w:t>
      </w:r>
      <w:r w:rsidR="00021332">
        <w:t>S</w:t>
      </w:r>
      <w:r w:rsidR="00CB3F23" w:rsidRPr="00CB3F23">
        <w:t xml:space="preserve">ensory </w:t>
      </w:r>
      <w:r w:rsidR="00021332">
        <w:t>P</w:t>
      </w:r>
      <w:r w:rsidR="00CB3F23" w:rsidRPr="00CB3F23">
        <w:t>rofile: Sensory Sensitivity subscale</w:t>
      </w:r>
      <w:r w:rsidR="00F94914">
        <w:t xml:space="preserve"> (Brown, 2002)</w:t>
      </w:r>
      <w:r w:rsidR="00CB3F23" w:rsidRPr="00CB3F23">
        <w:t>; age</w:t>
      </w:r>
      <w:r w:rsidR="00F84A76">
        <w:t>;</w:t>
      </w:r>
      <w:r w:rsidR="00CB3F23" w:rsidRPr="00CB3F23">
        <w:t xml:space="preserve"> </w:t>
      </w:r>
      <w:r w:rsidR="00CB3F23">
        <w:t xml:space="preserve">gender; </w:t>
      </w:r>
      <w:r w:rsidR="00F84A76">
        <w:t xml:space="preserve">duration of illness; </w:t>
      </w:r>
      <w:r w:rsidR="000415AF" w:rsidRPr="00A87D73">
        <w:t xml:space="preserve">presence of ADHD (threshold for probable </w:t>
      </w:r>
      <w:proofErr w:type="spellStart"/>
      <w:r w:rsidR="000415AF" w:rsidRPr="00A87D73">
        <w:t>caseness</w:t>
      </w:r>
      <w:proofErr w:type="spellEnd"/>
      <w:r w:rsidR="000415AF" w:rsidRPr="00A87D73">
        <w:t xml:space="preserve"> on the Adult ADHD Self-Report Scale Screener</w:t>
      </w:r>
      <w:r w:rsidR="00F94914">
        <w:t xml:space="preserve"> (Kessler et al., 2005))</w:t>
      </w:r>
      <w:r w:rsidR="000415AF" w:rsidRPr="00A87D73">
        <w:t xml:space="preserve">, presence of </w:t>
      </w:r>
      <w:r w:rsidR="00D875DB">
        <w:t>obsessive compulsive disorder (</w:t>
      </w:r>
      <w:r w:rsidR="000415AF" w:rsidRPr="00A87D73">
        <w:t>OCD</w:t>
      </w:r>
      <w:r w:rsidR="00D875DB">
        <w:t>)</w:t>
      </w:r>
      <w:r w:rsidR="000415AF" w:rsidRPr="00A87D73">
        <w:t xml:space="preserve"> (MINI diagnosis), family history of </w:t>
      </w:r>
      <w:r w:rsidR="00021332">
        <w:t xml:space="preserve">alcohol or </w:t>
      </w:r>
      <w:r w:rsidR="000415AF" w:rsidRPr="00A87D73">
        <w:t xml:space="preserve">substance use disorder, family history of OCD, </w:t>
      </w:r>
      <w:r w:rsidR="00D875DB">
        <w:t xml:space="preserve">psychosocial </w:t>
      </w:r>
      <w:r w:rsidR="00873861" w:rsidRPr="00A87D73">
        <w:t>disability (Sheehan Disability Scale</w:t>
      </w:r>
      <w:r w:rsidR="00C6583B">
        <w:t>)</w:t>
      </w:r>
      <w:r w:rsidR="00F94914" w:rsidRPr="00F94914">
        <w:t xml:space="preserve"> </w:t>
      </w:r>
      <w:r w:rsidR="00F94914">
        <w:t>(</w:t>
      </w:r>
      <w:r w:rsidR="00F94914" w:rsidRPr="00B77836">
        <w:t>Sheehan</w:t>
      </w:r>
      <w:r w:rsidR="00BD0FCA">
        <w:t xml:space="preserve"> et al.,</w:t>
      </w:r>
      <w:r w:rsidR="00F94914">
        <w:t xml:space="preserve">  1996)</w:t>
      </w:r>
      <w:r w:rsidR="00873861" w:rsidRPr="00A87D73">
        <w:t xml:space="preserve">, </w:t>
      </w:r>
      <w:r w:rsidRPr="00A87D73">
        <w:t>Short Mood and Feelings Questionnaire (</w:t>
      </w:r>
      <w:r w:rsidR="00873861" w:rsidRPr="00A87D73">
        <w:t xml:space="preserve">total scores, </w:t>
      </w:r>
      <w:r w:rsidRPr="00A87D73">
        <w:t>depression</w:t>
      </w:r>
      <w:r w:rsidR="00C6583B">
        <w:t>)</w:t>
      </w:r>
      <w:r w:rsidR="00F94914">
        <w:t xml:space="preserve"> (</w:t>
      </w:r>
      <w:proofErr w:type="spellStart"/>
      <w:r w:rsidR="00F94914">
        <w:t>Angold</w:t>
      </w:r>
      <w:proofErr w:type="spellEnd"/>
      <w:r w:rsidR="00F94914">
        <w:t xml:space="preserve"> et al., 1995)</w:t>
      </w:r>
      <w:r w:rsidRPr="00A87D73">
        <w:t xml:space="preserve">, </w:t>
      </w:r>
      <w:r w:rsidR="00873861" w:rsidRPr="00A87D73">
        <w:t>perfectionism (Frost perfectionism</w:t>
      </w:r>
      <w:r w:rsidR="00021332">
        <w:t xml:space="preserve"> scale total score</w:t>
      </w:r>
      <w:r w:rsidR="00CB3F23">
        <w:t>)</w:t>
      </w:r>
      <w:r w:rsidR="00F94914">
        <w:t xml:space="preserve"> (</w:t>
      </w:r>
      <w:r w:rsidR="00F94914" w:rsidRPr="00B77836">
        <w:t>Frost</w:t>
      </w:r>
      <w:r w:rsidR="00BD0FCA">
        <w:t xml:space="preserve"> et al.,</w:t>
      </w:r>
      <w:r w:rsidR="00F94914">
        <w:t xml:space="preserve"> 1990)</w:t>
      </w:r>
      <w:r w:rsidR="00C21554">
        <w:t xml:space="preserve">; </w:t>
      </w:r>
      <w:r w:rsidR="00873861" w:rsidRPr="00A87D73">
        <w:t>Barratt Impulsivity Scale (BIS-11, total score</w:t>
      </w:r>
      <w:r w:rsidR="00C6583B">
        <w:t>)</w:t>
      </w:r>
      <w:r w:rsidR="00F94914" w:rsidRPr="00F94914">
        <w:rPr>
          <w:shd w:val="clear" w:color="auto" w:fill="FFFFFF"/>
        </w:rPr>
        <w:t xml:space="preserve"> </w:t>
      </w:r>
      <w:r w:rsidR="00F94914">
        <w:rPr>
          <w:shd w:val="clear" w:color="auto" w:fill="FFFFFF"/>
        </w:rPr>
        <w:t>(</w:t>
      </w:r>
      <w:r w:rsidR="00F94914" w:rsidRPr="00B77836">
        <w:rPr>
          <w:shd w:val="clear" w:color="auto" w:fill="FFFFFF"/>
        </w:rPr>
        <w:t>Patton</w:t>
      </w:r>
      <w:r w:rsidR="00BD0FCA">
        <w:rPr>
          <w:shd w:val="clear" w:color="auto" w:fill="FFFFFF"/>
        </w:rPr>
        <w:t xml:space="preserve"> et al.,</w:t>
      </w:r>
      <w:r w:rsidR="00F94914">
        <w:rPr>
          <w:shd w:val="clear" w:color="auto" w:fill="FFFFFF"/>
        </w:rPr>
        <w:t xml:space="preserve"> 1995)</w:t>
      </w:r>
      <w:r w:rsidR="001A7F4A">
        <w:t>,</w:t>
      </w:r>
      <w:r w:rsidR="00873861" w:rsidRPr="00A87D73">
        <w:t xml:space="preserve"> extra-dimensional set-shifting errors (CANTAB IED)</w:t>
      </w:r>
      <w:r w:rsidR="00F94914" w:rsidRPr="00F94914">
        <w:t xml:space="preserve"> </w:t>
      </w:r>
      <w:r w:rsidR="00F94914">
        <w:t>(</w:t>
      </w:r>
      <w:r w:rsidR="00F94914" w:rsidRPr="00B77836">
        <w:t>Owen</w:t>
      </w:r>
      <w:r w:rsidR="00BD0FCA">
        <w:t xml:space="preserve"> et al.,</w:t>
      </w:r>
      <w:r w:rsidR="00216A50">
        <w:t xml:space="preserve"> 1991)</w:t>
      </w:r>
      <w:r w:rsidR="001A7F4A">
        <w:t>,</w:t>
      </w:r>
      <w:r w:rsidR="00873861" w:rsidRPr="00A87D73">
        <w:t xml:space="preserve"> and stop-signal reaction time</w:t>
      </w:r>
      <w:r w:rsidR="002C4B08">
        <w:t>s</w:t>
      </w:r>
      <w:r w:rsidR="00873861" w:rsidRPr="00A87D73">
        <w:t xml:space="preserve"> (CANTAB SS</w:t>
      </w:r>
      <w:r w:rsidR="00DF0D6B">
        <w:t>R</w:t>
      </w:r>
      <w:r w:rsidR="00873861" w:rsidRPr="00A87D73">
        <w:t>T)</w:t>
      </w:r>
      <w:r w:rsidR="00216A50">
        <w:t xml:space="preserve"> (Aron et al., 2007)</w:t>
      </w:r>
      <w:r w:rsidR="001A7F4A">
        <w:t>.</w:t>
      </w:r>
      <w:r w:rsidR="00873861" w:rsidRPr="00A87D73">
        <w:t xml:space="preserve"> </w:t>
      </w:r>
      <w:r w:rsidR="00090292" w:rsidRPr="00090292">
        <w:t>The above</w:t>
      </w:r>
      <w:r w:rsidR="008E6EB5">
        <w:t>-</w:t>
      </w:r>
      <w:r w:rsidR="00090292" w:rsidRPr="00090292">
        <w:t>mentioned family history assessments were made in first-degree relatives by the probands</w:t>
      </w:r>
      <w:r w:rsidR="00CB3F23">
        <w:t>; r</w:t>
      </w:r>
      <w:r w:rsidR="00090292" w:rsidRPr="00090292">
        <w:t xml:space="preserve">elatives were not interviewed. In </w:t>
      </w:r>
      <w:r w:rsidR="00CC6F99">
        <w:t>each</w:t>
      </w:r>
      <w:r w:rsidR="00090292" w:rsidRPr="00090292">
        <w:t xml:space="preserve"> case, </w:t>
      </w:r>
      <w:r w:rsidR="00CC6F99">
        <w:t>symptoms were differentiated from an actual diagnosis made by a treatment provider, and for purposes of this study, a diagnosis</w:t>
      </w:r>
      <w:r w:rsidR="00090292" w:rsidRPr="00090292">
        <w:t xml:space="preserve"> was only entered as positive if the family member had </w:t>
      </w:r>
      <w:r w:rsidR="00CC6F99">
        <w:t>been formally diagnosed</w:t>
      </w:r>
      <w:r w:rsidR="00CB3F23">
        <w:t>.</w:t>
      </w:r>
      <w:r w:rsidR="00873861" w:rsidRPr="00A87D73">
        <w:t xml:space="preserve"> </w:t>
      </w:r>
    </w:p>
    <w:p w14:paraId="7ED519DB" w14:textId="16F59155" w:rsidR="00823CD2" w:rsidRDefault="00823CD2" w:rsidP="00E93344">
      <w:pPr>
        <w:spacing w:line="480" w:lineRule="auto"/>
        <w:ind w:firstLine="720"/>
      </w:pPr>
      <w:r w:rsidRPr="002C4B08">
        <w:t>These</w:t>
      </w:r>
      <w:r w:rsidRPr="00823CD2">
        <w:t xml:space="preserve"> </w:t>
      </w:r>
      <w:r w:rsidR="00B0382F">
        <w:t xml:space="preserve">predictors </w:t>
      </w:r>
      <w:r w:rsidR="00873861">
        <w:t>of interest</w:t>
      </w:r>
      <w:r w:rsidRPr="00823CD2">
        <w:t xml:space="preserve"> w</w:t>
      </w:r>
      <w:r w:rsidR="00111DA0">
        <w:t>ere</w:t>
      </w:r>
      <w:r w:rsidRPr="00823CD2">
        <w:t xml:space="preserve"> added</w:t>
      </w:r>
      <w:r w:rsidR="005602D0">
        <w:t xml:space="preserve"> </w:t>
      </w:r>
      <w:r w:rsidR="00634AB1">
        <w:t>separately, one at a time</w:t>
      </w:r>
      <w:r w:rsidRPr="00823CD2">
        <w:t xml:space="preserve"> and </w:t>
      </w:r>
      <w:r w:rsidR="00581DCF">
        <w:t>the</w:t>
      </w:r>
      <w:r w:rsidRPr="00823CD2">
        <w:t xml:space="preserve"> corresponding p-values w</w:t>
      </w:r>
      <w:r w:rsidR="00111DA0">
        <w:t>ere</w:t>
      </w:r>
      <w:r w:rsidRPr="00823CD2">
        <w:t xml:space="preserve"> corrected for multiple testing using </w:t>
      </w:r>
      <w:r w:rsidR="009A661C">
        <w:t xml:space="preserve">the </w:t>
      </w:r>
      <w:r w:rsidRPr="00823CD2">
        <w:t>Holm-Bonfer</w:t>
      </w:r>
      <w:r w:rsidR="00873861">
        <w:t>r</w:t>
      </w:r>
      <w:r w:rsidRPr="00823CD2">
        <w:t>oni</w:t>
      </w:r>
      <w:r w:rsidR="005602D0">
        <w:t xml:space="preserve"> </w:t>
      </w:r>
      <w:r w:rsidRPr="00823CD2">
        <w:t xml:space="preserve">method. </w:t>
      </w:r>
      <w:r w:rsidR="0073549F">
        <w:t>Mixture modeling</w:t>
      </w:r>
      <w:r w:rsidR="0073549F" w:rsidRPr="00823CD2">
        <w:t xml:space="preserve"> </w:t>
      </w:r>
      <w:r w:rsidRPr="00823CD2">
        <w:t xml:space="preserve">(including models with </w:t>
      </w:r>
      <w:r w:rsidR="00B0382F">
        <w:t>predictors</w:t>
      </w:r>
      <w:r w:rsidRPr="00823CD2">
        <w:t>) w</w:t>
      </w:r>
      <w:r w:rsidR="00045323">
        <w:t>as</w:t>
      </w:r>
      <w:r w:rsidRPr="00823CD2">
        <w:t xml:space="preserve"> conducted using</w:t>
      </w:r>
      <w:r w:rsidR="0073549F">
        <w:t xml:space="preserve"> </w:t>
      </w:r>
      <w:proofErr w:type="spellStart"/>
      <w:r w:rsidRPr="00823CD2">
        <w:lastRenderedPageBreak/>
        <w:t>MPlus</w:t>
      </w:r>
      <w:proofErr w:type="spellEnd"/>
      <w:r w:rsidRPr="00823CD2">
        <w:t xml:space="preserve"> 8</w:t>
      </w:r>
      <w:r w:rsidR="00CC2A7C">
        <w:t>.4</w:t>
      </w:r>
      <w:r w:rsidR="001A7F4A">
        <w:t xml:space="preserve"> </w:t>
      </w:r>
      <w:r w:rsidR="00216A50">
        <w:t>(</w:t>
      </w:r>
      <w:proofErr w:type="spellStart"/>
      <w:r w:rsidR="00216A50" w:rsidRPr="00B77836">
        <w:t>Muthén</w:t>
      </w:r>
      <w:proofErr w:type="spellEnd"/>
      <w:r w:rsidR="00216A50" w:rsidRPr="00B77836">
        <w:t xml:space="preserve"> </w:t>
      </w:r>
      <w:r w:rsidR="00216A50">
        <w:t>and</w:t>
      </w:r>
      <w:r w:rsidR="00216A50" w:rsidRPr="00B77836">
        <w:t xml:space="preserve"> </w:t>
      </w:r>
      <w:proofErr w:type="spellStart"/>
      <w:r w:rsidR="00216A50" w:rsidRPr="00B77836">
        <w:t>Muthén</w:t>
      </w:r>
      <w:proofErr w:type="spellEnd"/>
      <w:r w:rsidR="00216A50">
        <w:t>, 2016)</w:t>
      </w:r>
      <w:r w:rsidR="001A7F4A">
        <w:t>,</w:t>
      </w:r>
      <w:r w:rsidR="005602D0">
        <w:t xml:space="preserve"> </w:t>
      </w:r>
      <w:r w:rsidR="009A661C">
        <w:t xml:space="preserve">and </w:t>
      </w:r>
      <w:r w:rsidRPr="00823CD2">
        <w:t>data w</w:t>
      </w:r>
      <w:r w:rsidR="00873861">
        <w:t>ere</w:t>
      </w:r>
      <w:r w:rsidRPr="00823CD2">
        <w:t xml:space="preserve"> further processed in R</w:t>
      </w:r>
      <w:r w:rsidR="00216A50">
        <w:t xml:space="preserve"> (R Core Team, 2002)</w:t>
      </w:r>
      <w:r w:rsidR="001A7F4A">
        <w:t>.</w:t>
      </w:r>
    </w:p>
    <w:p w14:paraId="21030982" w14:textId="77777777" w:rsidR="00DB45F0" w:rsidRDefault="00DB45F0" w:rsidP="00FF380C">
      <w:pPr>
        <w:spacing w:line="480" w:lineRule="auto"/>
        <w:rPr>
          <w:b/>
          <w:i/>
        </w:rPr>
      </w:pPr>
    </w:p>
    <w:p w14:paraId="15744F8A" w14:textId="1204B9B6" w:rsidR="00B53B8D" w:rsidRDefault="00B53B8D" w:rsidP="002029F4">
      <w:pPr>
        <w:spacing w:line="480" w:lineRule="auto"/>
        <w:rPr>
          <w:b/>
        </w:rPr>
      </w:pPr>
      <w:r>
        <w:rPr>
          <w:b/>
        </w:rPr>
        <w:t>Results</w:t>
      </w:r>
    </w:p>
    <w:p w14:paraId="6A8DC0C4" w14:textId="77777777" w:rsidR="00FC2B8E" w:rsidRPr="00FC2B8E" w:rsidRDefault="00FC2B8E" w:rsidP="002029F4">
      <w:pPr>
        <w:spacing w:line="480" w:lineRule="auto"/>
        <w:rPr>
          <w:b/>
          <w:i/>
        </w:rPr>
      </w:pPr>
      <w:r w:rsidRPr="00FC2B8E">
        <w:rPr>
          <w:b/>
          <w:i/>
        </w:rPr>
        <w:t>Sample Characteristics</w:t>
      </w:r>
    </w:p>
    <w:p w14:paraId="2CECDFEC" w14:textId="748D7BCC" w:rsidR="00B24036" w:rsidRPr="00242317" w:rsidRDefault="00B24036" w:rsidP="003D2983">
      <w:pPr>
        <w:spacing w:line="480" w:lineRule="auto"/>
        <w:ind w:firstLine="720"/>
      </w:pPr>
      <w:r w:rsidRPr="00242317">
        <w:t>The final sampl</w:t>
      </w:r>
      <w:r>
        <w:t>e included 279 participants (221 with a BFRB and 58 healthy controls), of which 100 had TTM</w:t>
      </w:r>
      <w:r w:rsidR="003D2983">
        <w:t xml:space="preserve"> (83.0% female; mean age=</w:t>
      </w:r>
      <w:r w:rsidR="003D2983" w:rsidRPr="00B24036">
        <w:t xml:space="preserve">30.8 </w:t>
      </w:r>
      <w:r w:rsidR="003D2983" w:rsidRPr="00B24036">
        <w:rPr>
          <w:u w:val="single"/>
        </w:rPr>
        <w:t>+</w:t>
      </w:r>
      <w:r w:rsidR="003D2983" w:rsidRPr="00B24036">
        <w:t xml:space="preserve"> 9.7</w:t>
      </w:r>
      <w:r w:rsidR="003D2983">
        <w:t>)</w:t>
      </w:r>
      <w:r>
        <w:t>, 81 had SPD</w:t>
      </w:r>
      <w:r w:rsidR="003D2983">
        <w:t xml:space="preserve"> (88.9% female; mean age=</w:t>
      </w:r>
      <w:r w:rsidR="003D2983" w:rsidRPr="00B24036">
        <w:t xml:space="preserve">32.4 </w:t>
      </w:r>
      <w:r w:rsidR="003D2983" w:rsidRPr="00B24036">
        <w:rPr>
          <w:u w:val="single"/>
        </w:rPr>
        <w:t>+</w:t>
      </w:r>
      <w:r w:rsidR="003D2983" w:rsidRPr="00B24036">
        <w:t xml:space="preserve"> 11.3</w:t>
      </w:r>
      <w:r w:rsidR="003D2983">
        <w:t>)</w:t>
      </w:r>
      <w:r>
        <w:t>, and 40</w:t>
      </w:r>
      <w:r w:rsidRPr="00242317">
        <w:t xml:space="preserve"> had both TTM and SPD</w:t>
      </w:r>
      <w:r w:rsidR="0036177A">
        <w:t xml:space="preserve"> </w:t>
      </w:r>
      <w:r w:rsidR="003D2983">
        <w:t>(87.5% female; mean age=27.0</w:t>
      </w:r>
      <w:r w:rsidR="003D2983" w:rsidRPr="00B24036">
        <w:rPr>
          <w:u w:val="single"/>
        </w:rPr>
        <w:t>+</w:t>
      </w:r>
      <w:r w:rsidR="003D2983">
        <w:t xml:space="preserve"> 8.1)</w:t>
      </w:r>
      <w:r w:rsidR="0036177A">
        <w:t>(i.e. met full DSM-5 diagnostic criteria for both disorders)</w:t>
      </w:r>
      <w:r w:rsidRPr="00242317">
        <w:t xml:space="preserve">.  </w:t>
      </w:r>
      <w:r>
        <w:t>Of the 58</w:t>
      </w:r>
      <w:r w:rsidRPr="00242317">
        <w:t xml:space="preserve"> healthy</w:t>
      </w:r>
      <w:r>
        <w:t xml:space="preserve"> controls, 45 (77.6</w:t>
      </w:r>
      <w:r w:rsidRPr="00242317">
        <w:t>%) wer</w:t>
      </w:r>
      <w:r>
        <w:t>e female and the mean age was 29.2 ± 11.2 years.</w:t>
      </w:r>
      <w:r w:rsidR="00FB27A2">
        <w:t xml:space="preserve">  Demographic data of those participants with BFRBs at each site is presented in Table 1.</w:t>
      </w:r>
    </w:p>
    <w:p w14:paraId="51DA0047" w14:textId="2B2FD22D" w:rsidR="00931E15" w:rsidRDefault="00931E15" w:rsidP="00FC2B8E">
      <w:pPr>
        <w:spacing w:line="480" w:lineRule="auto"/>
        <w:rPr>
          <w:b/>
          <w:i/>
        </w:rPr>
      </w:pPr>
    </w:p>
    <w:p w14:paraId="649ECFE7" w14:textId="353D90CC" w:rsidR="00FB27A2" w:rsidRPr="00FB27A2" w:rsidRDefault="00FB27A2" w:rsidP="00FC2B8E">
      <w:pPr>
        <w:spacing w:line="480" w:lineRule="auto"/>
      </w:pPr>
      <w:r>
        <w:tab/>
      </w:r>
      <w:r>
        <w:tab/>
      </w:r>
      <w:r>
        <w:tab/>
      </w:r>
      <w:r>
        <w:tab/>
        <w:t>--- Insert Table 1 here ---</w:t>
      </w:r>
    </w:p>
    <w:p w14:paraId="2702C5F4" w14:textId="77777777" w:rsidR="00FB27A2" w:rsidRDefault="00FB27A2" w:rsidP="00FC2B8E">
      <w:pPr>
        <w:spacing w:line="480" w:lineRule="auto"/>
        <w:rPr>
          <w:b/>
          <w:i/>
        </w:rPr>
      </w:pPr>
    </w:p>
    <w:p w14:paraId="1AB26533" w14:textId="51E17889" w:rsidR="00FC2B8E" w:rsidRPr="00FC2B8E" w:rsidRDefault="00100674" w:rsidP="00FC2B8E">
      <w:pPr>
        <w:spacing w:line="480" w:lineRule="auto"/>
        <w:rPr>
          <w:b/>
          <w:i/>
        </w:rPr>
      </w:pPr>
      <w:r>
        <w:rPr>
          <w:b/>
          <w:i/>
        </w:rPr>
        <w:t xml:space="preserve">Identification of subtypes </w:t>
      </w:r>
    </w:p>
    <w:p w14:paraId="6FD64B30" w14:textId="02F6CF68" w:rsidR="00B53B8D" w:rsidRPr="007C18C8" w:rsidRDefault="00C215FD" w:rsidP="007C18C8">
      <w:pPr>
        <w:autoSpaceDE w:val="0"/>
        <w:autoSpaceDN w:val="0"/>
        <w:adjustRightInd w:val="0"/>
        <w:spacing w:line="480" w:lineRule="auto"/>
        <w:ind w:firstLine="720"/>
      </w:pPr>
      <w:r>
        <w:t xml:space="preserve">Fit parameters for the models from </w:t>
      </w:r>
      <w:r w:rsidR="00100674">
        <w:t xml:space="preserve">mixture models </w:t>
      </w:r>
      <w:r>
        <w:t xml:space="preserve">are outlined in Table </w:t>
      </w:r>
      <w:r w:rsidR="00FB27A2">
        <w:t>2</w:t>
      </w:r>
      <w:r w:rsidR="007C18C8">
        <w:t xml:space="preserve">a and </w:t>
      </w:r>
      <w:r w:rsidR="00FB27A2">
        <w:t>2</w:t>
      </w:r>
      <w:r w:rsidR="007C18C8">
        <w:t>b</w:t>
      </w:r>
      <w:r>
        <w:t xml:space="preserve"> (for additional statistical details see Supplement). </w:t>
      </w:r>
      <w:r w:rsidR="007C18C8">
        <w:t xml:space="preserve">For the </w:t>
      </w:r>
      <w:r w:rsidR="00021332">
        <w:t>TTM</w:t>
      </w:r>
      <w:r w:rsidR="007C18C8">
        <w:t xml:space="preserve"> </w:t>
      </w:r>
      <w:r w:rsidR="008853AB">
        <w:t>subtype analysis,</w:t>
      </w:r>
      <w:r w:rsidR="007C18C8">
        <w:t xml:space="preserve"> t</w:t>
      </w:r>
      <w:r w:rsidR="007C5024" w:rsidRPr="00C900FC">
        <w:t xml:space="preserve">he BIC </w:t>
      </w:r>
      <w:r w:rsidR="009B6784">
        <w:t>data</w:t>
      </w:r>
      <w:r w:rsidR="007C5024" w:rsidRPr="00C900FC">
        <w:t xml:space="preserve"> </w:t>
      </w:r>
      <w:r w:rsidR="009B6784">
        <w:t>suggest</w:t>
      </w:r>
      <w:r>
        <w:t>ed</w:t>
      </w:r>
      <w:r w:rsidR="007C5024" w:rsidRPr="00C900FC">
        <w:t xml:space="preserve"> that </w:t>
      </w:r>
      <w:r w:rsidR="009B6784">
        <w:t xml:space="preserve">a </w:t>
      </w:r>
      <w:r w:rsidR="007C18C8">
        <w:t>4</w:t>
      </w:r>
      <w:r w:rsidR="007C5024" w:rsidRPr="00C900FC">
        <w:t xml:space="preserve">-class </w:t>
      </w:r>
      <w:r w:rsidR="009B6784">
        <w:t xml:space="preserve">model </w:t>
      </w:r>
      <w:r>
        <w:t>was</w:t>
      </w:r>
      <w:r w:rsidR="009B6784">
        <w:t xml:space="preserve"> the</w:t>
      </w:r>
      <w:r w:rsidR="007C5024" w:rsidRPr="00C900FC">
        <w:t xml:space="preserve"> best fitting </w:t>
      </w:r>
      <w:r>
        <w:t xml:space="preserve">model statistically. </w:t>
      </w:r>
      <w:r w:rsidRPr="00C900FC">
        <w:t xml:space="preserve">Entropy of the final </w:t>
      </w:r>
      <w:r w:rsidR="007C18C8">
        <w:t>4</w:t>
      </w:r>
      <w:r w:rsidRPr="00C900FC">
        <w:t xml:space="preserve">-class model </w:t>
      </w:r>
      <w:r>
        <w:t>wa</w:t>
      </w:r>
      <w:r w:rsidRPr="00C900FC">
        <w:t>s 0.</w:t>
      </w:r>
      <w:r w:rsidR="00100674" w:rsidRPr="00C900FC">
        <w:t>9</w:t>
      </w:r>
      <w:r w:rsidR="00EE4260">
        <w:t>8</w:t>
      </w:r>
      <w:r>
        <w:t xml:space="preserve">, indicating excellent </w:t>
      </w:r>
      <w:r w:rsidR="00100674">
        <w:t xml:space="preserve">class separation </w:t>
      </w:r>
      <w:r w:rsidR="004A52BB">
        <w:t>(e</w:t>
      </w:r>
      <w:r w:rsidR="007C5024" w:rsidRPr="00C900FC">
        <w:t>ntropy</w:t>
      </w:r>
      <w:r>
        <w:t xml:space="preserve"> is </w:t>
      </w:r>
      <w:r w:rsidR="007C5024" w:rsidRPr="00C900FC">
        <w:t>a measure of reliability of classification and indication of separation of classes</w:t>
      </w:r>
      <w:r>
        <w:t>, and ranges from 0-1, with h</w:t>
      </w:r>
      <w:r w:rsidR="007C5024" w:rsidRPr="00C900FC">
        <w:t>igher values indicat</w:t>
      </w:r>
      <w:r>
        <w:t>ing better class separation and more</w:t>
      </w:r>
      <w:r w:rsidR="007C5024" w:rsidRPr="00C900FC">
        <w:t xml:space="preserve"> reliable classification of individuals into corresponding class</w:t>
      </w:r>
      <w:r>
        <w:t>es</w:t>
      </w:r>
      <w:r w:rsidR="004A52BB">
        <w:t>)</w:t>
      </w:r>
      <w:r>
        <w:t xml:space="preserve">. </w:t>
      </w:r>
      <w:r w:rsidR="007C18C8" w:rsidRPr="007C18C8">
        <w:t xml:space="preserve">For the </w:t>
      </w:r>
      <w:r w:rsidR="00021332">
        <w:t>SPD</w:t>
      </w:r>
      <w:r w:rsidR="007C18C8" w:rsidRPr="007C18C8">
        <w:t xml:space="preserve"> </w:t>
      </w:r>
      <w:r w:rsidR="008853AB">
        <w:t>subtype analysis</w:t>
      </w:r>
      <w:r w:rsidR="000433EE">
        <w:t>,</w:t>
      </w:r>
      <w:r w:rsidR="007C18C8" w:rsidRPr="007C18C8">
        <w:t xml:space="preserve"> </w:t>
      </w:r>
      <w:r w:rsidR="007C18C8" w:rsidRPr="007C18C8">
        <w:lastRenderedPageBreak/>
        <w:t xml:space="preserve">the BIC data suggested that a </w:t>
      </w:r>
      <w:r w:rsidR="007C18C8">
        <w:t>3</w:t>
      </w:r>
      <w:r w:rsidR="007C18C8" w:rsidRPr="007C18C8">
        <w:t xml:space="preserve">-class model was the best fitting model statistically. Entropy of the final </w:t>
      </w:r>
      <w:r w:rsidR="000433EE">
        <w:t>3</w:t>
      </w:r>
      <w:r w:rsidR="007C18C8" w:rsidRPr="007C18C8">
        <w:t>-class model was 0.</w:t>
      </w:r>
      <w:r w:rsidR="00100674" w:rsidRPr="007C18C8">
        <w:t>9</w:t>
      </w:r>
      <w:r w:rsidR="00100674">
        <w:t>9</w:t>
      </w:r>
      <w:r w:rsidR="007C18C8" w:rsidRPr="007C18C8">
        <w:t xml:space="preserve">, indicating excellent </w:t>
      </w:r>
      <w:r w:rsidR="00100674">
        <w:t>class separation</w:t>
      </w:r>
      <w:r w:rsidR="007C18C8">
        <w:t>.</w:t>
      </w:r>
      <w:r w:rsidR="007C18C8" w:rsidRPr="007C18C8">
        <w:t xml:space="preserve"> </w:t>
      </w:r>
    </w:p>
    <w:p w14:paraId="6757644F" w14:textId="515F6D3E" w:rsidR="00C900FC" w:rsidRDefault="00C900FC" w:rsidP="00C900FC">
      <w:pPr>
        <w:autoSpaceDE w:val="0"/>
        <w:autoSpaceDN w:val="0"/>
        <w:adjustRightInd w:val="0"/>
        <w:spacing w:line="480" w:lineRule="auto"/>
        <w:ind w:firstLine="720"/>
      </w:pPr>
    </w:p>
    <w:p w14:paraId="54EEC634" w14:textId="44F97586" w:rsidR="008B5954" w:rsidRDefault="008B5954" w:rsidP="00C900FC">
      <w:pPr>
        <w:autoSpaceDE w:val="0"/>
        <w:autoSpaceDN w:val="0"/>
        <w:adjustRightInd w:val="0"/>
        <w:spacing w:line="480" w:lineRule="auto"/>
        <w:ind w:firstLine="720"/>
      </w:pPr>
      <w:r>
        <w:tab/>
      </w:r>
      <w:r>
        <w:tab/>
      </w:r>
      <w:r>
        <w:tab/>
        <w:t xml:space="preserve">--- Insert Table </w:t>
      </w:r>
      <w:r w:rsidR="00FB27A2">
        <w:t>2</w:t>
      </w:r>
      <w:r>
        <w:t xml:space="preserve"> here ---</w:t>
      </w:r>
    </w:p>
    <w:p w14:paraId="1B635537" w14:textId="77777777" w:rsidR="008B5954" w:rsidRDefault="008B5954" w:rsidP="00C900FC">
      <w:pPr>
        <w:autoSpaceDE w:val="0"/>
        <w:autoSpaceDN w:val="0"/>
        <w:adjustRightInd w:val="0"/>
        <w:spacing w:line="480" w:lineRule="auto"/>
        <w:ind w:firstLine="720"/>
      </w:pPr>
    </w:p>
    <w:p w14:paraId="6B90B3A7" w14:textId="77777777" w:rsidR="00237FF9" w:rsidRDefault="00237FF9" w:rsidP="00237FF9">
      <w:pPr>
        <w:autoSpaceDE w:val="0"/>
        <w:autoSpaceDN w:val="0"/>
        <w:adjustRightInd w:val="0"/>
        <w:spacing w:line="480" w:lineRule="auto"/>
        <w:ind w:firstLine="720"/>
      </w:pPr>
    </w:p>
    <w:p w14:paraId="40FD291A" w14:textId="3C04DB88" w:rsidR="00237FF9" w:rsidRDefault="00237FF9" w:rsidP="00237FF9">
      <w:pPr>
        <w:autoSpaceDE w:val="0"/>
        <w:autoSpaceDN w:val="0"/>
        <w:adjustRightInd w:val="0"/>
        <w:spacing w:line="480" w:lineRule="auto"/>
        <w:ind w:firstLine="720"/>
      </w:pPr>
      <w:r>
        <w:t>Figures 1 and 2 show the profiles of the identified classes.  In terms of TTM, Class 1</w:t>
      </w:r>
      <w:r w:rsidR="006A75BE">
        <w:t xml:space="preserve"> (n=121)</w:t>
      </w:r>
      <w:r w:rsidR="00B923B8">
        <w:t xml:space="preserve"> </w:t>
      </w:r>
      <w:r>
        <w:t xml:space="preserve">had no TTM cases, and was defined as the </w:t>
      </w:r>
      <w:r w:rsidR="008853AB">
        <w:t>TTM-absent</w:t>
      </w:r>
      <w:r>
        <w:t xml:space="preserve"> group.  There were essentially 3 latent subtypes of TTM, which we refer to as Subtypes 1, 2, and 3. Subtype 1 </w:t>
      </w:r>
      <w:r w:rsidR="006A75BE">
        <w:t xml:space="preserve">(n=27) </w:t>
      </w:r>
      <w:r>
        <w:t>is characterized by the following: highly focused pulling, but low frequency and intensity of urges to pull, and lower frequency of pulling behavior. Subtype 2</w:t>
      </w:r>
      <w:r w:rsidR="006A75BE">
        <w:t xml:space="preserve"> (n=81)</w:t>
      </w:r>
      <w:r>
        <w:t xml:space="preserve"> is characterized by automatic pulling with fairly low urges to pull </w:t>
      </w:r>
      <w:r w:rsidR="003731ED">
        <w:t>but</w:t>
      </w:r>
      <w:r>
        <w:t xml:space="preserve"> </w:t>
      </w:r>
      <w:r w:rsidR="003731ED">
        <w:t xml:space="preserve">report </w:t>
      </w:r>
      <w:r>
        <w:t>pulling due to emotional triggers. The unique characteristics of Subtype 3</w:t>
      </w:r>
      <w:r w:rsidR="006A75BE">
        <w:t xml:space="preserve"> (n=50)</w:t>
      </w:r>
      <w:r>
        <w:t xml:space="preserve"> are that they pull largely to control unpleasant feelings and feel generally unable to resist their pulling.</w:t>
      </w:r>
    </w:p>
    <w:p w14:paraId="4B1EA81B" w14:textId="46325D70" w:rsidR="00237FF9" w:rsidRDefault="00237FF9" w:rsidP="00237FF9">
      <w:pPr>
        <w:autoSpaceDE w:val="0"/>
        <w:autoSpaceDN w:val="0"/>
        <w:adjustRightInd w:val="0"/>
        <w:spacing w:line="480" w:lineRule="auto"/>
        <w:ind w:firstLine="720"/>
      </w:pPr>
      <w:r w:rsidRPr="00714424">
        <w:t xml:space="preserve">In terms of </w:t>
      </w:r>
      <w:r>
        <w:t>SPD</w:t>
      </w:r>
      <w:r w:rsidRPr="00714424">
        <w:t xml:space="preserve">, Class </w:t>
      </w:r>
      <w:r>
        <w:t>1</w:t>
      </w:r>
      <w:r w:rsidR="006A75BE">
        <w:t xml:space="preserve"> (n=115)</w:t>
      </w:r>
      <w:r w:rsidRPr="00714424">
        <w:t xml:space="preserve"> </w:t>
      </w:r>
      <w:r>
        <w:t xml:space="preserve">had no SPD cases, and was defined as the </w:t>
      </w:r>
      <w:r w:rsidR="008853AB">
        <w:t>SPD-absent</w:t>
      </w:r>
      <w:r>
        <w:t xml:space="preserve"> group.  </w:t>
      </w:r>
      <w:r w:rsidRPr="00714424">
        <w:t xml:space="preserve">There were essentially </w:t>
      </w:r>
      <w:r>
        <w:t>2</w:t>
      </w:r>
      <w:r w:rsidRPr="00714424">
        <w:t xml:space="preserve"> latent subtypes of </w:t>
      </w:r>
      <w:r>
        <w:t>SPD</w:t>
      </w:r>
      <w:r w:rsidRPr="00714424">
        <w:t xml:space="preserve">, which we refer to as </w:t>
      </w:r>
      <w:r>
        <w:t>Subtypes</w:t>
      </w:r>
      <w:r w:rsidRPr="00714424">
        <w:t xml:space="preserve"> </w:t>
      </w:r>
      <w:r>
        <w:t>1 and 2</w:t>
      </w:r>
      <w:r w:rsidRPr="00714424">
        <w:t>.</w:t>
      </w:r>
      <w:r>
        <w:t xml:space="preserve">  Subtype 1</w:t>
      </w:r>
      <w:r w:rsidR="006A75BE">
        <w:t xml:space="preserve"> (n=112)</w:t>
      </w:r>
      <w:r>
        <w:t xml:space="preserve"> is characterized by strong and frequent urges to pick, picking both from negative emotions as well as automatic picking, and reporting little control. Subtype 2</w:t>
      </w:r>
      <w:r w:rsidR="006A75BE">
        <w:t xml:space="preserve"> (n=52)</w:t>
      </w:r>
      <w:r>
        <w:t xml:space="preserve"> </w:t>
      </w:r>
      <w:r w:rsidR="001878AF">
        <w:t xml:space="preserve">comprises a group of people with milder SPD symptoms </w:t>
      </w:r>
      <w:r>
        <w:t>as they report low urges to pick, not picking due to emotional issues, spending less time picking, and reporting little distress or impact from the picking.</w:t>
      </w:r>
    </w:p>
    <w:p w14:paraId="699F1215" w14:textId="3E1012BE" w:rsidR="00480BD3" w:rsidRDefault="00480BD3" w:rsidP="00C900FC">
      <w:pPr>
        <w:autoSpaceDE w:val="0"/>
        <w:autoSpaceDN w:val="0"/>
        <w:adjustRightInd w:val="0"/>
        <w:spacing w:line="480" w:lineRule="auto"/>
        <w:ind w:firstLine="720"/>
      </w:pPr>
    </w:p>
    <w:p w14:paraId="221F5785" w14:textId="64316EDC" w:rsidR="00480BD3" w:rsidRDefault="004B6DA1" w:rsidP="00BA4A8C">
      <w:pPr>
        <w:autoSpaceDE w:val="0"/>
        <w:autoSpaceDN w:val="0"/>
        <w:adjustRightInd w:val="0"/>
        <w:spacing w:line="480" w:lineRule="auto"/>
        <w:ind w:firstLine="720"/>
        <w:rPr>
          <w:noProof/>
        </w:rPr>
      </w:pPr>
      <w:r>
        <w:lastRenderedPageBreak/>
        <w:tab/>
      </w:r>
      <w:r>
        <w:tab/>
      </w:r>
      <w:r>
        <w:tab/>
      </w:r>
      <w:r w:rsidR="003D2983">
        <w:t>-</w:t>
      </w:r>
      <w:r w:rsidR="00480BD3">
        <w:rPr>
          <w:noProof/>
        </w:rPr>
        <w:t>-Insert Figure</w:t>
      </w:r>
      <w:r w:rsidR="00714424">
        <w:rPr>
          <w:noProof/>
        </w:rPr>
        <w:t>s</w:t>
      </w:r>
      <w:r w:rsidR="00480BD3">
        <w:rPr>
          <w:noProof/>
        </w:rPr>
        <w:t xml:space="preserve"> 1</w:t>
      </w:r>
      <w:r w:rsidR="00714424">
        <w:rPr>
          <w:noProof/>
        </w:rPr>
        <w:t xml:space="preserve"> and 2</w:t>
      </w:r>
      <w:r w:rsidR="00480BD3">
        <w:rPr>
          <w:noProof/>
        </w:rPr>
        <w:t xml:space="preserve"> here--</w:t>
      </w:r>
    </w:p>
    <w:p w14:paraId="276D6029" w14:textId="77777777" w:rsidR="00480BD3" w:rsidRPr="00A87D73" w:rsidRDefault="00480BD3" w:rsidP="00CB19D9"/>
    <w:p w14:paraId="36F7785B" w14:textId="0127265C" w:rsidR="00021DB0" w:rsidRPr="00FC2B8E" w:rsidRDefault="00021DB0" w:rsidP="00B402E4">
      <w:pPr>
        <w:spacing w:line="480" w:lineRule="auto"/>
        <w:rPr>
          <w:b/>
          <w:i/>
        </w:rPr>
      </w:pPr>
      <w:r>
        <w:rPr>
          <w:b/>
          <w:i/>
        </w:rPr>
        <w:t xml:space="preserve">Differences between the </w:t>
      </w:r>
      <w:r w:rsidR="009439B7">
        <w:rPr>
          <w:b/>
          <w:i/>
        </w:rPr>
        <w:t>latent class</w:t>
      </w:r>
      <w:r>
        <w:rPr>
          <w:b/>
          <w:i/>
        </w:rPr>
        <w:t xml:space="preserve"> </w:t>
      </w:r>
      <w:r w:rsidR="00AF0398">
        <w:rPr>
          <w:b/>
          <w:i/>
        </w:rPr>
        <w:t>subtypes</w:t>
      </w:r>
      <w:r>
        <w:rPr>
          <w:b/>
          <w:i/>
        </w:rPr>
        <w:t xml:space="preserve"> on variables of interest</w:t>
      </w:r>
    </w:p>
    <w:p w14:paraId="58A1D302" w14:textId="02625AA4" w:rsidR="009B6784" w:rsidRDefault="00B402E4" w:rsidP="00B402E4">
      <w:pPr>
        <w:spacing w:line="480" w:lineRule="auto"/>
        <w:ind w:firstLine="720"/>
      </w:pPr>
      <w:r>
        <w:t xml:space="preserve">Each latent </w:t>
      </w:r>
      <w:r w:rsidR="00AF0398">
        <w:t>subtype</w:t>
      </w:r>
      <w:r>
        <w:t xml:space="preserve"> </w:t>
      </w:r>
      <w:r w:rsidR="00C641A4">
        <w:t xml:space="preserve">of TTM </w:t>
      </w:r>
      <w:r>
        <w:t xml:space="preserve">was compared on a number of variables to characterize the </w:t>
      </w:r>
      <w:r w:rsidR="00AF0398">
        <w:t>subtypes</w:t>
      </w:r>
      <w:r>
        <w:t xml:space="preserve"> clinically (see </w:t>
      </w:r>
      <w:r w:rsidR="00021DB0">
        <w:t xml:space="preserve">Table </w:t>
      </w:r>
      <w:r w:rsidR="00FB27A2">
        <w:t>3</w:t>
      </w:r>
      <w:r>
        <w:t>).</w:t>
      </w:r>
      <w:r w:rsidR="00C641A4">
        <w:t xml:space="preserve"> This was also performed on each latent subtype of SPD (see Table </w:t>
      </w:r>
      <w:r w:rsidR="00FB27A2">
        <w:t>4</w:t>
      </w:r>
      <w:r w:rsidR="00C641A4">
        <w:t>).</w:t>
      </w:r>
    </w:p>
    <w:p w14:paraId="30B6EC9C" w14:textId="2A395B6D" w:rsidR="004104D8" w:rsidRDefault="004104D8" w:rsidP="00B402E4">
      <w:pPr>
        <w:spacing w:line="480" w:lineRule="auto"/>
        <w:ind w:firstLine="720"/>
      </w:pPr>
    </w:p>
    <w:p w14:paraId="757526AE" w14:textId="668B740D" w:rsidR="004104D8" w:rsidRDefault="004104D8" w:rsidP="00B402E4">
      <w:pPr>
        <w:spacing w:line="480" w:lineRule="auto"/>
        <w:ind w:firstLine="720"/>
      </w:pPr>
      <w:r>
        <w:tab/>
      </w:r>
      <w:r>
        <w:tab/>
        <w:t xml:space="preserve">---Insert Table </w:t>
      </w:r>
      <w:r w:rsidR="00FB27A2">
        <w:t>3</w:t>
      </w:r>
      <w:r>
        <w:t xml:space="preserve"> here---</w:t>
      </w:r>
    </w:p>
    <w:p w14:paraId="76ED0D9D" w14:textId="3D433329" w:rsidR="004104D8" w:rsidRDefault="004104D8" w:rsidP="00B402E4">
      <w:pPr>
        <w:spacing w:line="480" w:lineRule="auto"/>
        <w:ind w:firstLine="720"/>
      </w:pPr>
      <w:r>
        <w:tab/>
      </w:r>
      <w:r>
        <w:tab/>
        <w:t xml:space="preserve">---Insert Table </w:t>
      </w:r>
      <w:r w:rsidR="00FB27A2">
        <w:t>4</w:t>
      </w:r>
      <w:r>
        <w:t xml:space="preserve"> here---</w:t>
      </w:r>
    </w:p>
    <w:p w14:paraId="3EC99CAD" w14:textId="77777777" w:rsidR="004104D8" w:rsidRDefault="004104D8" w:rsidP="00B402E4">
      <w:pPr>
        <w:spacing w:line="480" w:lineRule="auto"/>
        <w:ind w:firstLine="720"/>
      </w:pPr>
    </w:p>
    <w:p w14:paraId="2EEEFEE4" w14:textId="757ED5A2" w:rsidR="009965CF" w:rsidRDefault="009965CF" w:rsidP="00B402E4">
      <w:pPr>
        <w:spacing w:line="480" w:lineRule="auto"/>
        <w:ind w:firstLine="720"/>
      </w:pPr>
      <w:r>
        <w:t>In terms of the TTM subtypes, Subtype 1 score</w:t>
      </w:r>
      <w:r w:rsidR="00230E3C">
        <w:t>d</w:t>
      </w:r>
      <w:r>
        <w:t xml:space="preserve"> highest in sensory sensitivity and </w:t>
      </w:r>
      <w:r w:rsidR="003A272B">
        <w:t>had</w:t>
      </w:r>
      <w:r>
        <w:t xml:space="preserve"> significantly elevated scores compared to controls on impairment and mood symptoms</w:t>
      </w:r>
      <w:r w:rsidR="008853AB">
        <w:t xml:space="preserve"> (Table </w:t>
      </w:r>
      <w:r w:rsidR="00FB27A2">
        <w:t>3</w:t>
      </w:r>
      <w:r w:rsidR="008853AB">
        <w:t>)</w:t>
      </w:r>
      <w:r>
        <w:t>.  Subtype 2 is notable for some of the same problems of Subtype 1 (mood and impairment issues) but also ADHD symptoms and general impulsivity as seen on the BIS-11.  Subtype 3 is perhaps the most striking latent class as it has the same symptoms of the other subtypes (but to a greater degree of impairment and mood symptoms) and additionally score</w:t>
      </w:r>
      <w:r w:rsidR="00230E3C">
        <w:t>d</w:t>
      </w:r>
      <w:r>
        <w:t xml:space="preserve"> high on perfectionism, </w:t>
      </w:r>
      <w:r w:rsidR="00F726EE">
        <w:t>had</w:t>
      </w:r>
      <w:r>
        <w:t xml:space="preserve"> less distress tolerance, and </w:t>
      </w:r>
      <w:r w:rsidR="00F726EE">
        <w:t xml:space="preserve">scored </w:t>
      </w:r>
      <w:r>
        <w:t>highest on impulsivity</w:t>
      </w:r>
      <w:r w:rsidR="008853AB">
        <w:t xml:space="preserve"> (Table </w:t>
      </w:r>
      <w:r w:rsidR="00FB27A2">
        <w:t>3</w:t>
      </w:r>
      <w:r w:rsidR="008853AB">
        <w:t>)</w:t>
      </w:r>
      <w:r>
        <w:t>.</w:t>
      </w:r>
    </w:p>
    <w:p w14:paraId="38A04620" w14:textId="5B291EF3" w:rsidR="009965CF" w:rsidRDefault="009965CF" w:rsidP="00B402E4">
      <w:pPr>
        <w:spacing w:line="480" w:lineRule="auto"/>
        <w:ind w:firstLine="720"/>
      </w:pPr>
      <w:r>
        <w:t xml:space="preserve">In terms of the SPD subtypes, </w:t>
      </w:r>
      <w:r w:rsidR="00F0635D">
        <w:t>Subtype 1 ha</w:t>
      </w:r>
      <w:r w:rsidR="00230E3C">
        <w:t>d</w:t>
      </w:r>
      <w:r w:rsidR="00F0635D">
        <w:t xml:space="preserve"> significantly more ADHD symptoms, co-occurring ADHD diagnoses, more impairment and more mood symptoms than the controls or the other latent class</w:t>
      </w:r>
      <w:r w:rsidR="008853AB">
        <w:t xml:space="preserve"> (Table </w:t>
      </w:r>
      <w:r w:rsidR="00FB27A2">
        <w:t>4</w:t>
      </w:r>
      <w:r w:rsidR="008853AB">
        <w:t>)</w:t>
      </w:r>
      <w:r w:rsidR="00F0635D">
        <w:t xml:space="preserve">. Unique to this subtype </w:t>
      </w:r>
      <w:r w:rsidR="00230E3C">
        <w:t>was</w:t>
      </w:r>
      <w:r w:rsidR="00F0635D">
        <w:t xml:space="preserve"> high levels of perfectionism</w:t>
      </w:r>
      <w:r w:rsidR="004219C2">
        <w:t xml:space="preserve"> and</w:t>
      </w:r>
      <w:r w:rsidR="00F0635D">
        <w:t xml:space="preserve"> </w:t>
      </w:r>
      <w:r w:rsidR="004219C2">
        <w:t>less distress tolerance</w:t>
      </w:r>
      <w:r w:rsidR="00F0635D">
        <w:t>. Subtype 2 report</w:t>
      </w:r>
      <w:r w:rsidR="00230E3C">
        <w:t>ed</w:t>
      </w:r>
      <w:r w:rsidR="00F0635D">
        <w:t xml:space="preserve"> some ADHD symptoms</w:t>
      </w:r>
      <w:r w:rsidR="003731ED">
        <w:t xml:space="preserve"> relative to controls</w:t>
      </w:r>
      <w:r w:rsidR="00F0635D">
        <w:t>, some problems with sensory sensitivity</w:t>
      </w:r>
      <w:r w:rsidR="003731ED">
        <w:t xml:space="preserve"> relative to </w:t>
      </w:r>
      <w:r w:rsidR="003731ED">
        <w:lastRenderedPageBreak/>
        <w:t>controls</w:t>
      </w:r>
      <w:r w:rsidR="00F0635D">
        <w:t>, poor distress tolerance, but impairment at the same level of controls and no problems with perfectionism.</w:t>
      </w:r>
    </w:p>
    <w:p w14:paraId="7C5B4D8A" w14:textId="2D0B67EB" w:rsidR="00CE5AEA" w:rsidRDefault="00CE5AEA" w:rsidP="00B402E4">
      <w:pPr>
        <w:spacing w:line="480" w:lineRule="auto"/>
      </w:pPr>
      <w:r>
        <w:tab/>
      </w:r>
    </w:p>
    <w:p w14:paraId="722C57E4" w14:textId="430BB032" w:rsidR="00CC067C" w:rsidRDefault="00CC067C" w:rsidP="00C805F9">
      <w:pPr>
        <w:spacing w:line="480" w:lineRule="auto"/>
        <w:rPr>
          <w:b/>
          <w:lang w:val="en-GB"/>
        </w:rPr>
      </w:pPr>
      <w:r w:rsidRPr="00CC067C">
        <w:rPr>
          <w:b/>
          <w:lang w:val="en-GB"/>
        </w:rPr>
        <w:t>Discussion</w:t>
      </w:r>
    </w:p>
    <w:p w14:paraId="693DF880" w14:textId="6425E4F5" w:rsidR="00350157" w:rsidRDefault="00350157" w:rsidP="00C805F9">
      <w:pPr>
        <w:spacing w:line="480" w:lineRule="auto"/>
        <w:ind w:firstLine="720"/>
        <w:rPr>
          <w:lang w:val="en-GB"/>
        </w:rPr>
      </w:pPr>
      <w:r w:rsidRPr="00350157">
        <w:rPr>
          <w:lang w:val="en-GB"/>
        </w:rPr>
        <w:t xml:space="preserve">To our knowledge, this is the largest </w:t>
      </w:r>
      <w:r w:rsidR="007B32B1">
        <w:rPr>
          <w:lang w:val="en-GB"/>
        </w:rPr>
        <w:t xml:space="preserve">phenotyping </w:t>
      </w:r>
      <w:r w:rsidRPr="00350157">
        <w:rPr>
          <w:lang w:val="en-GB"/>
        </w:rPr>
        <w:t xml:space="preserve">study of </w:t>
      </w:r>
      <w:r w:rsidR="00235FE3">
        <w:rPr>
          <w:lang w:val="en-GB"/>
        </w:rPr>
        <w:t>BFRBs</w:t>
      </w:r>
      <w:r w:rsidRPr="00350157">
        <w:rPr>
          <w:lang w:val="en-GB"/>
        </w:rPr>
        <w:t xml:space="preserve"> using </w:t>
      </w:r>
      <w:r w:rsidR="00C60660" w:rsidRPr="00C60660">
        <w:rPr>
          <w:lang w:val="en-GB"/>
        </w:rPr>
        <w:t>multimodal, gold standard assessment tools</w:t>
      </w:r>
      <w:r w:rsidRPr="00350157">
        <w:rPr>
          <w:lang w:val="en-GB"/>
        </w:rPr>
        <w:t xml:space="preserve">. This paper makes </w:t>
      </w:r>
      <w:r w:rsidR="00DC06AB">
        <w:rPr>
          <w:lang w:val="en-GB"/>
        </w:rPr>
        <w:t>several</w:t>
      </w:r>
      <w:r w:rsidRPr="00350157">
        <w:rPr>
          <w:lang w:val="en-GB"/>
        </w:rPr>
        <w:t xml:space="preserve"> important contributions to our understanding of </w:t>
      </w:r>
      <w:r w:rsidR="00900ED0">
        <w:rPr>
          <w:lang w:val="en-GB"/>
        </w:rPr>
        <w:t>BFRBs</w:t>
      </w:r>
      <w:r w:rsidRPr="00350157">
        <w:rPr>
          <w:lang w:val="en-GB"/>
        </w:rPr>
        <w:t xml:space="preserve">. First, </w:t>
      </w:r>
      <w:r w:rsidR="00FB7B49">
        <w:rPr>
          <w:lang w:val="en-GB"/>
        </w:rPr>
        <w:t xml:space="preserve">instead of being simply homogeneous </w:t>
      </w:r>
      <w:r w:rsidR="007B32B1">
        <w:rPr>
          <w:lang w:val="en-GB"/>
        </w:rPr>
        <w:t>disorders</w:t>
      </w:r>
      <w:r w:rsidR="00FB7B49">
        <w:rPr>
          <w:lang w:val="en-GB"/>
        </w:rPr>
        <w:t xml:space="preserve">, </w:t>
      </w:r>
      <w:r w:rsidR="002135A8">
        <w:rPr>
          <w:lang w:val="en-GB"/>
        </w:rPr>
        <w:t xml:space="preserve">mixture modelling (MM) </w:t>
      </w:r>
      <w:r w:rsidR="00315EEB">
        <w:rPr>
          <w:lang w:val="en-GB"/>
        </w:rPr>
        <w:t xml:space="preserve">indicated that </w:t>
      </w:r>
      <w:r w:rsidR="00900ED0">
        <w:rPr>
          <w:lang w:val="en-GB"/>
        </w:rPr>
        <w:t xml:space="preserve">both TTM and SPD </w:t>
      </w:r>
      <w:r w:rsidR="00984738">
        <w:rPr>
          <w:lang w:val="en-GB"/>
        </w:rPr>
        <w:t xml:space="preserve">are </w:t>
      </w:r>
      <w:r w:rsidRPr="00350157">
        <w:rPr>
          <w:lang w:val="en-GB"/>
        </w:rPr>
        <w:t>comprised of separate sub</w:t>
      </w:r>
      <w:r w:rsidR="00932399">
        <w:rPr>
          <w:lang w:val="en-GB"/>
        </w:rPr>
        <w:t>types</w:t>
      </w:r>
      <w:r w:rsidR="000760AC">
        <w:rPr>
          <w:lang w:val="en-GB"/>
        </w:rPr>
        <w:t>, three in the case of TTM and two for SPD</w:t>
      </w:r>
      <w:r w:rsidRPr="00350157">
        <w:rPr>
          <w:lang w:val="en-GB"/>
        </w:rPr>
        <w:t xml:space="preserve">. Second, </w:t>
      </w:r>
      <w:r w:rsidR="00DC06AB">
        <w:rPr>
          <w:lang w:val="en-GB"/>
        </w:rPr>
        <w:t xml:space="preserve">there are unique clinical characteristics of the various </w:t>
      </w:r>
      <w:r w:rsidR="00932399">
        <w:rPr>
          <w:lang w:val="en-GB"/>
        </w:rPr>
        <w:t>subtypes</w:t>
      </w:r>
      <w:r w:rsidR="00DC06AB">
        <w:rPr>
          <w:lang w:val="en-GB"/>
        </w:rPr>
        <w:t xml:space="preserve"> that potentially could be targets for treatment.</w:t>
      </w:r>
    </w:p>
    <w:p w14:paraId="33D2D53B" w14:textId="77777777" w:rsidR="004B2B6E" w:rsidRDefault="004B2B6E" w:rsidP="004B2B6E">
      <w:pPr>
        <w:spacing w:line="480" w:lineRule="auto"/>
        <w:rPr>
          <w:lang w:val="en-GB"/>
        </w:rPr>
      </w:pPr>
    </w:p>
    <w:p w14:paraId="3D5AFC16" w14:textId="1D7A5411" w:rsidR="004B2B6E" w:rsidRPr="0003209A" w:rsidRDefault="004B2B6E" w:rsidP="004B2B6E">
      <w:pPr>
        <w:spacing w:line="480" w:lineRule="auto"/>
        <w:rPr>
          <w:i/>
          <w:lang w:val="en-GB"/>
        </w:rPr>
      </w:pPr>
      <w:r w:rsidRPr="0003209A">
        <w:rPr>
          <w:i/>
          <w:lang w:val="en-GB"/>
        </w:rPr>
        <w:t xml:space="preserve">Differences between the TTM </w:t>
      </w:r>
      <w:r w:rsidR="00932399">
        <w:rPr>
          <w:i/>
          <w:lang w:val="en-GB"/>
        </w:rPr>
        <w:t>Subtypes</w:t>
      </w:r>
    </w:p>
    <w:p w14:paraId="140B3CBE" w14:textId="49A37871" w:rsidR="00AC1680" w:rsidRDefault="004B2B6E" w:rsidP="00AC1680">
      <w:pPr>
        <w:spacing w:line="480" w:lineRule="auto"/>
      </w:pPr>
      <w:r w:rsidRPr="004B2B6E">
        <w:rPr>
          <w:lang w:val="en-GB"/>
        </w:rPr>
        <w:tab/>
      </w:r>
      <w:r w:rsidR="003731ED">
        <w:rPr>
          <w:lang w:val="en-GB"/>
        </w:rPr>
        <w:t>O</w:t>
      </w:r>
      <w:r w:rsidRPr="004B2B6E">
        <w:rPr>
          <w:lang w:val="en-GB"/>
        </w:rPr>
        <w:t xml:space="preserve">ur results suggest that </w:t>
      </w:r>
      <w:r>
        <w:rPr>
          <w:lang w:val="en-GB"/>
        </w:rPr>
        <w:t>TTM</w:t>
      </w:r>
      <w:r w:rsidRPr="004B2B6E">
        <w:rPr>
          <w:lang w:val="en-GB"/>
        </w:rPr>
        <w:t xml:space="preserve"> has t</w:t>
      </w:r>
      <w:r w:rsidR="000760AC">
        <w:rPr>
          <w:lang w:val="en-GB"/>
        </w:rPr>
        <w:t>hree</w:t>
      </w:r>
      <w:r w:rsidRPr="004B2B6E">
        <w:rPr>
          <w:lang w:val="en-GB"/>
        </w:rPr>
        <w:t xml:space="preserve"> sub</w:t>
      </w:r>
      <w:r w:rsidR="00932399">
        <w:rPr>
          <w:lang w:val="en-GB"/>
        </w:rPr>
        <w:t>types</w:t>
      </w:r>
      <w:r w:rsidRPr="004B2B6E">
        <w:rPr>
          <w:lang w:val="en-GB"/>
        </w:rPr>
        <w:t xml:space="preserve"> with unique clinical presentations. Of the t</w:t>
      </w:r>
      <w:r w:rsidR="00AC1680">
        <w:rPr>
          <w:lang w:val="en-GB"/>
        </w:rPr>
        <w:t>hree</w:t>
      </w:r>
      <w:r w:rsidRPr="004B2B6E">
        <w:rPr>
          <w:lang w:val="en-GB"/>
        </w:rPr>
        <w:t xml:space="preserve"> sub</w:t>
      </w:r>
      <w:r w:rsidR="00932399">
        <w:rPr>
          <w:lang w:val="en-GB"/>
        </w:rPr>
        <w:t>types</w:t>
      </w:r>
      <w:r w:rsidRPr="004B2B6E">
        <w:rPr>
          <w:lang w:val="en-GB"/>
        </w:rPr>
        <w:t xml:space="preserve"> of </w:t>
      </w:r>
      <w:r>
        <w:rPr>
          <w:lang w:val="en-GB"/>
        </w:rPr>
        <w:t>TTM</w:t>
      </w:r>
      <w:r w:rsidRPr="004B2B6E">
        <w:rPr>
          <w:lang w:val="en-GB"/>
        </w:rPr>
        <w:t xml:space="preserve">, </w:t>
      </w:r>
      <w:r w:rsidR="00AC1680">
        <w:t xml:space="preserve">Subtype 1 </w:t>
      </w:r>
      <w:r w:rsidR="00F726EE">
        <w:t xml:space="preserve">(which we refer to as “sensory sensitive pullers”) </w:t>
      </w:r>
      <w:r w:rsidR="00AC1680">
        <w:t xml:space="preserve">is characterized by highly focused pulling, but urges to pull are generally infrequent and of low intensity. Thus this group has a somewhat lower frequency of pulling behavior. </w:t>
      </w:r>
      <w:r w:rsidR="00230E3C">
        <w:t>A</w:t>
      </w:r>
      <w:r w:rsidR="00AC1680">
        <w:t xml:space="preserve"> person in this subtype scores high on measures of sensory sensitivity, is moderately impaired by their pulling, and reports moderate mood symptoms.  </w:t>
      </w:r>
    </w:p>
    <w:p w14:paraId="1644670C" w14:textId="499ED87C" w:rsidR="00AC1680" w:rsidRDefault="00AC1680" w:rsidP="00AC1680">
      <w:pPr>
        <w:spacing w:line="480" w:lineRule="auto"/>
      </w:pPr>
      <w:r>
        <w:tab/>
        <w:t>A person in Subtype 2</w:t>
      </w:r>
      <w:r w:rsidR="00F726EE">
        <w:t xml:space="preserve"> (which we refer to as “</w:t>
      </w:r>
      <w:r w:rsidR="00976F04">
        <w:t>low awareness</w:t>
      </w:r>
      <w:r w:rsidR="00F726EE">
        <w:t xml:space="preserve"> pullers”)</w:t>
      </w:r>
      <w:r>
        <w:t>, the most common subtype</w:t>
      </w:r>
      <w:r w:rsidR="002A5C92">
        <w:t xml:space="preserve"> (</w:t>
      </w:r>
      <w:r w:rsidR="008853AB">
        <w:t>5</w:t>
      </w:r>
      <w:r w:rsidR="002A5C92">
        <w:t>4.2</w:t>
      </w:r>
      <w:r w:rsidR="008853AB">
        <w:t>% of TTM participants)</w:t>
      </w:r>
      <w:r>
        <w:t>, reports more automatic pulling</w:t>
      </w:r>
      <w:r w:rsidR="00F448E1">
        <w:t>, and more pulling due to emotional triggers,</w:t>
      </w:r>
      <w:r>
        <w:t xml:space="preserve"> with fairly low urges to pull. Th</w:t>
      </w:r>
      <w:r w:rsidR="00230E3C">
        <w:t>is person</w:t>
      </w:r>
      <w:r>
        <w:t xml:space="preserve"> may report </w:t>
      </w:r>
      <w:r>
        <w:lastRenderedPageBreak/>
        <w:t xml:space="preserve">some impairment and some mood issues but unlike Subtype 1, they may present with some ADHD symptoms and higher levels of overall impulsivity.  </w:t>
      </w:r>
    </w:p>
    <w:p w14:paraId="12AF3E12" w14:textId="4B7C02A1" w:rsidR="00AC1680" w:rsidRDefault="00AC1680" w:rsidP="00AC1680">
      <w:pPr>
        <w:spacing w:line="480" w:lineRule="auto"/>
      </w:pPr>
      <w:r>
        <w:tab/>
        <w:t xml:space="preserve">A person in Subtype 3 </w:t>
      </w:r>
      <w:r w:rsidR="00F726EE">
        <w:t>(which we refer to</w:t>
      </w:r>
      <w:r w:rsidR="005C53D6">
        <w:t xml:space="preserve"> as “</w:t>
      </w:r>
      <w:r w:rsidR="00F726EE">
        <w:t>impulsive</w:t>
      </w:r>
      <w:r w:rsidR="005C53D6">
        <w:t>/perfectionist</w:t>
      </w:r>
      <w:r w:rsidR="00F726EE">
        <w:t xml:space="preserve"> pullers”) </w:t>
      </w:r>
      <w:r>
        <w:t>may present with the most unique characteristics of the three groups. These are generally people who pull to control unpleasant feelings and feel generally unable to resist their pulling. They report a greater degree of impairment and mood symptoms, and less distress tolerance</w:t>
      </w:r>
      <w:r w:rsidR="003731ED">
        <w:t xml:space="preserve"> than controls or the other subtypes of TTM</w:t>
      </w:r>
      <w:r>
        <w:t>. They are simultaneously more likely to score higher on measures of perfectionism</w:t>
      </w:r>
      <w:r w:rsidR="003731ED">
        <w:t xml:space="preserve"> than the other subtypes</w:t>
      </w:r>
      <w:r>
        <w:t>, and also score very high on measures of overall impulsivity.</w:t>
      </w:r>
    </w:p>
    <w:p w14:paraId="3A4B0682" w14:textId="77777777" w:rsidR="004B2B6E" w:rsidRDefault="004B2B6E" w:rsidP="006E0327">
      <w:pPr>
        <w:spacing w:line="480" w:lineRule="auto"/>
        <w:rPr>
          <w:i/>
          <w:lang w:val="en-GB"/>
        </w:rPr>
      </w:pPr>
    </w:p>
    <w:p w14:paraId="3CDB2933" w14:textId="7FFF2B12" w:rsidR="006E0327" w:rsidRPr="006E0327" w:rsidRDefault="006E0327" w:rsidP="006E0327">
      <w:pPr>
        <w:spacing w:line="480" w:lineRule="auto"/>
        <w:rPr>
          <w:i/>
          <w:lang w:val="en-GB"/>
        </w:rPr>
      </w:pPr>
      <w:r w:rsidRPr="006E0327">
        <w:rPr>
          <w:i/>
          <w:lang w:val="en-GB"/>
        </w:rPr>
        <w:t xml:space="preserve">Differences between the </w:t>
      </w:r>
      <w:r w:rsidR="00A73BBE">
        <w:rPr>
          <w:i/>
          <w:lang w:val="en-GB"/>
        </w:rPr>
        <w:t>SPD</w:t>
      </w:r>
      <w:r w:rsidRPr="006E0327">
        <w:rPr>
          <w:i/>
          <w:lang w:val="en-GB"/>
        </w:rPr>
        <w:t xml:space="preserve"> </w:t>
      </w:r>
      <w:r w:rsidR="00932399">
        <w:rPr>
          <w:i/>
          <w:lang w:val="en-GB"/>
        </w:rPr>
        <w:t>Subtypes</w:t>
      </w:r>
    </w:p>
    <w:p w14:paraId="4E148B73" w14:textId="7AFE1C6D" w:rsidR="00D04156" w:rsidRDefault="0003209A" w:rsidP="00D04156">
      <w:pPr>
        <w:spacing w:line="480" w:lineRule="auto"/>
        <w:ind w:firstLine="720"/>
      </w:pPr>
      <w:r>
        <w:rPr>
          <w:lang w:val="en-GB"/>
        </w:rPr>
        <w:t>T</w:t>
      </w:r>
      <w:r w:rsidR="004B2B6E" w:rsidRPr="004B2B6E">
        <w:rPr>
          <w:lang w:val="en-GB"/>
        </w:rPr>
        <w:t xml:space="preserve">he two </w:t>
      </w:r>
      <w:r>
        <w:rPr>
          <w:lang w:val="en-GB"/>
        </w:rPr>
        <w:t>SPD</w:t>
      </w:r>
      <w:r w:rsidR="004B2B6E" w:rsidRPr="004B2B6E">
        <w:rPr>
          <w:lang w:val="en-GB"/>
        </w:rPr>
        <w:t xml:space="preserve"> sub</w:t>
      </w:r>
      <w:r w:rsidR="00932399">
        <w:rPr>
          <w:lang w:val="en-GB"/>
        </w:rPr>
        <w:t>types</w:t>
      </w:r>
      <w:r w:rsidR="004B2B6E" w:rsidRPr="004B2B6E">
        <w:rPr>
          <w:lang w:val="en-GB"/>
        </w:rPr>
        <w:t xml:space="preserve"> also exhibited </w:t>
      </w:r>
      <w:r w:rsidR="00D63C85">
        <w:rPr>
          <w:lang w:val="en-GB"/>
        </w:rPr>
        <w:t>clinical</w:t>
      </w:r>
      <w:r w:rsidR="004B2B6E" w:rsidRPr="004B2B6E">
        <w:rPr>
          <w:lang w:val="en-GB"/>
        </w:rPr>
        <w:t xml:space="preserve"> differences from each other. </w:t>
      </w:r>
      <w:r w:rsidR="00FE613D">
        <w:rPr>
          <w:lang w:val="en-GB"/>
        </w:rPr>
        <w:t>Of the two sub</w:t>
      </w:r>
      <w:r w:rsidR="00932399">
        <w:rPr>
          <w:lang w:val="en-GB"/>
        </w:rPr>
        <w:t>types</w:t>
      </w:r>
      <w:r w:rsidR="00FE613D">
        <w:rPr>
          <w:lang w:val="en-GB"/>
        </w:rPr>
        <w:t xml:space="preserve"> of SPD, </w:t>
      </w:r>
      <w:r w:rsidR="00D04156">
        <w:rPr>
          <w:lang w:val="en-GB"/>
        </w:rPr>
        <w:t xml:space="preserve">Subtype 1 </w:t>
      </w:r>
      <w:r w:rsidR="00F726EE">
        <w:rPr>
          <w:lang w:val="en-GB"/>
        </w:rPr>
        <w:t>(which we refer to “emotional</w:t>
      </w:r>
      <w:r w:rsidR="00C03397">
        <w:rPr>
          <w:lang w:val="en-GB"/>
        </w:rPr>
        <w:t>/reward</w:t>
      </w:r>
      <w:r w:rsidR="00F726EE">
        <w:rPr>
          <w:lang w:val="en-GB"/>
        </w:rPr>
        <w:t xml:space="preserve"> pickers”) </w:t>
      </w:r>
      <w:r w:rsidR="00D04156">
        <w:rPr>
          <w:lang w:val="en-GB"/>
        </w:rPr>
        <w:t>which represents the majority of people with SPD</w:t>
      </w:r>
      <w:r w:rsidR="008853AB">
        <w:rPr>
          <w:lang w:val="en-GB"/>
        </w:rPr>
        <w:t xml:space="preserve"> </w:t>
      </w:r>
      <w:r w:rsidR="00D04156">
        <w:t>is characterized by strong and frequent urges to pick, picking from negative emotions as well as automatic picking, and reporting little control. People in this subtype score high on measures of ADHD</w:t>
      </w:r>
      <w:r w:rsidR="009439B7">
        <w:t xml:space="preserve"> and</w:t>
      </w:r>
      <w:r w:rsidR="00D04156">
        <w:t xml:space="preserve"> report high levels of perfectionism. </w:t>
      </w:r>
    </w:p>
    <w:p w14:paraId="6DEDF3CC" w14:textId="77777777" w:rsidR="0048334A" w:rsidRDefault="00D04156" w:rsidP="00D04156">
      <w:pPr>
        <w:spacing w:line="480" w:lineRule="auto"/>
        <w:ind w:firstLine="720"/>
      </w:pPr>
      <w:r>
        <w:t xml:space="preserve">Subtype 2 </w:t>
      </w:r>
      <w:r w:rsidR="00F726EE">
        <w:t>(which we refer to as “</w:t>
      </w:r>
      <w:r w:rsidR="00A036D3">
        <w:t>functional</w:t>
      </w:r>
      <w:r w:rsidR="00F726EE">
        <w:t xml:space="preserve"> pickers”) </w:t>
      </w:r>
      <w:r>
        <w:t xml:space="preserve">reflects a group of people with fairly mild SPD, with lower urges to pick, and overall little distress or impact from the picking. Interestingly, these people report some problems with sensory sensitivity and poor distress tolerance. They report minimal impairment due to their picking and </w:t>
      </w:r>
      <w:r w:rsidR="0077016B">
        <w:t xml:space="preserve">do not present </w:t>
      </w:r>
      <w:r>
        <w:t>problems with emotional dysregulation, perfectionism or impulsivity.</w:t>
      </w:r>
      <w:r w:rsidR="0048334A" w:rsidRPr="0048334A">
        <w:t xml:space="preserve"> </w:t>
      </w:r>
    </w:p>
    <w:p w14:paraId="62B9DEC5" w14:textId="5BF147DB" w:rsidR="00D04156" w:rsidRDefault="0048334A" w:rsidP="00D04156">
      <w:pPr>
        <w:spacing w:line="480" w:lineRule="auto"/>
        <w:ind w:firstLine="720"/>
      </w:pPr>
      <w:r>
        <w:lastRenderedPageBreak/>
        <w:t>The subtypes of SPD are a bit more problematic than those for TTM. Are these two subtypes truly categorically different, or, might they simply be different ends of a continuum? Considering the move toward dimensional conceptualizations and the lack of robust distinguishing characteristics here, these two subtypes may be reflective of a mild vs more moderate-severe symptomatology, rather than “subtypes”.  Future research should examine whether these "subtypes" change over time with treatment as their symptoms improve.</w:t>
      </w:r>
    </w:p>
    <w:p w14:paraId="7D159206" w14:textId="77777777" w:rsidR="00345B20" w:rsidRDefault="00345B20" w:rsidP="00C805F9">
      <w:pPr>
        <w:spacing w:line="480" w:lineRule="auto"/>
      </w:pPr>
    </w:p>
    <w:p w14:paraId="3F8FF182" w14:textId="77777777" w:rsidR="00345B20" w:rsidRPr="00345B20" w:rsidRDefault="00345B20" w:rsidP="00C805F9">
      <w:pPr>
        <w:spacing w:line="480" w:lineRule="auto"/>
        <w:rPr>
          <w:i/>
        </w:rPr>
      </w:pPr>
      <w:r w:rsidRPr="00345B20">
        <w:rPr>
          <w:i/>
        </w:rPr>
        <w:t>Clinical Relevance</w:t>
      </w:r>
    </w:p>
    <w:p w14:paraId="4B0164DA" w14:textId="5EB39631" w:rsidR="00E31C22" w:rsidRPr="00EA5AD9" w:rsidRDefault="00D5672D" w:rsidP="00EA5AD9">
      <w:pPr>
        <w:spacing w:line="480" w:lineRule="auto"/>
      </w:pPr>
      <w:r>
        <w:tab/>
        <w:t xml:space="preserve">One of the possible benefits of understanding the complexity of BFRBs is that treatment can be better tailored. In terms of psychosocial treatments, there are several options that have shown some benefit for BFRBs. </w:t>
      </w:r>
      <w:r w:rsidR="00CC6F99" w:rsidRPr="00CC6F99">
        <w:t xml:space="preserve">Habit reversal </w:t>
      </w:r>
      <w:r w:rsidR="00CC6F99">
        <w:t>t</w:t>
      </w:r>
      <w:r w:rsidR="00CC6F99" w:rsidRPr="00CC6F99">
        <w:t>raining</w:t>
      </w:r>
      <w:r w:rsidR="00CC6F99">
        <w:t>,</w:t>
      </w:r>
      <w:r w:rsidR="00CC6F99" w:rsidRPr="00CC6F99">
        <w:t xml:space="preserve"> alone or enhanced with dialectical behavior therapy</w:t>
      </w:r>
      <w:r w:rsidR="00CC6F99">
        <w:t xml:space="preserve">, </w:t>
      </w:r>
      <w:r w:rsidR="00CC6F99" w:rsidRPr="00CC6F99">
        <w:t>or acceptance and commitment therapy, and comprehensive model for behavioral treatment, to name a few, are all associated with some benefit for BFRBs</w:t>
      </w:r>
      <w:r w:rsidR="005D4D7C">
        <w:t xml:space="preserve"> </w:t>
      </w:r>
      <w:r w:rsidR="00A036D3">
        <w:t>(</w:t>
      </w:r>
      <w:proofErr w:type="spellStart"/>
      <w:r w:rsidR="00A036D3">
        <w:t>Falkenstein</w:t>
      </w:r>
      <w:proofErr w:type="spellEnd"/>
      <w:r w:rsidR="00A036D3">
        <w:t xml:space="preserve"> et al., 2016; </w:t>
      </w:r>
      <w:r w:rsidR="00A036D3" w:rsidRPr="00B77836">
        <w:t xml:space="preserve">Woods </w:t>
      </w:r>
      <w:r w:rsidR="00A036D3">
        <w:t xml:space="preserve">and </w:t>
      </w:r>
      <w:r w:rsidR="00A036D3" w:rsidRPr="00B77836">
        <w:t>Houghton</w:t>
      </w:r>
      <w:r w:rsidR="00A036D3">
        <w:t>, 2016)</w:t>
      </w:r>
      <w:r w:rsidR="005D4D7C">
        <w:t>.</w:t>
      </w:r>
      <w:r w:rsidR="005246BF">
        <w:t xml:space="preserve"> </w:t>
      </w:r>
      <w:r w:rsidR="00E31C22">
        <w:t>To a less</w:t>
      </w:r>
      <w:r w:rsidR="004832A6">
        <w:t>er</w:t>
      </w:r>
      <w:r w:rsidR="00E31C22">
        <w:t xml:space="preserve"> extent</w:t>
      </w:r>
      <w:r w:rsidR="00763E65">
        <w:t xml:space="preserve"> (in terms of their being fewer studies evaluating such treatments)</w:t>
      </w:r>
      <w:r w:rsidR="00E31C22">
        <w:t>, but with a similar limited efficacy, pharmacotherapy (e.g., clomipramine, olanzapine, and N-acetyl cysteine) has shown some benefit for BFRBs as well</w:t>
      </w:r>
      <w:r w:rsidR="00A036D3">
        <w:t xml:space="preserve"> (Rothbart et al., 2013)</w:t>
      </w:r>
      <w:r w:rsidR="005D4D7C">
        <w:t>.</w:t>
      </w:r>
      <w:r w:rsidR="00E31C22">
        <w:t xml:space="preserve"> The question of whether there is a subgroup of BFRB wh</w:t>
      </w:r>
      <w:r w:rsidR="003F4ED9">
        <w:t>ich</w:t>
      </w:r>
      <w:r w:rsidR="00E31C22">
        <w:t xml:space="preserve"> preferentially benefits from a particular therapy or medication</w:t>
      </w:r>
      <w:r w:rsidR="005246BF">
        <w:t xml:space="preserve">, however, has not been answered. </w:t>
      </w:r>
      <w:r w:rsidR="00E31C22">
        <w:t xml:space="preserve"> </w:t>
      </w:r>
      <w:r w:rsidR="00242052" w:rsidRPr="00EA5AD9">
        <w:t>Instead of considering the BFRB the therapeutic target, possibly treating these comorbidity symptoms or other differences could reduce BFRB severity.</w:t>
      </w:r>
    </w:p>
    <w:p w14:paraId="080F1041" w14:textId="6C8FC04C" w:rsidR="00D02266" w:rsidRPr="008853AB" w:rsidRDefault="00E31C22" w:rsidP="00EA5AD9">
      <w:pPr>
        <w:pStyle w:val="CommentText"/>
        <w:spacing w:line="480" w:lineRule="auto"/>
        <w:rPr>
          <w:sz w:val="24"/>
          <w:szCs w:val="24"/>
        </w:rPr>
      </w:pPr>
      <w:r w:rsidRPr="00EA5AD9">
        <w:rPr>
          <w:sz w:val="24"/>
          <w:szCs w:val="24"/>
        </w:rPr>
        <w:lastRenderedPageBreak/>
        <w:tab/>
        <w:t>Based on these data, one could perhaps imagine formulating different treatment plans based on the subgroup</w:t>
      </w:r>
      <w:r w:rsidR="003F4ED9" w:rsidRPr="00EA5AD9">
        <w:rPr>
          <w:sz w:val="24"/>
          <w:szCs w:val="24"/>
        </w:rPr>
        <w:t>s</w:t>
      </w:r>
      <w:r w:rsidRPr="00EA5AD9">
        <w:rPr>
          <w:sz w:val="24"/>
          <w:szCs w:val="24"/>
        </w:rPr>
        <w:t xml:space="preserve"> of BFRB. For example, </w:t>
      </w:r>
      <w:r w:rsidR="00EA5AD9" w:rsidRPr="00EA5AD9">
        <w:rPr>
          <w:sz w:val="24"/>
          <w:szCs w:val="24"/>
        </w:rPr>
        <w:t>those ind</w:t>
      </w:r>
      <w:r w:rsidR="00EA5AD9">
        <w:rPr>
          <w:sz w:val="24"/>
          <w:szCs w:val="24"/>
        </w:rPr>
        <w:t>i</w:t>
      </w:r>
      <w:r w:rsidR="00EA5AD9" w:rsidRPr="00EA5AD9">
        <w:rPr>
          <w:sz w:val="24"/>
          <w:szCs w:val="24"/>
        </w:rPr>
        <w:t xml:space="preserve">viduals who fit Subtypes 1 and 2 </w:t>
      </w:r>
      <w:r w:rsidR="00EA5AD9">
        <w:rPr>
          <w:sz w:val="24"/>
          <w:szCs w:val="24"/>
        </w:rPr>
        <w:t>might benefit from</w:t>
      </w:r>
      <w:r w:rsidR="00EA5AD9" w:rsidRPr="00EA5AD9">
        <w:rPr>
          <w:sz w:val="24"/>
          <w:szCs w:val="24"/>
        </w:rPr>
        <w:t xml:space="preserve"> learning to increase awareness through either </w:t>
      </w:r>
      <w:r w:rsidR="00EA5AD9">
        <w:rPr>
          <w:sz w:val="24"/>
          <w:szCs w:val="24"/>
        </w:rPr>
        <w:t>habit reversal training</w:t>
      </w:r>
      <w:r w:rsidR="00EA5AD9" w:rsidRPr="00EA5AD9">
        <w:rPr>
          <w:sz w:val="24"/>
          <w:szCs w:val="24"/>
        </w:rPr>
        <w:t xml:space="preserve"> or awareness enhancement devices</w:t>
      </w:r>
      <w:r w:rsidR="00EA5AD9">
        <w:rPr>
          <w:sz w:val="24"/>
          <w:szCs w:val="24"/>
        </w:rPr>
        <w:t xml:space="preserve">, whereas </w:t>
      </w:r>
      <w:r w:rsidRPr="00EA5AD9">
        <w:rPr>
          <w:sz w:val="24"/>
          <w:szCs w:val="24"/>
        </w:rPr>
        <w:t xml:space="preserve">those individuals with TTM who fit into </w:t>
      </w:r>
      <w:r w:rsidR="00D04156" w:rsidRPr="00EA5AD9">
        <w:rPr>
          <w:sz w:val="24"/>
          <w:szCs w:val="24"/>
        </w:rPr>
        <w:t>Subtype 3</w:t>
      </w:r>
      <w:r w:rsidRPr="00EA5AD9">
        <w:rPr>
          <w:sz w:val="24"/>
          <w:szCs w:val="24"/>
        </w:rPr>
        <w:t xml:space="preserve"> might benefit from psychotherapy</w:t>
      </w:r>
      <w:r w:rsidR="00AB1D8B" w:rsidRPr="00EA5AD9">
        <w:rPr>
          <w:sz w:val="24"/>
          <w:szCs w:val="24"/>
        </w:rPr>
        <w:t xml:space="preserve"> or pharmacotherapy</w:t>
      </w:r>
      <w:r w:rsidRPr="00EA5AD9">
        <w:rPr>
          <w:sz w:val="24"/>
          <w:szCs w:val="24"/>
        </w:rPr>
        <w:t xml:space="preserve"> focusing on </w:t>
      </w:r>
      <w:r w:rsidR="00D04156" w:rsidRPr="00EA5AD9">
        <w:rPr>
          <w:sz w:val="24"/>
          <w:szCs w:val="24"/>
        </w:rPr>
        <w:t xml:space="preserve">emotional </w:t>
      </w:r>
      <w:r w:rsidR="00D04156" w:rsidRPr="008853AB">
        <w:rPr>
          <w:sz w:val="24"/>
          <w:szCs w:val="24"/>
        </w:rPr>
        <w:t>dysregulation</w:t>
      </w:r>
      <w:r w:rsidR="003D26AA" w:rsidRPr="008853AB">
        <w:rPr>
          <w:sz w:val="24"/>
          <w:szCs w:val="24"/>
        </w:rPr>
        <w:t xml:space="preserve">. </w:t>
      </w:r>
      <w:r w:rsidR="00B03B37" w:rsidRPr="008853AB">
        <w:rPr>
          <w:sz w:val="24"/>
          <w:szCs w:val="24"/>
        </w:rPr>
        <w:t>Similarly,</w:t>
      </w:r>
      <w:r w:rsidR="003D26AA" w:rsidRPr="008853AB">
        <w:rPr>
          <w:sz w:val="24"/>
          <w:szCs w:val="24"/>
        </w:rPr>
        <w:t xml:space="preserve"> </w:t>
      </w:r>
      <w:r w:rsidR="00B03B37" w:rsidRPr="008853AB">
        <w:rPr>
          <w:sz w:val="24"/>
          <w:szCs w:val="24"/>
        </w:rPr>
        <w:t xml:space="preserve">those with SPD who fit into </w:t>
      </w:r>
      <w:r w:rsidR="006C0DEA" w:rsidRPr="008853AB">
        <w:rPr>
          <w:sz w:val="24"/>
          <w:szCs w:val="24"/>
        </w:rPr>
        <w:t xml:space="preserve">Subtype 1 </w:t>
      </w:r>
      <w:r w:rsidR="00B03B37" w:rsidRPr="008853AB">
        <w:rPr>
          <w:sz w:val="24"/>
          <w:szCs w:val="24"/>
        </w:rPr>
        <w:t xml:space="preserve">may benefit from interventions that focus on enhancing </w:t>
      </w:r>
      <w:r w:rsidR="006C0DEA" w:rsidRPr="008853AB">
        <w:rPr>
          <w:sz w:val="24"/>
          <w:szCs w:val="24"/>
        </w:rPr>
        <w:t>coping skills/resilience</w:t>
      </w:r>
      <w:r w:rsidR="00B03B37" w:rsidRPr="008853AB">
        <w:rPr>
          <w:sz w:val="24"/>
          <w:szCs w:val="24"/>
        </w:rPr>
        <w:t>, ADHD, mood or personality (perfectionism)</w:t>
      </w:r>
      <w:r w:rsidR="006C0DEA" w:rsidRPr="008853AB">
        <w:rPr>
          <w:sz w:val="24"/>
          <w:szCs w:val="24"/>
        </w:rPr>
        <w:t xml:space="preserve">, and perhaps may benefit from a medication targeting </w:t>
      </w:r>
      <w:r w:rsidR="00C03397" w:rsidRPr="008853AB">
        <w:rPr>
          <w:sz w:val="24"/>
          <w:szCs w:val="24"/>
        </w:rPr>
        <w:t>mood or perfectionism</w:t>
      </w:r>
      <w:r w:rsidR="006C0DEA" w:rsidRPr="008853AB">
        <w:rPr>
          <w:sz w:val="24"/>
          <w:szCs w:val="24"/>
        </w:rPr>
        <w:t xml:space="preserve"> for their BFRB</w:t>
      </w:r>
      <w:r w:rsidR="00B03B37" w:rsidRPr="008853AB">
        <w:rPr>
          <w:sz w:val="24"/>
          <w:szCs w:val="24"/>
        </w:rPr>
        <w:t>.</w:t>
      </w:r>
    </w:p>
    <w:p w14:paraId="59ECCCCF" w14:textId="514251FF" w:rsidR="00936D80" w:rsidRDefault="00C44B75" w:rsidP="002E180D">
      <w:pPr>
        <w:spacing w:line="480" w:lineRule="auto"/>
      </w:pPr>
      <w:r w:rsidRPr="008853AB">
        <w:tab/>
      </w:r>
      <w:r w:rsidR="004675CC" w:rsidRPr="008853AB">
        <w:t>Neuroc</w:t>
      </w:r>
      <w:r w:rsidRPr="008853AB">
        <w:t xml:space="preserve">ognitive </w:t>
      </w:r>
      <w:r w:rsidR="004675CC" w:rsidRPr="008853AB">
        <w:t>deficits</w:t>
      </w:r>
      <w:r>
        <w:t xml:space="preserve"> have been demonstrated in patients with TTM and SPD in the literature, compared to controls. Here, the classes did not differ overall i</w:t>
      </w:r>
      <w:r w:rsidR="005706DA">
        <w:t xml:space="preserve">n terms of set-shifting or </w:t>
      </w:r>
      <w:r>
        <w:t xml:space="preserve">response inhibition performance. </w:t>
      </w:r>
      <w:r w:rsidR="00017AD0">
        <w:t>It is important to note that, due to the statistical methods used, the control group for the TTM subtypes included SPD</w:t>
      </w:r>
      <w:r w:rsidR="001D65D3">
        <w:t xml:space="preserve"> cases</w:t>
      </w:r>
      <w:r w:rsidR="00017AD0">
        <w:t>; and that the control group for the SPD subtype</w:t>
      </w:r>
      <w:r w:rsidR="002E180D">
        <w:t>s</w:t>
      </w:r>
      <w:r w:rsidR="00017AD0">
        <w:t xml:space="preserve"> included TTM</w:t>
      </w:r>
      <w:r w:rsidR="001D65D3">
        <w:t xml:space="preserve"> cases</w:t>
      </w:r>
      <w:r w:rsidR="003A272B">
        <w:t xml:space="preserve"> (as people with picking would answer “no” to all questions about pulling and vice versa)</w:t>
      </w:r>
      <w:r w:rsidR="00017AD0">
        <w:t>. Hence</w:t>
      </w:r>
      <w:r w:rsidR="004D3FA5">
        <w:t>,</w:t>
      </w:r>
      <w:r w:rsidR="00017AD0">
        <w:t xml:space="preserve"> failure to detect group differences on cognition does not indicate that TTM and SPD as disorders are free from such deficits</w:t>
      </w:r>
      <w:r w:rsidR="00683CAF">
        <w:t xml:space="preserve">; rather, just that they are not detectable when groups are defined </w:t>
      </w:r>
      <w:r w:rsidR="002E180D">
        <w:t>using the current statistical methodology</w:t>
      </w:r>
      <w:r w:rsidR="00017AD0">
        <w:t>.</w:t>
      </w:r>
      <w:r w:rsidR="00683CAF">
        <w:t xml:space="preserve"> It would be valuable in future work to explore cognition in more detail, including in comparison to hea</w:t>
      </w:r>
      <w:r w:rsidR="002E180D">
        <w:t xml:space="preserve">lthy control reference group(s); and to examine whether </w:t>
      </w:r>
      <w:r w:rsidR="000A3C07">
        <w:t xml:space="preserve">TTM/SPD </w:t>
      </w:r>
      <w:r w:rsidR="002E180D">
        <w:t xml:space="preserve">subtypes can be identified based on cognition and imaging markers. </w:t>
      </w:r>
      <w:r w:rsidR="00683CAF">
        <w:t xml:space="preserve"> </w:t>
      </w:r>
      <w:r w:rsidR="002E180D">
        <w:t xml:space="preserve">At the same time, group differences were found in terms of Barratt Impulsivity Scale scores. </w:t>
      </w:r>
      <w:r>
        <w:t>This may suggest that self-report measures</w:t>
      </w:r>
      <w:r w:rsidR="001D65D3">
        <w:t xml:space="preserve"> may be</w:t>
      </w:r>
      <w:r>
        <w:t xml:space="preserve"> more sensitive to differences in such latent </w:t>
      </w:r>
      <w:r w:rsidR="00932399">
        <w:t>subtypes</w:t>
      </w:r>
      <w:r w:rsidR="00411A38">
        <w:t xml:space="preserve"> than these </w:t>
      </w:r>
      <w:r w:rsidR="004675CC">
        <w:t>neuro</w:t>
      </w:r>
      <w:r w:rsidR="00411A38">
        <w:t>cognitive tasks</w:t>
      </w:r>
      <w:r w:rsidR="00434EB4">
        <w:t xml:space="preserve"> </w:t>
      </w:r>
      <w:r w:rsidR="00411A38">
        <w:t>(</w:t>
      </w:r>
      <w:r w:rsidR="001D65D3">
        <w:t xml:space="preserve">prior </w:t>
      </w:r>
      <w:r w:rsidR="001D65D3">
        <w:lastRenderedPageBreak/>
        <w:t>work indicates self-report measures may link more directly with psychopathologies than cognitive tests</w:t>
      </w:r>
      <w:r w:rsidR="005D4D7C">
        <w:t xml:space="preserve"> </w:t>
      </w:r>
      <w:r w:rsidR="00A036D3">
        <w:t>(Eisenberg et al., 2019)</w:t>
      </w:r>
      <w:r w:rsidR="00411A38">
        <w:t>.</w:t>
      </w:r>
      <w:r w:rsidR="005706DA">
        <w:t xml:space="preserve"> </w:t>
      </w:r>
    </w:p>
    <w:p w14:paraId="45CCBDC6" w14:textId="3B8C6185" w:rsidR="005D42E0" w:rsidRDefault="005D42E0" w:rsidP="00C805F9">
      <w:pPr>
        <w:spacing w:line="480" w:lineRule="auto"/>
      </w:pPr>
    </w:p>
    <w:p w14:paraId="27DE6B87" w14:textId="4BEF04D8" w:rsidR="005D42E0" w:rsidRPr="00946741" w:rsidRDefault="005D42E0" w:rsidP="00C805F9">
      <w:pPr>
        <w:spacing w:line="480" w:lineRule="auto"/>
        <w:rPr>
          <w:i/>
        </w:rPr>
      </w:pPr>
      <w:r w:rsidRPr="00946741">
        <w:rPr>
          <w:i/>
        </w:rPr>
        <w:t>Limitations</w:t>
      </w:r>
    </w:p>
    <w:p w14:paraId="51B81452" w14:textId="383EBA89" w:rsidR="005D42E0" w:rsidRDefault="00D02266" w:rsidP="00ED5C72">
      <w:pPr>
        <w:spacing w:line="480" w:lineRule="auto"/>
      </w:pPr>
      <w:r>
        <w:tab/>
        <w:t xml:space="preserve">Though this is the largest analysis of potential BFRB subtypes to date, and one of very few studies using </w:t>
      </w:r>
      <w:r w:rsidR="00245A76">
        <w:t>mixture modeling</w:t>
      </w:r>
      <w:r>
        <w:t xml:space="preserve"> in these disorders, several limitations should be considered. </w:t>
      </w:r>
      <w:r w:rsidR="00C07418">
        <w:t>The identification of differences between classes could be viewed as conservative, since we first conducted statistical tests to determine if classes differed overall; whereas some classes might be expected to be similar rather than different on a given measure.</w:t>
      </w:r>
      <w:r w:rsidR="007F664D">
        <w:t xml:space="preserve"> </w:t>
      </w:r>
      <w:r w:rsidR="00C07418">
        <w:t xml:space="preserve"> </w:t>
      </w:r>
      <w:r w:rsidR="003731ED">
        <w:t>Given the small sample of comorbid TTM and SPD participants, as well as the fact that some participants had subclinical symptoms of the other disorder, this may complicate our interpretation of these findings.</w:t>
      </w:r>
      <w:r w:rsidR="00D02D1D">
        <w:t xml:space="preserve"> Further, our sample size is arguably small to estimate our mixture models, especially those with larger number of classes. However, we did not experienced symptoms of estimation problems (e.g. large standard errors or unstable solutions) for our final models. Finally, SPD classes, being mainly severity clusters may suggest that the disorder is rather dimensional rather than </w:t>
      </w:r>
      <w:r w:rsidR="00B0382F">
        <w:t>categorical. More research is needed to investigate this issue.</w:t>
      </w:r>
    </w:p>
    <w:p w14:paraId="6F87539A" w14:textId="77777777" w:rsidR="00AF0398" w:rsidRDefault="00AF0398" w:rsidP="00C805F9">
      <w:pPr>
        <w:spacing w:line="480" w:lineRule="auto"/>
        <w:rPr>
          <w:i/>
        </w:rPr>
      </w:pPr>
    </w:p>
    <w:p w14:paraId="3ADF9303" w14:textId="3E12A4AD" w:rsidR="005D42E0" w:rsidRPr="00946741" w:rsidRDefault="005D42E0" w:rsidP="00C805F9">
      <w:pPr>
        <w:spacing w:line="480" w:lineRule="auto"/>
        <w:rPr>
          <w:i/>
        </w:rPr>
      </w:pPr>
      <w:r w:rsidRPr="00946741">
        <w:rPr>
          <w:i/>
        </w:rPr>
        <w:t>Conclusions</w:t>
      </w:r>
    </w:p>
    <w:p w14:paraId="11DA5AD9" w14:textId="516B35D3" w:rsidR="00742FB7" w:rsidRDefault="0048334A" w:rsidP="00946741">
      <w:pPr>
        <w:spacing w:line="480" w:lineRule="auto"/>
        <w:ind w:firstLine="720"/>
      </w:pPr>
      <w:r>
        <w:t>Although subtype characteristics have been discussed in the literature and are identified in the course of clinical interviews or as part of the functional analysis at the outset of behavioral treatment, th</w:t>
      </w:r>
      <w:r w:rsidR="00742FB7">
        <w:t xml:space="preserve">is study </w:t>
      </w:r>
      <w:r w:rsidR="00C60660" w:rsidRPr="00C60660">
        <w:t xml:space="preserve">is the first to identify </w:t>
      </w:r>
      <w:r>
        <w:t xml:space="preserve">more definitely </w:t>
      </w:r>
      <w:r w:rsidR="00742FB7">
        <w:t>distinct classes</w:t>
      </w:r>
      <w:r w:rsidR="00C60660" w:rsidRPr="00C60660">
        <w:t xml:space="preserve"> of TTM and SPD</w:t>
      </w:r>
      <w:r w:rsidR="00742FB7">
        <w:t xml:space="preserve">, using </w:t>
      </w:r>
      <w:r w:rsidR="00245A76">
        <w:t>mixture modeling</w:t>
      </w:r>
      <w:r w:rsidR="00742FB7">
        <w:t xml:space="preserve">, in a large sample of patients with </w:t>
      </w:r>
      <w:r w:rsidR="00742FB7">
        <w:lastRenderedPageBreak/>
        <w:t xml:space="preserve">BFRBs and controls. </w:t>
      </w:r>
      <w:r>
        <w:t xml:space="preserve">It also highlights aspects of subtyping that over the years may have been discussed but these data would not support as meaningful (i.e. where the person picks/pulls from; early or late onset, </w:t>
      </w:r>
      <w:proofErr w:type="spellStart"/>
      <w:r>
        <w:t>etc</w:t>
      </w:r>
      <w:proofErr w:type="spellEnd"/>
      <w:r>
        <w:t>).  Instead of those numerous possible subtypes in the previous literature, w</w:t>
      </w:r>
      <w:r w:rsidR="00742FB7">
        <w:t>e found evidence for t</w:t>
      </w:r>
      <w:r w:rsidR="00366677">
        <w:t>hree</w:t>
      </w:r>
      <w:r w:rsidR="00742FB7">
        <w:t xml:space="preserve"> distinct classes of TTM cases; and </w:t>
      </w:r>
      <w:r>
        <w:t xml:space="preserve">arguably </w:t>
      </w:r>
      <w:r w:rsidR="00742FB7">
        <w:t xml:space="preserve">two distinct classes </w:t>
      </w:r>
      <w:r w:rsidR="00366677">
        <w:t>of</w:t>
      </w:r>
      <w:r w:rsidR="00742FB7">
        <w:t xml:space="preserve"> SPD cases. These classes differed remarkably on clinical characteristics and this information may be useful in future to help direct tailored treatments and for further work into </w:t>
      </w:r>
      <w:r w:rsidR="009115E1">
        <w:t xml:space="preserve">discerning the </w:t>
      </w:r>
      <w:r w:rsidR="00742FB7">
        <w:t xml:space="preserve">biological underpinnings of these under-studied disorders. </w:t>
      </w:r>
    </w:p>
    <w:p w14:paraId="36E5637F" w14:textId="560AEF66" w:rsidR="00E13FC4" w:rsidRPr="00E13FC4" w:rsidRDefault="00E13FC4" w:rsidP="0048334A">
      <w:r>
        <w:br w:type="page"/>
      </w:r>
    </w:p>
    <w:p w14:paraId="405ABD34" w14:textId="77777777" w:rsidR="00024350" w:rsidRPr="00372727" w:rsidRDefault="00024350" w:rsidP="00024350">
      <w:pPr>
        <w:ind w:left="720" w:hanging="720"/>
      </w:pPr>
      <w:r w:rsidRPr="00372727">
        <w:rPr>
          <w:b/>
          <w:i/>
        </w:rPr>
        <w:lastRenderedPageBreak/>
        <w:t>Funding/Support</w:t>
      </w:r>
      <w:r w:rsidRPr="00372727">
        <w:t xml:space="preserve">: This study was funded by the Body-Focused Precision Medicine </w:t>
      </w:r>
    </w:p>
    <w:p w14:paraId="74194CFA" w14:textId="77777777" w:rsidR="00024350" w:rsidRPr="00372727" w:rsidRDefault="00024350" w:rsidP="00024350">
      <w:pPr>
        <w:ind w:left="720" w:hanging="720"/>
      </w:pPr>
      <w:r w:rsidRPr="00372727">
        <w:t xml:space="preserve">Initiative granted by The TLC Foundation for Body-Focused Repetitive Behaviors to </w:t>
      </w:r>
    </w:p>
    <w:p w14:paraId="09AB11E7" w14:textId="77777777" w:rsidR="00024350" w:rsidRPr="00372727" w:rsidRDefault="00024350" w:rsidP="00024350">
      <w:pPr>
        <w:ind w:left="720" w:hanging="720"/>
      </w:pPr>
      <w:r w:rsidRPr="00372727">
        <w:t xml:space="preserve">University of Chicago (Dr. Grant), Massachusetts General Hospital (MGH)/Harvard (Dr. </w:t>
      </w:r>
    </w:p>
    <w:p w14:paraId="02DA80CC" w14:textId="77777777" w:rsidR="00024350" w:rsidRPr="00372727" w:rsidRDefault="00024350" w:rsidP="00024350">
      <w:pPr>
        <w:ind w:left="720" w:hanging="720"/>
      </w:pPr>
      <w:proofErr w:type="spellStart"/>
      <w:r w:rsidRPr="00372727">
        <w:t>Keuthen</w:t>
      </w:r>
      <w:proofErr w:type="spellEnd"/>
      <w:r w:rsidRPr="00372727">
        <w:t xml:space="preserve">), and University of California, Los Angeles (UCLA) (Dr. </w:t>
      </w:r>
      <w:proofErr w:type="spellStart"/>
      <w:r w:rsidRPr="00372727">
        <w:t>Piacentini</w:t>
      </w:r>
      <w:proofErr w:type="spellEnd"/>
      <w:r w:rsidRPr="00372727">
        <w:t xml:space="preserve">). The TLC </w:t>
      </w:r>
    </w:p>
    <w:p w14:paraId="138BB63A" w14:textId="77777777" w:rsidR="00024350" w:rsidRPr="00372727" w:rsidRDefault="00024350" w:rsidP="00024350">
      <w:pPr>
        <w:ind w:left="720" w:hanging="720"/>
      </w:pPr>
      <w:r w:rsidRPr="00372727">
        <w:t xml:space="preserve">Foundation for Body-Focused Repetitive Behaviors had no role in the design and conduct </w:t>
      </w:r>
    </w:p>
    <w:p w14:paraId="71DA97AD" w14:textId="77777777" w:rsidR="00024350" w:rsidRPr="00372727" w:rsidRDefault="00024350" w:rsidP="00024350">
      <w:pPr>
        <w:ind w:left="720" w:hanging="720"/>
      </w:pPr>
      <w:r w:rsidRPr="00372727">
        <w:t xml:space="preserve">of the study; collection, management, analysis, and interpretation of the data; preparation, </w:t>
      </w:r>
    </w:p>
    <w:p w14:paraId="69F9B910" w14:textId="77777777" w:rsidR="00024350" w:rsidRPr="00372727" w:rsidRDefault="00024350" w:rsidP="00024350">
      <w:pPr>
        <w:ind w:left="720" w:hanging="720"/>
      </w:pPr>
      <w:r w:rsidRPr="00372727">
        <w:t xml:space="preserve">review, or approval of the manuscript; and decision to submit the manuscript for </w:t>
      </w:r>
    </w:p>
    <w:p w14:paraId="2C3D8656" w14:textId="77777777" w:rsidR="00024350" w:rsidRPr="00372727" w:rsidRDefault="00024350" w:rsidP="00024350">
      <w:pPr>
        <w:ind w:left="720" w:hanging="720"/>
      </w:pPr>
      <w:r w:rsidRPr="00372727">
        <w:t xml:space="preserve">publication. This study was completed with support from the </w:t>
      </w:r>
      <w:proofErr w:type="spellStart"/>
      <w:r w:rsidRPr="00372727">
        <w:t>REDCap</w:t>
      </w:r>
      <w:proofErr w:type="spellEnd"/>
      <w:r w:rsidRPr="00372727">
        <w:t xml:space="preserve"> project at the </w:t>
      </w:r>
    </w:p>
    <w:p w14:paraId="4F575DD1" w14:textId="77777777" w:rsidR="00024350" w:rsidRPr="00372727" w:rsidRDefault="00024350" w:rsidP="00024350">
      <w:pPr>
        <w:ind w:left="720" w:hanging="720"/>
      </w:pPr>
      <w:r w:rsidRPr="00372727">
        <w:t xml:space="preserve">University of Chicago, which is hosted and managed by the Center for Research </w:t>
      </w:r>
    </w:p>
    <w:p w14:paraId="65B70D30" w14:textId="77777777" w:rsidR="00024350" w:rsidRPr="00372727" w:rsidRDefault="00024350" w:rsidP="00024350">
      <w:pPr>
        <w:ind w:left="720" w:hanging="720"/>
      </w:pPr>
      <w:r w:rsidRPr="00372727">
        <w:t xml:space="preserve">Informatics and funded by the Biological Sciences Division and by the Institute for </w:t>
      </w:r>
    </w:p>
    <w:p w14:paraId="3A81EAB7" w14:textId="77777777" w:rsidR="00024350" w:rsidRPr="00372727" w:rsidRDefault="00024350" w:rsidP="00024350">
      <w:pPr>
        <w:ind w:left="720" w:hanging="720"/>
      </w:pPr>
      <w:r w:rsidRPr="00372727">
        <w:t xml:space="preserve">Translational Medicine, CTSA grant number UL1 TR000430 from the National Institutes </w:t>
      </w:r>
    </w:p>
    <w:p w14:paraId="2516471F" w14:textId="77777777" w:rsidR="00024350" w:rsidRPr="00372727" w:rsidRDefault="00024350" w:rsidP="00024350">
      <w:r w:rsidRPr="00372727">
        <w:t xml:space="preserve">of Health. Dr. Chamberlain’s research work is funded by a </w:t>
      </w:r>
      <w:proofErr w:type="spellStart"/>
      <w:r w:rsidRPr="00372727">
        <w:t>Wellcome</w:t>
      </w:r>
      <w:proofErr w:type="spellEnd"/>
      <w:r w:rsidRPr="00372727">
        <w:t xml:space="preserve"> Trust Clinical Fellowship (United Kingdom; reference 110049/Z/15/Z).</w:t>
      </w:r>
    </w:p>
    <w:p w14:paraId="62B34587" w14:textId="77777777" w:rsidR="00024350" w:rsidRDefault="00024350" w:rsidP="00024350">
      <w:pPr>
        <w:pStyle w:val="CommentText"/>
        <w:rPr>
          <w:b/>
          <w:i/>
          <w:sz w:val="24"/>
          <w:szCs w:val="24"/>
        </w:rPr>
      </w:pPr>
    </w:p>
    <w:p w14:paraId="127F4102" w14:textId="77777777" w:rsidR="00024350" w:rsidRPr="001A7F4A" w:rsidRDefault="00024350" w:rsidP="00024350">
      <w:pPr>
        <w:pStyle w:val="CommentText"/>
        <w:rPr>
          <w:sz w:val="24"/>
          <w:szCs w:val="24"/>
        </w:rPr>
      </w:pPr>
      <w:r w:rsidRPr="001A7F4A">
        <w:rPr>
          <w:b/>
          <w:i/>
          <w:sz w:val="24"/>
          <w:szCs w:val="24"/>
        </w:rPr>
        <w:t>Disclosures</w:t>
      </w:r>
      <w:r w:rsidRPr="001A7F4A">
        <w:rPr>
          <w:sz w:val="24"/>
          <w:szCs w:val="24"/>
        </w:rPr>
        <w:t xml:space="preserve">: Dr. Grant has received research grants from </w:t>
      </w:r>
      <w:proofErr w:type="spellStart"/>
      <w:r w:rsidRPr="001A7F4A">
        <w:rPr>
          <w:sz w:val="24"/>
          <w:szCs w:val="24"/>
        </w:rPr>
        <w:t>Biohaven</w:t>
      </w:r>
      <w:proofErr w:type="spellEnd"/>
      <w:r w:rsidRPr="001A7F4A">
        <w:rPr>
          <w:sz w:val="24"/>
          <w:szCs w:val="24"/>
        </w:rPr>
        <w:t xml:space="preserve">, </w:t>
      </w:r>
      <w:proofErr w:type="spellStart"/>
      <w:r w:rsidRPr="001A7F4A">
        <w:rPr>
          <w:sz w:val="24"/>
          <w:szCs w:val="24"/>
        </w:rPr>
        <w:t>Promentis</w:t>
      </w:r>
      <w:proofErr w:type="spellEnd"/>
      <w:r w:rsidRPr="001A7F4A">
        <w:rPr>
          <w:sz w:val="24"/>
          <w:szCs w:val="24"/>
        </w:rPr>
        <w:t xml:space="preserve">, and Otsuka Pharmaceuticals.  Dr. Grant receives yearly compensation from Springer Publishing for acting as Editor-in-Chief of the Journal of Gambling Studies and has received royalties from Oxford University Press, American Psychiatric Publishing, Inc., Norton Press, and McGraw Hill. Dr. Stein and Dr. Lochner are supported by the SAMRC Unit on Risk &amp; Resilience in Mental Disorders.  Dr. Stein has received research grants and/or consultancy </w:t>
      </w:r>
      <w:proofErr w:type="spellStart"/>
      <w:r w:rsidRPr="001A7F4A">
        <w:rPr>
          <w:sz w:val="24"/>
          <w:szCs w:val="24"/>
        </w:rPr>
        <w:t>honoria</w:t>
      </w:r>
      <w:proofErr w:type="spellEnd"/>
      <w:r w:rsidRPr="001A7F4A">
        <w:rPr>
          <w:sz w:val="24"/>
          <w:szCs w:val="24"/>
        </w:rPr>
        <w:t xml:space="preserve"> from Lundbeck and Sun. Dr. Chamberlain consults for </w:t>
      </w:r>
      <w:proofErr w:type="spellStart"/>
      <w:r w:rsidRPr="001A7F4A">
        <w:rPr>
          <w:sz w:val="24"/>
          <w:szCs w:val="24"/>
        </w:rPr>
        <w:t>Ieso</w:t>
      </w:r>
      <w:proofErr w:type="spellEnd"/>
      <w:r w:rsidRPr="001A7F4A">
        <w:rPr>
          <w:sz w:val="24"/>
          <w:szCs w:val="24"/>
        </w:rPr>
        <w:t xml:space="preserve"> and </w:t>
      </w:r>
      <w:proofErr w:type="spellStart"/>
      <w:r w:rsidRPr="001A7F4A">
        <w:rPr>
          <w:sz w:val="24"/>
          <w:szCs w:val="24"/>
        </w:rPr>
        <w:t>Promentis</w:t>
      </w:r>
      <w:proofErr w:type="spellEnd"/>
      <w:r w:rsidRPr="001A7F4A">
        <w:rPr>
          <w:sz w:val="24"/>
          <w:szCs w:val="24"/>
        </w:rPr>
        <w:t xml:space="preserve">; and receives stipends from Elsevier for editorial journal work. The other authors report no conflicts. Dr. Dougherty receives research support and honoraria from Medtronic, Inc. Dr. Woods has received royalties from Oxford University Press and Springer Press. Dr. </w:t>
      </w:r>
      <w:proofErr w:type="spellStart"/>
      <w:r w:rsidRPr="001A7F4A">
        <w:rPr>
          <w:sz w:val="24"/>
          <w:szCs w:val="24"/>
        </w:rPr>
        <w:t>Piacentini</w:t>
      </w:r>
      <w:proofErr w:type="spellEnd"/>
      <w:r w:rsidRPr="001A7F4A">
        <w:rPr>
          <w:sz w:val="24"/>
          <w:szCs w:val="24"/>
        </w:rPr>
        <w:t xml:space="preserve"> has received research grants from NIMH, the Tourette Association of America, and Pfizer.  He receives travel support and honoraria from the Tourette Association of America and the International OCD Foundation and book royalties from Guilford Publications and Oxford University Press. Dr </w:t>
      </w:r>
      <w:proofErr w:type="spellStart"/>
      <w:r w:rsidRPr="001A7F4A">
        <w:rPr>
          <w:sz w:val="24"/>
          <w:szCs w:val="24"/>
        </w:rPr>
        <w:t>Keuthen</w:t>
      </w:r>
      <w:proofErr w:type="spellEnd"/>
      <w:r w:rsidRPr="001A7F4A">
        <w:rPr>
          <w:sz w:val="24"/>
          <w:szCs w:val="24"/>
        </w:rPr>
        <w:t xml:space="preserve"> has received prior research grants from The TLC Foundation for Body-Focused Repetitive Behaviors and royalties from New Harbinger, Inc.</w:t>
      </w:r>
      <w:r w:rsidRPr="003D2983">
        <w:rPr>
          <w:sz w:val="24"/>
          <w:szCs w:val="24"/>
        </w:rPr>
        <w:t xml:space="preserve"> </w:t>
      </w:r>
      <w:r>
        <w:rPr>
          <w:sz w:val="24"/>
          <w:szCs w:val="24"/>
        </w:rPr>
        <w:t>T</w:t>
      </w:r>
      <w:r w:rsidRPr="003D2983">
        <w:rPr>
          <w:sz w:val="24"/>
          <w:szCs w:val="24"/>
        </w:rPr>
        <w:t>he remaining authors have nothing to disclose.</w:t>
      </w:r>
    </w:p>
    <w:p w14:paraId="36EDB1F5" w14:textId="77777777" w:rsidR="00024350" w:rsidRDefault="00024350" w:rsidP="00024350"/>
    <w:p w14:paraId="57D0E1BD" w14:textId="77777777" w:rsidR="00024350" w:rsidRPr="00372727" w:rsidRDefault="00024350" w:rsidP="00024350">
      <w:pPr>
        <w:ind w:left="720" w:hanging="720"/>
      </w:pPr>
      <w:r w:rsidRPr="00372727">
        <w:rPr>
          <w:b/>
          <w:i/>
        </w:rPr>
        <w:t>Author Contributions</w:t>
      </w:r>
      <w:r w:rsidRPr="00372727">
        <w:t xml:space="preserve">: Jon E. Grant, Tara Peris, Emily </w:t>
      </w:r>
      <w:proofErr w:type="gramStart"/>
      <w:r w:rsidRPr="00372727">
        <w:t>Rickets,  Christine</w:t>
      </w:r>
      <w:proofErr w:type="gramEnd"/>
      <w:r w:rsidRPr="00372727">
        <w:t xml:space="preserve"> Lochner, Dan </w:t>
      </w:r>
    </w:p>
    <w:p w14:paraId="0370F26B" w14:textId="77777777" w:rsidR="00024350" w:rsidRPr="00372727" w:rsidRDefault="00024350" w:rsidP="00024350">
      <w:pPr>
        <w:ind w:left="720" w:hanging="720"/>
      </w:pPr>
      <w:r w:rsidRPr="00372727">
        <w:t xml:space="preserve">J.  Stein, Jan </w:t>
      </w:r>
      <w:proofErr w:type="spellStart"/>
      <w:r w:rsidRPr="00372727">
        <w:t>Stochl</w:t>
      </w:r>
      <w:proofErr w:type="spellEnd"/>
      <w:r w:rsidRPr="00372727">
        <w:t xml:space="preserve">, Samuel R. Chamberlain, Jeremiah Scharf, Darin Dougherty, Doug </w:t>
      </w:r>
    </w:p>
    <w:p w14:paraId="1F10B5C9" w14:textId="77777777" w:rsidR="00024350" w:rsidRPr="00372727" w:rsidRDefault="00024350" w:rsidP="00024350">
      <w:pPr>
        <w:ind w:left="720" w:hanging="720"/>
      </w:pPr>
      <w:r w:rsidRPr="00372727">
        <w:t xml:space="preserve">Woods, John </w:t>
      </w:r>
      <w:proofErr w:type="spellStart"/>
      <w:r w:rsidRPr="00372727">
        <w:t>Piacentini</w:t>
      </w:r>
      <w:proofErr w:type="spellEnd"/>
      <w:r w:rsidRPr="00372727">
        <w:t xml:space="preserve">, Nancy J. </w:t>
      </w:r>
      <w:proofErr w:type="spellStart"/>
      <w:r w:rsidRPr="00372727">
        <w:t>Keuthen</w:t>
      </w:r>
      <w:proofErr w:type="spellEnd"/>
      <w:r w:rsidRPr="00372727">
        <w:rPr>
          <w:b/>
        </w:rPr>
        <w:t xml:space="preserve"> </w:t>
      </w:r>
      <w:r w:rsidRPr="00372727">
        <w:t xml:space="preserve">all made substantial contributions to the </w:t>
      </w:r>
    </w:p>
    <w:p w14:paraId="5F1A9B5C" w14:textId="77777777" w:rsidR="00024350" w:rsidRPr="00372727" w:rsidRDefault="00024350" w:rsidP="00024350">
      <w:pPr>
        <w:ind w:left="720" w:hanging="720"/>
      </w:pPr>
      <w:r w:rsidRPr="00372727">
        <w:t xml:space="preserve">conception or design of the work as well as the acquisition, analysis, or interpretation of </w:t>
      </w:r>
    </w:p>
    <w:p w14:paraId="1AC7133B" w14:textId="77777777" w:rsidR="00024350" w:rsidRPr="00372727" w:rsidRDefault="00024350" w:rsidP="00024350">
      <w:pPr>
        <w:ind w:left="720" w:hanging="720"/>
      </w:pPr>
      <w:r w:rsidRPr="00372727">
        <w:t xml:space="preserve">data; they all aided in drafting the work, gave final approval of the version to be </w:t>
      </w:r>
    </w:p>
    <w:p w14:paraId="62398D1B" w14:textId="77777777" w:rsidR="00024350" w:rsidRPr="00372727" w:rsidRDefault="00024350" w:rsidP="00024350">
      <w:pPr>
        <w:ind w:left="720" w:hanging="720"/>
      </w:pPr>
      <w:r w:rsidRPr="00372727">
        <w:t xml:space="preserve">published; and agree to be accountable for all aspects of the work in ensuring that </w:t>
      </w:r>
    </w:p>
    <w:p w14:paraId="54E73A5F" w14:textId="77777777" w:rsidR="00024350" w:rsidRPr="00372727" w:rsidRDefault="00024350" w:rsidP="00024350">
      <w:pPr>
        <w:ind w:left="720" w:hanging="720"/>
      </w:pPr>
      <w:r w:rsidRPr="00372727">
        <w:t xml:space="preserve">questions related to the accuracy or integrity of any part of the work are appropriately </w:t>
      </w:r>
    </w:p>
    <w:p w14:paraId="45B72820" w14:textId="77777777" w:rsidR="00024350" w:rsidRPr="00372727" w:rsidRDefault="00024350" w:rsidP="00024350">
      <w:pPr>
        <w:ind w:left="720" w:hanging="720"/>
      </w:pPr>
      <w:r w:rsidRPr="00372727">
        <w:t>investigated and resolved.</w:t>
      </w:r>
    </w:p>
    <w:p w14:paraId="1E8B36C2" w14:textId="77777777" w:rsidR="00024350" w:rsidRPr="00372727" w:rsidRDefault="00024350" w:rsidP="00024350"/>
    <w:p w14:paraId="5DC06FDD" w14:textId="77777777" w:rsidR="00024350" w:rsidRPr="00372727" w:rsidRDefault="00024350" w:rsidP="00024350">
      <w:pPr>
        <w:ind w:left="720" w:hanging="720"/>
      </w:pPr>
      <w:r w:rsidRPr="00372727">
        <w:rPr>
          <w:b/>
          <w:i/>
        </w:rPr>
        <w:t>Acknowledgements:</w:t>
      </w:r>
      <w:r w:rsidRPr="00372727">
        <w:t xml:space="preserve"> The authors would like to thank the following people who helped </w:t>
      </w:r>
    </w:p>
    <w:p w14:paraId="3A9064C0" w14:textId="77777777" w:rsidR="00024350" w:rsidRPr="00372727" w:rsidRDefault="00024350" w:rsidP="00024350">
      <w:pPr>
        <w:ind w:left="720" w:hanging="720"/>
      </w:pPr>
      <w:r w:rsidRPr="00372727">
        <w:t xml:space="preserve">collect data or provide valuable insights into the study: Sarah Redden, Elizabeth </w:t>
      </w:r>
      <w:proofErr w:type="spellStart"/>
      <w:r w:rsidRPr="00372727">
        <w:t>Cavic</w:t>
      </w:r>
      <w:proofErr w:type="spellEnd"/>
      <w:r w:rsidRPr="00372727">
        <w:t xml:space="preserve">, </w:t>
      </w:r>
    </w:p>
    <w:p w14:paraId="5075F011" w14:textId="77777777" w:rsidR="00024350" w:rsidRPr="00372727" w:rsidRDefault="00024350" w:rsidP="00024350">
      <w:pPr>
        <w:ind w:left="720" w:hanging="720"/>
      </w:pPr>
      <w:r w:rsidRPr="00372727">
        <w:t xml:space="preserve">and Stephanie Valle (University of Chicago); Noah Berman, Ph.D., Erin Curley, Ryan </w:t>
      </w:r>
    </w:p>
    <w:p w14:paraId="57879F9B" w14:textId="77777777" w:rsidR="00024350" w:rsidRPr="00372727" w:rsidRDefault="00024350" w:rsidP="00024350">
      <w:pPr>
        <w:ind w:left="720" w:hanging="720"/>
      </w:pPr>
      <w:r w:rsidRPr="00372727">
        <w:t xml:space="preserve">Jacoby PhD, Grant Jones, and Esther Tung (MGH); Joseph O’Neill, Caitlin Lau, and </w:t>
      </w:r>
    </w:p>
    <w:p w14:paraId="0902D893" w14:textId="77777777" w:rsidR="00024350" w:rsidRPr="00372727" w:rsidRDefault="00024350" w:rsidP="00024350">
      <w:pPr>
        <w:ind w:left="720" w:hanging="720"/>
      </w:pPr>
      <w:r w:rsidRPr="00372727">
        <w:t xml:space="preserve">Jocelyn Pérez (UCLA); Clara </w:t>
      </w:r>
      <w:proofErr w:type="spellStart"/>
      <w:r w:rsidRPr="00372727">
        <w:t>Marincowitz</w:t>
      </w:r>
      <w:proofErr w:type="spellEnd"/>
      <w:r w:rsidRPr="00372727">
        <w:t xml:space="preserve">, </w:t>
      </w:r>
      <w:proofErr w:type="spellStart"/>
      <w:r w:rsidRPr="00372727">
        <w:t>Gaironeesa</w:t>
      </w:r>
      <w:proofErr w:type="spellEnd"/>
      <w:r w:rsidRPr="00372727">
        <w:t xml:space="preserve"> Hendricks, and Karen Mare </w:t>
      </w:r>
    </w:p>
    <w:p w14:paraId="4D3B3C05" w14:textId="77777777" w:rsidR="00024350" w:rsidRPr="00372727" w:rsidRDefault="00024350" w:rsidP="00024350">
      <w:pPr>
        <w:ind w:left="720" w:hanging="720"/>
      </w:pPr>
      <w:r w:rsidRPr="00372727">
        <w:lastRenderedPageBreak/>
        <w:t xml:space="preserve">(Stellenbosch University); TLC Foundation for Body-Focused Repetitive Behaviors </w:t>
      </w:r>
    </w:p>
    <w:p w14:paraId="747A63A1" w14:textId="77777777" w:rsidR="00024350" w:rsidRPr="00372727" w:rsidRDefault="00024350" w:rsidP="00024350">
      <w:pPr>
        <w:ind w:left="720" w:hanging="720"/>
      </w:pPr>
      <w:r w:rsidRPr="00372727">
        <w:t xml:space="preserve">Scientific Advisory Board members (Fred </w:t>
      </w:r>
      <w:proofErr w:type="spellStart"/>
      <w:r w:rsidRPr="00372727">
        <w:t>Penzel</w:t>
      </w:r>
      <w:proofErr w:type="spellEnd"/>
      <w:r w:rsidRPr="00372727">
        <w:t xml:space="preserve">, Ph.D., Christopher Flessner, Ph.D., </w:t>
      </w:r>
    </w:p>
    <w:p w14:paraId="164D1333" w14:textId="77777777" w:rsidR="00024350" w:rsidRPr="00372727" w:rsidRDefault="00024350" w:rsidP="00024350">
      <w:pPr>
        <w:ind w:left="720" w:hanging="720"/>
      </w:pPr>
      <w:r w:rsidRPr="00372727">
        <w:t xml:space="preserve">Martin Franklin, Ph.D., Joseph Garner, Ph.D., David A. F. </w:t>
      </w:r>
      <w:proofErr w:type="spellStart"/>
      <w:r w:rsidRPr="00372727">
        <w:t>Haaga</w:t>
      </w:r>
      <w:proofErr w:type="spellEnd"/>
      <w:r w:rsidRPr="00372727">
        <w:t xml:space="preserve">, Ph.D., Ruth </w:t>
      </w:r>
      <w:proofErr w:type="spellStart"/>
      <w:r w:rsidRPr="00372727">
        <w:t>Golomb</w:t>
      </w:r>
      <w:proofErr w:type="spellEnd"/>
      <w:r w:rsidRPr="00372727">
        <w:t xml:space="preserve">, </w:t>
      </w:r>
    </w:p>
    <w:p w14:paraId="25E63ACF" w14:textId="77777777" w:rsidR="00024350" w:rsidRPr="00372727" w:rsidRDefault="00024350" w:rsidP="00024350">
      <w:pPr>
        <w:ind w:left="720" w:hanging="720"/>
      </w:pPr>
      <w:r w:rsidRPr="00372727">
        <w:t xml:space="preserve">M.Ed., LCPC, Charles S. Mansueto, Ph.D., Suzanne Mouton-Odom, Ph.D., Carol Novak, </w:t>
      </w:r>
    </w:p>
    <w:p w14:paraId="0C6AE248" w14:textId="77777777" w:rsidR="00024350" w:rsidRPr="00372727" w:rsidRDefault="00024350" w:rsidP="00024350">
      <w:pPr>
        <w:ind w:left="720" w:hanging="720"/>
        <w:rPr>
          <w:b/>
        </w:rPr>
      </w:pPr>
      <w:r w:rsidRPr="00372727">
        <w:t>M.D., John Walkup, M.D.); and our many donors.</w:t>
      </w:r>
    </w:p>
    <w:p w14:paraId="7A3F0682" w14:textId="77777777" w:rsidR="00E13FC4" w:rsidRPr="00024350" w:rsidRDefault="00E13FC4" w:rsidP="00657E51">
      <w:pPr>
        <w:ind w:left="720" w:hanging="720"/>
      </w:pPr>
    </w:p>
    <w:p w14:paraId="36A3E9E1" w14:textId="0E1A13E0" w:rsidR="003A612C" w:rsidRPr="001A7F4A" w:rsidRDefault="003A612C" w:rsidP="003A612C">
      <w:pPr>
        <w:pStyle w:val="CommentText"/>
        <w:ind w:left="720"/>
        <w:rPr>
          <w:sz w:val="24"/>
          <w:szCs w:val="24"/>
        </w:rPr>
      </w:pPr>
    </w:p>
    <w:p w14:paraId="3CCB8CB7" w14:textId="51843D8B" w:rsidR="00657E51" w:rsidRPr="003A612C" w:rsidRDefault="00657E51" w:rsidP="00657E51">
      <w:pPr>
        <w:ind w:left="720" w:hanging="720"/>
      </w:pPr>
    </w:p>
    <w:p w14:paraId="652ABFB4" w14:textId="77777777" w:rsidR="00B3366C" w:rsidRDefault="00B3366C" w:rsidP="00B3366C">
      <w:pPr>
        <w:ind w:left="720" w:hanging="720"/>
        <w:rPr>
          <w:b/>
          <w:i/>
        </w:rPr>
      </w:pPr>
    </w:p>
    <w:p w14:paraId="3B684F45" w14:textId="77777777" w:rsidR="005A7D88" w:rsidRDefault="005A7D88" w:rsidP="00BC17E1">
      <w:pPr>
        <w:ind w:left="720" w:hanging="720"/>
        <w:rPr>
          <w:b/>
          <w:i/>
        </w:rPr>
      </w:pPr>
    </w:p>
    <w:p w14:paraId="5A99D15D" w14:textId="36E32E79" w:rsidR="00C805F9" w:rsidRPr="00C805F9" w:rsidRDefault="00C805F9" w:rsidP="003A4387">
      <w:pPr>
        <w:ind w:left="720" w:hanging="720"/>
        <w:rPr>
          <w:b/>
        </w:rPr>
      </w:pPr>
      <w:r w:rsidRPr="00C805F9">
        <w:rPr>
          <w:b/>
        </w:rPr>
        <w:t>References</w:t>
      </w:r>
    </w:p>
    <w:p w14:paraId="5A01C037" w14:textId="77777777" w:rsidR="00C805F9" w:rsidRPr="002044C1" w:rsidRDefault="00C805F9" w:rsidP="00C805F9">
      <w:pPr>
        <w:ind w:left="720" w:hanging="720"/>
        <w:jc w:val="center"/>
      </w:pPr>
    </w:p>
    <w:p w14:paraId="519AE162" w14:textId="77777777" w:rsidR="007626A5" w:rsidRPr="00380168" w:rsidRDefault="007626A5" w:rsidP="007626A5">
      <w:pPr>
        <w:shd w:val="clear" w:color="auto" w:fill="FFFFFF"/>
        <w:ind w:left="360"/>
      </w:pPr>
      <w:r w:rsidRPr="00380168">
        <w:t>Akaike</w:t>
      </w:r>
      <w:r>
        <w:t>,</w:t>
      </w:r>
      <w:r w:rsidRPr="00380168">
        <w:t xml:space="preserve"> H. </w:t>
      </w:r>
      <w:r>
        <w:t xml:space="preserve">(1974). </w:t>
      </w:r>
      <w:r w:rsidRPr="00380168">
        <w:t xml:space="preserve">A new look at the statistical model identification. IEEE Trans. </w:t>
      </w:r>
      <w:proofErr w:type="spellStart"/>
      <w:r w:rsidRPr="00380168">
        <w:t>Autom</w:t>
      </w:r>
      <w:proofErr w:type="spellEnd"/>
      <w:r w:rsidRPr="00380168">
        <w:t xml:space="preserve">. Cont. 19: 716–723 </w:t>
      </w:r>
    </w:p>
    <w:p w14:paraId="3DC54B76" w14:textId="77777777" w:rsidR="007626A5" w:rsidRDefault="007626A5" w:rsidP="007626A5">
      <w:pPr>
        <w:shd w:val="clear" w:color="auto" w:fill="FFFFFF"/>
        <w:ind w:left="360"/>
      </w:pPr>
    </w:p>
    <w:p w14:paraId="54ECC60F" w14:textId="77777777" w:rsidR="007626A5" w:rsidRPr="00380168" w:rsidRDefault="007626A5" w:rsidP="007626A5">
      <w:pPr>
        <w:shd w:val="clear" w:color="auto" w:fill="FFFFFF"/>
        <w:ind w:left="360"/>
      </w:pPr>
      <w:proofErr w:type="spellStart"/>
      <w:r w:rsidRPr="00380168">
        <w:t>Angold</w:t>
      </w:r>
      <w:proofErr w:type="spellEnd"/>
      <w:r>
        <w:t>,</w:t>
      </w:r>
      <w:r w:rsidRPr="00380168">
        <w:t xml:space="preserve"> A</w:t>
      </w:r>
      <w:r>
        <w:t>.</w:t>
      </w:r>
      <w:r w:rsidRPr="00380168">
        <w:t>, Costello</w:t>
      </w:r>
      <w:r>
        <w:t>,</w:t>
      </w:r>
      <w:r w:rsidRPr="00380168">
        <w:t xml:space="preserve"> E</w:t>
      </w:r>
      <w:r>
        <w:t>.</w:t>
      </w:r>
      <w:r w:rsidRPr="00380168">
        <w:t>J</w:t>
      </w:r>
      <w:r>
        <w:t>.</w:t>
      </w:r>
      <w:r w:rsidRPr="00380168">
        <w:t>, Messer</w:t>
      </w:r>
      <w:r>
        <w:t>,</w:t>
      </w:r>
      <w:r w:rsidRPr="00380168">
        <w:t xml:space="preserve"> S</w:t>
      </w:r>
      <w:r>
        <w:t>.</w:t>
      </w:r>
      <w:r w:rsidRPr="00380168">
        <w:t>C</w:t>
      </w:r>
      <w:r>
        <w:t>.</w:t>
      </w:r>
      <w:r w:rsidRPr="00380168">
        <w:t>, Pickles</w:t>
      </w:r>
      <w:r>
        <w:t>,</w:t>
      </w:r>
      <w:r w:rsidRPr="00380168">
        <w:t xml:space="preserve"> A</w:t>
      </w:r>
      <w:r>
        <w:t>.</w:t>
      </w:r>
      <w:r w:rsidRPr="00380168">
        <w:t>, Winder</w:t>
      </w:r>
      <w:r>
        <w:t>,</w:t>
      </w:r>
      <w:r w:rsidRPr="00380168">
        <w:t xml:space="preserve"> F</w:t>
      </w:r>
      <w:r>
        <w:t>.</w:t>
      </w:r>
      <w:r w:rsidRPr="00380168">
        <w:t>, Silver</w:t>
      </w:r>
      <w:r>
        <w:t>,</w:t>
      </w:r>
      <w:r w:rsidRPr="00380168">
        <w:t xml:space="preserve"> D.</w:t>
      </w:r>
      <w:r>
        <w:t xml:space="preserve"> (1995).</w:t>
      </w:r>
      <w:r w:rsidRPr="00380168">
        <w:t xml:space="preserve"> The development of a short questionnaire of use in epidemiological studies of depression in children and adolescents. Int J Meth </w:t>
      </w:r>
      <w:proofErr w:type="spellStart"/>
      <w:r w:rsidRPr="00380168">
        <w:t>Psychiatr</w:t>
      </w:r>
      <w:proofErr w:type="spellEnd"/>
      <w:r w:rsidRPr="00380168">
        <w:t xml:space="preserve"> Res </w:t>
      </w:r>
      <w:r w:rsidRPr="00380168">
        <w:rPr>
          <w:i/>
        </w:rPr>
        <w:t>5:</w:t>
      </w:r>
      <w:r w:rsidRPr="00380168">
        <w:t xml:space="preserve">237-249. </w:t>
      </w:r>
    </w:p>
    <w:p w14:paraId="1A76FF46" w14:textId="77777777" w:rsidR="007626A5" w:rsidRDefault="007626A5" w:rsidP="007626A5">
      <w:pPr>
        <w:ind w:left="360"/>
        <w:rPr>
          <w:shd w:val="clear" w:color="auto" w:fill="FFFFFF"/>
        </w:rPr>
      </w:pPr>
    </w:p>
    <w:p w14:paraId="622BE164" w14:textId="77777777" w:rsidR="007626A5" w:rsidRPr="00380168" w:rsidRDefault="007626A5" w:rsidP="007626A5">
      <w:pPr>
        <w:ind w:left="360"/>
      </w:pPr>
      <w:r w:rsidRPr="00380168">
        <w:rPr>
          <w:shd w:val="clear" w:color="auto" w:fill="FFFFFF"/>
        </w:rPr>
        <w:t>Aron</w:t>
      </w:r>
      <w:r>
        <w:rPr>
          <w:shd w:val="clear" w:color="auto" w:fill="FFFFFF"/>
        </w:rPr>
        <w:t>,</w:t>
      </w:r>
      <w:r w:rsidRPr="00380168">
        <w:rPr>
          <w:shd w:val="clear" w:color="auto" w:fill="FFFFFF"/>
        </w:rPr>
        <w:t xml:space="preserve"> A.R., </w:t>
      </w:r>
      <w:proofErr w:type="spellStart"/>
      <w:r w:rsidRPr="00380168">
        <w:rPr>
          <w:shd w:val="clear" w:color="auto" w:fill="FFFFFF"/>
        </w:rPr>
        <w:t>Durston</w:t>
      </w:r>
      <w:proofErr w:type="spellEnd"/>
      <w:r>
        <w:rPr>
          <w:shd w:val="clear" w:color="auto" w:fill="FFFFFF"/>
        </w:rPr>
        <w:t>,</w:t>
      </w:r>
      <w:r w:rsidRPr="00380168">
        <w:rPr>
          <w:shd w:val="clear" w:color="auto" w:fill="FFFFFF"/>
        </w:rPr>
        <w:t xml:space="preserve"> S., Eagle</w:t>
      </w:r>
      <w:r>
        <w:rPr>
          <w:shd w:val="clear" w:color="auto" w:fill="FFFFFF"/>
        </w:rPr>
        <w:t>,</w:t>
      </w:r>
      <w:r w:rsidRPr="00380168">
        <w:rPr>
          <w:shd w:val="clear" w:color="auto" w:fill="FFFFFF"/>
        </w:rPr>
        <w:t xml:space="preserve"> D.M., Logan</w:t>
      </w:r>
      <w:r>
        <w:rPr>
          <w:shd w:val="clear" w:color="auto" w:fill="FFFFFF"/>
        </w:rPr>
        <w:t>,</w:t>
      </w:r>
      <w:r w:rsidRPr="00380168">
        <w:rPr>
          <w:shd w:val="clear" w:color="auto" w:fill="FFFFFF"/>
        </w:rPr>
        <w:t xml:space="preserve"> G.D., </w:t>
      </w:r>
      <w:proofErr w:type="spellStart"/>
      <w:r w:rsidRPr="00380168">
        <w:rPr>
          <w:shd w:val="clear" w:color="auto" w:fill="FFFFFF"/>
        </w:rPr>
        <w:t>Stinear</w:t>
      </w:r>
      <w:proofErr w:type="spellEnd"/>
      <w:r>
        <w:rPr>
          <w:shd w:val="clear" w:color="auto" w:fill="FFFFFF"/>
        </w:rPr>
        <w:t>,</w:t>
      </w:r>
      <w:r w:rsidRPr="00380168">
        <w:rPr>
          <w:shd w:val="clear" w:color="auto" w:fill="FFFFFF"/>
        </w:rPr>
        <w:t xml:space="preserve"> C.M., </w:t>
      </w:r>
      <w:proofErr w:type="spellStart"/>
      <w:r w:rsidRPr="00380168">
        <w:rPr>
          <w:shd w:val="clear" w:color="auto" w:fill="FFFFFF"/>
        </w:rPr>
        <w:t>Stuphorn</w:t>
      </w:r>
      <w:proofErr w:type="spellEnd"/>
      <w:r>
        <w:rPr>
          <w:shd w:val="clear" w:color="auto" w:fill="FFFFFF"/>
        </w:rPr>
        <w:t>,</w:t>
      </w:r>
      <w:r w:rsidRPr="00380168">
        <w:rPr>
          <w:shd w:val="clear" w:color="auto" w:fill="FFFFFF"/>
        </w:rPr>
        <w:t xml:space="preserve"> V. </w:t>
      </w:r>
      <w:r>
        <w:rPr>
          <w:shd w:val="clear" w:color="auto" w:fill="FFFFFF"/>
        </w:rPr>
        <w:t>(2007).</w:t>
      </w:r>
      <w:r w:rsidRPr="00380168">
        <w:rPr>
          <w:shd w:val="clear" w:color="auto" w:fill="FFFFFF"/>
        </w:rPr>
        <w:t xml:space="preserve"> Converging evidence for a </w:t>
      </w:r>
      <w:proofErr w:type="spellStart"/>
      <w:r w:rsidRPr="00380168">
        <w:rPr>
          <w:shd w:val="clear" w:color="auto" w:fill="FFFFFF"/>
        </w:rPr>
        <w:t>fronto</w:t>
      </w:r>
      <w:proofErr w:type="spellEnd"/>
      <w:r w:rsidRPr="00380168">
        <w:rPr>
          <w:shd w:val="clear" w:color="auto" w:fill="FFFFFF"/>
        </w:rPr>
        <w:t>-basal-ganglia network for inhibitory control of action and cognition. </w:t>
      </w:r>
      <w:r w:rsidRPr="00380168">
        <w:rPr>
          <w:rStyle w:val="ref-journal"/>
          <w:shd w:val="clear" w:color="auto" w:fill="FFFFFF"/>
        </w:rPr>
        <w:t xml:space="preserve">J. </w:t>
      </w:r>
      <w:proofErr w:type="spellStart"/>
      <w:r w:rsidRPr="00380168">
        <w:rPr>
          <w:rStyle w:val="ref-journal"/>
          <w:shd w:val="clear" w:color="auto" w:fill="FFFFFF"/>
        </w:rPr>
        <w:t>Neurosci</w:t>
      </w:r>
      <w:proofErr w:type="spellEnd"/>
      <w:r w:rsidRPr="00380168">
        <w:rPr>
          <w:rStyle w:val="ref-journal"/>
          <w:shd w:val="clear" w:color="auto" w:fill="FFFFFF"/>
        </w:rPr>
        <w:t>. </w:t>
      </w:r>
      <w:r w:rsidRPr="00380168">
        <w:rPr>
          <w:rStyle w:val="ref-vol"/>
          <w:shd w:val="clear" w:color="auto" w:fill="FFFFFF"/>
        </w:rPr>
        <w:t>27</w:t>
      </w:r>
      <w:r w:rsidRPr="00380168">
        <w:rPr>
          <w:shd w:val="clear" w:color="auto" w:fill="FFFFFF"/>
        </w:rPr>
        <w:t>(44):11860–11864. </w:t>
      </w:r>
      <w:proofErr w:type="spellStart"/>
      <w:r w:rsidRPr="00380168">
        <w:rPr>
          <w:shd w:val="clear" w:color="auto" w:fill="FFFFFF"/>
        </w:rPr>
        <w:t>doi</w:t>
      </w:r>
      <w:proofErr w:type="spellEnd"/>
      <w:r w:rsidRPr="00380168">
        <w:rPr>
          <w:shd w:val="clear" w:color="auto" w:fill="FFFFFF"/>
        </w:rPr>
        <w:t>: 10.1523/JNEUROSCI.3644-07.2007.</w:t>
      </w:r>
    </w:p>
    <w:p w14:paraId="4872A5AD" w14:textId="77777777" w:rsidR="007626A5" w:rsidRDefault="007626A5" w:rsidP="007626A5">
      <w:pPr>
        <w:shd w:val="clear" w:color="auto" w:fill="FFFFFF"/>
        <w:ind w:left="360"/>
      </w:pPr>
    </w:p>
    <w:p w14:paraId="714AAA59" w14:textId="77777777" w:rsidR="007626A5" w:rsidRPr="00380168" w:rsidRDefault="00840591" w:rsidP="007626A5">
      <w:pPr>
        <w:shd w:val="clear" w:color="auto" w:fill="FFFFFF"/>
        <w:ind w:left="360"/>
      </w:pPr>
      <w:hyperlink r:id="rId9" w:history="1">
        <w:proofErr w:type="spellStart"/>
        <w:r w:rsidR="007626A5" w:rsidRPr="004E3B57">
          <w:rPr>
            <w:rStyle w:val="Hyperlink"/>
            <w:color w:val="auto"/>
            <w:u w:val="none"/>
          </w:rPr>
          <w:t>Asp</w:t>
        </w:r>
      </w:hyperlink>
      <w:hyperlink r:id="rId10" w:history="1">
        <w:r w:rsidR="007626A5" w:rsidRPr="004E3B57">
          <w:rPr>
            <w:rStyle w:val="Hyperlink"/>
            <w:color w:val="auto"/>
            <w:u w:val="none"/>
          </w:rPr>
          <w:t>arouhov</w:t>
        </w:r>
        <w:proofErr w:type="spellEnd"/>
        <w:r w:rsidR="007626A5">
          <w:rPr>
            <w:rStyle w:val="Hyperlink"/>
          </w:rPr>
          <w:t>,</w:t>
        </w:r>
        <w:r w:rsidR="007626A5" w:rsidRPr="004E3B57">
          <w:rPr>
            <w:rStyle w:val="Hyperlink"/>
            <w:color w:val="auto"/>
            <w:u w:val="none"/>
          </w:rPr>
          <w:t xml:space="preserve"> T</w:t>
        </w:r>
        <w:r w:rsidR="007626A5">
          <w:rPr>
            <w:rStyle w:val="Hyperlink"/>
          </w:rPr>
          <w:t>.</w:t>
        </w:r>
        <w:r w:rsidR="007626A5" w:rsidRPr="004E3B57">
          <w:rPr>
            <w:rStyle w:val="Hyperlink"/>
            <w:color w:val="auto"/>
            <w:u w:val="none"/>
          </w:rPr>
          <w:t xml:space="preserve">, </w:t>
        </w:r>
        <w:proofErr w:type="spellStart"/>
        <w:r w:rsidR="007626A5" w:rsidRPr="004E3B57">
          <w:rPr>
            <w:rStyle w:val="Hyperlink"/>
            <w:color w:val="auto"/>
            <w:u w:val="none"/>
          </w:rPr>
          <w:t>Muthén</w:t>
        </w:r>
        <w:proofErr w:type="spellEnd"/>
        <w:r w:rsidR="007626A5">
          <w:rPr>
            <w:rStyle w:val="Hyperlink"/>
          </w:rPr>
          <w:t>,</w:t>
        </w:r>
        <w:r w:rsidR="007626A5" w:rsidRPr="004E3B57">
          <w:rPr>
            <w:rStyle w:val="Hyperlink"/>
            <w:color w:val="auto"/>
            <w:u w:val="none"/>
          </w:rPr>
          <w:t xml:space="preserve"> B. </w:t>
        </w:r>
      </w:hyperlink>
      <w:r w:rsidR="007626A5">
        <w:rPr>
          <w:rStyle w:val="Hyperlink"/>
        </w:rPr>
        <w:t>(2014).</w:t>
      </w:r>
      <w:r w:rsidR="007626A5" w:rsidRPr="00380168">
        <w:t xml:space="preserve">Auxiliary variables in mixture modeling: Three-step approaches using </w:t>
      </w:r>
      <w:proofErr w:type="spellStart"/>
      <w:r w:rsidR="007626A5" w:rsidRPr="00380168">
        <w:t>Mplus</w:t>
      </w:r>
      <w:proofErr w:type="spellEnd"/>
      <w:r w:rsidR="007626A5" w:rsidRPr="00380168">
        <w:t>. Structural Equation Modeling: A Multidisciplinary Journal</w:t>
      </w:r>
      <w:r w:rsidR="007626A5">
        <w:t xml:space="preserve"> </w:t>
      </w:r>
      <w:r w:rsidR="007626A5" w:rsidRPr="00380168">
        <w:t>21:3, 329-341. DOI: 10.1080/10705511.2014.915181.</w:t>
      </w:r>
    </w:p>
    <w:p w14:paraId="587603A1" w14:textId="77777777" w:rsidR="007626A5" w:rsidRDefault="007626A5" w:rsidP="007626A5">
      <w:pPr>
        <w:shd w:val="clear" w:color="auto" w:fill="FFFFFF"/>
        <w:ind w:left="360"/>
      </w:pPr>
    </w:p>
    <w:p w14:paraId="42761586" w14:textId="77777777" w:rsidR="007626A5" w:rsidRPr="00380168" w:rsidRDefault="007626A5" w:rsidP="007626A5">
      <w:pPr>
        <w:shd w:val="clear" w:color="auto" w:fill="FFFFFF"/>
        <w:ind w:left="360"/>
      </w:pPr>
      <w:r w:rsidRPr="00380168">
        <w:t>Brown</w:t>
      </w:r>
      <w:r>
        <w:t>,</w:t>
      </w:r>
      <w:r w:rsidRPr="00380168">
        <w:t xml:space="preserve"> C.</w:t>
      </w:r>
      <w:r>
        <w:t xml:space="preserve"> (2002).</w:t>
      </w:r>
      <w:r w:rsidRPr="00380168">
        <w:t xml:space="preserve"> In: Adult/Adolescent Sensory Profile: User's Manual. Dunn W., editor. Psychological Corporation; San Antonio.</w:t>
      </w:r>
    </w:p>
    <w:p w14:paraId="47248DF2" w14:textId="77777777" w:rsidR="007626A5" w:rsidRDefault="007626A5" w:rsidP="007626A5">
      <w:pPr>
        <w:shd w:val="clear" w:color="auto" w:fill="FFFFFF"/>
        <w:ind w:left="360"/>
      </w:pPr>
    </w:p>
    <w:p w14:paraId="606655B4" w14:textId="77777777" w:rsidR="007626A5" w:rsidRDefault="007626A5" w:rsidP="007626A5">
      <w:pPr>
        <w:shd w:val="clear" w:color="auto" w:fill="FFFFFF"/>
        <w:ind w:left="360"/>
        <w:rPr>
          <w:rStyle w:val="citation-doi"/>
          <w:shd w:val="clear" w:color="auto" w:fill="FFFFFF"/>
        </w:rPr>
      </w:pPr>
      <w:r w:rsidRPr="00380168">
        <w:t>Chamberlain</w:t>
      </w:r>
      <w:r>
        <w:t>,</w:t>
      </w:r>
      <w:r w:rsidRPr="00380168">
        <w:t xml:space="preserve"> S</w:t>
      </w:r>
      <w:r>
        <w:t>.</w:t>
      </w:r>
      <w:r w:rsidRPr="00380168">
        <w:t>R</w:t>
      </w:r>
      <w:r>
        <w:t>.</w:t>
      </w:r>
      <w:r w:rsidRPr="00380168">
        <w:t xml:space="preserve">, </w:t>
      </w:r>
      <w:proofErr w:type="spellStart"/>
      <w:r w:rsidRPr="00380168">
        <w:t>Odlaug</w:t>
      </w:r>
      <w:proofErr w:type="spellEnd"/>
      <w:r>
        <w:t>,</w:t>
      </w:r>
      <w:r w:rsidRPr="00380168">
        <w:t xml:space="preserve"> B</w:t>
      </w:r>
      <w:r>
        <w:t>.</w:t>
      </w:r>
      <w:r w:rsidRPr="00380168">
        <w:t>L</w:t>
      </w:r>
      <w:r>
        <w:t>.</w:t>
      </w:r>
      <w:r w:rsidRPr="00380168">
        <w:t xml:space="preserve">, </w:t>
      </w:r>
      <w:proofErr w:type="spellStart"/>
      <w:r w:rsidRPr="00380168">
        <w:t>Boulougouris</w:t>
      </w:r>
      <w:proofErr w:type="spellEnd"/>
      <w:r>
        <w:t>,</w:t>
      </w:r>
      <w:r w:rsidRPr="00380168">
        <w:t xml:space="preserve"> V</w:t>
      </w:r>
      <w:r>
        <w:t>.</w:t>
      </w:r>
      <w:r w:rsidRPr="00380168">
        <w:t xml:space="preserve">, </w:t>
      </w:r>
      <w:proofErr w:type="spellStart"/>
      <w:r w:rsidRPr="00380168">
        <w:t>Fineberg</w:t>
      </w:r>
      <w:proofErr w:type="spellEnd"/>
      <w:r>
        <w:t>,</w:t>
      </w:r>
      <w:r w:rsidRPr="00380168">
        <w:t xml:space="preserve"> N</w:t>
      </w:r>
      <w:r>
        <w:t>.</w:t>
      </w:r>
      <w:r w:rsidRPr="00380168">
        <w:t>A</w:t>
      </w:r>
      <w:r>
        <w:t>.</w:t>
      </w:r>
      <w:r w:rsidRPr="00380168">
        <w:t>, Grant</w:t>
      </w:r>
      <w:r>
        <w:t>,</w:t>
      </w:r>
      <w:r w:rsidRPr="00380168">
        <w:t xml:space="preserve"> J</w:t>
      </w:r>
      <w:r>
        <w:t>.</w:t>
      </w:r>
      <w:r w:rsidRPr="00380168">
        <w:t>E.</w:t>
      </w:r>
      <w:r>
        <w:t xml:space="preserve"> (2009).</w:t>
      </w:r>
      <w:r w:rsidRPr="00380168">
        <w:t xml:space="preserve"> Trichotillomania: neurobiology and treatment. </w:t>
      </w:r>
      <w:proofErr w:type="spellStart"/>
      <w:r w:rsidRPr="00380168">
        <w:t>Neurosci</w:t>
      </w:r>
      <w:proofErr w:type="spellEnd"/>
      <w:r w:rsidRPr="00380168">
        <w:t xml:space="preserve"> </w:t>
      </w:r>
      <w:proofErr w:type="spellStart"/>
      <w:r w:rsidRPr="00380168">
        <w:t>Biobehav</w:t>
      </w:r>
      <w:proofErr w:type="spellEnd"/>
      <w:r w:rsidRPr="00380168">
        <w:t xml:space="preserve"> Rev. 33(6):831–842. </w:t>
      </w:r>
      <w:r w:rsidRPr="00380168">
        <w:rPr>
          <w:shd w:val="clear" w:color="auto" w:fill="FFFFFF"/>
        </w:rPr>
        <w:t> </w:t>
      </w:r>
      <w:proofErr w:type="spellStart"/>
      <w:r w:rsidRPr="00380168">
        <w:rPr>
          <w:rStyle w:val="citation-doi"/>
          <w:shd w:val="clear" w:color="auto" w:fill="FFFFFF"/>
        </w:rPr>
        <w:t>doi</w:t>
      </w:r>
      <w:proofErr w:type="spellEnd"/>
      <w:r w:rsidRPr="00380168">
        <w:rPr>
          <w:rStyle w:val="citation-doi"/>
          <w:shd w:val="clear" w:color="auto" w:fill="FFFFFF"/>
        </w:rPr>
        <w:t>: 10.1016/j.neubiorev.2009.02.002.</w:t>
      </w:r>
    </w:p>
    <w:p w14:paraId="50F2BD98" w14:textId="77777777" w:rsidR="007626A5" w:rsidRDefault="007626A5" w:rsidP="007626A5">
      <w:pPr>
        <w:shd w:val="clear" w:color="auto" w:fill="FFFFFF"/>
        <w:ind w:left="360"/>
        <w:rPr>
          <w:shd w:val="clear" w:color="auto" w:fill="FFFFFF"/>
        </w:rPr>
      </w:pPr>
    </w:p>
    <w:p w14:paraId="0B605CF1" w14:textId="77777777" w:rsidR="007626A5" w:rsidRPr="00380168" w:rsidRDefault="007626A5" w:rsidP="007626A5">
      <w:pPr>
        <w:shd w:val="clear" w:color="auto" w:fill="FFFFFF"/>
        <w:ind w:left="360"/>
      </w:pPr>
      <w:r w:rsidRPr="00380168">
        <w:rPr>
          <w:shd w:val="clear" w:color="auto" w:fill="FFFFFF"/>
        </w:rPr>
        <w:t>Chamberlain</w:t>
      </w:r>
      <w:r>
        <w:rPr>
          <w:shd w:val="clear" w:color="auto" w:fill="FFFFFF"/>
        </w:rPr>
        <w:t>,</w:t>
      </w:r>
      <w:r w:rsidRPr="00380168">
        <w:rPr>
          <w:shd w:val="clear" w:color="auto" w:fill="FFFFFF"/>
        </w:rPr>
        <w:t xml:space="preserve"> S</w:t>
      </w:r>
      <w:r>
        <w:rPr>
          <w:shd w:val="clear" w:color="auto" w:fill="FFFFFF"/>
        </w:rPr>
        <w:t>.</w:t>
      </w:r>
      <w:r w:rsidRPr="00380168">
        <w:rPr>
          <w:shd w:val="clear" w:color="auto" w:fill="FFFFFF"/>
        </w:rPr>
        <w:t>R</w:t>
      </w:r>
      <w:r>
        <w:rPr>
          <w:shd w:val="clear" w:color="auto" w:fill="FFFFFF"/>
        </w:rPr>
        <w:t>.</w:t>
      </w:r>
      <w:r w:rsidRPr="00380168">
        <w:rPr>
          <w:shd w:val="clear" w:color="auto" w:fill="FFFFFF"/>
        </w:rPr>
        <w:t>, Harries</w:t>
      </w:r>
      <w:r>
        <w:rPr>
          <w:shd w:val="clear" w:color="auto" w:fill="FFFFFF"/>
        </w:rPr>
        <w:t>,</w:t>
      </w:r>
      <w:r w:rsidRPr="00380168">
        <w:rPr>
          <w:shd w:val="clear" w:color="auto" w:fill="FFFFFF"/>
        </w:rPr>
        <w:t xml:space="preserve"> M</w:t>
      </w:r>
      <w:r>
        <w:rPr>
          <w:shd w:val="clear" w:color="auto" w:fill="FFFFFF"/>
        </w:rPr>
        <w:t>.</w:t>
      </w:r>
      <w:r w:rsidRPr="00380168">
        <w:rPr>
          <w:shd w:val="clear" w:color="auto" w:fill="FFFFFF"/>
        </w:rPr>
        <w:t>, Redden</w:t>
      </w:r>
      <w:r>
        <w:rPr>
          <w:shd w:val="clear" w:color="auto" w:fill="FFFFFF"/>
        </w:rPr>
        <w:t>,</w:t>
      </w:r>
      <w:r w:rsidRPr="00380168">
        <w:rPr>
          <w:shd w:val="clear" w:color="auto" w:fill="FFFFFF"/>
        </w:rPr>
        <w:t xml:space="preserve"> S</w:t>
      </w:r>
      <w:r>
        <w:rPr>
          <w:shd w:val="clear" w:color="auto" w:fill="FFFFFF"/>
        </w:rPr>
        <w:t>.</w:t>
      </w:r>
      <w:r w:rsidRPr="00380168">
        <w:rPr>
          <w:shd w:val="clear" w:color="auto" w:fill="FFFFFF"/>
        </w:rPr>
        <w:t>A</w:t>
      </w:r>
      <w:r>
        <w:rPr>
          <w:shd w:val="clear" w:color="auto" w:fill="FFFFFF"/>
        </w:rPr>
        <w:t>.</w:t>
      </w:r>
      <w:r w:rsidRPr="00380168">
        <w:rPr>
          <w:shd w:val="clear" w:color="auto" w:fill="FFFFFF"/>
        </w:rPr>
        <w:t xml:space="preserve">, </w:t>
      </w:r>
      <w:proofErr w:type="spellStart"/>
      <w:r w:rsidRPr="00380168">
        <w:rPr>
          <w:shd w:val="clear" w:color="auto" w:fill="FFFFFF"/>
        </w:rPr>
        <w:t>Keuthen</w:t>
      </w:r>
      <w:proofErr w:type="spellEnd"/>
      <w:r>
        <w:rPr>
          <w:shd w:val="clear" w:color="auto" w:fill="FFFFFF"/>
        </w:rPr>
        <w:t>,</w:t>
      </w:r>
      <w:r w:rsidRPr="00380168">
        <w:rPr>
          <w:shd w:val="clear" w:color="auto" w:fill="FFFFFF"/>
        </w:rPr>
        <w:t xml:space="preserve"> N</w:t>
      </w:r>
      <w:r>
        <w:rPr>
          <w:shd w:val="clear" w:color="auto" w:fill="FFFFFF"/>
        </w:rPr>
        <w:t>.</w:t>
      </w:r>
      <w:r w:rsidRPr="00380168">
        <w:rPr>
          <w:shd w:val="clear" w:color="auto" w:fill="FFFFFF"/>
        </w:rPr>
        <w:t>J</w:t>
      </w:r>
      <w:r>
        <w:rPr>
          <w:shd w:val="clear" w:color="auto" w:fill="FFFFFF"/>
        </w:rPr>
        <w:t>.</w:t>
      </w:r>
      <w:r w:rsidRPr="00380168">
        <w:rPr>
          <w:shd w:val="clear" w:color="auto" w:fill="FFFFFF"/>
        </w:rPr>
        <w:t>, Stein</w:t>
      </w:r>
      <w:r>
        <w:rPr>
          <w:shd w:val="clear" w:color="auto" w:fill="FFFFFF"/>
        </w:rPr>
        <w:t>,</w:t>
      </w:r>
      <w:r w:rsidRPr="00380168">
        <w:rPr>
          <w:shd w:val="clear" w:color="auto" w:fill="FFFFFF"/>
        </w:rPr>
        <w:t xml:space="preserve"> D</w:t>
      </w:r>
      <w:r>
        <w:rPr>
          <w:shd w:val="clear" w:color="auto" w:fill="FFFFFF"/>
        </w:rPr>
        <w:t>.</w:t>
      </w:r>
      <w:r w:rsidRPr="00380168">
        <w:rPr>
          <w:shd w:val="clear" w:color="auto" w:fill="FFFFFF"/>
        </w:rPr>
        <w:t>J</w:t>
      </w:r>
      <w:r>
        <w:rPr>
          <w:shd w:val="clear" w:color="auto" w:fill="FFFFFF"/>
        </w:rPr>
        <w:t>.</w:t>
      </w:r>
      <w:r w:rsidRPr="00380168">
        <w:rPr>
          <w:shd w:val="clear" w:color="auto" w:fill="FFFFFF"/>
        </w:rPr>
        <w:t>, Lochner</w:t>
      </w:r>
      <w:r>
        <w:rPr>
          <w:shd w:val="clear" w:color="auto" w:fill="FFFFFF"/>
        </w:rPr>
        <w:t>,</w:t>
      </w:r>
      <w:r w:rsidRPr="00380168">
        <w:rPr>
          <w:shd w:val="clear" w:color="auto" w:fill="FFFFFF"/>
        </w:rPr>
        <w:t xml:space="preserve"> C</w:t>
      </w:r>
      <w:r>
        <w:rPr>
          <w:shd w:val="clear" w:color="auto" w:fill="FFFFFF"/>
        </w:rPr>
        <w:t>.</w:t>
      </w:r>
      <w:r w:rsidRPr="00380168">
        <w:rPr>
          <w:shd w:val="clear" w:color="auto" w:fill="FFFFFF"/>
        </w:rPr>
        <w:t xml:space="preserve">, et al. </w:t>
      </w:r>
      <w:r>
        <w:rPr>
          <w:shd w:val="clear" w:color="auto" w:fill="FFFFFF"/>
        </w:rPr>
        <w:t xml:space="preserve">(2018). </w:t>
      </w:r>
      <w:r w:rsidRPr="00380168">
        <w:rPr>
          <w:shd w:val="clear" w:color="auto" w:fill="FFFFFF"/>
        </w:rPr>
        <w:t>Cortical thickness abnormalities in trichotillomania: international multi-site analysis. </w:t>
      </w:r>
      <w:r w:rsidRPr="00380168">
        <w:rPr>
          <w:i/>
          <w:iCs/>
          <w:shd w:val="clear" w:color="auto" w:fill="FFFFFF"/>
        </w:rPr>
        <w:t xml:space="preserve">Brain Imaging </w:t>
      </w:r>
      <w:proofErr w:type="spellStart"/>
      <w:r w:rsidRPr="00380168">
        <w:rPr>
          <w:i/>
          <w:iCs/>
          <w:shd w:val="clear" w:color="auto" w:fill="FFFFFF"/>
        </w:rPr>
        <w:t>Behav</w:t>
      </w:r>
      <w:proofErr w:type="spellEnd"/>
      <w:r w:rsidRPr="00380168">
        <w:rPr>
          <w:shd w:val="clear" w:color="auto" w:fill="FFFFFF"/>
        </w:rPr>
        <w:t xml:space="preserve">. </w:t>
      </w:r>
      <w:r>
        <w:rPr>
          <w:shd w:val="clear" w:color="auto" w:fill="FFFFFF"/>
        </w:rPr>
        <w:t>1</w:t>
      </w:r>
      <w:r w:rsidRPr="00380168">
        <w:rPr>
          <w:shd w:val="clear" w:color="auto" w:fill="FFFFFF"/>
        </w:rPr>
        <w:t>2(3):823–828. doi:10.1007/s11682-017-9746-3</w:t>
      </w:r>
    </w:p>
    <w:p w14:paraId="0ADA5289" w14:textId="77777777" w:rsidR="007626A5" w:rsidRDefault="007626A5" w:rsidP="007626A5">
      <w:pPr>
        <w:shd w:val="clear" w:color="auto" w:fill="FFFFFF"/>
        <w:ind w:left="360"/>
      </w:pPr>
    </w:p>
    <w:p w14:paraId="749D0218" w14:textId="77777777" w:rsidR="007626A5" w:rsidRPr="00380168" w:rsidRDefault="007626A5" w:rsidP="007626A5">
      <w:pPr>
        <w:shd w:val="clear" w:color="auto" w:fill="FFFFFF"/>
        <w:ind w:left="360"/>
      </w:pPr>
      <w:r w:rsidRPr="00380168">
        <w:t>Collins</w:t>
      </w:r>
      <w:r>
        <w:t>,</w:t>
      </w:r>
      <w:r w:rsidRPr="00380168">
        <w:t xml:space="preserve"> F</w:t>
      </w:r>
      <w:r>
        <w:t>.</w:t>
      </w:r>
      <w:r w:rsidRPr="00380168">
        <w:t>S</w:t>
      </w:r>
      <w:r>
        <w:t>.</w:t>
      </w:r>
      <w:r w:rsidRPr="00380168">
        <w:t>, Varmus</w:t>
      </w:r>
      <w:r>
        <w:t>,</w:t>
      </w:r>
      <w:r w:rsidRPr="00380168">
        <w:t xml:space="preserve"> H. </w:t>
      </w:r>
      <w:r>
        <w:t xml:space="preserve">(2015). </w:t>
      </w:r>
      <w:r w:rsidRPr="00380168">
        <w:t xml:space="preserve">A new initiative on precision medicine. N </w:t>
      </w:r>
      <w:proofErr w:type="spellStart"/>
      <w:r w:rsidRPr="00380168">
        <w:t>Engl</w:t>
      </w:r>
      <w:proofErr w:type="spellEnd"/>
      <w:r w:rsidRPr="00380168">
        <w:t xml:space="preserve"> J Med. 2015; 372(9):793–795. </w:t>
      </w:r>
      <w:proofErr w:type="spellStart"/>
      <w:r w:rsidRPr="00380168">
        <w:rPr>
          <w:shd w:val="clear" w:color="auto" w:fill="FFFFFF"/>
        </w:rPr>
        <w:t>doi</w:t>
      </w:r>
      <w:proofErr w:type="spellEnd"/>
      <w:r w:rsidRPr="00380168">
        <w:rPr>
          <w:shd w:val="clear" w:color="auto" w:fill="FFFFFF"/>
        </w:rPr>
        <w:t>: 10.1056/NEJMp1500523.</w:t>
      </w:r>
    </w:p>
    <w:p w14:paraId="466658FD" w14:textId="77777777" w:rsidR="007626A5" w:rsidRDefault="007626A5" w:rsidP="007626A5"/>
    <w:p w14:paraId="5F70CEEE" w14:textId="77777777" w:rsidR="007626A5" w:rsidRDefault="007626A5" w:rsidP="007626A5">
      <w:pPr>
        <w:ind w:left="360"/>
      </w:pPr>
      <w:r w:rsidRPr="00B77836">
        <w:t>Eisenberg</w:t>
      </w:r>
      <w:r>
        <w:t>,</w:t>
      </w:r>
      <w:r w:rsidRPr="00B77836">
        <w:t xml:space="preserve"> I</w:t>
      </w:r>
      <w:r>
        <w:t>.</w:t>
      </w:r>
      <w:r w:rsidRPr="00B77836">
        <w:t>W</w:t>
      </w:r>
      <w:r>
        <w:t>.</w:t>
      </w:r>
      <w:r w:rsidRPr="00B77836">
        <w:t>, Bissett</w:t>
      </w:r>
      <w:r>
        <w:t>,</w:t>
      </w:r>
      <w:r w:rsidRPr="00B77836">
        <w:t xml:space="preserve"> P</w:t>
      </w:r>
      <w:r>
        <w:t>.</w:t>
      </w:r>
      <w:r w:rsidRPr="00B77836">
        <w:t>G</w:t>
      </w:r>
      <w:r>
        <w:t>.</w:t>
      </w:r>
      <w:r w:rsidRPr="00B77836">
        <w:t xml:space="preserve">, </w:t>
      </w:r>
      <w:proofErr w:type="spellStart"/>
      <w:r w:rsidRPr="00B77836">
        <w:t>Enkavi</w:t>
      </w:r>
      <w:proofErr w:type="spellEnd"/>
      <w:r>
        <w:t>,</w:t>
      </w:r>
      <w:r w:rsidRPr="00B77836">
        <w:t xml:space="preserve"> A</w:t>
      </w:r>
      <w:r>
        <w:t>.</w:t>
      </w:r>
      <w:r w:rsidRPr="00B77836">
        <w:t>Z</w:t>
      </w:r>
      <w:r>
        <w:t>.</w:t>
      </w:r>
      <w:r w:rsidRPr="00B77836">
        <w:t>, Li</w:t>
      </w:r>
      <w:r>
        <w:t>,</w:t>
      </w:r>
      <w:r w:rsidRPr="00B77836">
        <w:t xml:space="preserve"> J</w:t>
      </w:r>
      <w:r>
        <w:t>.</w:t>
      </w:r>
      <w:r w:rsidRPr="00B77836">
        <w:t>, MacKinnon</w:t>
      </w:r>
      <w:r>
        <w:t>,</w:t>
      </w:r>
      <w:r w:rsidRPr="00B77836">
        <w:t xml:space="preserve"> D</w:t>
      </w:r>
      <w:r>
        <w:t>.</w:t>
      </w:r>
      <w:r w:rsidRPr="00B77836">
        <w:t>P</w:t>
      </w:r>
      <w:r>
        <w:t>.</w:t>
      </w:r>
      <w:r w:rsidRPr="00B77836">
        <w:t xml:space="preserve">, </w:t>
      </w:r>
      <w:proofErr w:type="spellStart"/>
      <w:r w:rsidRPr="00B77836">
        <w:t>Marsch</w:t>
      </w:r>
      <w:proofErr w:type="spellEnd"/>
      <w:r>
        <w:t>,</w:t>
      </w:r>
      <w:r w:rsidRPr="00B77836">
        <w:t xml:space="preserve"> L</w:t>
      </w:r>
      <w:r>
        <w:t>.</w:t>
      </w:r>
      <w:r w:rsidRPr="00B77836">
        <w:t>A</w:t>
      </w:r>
      <w:r>
        <w:t>.</w:t>
      </w:r>
      <w:r w:rsidRPr="00B77836">
        <w:t>, et al.</w:t>
      </w:r>
      <w:r>
        <w:t xml:space="preserve"> (2019).</w:t>
      </w:r>
      <w:r w:rsidRPr="00B77836">
        <w:t xml:space="preserve">  </w:t>
      </w:r>
      <w:r>
        <w:t xml:space="preserve"> </w:t>
      </w:r>
      <w:r w:rsidRPr="00B77836">
        <w:t>Uncovering the structure of self-regulation through data-driven ontology discovery. Nat Comm 10(1): 2319.</w:t>
      </w:r>
      <w:r w:rsidRPr="00B77836">
        <w:rPr>
          <w:shd w:val="clear" w:color="auto" w:fill="FFFFFF"/>
        </w:rPr>
        <w:t xml:space="preserve"> </w:t>
      </w:r>
      <w:proofErr w:type="spellStart"/>
      <w:r w:rsidRPr="00B77836">
        <w:rPr>
          <w:shd w:val="clear" w:color="auto" w:fill="FFFFFF"/>
        </w:rPr>
        <w:t>doi</w:t>
      </w:r>
      <w:proofErr w:type="spellEnd"/>
      <w:r w:rsidRPr="00B77836">
        <w:rPr>
          <w:shd w:val="clear" w:color="auto" w:fill="FFFFFF"/>
        </w:rPr>
        <w:t>: 10.1038/s41467-019</w:t>
      </w:r>
    </w:p>
    <w:p w14:paraId="05BF6551" w14:textId="77777777" w:rsidR="007626A5" w:rsidRDefault="007626A5" w:rsidP="007626A5">
      <w:pPr>
        <w:ind w:left="360"/>
      </w:pPr>
    </w:p>
    <w:p w14:paraId="1A9E9AA3" w14:textId="77777777" w:rsidR="007626A5" w:rsidRPr="00380168" w:rsidRDefault="007626A5" w:rsidP="007626A5">
      <w:pPr>
        <w:ind w:left="360"/>
      </w:pPr>
      <w:proofErr w:type="spellStart"/>
      <w:r w:rsidRPr="00380168">
        <w:lastRenderedPageBreak/>
        <w:t>Falkenstein</w:t>
      </w:r>
      <w:proofErr w:type="spellEnd"/>
      <w:r>
        <w:t>,</w:t>
      </w:r>
      <w:r w:rsidRPr="00380168">
        <w:t xml:space="preserve"> M</w:t>
      </w:r>
      <w:r>
        <w:t>.</w:t>
      </w:r>
      <w:r w:rsidRPr="00380168">
        <w:t>J</w:t>
      </w:r>
      <w:r>
        <w:t>.</w:t>
      </w:r>
      <w:r w:rsidRPr="00380168">
        <w:t>, Mouton-</w:t>
      </w:r>
      <w:proofErr w:type="spellStart"/>
      <w:r w:rsidRPr="00380168">
        <w:t>Odum</w:t>
      </w:r>
      <w:proofErr w:type="spellEnd"/>
      <w:r>
        <w:t>,</w:t>
      </w:r>
      <w:r w:rsidRPr="00380168">
        <w:t xml:space="preserve"> S</w:t>
      </w:r>
      <w:r>
        <w:t>.</w:t>
      </w:r>
      <w:r w:rsidRPr="00380168">
        <w:t>, Mansueto</w:t>
      </w:r>
      <w:r>
        <w:t>,</w:t>
      </w:r>
      <w:r w:rsidRPr="00380168">
        <w:t xml:space="preserve"> C</w:t>
      </w:r>
      <w:r>
        <w:t>.</w:t>
      </w:r>
      <w:r w:rsidRPr="00380168">
        <w:t>S</w:t>
      </w:r>
      <w:r>
        <w:t>.</w:t>
      </w:r>
      <w:r w:rsidRPr="00380168">
        <w:t xml:space="preserve">, </w:t>
      </w:r>
      <w:proofErr w:type="spellStart"/>
      <w:r w:rsidRPr="00380168">
        <w:t>Golomb</w:t>
      </w:r>
      <w:proofErr w:type="spellEnd"/>
      <w:r>
        <w:t>,</w:t>
      </w:r>
      <w:r w:rsidRPr="00380168">
        <w:t xml:space="preserve"> R</w:t>
      </w:r>
      <w:r>
        <w:t>.</w:t>
      </w:r>
      <w:r w:rsidRPr="00380168">
        <w:t>G</w:t>
      </w:r>
      <w:r>
        <w:t>.</w:t>
      </w:r>
      <w:r w:rsidRPr="00380168">
        <w:t xml:space="preserve">, </w:t>
      </w:r>
      <w:proofErr w:type="spellStart"/>
      <w:r w:rsidRPr="00380168">
        <w:t>Haaga</w:t>
      </w:r>
      <w:proofErr w:type="spellEnd"/>
      <w:r>
        <w:t>,</w:t>
      </w:r>
      <w:r w:rsidRPr="00380168">
        <w:t xml:space="preserve"> D</w:t>
      </w:r>
      <w:r>
        <w:t>.</w:t>
      </w:r>
      <w:r w:rsidRPr="00380168">
        <w:t>A.</w:t>
      </w:r>
      <w:r>
        <w:t xml:space="preserve"> (2016).</w:t>
      </w:r>
      <w:r w:rsidRPr="00380168">
        <w:t xml:space="preserve">  Comprehensive Behavioral Treatment of Trichotillomania: A Treatment Development Study. </w:t>
      </w:r>
      <w:proofErr w:type="spellStart"/>
      <w:r w:rsidRPr="00380168">
        <w:t>Behav</w:t>
      </w:r>
      <w:proofErr w:type="spellEnd"/>
      <w:r w:rsidRPr="00380168">
        <w:t xml:space="preserve"> </w:t>
      </w:r>
      <w:proofErr w:type="spellStart"/>
      <w:r w:rsidRPr="00380168">
        <w:t>Modif</w:t>
      </w:r>
      <w:proofErr w:type="spellEnd"/>
      <w:r w:rsidRPr="00380168">
        <w:t xml:space="preserve">. 40(3):414–438. </w:t>
      </w:r>
      <w:proofErr w:type="spellStart"/>
      <w:r w:rsidRPr="00380168">
        <w:rPr>
          <w:shd w:val="clear" w:color="auto" w:fill="FFFFFF"/>
        </w:rPr>
        <w:t>doi</w:t>
      </w:r>
      <w:proofErr w:type="spellEnd"/>
      <w:r w:rsidRPr="00380168">
        <w:rPr>
          <w:shd w:val="clear" w:color="auto" w:fill="FFFFFF"/>
        </w:rPr>
        <w:t>: 10.1177/0145445515616369.</w:t>
      </w:r>
    </w:p>
    <w:p w14:paraId="519F1A42" w14:textId="77777777" w:rsidR="007626A5" w:rsidRDefault="007626A5" w:rsidP="007626A5">
      <w:pPr>
        <w:shd w:val="clear" w:color="auto" w:fill="FFFFFF"/>
        <w:ind w:left="360"/>
      </w:pPr>
    </w:p>
    <w:p w14:paraId="5FBF34E9" w14:textId="77777777" w:rsidR="007626A5" w:rsidRPr="00380168" w:rsidRDefault="007626A5" w:rsidP="007626A5">
      <w:pPr>
        <w:shd w:val="clear" w:color="auto" w:fill="FFFFFF"/>
        <w:ind w:left="360"/>
      </w:pPr>
      <w:r>
        <w:t>F</w:t>
      </w:r>
      <w:r w:rsidRPr="00380168">
        <w:t>lessner</w:t>
      </w:r>
      <w:r>
        <w:t>,</w:t>
      </w:r>
      <w:r w:rsidRPr="00380168">
        <w:t xml:space="preserve"> C</w:t>
      </w:r>
      <w:r>
        <w:t>.</w:t>
      </w:r>
      <w:r w:rsidRPr="00380168">
        <w:t>A</w:t>
      </w:r>
      <w:r>
        <w:t>.</w:t>
      </w:r>
      <w:r w:rsidRPr="00380168">
        <w:t xml:space="preserve">, </w:t>
      </w:r>
      <w:proofErr w:type="spellStart"/>
      <w:r w:rsidRPr="00380168">
        <w:t>Knopik</w:t>
      </w:r>
      <w:proofErr w:type="spellEnd"/>
      <w:r>
        <w:t>,</w:t>
      </w:r>
      <w:r w:rsidRPr="00380168">
        <w:t xml:space="preserve"> V</w:t>
      </w:r>
      <w:r>
        <w:t>.</w:t>
      </w:r>
      <w:r w:rsidRPr="00380168">
        <w:t>S</w:t>
      </w:r>
      <w:r>
        <w:t>.</w:t>
      </w:r>
      <w:r w:rsidRPr="00380168">
        <w:t xml:space="preserve">, </w:t>
      </w:r>
      <w:proofErr w:type="spellStart"/>
      <w:r w:rsidRPr="00380168">
        <w:t>McGeary</w:t>
      </w:r>
      <w:proofErr w:type="spellEnd"/>
      <w:r>
        <w:t>,</w:t>
      </w:r>
      <w:r w:rsidRPr="00380168">
        <w:t xml:space="preserve"> J.</w:t>
      </w:r>
      <w:r>
        <w:t xml:space="preserve"> (2012).</w:t>
      </w:r>
      <w:r w:rsidRPr="00380168">
        <w:t xml:space="preserve"> Hair pulling disorder (trichotillomania): genes, neurobiology, and a model for understanding impulsivity and compulsivity. Psychiatry Res. 2012;199(3):151–158.</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10.1016/j.psychres.2012.03.039.</w:t>
      </w:r>
    </w:p>
    <w:p w14:paraId="455DADCE" w14:textId="77777777" w:rsidR="007626A5" w:rsidRDefault="007626A5" w:rsidP="007626A5">
      <w:pPr>
        <w:shd w:val="clear" w:color="auto" w:fill="FFFFFF"/>
        <w:ind w:left="360"/>
      </w:pPr>
    </w:p>
    <w:p w14:paraId="35E1858A" w14:textId="77777777" w:rsidR="007626A5" w:rsidRPr="00380168" w:rsidRDefault="007626A5" w:rsidP="007626A5">
      <w:pPr>
        <w:shd w:val="clear" w:color="auto" w:fill="FFFFFF"/>
        <w:ind w:left="360"/>
      </w:pPr>
      <w:r w:rsidRPr="00380168">
        <w:t>Flessner</w:t>
      </w:r>
      <w:r>
        <w:t>,</w:t>
      </w:r>
      <w:r w:rsidRPr="00380168">
        <w:t xml:space="preserve"> C</w:t>
      </w:r>
      <w:r>
        <w:t>.</w:t>
      </w:r>
      <w:r w:rsidRPr="00380168">
        <w:t>A</w:t>
      </w:r>
      <w:r>
        <w:t>.</w:t>
      </w:r>
      <w:r w:rsidRPr="00380168">
        <w:t>, Woods</w:t>
      </w:r>
      <w:r>
        <w:t>,</w:t>
      </w:r>
      <w:r w:rsidRPr="00380168">
        <w:t xml:space="preserve"> D</w:t>
      </w:r>
      <w:r>
        <w:t>.</w:t>
      </w:r>
      <w:r w:rsidRPr="00380168">
        <w:t>W</w:t>
      </w:r>
      <w:r>
        <w:t>.</w:t>
      </w:r>
      <w:r w:rsidRPr="00380168">
        <w:t>, Franklin</w:t>
      </w:r>
      <w:r>
        <w:t>,</w:t>
      </w:r>
      <w:r w:rsidRPr="00380168">
        <w:t xml:space="preserve"> M</w:t>
      </w:r>
      <w:r>
        <w:t>.</w:t>
      </w:r>
      <w:r w:rsidRPr="00380168">
        <w:t>E</w:t>
      </w:r>
      <w:r>
        <w:t>.</w:t>
      </w:r>
      <w:r w:rsidRPr="00380168">
        <w:t xml:space="preserve">, </w:t>
      </w:r>
      <w:proofErr w:type="spellStart"/>
      <w:r w:rsidRPr="00380168">
        <w:t>Keuthen</w:t>
      </w:r>
      <w:proofErr w:type="spellEnd"/>
      <w:r>
        <w:t>,</w:t>
      </w:r>
      <w:r w:rsidRPr="00380168">
        <w:t xml:space="preserve"> N</w:t>
      </w:r>
      <w:r>
        <w:t>.</w:t>
      </w:r>
      <w:r w:rsidRPr="00380168">
        <w:t>J</w:t>
      </w:r>
      <w:r>
        <w:t>.</w:t>
      </w:r>
      <w:r w:rsidRPr="00380168">
        <w:t xml:space="preserve">, </w:t>
      </w:r>
      <w:proofErr w:type="spellStart"/>
      <w:r w:rsidRPr="00380168">
        <w:t>Piacentini</w:t>
      </w:r>
      <w:proofErr w:type="spellEnd"/>
      <w:r>
        <w:t>,</w:t>
      </w:r>
      <w:r w:rsidRPr="00380168">
        <w:t xml:space="preserve"> J</w:t>
      </w:r>
      <w:r>
        <w:t>.</w:t>
      </w:r>
      <w:r w:rsidRPr="00380168">
        <w:t xml:space="preserve">, Trichotillomania Learning Center-Scientific Advisory Board TLC-SAB. </w:t>
      </w:r>
      <w:r>
        <w:t xml:space="preserve">(2013). </w:t>
      </w:r>
      <w:r w:rsidRPr="00380168">
        <w:t xml:space="preserve">Styles of pulling in youths with trichotillomania: exploring differences in symptom severity, phenomenology, and comorbid psychiatric symptoms. </w:t>
      </w:r>
      <w:proofErr w:type="spellStart"/>
      <w:r w:rsidRPr="00380168">
        <w:t>Behav</w:t>
      </w:r>
      <w:proofErr w:type="spellEnd"/>
      <w:r w:rsidRPr="00380168">
        <w:t xml:space="preserve"> Res </w:t>
      </w:r>
      <w:proofErr w:type="spellStart"/>
      <w:r w:rsidRPr="00380168">
        <w:t>Ther</w:t>
      </w:r>
      <w:proofErr w:type="spellEnd"/>
      <w:r w:rsidRPr="00380168">
        <w:t xml:space="preserve">. 46(9):1055–1061. </w:t>
      </w:r>
      <w:proofErr w:type="spellStart"/>
      <w:r w:rsidRPr="00380168">
        <w:rPr>
          <w:shd w:val="clear" w:color="auto" w:fill="FFFFFF"/>
        </w:rPr>
        <w:t>doi</w:t>
      </w:r>
      <w:proofErr w:type="spellEnd"/>
      <w:r w:rsidRPr="00380168">
        <w:rPr>
          <w:shd w:val="clear" w:color="auto" w:fill="FFFFFF"/>
        </w:rPr>
        <w:t>: 10.1016/j.brat.2008.06.006.</w:t>
      </w:r>
    </w:p>
    <w:p w14:paraId="27CCC079" w14:textId="77777777" w:rsidR="007626A5" w:rsidRDefault="007626A5" w:rsidP="007626A5">
      <w:pPr>
        <w:shd w:val="clear" w:color="auto" w:fill="FFFFFF"/>
        <w:ind w:left="360"/>
      </w:pPr>
    </w:p>
    <w:p w14:paraId="7500A46A" w14:textId="77777777" w:rsidR="007626A5" w:rsidRPr="00380168" w:rsidRDefault="007626A5" w:rsidP="007626A5">
      <w:pPr>
        <w:shd w:val="clear" w:color="auto" w:fill="FFFFFF"/>
        <w:ind w:left="360"/>
      </w:pPr>
      <w:proofErr w:type="spellStart"/>
      <w:r w:rsidRPr="00380168">
        <w:t>Francazio</w:t>
      </w:r>
      <w:proofErr w:type="spellEnd"/>
      <w:r>
        <w:t>,</w:t>
      </w:r>
      <w:r w:rsidRPr="00380168">
        <w:t xml:space="preserve"> S</w:t>
      </w:r>
      <w:r>
        <w:t>.</w:t>
      </w:r>
      <w:r w:rsidRPr="00380168">
        <w:t>K</w:t>
      </w:r>
      <w:r>
        <w:t>.</w:t>
      </w:r>
      <w:r w:rsidRPr="00380168">
        <w:t>, Flessner</w:t>
      </w:r>
      <w:r>
        <w:t>,</w:t>
      </w:r>
      <w:r w:rsidRPr="00380168">
        <w:t xml:space="preserve"> C</w:t>
      </w:r>
      <w:r>
        <w:t>.</w:t>
      </w:r>
      <w:r w:rsidRPr="00380168">
        <w:t>A.</w:t>
      </w:r>
      <w:r>
        <w:t xml:space="preserve"> (2015).</w:t>
      </w:r>
      <w:r w:rsidRPr="00380168">
        <w:t xml:space="preserve"> Cognitive flexibility differentiates young adults exhibiting obsessive-compulsive behaviors from controls. Psychiatry Res.228(2):185–190. </w:t>
      </w:r>
      <w:proofErr w:type="spellStart"/>
      <w:r w:rsidRPr="00380168">
        <w:rPr>
          <w:shd w:val="clear" w:color="auto" w:fill="FFFFFF"/>
        </w:rPr>
        <w:t>doi</w:t>
      </w:r>
      <w:proofErr w:type="spellEnd"/>
      <w:r w:rsidRPr="00380168">
        <w:rPr>
          <w:shd w:val="clear" w:color="auto" w:fill="FFFFFF"/>
        </w:rPr>
        <w:t>: 10.1016/j.psychres.2015.04.038</w:t>
      </w:r>
    </w:p>
    <w:p w14:paraId="34B07B22" w14:textId="77777777" w:rsidR="007626A5" w:rsidRDefault="007626A5" w:rsidP="007626A5">
      <w:pPr>
        <w:shd w:val="clear" w:color="auto" w:fill="FFFFFF"/>
        <w:ind w:left="360"/>
      </w:pPr>
    </w:p>
    <w:p w14:paraId="71708E4E" w14:textId="77777777" w:rsidR="007626A5" w:rsidRPr="00380168" w:rsidRDefault="007626A5" w:rsidP="007626A5">
      <w:pPr>
        <w:shd w:val="clear" w:color="auto" w:fill="FFFFFF"/>
        <w:ind w:left="360"/>
      </w:pPr>
      <w:r w:rsidRPr="00380168">
        <w:t>Franklin</w:t>
      </w:r>
      <w:r>
        <w:t>,</w:t>
      </w:r>
      <w:r w:rsidRPr="00380168">
        <w:t xml:space="preserve"> M</w:t>
      </w:r>
      <w:r>
        <w:t>.</w:t>
      </w:r>
      <w:r w:rsidRPr="00380168">
        <w:t>E</w:t>
      </w:r>
      <w:r>
        <w:t>.</w:t>
      </w:r>
      <w:r w:rsidRPr="00380168">
        <w:t xml:space="preserve">, </w:t>
      </w:r>
      <w:proofErr w:type="spellStart"/>
      <w:r w:rsidRPr="00380168">
        <w:t>Zagrabbe</w:t>
      </w:r>
      <w:proofErr w:type="spellEnd"/>
      <w:r>
        <w:t>,</w:t>
      </w:r>
      <w:r w:rsidRPr="00380168">
        <w:t xml:space="preserve"> K</w:t>
      </w:r>
      <w:r>
        <w:t>.</w:t>
      </w:r>
      <w:r w:rsidRPr="00380168">
        <w:t>, Benavides</w:t>
      </w:r>
      <w:r>
        <w:t>,</w:t>
      </w:r>
      <w:r w:rsidRPr="00380168">
        <w:t xml:space="preserve"> K</w:t>
      </w:r>
      <w:r>
        <w:t>.</w:t>
      </w:r>
      <w:r w:rsidRPr="00380168">
        <w:t>L.</w:t>
      </w:r>
      <w:r>
        <w:t xml:space="preserve"> (2011).</w:t>
      </w:r>
      <w:r w:rsidRPr="00380168">
        <w:t xml:space="preserve"> Trichotillomania and its treatment: a review and recommendations. Expert Rev </w:t>
      </w:r>
      <w:proofErr w:type="spellStart"/>
      <w:r w:rsidRPr="00380168">
        <w:t>Neurother</w:t>
      </w:r>
      <w:proofErr w:type="spellEnd"/>
      <w:r w:rsidRPr="00380168">
        <w:t xml:space="preserve">. 11(8):1165–1174. </w:t>
      </w:r>
      <w:proofErr w:type="spellStart"/>
      <w:r w:rsidRPr="00380168">
        <w:rPr>
          <w:shd w:val="clear" w:color="auto" w:fill="FFFFFF"/>
        </w:rPr>
        <w:t>doi</w:t>
      </w:r>
      <w:proofErr w:type="spellEnd"/>
      <w:r w:rsidRPr="00380168">
        <w:rPr>
          <w:shd w:val="clear" w:color="auto" w:fill="FFFFFF"/>
        </w:rPr>
        <w:t>: 10.1586/ern.11.93.</w:t>
      </w:r>
    </w:p>
    <w:p w14:paraId="06104711" w14:textId="77777777" w:rsidR="007626A5" w:rsidRDefault="007626A5" w:rsidP="007626A5">
      <w:pPr>
        <w:ind w:left="360"/>
      </w:pPr>
    </w:p>
    <w:p w14:paraId="39830D0D" w14:textId="77777777" w:rsidR="007626A5" w:rsidRPr="00380168" w:rsidRDefault="007626A5" w:rsidP="007626A5">
      <w:pPr>
        <w:ind w:left="360"/>
      </w:pPr>
      <w:r w:rsidRPr="00380168">
        <w:t>Frost</w:t>
      </w:r>
      <w:r>
        <w:t>,</w:t>
      </w:r>
      <w:r w:rsidRPr="00380168">
        <w:t xml:space="preserve"> R</w:t>
      </w:r>
      <w:r>
        <w:t>.</w:t>
      </w:r>
      <w:r w:rsidRPr="00380168">
        <w:t>O</w:t>
      </w:r>
      <w:r>
        <w:t>.</w:t>
      </w:r>
      <w:r w:rsidRPr="00380168">
        <w:t>, Marten</w:t>
      </w:r>
      <w:r>
        <w:t>,</w:t>
      </w:r>
      <w:r w:rsidRPr="00380168">
        <w:t xml:space="preserve"> P</w:t>
      </w:r>
      <w:r>
        <w:t>.</w:t>
      </w:r>
      <w:r w:rsidRPr="00380168">
        <w:t xml:space="preserve">, </w:t>
      </w:r>
      <w:proofErr w:type="spellStart"/>
      <w:r w:rsidRPr="00380168">
        <w:t>Lahart</w:t>
      </w:r>
      <w:proofErr w:type="spellEnd"/>
      <w:r>
        <w:t>,</w:t>
      </w:r>
      <w:r w:rsidRPr="00380168">
        <w:t xml:space="preserve"> C</w:t>
      </w:r>
      <w:r>
        <w:t>.</w:t>
      </w:r>
      <w:r w:rsidRPr="00380168">
        <w:t xml:space="preserve">, </w:t>
      </w:r>
      <w:proofErr w:type="spellStart"/>
      <w:r w:rsidRPr="00380168">
        <w:t>Rosenblate</w:t>
      </w:r>
      <w:proofErr w:type="spellEnd"/>
      <w:r>
        <w:t>,</w:t>
      </w:r>
      <w:r w:rsidRPr="00380168">
        <w:t xml:space="preserve"> R.</w:t>
      </w:r>
      <w:r>
        <w:t xml:space="preserve"> (1990). </w:t>
      </w:r>
      <w:r w:rsidRPr="00380168">
        <w:t xml:space="preserve">The dimensions of perfectionism. </w:t>
      </w:r>
      <w:proofErr w:type="spellStart"/>
      <w:r w:rsidRPr="00380168">
        <w:t>Cogn</w:t>
      </w:r>
      <w:proofErr w:type="spellEnd"/>
      <w:r w:rsidRPr="00380168">
        <w:t xml:space="preserve"> </w:t>
      </w:r>
      <w:proofErr w:type="spellStart"/>
      <w:r w:rsidRPr="00380168">
        <w:t>Ther</w:t>
      </w:r>
      <w:proofErr w:type="spellEnd"/>
      <w:r w:rsidRPr="00380168">
        <w:t xml:space="preserve"> Res 14: 449-468.</w:t>
      </w:r>
    </w:p>
    <w:p w14:paraId="73987633" w14:textId="77777777" w:rsidR="007626A5" w:rsidRDefault="007626A5" w:rsidP="007626A5">
      <w:pPr>
        <w:shd w:val="clear" w:color="auto" w:fill="FFFFFF"/>
        <w:ind w:left="360"/>
      </w:pPr>
    </w:p>
    <w:p w14:paraId="3AFB717F" w14:textId="77777777" w:rsidR="007626A5" w:rsidRPr="00380168" w:rsidRDefault="007626A5" w:rsidP="007626A5">
      <w:pPr>
        <w:shd w:val="clear" w:color="auto" w:fill="FFFFFF"/>
        <w:ind w:left="360"/>
      </w:pPr>
      <w:r w:rsidRPr="00380168">
        <w:t>Gross</w:t>
      </w:r>
      <w:r>
        <w:t>,</w:t>
      </w:r>
      <w:r w:rsidRPr="00380168">
        <w:t xml:space="preserve"> J</w:t>
      </w:r>
      <w:r>
        <w:t>.</w:t>
      </w:r>
      <w:r w:rsidRPr="00380168">
        <w:t>J</w:t>
      </w:r>
      <w:r>
        <w:t>.</w:t>
      </w:r>
      <w:r w:rsidRPr="00380168">
        <w:t>, John</w:t>
      </w:r>
      <w:r>
        <w:t>,</w:t>
      </w:r>
      <w:r w:rsidRPr="00380168">
        <w:t xml:space="preserve"> O</w:t>
      </w:r>
      <w:r>
        <w:t>.</w:t>
      </w:r>
      <w:r w:rsidRPr="00380168">
        <w:t>P.</w:t>
      </w:r>
      <w:r>
        <w:t xml:space="preserve"> (2003).</w:t>
      </w:r>
      <w:r w:rsidRPr="00380168">
        <w:t xml:space="preserve"> Individual differences in two emotion regulation processes: Implications for affect, relationships, and well-being. J Pers Soc Psychol 85(2):348-362. DOI: 10.1037/0022-3514.85.2.348</w:t>
      </w:r>
    </w:p>
    <w:p w14:paraId="5B3DEF6D" w14:textId="77777777" w:rsidR="007626A5" w:rsidRDefault="007626A5" w:rsidP="007626A5">
      <w:pPr>
        <w:shd w:val="clear" w:color="auto" w:fill="FFFFFF"/>
        <w:ind w:left="360"/>
      </w:pPr>
    </w:p>
    <w:p w14:paraId="7216FDB7" w14:textId="77777777" w:rsidR="007626A5" w:rsidRPr="00380168" w:rsidRDefault="007626A5" w:rsidP="007626A5">
      <w:pPr>
        <w:shd w:val="clear" w:color="auto" w:fill="FFFFFF"/>
        <w:ind w:left="360"/>
      </w:pPr>
      <w:r w:rsidRPr="00380168">
        <w:t>Hansen</w:t>
      </w:r>
      <w:r>
        <w:t>,</w:t>
      </w:r>
      <w:r w:rsidRPr="00380168">
        <w:t xml:space="preserve"> M</w:t>
      </w:r>
      <w:r>
        <w:t>.</w:t>
      </w:r>
      <w:r w:rsidRPr="00380168">
        <w:t>, Ross</w:t>
      </w:r>
      <w:r>
        <w:t>,</w:t>
      </w:r>
      <w:r w:rsidRPr="00380168">
        <w:t xml:space="preserve"> J</w:t>
      </w:r>
      <w:r>
        <w:t>.</w:t>
      </w:r>
      <w:r w:rsidRPr="00380168">
        <w:t xml:space="preserve">, </w:t>
      </w:r>
      <w:proofErr w:type="spellStart"/>
      <w:r w:rsidRPr="00380168">
        <w:t>Armour</w:t>
      </w:r>
      <w:proofErr w:type="spellEnd"/>
      <w:r>
        <w:t>,</w:t>
      </w:r>
      <w:r w:rsidRPr="00380168">
        <w:t xml:space="preserve"> C. </w:t>
      </w:r>
      <w:r>
        <w:t xml:space="preserve">(2017). </w:t>
      </w:r>
      <w:r w:rsidRPr="00380168">
        <w:t>Evidence of the dissociative PTSD subtype: A systematic literature review of latent class and profile analytic studies of PTSD. J Affect Disord.2017; 213:59-69.</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10.1016/j.jad.2017.02.004.</w:t>
      </w:r>
    </w:p>
    <w:p w14:paraId="77103C81" w14:textId="77777777" w:rsidR="007626A5" w:rsidRDefault="007626A5" w:rsidP="007626A5">
      <w:pPr>
        <w:shd w:val="clear" w:color="auto" w:fill="FFFFFF"/>
        <w:ind w:left="360"/>
      </w:pPr>
    </w:p>
    <w:p w14:paraId="44EE17C6" w14:textId="77777777" w:rsidR="007626A5" w:rsidRPr="00380168" w:rsidRDefault="007626A5" w:rsidP="007626A5">
      <w:pPr>
        <w:shd w:val="clear" w:color="auto" w:fill="FFFFFF"/>
        <w:ind w:left="360"/>
      </w:pPr>
      <w:r w:rsidRPr="00380168">
        <w:t>Harris</w:t>
      </w:r>
      <w:r>
        <w:t>,</w:t>
      </w:r>
      <w:r w:rsidRPr="00380168">
        <w:t xml:space="preserve"> P</w:t>
      </w:r>
      <w:r>
        <w:t>.</w:t>
      </w:r>
      <w:r w:rsidRPr="00380168">
        <w:t>A</w:t>
      </w:r>
      <w:r>
        <w:t>.</w:t>
      </w:r>
      <w:r w:rsidRPr="00380168">
        <w:t>, Taylor</w:t>
      </w:r>
      <w:r>
        <w:t>,</w:t>
      </w:r>
      <w:r w:rsidRPr="00380168">
        <w:t xml:space="preserve"> R</w:t>
      </w:r>
      <w:r>
        <w:t>.</w:t>
      </w:r>
      <w:r w:rsidRPr="00380168">
        <w:t xml:space="preserve">, </w:t>
      </w:r>
      <w:proofErr w:type="spellStart"/>
      <w:r w:rsidRPr="00380168">
        <w:t>Thielke</w:t>
      </w:r>
      <w:proofErr w:type="spellEnd"/>
      <w:r>
        <w:t>,</w:t>
      </w:r>
      <w:r w:rsidRPr="00380168">
        <w:t xml:space="preserve"> R</w:t>
      </w:r>
      <w:r>
        <w:t>.</w:t>
      </w:r>
      <w:r w:rsidRPr="00380168">
        <w:t>, Payne</w:t>
      </w:r>
      <w:r>
        <w:t>,</w:t>
      </w:r>
      <w:r w:rsidRPr="00380168">
        <w:t xml:space="preserve"> J</w:t>
      </w:r>
      <w:r>
        <w:t>.</w:t>
      </w:r>
      <w:r w:rsidRPr="00380168">
        <w:t>, Gonzalez</w:t>
      </w:r>
      <w:r>
        <w:t>,</w:t>
      </w:r>
      <w:r w:rsidRPr="00380168">
        <w:t xml:space="preserve"> N</w:t>
      </w:r>
      <w:r>
        <w:t>.</w:t>
      </w:r>
      <w:r w:rsidRPr="00380168">
        <w:t>, Conde</w:t>
      </w:r>
      <w:r>
        <w:t>,</w:t>
      </w:r>
      <w:r w:rsidRPr="00380168">
        <w:t xml:space="preserve"> J</w:t>
      </w:r>
      <w:r>
        <w:t>.</w:t>
      </w:r>
      <w:r w:rsidRPr="00380168">
        <w:t xml:space="preserve">G. </w:t>
      </w:r>
      <w:r>
        <w:t xml:space="preserve">(2009). </w:t>
      </w:r>
      <w:r w:rsidRPr="00380168">
        <w:t>Research electronic data capture (</w:t>
      </w:r>
      <w:proofErr w:type="spellStart"/>
      <w:r w:rsidRPr="00380168">
        <w:t>REDCap</w:t>
      </w:r>
      <w:proofErr w:type="spellEnd"/>
      <w:r w:rsidRPr="00380168">
        <w:t>) – A metadata-driven methodology and workflow process for providing translational research informatics support. J Biomed Inform 42(2): 377-381.</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10.1016/j.jbi.2008.08.010.</w:t>
      </w:r>
    </w:p>
    <w:p w14:paraId="7D12EAF5" w14:textId="77777777" w:rsidR="007626A5" w:rsidRDefault="007626A5" w:rsidP="007626A5">
      <w:pPr>
        <w:shd w:val="clear" w:color="auto" w:fill="FFFFFF"/>
        <w:ind w:left="360"/>
      </w:pPr>
    </w:p>
    <w:p w14:paraId="59CCA5A6" w14:textId="77777777" w:rsidR="007626A5" w:rsidRPr="00380168" w:rsidRDefault="007626A5" w:rsidP="007626A5">
      <w:pPr>
        <w:shd w:val="clear" w:color="auto" w:fill="FFFFFF"/>
        <w:ind w:left="360"/>
      </w:pPr>
      <w:proofErr w:type="spellStart"/>
      <w:r w:rsidRPr="00380168">
        <w:t>Isobe</w:t>
      </w:r>
      <w:proofErr w:type="spellEnd"/>
      <w:r>
        <w:t>,</w:t>
      </w:r>
      <w:r w:rsidRPr="00380168">
        <w:t xml:space="preserve"> M</w:t>
      </w:r>
      <w:r>
        <w:t>.</w:t>
      </w:r>
      <w:r w:rsidRPr="00380168">
        <w:t>, Redden</w:t>
      </w:r>
      <w:r>
        <w:t>,</w:t>
      </w:r>
      <w:r w:rsidRPr="00380168">
        <w:t xml:space="preserve"> S</w:t>
      </w:r>
      <w:r>
        <w:t>.</w:t>
      </w:r>
      <w:r w:rsidRPr="00380168">
        <w:t>A</w:t>
      </w:r>
      <w:r>
        <w:t>.</w:t>
      </w:r>
      <w:r w:rsidRPr="00380168">
        <w:t xml:space="preserve">, </w:t>
      </w:r>
      <w:proofErr w:type="spellStart"/>
      <w:r w:rsidRPr="00380168">
        <w:t>Keuthen</w:t>
      </w:r>
      <w:proofErr w:type="spellEnd"/>
      <w:r>
        <w:t>,</w:t>
      </w:r>
      <w:r w:rsidRPr="00380168">
        <w:t xml:space="preserve"> N</w:t>
      </w:r>
      <w:r>
        <w:t>.</w:t>
      </w:r>
      <w:r w:rsidRPr="00380168">
        <w:t>J</w:t>
      </w:r>
      <w:r>
        <w:t>.</w:t>
      </w:r>
      <w:r w:rsidRPr="00380168">
        <w:t>, Stein</w:t>
      </w:r>
      <w:r>
        <w:t>,</w:t>
      </w:r>
      <w:r w:rsidRPr="00380168">
        <w:t xml:space="preserve"> D</w:t>
      </w:r>
      <w:r>
        <w:t>.</w:t>
      </w:r>
      <w:r w:rsidRPr="00380168">
        <w:t>J</w:t>
      </w:r>
      <w:r>
        <w:t>.</w:t>
      </w:r>
      <w:r w:rsidRPr="00380168">
        <w:t>, Lochner</w:t>
      </w:r>
      <w:r>
        <w:t>,</w:t>
      </w:r>
      <w:r w:rsidRPr="00380168">
        <w:t xml:space="preserve"> C</w:t>
      </w:r>
      <w:r>
        <w:t>.</w:t>
      </w:r>
      <w:r w:rsidRPr="00380168">
        <w:t>, Grant</w:t>
      </w:r>
      <w:r>
        <w:t>,</w:t>
      </w:r>
      <w:r w:rsidRPr="00380168">
        <w:t xml:space="preserve"> J</w:t>
      </w:r>
      <w:r>
        <w:t>.</w:t>
      </w:r>
      <w:r w:rsidRPr="00380168">
        <w:t>E, et al.</w:t>
      </w:r>
      <w:r>
        <w:t xml:space="preserve"> (2018)</w:t>
      </w:r>
      <w:r w:rsidRPr="00380168">
        <w:t xml:space="preserve"> Striatal abnormalities in trichotillomania: a multi-site MRI analysis. Neuroimage Clin.;17:893‐898. </w:t>
      </w:r>
      <w:proofErr w:type="gramStart"/>
      <w:r w:rsidRPr="00380168">
        <w:t>doi:10.1016/j.nicl</w:t>
      </w:r>
      <w:proofErr w:type="gramEnd"/>
      <w:r w:rsidRPr="00380168">
        <w:t>.2017.12.031</w:t>
      </w:r>
    </w:p>
    <w:p w14:paraId="1AFBB9D5" w14:textId="77777777" w:rsidR="007626A5" w:rsidRDefault="007626A5" w:rsidP="007626A5">
      <w:pPr>
        <w:shd w:val="clear" w:color="auto" w:fill="FFFFFF"/>
        <w:ind w:left="360"/>
      </w:pPr>
    </w:p>
    <w:p w14:paraId="4614E2C4" w14:textId="77777777" w:rsidR="007626A5" w:rsidRPr="00380168" w:rsidRDefault="007626A5" w:rsidP="007626A5">
      <w:pPr>
        <w:shd w:val="clear" w:color="auto" w:fill="FFFFFF"/>
        <w:ind w:left="360"/>
      </w:pPr>
      <w:r w:rsidRPr="00380168">
        <w:t>Kessler</w:t>
      </w:r>
      <w:r>
        <w:t>,</w:t>
      </w:r>
      <w:r w:rsidRPr="00380168">
        <w:t xml:space="preserve"> R</w:t>
      </w:r>
      <w:r>
        <w:t>.</w:t>
      </w:r>
      <w:r w:rsidRPr="00380168">
        <w:t>C</w:t>
      </w:r>
      <w:r>
        <w:t>.</w:t>
      </w:r>
      <w:r w:rsidRPr="00380168">
        <w:t>, Adler</w:t>
      </w:r>
      <w:r>
        <w:t>,</w:t>
      </w:r>
      <w:r w:rsidRPr="00380168">
        <w:t xml:space="preserve"> L</w:t>
      </w:r>
      <w:r>
        <w:t>.</w:t>
      </w:r>
      <w:r w:rsidRPr="00380168">
        <w:t>, Ames</w:t>
      </w:r>
      <w:r>
        <w:t>,</w:t>
      </w:r>
      <w:r w:rsidRPr="00380168">
        <w:t xml:space="preserve"> M</w:t>
      </w:r>
      <w:r>
        <w:t>.</w:t>
      </w:r>
      <w:r w:rsidRPr="00380168">
        <w:t xml:space="preserve">, </w:t>
      </w:r>
      <w:proofErr w:type="spellStart"/>
      <w:r w:rsidRPr="00380168">
        <w:t>Demler</w:t>
      </w:r>
      <w:proofErr w:type="spellEnd"/>
      <w:r>
        <w:t>,</w:t>
      </w:r>
      <w:r w:rsidRPr="00380168">
        <w:t xml:space="preserve"> O</w:t>
      </w:r>
      <w:r>
        <w:t>.</w:t>
      </w:r>
      <w:r w:rsidRPr="00380168">
        <w:t xml:space="preserve">, </w:t>
      </w:r>
      <w:proofErr w:type="spellStart"/>
      <w:r w:rsidRPr="00380168">
        <w:t>Faraone</w:t>
      </w:r>
      <w:proofErr w:type="spellEnd"/>
      <w:r>
        <w:t>,</w:t>
      </w:r>
      <w:r w:rsidRPr="00380168">
        <w:t xml:space="preserve"> S</w:t>
      </w:r>
      <w:r>
        <w:t>.</w:t>
      </w:r>
      <w:r w:rsidRPr="00380168">
        <w:t xml:space="preserve">, </w:t>
      </w:r>
      <w:proofErr w:type="spellStart"/>
      <w:r w:rsidRPr="00380168">
        <w:t>Hiripi</w:t>
      </w:r>
      <w:proofErr w:type="spellEnd"/>
      <w:r>
        <w:t>,</w:t>
      </w:r>
      <w:r w:rsidRPr="00380168">
        <w:t xml:space="preserve"> E</w:t>
      </w:r>
      <w:r>
        <w:t>.</w:t>
      </w:r>
      <w:r w:rsidRPr="00380168">
        <w:t>, et al.</w:t>
      </w:r>
      <w:r>
        <w:t xml:space="preserve"> (2005).</w:t>
      </w:r>
      <w:r w:rsidRPr="00380168">
        <w:t xml:space="preserve"> The World Health Organization adult ADHD self-report scale (ASRS): A short </w:t>
      </w:r>
      <w:r w:rsidRPr="00380168">
        <w:lastRenderedPageBreak/>
        <w:t>screening scale for use in the general population. Psychol Med 2:245-256.</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10.1017/s0033291704002892.</w:t>
      </w:r>
    </w:p>
    <w:p w14:paraId="2A4C507F" w14:textId="77777777" w:rsidR="007626A5" w:rsidRDefault="007626A5" w:rsidP="007626A5">
      <w:pPr>
        <w:ind w:left="360"/>
      </w:pPr>
    </w:p>
    <w:p w14:paraId="4CB8E311" w14:textId="77777777" w:rsidR="007626A5" w:rsidRPr="00380168" w:rsidRDefault="007626A5" w:rsidP="007626A5">
      <w:pPr>
        <w:ind w:left="360"/>
      </w:pPr>
      <w:proofErr w:type="spellStart"/>
      <w:r w:rsidRPr="00380168">
        <w:t>Keuthen</w:t>
      </w:r>
      <w:proofErr w:type="spellEnd"/>
      <w:r>
        <w:t>,</w:t>
      </w:r>
      <w:r w:rsidRPr="00380168">
        <w:t xml:space="preserve"> N</w:t>
      </w:r>
      <w:r>
        <w:t>.</w:t>
      </w:r>
      <w:r w:rsidRPr="00380168">
        <w:t>J</w:t>
      </w:r>
      <w:r>
        <w:t>.</w:t>
      </w:r>
      <w:r w:rsidRPr="00380168">
        <w:t>, O’Sullivan</w:t>
      </w:r>
      <w:r>
        <w:t>,</w:t>
      </w:r>
      <w:r w:rsidRPr="00380168">
        <w:t xml:space="preserve"> R</w:t>
      </w:r>
      <w:r>
        <w:t>.</w:t>
      </w:r>
      <w:r w:rsidRPr="00380168">
        <w:t>L</w:t>
      </w:r>
      <w:r>
        <w:t xml:space="preserve">., Ricciardi, </w:t>
      </w:r>
      <w:r w:rsidRPr="00380168">
        <w:t>J</w:t>
      </w:r>
      <w:r>
        <w:t>.</w:t>
      </w:r>
      <w:r w:rsidRPr="00380168">
        <w:t>N</w:t>
      </w:r>
      <w:r>
        <w:t>.</w:t>
      </w:r>
      <w:r w:rsidRPr="00380168">
        <w:t>, Shera</w:t>
      </w:r>
      <w:r>
        <w:t>,</w:t>
      </w:r>
      <w:r w:rsidRPr="00380168">
        <w:t xml:space="preserve"> D</w:t>
      </w:r>
      <w:r>
        <w:t>.</w:t>
      </w:r>
      <w:r w:rsidRPr="00380168">
        <w:t>, Savage</w:t>
      </w:r>
      <w:r>
        <w:t>,</w:t>
      </w:r>
      <w:r w:rsidRPr="00380168">
        <w:t xml:space="preserve"> C</w:t>
      </w:r>
      <w:r>
        <w:t>.</w:t>
      </w:r>
      <w:r w:rsidRPr="00380168">
        <w:t>R</w:t>
      </w:r>
      <w:r>
        <w:t>.</w:t>
      </w:r>
      <w:r w:rsidRPr="00380168">
        <w:t>, Borgmann</w:t>
      </w:r>
      <w:r>
        <w:t>,</w:t>
      </w:r>
      <w:r w:rsidRPr="00380168">
        <w:t xml:space="preserve"> A</w:t>
      </w:r>
      <w:r>
        <w:t>.</w:t>
      </w:r>
      <w:r w:rsidRPr="00380168">
        <w:t>S</w:t>
      </w:r>
      <w:r>
        <w:t>.</w:t>
      </w:r>
      <w:r w:rsidRPr="00380168">
        <w:t>, et al.</w:t>
      </w:r>
      <w:r>
        <w:t xml:space="preserve"> (2005).</w:t>
      </w:r>
      <w:r w:rsidRPr="00380168">
        <w:t xml:space="preserve"> The Massachusetts General Hospital (MGH) Hairpulling Scale: 1. Development and factor analyses. </w:t>
      </w:r>
      <w:proofErr w:type="spellStart"/>
      <w:r w:rsidRPr="00380168">
        <w:t>Psychother</w:t>
      </w:r>
      <w:proofErr w:type="spellEnd"/>
      <w:r w:rsidRPr="00380168">
        <w:t xml:space="preserve"> </w:t>
      </w:r>
      <w:proofErr w:type="spellStart"/>
      <w:r w:rsidRPr="00380168">
        <w:t>Psychosom</w:t>
      </w:r>
      <w:proofErr w:type="spellEnd"/>
      <w:r w:rsidRPr="00380168">
        <w:t xml:space="preserve"> 64(3-4):141-145. </w:t>
      </w:r>
      <w:proofErr w:type="spellStart"/>
      <w:r w:rsidRPr="00380168">
        <w:rPr>
          <w:shd w:val="clear" w:color="auto" w:fill="FFFFFF"/>
        </w:rPr>
        <w:t>doi</w:t>
      </w:r>
      <w:proofErr w:type="spellEnd"/>
      <w:r w:rsidRPr="00380168">
        <w:rPr>
          <w:shd w:val="clear" w:color="auto" w:fill="FFFFFF"/>
        </w:rPr>
        <w:t>: 10.1159/000289003.</w:t>
      </w:r>
    </w:p>
    <w:p w14:paraId="6BEBCF3A" w14:textId="77777777" w:rsidR="007626A5" w:rsidRPr="00380168" w:rsidRDefault="007626A5" w:rsidP="007626A5">
      <w:pPr>
        <w:shd w:val="clear" w:color="auto" w:fill="FFFFFF"/>
        <w:ind w:left="360"/>
      </w:pPr>
    </w:p>
    <w:p w14:paraId="5079CBEC" w14:textId="77777777" w:rsidR="007626A5" w:rsidRPr="00380168" w:rsidRDefault="007626A5" w:rsidP="007626A5">
      <w:pPr>
        <w:shd w:val="clear" w:color="auto" w:fill="FFFFFF"/>
        <w:ind w:left="360"/>
      </w:pPr>
      <w:proofErr w:type="spellStart"/>
      <w:r w:rsidRPr="00380168">
        <w:t>Keuthen</w:t>
      </w:r>
      <w:proofErr w:type="spellEnd"/>
      <w:r>
        <w:t>,</w:t>
      </w:r>
      <w:r w:rsidRPr="00380168">
        <w:t xml:space="preserve"> N</w:t>
      </w:r>
      <w:r>
        <w:t>.</w:t>
      </w:r>
      <w:r w:rsidRPr="00380168">
        <w:t>J</w:t>
      </w:r>
      <w:r>
        <w:t>.</w:t>
      </w:r>
      <w:r w:rsidRPr="00380168">
        <w:t>, Tung</w:t>
      </w:r>
      <w:r>
        <w:t>,</w:t>
      </w:r>
      <w:r w:rsidRPr="00380168">
        <w:t xml:space="preserve"> E</w:t>
      </w:r>
      <w:r>
        <w:t>.</w:t>
      </w:r>
      <w:r w:rsidRPr="00380168">
        <w:t>S</w:t>
      </w:r>
      <w:r>
        <w:t>.</w:t>
      </w:r>
      <w:r w:rsidRPr="00380168">
        <w:t>, Woods</w:t>
      </w:r>
      <w:r>
        <w:t>,</w:t>
      </w:r>
      <w:r w:rsidRPr="00380168">
        <w:t xml:space="preserve"> D</w:t>
      </w:r>
      <w:r>
        <w:t>.</w:t>
      </w:r>
      <w:r w:rsidRPr="00380168">
        <w:t>W</w:t>
      </w:r>
      <w:r>
        <w:t>.</w:t>
      </w:r>
      <w:r w:rsidRPr="00380168">
        <w:t>, Franklin</w:t>
      </w:r>
      <w:r>
        <w:t>,</w:t>
      </w:r>
      <w:r w:rsidRPr="00380168">
        <w:t xml:space="preserve"> M</w:t>
      </w:r>
      <w:r>
        <w:t>.</w:t>
      </w:r>
      <w:r w:rsidRPr="00380168">
        <w:t>E</w:t>
      </w:r>
      <w:r>
        <w:t>.</w:t>
      </w:r>
      <w:r w:rsidRPr="00380168">
        <w:t xml:space="preserve">, </w:t>
      </w:r>
      <w:proofErr w:type="spellStart"/>
      <w:r w:rsidRPr="00380168">
        <w:t>Altenburger</w:t>
      </w:r>
      <w:proofErr w:type="spellEnd"/>
      <w:r>
        <w:t>,</w:t>
      </w:r>
      <w:r w:rsidRPr="00380168">
        <w:t xml:space="preserve"> E</w:t>
      </w:r>
      <w:r>
        <w:t>.</w:t>
      </w:r>
      <w:r w:rsidRPr="00380168">
        <w:t>M</w:t>
      </w:r>
      <w:r>
        <w:t>.</w:t>
      </w:r>
      <w:r w:rsidRPr="00380168">
        <w:t xml:space="preserve">, </w:t>
      </w:r>
      <w:proofErr w:type="spellStart"/>
      <w:r w:rsidRPr="00380168">
        <w:t>Pauls</w:t>
      </w:r>
      <w:proofErr w:type="spellEnd"/>
      <w:r>
        <w:t>,</w:t>
      </w:r>
      <w:r w:rsidRPr="00380168">
        <w:t xml:space="preserve"> D</w:t>
      </w:r>
      <w:r>
        <w:t>.</w:t>
      </w:r>
      <w:r w:rsidRPr="00380168">
        <w:t>L</w:t>
      </w:r>
      <w:r>
        <w:t>.</w:t>
      </w:r>
      <w:r w:rsidRPr="00380168">
        <w:t>, et al.</w:t>
      </w:r>
      <w:r>
        <w:t xml:space="preserve"> (2015).</w:t>
      </w:r>
      <w:r w:rsidRPr="00380168">
        <w:t xml:space="preserve"> Replication study of the Milwaukee inventory for subtypes </w:t>
      </w:r>
      <w:proofErr w:type="gramStart"/>
      <w:r w:rsidRPr="00380168">
        <w:t>of  trichotillomania</w:t>
      </w:r>
      <w:proofErr w:type="gramEnd"/>
      <w:r w:rsidRPr="00380168">
        <w:t xml:space="preserve">-adult version in a clinically-characterized sample. </w:t>
      </w:r>
      <w:proofErr w:type="spellStart"/>
      <w:r w:rsidRPr="00380168">
        <w:t>Behav</w:t>
      </w:r>
      <w:proofErr w:type="spellEnd"/>
      <w:r w:rsidRPr="00380168">
        <w:t xml:space="preserve"> </w:t>
      </w:r>
      <w:proofErr w:type="spellStart"/>
      <w:proofErr w:type="gramStart"/>
      <w:r w:rsidRPr="00380168">
        <w:t>Modif</w:t>
      </w:r>
      <w:proofErr w:type="spellEnd"/>
      <w:r w:rsidRPr="00380168">
        <w:t xml:space="preserve">  39</w:t>
      </w:r>
      <w:proofErr w:type="gramEnd"/>
      <w:r w:rsidRPr="00380168">
        <w:t>(4):580-599.</w:t>
      </w:r>
    </w:p>
    <w:p w14:paraId="6B90ED48" w14:textId="77777777" w:rsidR="007626A5" w:rsidRDefault="007626A5" w:rsidP="007626A5">
      <w:pPr>
        <w:shd w:val="clear" w:color="auto" w:fill="FFFFFF"/>
        <w:ind w:left="360"/>
      </w:pPr>
    </w:p>
    <w:p w14:paraId="31EBC71D" w14:textId="77777777" w:rsidR="007626A5" w:rsidRDefault="007626A5" w:rsidP="007626A5">
      <w:pPr>
        <w:shd w:val="clear" w:color="auto" w:fill="FFFFFF"/>
        <w:ind w:left="360"/>
        <w:rPr>
          <w:rStyle w:val="secondary-date"/>
          <w:shd w:val="clear" w:color="auto" w:fill="FFFFFF"/>
        </w:rPr>
      </w:pPr>
      <w:r w:rsidRPr="00380168">
        <w:t>Lee</w:t>
      </w:r>
      <w:r>
        <w:t>,</w:t>
      </w:r>
      <w:r w:rsidRPr="00380168">
        <w:t xml:space="preserve"> M</w:t>
      </w:r>
      <w:r>
        <w:t>.</w:t>
      </w:r>
      <w:r w:rsidRPr="00380168">
        <w:t>T</w:t>
      </w:r>
      <w:r>
        <w:t>.</w:t>
      </w:r>
      <w:r w:rsidRPr="00380168">
        <w:t xml:space="preserve">, </w:t>
      </w:r>
      <w:proofErr w:type="spellStart"/>
      <w:r w:rsidRPr="00380168">
        <w:t>Mpavaenda</w:t>
      </w:r>
      <w:proofErr w:type="spellEnd"/>
      <w:r>
        <w:t>,</w:t>
      </w:r>
      <w:r w:rsidRPr="00380168">
        <w:t xml:space="preserve"> D</w:t>
      </w:r>
      <w:r>
        <w:t>.</w:t>
      </w:r>
      <w:r w:rsidRPr="00380168">
        <w:t>N</w:t>
      </w:r>
      <w:r>
        <w:t>.</w:t>
      </w:r>
      <w:r w:rsidRPr="00380168">
        <w:t xml:space="preserve">, </w:t>
      </w:r>
      <w:proofErr w:type="spellStart"/>
      <w:r w:rsidRPr="00380168">
        <w:t>Fineberg</w:t>
      </w:r>
      <w:proofErr w:type="spellEnd"/>
      <w:r>
        <w:t>,</w:t>
      </w:r>
      <w:r w:rsidRPr="00380168">
        <w:t xml:space="preserve"> N</w:t>
      </w:r>
      <w:r>
        <w:t>.</w:t>
      </w:r>
      <w:r w:rsidRPr="00380168">
        <w:t>A.</w:t>
      </w:r>
      <w:r>
        <w:t xml:space="preserve"> (2019).</w:t>
      </w:r>
      <w:r w:rsidRPr="00380168">
        <w:t xml:space="preserve"> Habit Reversal Therapy in Obsessive Compulsive Related Disorders: A Systematic Review of the Evidence and CONSORT Evaluation of Randomized Controlled Trials. Front </w:t>
      </w:r>
      <w:proofErr w:type="spellStart"/>
      <w:r w:rsidRPr="00380168">
        <w:t>Behav</w:t>
      </w:r>
      <w:proofErr w:type="spellEnd"/>
      <w:r w:rsidRPr="00380168">
        <w:t xml:space="preserve"> </w:t>
      </w:r>
      <w:proofErr w:type="spellStart"/>
      <w:r w:rsidRPr="00380168">
        <w:t>Neurosci</w:t>
      </w:r>
      <w:proofErr w:type="spellEnd"/>
      <w:r w:rsidRPr="00380168">
        <w:t xml:space="preserve">. </w:t>
      </w:r>
      <w:proofErr w:type="gramStart"/>
      <w:r w:rsidRPr="00380168">
        <w:t>2019;13:79</w:t>
      </w:r>
      <w:proofErr w:type="gramEnd"/>
      <w:r w:rsidRPr="00380168">
        <w:t xml:space="preserve">. </w:t>
      </w:r>
      <w:proofErr w:type="spellStart"/>
      <w:r w:rsidRPr="00380168">
        <w:rPr>
          <w:rStyle w:val="citation-doi"/>
          <w:shd w:val="clear" w:color="auto" w:fill="FFFFFF"/>
        </w:rPr>
        <w:t>doi</w:t>
      </w:r>
      <w:proofErr w:type="spellEnd"/>
      <w:r w:rsidRPr="00380168">
        <w:rPr>
          <w:rStyle w:val="citation-doi"/>
          <w:shd w:val="clear" w:color="auto" w:fill="FFFFFF"/>
        </w:rPr>
        <w:t>: 10.3389/fnbeh.2019.00079.</w:t>
      </w:r>
      <w:r w:rsidRPr="00380168">
        <w:rPr>
          <w:shd w:val="clear" w:color="auto" w:fill="FFFFFF"/>
        </w:rPr>
        <w:t> </w:t>
      </w:r>
      <w:proofErr w:type="spellStart"/>
      <w:r w:rsidRPr="00380168">
        <w:rPr>
          <w:rStyle w:val="secondary-date"/>
          <w:shd w:val="clear" w:color="auto" w:fill="FFFFFF"/>
        </w:rPr>
        <w:t>eCollection</w:t>
      </w:r>
      <w:proofErr w:type="spellEnd"/>
      <w:r w:rsidRPr="00380168">
        <w:rPr>
          <w:rStyle w:val="secondary-date"/>
          <w:shd w:val="clear" w:color="auto" w:fill="FFFFFF"/>
        </w:rPr>
        <w:t xml:space="preserve"> 2019.</w:t>
      </w:r>
    </w:p>
    <w:p w14:paraId="3D426300" w14:textId="77777777" w:rsidR="007626A5" w:rsidRDefault="007626A5" w:rsidP="007626A5">
      <w:pPr>
        <w:shd w:val="clear" w:color="auto" w:fill="FFFFFF"/>
        <w:ind w:left="360"/>
      </w:pPr>
    </w:p>
    <w:p w14:paraId="36DCCB12" w14:textId="77777777" w:rsidR="007626A5" w:rsidRPr="00380168" w:rsidRDefault="007626A5" w:rsidP="007626A5">
      <w:pPr>
        <w:shd w:val="clear" w:color="auto" w:fill="FFFFFF"/>
        <w:ind w:left="360"/>
      </w:pPr>
      <w:r w:rsidRPr="00380168">
        <w:t>Lochner</w:t>
      </w:r>
      <w:r>
        <w:t>,</w:t>
      </w:r>
      <w:r w:rsidRPr="00380168">
        <w:t xml:space="preserve"> C</w:t>
      </w:r>
      <w:r>
        <w:t>.</w:t>
      </w:r>
      <w:r w:rsidRPr="00380168">
        <w:t xml:space="preserve">, </w:t>
      </w:r>
      <w:proofErr w:type="spellStart"/>
      <w:r w:rsidRPr="00380168">
        <w:t>Keuthen</w:t>
      </w:r>
      <w:proofErr w:type="spellEnd"/>
      <w:r>
        <w:t>,</w:t>
      </w:r>
      <w:r w:rsidRPr="00380168">
        <w:t xml:space="preserve"> N</w:t>
      </w:r>
      <w:r>
        <w:t>.</w:t>
      </w:r>
      <w:r w:rsidRPr="00380168">
        <w:t>J</w:t>
      </w:r>
      <w:r>
        <w:t>.</w:t>
      </w:r>
      <w:r w:rsidRPr="00380168">
        <w:t>, Curley</w:t>
      </w:r>
      <w:r>
        <w:t>,</w:t>
      </w:r>
      <w:r w:rsidRPr="00380168">
        <w:t xml:space="preserve"> E</w:t>
      </w:r>
      <w:r>
        <w:t>.</w:t>
      </w:r>
      <w:r w:rsidRPr="00380168">
        <w:t>E</w:t>
      </w:r>
      <w:r>
        <w:t>.</w:t>
      </w:r>
      <w:r w:rsidRPr="00380168">
        <w:t>, Tung</w:t>
      </w:r>
      <w:r>
        <w:t>,</w:t>
      </w:r>
      <w:r w:rsidRPr="00380168">
        <w:t xml:space="preserve"> E</w:t>
      </w:r>
      <w:r>
        <w:t>.</w:t>
      </w:r>
      <w:r w:rsidRPr="00380168">
        <w:t>S</w:t>
      </w:r>
      <w:r>
        <w:t>.</w:t>
      </w:r>
      <w:r w:rsidRPr="00380168">
        <w:t>, Redden</w:t>
      </w:r>
      <w:r>
        <w:t>,</w:t>
      </w:r>
      <w:r w:rsidRPr="00380168">
        <w:t xml:space="preserve"> S</w:t>
      </w:r>
      <w:r>
        <w:t>.</w:t>
      </w:r>
      <w:r w:rsidRPr="00380168">
        <w:t>A</w:t>
      </w:r>
      <w:r>
        <w:t>.</w:t>
      </w:r>
      <w:r w:rsidRPr="00380168">
        <w:t>, Ricketts</w:t>
      </w:r>
      <w:r>
        <w:t>,</w:t>
      </w:r>
      <w:r w:rsidRPr="00380168">
        <w:t xml:space="preserve"> E</w:t>
      </w:r>
      <w:r>
        <w:t>.</w:t>
      </w:r>
      <w:r w:rsidRPr="00380168">
        <w:t>J</w:t>
      </w:r>
      <w:r>
        <w:t>.</w:t>
      </w:r>
      <w:r w:rsidRPr="00380168">
        <w:t>, et al.</w:t>
      </w:r>
      <w:r>
        <w:t xml:space="preserve"> (2019).</w:t>
      </w:r>
      <w:r w:rsidRPr="00380168">
        <w:t xml:space="preserve">  Comorbidity in trichotillomania (hair-pulling disorder): A cluster analytical approach. Brain </w:t>
      </w:r>
      <w:proofErr w:type="spellStart"/>
      <w:r w:rsidRPr="00380168">
        <w:t>Behav</w:t>
      </w:r>
      <w:proofErr w:type="spellEnd"/>
      <w:r w:rsidRPr="00380168">
        <w:t>. 9(12</w:t>
      </w:r>
      <w:proofErr w:type="gramStart"/>
      <w:r w:rsidRPr="00380168">
        <w:t>):e</w:t>
      </w:r>
      <w:proofErr w:type="gramEnd"/>
      <w:r w:rsidRPr="00380168">
        <w:t>01456.</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10.1002/brb3.1456.</w:t>
      </w:r>
    </w:p>
    <w:p w14:paraId="4F6743BC" w14:textId="77777777" w:rsidR="007626A5" w:rsidRDefault="007626A5" w:rsidP="007626A5">
      <w:pPr>
        <w:shd w:val="clear" w:color="auto" w:fill="FFFFFF"/>
        <w:ind w:left="360"/>
        <w:rPr>
          <w:color w:val="212121"/>
          <w:shd w:val="clear" w:color="auto" w:fill="FFFFFF"/>
        </w:rPr>
      </w:pPr>
    </w:p>
    <w:p w14:paraId="479E671A" w14:textId="77777777" w:rsidR="007626A5" w:rsidRPr="00380168" w:rsidRDefault="007626A5" w:rsidP="007626A5">
      <w:pPr>
        <w:shd w:val="clear" w:color="auto" w:fill="FFFFFF"/>
        <w:ind w:left="360"/>
      </w:pPr>
      <w:proofErr w:type="spellStart"/>
      <w:r w:rsidRPr="00380168">
        <w:rPr>
          <w:color w:val="212121"/>
          <w:shd w:val="clear" w:color="auto" w:fill="FFFFFF"/>
        </w:rPr>
        <w:t>Monzani</w:t>
      </w:r>
      <w:proofErr w:type="spellEnd"/>
      <w:r>
        <w:rPr>
          <w:color w:val="212121"/>
          <w:shd w:val="clear" w:color="auto" w:fill="FFFFFF"/>
        </w:rPr>
        <w:t>,</w:t>
      </w:r>
      <w:r w:rsidRPr="00380168">
        <w:rPr>
          <w:color w:val="212121"/>
          <w:shd w:val="clear" w:color="auto" w:fill="FFFFFF"/>
        </w:rPr>
        <w:t xml:space="preserve"> B</w:t>
      </w:r>
      <w:r>
        <w:rPr>
          <w:color w:val="212121"/>
          <w:shd w:val="clear" w:color="auto" w:fill="FFFFFF"/>
        </w:rPr>
        <w:t>.</w:t>
      </w:r>
      <w:r w:rsidRPr="00380168">
        <w:rPr>
          <w:color w:val="212121"/>
          <w:shd w:val="clear" w:color="auto" w:fill="FFFFFF"/>
        </w:rPr>
        <w:t xml:space="preserve">, </w:t>
      </w:r>
      <w:proofErr w:type="spellStart"/>
      <w:r w:rsidRPr="00380168">
        <w:rPr>
          <w:color w:val="212121"/>
          <w:shd w:val="clear" w:color="auto" w:fill="FFFFFF"/>
        </w:rPr>
        <w:t>Rijsdijk</w:t>
      </w:r>
      <w:proofErr w:type="spellEnd"/>
      <w:r>
        <w:rPr>
          <w:color w:val="212121"/>
          <w:shd w:val="clear" w:color="auto" w:fill="FFFFFF"/>
        </w:rPr>
        <w:t>,</w:t>
      </w:r>
      <w:r w:rsidRPr="00380168">
        <w:rPr>
          <w:color w:val="212121"/>
          <w:shd w:val="clear" w:color="auto" w:fill="FFFFFF"/>
        </w:rPr>
        <w:t xml:space="preserve"> F</w:t>
      </w:r>
      <w:r>
        <w:rPr>
          <w:color w:val="212121"/>
          <w:shd w:val="clear" w:color="auto" w:fill="FFFFFF"/>
        </w:rPr>
        <w:t>.</w:t>
      </w:r>
      <w:r w:rsidRPr="00380168">
        <w:rPr>
          <w:color w:val="212121"/>
          <w:shd w:val="clear" w:color="auto" w:fill="FFFFFF"/>
        </w:rPr>
        <w:t>, Harris</w:t>
      </w:r>
      <w:r>
        <w:rPr>
          <w:color w:val="212121"/>
          <w:shd w:val="clear" w:color="auto" w:fill="FFFFFF"/>
        </w:rPr>
        <w:t>,</w:t>
      </w:r>
      <w:r w:rsidRPr="00380168">
        <w:rPr>
          <w:color w:val="212121"/>
          <w:shd w:val="clear" w:color="auto" w:fill="FFFFFF"/>
        </w:rPr>
        <w:t xml:space="preserve"> J</w:t>
      </w:r>
      <w:r>
        <w:rPr>
          <w:color w:val="212121"/>
          <w:shd w:val="clear" w:color="auto" w:fill="FFFFFF"/>
        </w:rPr>
        <w:t>.</w:t>
      </w:r>
      <w:r w:rsidRPr="00380168">
        <w:rPr>
          <w:color w:val="212121"/>
          <w:shd w:val="clear" w:color="auto" w:fill="FFFFFF"/>
        </w:rPr>
        <w:t xml:space="preserve">, </w:t>
      </w:r>
      <w:proofErr w:type="spellStart"/>
      <w:r w:rsidRPr="00380168">
        <w:rPr>
          <w:color w:val="212121"/>
          <w:shd w:val="clear" w:color="auto" w:fill="FFFFFF"/>
        </w:rPr>
        <w:t>Mataix</w:t>
      </w:r>
      <w:proofErr w:type="spellEnd"/>
      <w:r w:rsidRPr="00380168">
        <w:rPr>
          <w:color w:val="212121"/>
          <w:shd w:val="clear" w:color="auto" w:fill="FFFFFF"/>
        </w:rPr>
        <w:t>-Cols</w:t>
      </w:r>
      <w:r>
        <w:rPr>
          <w:color w:val="212121"/>
          <w:shd w:val="clear" w:color="auto" w:fill="FFFFFF"/>
        </w:rPr>
        <w:t>,</w:t>
      </w:r>
      <w:r w:rsidRPr="00380168">
        <w:rPr>
          <w:color w:val="212121"/>
          <w:shd w:val="clear" w:color="auto" w:fill="FFFFFF"/>
        </w:rPr>
        <w:t xml:space="preserve"> D. </w:t>
      </w:r>
      <w:r>
        <w:rPr>
          <w:color w:val="212121"/>
          <w:shd w:val="clear" w:color="auto" w:fill="FFFFFF"/>
        </w:rPr>
        <w:t xml:space="preserve">(2014). </w:t>
      </w:r>
      <w:r w:rsidRPr="00380168">
        <w:rPr>
          <w:color w:val="212121"/>
          <w:shd w:val="clear" w:color="auto" w:fill="FFFFFF"/>
        </w:rPr>
        <w:t>The structure of genetic and environmental risk factors for dimensional representations of DSM-5 obsessive-compulsive spectrum disorders. </w:t>
      </w:r>
      <w:r w:rsidRPr="00380168">
        <w:rPr>
          <w:iCs/>
          <w:color w:val="212121"/>
          <w:shd w:val="clear" w:color="auto" w:fill="FFFFFF"/>
        </w:rPr>
        <w:t xml:space="preserve">JAMA Psychiatry </w:t>
      </w:r>
      <w:r w:rsidRPr="00380168">
        <w:rPr>
          <w:color w:val="212121"/>
          <w:shd w:val="clear" w:color="auto" w:fill="FFFFFF"/>
        </w:rPr>
        <w:t>71(2):182‐189. doi:10.1001/jamapsychiatry.2013.3524</w:t>
      </w:r>
    </w:p>
    <w:p w14:paraId="22E62830" w14:textId="77777777" w:rsidR="007626A5" w:rsidRDefault="007626A5" w:rsidP="007626A5">
      <w:pPr>
        <w:ind w:left="360"/>
      </w:pPr>
    </w:p>
    <w:p w14:paraId="72A087CF" w14:textId="77777777" w:rsidR="007626A5" w:rsidRDefault="007626A5" w:rsidP="007626A5">
      <w:pPr>
        <w:ind w:left="360"/>
      </w:pPr>
      <w:proofErr w:type="spellStart"/>
      <w:r w:rsidRPr="00380168">
        <w:t>Muthén</w:t>
      </w:r>
      <w:proofErr w:type="spellEnd"/>
      <w:r>
        <w:t>,</w:t>
      </w:r>
      <w:r w:rsidRPr="00380168">
        <w:t xml:space="preserve"> L</w:t>
      </w:r>
      <w:r>
        <w:t>.</w:t>
      </w:r>
      <w:r w:rsidRPr="00380168">
        <w:t xml:space="preserve">, </w:t>
      </w:r>
      <w:proofErr w:type="spellStart"/>
      <w:r w:rsidRPr="00380168">
        <w:t>Muthén</w:t>
      </w:r>
      <w:proofErr w:type="spellEnd"/>
      <w:r>
        <w:t>,</w:t>
      </w:r>
      <w:r w:rsidRPr="00380168">
        <w:t xml:space="preserve"> B.</w:t>
      </w:r>
      <w:r>
        <w:t xml:space="preserve"> (2016).</w:t>
      </w:r>
      <w:r w:rsidRPr="00380168">
        <w:t xml:space="preserve"> </w:t>
      </w:r>
      <w:proofErr w:type="spellStart"/>
      <w:r w:rsidRPr="00380168">
        <w:t>Mplus</w:t>
      </w:r>
      <w:proofErr w:type="spellEnd"/>
      <w:r w:rsidRPr="00380168">
        <w:t xml:space="preserve"> User’s Guide, Los Angeles, CA, USA. </w:t>
      </w:r>
    </w:p>
    <w:p w14:paraId="13871041" w14:textId="77777777" w:rsidR="007626A5" w:rsidRDefault="007626A5" w:rsidP="007626A5">
      <w:pPr>
        <w:ind w:left="360"/>
      </w:pPr>
    </w:p>
    <w:p w14:paraId="3F87516C" w14:textId="77777777" w:rsidR="007626A5" w:rsidRPr="00380168" w:rsidRDefault="007626A5" w:rsidP="007626A5">
      <w:pPr>
        <w:ind w:left="360"/>
      </w:pPr>
      <w:r w:rsidRPr="00380168">
        <w:t>Owen</w:t>
      </w:r>
      <w:r>
        <w:t>,</w:t>
      </w:r>
      <w:r w:rsidRPr="00380168">
        <w:t xml:space="preserve"> A</w:t>
      </w:r>
      <w:r>
        <w:t>.</w:t>
      </w:r>
      <w:r w:rsidRPr="00380168">
        <w:t>M</w:t>
      </w:r>
      <w:r>
        <w:t>.</w:t>
      </w:r>
      <w:r w:rsidRPr="00380168">
        <w:t>, Roberts</w:t>
      </w:r>
      <w:r>
        <w:t>,</w:t>
      </w:r>
      <w:r w:rsidRPr="00380168">
        <w:t xml:space="preserve"> A</w:t>
      </w:r>
      <w:r>
        <w:t>.</w:t>
      </w:r>
      <w:r w:rsidRPr="00380168">
        <w:t>C</w:t>
      </w:r>
      <w:r>
        <w:t>.</w:t>
      </w:r>
      <w:r w:rsidRPr="00380168">
        <w:t xml:space="preserve">, </w:t>
      </w:r>
      <w:proofErr w:type="spellStart"/>
      <w:r w:rsidRPr="00380168">
        <w:t>Polkey</w:t>
      </w:r>
      <w:proofErr w:type="spellEnd"/>
      <w:r>
        <w:t>,</w:t>
      </w:r>
      <w:r w:rsidRPr="00380168">
        <w:t xml:space="preserve"> C</w:t>
      </w:r>
      <w:r>
        <w:t>.</w:t>
      </w:r>
      <w:r w:rsidRPr="00380168">
        <w:t>E</w:t>
      </w:r>
      <w:r>
        <w:t>.</w:t>
      </w:r>
      <w:r w:rsidRPr="00380168">
        <w:t>, Sahakian</w:t>
      </w:r>
      <w:r>
        <w:t>,</w:t>
      </w:r>
      <w:r w:rsidRPr="00380168">
        <w:t xml:space="preserve"> B</w:t>
      </w:r>
      <w:r>
        <w:t>.</w:t>
      </w:r>
      <w:r w:rsidRPr="00380168">
        <w:t>J</w:t>
      </w:r>
      <w:r>
        <w:t>.</w:t>
      </w:r>
      <w:r w:rsidRPr="00380168">
        <w:t>, Robbins</w:t>
      </w:r>
      <w:r>
        <w:t>,</w:t>
      </w:r>
      <w:r w:rsidRPr="00380168">
        <w:t xml:space="preserve"> T</w:t>
      </w:r>
      <w:r>
        <w:t>.</w:t>
      </w:r>
      <w:r w:rsidRPr="00380168">
        <w:t xml:space="preserve">W. </w:t>
      </w:r>
      <w:r>
        <w:t xml:space="preserve">(1991). </w:t>
      </w:r>
      <w:r w:rsidRPr="00380168">
        <w:t xml:space="preserve">Extra-dimensional versus intra-dimensional set shifting performance following frontal lobe excisions, temporal lobe excisions or </w:t>
      </w:r>
      <w:proofErr w:type="spellStart"/>
      <w:r w:rsidRPr="00380168">
        <w:t>amygdalo-hippocampectomy</w:t>
      </w:r>
      <w:proofErr w:type="spellEnd"/>
      <w:r w:rsidRPr="00380168">
        <w:t xml:space="preserve"> in man. </w:t>
      </w:r>
      <w:proofErr w:type="spellStart"/>
      <w:r w:rsidRPr="00380168">
        <w:t>Neuropsychologia</w:t>
      </w:r>
      <w:proofErr w:type="spellEnd"/>
      <w:r w:rsidRPr="00380168">
        <w:t xml:space="preserve"> 29 (10): 993-1006.</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10.1016/0028-3932(91)90063-e.</w:t>
      </w:r>
    </w:p>
    <w:p w14:paraId="454B84D6" w14:textId="77777777" w:rsidR="007626A5" w:rsidRDefault="007626A5" w:rsidP="007626A5">
      <w:pPr>
        <w:ind w:left="360"/>
        <w:rPr>
          <w:shd w:val="clear" w:color="auto" w:fill="FFFFFF"/>
        </w:rPr>
      </w:pPr>
    </w:p>
    <w:p w14:paraId="50CB8825" w14:textId="77777777" w:rsidR="00153162" w:rsidRDefault="007626A5" w:rsidP="00153162">
      <w:pPr>
        <w:ind w:firstLine="360"/>
        <w:rPr>
          <w:shd w:val="clear" w:color="auto" w:fill="FFFFFF"/>
        </w:rPr>
      </w:pPr>
      <w:r w:rsidRPr="00153162">
        <w:rPr>
          <w:shd w:val="clear" w:color="auto" w:fill="FFFFFF"/>
        </w:rPr>
        <w:t xml:space="preserve">Patton, J.H., Stanford, M.S., Barratt, E.S.  (1995). Factor structure of the Barratt </w:t>
      </w:r>
    </w:p>
    <w:p w14:paraId="467A1480" w14:textId="77777777" w:rsidR="00153162" w:rsidRDefault="007626A5" w:rsidP="00153162">
      <w:pPr>
        <w:ind w:firstLine="360"/>
        <w:rPr>
          <w:shd w:val="clear" w:color="auto" w:fill="FFFFFF"/>
        </w:rPr>
      </w:pPr>
      <w:r w:rsidRPr="00153162">
        <w:rPr>
          <w:shd w:val="clear" w:color="auto" w:fill="FFFFFF"/>
        </w:rPr>
        <w:t>impulsiveness scale. </w:t>
      </w:r>
      <w:r w:rsidRPr="00153162">
        <w:rPr>
          <w:rStyle w:val="ref-journal"/>
          <w:shd w:val="clear" w:color="auto" w:fill="FFFFFF"/>
        </w:rPr>
        <w:t>J Clin Psychology. </w:t>
      </w:r>
      <w:r w:rsidRPr="00153162">
        <w:rPr>
          <w:rStyle w:val="ref-vol"/>
          <w:shd w:val="clear" w:color="auto" w:fill="FFFFFF"/>
        </w:rPr>
        <w:t>51(6)</w:t>
      </w:r>
      <w:r w:rsidRPr="00153162">
        <w:rPr>
          <w:shd w:val="clear" w:color="auto" w:fill="FFFFFF"/>
        </w:rPr>
        <w:t>:768–774.</w:t>
      </w:r>
      <w:r w:rsidRPr="00153162">
        <w:t xml:space="preserve"> </w:t>
      </w:r>
      <w:proofErr w:type="spellStart"/>
      <w:r w:rsidRPr="00153162">
        <w:rPr>
          <w:shd w:val="clear" w:color="auto" w:fill="FFFFFF"/>
        </w:rPr>
        <w:t>doi</w:t>
      </w:r>
      <w:proofErr w:type="spellEnd"/>
      <w:r w:rsidRPr="00153162">
        <w:rPr>
          <w:shd w:val="clear" w:color="auto" w:fill="FFFFFF"/>
        </w:rPr>
        <w:t>: 10.1002/1097-</w:t>
      </w:r>
    </w:p>
    <w:p w14:paraId="7D33CF18" w14:textId="6E6226DE" w:rsidR="007626A5" w:rsidRPr="00153162" w:rsidRDefault="007626A5" w:rsidP="00153162">
      <w:pPr>
        <w:ind w:firstLine="360"/>
      </w:pPr>
      <w:r w:rsidRPr="00153162">
        <w:rPr>
          <w:shd w:val="clear" w:color="auto" w:fill="FFFFFF"/>
        </w:rPr>
        <w:t>4679(</w:t>
      </w:r>
      <w:proofErr w:type="gramStart"/>
      <w:r w:rsidRPr="00153162">
        <w:rPr>
          <w:shd w:val="clear" w:color="auto" w:fill="FFFFFF"/>
        </w:rPr>
        <w:t>199511)51:6</w:t>
      </w:r>
      <w:proofErr w:type="gramEnd"/>
      <w:r w:rsidRPr="00153162">
        <w:rPr>
          <w:shd w:val="clear" w:color="auto" w:fill="FFFFFF"/>
        </w:rPr>
        <w:t>&lt;768::aid-jclp2270510607&gt;3.0.co;2-1.</w:t>
      </w:r>
    </w:p>
    <w:p w14:paraId="479CC541" w14:textId="1F39B00D" w:rsidR="007626A5" w:rsidRPr="00153162" w:rsidRDefault="00153162" w:rsidP="00153162">
      <w:pPr>
        <w:pStyle w:val="Heading1"/>
        <w:shd w:val="clear" w:color="auto" w:fill="FFFFFF"/>
        <w:ind w:left="360"/>
        <w:rPr>
          <w:rFonts w:ascii="Times New Roman" w:hAnsi="Times New Roman"/>
          <w:b w:val="0"/>
          <w:sz w:val="24"/>
          <w:szCs w:val="24"/>
          <w:lang w:val="cs-CZ"/>
        </w:rPr>
      </w:pPr>
      <w:proofErr w:type="spellStart"/>
      <w:r w:rsidRPr="00153162">
        <w:rPr>
          <w:rStyle w:val="docsum-authors"/>
          <w:rFonts w:ascii="Times New Roman" w:hAnsi="Times New Roman"/>
          <w:b w:val="0"/>
          <w:sz w:val="24"/>
          <w:szCs w:val="24"/>
          <w:shd w:val="clear" w:color="auto" w:fill="FFFFFF"/>
        </w:rPr>
        <w:t>Pozza</w:t>
      </w:r>
      <w:proofErr w:type="spellEnd"/>
      <w:r w:rsidRPr="00153162">
        <w:rPr>
          <w:rStyle w:val="docsum-authors"/>
          <w:rFonts w:ascii="Times New Roman" w:hAnsi="Times New Roman"/>
          <w:b w:val="0"/>
          <w:sz w:val="24"/>
          <w:szCs w:val="24"/>
          <w:shd w:val="clear" w:color="auto" w:fill="FFFFFF"/>
        </w:rPr>
        <w:t xml:space="preserve"> A, </w:t>
      </w:r>
      <w:proofErr w:type="spellStart"/>
      <w:r w:rsidRPr="00153162">
        <w:rPr>
          <w:rStyle w:val="docsum-authors"/>
          <w:rFonts w:ascii="Times New Roman" w:hAnsi="Times New Roman"/>
          <w:b w:val="0"/>
          <w:sz w:val="24"/>
          <w:szCs w:val="24"/>
          <w:shd w:val="clear" w:color="auto" w:fill="FFFFFF"/>
        </w:rPr>
        <w:t>Giaquinta</w:t>
      </w:r>
      <w:proofErr w:type="spellEnd"/>
      <w:r w:rsidRPr="00153162">
        <w:rPr>
          <w:rStyle w:val="docsum-authors"/>
          <w:rFonts w:ascii="Times New Roman" w:hAnsi="Times New Roman"/>
          <w:b w:val="0"/>
          <w:sz w:val="24"/>
          <w:szCs w:val="24"/>
          <w:shd w:val="clear" w:color="auto" w:fill="FFFFFF"/>
        </w:rPr>
        <w:t xml:space="preserve"> N, </w:t>
      </w:r>
      <w:proofErr w:type="spellStart"/>
      <w:r w:rsidRPr="00153162">
        <w:rPr>
          <w:rStyle w:val="docsum-authors"/>
          <w:rFonts w:ascii="Times New Roman" w:hAnsi="Times New Roman"/>
          <w:b w:val="0"/>
          <w:sz w:val="24"/>
          <w:szCs w:val="24"/>
          <w:shd w:val="clear" w:color="auto" w:fill="FFFFFF"/>
        </w:rPr>
        <w:t>Dèttore</w:t>
      </w:r>
      <w:proofErr w:type="spellEnd"/>
      <w:r w:rsidRPr="00153162">
        <w:rPr>
          <w:rStyle w:val="docsum-authors"/>
          <w:rFonts w:ascii="Times New Roman" w:hAnsi="Times New Roman"/>
          <w:b w:val="0"/>
          <w:sz w:val="24"/>
          <w:szCs w:val="24"/>
          <w:shd w:val="clear" w:color="auto" w:fill="FFFFFF"/>
        </w:rPr>
        <w:t xml:space="preserve"> D. </w:t>
      </w:r>
      <w:r w:rsidRPr="00153162">
        <w:rPr>
          <w:rFonts w:ascii="Times New Roman" w:hAnsi="Times New Roman"/>
          <w:b w:val="0"/>
          <w:kern w:val="36"/>
          <w:sz w:val="24"/>
          <w:szCs w:val="24"/>
        </w:rPr>
        <w:t>Borderline, avoidant, sadistic personality traits and emotion dysregulation predict different pathological skin picking subtypes in a community sample</w:t>
      </w:r>
      <w:r>
        <w:rPr>
          <w:rFonts w:ascii="Times New Roman" w:hAnsi="Times New Roman"/>
          <w:b w:val="0"/>
          <w:kern w:val="36"/>
          <w:sz w:val="24"/>
          <w:szCs w:val="24"/>
        </w:rPr>
        <w:t xml:space="preserve">. </w:t>
      </w:r>
      <w:proofErr w:type="spellStart"/>
      <w:r w:rsidRPr="00153162">
        <w:rPr>
          <w:rStyle w:val="docsum-journal-citation"/>
          <w:rFonts w:ascii="Times New Roman" w:hAnsi="Times New Roman"/>
          <w:b w:val="0"/>
          <w:sz w:val="24"/>
          <w:szCs w:val="24"/>
          <w:shd w:val="clear" w:color="auto" w:fill="FFFFFF"/>
        </w:rPr>
        <w:t>Neuropsychiatr</w:t>
      </w:r>
      <w:proofErr w:type="spellEnd"/>
      <w:r w:rsidRPr="00153162">
        <w:rPr>
          <w:rStyle w:val="docsum-journal-citation"/>
          <w:rFonts w:ascii="Times New Roman" w:hAnsi="Times New Roman"/>
          <w:b w:val="0"/>
          <w:sz w:val="24"/>
          <w:szCs w:val="24"/>
          <w:shd w:val="clear" w:color="auto" w:fill="FFFFFF"/>
        </w:rPr>
        <w:t xml:space="preserve"> Dis Treat. 2016 Aug </w:t>
      </w:r>
      <w:proofErr w:type="gramStart"/>
      <w:r w:rsidRPr="00153162">
        <w:rPr>
          <w:rStyle w:val="docsum-journal-citation"/>
          <w:rFonts w:ascii="Times New Roman" w:hAnsi="Times New Roman"/>
          <w:b w:val="0"/>
          <w:sz w:val="24"/>
          <w:szCs w:val="24"/>
          <w:shd w:val="clear" w:color="auto" w:fill="FFFFFF"/>
        </w:rPr>
        <w:t>1;12:1861</w:t>
      </w:r>
      <w:proofErr w:type="gramEnd"/>
      <w:r w:rsidRPr="00153162">
        <w:rPr>
          <w:rStyle w:val="docsum-journal-citation"/>
          <w:rFonts w:ascii="Times New Roman" w:hAnsi="Times New Roman"/>
          <w:b w:val="0"/>
          <w:sz w:val="24"/>
          <w:szCs w:val="24"/>
          <w:shd w:val="clear" w:color="auto" w:fill="FFFFFF"/>
        </w:rPr>
        <w:t xml:space="preserve">-7. </w:t>
      </w:r>
      <w:proofErr w:type="spellStart"/>
      <w:r w:rsidRPr="00153162">
        <w:rPr>
          <w:rStyle w:val="docsum-journal-citation"/>
          <w:rFonts w:ascii="Times New Roman" w:hAnsi="Times New Roman"/>
          <w:b w:val="0"/>
          <w:sz w:val="24"/>
          <w:szCs w:val="24"/>
          <w:shd w:val="clear" w:color="auto" w:fill="FFFFFF"/>
        </w:rPr>
        <w:t>doi</w:t>
      </w:r>
      <w:proofErr w:type="spellEnd"/>
      <w:r w:rsidRPr="00153162">
        <w:rPr>
          <w:rStyle w:val="docsum-journal-citation"/>
          <w:rFonts w:ascii="Times New Roman" w:hAnsi="Times New Roman"/>
          <w:b w:val="0"/>
          <w:sz w:val="24"/>
          <w:szCs w:val="24"/>
          <w:shd w:val="clear" w:color="auto" w:fill="FFFFFF"/>
        </w:rPr>
        <w:t xml:space="preserve">: 10.2147/NDT.S109162. </w:t>
      </w:r>
      <w:proofErr w:type="spellStart"/>
      <w:r w:rsidRPr="00153162">
        <w:rPr>
          <w:rStyle w:val="docsum-journal-citation"/>
          <w:rFonts w:ascii="Times New Roman" w:hAnsi="Times New Roman"/>
          <w:b w:val="0"/>
          <w:sz w:val="24"/>
          <w:szCs w:val="24"/>
          <w:shd w:val="clear" w:color="auto" w:fill="FFFFFF"/>
        </w:rPr>
        <w:t>eCollection</w:t>
      </w:r>
      <w:proofErr w:type="spellEnd"/>
      <w:r w:rsidRPr="00153162">
        <w:rPr>
          <w:rStyle w:val="docsum-journal-citation"/>
          <w:rFonts w:ascii="Times New Roman" w:hAnsi="Times New Roman"/>
          <w:b w:val="0"/>
          <w:sz w:val="24"/>
          <w:szCs w:val="24"/>
          <w:shd w:val="clear" w:color="auto" w:fill="FFFFFF"/>
        </w:rPr>
        <w:t xml:space="preserve"> 2016.</w:t>
      </w:r>
    </w:p>
    <w:p w14:paraId="4DB97863" w14:textId="77777777" w:rsidR="00153162" w:rsidRPr="00153162" w:rsidRDefault="00153162" w:rsidP="007626A5">
      <w:pPr>
        <w:ind w:left="360"/>
        <w:rPr>
          <w:lang w:val="cs-CZ"/>
        </w:rPr>
      </w:pPr>
    </w:p>
    <w:p w14:paraId="64481A10" w14:textId="2D23B3E7" w:rsidR="007626A5" w:rsidRPr="00380168" w:rsidRDefault="007626A5" w:rsidP="007626A5">
      <w:pPr>
        <w:ind w:left="360"/>
        <w:rPr>
          <w:lang w:val="cs-CZ"/>
        </w:rPr>
      </w:pPr>
      <w:r w:rsidRPr="00380168">
        <w:rPr>
          <w:lang w:val="cs-CZ"/>
        </w:rPr>
        <w:t xml:space="preserve">R Core Team. </w:t>
      </w:r>
      <w:r>
        <w:rPr>
          <w:lang w:val="cs-CZ"/>
        </w:rPr>
        <w:t xml:space="preserve">(2002). </w:t>
      </w:r>
      <w:r w:rsidRPr="00380168">
        <w:rPr>
          <w:lang w:val="cs-CZ"/>
        </w:rPr>
        <w:t xml:space="preserve">R A language and environment for statistical computing. R Foundation for Statistical Computing, Vienna, Austria. URL </w:t>
      </w:r>
      <w:hyperlink r:id="rId11" w:history="1">
        <w:r w:rsidRPr="00380168">
          <w:rPr>
            <w:rStyle w:val="Hyperlink"/>
            <w:lang w:val="cs-CZ"/>
          </w:rPr>
          <w:t>https://www.R-project.org/</w:t>
        </w:r>
      </w:hyperlink>
      <w:r w:rsidRPr="00380168">
        <w:rPr>
          <w:lang w:val="cs-CZ"/>
        </w:rPr>
        <w:t xml:space="preserve">. </w:t>
      </w:r>
    </w:p>
    <w:p w14:paraId="3D1CD4A5" w14:textId="7D2977B6" w:rsidR="007626A5" w:rsidRDefault="007626A5" w:rsidP="007626A5">
      <w:pPr>
        <w:shd w:val="clear" w:color="auto" w:fill="FFFFFF"/>
        <w:ind w:left="360"/>
      </w:pPr>
    </w:p>
    <w:p w14:paraId="3AE26FF0" w14:textId="48742122" w:rsidR="00153162" w:rsidRPr="00153162" w:rsidRDefault="00153162" w:rsidP="007626A5">
      <w:pPr>
        <w:shd w:val="clear" w:color="auto" w:fill="FFFFFF"/>
        <w:ind w:left="360"/>
      </w:pPr>
      <w:r w:rsidRPr="00153162">
        <w:rPr>
          <w:color w:val="212121"/>
          <w:shd w:val="clear" w:color="auto" w:fill="FFFFFF"/>
        </w:rPr>
        <w:t xml:space="preserve">Ricketts EJ, Snorrason I, </w:t>
      </w:r>
      <w:proofErr w:type="spellStart"/>
      <w:r w:rsidRPr="00153162">
        <w:rPr>
          <w:color w:val="212121"/>
          <w:shd w:val="clear" w:color="auto" w:fill="FFFFFF"/>
        </w:rPr>
        <w:t>Kircanski</w:t>
      </w:r>
      <w:proofErr w:type="spellEnd"/>
      <w:r w:rsidRPr="00153162">
        <w:rPr>
          <w:color w:val="212121"/>
          <w:shd w:val="clear" w:color="auto" w:fill="FFFFFF"/>
        </w:rPr>
        <w:t xml:space="preserve"> K, Snorrason I, </w:t>
      </w:r>
      <w:proofErr w:type="spellStart"/>
      <w:r w:rsidRPr="00153162">
        <w:rPr>
          <w:color w:val="212121"/>
          <w:shd w:val="clear" w:color="auto" w:fill="FFFFFF"/>
        </w:rPr>
        <w:t>Kircanski</w:t>
      </w:r>
      <w:proofErr w:type="spellEnd"/>
      <w:r w:rsidRPr="00153162">
        <w:rPr>
          <w:color w:val="212121"/>
          <w:shd w:val="clear" w:color="auto" w:fill="FFFFFF"/>
        </w:rPr>
        <w:t xml:space="preserve"> K, Alexander JR, </w:t>
      </w:r>
      <w:proofErr w:type="spellStart"/>
      <w:r w:rsidRPr="00153162">
        <w:rPr>
          <w:color w:val="212121"/>
          <w:shd w:val="clear" w:color="auto" w:fill="FFFFFF"/>
        </w:rPr>
        <w:t>Stiede</w:t>
      </w:r>
      <w:proofErr w:type="spellEnd"/>
      <w:r w:rsidRPr="00153162">
        <w:rPr>
          <w:color w:val="212121"/>
          <w:shd w:val="clear" w:color="auto" w:fill="FFFFFF"/>
        </w:rPr>
        <w:t xml:space="preserve"> JT, </w:t>
      </w:r>
      <w:proofErr w:type="spellStart"/>
      <w:r w:rsidRPr="00153162">
        <w:rPr>
          <w:color w:val="212121"/>
          <w:shd w:val="clear" w:color="auto" w:fill="FFFFFF"/>
        </w:rPr>
        <w:t>Thamrin</w:t>
      </w:r>
      <w:proofErr w:type="spellEnd"/>
      <w:r w:rsidRPr="00153162">
        <w:rPr>
          <w:color w:val="212121"/>
          <w:shd w:val="clear" w:color="auto" w:fill="FFFFFF"/>
        </w:rPr>
        <w:t xml:space="preserve"> H, Flessner CA, Franklin ME, </w:t>
      </w:r>
      <w:proofErr w:type="spellStart"/>
      <w:r w:rsidRPr="00153162">
        <w:rPr>
          <w:color w:val="212121"/>
          <w:shd w:val="clear" w:color="auto" w:fill="FFFFFF"/>
        </w:rPr>
        <w:t>Keuthen</w:t>
      </w:r>
      <w:proofErr w:type="spellEnd"/>
      <w:r w:rsidRPr="00153162">
        <w:rPr>
          <w:color w:val="212121"/>
          <w:shd w:val="clear" w:color="auto" w:fill="FFFFFF"/>
        </w:rPr>
        <w:t xml:space="preserve"> NJ, Walther MR, </w:t>
      </w:r>
      <w:proofErr w:type="spellStart"/>
      <w:r w:rsidRPr="00153162">
        <w:rPr>
          <w:color w:val="212121"/>
          <w:shd w:val="clear" w:color="auto" w:fill="FFFFFF"/>
        </w:rPr>
        <w:t>Piacentini</w:t>
      </w:r>
      <w:proofErr w:type="spellEnd"/>
      <w:r w:rsidRPr="00153162">
        <w:rPr>
          <w:color w:val="212121"/>
          <w:shd w:val="clear" w:color="auto" w:fill="FFFFFF"/>
        </w:rPr>
        <w:t xml:space="preserve"> J, Stein DJ, Woods DW.A latent profile analysis of age of onset in trichotillomania. </w:t>
      </w:r>
      <w:r w:rsidRPr="00153162">
        <w:rPr>
          <w:i/>
          <w:iCs/>
          <w:color w:val="212121"/>
          <w:shd w:val="clear" w:color="auto" w:fill="FFFFFF"/>
        </w:rPr>
        <w:t>Ann Clin Psychiatry</w:t>
      </w:r>
      <w:r w:rsidRPr="00153162">
        <w:rPr>
          <w:color w:val="212121"/>
          <w:shd w:val="clear" w:color="auto" w:fill="FFFFFF"/>
        </w:rPr>
        <w:t>. 2019;31(3):169-178.</w:t>
      </w:r>
    </w:p>
    <w:p w14:paraId="1794CF62" w14:textId="77777777" w:rsidR="00153162" w:rsidRDefault="00153162" w:rsidP="007626A5">
      <w:pPr>
        <w:shd w:val="clear" w:color="auto" w:fill="FFFFFF"/>
        <w:ind w:left="360"/>
      </w:pPr>
    </w:p>
    <w:p w14:paraId="161688F3" w14:textId="77777777" w:rsidR="007626A5" w:rsidRPr="00380168" w:rsidRDefault="007626A5" w:rsidP="007626A5">
      <w:pPr>
        <w:shd w:val="clear" w:color="auto" w:fill="FFFFFF"/>
        <w:ind w:left="360"/>
      </w:pPr>
      <w:r w:rsidRPr="00380168">
        <w:t>Rothbart</w:t>
      </w:r>
      <w:r>
        <w:t>,</w:t>
      </w:r>
      <w:r w:rsidRPr="00380168">
        <w:t xml:space="preserve"> R</w:t>
      </w:r>
      <w:r>
        <w:t>.</w:t>
      </w:r>
      <w:r w:rsidRPr="00380168">
        <w:t>, Amos</w:t>
      </w:r>
      <w:r>
        <w:t>,</w:t>
      </w:r>
      <w:r w:rsidRPr="00380168">
        <w:t xml:space="preserve"> T</w:t>
      </w:r>
      <w:r>
        <w:t>.</w:t>
      </w:r>
      <w:r w:rsidRPr="00380168">
        <w:t>, Siegfried</w:t>
      </w:r>
      <w:r>
        <w:t>,</w:t>
      </w:r>
      <w:r w:rsidRPr="00380168">
        <w:t xml:space="preserve"> N</w:t>
      </w:r>
      <w:r>
        <w:t>.</w:t>
      </w:r>
      <w:r w:rsidRPr="00380168">
        <w:t xml:space="preserve">, </w:t>
      </w:r>
      <w:proofErr w:type="spellStart"/>
      <w:r w:rsidRPr="00380168">
        <w:t>Ipser</w:t>
      </w:r>
      <w:proofErr w:type="spellEnd"/>
      <w:r>
        <w:t>,</w:t>
      </w:r>
      <w:r w:rsidRPr="00380168">
        <w:t xml:space="preserve"> J</w:t>
      </w:r>
      <w:r>
        <w:t>.</w:t>
      </w:r>
      <w:r w:rsidRPr="00380168">
        <w:t>C</w:t>
      </w:r>
      <w:r>
        <w:t>.</w:t>
      </w:r>
      <w:r w:rsidRPr="00380168">
        <w:t xml:space="preserve">, </w:t>
      </w:r>
      <w:proofErr w:type="spellStart"/>
      <w:r w:rsidRPr="00380168">
        <w:t>Fineberg</w:t>
      </w:r>
      <w:proofErr w:type="spellEnd"/>
      <w:r>
        <w:t>,</w:t>
      </w:r>
      <w:r w:rsidRPr="00380168">
        <w:t xml:space="preserve"> N</w:t>
      </w:r>
      <w:r>
        <w:t>.</w:t>
      </w:r>
      <w:r w:rsidRPr="00380168">
        <w:t>, Chamberlain</w:t>
      </w:r>
      <w:r>
        <w:t>,</w:t>
      </w:r>
      <w:r w:rsidRPr="00380168">
        <w:t xml:space="preserve"> S</w:t>
      </w:r>
      <w:r>
        <w:t>.</w:t>
      </w:r>
      <w:r w:rsidRPr="00380168">
        <w:t>R</w:t>
      </w:r>
      <w:r>
        <w:t>.</w:t>
      </w:r>
      <w:r w:rsidRPr="00380168">
        <w:t>, et al.</w:t>
      </w:r>
      <w:r>
        <w:t xml:space="preserve"> (2013).</w:t>
      </w:r>
      <w:r w:rsidRPr="00380168">
        <w:t xml:space="preserve">  Pharmacotherapy for trichotillomania. Cochrane Database Syst Rev. (11):CD007662.</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10.1002/14651858.CD007662.pub2.</w:t>
      </w:r>
    </w:p>
    <w:p w14:paraId="79907EEE" w14:textId="77777777" w:rsidR="007626A5" w:rsidRDefault="007626A5" w:rsidP="007626A5">
      <w:pPr>
        <w:shd w:val="clear" w:color="auto" w:fill="FFFFFF"/>
        <w:ind w:left="360"/>
      </w:pPr>
    </w:p>
    <w:p w14:paraId="37627A8E" w14:textId="77777777" w:rsidR="007626A5" w:rsidRPr="00380168" w:rsidRDefault="007626A5" w:rsidP="007626A5">
      <w:pPr>
        <w:shd w:val="clear" w:color="auto" w:fill="FFFFFF"/>
        <w:ind w:left="360"/>
      </w:pPr>
      <w:r w:rsidRPr="00380168">
        <w:t>Sani</w:t>
      </w:r>
      <w:r>
        <w:t>,</w:t>
      </w:r>
      <w:r w:rsidRPr="00380168">
        <w:t xml:space="preserve"> G</w:t>
      </w:r>
      <w:r>
        <w:t>.</w:t>
      </w:r>
      <w:r w:rsidRPr="00380168">
        <w:t>, Gualtieri</w:t>
      </w:r>
      <w:r>
        <w:t>,</w:t>
      </w:r>
      <w:r w:rsidRPr="00380168">
        <w:t xml:space="preserve"> I</w:t>
      </w:r>
      <w:r>
        <w:t>.</w:t>
      </w:r>
      <w:r w:rsidRPr="00380168">
        <w:t xml:space="preserve">, </w:t>
      </w:r>
      <w:proofErr w:type="spellStart"/>
      <w:r w:rsidRPr="00380168">
        <w:t>Paolini</w:t>
      </w:r>
      <w:proofErr w:type="spellEnd"/>
      <w:r>
        <w:t>,</w:t>
      </w:r>
      <w:r w:rsidRPr="00380168">
        <w:t xml:space="preserve"> M</w:t>
      </w:r>
      <w:r>
        <w:t>.</w:t>
      </w:r>
      <w:r w:rsidRPr="00380168">
        <w:t xml:space="preserve">, </w:t>
      </w:r>
      <w:proofErr w:type="spellStart"/>
      <w:r w:rsidRPr="00380168">
        <w:t>Bonanni</w:t>
      </w:r>
      <w:proofErr w:type="spellEnd"/>
      <w:r>
        <w:t>,</w:t>
      </w:r>
      <w:r w:rsidRPr="00380168">
        <w:t xml:space="preserve"> L</w:t>
      </w:r>
      <w:r>
        <w:t>.</w:t>
      </w:r>
      <w:r w:rsidRPr="00380168">
        <w:t>, Spinazzola</w:t>
      </w:r>
      <w:r>
        <w:t>,</w:t>
      </w:r>
      <w:r w:rsidRPr="00380168">
        <w:t xml:space="preserve"> E</w:t>
      </w:r>
      <w:r>
        <w:t>.</w:t>
      </w:r>
      <w:r w:rsidRPr="00380168">
        <w:t xml:space="preserve">, </w:t>
      </w:r>
      <w:proofErr w:type="spellStart"/>
      <w:r w:rsidRPr="00380168">
        <w:t>Maggiora</w:t>
      </w:r>
      <w:proofErr w:type="spellEnd"/>
      <w:r w:rsidRPr="00380168">
        <w:t xml:space="preserve"> M, et al. </w:t>
      </w:r>
      <w:r>
        <w:t xml:space="preserve">(2019). </w:t>
      </w:r>
      <w:r w:rsidRPr="00380168">
        <w:t xml:space="preserve">Drug Treatment of Trichotillomania (Hair-Pulling Disorder), Excoriation (Skin-picking) Disorder, and Nail-biting (Onychophagia). </w:t>
      </w:r>
      <w:proofErr w:type="spellStart"/>
      <w:r w:rsidRPr="00380168">
        <w:t>Curr</w:t>
      </w:r>
      <w:proofErr w:type="spellEnd"/>
      <w:r w:rsidRPr="00380168">
        <w:t xml:space="preserve"> </w:t>
      </w:r>
      <w:proofErr w:type="spellStart"/>
      <w:r w:rsidRPr="00380168">
        <w:t>Neuropharmacol</w:t>
      </w:r>
      <w:proofErr w:type="spellEnd"/>
      <w:r w:rsidRPr="00380168">
        <w:t xml:space="preserve">. 17(8):775–786. </w:t>
      </w:r>
      <w:proofErr w:type="spellStart"/>
      <w:r w:rsidRPr="00380168">
        <w:rPr>
          <w:shd w:val="clear" w:color="auto" w:fill="FFFFFF"/>
        </w:rPr>
        <w:t>doi</w:t>
      </w:r>
      <w:proofErr w:type="spellEnd"/>
      <w:r w:rsidRPr="00380168">
        <w:rPr>
          <w:shd w:val="clear" w:color="auto" w:fill="FFFFFF"/>
        </w:rPr>
        <w:t>: 10.2174/1570159X17666190320164223.</w:t>
      </w:r>
    </w:p>
    <w:p w14:paraId="58046A6F" w14:textId="77777777" w:rsidR="007626A5" w:rsidRDefault="007626A5" w:rsidP="007626A5">
      <w:pPr>
        <w:shd w:val="clear" w:color="auto" w:fill="FFFFFF"/>
        <w:ind w:left="360"/>
      </w:pPr>
    </w:p>
    <w:p w14:paraId="3C73FDCA" w14:textId="77777777" w:rsidR="007626A5" w:rsidRDefault="007626A5" w:rsidP="007626A5">
      <w:pPr>
        <w:shd w:val="clear" w:color="auto" w:fill="FFFFFF"/>
        <w:ind w:left="360"/>
      </w:pPr>
      <w:r w:rsidRPr="00380168">
        <w:t>Schwarz</w:t>
      </w:r>
      <w:r>
        <w:t>,</w:t>
      </w:r>
      <w:r w:rsidRPr="00380168">
        <w:t xml:space="preserve"> G.</w:t>
      </w:r>
      <w:r>
        <w:t xml:space="preserve"> (1978).</w:t>
      </w:r>
      <w:r w:rsidRPr="00380168">
        <w:t xml:space="preserve"> Estimating the dimension of a model. Ann Stat 6:461–464</w:t>
      </w:r>
    </w:p>
    <w:p w14:paraId="48DC0393" w14:textId="77777777" w:rsidR="007626A5" w:rsidRPr="00380168" w:rsidRDefault="007626A5" w:rsidP="007626A5">
      <w:pPr>
        <w:shd w:val="clear" w:color="auto" w:fill="FFFFFF"/>
        <w:ind w:left="360"/>
      </w:pPr>
      <w:r w:rsidRPr="00380168">
        <w:t>Sheehan</w:t>
      </w:r>
      <w:r>
        <w:t>,</w:t>
      </w:r>
      <w:r w:rsidRPr="00380168">
        <w:t xml:space="preserve"> D</w:t>
      </w:r>
      <w:r>
        <w:t>.</w:t>
      </w:r>
      <w:r w:rsidRPr="00380168">
        <w:t>V</w:t>
      </w:r>
      <w:r>
        <w:t>.</w:t>
      </w:r>
      <w:r w:rsidRPr="00380168">
        <w:t>, Harnett-Sheehan</w:t>
      </w:r>
      <w:r>
        <w:t>,</w:t>
      </w:r>
      <w:r w:rsidRPr="00380168">
        <w:t xml:space="preserve"> K</w:t>
      </w:r>
      <w:r>
        <w:t>.</w:t>
      </w:r>
      <w:r w:rsidRPr="00380168">
        <w:t>H</w:t>
      </w:r>
      <w:r>
        <w:t>.</w:t>
      </w:r>
      <w:r w:rsidRPr="00380168">
        <w:t>, Raj</w:t>
      </w:r>
      <w:r>
        <w:t>,</w:t>
      </w:r>
      <w:r w:rsidRPr="00380168">
        <w:t xml:space="preserve"> B</w:t>
      </w:r>
      <w:r>
        <w:t>.</w:t>
      </w:r>
      <w:r w:rsidRPr="00380168">
        <w:t xml:space="preserve">A. </w:t>
      </w:r>
      <w:r>
        <w:t xml:space="preserve"> (1996). </w:t>
      </w:r>
      <w:r w:rsidRPr="00380168">
        <w:t xml:space="preserve">The measurement of disability. Int Clin </w:t>
      </w:r>
      <w:proofErr w:type="spellStart"/>
      <w:r w:rsidRPr="00380168">
        <w:t>Psychopharmacol</w:t>
      </w:r>
      <w:proofErr w:type="spellEnd"/>
      <w:r w:rsidRPr="00380168">
        <w:t xml:space="preserve"> </w:t>
      </w:r>
      <w:r w:rsidRPr="00380168">
        <w:rPr>
          <w:shd w:val="clear" w:color="auto" w:fill="FFFFFF"/>
        </w:rPr>
        <w:t xml:space="preserve">11 Suppl 3:89–95. </w:t>
      </w:r>
      <w:proofErr w:type="spellStart"/>
      <w:r w:rsidRPr="00380168">
        <w:rPr>
          <w:shd w:val="clear" w:color="auto" w:fill="FFFFFF"/>
        </w:rPr>
        <w:t>doi</w:t>
      </w:r>
      <w:proofErr w:type="spellEnd"/>
      <w:r w:rsidRPr="00380168">
        <w:rPr>
          <w:shd w:val="clear" w:color="auto" w:fill="FFFFFF"/>
        </w:rPr>
        <w:t>: 10.1097/00004850-199606003-00015.</w:t>
      </w:r>
    </w:p>
    <w:p w14:paraId="3B820C66" w14:textId="77777777" w:rsidR="007626A5" w:rsidRDefault="007626A5" w:rsidP="007626A5">
      <w:pPr>
        <w:shd w:val="clear" w:color="auto" w:fill="FFFFFF"/>
        <w:ind w:left="360"/>
        <w:rPr>
          <w:shd w:val="clear" w:color="auto" w:fill="FFFFFF"/>
        </w:rPr>
      </w:pPr>
    </w:p>
    <w:p w14:paraId="07227169" w14:textId="77777777" w:rsidR="007626A5" w:rsidRDefault="007626A5" w:rsidP="007626A5">
      <w:pPr>
        <w:shd w:val="clear" w:color="auto" w:fill="FFFFFF"/>
        <w:ind w:left="360"/>
      </w:pPr>
      <w:r w:rsidRPr="00380168">
        <w:rPr>
          <w:shd w:val="clear" w:color="auto" w:fill="FFFFFF"/>
        </w:rPr>
        <w:t>Sheehan</w:t>
      </w:r>
      <w:r>
        <w:rPr>
          <w:shd w:val="clear" w:color="auto" w:fill="FFFFFF"/>
        </w:rPr>
        <w:t>,</w:t>
      </w:r>
      <w:r w:rsidRPr="00380168">
        <w:rPr>
          <w:shd w:val="clear" w:color="auto" w:fill="FFFFFF"/>
        </w:rPr>
        <w:t xml:space="preserve"> D</w:t>
      </w:r>
      <w:r>
        <w:rPr>
          <w:shd w:val="clear" w:color="auto" w:fill="FFFFFF"/>
        </w:rPr>
        <w:t>.</w:t>
      </w:r>
      <w:r w:rsidRPr="00380168">
        <w:rPr>
          <w:shd w:val="clear" w:color="auto" w:fill="FFFFFF"/>
        </w:rPr>
        <w:t>V</w:t>
      </w:r>
      <w:r>
        <w:rPr>
          <w:shd w:val="clear" w:color="auto" w:fill="FFFFFF"/>
        </w:rPr>
        <w:t>.</w:t>
      </w:r>
      <w:r w:rsidRPr="00380168">
        <w:rPr>
          <w:shd w:val="clear" w:color="auto" w:fill="FFFFFF"/>
        </w:rPr>
        <w:t xml:space="preserve">, </w:t>
      </w:r>
      <w:proofErr w:type="spellStart"/>
      <w:r w:rsidRPr="00380168">
        <w:rPr>
          <w:shd w:val="clear" w:color="auto" w:fill="FFFFFF"/>
        </w:rPr>
        <w:t>Lecrubier</w:t>
      </w:r>
      <w:proofErr w:type="spellEnd"/>
      <w:r>
        <w:rPr>
          <w:shd w:val="clear" w:color="auto" w:fill="FFFFFF"/>
        </w:rPr>
        <w:t>,</w:t>
      </w:r>
      <w:r w:rsidRPr="00380168">
        <w:rPr>
          <w:shd w:val="clear" w:color="auto" w:fill="FFFFFF"/>
        </w:rPr>
        <w:t xml:space="preserve"> Y</w:t>
      </w:r>
      <w:r>
        <w:rPr>
          <w:shd w:val="clear" w:color="auto" w:fill="FFFFFF"/>
        </w:rPr>
        <w:t>.</w:t>
      </w:r>
      <w:r w:rsidRPr="00380168">
        <w:rPr>
          <w:shd w:val="clear" w:color="auto" w:fill="FFFFFF"/>
        </w:rPr>
        <w:t>, Sheehan</w:t>
      </w:r>
      <w:r>
        <w:rPr>
          <w:shd w:val="clear" w:color="auto" w:fill="FFFFFF"/>
        </w:rPr>
        <w:t>,</w:t>
      </w:r>
      <w:r w:rsidRPr="00380168">
        <w:rPr>
          <w:shd w:val="clear" w:color="auto" w:fill="FFFFFF"/>
        </w:rPr>
        <w:t xml:space="preserve"> K</w:t>
      </w:r>
      <w:r>
        <w:rPr>
          <w:shd w:val="clear" w:color="auto" w:fill="FFFFFF"/>
        </w:rPr>
        <w:t>.</w:t>
      </w:r>
      <w:r w:rsidRPr="00380168">
        <w:rPr>
          <w:shd w:val="clear" w:color="auto" w:fill="FFFFFF"/>
        </w:rPr>
        <w:t>H</w:t>
      </w:r>
      <w:r>
        <w:rPr>
          <w:shd w:val="clear" w:color="auto" w:fill="FFFFFF"/>
        </w:rPr>
        <w:t>.</w:t>
      </w:r>
      <w:r w:rsidRPr="00380168">
        <w:rPr>
          <w:shd w:val="clear" w:color="auto" w:fill="FFFFFF"/>
        </w:rPr>
        <w:t>, et al.</w:t>
      </w:r>
      <w:r>
        <w:rPr>
          <w:shd w:val="clear" w:color="auto" w:fill="FFFFFF"/>
        </w:rPr>
        <w:t xml:space="preserve"> (1998).</w:t>
      </w:r>
      <w:r w:rsidRPr="00380168">
        <w:rPr>
          <w:shd w:val="clear" w:color="auto" w:fill="FFFFFF"/>
        </w:rPr>
        <w:t xml:space="preserve"> The Mini-International Neuropsychiatric Interview (M.I.N.I.): the development and validation of a structured diagnostic psychiatric interview for DSM-IV and ICD-10. </w:t>
      </w:r>
      <w:r w:rsidRPr="00380168">
        <w:rPr>
          <w:i/>
          <w:iCs/>
          <w:shd w:val="clear" w:color="auto" w:fill="FFFFFF"/>
        </w:rPr>
        <w:t>J Clin Psychiatry</w:t>
      </w:r>
      <w:r w:rsidRPr="00380168">
        <w:rPr>
          <w:shd w:val="clear" w:color="auto" w:fill="FFFFFF"/>
        </w:rPr>
        <w:t>. 59 Suppl 20:22–57.</w:t>
      </w:r>
      <w:r w:rsidRPr="00380168">
        <w:t xml:space="preserve"> </w:t>
      </w:r>
    </w:p>
    <w:p w14:paraId="4F658024" w14:textId="77777777" w:rsidR="007626A5" w:rsidRDefault="007626A5" w:rsidP="007626A5">
      <w:pPr>
        <w:ind w:left="360"/>
      </w:pPr>
    </w:p>
    <w:p w14:paraId="03F1CB5C" w14:textId="77777777" w:rsidR="007626A5" w:rsidRPr="00380168" w:rsidRDefault="007626A5" w:rsidP="007626A5">
      <w:pPr>
        <w:ind w:left="360"/>
      </w:pPr>
      <w:r w:rsidRPr="00380168">
        <w:t>Simons</w:t>
      </w:r>
      <w:r>
        <w:t>,</w:t>
      </w:r>
      <w:r w:rsidRPr="00380168">
        <w:t xml:space="preserve"> J</w:t>
      </w:r>
      <w:r>
        <w:t>.</w:t>
      </w:r>
      <w:r w:rsidRPr="00380168">
        <w:t>S</w:t>
      </w:r>
      <w:r>
        <w:t>.</w:t>
      </w:r>
      <w:r w:rsidRPr="00380168">
        <w:t xml:space="preserve">, </w:t>
      </w:r>
      <w:proofErr w:type="spellStart"/>
      <w:r w:rsidRPr="00380168">
        <w:t>Gaher</w:t>
      </w:r>
      <w:proofErr w:type="spellEnd"/>
      <w:r>
        <w:t>,</w:t>
      </w:r>
      <w:r w:rsidRPr="00380168">
        <w:t xml:space="preserve"> R</w:t>
      </w:r>
      <w:r>
        <w:t>.</w:t>
      </w:r>
      <w:r w:rsidRPr="00380168">
        <w:t xml:space="preserve">M. </w:t>
      </w:r>
      <w:r>
        <w:t xml:space="preserve">(2005). </w:t>
      </w:r>
      <w:r w:rsidRPr="00380168">
        <w:t>The Distress Tolerance Scale: Development and validation of a self-report measure. Motivation and Emotion (2</w:t>
      </w:r>
      <w:proofErr w:type="gramStart"/>
      <w:r w:rsidRPr="00380168">
        <w:t>);29:83</w:t>
      </w:r>
      <w:proofErr w:type="gramEnd"/>
      <w:r w:rsidRPr="00380168">
        <w:t>-102. DOI: 10.1007/s11031-005-7955-3</w:t>
      </w:r>
    </w:p>
    <w:p w14:paraId="6E133993" w14:textId="77777777" w:rsidR="007626A5" w:rsidRDefault="007626A5" w:rsidP="007626A5">
      <w:pPr>
        <w:shd w:val="clear" w:color="auto" w:fill="FFFFFF"/>
        <w:ind w:left="360"/>
      </w:pPr>
    </w:p>
    <w:p w14:paraId="72949C3C" w14:textId="77777777" w:rsidR="007626A5" w:rsidRDefault="007626A5" w:rsidP="007626A5">
      <w:pPr>
        <w:shd w:val="clear" w:color="auto" w:fill="FFFFFF"/>
        <w:ind w:left="360"/>
        <w:rPr>
          <w:rStyle w:val="citation-doi"/>
          <w:shd w:val="clear" w:color="auto" w:fill="FFFFFF"/>
        </w:rPr>
      </w:pPr>
      <w:r w:rsidRPr="00380168">
        <w:t>Snorrason</w:t>
      </w:r>
      <w:r>
        <w:t>,</w:t>
      </w:r>
      <w:r w:rsidRPr="00380168">
        <w:t xml:space="preserve"> Í</w:t>
      </w:r>
      <w:r>
        <w:t>.</w:t>
      </w:r>
      <w:r w:rsidRPr="00380168">
        <w:t xml:space="preserve">, </w:t>
      </w:r>
      <w:proofErr w:type="spellStart"/>
      <w:r w:rsidRPr="00380168">
        <w:t>Smári</w:t>
      </w:r>
      <w:proofErr w:type="spellEnd"/>
      <w:r>
        <w:t>,</w:t>
      </w:r>
      <w:r w:rsidRPr="00380168">
        <w:t xml:space="preserve"> J</w:t>
      </w:r>
      <w:r>
        <w:t>.</w:t>
      </w:r>
      <w:r w:rsidRPr="00380168">
        <w:t xml:space="preserve">, </w:t>
      </w:r>
      <w:proofErr w:type="spellStart"/>
      <w:r w:rsidRPr="00380168">
        <w:t>Ólafsson</w:t>
      </w:r>
      <w:proofErr w:type="spellEnd"/>
      <w:r>
        <w:t>,</w:t>
      </w:r>
      <w:r w:rsidRPr="00380168">
        <w:t xml:space="preserve"> R</w:t>
      </w:r>
      <w:r>
        <w:t>.</w:t>
      </w:r>
      <w:r w:rsidRPr="00380168">
        <w:t>P.</w:t>
      </w:r>
      <w:r>
        <w:t xml:space="preserve"> (2011).</w:t>
      </w:r>
      <w:r w:rsidRPr="00380168">
        <w:t xml:space="preserve"> Motor inhibition, reflection impulsivity, and trait impulsivity in pathological skin picking. </w:t>
      </w:r>
      <w:proofErr w:type="spellStart"/>
      <w:r w:rsidRPr="00380168">
        <w:t>Behav</w:t>
      </w:r>
      <w:proofErr w:type="spellEnd"/>
      <w:r w:rsidRPr="00380168">
        <w:t xml:space="preserve"> </w:t>
      </w:r>
      <w:proofErr w:type="spellStart"/>
      <w:r w:rsidRPr="00380168">
        <w:t>Ther</w:t>
      </w:r>
      <w:proofErr w:type="spellEnd"/>
      <w:r w:rsidRPr="00380168">
        <w:t xml:space="preserve">. 42(3):521–532. </w:t>
      </w:r>
      <w:r w:rsidRPr="00380168">
        <w:rPr>
          <w:shd w:val="clear" w:color="auto" w:fill="FFFFFF"/>
        </w:rPr>
        <w:t> </w:t>
      </w:r>
      <w:proofErr w:type="spellStart"/>
      <w:r w:rsidRPr="00380168">
        <w:rPr>
          <w:rStyle w:val="citation-doi"/>
          <w:shd w:val="clear" w:color="auto" w:fill="FFFFFF"/>
        </w:rPr>
        <w:t>doi</w:t>
      </w:r>
      <w:proofErr w:type="spellEnd"/>
      <w:r w:rsidRPr="00380168">
        <w:rPr>
          <w:rStyle w:val="citation-doi"/>
          <w:shd w:val="clear" w:color="auto" w:fill="FFFFFF"/>
        </w:rPr>
        <w:t>: 10.1016/j.beth.2010.12.002.</w:t>
      </w:r>
    </w:p>
    <w:p w14:paraId="4A3A8FED" w14:textId="77777777" w:rsidR="007626A5" w:rsidRDefault="007626A5" w:rsidP="007626A5">
      <w:pPr>
        <w:shd w:val="clear" w:color="auto" w:fill="FFFFFF"/>
        <w:ind w:left="360"/>
      </w:pPr>
    </w:p>
    <w:p w14:paraId="43B040C1" w14:textId="77777777" w:rsidR="007626A5" w:rsidRPr="00380168" w:rsidRDefault="007626A5" w:rsidP="007626A5">
      <w:pPr>
        <w:shd w:val="clear" w:color="auto" w:fill="FFFFFF"/>
        <w:ind w:left="360"/>
      </w:pPr>
      <w:r w:rsidRPr="00380168">
        <w:t>Snorrason</w:t>
      </w:r>
      <w:r>
        <w:t>,</w:t>
      </w:r>
      <w:r w:rsidRPr="00380168">
        <w:t xml:space="preserve"> I</w:t>
      </w:r>
      <w:r>
        <w:t>.</w:t>
      </w:r>
      <w:r w:rsidRPr="00380168">
        <w:t xml:space="preserve">, </w:t>
      </w:r>
      <w:proofErr w:type="spellStart"/>
      <w:r w:rsidRPr="00380168">
        <w:t>Olafsson</w:t>
      </w:r>
      <w:proofErr w:type="spellEnd"/>
      <w:r>
        <w:t>,</w:t>
      </w:r>
      <w:r w:rsidRPr="00380168">
        <w:t xml:space="preserve"> R</w:t>
      </w:r>
      <w:r>
        <w:t>.</w:t>
      </w:r>
      <w:r w:rsidRPr="00380168">
        <w:t>P</w:t>
      </w:r>
      <w:r>
        <w:t>.</w:t>
      </w:r>
      <w:r w:rsidRPr="00380168">
        <w:t>, Flessner</w:t>
      </w:r>
      <w:r>
        <w:t>,</w:t>
      </w:r>
      <w:r w:rsidRPr="00380168">
        <w:t xml:space="preserve"> C</w:t>
      </w:r>
      <w:r>
        <w:t>.</w:t>
      </w:r>
      <w:r w:rsidRPr="00380168">
        <w:t>A</w:t>
      </w:r>
      <w:r>
        <w:t>.</w:t>
      </w:r>
      <w:r w:rsidRPr="00380168">
        <w:t xml:space="preserve">, </w:t>
      </w:r>
      <w:proofErr w:type="spellStart"/>
      <w:r w:rsidRPr="00380168">
        <w:t>Keuthen</w:t>
      </w:r>
      <w:proofErr w:type="spellEnd"/>
      <w:r>
        <w:t>,</w:t>
      </w:r>
      <w:r w:rsidRPr="00380168">
        <w:t xml:space="preserve"> N</w:t>
      </w:r>
      <w:r>
        <w:t>.</w:t>
      </w:r>
      <w:r w:rsidRPr="00380168">
        <w:t>J</w:t>
      </w:r>
      <w:r>
        <w:t>.</w:t>
      </w:r>
      <w:r w:rsidRPr="00380168">
        <w:t>, Franklin</w:t>
      </w:r>
      <w:r>
        <w:t>,</w:t>
      </w:r>
      <w:r w:rsidRPr="00380168">
        <w:t xml:space="preserve"> </w:t>
      </w:r>
      <w:r>
        <w:t>F.</w:t>
      </w:r>
      <w:r w:rsidRPr="00380168">
        <w:t>E</w:t>
      </w:r>
      <w:r>
        <w:t>.</w:t>
      </w:r>
      <w:r w:rsidRPr="00380168">
        <w:t>, Woods</w:t>
      </w:r>
      <w:r>
        <w:t>,</w:t>
      </w:r>
      <w:r w:rsidRPr="00380168">
        <w:t xml:space="preserve"> D</w:t>
      </w:r>
      <w:r>
        <w:t>.</w:t>
      </w:r>
      <w:r w:rsidRPr="00380168">
        <w:t>W.</w:t>
      </w:r>
      <w:r>
        <w:t xml:space="preserve"> (2012).</w:t>
      </w:r>
      <w:r w:rsidRPr="00380168">
        <w:t xml:space="preserve">  The Skin Picking Scale-Revised: Factor structure and psychometric properties. J Obsess Comp Rel Dis. 1:133-137. </w:t>
      </w:r>
      <w:hyperlink r:id="rId12" w:tgtFrame="_blank" w:tooltip="Persistent link using digital object identifier" w:history="1">
        <w:r w:rsidRPr="00380168">
          <w:t>doi.org/10.1016/j.jocrd.2012.03.001</w:t>
        </w:r>
      </w:hyperlink>
    </w:p>
    <w:p w14:paraId="5BB0F4CB" w14:textId="77777777" w:rsidR="007626A5" w:rsidRDefault="007626A5" w:rsidP="007626A5">
      <w:pPr>
        <w:shd w:val="clear" w:color="auto" w:fill="FFFFFF"/>
        <w:ind w:left="360"/>
      </w:pPr>
    </w:p>
    <w:p w14:paraId="2EABF0EE" w14:textId="77777777" w:rsidR="007626A5" w:rsidRDefault="007626A5" w:rsidP="007626A5">
      <w:pPr>
        <w:shd w:val="clear" w:color="auto" w:fill="FFFFFF"/>
        <w:ind w:left="360"/>
        <w:rPr>
          <w:shd w:val="clear" w:color="auto" w:fill="FFFFFF"/>
        </w:rPr>
      </w:pPr>
      <w:r w:rsidRPr="00380168">
        <w:t>Tucker</w:t>
      </w:r>
      <w:r>
        <w:t>,</w:t>
      </w:r>
      <w:r w:rsidRPr="00380168">
        <w:t xml:space="preserve"> B</w:t>
      </w:r>
      <w:r>
        <w:t>.</w:t>
      </w:r>
      <w:r w:rsidRPr="00380168">
        <w:t>T</w:t>
      </w:r>
      <w:r>
        <w:t>.</w:t>
      </w:r>
      <w:r w:rsidRPr="00380168">
        <w:t>, Woods</w:t>
      </w:r>
      <w:r>
        <w:t>,</w:t>
      </w:r>
      <w:r w:rsidRPr="00380168">
        <w:t xml:space="preserve"> D</w:t>
      </w:r>
      <w:r>
        <w:t>.</w:t>
      </w:r>
      <w:r w:rsidRPr="00380168">
        <w:t>W</w:t>
      </w:r>
      <w:r>
        <w:t>.</w:t>
      </w:r>
      <w:r w:rsidRPr="00380168">
        <w:t>, Flessner</w:t>
      </w:r>
      <w:r>
        <w:t>,</w:t>
      </w:r>
      <w:r w:rsidRPr="00380168">
        <w:t xml:space="preserve"> C</w:t>
      </w:r>
      <w:r>
        <w:t>.</w:t>
      </w:r>
      <w:r w:rsidRPr="00380168">
        <w:t>A</w:t>
      </w:r>
      <w:r>
        <w:t>.</w:t>
      </w:r>
      <w:r w:rsidRPr="00380168">
        <w:t>, Franklin</w:t>
      </w:r>
      <w:r>
        <w:t>,</w:t>
      </w:r>
      <w:r w:rsidRPr="00380168">
        <w:t xml:space="preserve"> S</w:t>
      </w:r>
      <w:r>
        <w:t>.</w:t>
      </w:r>
      <w:r w:rsidRPr="00380168">
        <w:t>A</w:t>
      </w:r>
      <w:r>
        <w:t>.</w:t>
      </w:r>
      <w:r w:rsidRPr="00380168">
        <w:t>, Franklin</w:t>
      </w:r>
      <w:r>
        <w:t>,</w:t>
      </w:r>
      <w:r w:rsidRPr="00380168">
        <w:t xml:space="preserve"> M</w:t>
      </w:r>
      <w:r>
        <w:t>.</w:t>
      </w:r>
      <w:r w:rsidRPr="00380168">
        <w:t xml:space="preserve">E. </w:t>
      </w:r>
      <w:r>
        <w:t xml:space="preserve">(2011). </w:t>
      </w:r>
      <w:r w:rsidRPr="00380168">
        <w:t>The Skin Picking Impact Project: phenomenology, interference, and treatment utilization of pathological skin picking in a population-based sample. J Anxiety Disord.</w:t>
      </w:r>
      <w:r w:rsidRPr="00380168">
        <w:rPr>
          <w:shd w:val="clear" w:color="auto" w:fill="FFFFFF"/>
        </w:rPr>
        <w:t xml:space="preserve">25(1):88–95. </w:t>
      </w:r>
      <w:proofErr w:type="gramStart"/>
      <w:r w:rsidRPr="00380168">
        <w:rPr>
          <w:shd w:val="clear" w:color="auto" w:fill="FFFFFF"/>
        </w:rPr>
        <w:t>doi:10.1016/j.janxdis</w:t>
      </w:r>
      <w:proofErr w:type="gramEnd"/>
      <w:r w:rsidRPr="00380168">
        <w:rPr>
          <w:shd w:val="clear" w:color="auto" w:fill="FFFFFF"/>
        </w:rPr>
        <w:t>.2010.08.007</w:t>
      </w:r>
    </w:p>
    <w:p w14:paraId="1546A47E" w14:textId="77777777" w:rsidR="007626A5" w:rsidRDefault="007626A5" w:rsidP="007626A5">
      <w:pPr>
        <w:shd w:val="clear" w:color="auto" w:fill="FFFFFF"/>
        <w:ind w:left="360"/>
      </w:pPr>
    </w:p>
    <w:p w14:paraId="52213AEE" w14:textId="77777777" w:rsidR="007626A5" w:rsidRPr="00380168" w:rsidRDefault="007626A5" w:rsidP="007626A5">
      <w:pPr>
        <w:shd w:val="clear" w:color="auto" w:fill="FFFFFF"/>
        <w:ind w:left="360"/>
      </w:pPr>
      <w:r w:rsidRPr="00380168">
        <w:t>Wade</w:t>
      </w:r>
      <w:r>
        <w:t>,</w:t>
      </w:r>
      <w:r w:rsidRPr="00380168">
        <w:t xml:space="preserve"> T</w:t>
      </w:r>
      <w:r>
        <w:t>.</w:t>
      </w:r>
      <w:r w:rsidRPr="00380168">
        <w:t>D</w:t>
      </w:r>
      <w:r>
        <w:t>.</w:t>
      </w:r>
      <w:r w:rsidRPr="00380168">
        <w:t>, Crosby</w:t>
      </w:r>
      <w:r>
        <w:t>,</w:t>
      </w:r>
      <w:r w:rsidRPr="00380168">
        <w:t xml:space="preserve"> R</w:t>
      </w:r>
      <w:r>
        <w:t>.</w:t>
      </w:r>
      <w:r w:rsidRPr="00380168">
        <w:t>D</w:t>
      </w:r>
      <w:r>
        <w:t>.</w:t>
      </w:r>
      <w:r w:rsidRPr="00380168">
        <w:t>, Martin</w:t>
      </w:r>
      <w:r>
        <w:t>,</w:t>
      </w:r>
      <w:r w:rsidRPr="00380168">
        <w:t xml:space="preserve"> N</w:t>
      </w:r>
      <w:r>
        <w:t>.</w:t>
      </w:r>
      <w:r w:rsidRPr="00380168">
        <w:t xml:space="preserve">G. </w:t>
      </w:r>
      <w:r>
        <w:t xml:space="preserve">(2006). </w:t>
      </w:r>
      <w:r w:rsidRPr="00380168">
        <w:t>Use of latent profile analysis to identify eating disorder phenotypes in an adult Australian twin cohort. Arch Gen Psychiatry. 2006;63(12):1377-84.</w:t>
      </w:r>
      <w:r w:rsidRPr="00380168">
        <w:rPr>
          <w:shd w:val="clear" w:color="auto" w:fill="FFFFFF"/>
        </w:rPr>
        <w:t xml:space="preserve"> </w:t>
      </w:r>
      <w:proofErr w:type="spellStart"/>
      <w:r w:rsidRPr="00380168">
        <w:rPr>
          <w:shd w:val="clear" w:color="auto" w:fill="FFFFFF"/>
        </w:rPr>
        <w:t>doi</w:t>
      </w:r>
      <w:proofErr w:type="spellEnd"/>
      <w:r w:rsidRPr="00380168">
        <w:rPr>
          <w:shd w:val="clear" w:color="auto" w:fill="FFFFFF"/>
        </w:rPr>
        <w:t>: 10.1001/archpsyc.63.12.1377.</w:t>
      </w:r>
    </w:p>
    <w:p w14:paraId="5FDEAF66" w14:textId="77777777" w:rsidR="007626A5" w:rsidRDefault="007626A5" w:rsidP="007626A5">
      <w:pPr>
        <w:shd w:val="clear" w:color="auto" w:fill="FFFFFF"/>
        <w:ind w:left="360"/>
        <w:rPr>
          <w:shd w:val="clear" w:color="auto" w:fill="FFFFFF"/>
        </w:rPr>
      </w:pPr>
    </w:p>
    <w:p w14:paraId="7CFBCE51" w14:textId="77777777" w:rsidR="007626A5" w:rsidRPr="00380168" w:rsidRDefault="007626A5" w:rsidP="007626A5">
      <w:pPr>
        <w:shd w:val="clear" w:color="auto" w:fill="FFFFFF"/>
        <w:ind w:left="360"/>
      </w:pPr>
      <w:r w:rsidRPr="00380168">
        <w:rPr>
          <w:shd w:val="clear" w:color="auto" w:fill="FFFFFF"/>
        </w:rPr>
        <w:lastRenderedPageBreak/>
        <w:t>Walther</w:t>
      </w:r>
      <w:r>
        <w:rPr>
          <w:shd w:val="clear" w:color="auto" w:fill="FFFFFF"/>
        </w:rPr>
        <w:t>,</w:t>
      </w:r>
      <w:r w:rsidRPr="00380168">
        <w:rPr>
          <w:shd w:val="clear" w:color="auto" w:fill="FFFFFF"/>
        </w:rPr>
        <w:t xml:space="preserve"> M</w:t>
      </w:r>
      <w:r>
        <w:rPr>
          <w:shd w:val="clear" w:color="auto" w:fill="FFFFFF"/>
        </w:rPr>
        <w:t>.</w:t>
      </w:r>
      <w:r w:rsidRPr="00380168">
        <w:rPr>
          <w:shd w:val="clear" w:color="auto" w:fill="FFFFFF"/>
        </w:rPr>
        <w:t>R</w:t>
      </w:r>
      <w:r>
        <w:rPr>
          <w:shd w:val="clear" w:color="auto" w:fill="FFFFFF"/>
        </w:rPr>
        <w:t>.</w:t>
      </w:r>
      <w:r w:rsidRPr="00380168">
        <w:rPr>
          <w:shd w:val="clear" w:color="auto" w:fill="FFFFFF"/>
        </w:rPr>
        <w:t>, Flessner</w:t>
      </w:r>
      <w:r>
        <w:rPr>
          <w:shd w:val="clear" w:color="auto" w:fill="FFFFFF"/>
        </w:rPr>
        <w:t>,</w:t>
      </w:r>
      <w:r w:rsidRPr="00380168">
        <w:rPr>
          <w:shd w:val="clear" w:color="auto" w:fill="FFFFFF"/>
        </w:rPr>
        <w:t xml:space="preserve"> C</w:t>
      </w:r>
      <w:r>
        <w:rPr>
          <w:shd w:val="clear" w:color="auto" w:fill="FFFFFF"/>
        </w:rPr>
        <w:t>.</w:t>
      </w:r>
      <w:r w:rsidRPr="00380168">
        <w:rPr>
          <w:shd w:val="clear" w:color="auto" w:fill="FFFFFF"/>
        </w:rPr>
        <w:t>A</w:t>
      </w:r>
      <w:r>
        <w:rPr>
          <w:shd w:val="clear" w:color="auto" w:fill="FFFFFF"/>
        </w:rPr>
        <w:t>.</w:t>
      </w:r>
      <w:r w:rsidRPr="00380168">
        <w:rPr>
          <w:shd w:val="clear" w:color="auto" w:fill="FFFFFF"/>
        </w:rPr>
        <w:t xml:space="preserve">, </w:t>
      </w:r>
      <w:proofErr w:type="spellStart"/>
      <w:r w:rsidRPr="00380168">
        <w:rPr>
          <w:shd w:val="clear" w:color="auto" w:fill="FFFFFF"/>
        </w:rPr>
        <w:t>Conelea</w:t>
      </w:r>
      <w:proofErr w:type="spellEnd"/>
      <w:r>
        <w:rPr>
          <w:shd w:val="clear" w:color="auto" w:fill="FFFFFF"/>
        </w:rPr>
        <w:t>,</w:t>
      </w:r>
      <w:r w:rsidRPr="00380168">
        <w:rPr>
          <w:shd w:val="clear" w:color="auto" w:fill="FFFFFF"/>
        </w:rPr>
        <w:t xml:space="preserve"> C</w:t>
      </w:r>
      <w:r>
        <w:rPr>
          <w:shd w:val="clear" w:color="auto" w:fill="FFFFFF"/>
        </w:rPr>
        <w:t>.</w:t>
      </w:r>
      <w:r w:rsidRPr="00380168">
        <w:rPr>
          <w:shd w:val="clear" w:color="auto" w:fill="FFFFFF"/>
        </w:rPr>
        <w:t>A</w:t>
      </w:r>
      <w:r>
        <w:rPr>
          <w:shd w:val="clear" w:color="auto" w:fill="FFFFFF"/>
        </w:rPr>
        <w:t>.</w:t>
      </w:r>
      <w:r w:rsidRPr="00380168">
        <w:rPr>
          <w:shd w:val="clear" w:color="auto" w:fill="FFFFFF"/>
        </w:rPr>
        <w:t>, Woods</w:t>
      </w:r>
      <w:r>
        <w:rPr>
          <w:shd w:val="clear" w:color="auto" w:fill="FFFFFF"/>
        </w:rPr>
        <w:t>,</w:t>
      </w:r>
      <w:r w:rsidRPr="00380168">
        <w:rPr>
          <w:shd w:val="clear" w:color="auto" w:fill="FFFFFF"/>
        </w:rPr>
        <w:t xml:space="preserve"> D</w:t>
      </w:r>
      <w:r>
        <w:rPr>
          <w:shd w:val="clear" w:color="auto" w:fill="FFFFFF"/>
        </w:rPr>
        <w:t>.</w:t>
      </w:r>
      <w:r w:rsidRPr="00380168">
        <w:rPr>
          <w:shd w:val="clear" w:color="auto" w:fill="FFFFFF"/>
        </w:rPr>
        <w:t xml:space="preserve">W. </w:t>
      </w:r>
      <w:r>
        <w:rPr>
          <w:shd w:val="clear" w:color="auto" w:fill="FFFFFF"/>
        </w:rPr>
        <w:t xml:space="preserve">(2009). </w:t>
      </w:r>
      <w:r w:rsidRPr="00380168">
        <w:rPr>
          <w:shd w:val="clear" w:color="auto" w:fill="FFFFFF"/>
        </w:rPr>
        <w:t>The Milwaukee Inventory for the Dimensions of Adult Skin Picking (MIDAS): initial development and psychometric properties. </w:t>
      </w:r>
      <w:r w:rsidRPr="00380168">
        <w:rPr>
          <w:i/>
          <w:iCs/>
          <w:shd w:val="clear" w:color="auto" w:fill="FFFFFF"/>
        </w:rPr>
        <w:t xml:space="preserve">J </w:t>
      </w:r>
      <w:proofErr w:type="spellStart"/>
      <w:r w:rsidRPr="00380168">
        <w:rPr>
          <w:i/>
          <w:iCs/>
          <w:shd w:val="clear" w:color="auto" w:fill="FFFFFF"/>
        </w:rPr>
        <w:t>Behav</w:t>
      </w:r>
      <w:proofErr w:type="spellEnd"/>
      <w:r w:rsidRPr="00380168">
        <w:rPr>
          <w:i/>
          <w:iCs/>
          <w:shd w:val="clear" w:color="auto" w:fill="FFFFFF"/>
        </w:rPr>
        <w:t xml:space="preserve"> </w:t>
      </w:r>
      <w:proofErr w:type="spellStart"/>
      <w:r w:rsidRPr="00380168">
        <w:rPr>
          <w:i/>
          <w:iCs/>
          <w:shd w:val="clear" w:color="auto" w:fill="FFFFFF"/>
        </w:rPr>
        <w:t>Ther</w:t>
      </w:r>
      <w:proofErr w:type="spellEnd"/>
      <w:r w:rsidRPr="00380168">
        <w:rPr>
          <w:i/>
          <w:iCs/>
          <w:shd w:val="clear" w:color="auto" w:fill="FFFFFF"/>
        </w:rPr>
        <w:t xml:space="preserve"> Exp Psychiatry</w:t>
      </w:r>
      <w:r w:rsidRPr="00380168">
        <w:rPr>
          <w:shd w:val="clear" w:color="auto" w:fill="FFFFFF"/>
        </w:rPr>
        <w:t xml:space="preserve">. 40(1):127–135. </w:t>
      </w:r>
      <w:proofErr w:type="gramStart"/>
      <w:r w:rsidRPr="00380168">
        <w:rPr>
          <w:shd w:val="clear" w:color="auto" w:fill="FFFFFF"/>
        </w:rPr>
        <w:t>doi:10.1016/j.jbtep</w:t>
      </w:r>
      <w:proofErr w:type="gramEnd"/>
      <w:r w:rsidRPr="00380168">
        <w:rPr>
          <w:shd w:val="clear" w:color="auto" w:fill="FFFFFF"/>
        </w:rPr>
        <w:t>.2008.07.002</w:t>
      </w:r>
    </w:p>
    <w:p w14:paraId="6326F9B4" w14:textId="77777777" w:rsidR="007626A5" w:rsidRPr="00380168" w:rsidRDefault="007626A5" w:rsidP="007626A5">
      <w:pPr>
        <w:shd w:val="clear" w:color="auto" w:fill="FFFFFF"/>
        <w:ind w:left="360"/>
      </w:pPr>
    </w:p>
    <w:p w14:paraId="69464707" w14:textId="77777777" w:rsidR="007626A5" w:rsidRPr="00380168" w:rsidRDefault="007626A5" w:rsidP="007626A5">
      <w:pPr>
        <w:shd w:val="clear" w:color="auto" w:fill="FFFFFF"/>
        <w:ind w:left="360"/>
      </w:pPr>
      <w:r w:rsidRPr="00380168">
        <w:t>Walther</w:t>
      </w:r>
      <w:r>
        <w:t>,</w:t>
      </w:r>
      <w:r w:rsidRPr="00380168">
        <w:t xml:space="preserve"> M</w:t>
      </w:r>
      <w:r>
        <w:t>.</w:t>
      </w:r>
      <w:r w:rsidRPr="00380168">
        <w:t>R</w:t>
      </w:r>
      <w:r>
        <w:t>.</w:t>
      </w:r>
      <w:r w:rsidRPr="00380168">
        <w:t>, Snorrason</w:t>
      </w:r>
      <w:r>
        <w:t>,</w:t>
      </w:r>
      <w:r w:rsidRPr="00380168">
        <w:t xml:space="preserve"> I</w:t>
      </w:r>
      <w:r>
        <w:t>.</w:t>
      </w:r>
      <w:r w:rsidRPr="00380168">
        <w:t>, Flessner</w:t>
      </w:r>
      <w:r>
        <w:t>,</w:t>
      </w:r>
      <w:r w:rsidRPr="00380168">
        <w:t xml:space="preserve"> C</w:t>
      </w:r>
      <w:r>
        <w:t>.</w:t>
      </w:r>
      <w:r w:rsidRPr="00380168">
        <w:t>A</w:t>
      </w:r>
      <w:r>
        <w:t>.</w:t>
      </w:r>
      <w:r w:rsidRPr="00380168">
        <w:t>, Franklin</w:t>
      </w:r>
      <w:r>
        <w:t>,</w:t>
      </w:r>
      <w:r w:rsidRPr="00380168">
        <w:t xml:space="preserve"> M</w:t>
      </w:r>
      <w:r>
        <w:t>.</w:t>
      </w:r>
      <w:r w:rsidRPr="00380168">
        <w:t>E</w:t>
      </w:r>
      <w:r>
        <w:t>.</w:t>
      </w:r>
      <w:r w:rsidRPr="00380168">
        <w:t xml:space="preserve">, </w:t>
      </w:r>
      <w:proofErr w:type="spellStart"/>
      <w:r w:rsidRPr="00380168">
        <w:t>Burkel</w:t>
      </w:r>
      <w:proofErr w:type="spellEnd"/>
      <w:r>
        <w:t>,</w:t>
      </w:r>
      <w:r w:rsidRPr="00380168">
        <w:t xml:space="preserve"> R</w:t>
      </w:r>
      <w:r>
        <w:t>.</w:t>
      </w:r>
      <w:r w:rsidRPr="00380168">
        <w:t>, Woods</w:t>
      </w:r>
      <w:r>
        <w:t>,</w:t>
      </w:r>
      <w:r w:rsidRPr="00380168">
        <w:t xml:space="preserve"> D</w:t>
      </w:r>
      <w:r>
        <w:t>.</w:t>
      </w:r>
      <w:r w:rsidRPr="00380168">
        <w:t xml:space="preserve">W. </w:t>
      </w:r>
      <w:r>
        <w:t xml:space="preserve">(2014). </w:t>
      </w:r>
      <w:r w:rsidRPr="00380168">
        <w:t xml:space="preserve">The trichotillomania impact project in young children (TIP-YC): clinical characteristics, comorbidity, functional impairment and treatment utilization. Child Psychiatry Hum Dev. 45(1):24–31. </w:t>
      </w:r>
      <w:proofErr w:type="spellStart"/>
      <w:r w:rsidRPr="00380168">
        <w:rPr>
          <w:shd w:val="clear" w:color="auto" w:fill="FFFFFF"/>
        </w:rPr>
        <w:t>doi</w:t>
      </w:r>
      <w:proofErr w:type="spellEnd"/>
      <w:r w:rsidRPr="00380168">
        <w:rPr>
          <w:shd w:val="clear" w:color="auto" w:fill="FFFFFF"/>
        </w:rPr>
        <w:t>: 10.1007/s10578-013-0373-y.</w:t>
      </w:r>
    </w:p>
    <w:p w14:paraId="481FD32D" w14:textId="77777777" w:rsidR="007626A5" w:rsidRDefault="007626A5" w:rsidP="007626A5">
      <w:pPr>
        <w:ind w:left="360"/>
      </w:pPr>
    </w:p>
    <w:p w14:paraId="07F533F4" w14:textId="77777777" w:rsidR="007626A5" w:rsidRPr="00380168" w:rsidRDefault="007626A5" w:rsidP="007626A5">
      <w:pPr>
        <w:ind w:left="360"/>
      </w:pPr>
      <w:r w:rsidRPr="00380168">
        <w:t>Woods</w:t>
      </w:r>
      <w:r>
        <w:t>,</w:t>
      </w:r>
      <w:r w:rsidRPr="00380168">
        <w:t xml:space="preserve"> D</w:t>
      </w:r>
      <w:r>
        <w:t>.</w:t>
      </w:r>
      <w:r w:rsidRPr="00380168">
        <w:t>W</w:t>
      </w:r>
      <w:r>
        <w:t>.</w:t>
      </w:r>
      <w:r w:rsidRPr="00380168">
        <w:t>, Houghton</w:t>
      </w:r>
      <w:r>
        <w:t>,</w:t>
      </w:r>
      <w:r w:rsidRPr="00380168">
        <w:t xml:space="preserve"> D</w:t>
      </w:r>
      <w:r>
        <w:t>.</w:t>
      </w:r>
      <w:r w:rsidRPr="00380168">
        <w:t>C.</w:t>
      </w:r>
      <w:r>
        <w:t xml:space="preserve"> (2016).</w:t>
      </w:r>
      <w:r w:rsidRPr="00380168">
        <w:t xml:space="preserve"> Evidence-Based Psychosocial Treatments for Pediatric Body-Focused Repetitive Behavior Disorders. J Clin Child </w:t>
      </w:r>
      <w:proofErr w:type="spellStart"/>
      <w:r w:rsidRPr="00380168">
        <w:t>Adolesc</w:t>
      </w:r>
      <w:proofErr w:type="spellEnd"/>
      <w:r w:rsidRPr="00380168">
        <w:t xml:space="preserve"> Psychol. 45(3):227–240. </w:t>
      </w:r>
      <w:proofErr w:type="spellStart"/>
      <w:r w:rsidRPr="00380168">
        <w:rPr>
          <w:shd w:val="clear" w:color="auto" w:fill="FFFFFF"/>
        </w:rPr>
        <w:t>doi</w:t>
      </w:r>
      <w:proofErr w:type="spellEnd"/>
      <w:r w:rsidRPr="00380168">
        <w:rPr>
          <w:shd w:val="clear" w:color="auto" w:fill="FFFFFF"/>
        </w:rPr>
        <w:t>: 10.1080/15374416.2015.1055860.</w:t>
      </w:r>
    </w:p>
    <w:p w14:paraId="64D6B982" w14:textId="77777777" w:rsidR="007626A5" w:rsidRDefault="007626A5" w:rsidP="007626A5"/>
    <w:p w14:paraId="249FECDD" w14:textId="77777777" w:rsidR="00F46926" w:rsidRDefault="00F46926">
      <w:r>
        <w:br w:type="page"/>
      </w:r>
    </w:p>
    <w:p w14:paraId="027374EF" w14:textId="77777777" w:rsidR="00F46926" w:rsidRPr="00E922A0" w:rsidRDefault="00F46926" w:rsidP="00F46926">
      <w:pPr>
        <w:rPr>
          <w:b/>
        </w:rPr>
      </w:pPr>
      <w:r w:rsidRPr="00E922A0">
        <w:rPr>
          <w:b/>
        </w:rPr>
        <w:lastRenderedPageBreak/>
        <w:t>Table 1. Demographic Data for the 279 Adults Participants Based on Study Site</w:t>
      </w:r>
    </w:p>
    <w:tbl>
      <w:tblPr>
        <w:tblStyle w:val="TableGrid"/>
        <w:tblW w:w="9445" w:type="dxa"/>
        <w:tblLook w:val="04A0" w:firstRow="1" w:lastRow="0" w:firstColumn="1" w:lastColumn="0" w:noHBand="0" w:noVBand="1"/>
      </w:tblPr>
      <w:tblGrid>
        <w:gridCol w:w="1890"/>
        <w:gridCol w:w="1885"/>
        <w:gridCol w:w="1800"/>
        <w:gridCol w:w="2060"/>
        <w:gridCol w:w="1810"/>
      </w:tblGrid>
      <w:tr w:rsidR="00F46926" w14:paraId="26894CB9" w14:textId="77777777" w:rsidTr="00B93BE3">
        <w:tc>
          <w:tcPr>
            <w:tcW w:w="1890" w:type="dxa"/>
          </w:tcPr>
          <w:p w14:paraId="2259B291" w14:textId="77777777" w:rsidR="00F46926" w:rsidRPr="00437777" w:rsidRDefault="00F46926" w:rsidP="00B93BE3">
            <w:pPr>
              <w:spacing w:line="480" w:lineRule="auto"/>
            </w:pPr>
          </w:p>
        </w:tc>
        <w:tc>
          <w:tcPr>
            <w:tcW w:w="1885" w:type="dxa"/>
          </w:tcPr>
          <w:p w14:paraId="662431ED" w14:textId="77777777" w:rsidR="00F46926" w:rsidRPr="00437777" w:rsidRDefault="00F46926" w:rsidP="00B93BE3">
            <w:pPr>
              <w:spacing w:line="480" w:lineRule="auto"/>
            </w:pPr>
            <w:r w:rsidRPr="00437777">
              <w:t xml:space="preserve">University of Chicago (n= </w:t>
            </w:r>
            <w:r>
              <w:t>93</w:t>
            </w:r>
            <w:r w:rsidRPr="00437777">
              <w:t>)</w:t>
            </w:r>
          </w:p>
        </w:tc>
        <w:tc>
          <w:tcPr>
            <w:tcW w:w="1800" w:type="dxa"/>
          </w:tcPr>
          <w:p w14:paraId="159C4C5C" w14:textId="77777777" w:rsidR="00F46926" w:rsidRPr="00437777" w:rsidRDefault="00F46926" w:rsidP="00B93BE3">
            <w:pPr>
              <w:spacing w:line="480" w:lineRule="auto"/>
            </w:pPr>
            <w:r w:rsidRPr="00437777">
              <w:t>University of California, Los Angeles (n=</w:t>
            </w:r>
            <w:r>
              <w:t>87</w:t>
            </w:r>
            <w:r w:rsidRPr="00437777">
              <w:t>)</w:t>
            </w:r>
          </w:p>
        </w:tc>
        <w:tc>
          <w:tcPr>
            <w:tcW w:w="2060" w:type="dxa"/>
          </w:tcPr>
          <w:p w14:paraId="282A112F" w14:textId="77777777" w:rsidR="00F46926" w:rsidRPr="00437777" w:rsidRDefault="00F46926" w:rsidP="00B93BE3">
            <w:pPr>
              <w:spacing w:line="480" w:lineRule="auto"/>
            </w:pPr>
            <w:r w:rsidRPr="00437777">
              <w:t>Massachusetts General Hospital/Harvard Medical School (n=</w:t>
            </w:r>
            <w:r>
              <w:t>84</w:t>
            </w:r>
            <w:r w:rsidRPr="00437777">
              <w:t>)</w:t>
            </w:r>
          </w:p>
        </w:tc>
        <w:tc>
          <w:tcPr>
            <w:tcW w:w="1810" w:type="dxa"/>
          </w:tcPr>
          <w:p w14:paraId="70E1EE8B" w14:textId="77777777" w:rsidR="00F46926" w:rsidRPr="00437777" w:rsidRDefault="00F46926" w:rsidP="00B93BE3">
            <w:pPr>
              <w:spacing w:line="480" w:lineRule="auto"/>
            </w:pPr>
            <w:r w:rsidRPr="00437777">
              <w:t>Stellenbosch University (n=</w:t>
            </w:r>
            <w:r>
              <w:t>15</w:t>
            </w:r>
            <w:r w:rsidRPr="00437777">
              <w:t>)</w:t>
            </w:r>
          </w:p>
        </w:tc>
      </w:tr>
      <w:tr w:rsidR="00F46926" w14:paraId="01812E1E" w14:textId="77777777" w:rsidTr="00B93BE3">
        <w:tc>
          <w:tcPr>
            <w:tcW w:w="1890" w:type="dxa"/>
          </w:tcPr>
          <w:p w14:paraId="7C51235B" w14:textId="77777777" w:rsidR="00F46926" w:rsidRPr="00437777" w:rsidRDefault="00F46926" w:rsidP="00B93BE3">
            <w:pPr>
              <w:spacing w:line="480" w:lineRule="auto"/>
            </w:pPr>
            <w:r w:rsidRPr="00437777">
              <w:t>Females, n (%)</w:t>
            </w:r>
          </w:p>
        </w:tc>
        <w:tc>
          <w:tcPr>
            <w:tcW w:w="1885" w:type="dxa"/>
          </w:tcPr>
          <w:p w14:paraId="4FC64535" w14:textId="77777777" w:rsidR="00F46926" w:rsidRPr="00437777" w:rsidRDefault="00F46926" w:rsidP="00B93BE3">
            <w:pPr>
              <w:spacing w:line="480" w:lineRule="auto"/>
            </w:pPr>
            <w:r>
              <w:t>77 [83.7%]</w:t>
            </w:r>
          </w:p>
        </w:tc>
        <w:tc>
          <w:tcPr>
            <w:tcW w:w="1800" w:type="dxa"/>
          </w:tcPr>
          <w:p w14:paraId="0459D282" w14:textId="77777777" w:rsidR="00F46926" w:rsidRPr="00437777" w:rsidRDefault="00F46926" w:rsidP="00B93BE3">
            <w:pPr>
              <w:spacing w:line="480" w:lineRule="auto"/>
            </w:pPr>
            <w:r>
              <w:t>67 [77.9%]</w:t>
            </w:r>
          </w:p>
        </w:tc>
        <w:tc>
          <w:tcPr>
            <w:tcW w:w="2060" w:type="dxa"/>
          </w:tcPr>
          <w:p w14:paraId="04ED66F3" w14:textId="77777777" w:rsidR="00F46926" w:rsidRPr="00437777" w:rsidRDefault="00F46926" w:rsidP="00B93BE3">
            <w:pPr>
              <w:spacing w:line="480" w:lineRule="auto"/>
            </w:pPr>
            <w:r>
              <w:t>65 [77.4%]</w:t>
            </w:r>
          </w:p>
        </w:tc>
        <w:tc>
          <w:tcPr>
            <w:tcW w:w="1810" w:type="dxa"/>
          </w:tcPr>
          <w:p w14:paraId="229321B7" w14:textId="77777777" w:rsidR="00F46926" w:rsidRPr="00437777" w:rsidRDefault="00F46926" w:rsidP="00B93BE3">
            <w:pPr>
              <w:spacing w:line="480" w:lineRule="auto"/>
            </w:pPr>
            <w:r>
              <w:t>14 [93.3%]</w:t>
            </w:r>
          </w:p>
        </w:tc>
      </w:tr>
      <w:tr w:rsidR="00F46926" w14:paraId="126ABE92" w14:textId="77777777" w:rsidTr="00B93BE3">
        <w:tc>
          <w:tcPr>
            <w:tcW w:w="1890" w:type="dxa"/>
          </w:tcPr>
          <w:p w14:paraId="53D2F70F" w14:textId="77777777" w:rsidR="00F46926" w:rsidRPr="00437777" w:rsidRDefault="00F46926" w:rsidP="00B93BE3">
            <w:pPr>
              <w:spacing w:line="480" w:lineRule="auto"/>
            </w:pPr>
            <w:r w:rsidRPr="00437777">
              <w:t>Mean Age (SD)</w:t>
            </w:r>
          </w:p>
        </w:tc>
        <w:tc>
          <w:tcPr>
            <w:tcW w:w="1885" w:type="dxa"/>
          </w:tcPr>
          <w:p w14:paraId="5F5CE333" w14:textId="77777777" w:rsidR="00F46926" w:rsidRPr="00437777" w:rsidRDefault="00F46926" w:rsidP="00B93BE3">
            <w:pPr>
              <w:spacing w:line="480" w:lineRule="auto"/>
            </w:pPr>
            <w:r>
              <w:t>30.1 (8.5)</w:t>
            </w:r>
          </w:p>
        </w:tc>
        <w:tc>
          <w:tcPr>
            <w:tcW w:w="1800" w:type="dxa"/>
          </w:tcPr>
          <w:p w14:paraId="0984FE49" w14:textId="77777777" w:rsidR="00F46926" w:rsidRPr="00437777" w:rsidRDefault="00F46926" w:rsidP="00B93BE3">
            <w:pPr>
              <w:spacing w:line="480" w:lineRule="auto"/>
            </w:pPr>
            <w:r>
              <w:t>29.8 (10.4)</w:t>
            </w:r>
          </w:p>
        </w:tc>
        <w:tc>
          <w:tcPr>
            <w:tcW w:w="2060" w:type="dxa"/>
          </w:tcPr>
          <w:p w14:paraId="4E1BF96E" w14:textId="77777777" w:rsidR="00F46926" w:rsidRPr="00437777" w:rsidRDefault="00F46926" w:rsidP="00B93BE3">
            <w:pPr>
              <w:spacing w:line="480" w:lineRule="auto"/>
            </w:pPr>
            <w:r>
              <w:t>30.5 (11.4)</w:t>
            </w:r>
          </w:p>
        </w:tc>
        <w:tc>
          <w:tcPr>
            <w:tcW w:w="1810" w:type="dxa"/>
          </w:tcPr>
          <w:p w14:paraId="223CD2AB" w14:textId="77777777" w:rsidR="00F46926" w:rsidRPr="00437777" w:rsidRDefault="00F46926" w:rsidP="00B93BE3">
            <w:pPr>
              <w:spacing w:line="480" w:lineRule="auto"/>
            </w:pPr>
            <w:r>
              <w:t>34.9 (15.8)</w:t>
            </w:r>
          </w:p>
        </w:tc>
      </w:tr>
      <w:tr w:rsidR="00F46926" w14:paraId="70700025" w14:textId="77777777" w:rsidTr="00B93BE3">
        <w:tc>
          <w:tcPr>
            <w:tcW w:w="1890" w:type="dxa"/>
          </w:tcPr>
          <w:p w14:paraId="241D8F5A" w14:textId="77777777" w:rsidR="00F46926" w:rsidRPr="00437777" w:rsidRDefault="00F46926" w:rsidP="00B93BE3">
            <w:pPr>
              <w:spacing w:line="480" w:lineRule="auto"/>
            </w:pPr>
            <w:r w:rsidRPr="00437777">
              <w:t>Trichotillomania, n (%)</w:t>
            </w:r>
          </w:p>
        </w:tc>
        <w:tc>
          <w:tcPr>
            <w:tcW w:w="1885" w:type="dxa"/>
          </w:tcPr>
          <w:p w14:paraId="1D113EE6" w14:textId="77777777" w:rsidR="00F46926" w:rsidRPr="00437777" w:rsidRDefault="00F46926" w:rsidP="00B93BE3">
            <w:pPr>
              <w:spacing w:line="480" w:lineRule="auto"/>
            </w:pPr>
            <w:r>
              <w:t>37 [40.0%]</w:t>
            </w:r>
          </w:p>
        </w:tc>
        <w:tc>
          <w:tcPr>
            <w:tcW w:w="1800" w:type="dxa"/>
          </w:tcPr>
          <w:p w14:paraId="39A6B0CE" w14:textId="77777777" w:rsidR="00F46926" w:rsidRPr="00437777" w:rsidRDefault="00F46926" w:rsidP="00B93BE3">
            <w:pPr>
              <w:spacing w:line="480" w:lineRule="auto"/>
            </w:pPr>
            <w:r>
              <w:t>33 [37.9%]</w:t>
            </w:r>
          </w:p>
        </w:tc>
        <w:tc>
          <w:tcPr>
            <w:tcW w:w="2060" w:type="dxa"/>
          </w:tcPr>
          <w:p w14:paraId="4AD9B1F7" w14:textId="77777777" w:rsidR="00F46926" w:rsidRPr="00437777" w:rsidRDefault="00F46926" w:rsidP="00B93BE3">
            <w:pPr>
              <w:spacing w:line="480" w:lineRule="auto"/>
            </w:pPr>
            <w:r>
              <w:t>17 [20.4%]</w:t>
            </w:r>
          </w:p>
        </w:tc>
        <w:tc>
          <w:tcPr>
            <w:tcW w:w="1810" w:type="dxa"/>
          </w:tcPr>
          <w:p w14:paraId="1C8D367C" w14:textId="77777777" w:rsidR="00F46926" w:rsidRPr="00437777" w:rsidRDefault="00F46926" w:rsidP="00B93BE3">
            <w:pPr>
              <w:spacing w:line="480" w:lineRule="auto"/>
            </w:pPr>
            <w:r>
              <w:t>13 [86.7%]</w:t>
            </w:r>
          </w:p>
        </w:tc>
      </w:tr>
      <w:tr w:rsidR="00F46926" w14:paraId="0B642029" w14:textId="77777777" w:rsidTr="00B93BE3">
        <w:tc>
          <w:tcPr>
            <w:tcW w:w="1890" w:type="dxa"/>
          </w:tcPr>
          <w:p w14:paraId="13C28820" w14:textId="77777777" w:rsidR="00F46926" w:rsidRPr="00437777" w:rsidRDefault="00F46926" w:rsidP="00B93BE3">
            <w:pPr>
              <w:spacing w:line="480" w:lineRule="auto"/>
            </w:pPr>
            <w:r w:rsidRPr="00437777">
              <w:t>Skin Picking Disorder, n (%)</w:t>
            </w:r>
          </w:p>
        </w:tc>
        <w:tc>
          <w:tcPr>
            <w:tcW w:w="1885" w:type="dxa"/>
          </w:tcPr>
          <w:p w14:paraId="28ECF0B1" w14:textId="77777777" w:rsidR="00F46926" w:rsidRPr="00437777" w:rsidRDefault="00F46926" w:rsidP="00B93BE3">
            <w:pPr>
              <w:spacing w:line="480" w:lineRule="auto"/>
            </w:pPr>
            <w:r>
              <w:t>32 [34.4%]</w:t>
            </w:r>
          </w:p>
        </w:tc>
        <w:tc>
          <w:tcPr>
            <w:tcW w:w="1800" w:type="dxa"/>
          </w:tcPr>
          <w:p w14:paraId="24DA9191" w14:textId="77777777" w:rsidR="00F46926" w:rsidRPr="00437777" w:rsidRDefault="00F46926" w:rsidP="00B93BE3">
            <w:pPr>
              <w:spacing w:line="480" w:lineRule="auto"/>
            </w:pPr>
            <w:r>
              <w:t>17 [19.5%]</w:t>
            </w:r>
          </w:p>
        </w:tc>
        <w:tc>
          <w:tcPr>
            <w:tcW w:w="2060" w:type="dxa"/>
          </w:tcPr>
          <w:p w14:paraId="700F244A" w14:textId="77777777" w:rsidR="00F46926" w:rsidRPr="00437777" w:rsidRDefault="00F46926" w:rsidP="00B93BE3">
            <w:pPr>
              <w:spacing w:line="480" w:lineRule="auto"/>
            </w:pPr>
            <w:r>
              <w:t>32 [38.1%]</w:t>
            </w:r>
          </w:p>
        </w:tc>
        <w:tc>
          <w:tcPr>
            <w:tcW w:w="1810" w:type="dxa"/>
          </w:tcPr>
          <w:p w14:paraId="0FF02911" w14:textId="77777777" w:rsidR="00F46926" w:rsidRPr="00437777" w:rsidRDefault="00F46926" w:rsidP="00B93BE3">
            <w:pPr>
              <w:spacing w:line="360" w:lineRule="auto"/>
            </w:pPr>
            <w:r>
              <w:t>0 [0%]</w:t>
            </w:r>
          </w:p>
        </w:tc>
      </w:tr>
      <w:tr w:rsidR="00F46926" w14:paraId="6C484349" w14:textId="77777777" w:rsidTr="00B93BE3">
        <w:tc>
          <w:tcPr>
            <w:tcW w:w="1890" w:type="dxa"/>
          </w:tcPr>
          <w:p w14:paraId="1B32741A" w14:textId="77777777" w:rsidR="00F46926" w:rsidRPr="00437777" w:rsidRDefault="00F46926" w:rsidP="00B93BE3">
            <w:pPr>
              <w:spacing w:line="480" w:lineRule="auto"/>
            </w:pPr>
            <w:r w:rsidRPr="00437777">
              <w:t>Comorbid trichotillomania plus skin picking disorder, n (%)</w:t>
            </w:r>
          </w:p>
        </w:tc>
        <w:tc>
          <w:tcPr>
            <w:tcW w:w="1885" w:type="dxa"/>
          </w:tcPr>
          <w:p w14:paraId="799CCD8D" w14:textId="77777777" w:rsidR="00F46926" w:rsidRPr="00437777" w:rsidRDefault="00F46926" w:rsidP="00B93BE3">
            <w:pPr>
              <w:spacing w:line="480" w:lineRule="auto"/>
            </w:pPr>
            <w:r>
              <w:t>10 [10.8%]</w:t>
            </w:r>
          </w:p>
        </w:tc>
        <w:tc>
          <w:tcPr>
            <w:tcW w:w="1800" w:type="dxa"/>
          </w:tcPr>
          <w:p w14:paraId="0F869EB3" w14:textId="77777777" w:rsidR="00F46926" w:rsidRPr="00437777" w:rsidRDefault="00F46926" w:rsidP="00B93BE3">
            <w:pPr>
              <w:spacing w:line="480" w:lineRule="auto"/>
            </w:pPr>
            <w:r>
              <w:t>16 [18.4%]</w:t>
            </w:r>
          </w:p>
        </w:tc>
        <w:tc>
          <w:tcPr>
            <w:tcW w:w="2060" w:type="dxa"/>
          </w:tcPr>
          <w:p w14:paraId="3A82F1E6" w14:textId="77777777" w:rsidR="00F46926" w:rsidRPr="00437777" w:rsidRDefault="00F46926" w:rsidP="00B93BE3">
            <w:pPr>
              <w:spacing w:line="480" w:lineRule="auto"/>
            </w:pPr>
            <w:r>
              <w:t>12 [14.3%]</w:t>
            </w:r>
          </w:p>
        </w:tc>
        <w:tc>
          <w:tcPr>
            <w:tcW w:w="1810" w:type="dxa"/>
          </w:tcPr>
          <w:p w14:paraId="4C86D939" w14:textId="77777777" w:rsidR="00F46926" w:rsidRPr="00437777" w:rsidRDefault="00F46926" w:rsidP="00B93BE3">
            <w:pPr>
              <w:spacing w:line="480" w:lineRule="auto"/>
            </w:pPr>
            <w:r>
              <w:t>2 [13.3%]</w:t>
            </w:r>
          </w:p>
        </w:tc>
      </w:tr>
      <w:tr w:rsidR="00F46926" w14:paraId="63E7FAFF" w14:textId="77777777" w:rsidTr="00B93BE3">
        <w:tc>
          <w:tcPr>
            <w:tcW w:w="1890" w:type="dxa"/>
          </w:tcPr>
          <w:p w14:paraId="2B4A30B8" w14:textId="77777777" w:rsidR="00F46926" w:rsidRPr="00437777" w:rsidRDefault="00F46926" w:rsidP="00B93BE3">
            <w:pPr>
              <w:spacing w:line="480" w:lineRule="auto"/>
            </w:pPr>
            <w:r>
              <w:t>Controls, n (%)</w:t>
            </w:r>
          </w:p>
        </w:tc>
        <w:tc>
          <w:tcPr>
            <w:tcW w:w="1885" w:type="dxa"/>
          </w:tcPr>
          <w:p w14:paraId="583BDD95" w14:textId="77777777" w:rsidR="00F46926" w:rsidRPr="00437777" w:rsidRDefault="00F46926" w:rsidP="00B93BE3">
            <w:pPr>
              <w:spacing w:line="480" w:lineRule="auto"/>
            </w:pPr>
            <w:r>
              <w:t>14 [15.1%]</w:t>
            </w:r>
          </w:p>
        </w:tc>
        <w:tc>
          <w:tcPr>
            <w:tcW w:w="1800" w:type="dxa"/>
          </w:tcPr>
          <w:p w14:paraId="0BB075B3" w14:textId="77777777" w:rsidR="00F46926" w:rsidRPr="00437777" w:rsidRDefault="00F46926" w:rsidP="00B93BE3">
            <w:pPr>
              <w:spacing w:line="480" w:lineRule="auto"/>
            </w:pPr>
            <w:r>
              <w:t>21 [24.1%]</w:t>
            </w:r>
          </w:p>
        </w:tc>
        <w:tc>
          <w:tcPr>
            <w:tcW w:w="2060" w:type="dxa"/>
          </w:tcPr>
          <w:p w14:paraId="0B9FFBF8" w14:textId="77777777" w:rsidR="00F46926" w:rsidRPr="00437777" w:rsidRDefault="00F46926" w:rsidP="00B93BE3">
            <w:pPr>
              <w:spacing w:line="480" w:lineRule="auto"/>
            </w:pPr>
            <w:r>
              <w:t>23 [27.4%]</w:t>
            </w:r>
          </w:p>
        </w:tc>
        <w:tc>
          <w:tcPr>
            <w:tcW w:w="1810" w:type="dxa"/>
          </w:tcPr>
          <w:p w14:paraId="13920574" w14:textId="77777777" w:rsidR="00F46926" w:rsidRPr="00437777" w:rsidRDefault="00F46926" w:rsidP="00B93BE3">
            <w:pPr>
              <w:spacing w:line="480" w:lineRule="auto"/>
            </w:pPr>
            <w:r>
              <w:t>0 [0%]</w:t>
            </w:r>
          </w:p>
        </w:tc>
      </w:tr>
    </w:tbl>
    <w:p w14:paraId="5594E9E5" w14:textId="77777777" w:rsidR="00F46926" w:rsidRDefault="00F46926" w:rsidP="00F46926"/>
    <w:p w14:paraId="6E522CB8" w14:textId="1D2B63CA" w:rsidR="00AF1F2F" w:rsidRDefault="00AF1F2F">
      <w:r>
        <w:br w:type="page"/>
      </w:r>
    </w:p>
    <w:p w14:paraId="48B458E8" w14:textId="77777777" w:rsidR="00AF1F2F" w:rsidRDefault="00AF1F2F" w:rsidP="00AF1F2F">
      <w:pPr>
        <w:ind w:left="720" w:hanging="720"/>
      </w:pPr>
    </w:p>
    <w:p w14:paraId="3B9F854A" w14:textId="68D7335C" w:rsidR="004B6DA1" w:rsidRDefault="004B6DA1">
      <w:pPr>
        <w:rPr>
          <w:b/>
        </w:rPr>
      </w:pPr>
    </w:p>
    <w:p w14:paraId="6CDCDF45" w14:textId="7E9AC265" w:rsidR="008B5954" w:rsidRPr="007C18C8" w:rsidRDefault="003D2983" w:rsidP="008B5954">
      <w:pPr>
        <w:autoSpaceDE w:val="0"/>
        <w:autoSpaceDN w:val="0"/>
        <w:adjustRightInd w:val="0"/>
        <w:spacing w:line="480" w:lineRule="auto"/>
        <w:rPr>
          <w:b/>
        </w:rPr>
      </w:pPr>
      <w:r>
        <w:rPr>
          <w:b/>
        </w:rPr>
        <w:t xml:space="preserve">Table </w:t>
      </w:r>
      <w:r w:rsidR="00FB27A2">
        <w:rPr>
          <w:b/>
        </w:rPr>
        <w:t>2</w:t>
      </w:r>
      <w:r w:rsidR="008B5954" w:rsidRPr="007C18C8">
        <w:rPr>
          <w:b/>
        </w:rPr>
        <w:t xml:space="preserve">. Summary of model fit parameters from </w:t>
      </w:r>
      <w:r w:rsidR="008B5954">
        <w:rPr>
          <w:b/>
        </w:rPr>
        <w:t>Mixture Modeling</w:t>
      </w:r>
      <w:r w:rsidR="008B5954" w:rsidRPr="007C18C8">
        <w:rPr>
          <w:b/>
        </w:rPr>
        <w:t xml:space="preserve"> Analysis. </w:t>
      </w:r>
    </w:p>
    <w:p w14:paraId="706E5DA3" w14:textId="75F99C26" w:rsidR="008B5954" w:rsidRPr="007C18C8" w:rsidRDefault="008B5954" w:rsidP="008B5954">
      <w:pPr>
        <w:autoSpaceDE w:val="0"/>
        <w:autoSpaceDN w:val="0"/>
        <w:adjustRightInd w:val="0"/>
        <w:spacing w:line="480" w:lineRule="auto"/>
      </w:pPr>
      <w:r w:rsidRPr="007C18C8">
        <w:t xml:space="preserve">Table </w:t>
      </w:r>
      <w:r w:rsidR="00FB27A2">
        <w:t>2</w:t>
      </w:r>
      <w:r w:rsidRPr="007C18C8">
        <w:t xml:space="preserve">a. Trichotillomania subtypes based on combined </w:t>
      </w:r>
      <w:r>
        <w:t xml:space="preserve">item-level </w:t>
      </w:r>
      <w:r w:rsidRPr="007C18C8">
        <w:t xml:space="preserve">data from MGH-HPS and MIST-A-R </w:t>
      </w:r>
    </w:p>
    <w:p w14:paraId="550B34EB" w14:textId="77777777" w:rsidR="008B5954" w:rsidRPr="007C18C8" w:rsidRDefault="008B5954" w:rsidP="008B5954">
      <w:pPr>
        <w:spacing w:line="20" w:lineRule="exact"/>
      </w:pPr>
      <w:r w:rsidRPr="007C18C8">
        <w:rPr>
          <w:rFonts w:ascii="Calibri" w:eastAsia="Calibri" w:hAnsi="Calibri"/>
          <w:noProof/>
          <w:sz w:val="22"/>
          <w:szCs w:val="22"/>
          <w:lang w:val="en-GB" w:eastAsia="en-GB"/>
        </w:rPr>
        <mc:AlternateContent>
          <mc:Choice Requires="wps">
            <w:drawing>
              <wp:anchor distT="0" distB="0" distL="114300" distR="114300" simplePos="0" relativeHeight="251659264" behindDoc="1" locked="0" layoutInCell="1" allowOverlap="1" wp14:anchorId="189EC694" wp14:editId="1E34DE61">
                <wp:simplePos x="0" y="0"/>
                <wp:positionH relativeFrom="column">
                  <wp:posOffset>214630</wp:posOffset>
                </wp:positionH>
                <wp:positionV relativeFrom="paragraph">
                  <wp:posOffset>48895</wp:posOffset>
                </wp:positionV>
                <wp:extent cx="5513705" cy="0"/>
                <wp:effectExtent l="0" t="0" r="298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10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3D12"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3.85pt" to="451.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XMHgIAADc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" strokeweight=".28114mm"/>
            </w:pict>
          </mc:Fallback>
        </mc:AlternateContent>
      </w:r>
    </w:p>
    <w:p w14:paraId="29F9FB35" w14:textId="77777777" w:rsidR="008B5954" w:rsidRPr="007C18C8" w:rsidRDefault="008B5954" w:rsidP="008B5954">
      <w:pPr>
        <w:spacing w:line="115" w:lineRule="exact"/>
      </w:pPr>
    </w:p>
    <w:tbl>
      <w:tblPr>
        <w:tblW w:w="8566" w:type="dxa"/>
        <w:tblInd w:w="340" w:type="dxa"/>
        <w:tblLayout w:type="fixed"/>
        <w:tblCellMar>
          <w:left w:w="0" w:type="dxa"/>
          <w:right w:w="0" w:type="dxa"/>
        </w:tblCellMar>
        <w:tblLook w:val="04A0" w:firstRow="1" w:lastRow="0" w:firstColumn="1" w:lastColumn="0" w:noHBand="0" w:noVBand="1"/>
      </w:tblPr>
      <w:tblGrid>
        <w:gridCol w:w="2041"/>
        <w:gridCol w:w="1861"/>
        <w:gridCol w:w="1641"/>
        <w:gridCol w:w="1101"/>
        <w:gridCol w:w="961"/>
        <w:gridCol w:w="961"/>
      </w:tblGrid>
      <w:tr w:rsidR="008B5954" w:rsidRPr="007C18C8" w14:paraId="2AA3D60E" w14:textId="77777777" w:rsidTr="0036177A">
        <w:trPr>
          <w:trHeight w:val="279"/>
        </w:trPr>
        <w:tc>
          <w:tcPr>
            <w:tcW w:w="2041" w:type="dxa"/>
            <w:vAlign w:val="bottom"/>
            <w:hideMark/>
          </w:tcPr>
          <w:p w14:paraId="7626DFF1" w14:textId="77777777" w:rsidR="008B5954" w:rsidRPr="007C18C8" w:rsidRDefault="008B5954" w:rsidP="0036177A">
            <w:pPr>
              <w:spacing w:line="0" w:lineRule="atLeast"/>
              <w:jc w:val="center"/>
              <w:rPr>
                <w:rFonts w:eastAsia="Arial"/>
              </w:rPr>
            </w:pPr>
            <w:r w:rsidRPr="007C18C8">
              <w:rPr>
                <w:rFonts w:eastAsia="Arial"/>
              </w:rPr>
              <w:t>Title</w:t>
            </w:r>
          </w:p>
        </w:tc>
        <w:tc>
          <w:tcPr>
            <w:tcW w:w="1861" w:type="dxa"/>
            <w:vAlign w:val="bottom"/>
            <w:hideMark/>
          </w:tcPr>
          <w:p w14:paraId="4C6A0986" w14:textId="77777777" w:rsidR="008B5954" w:rsidRPr="007C18C8" w:rsidRDefault="008B5954" w:rsidP="0036177A">
            <w:pPr>
              <w:spacing w:line="0" w:lineRule="atLeast"/>
              <w:jc w:val="center"/>
              <w:rPr>
                <w:rFonts w:eastAsia="Arial"/>
                <w:w w:val="95"/>
              </w:rPr>
            </w:pPr>
            <w:r w:rsidRPr="007C18C8">
              <w:rPr>
                <w:rFonts w:eastAsia="Arial"/>
                <w:w w:val="95"/>
              </w:rPr>
              <w:t>Observations</w:t>
            </w:r>
          </w:p>
        </w:tc>
        <w:tc>
          <w:tcPr>
            <w:tcW w:w="1641" w:type="dxa"/>
            <w:vAlign w:val="bottom"/>
            <w:hideMark/>
          </w:tcPr>
          <w:p w14:paraId="1AFC45F4" w14:textId="77777777" w:rsidR="008B5954" w:rsidRPr="007C18C8" w:rsidRDefault="008B5954" w:rsidP="0036177A">
            <w:pPr>
              <w:spacing w:line="0" w:lineRule="atLeast"/>
              <w:ind w:left="340"/>
              <w:rPr>
                <w:rFonts w:eastAsia="Arial"/>
              </w:rPr>
            </w:pPr>
            <w:r w:rsidRPr="007C18C8">
              <w:rPr>
                <w:rFonts w:eastAsia="Arial"/>
              </w:rPr>
              <w:t>Parameters</w:t>
            </w:r>
          </w:p>
        </w:tc>
        <w:tc>
          <w:tcPr>
            <w:tcW w:w="1101" w:type="dxa"/>
            <w:vAlign w:val="bottom"/>
            <w:hideMark/>
          </w:tcPr>
          <w:p w14:paraId="5B14672C" w14:textId="77777777" w:rsidR="008B5954" w:rsidRPr="007C18C8" w:rsidRDefault="008B5954" w:rsidP="0036177A">
            <w:pPr>
              <w:spacing w:line="0" w:lineRule="atLeast"/>
              <w:jc w:val="center"/>
              <w:rPr>
                <w:rFonts w:eastAsia="Arial"/>
              </w:rPr>
            </w:pPr>
            <w:r w:rsidRPr="007C18C8">
              <w:rPr>
                <w:rFonts w:eastAsia="Arial"/>
              </w:rPr>
              <w:t>AIC</w:t>
            </w:r>
          </w:p>
        </w:tc>
        <w:tc>
          <w:tcPr>
            <w:tcW w:w="961" w:type="dxa"/>
            <w:vAlign w:val="bottom"/>
            <w:hideMark/>
          </w:tcPr>
          <w:p w14:paraId="38C6F267" w14:textId="77777777" w:rsidR="008B5954" w:rsidRPr="007C18C8" w:rsidRDefault="008B5954" w:rsidP="0036177A">
            <w:pPr>
              <w:spacing w:line="0" w:lineRule="atLeast"/>
              <w:ind w:left="20"/>
              <w:jc w:val="center"/>
              <w:rPr>
                <w:rFonts w:eastAsia="Arial"/>
              </w:rPr>
            </w:pPr>
            <w:r w:rsidRPr="007C18C8">
              <w:rPr>
                <w:rFonts w:eastAsia="Arial"/>
              </w:rPr>
              <w:t>BIC</w:t>
            </w:r>
          </w:p>
        </w:tc>
        <w:tc>
          <w:tcPr>
            <w:tcW w:w="961" w:type="dxa"/>
          </w:tcPr>
          <w:p w14:paraId="434E3714" w14:textId="77777777" w:rsidR="008B5954" w:rsidRPr="007C18C8" w:rsidRDefault="008B5954" w:rsidP="0036177A">
            <w:pPr>
              <w:spacing w:line="0" w:lineRule="atLeast"/>
              <w:ind w:left="20"/>
              <w:jc w:val="center"/>
              <w:rPr>
                <w:rFonts w:eastAsia="Arial"/>
              </w:rPr>
            </w:pPr>
            <w:r>
              <w:rPr>
                <w:rFonts w:eastAsia="Arial"/>
              </w:rPr>
              <w:t>Entropy</w:t>
            </w:r>
          </w:p>
        </w:tc>
      </w:tr>
      <w:tr w:rsidR="008B5954" w:rsidRPr="007C18C8" w14:paraId="67EC789F" w14:textId="77777777" w:rsidTr="0036177A">
        <w:trPr>
          <w:trHeight w:val="72"/>
        </w:trPr>
        <w:tc>
          <w:tcPr>
            <w:tcW w:w="2041" w:type="dxa"/>
            <w:tcBorders>
              <w:top w:val="nil"/>
              <w:left w:val="nil"/>
              <w:bottom w:val="single" w:sz="8" w:space="0" w:color="auto"/>
              <w:right w:val="nil"/>
            </w:tcBorders>
            <w:vAlign w:val="bottom"/>
          </w:tcPr>
          <w:p w14:paraId="6A579E1E" w14:textId="77777777" w:rsidR="008B5954" w:rsidRPr="007C18C8" w:rsidRDefault="008B5954" w:rsidP="0036177A">
            <w:pPr>
              <w:spacing w:line="0" w:lineRule="atLeast"/>
            </w:pPr>
          </w:p>
        </w:tc>
        <w:tc>
          <w:tcPr>
            <w:tcW w:w="1861" w:type="dxa"/>
            <w:tcBorders>
              <w:top w:val="nil"/>
              <w:left w:val="nil"/>
              <w:bottom w:val="single" w:sz="8" w:space="0" w:color="auto"/>
              <w:right w:val="nil"/>
            </w:tcBorders>
            <w:vAlign w:val="bottom"/>
          </w:tcPr>
          <w:p w14:paraId="3E59C63B" w14:textId="77777777" w:rsidR="008B5954" w:rsidRPr="007C18C8" w:rsidRDefault="008B5954" w:rsidP="0036177A">
            <w:pPr>
              <w:spacing w:line="0" w:lineRule="atLeast"/>
            </w:pPr>
          </w:p>
        </w:tc>
        <w:tc>
          <w:tcPr>
            <w:tcW w:w="1641" w:type="dxa"/>
            <w:tcBorders>
              <w:top w:val="nil"/>
              <w:left w:val="nil"/>
              <w:bottom w:val="single" w:sz="8" w:space="0" w:color="auto"/>
              <w:right w:val="nil"/>
            </w:tcBorders>
            <w:vAlign w:val="bottom"/>
          </w:tcPr>
          <w:p w14:paraId="15169D67" w14:textId="77777777" w:rsidR="008B5954" w:rsidRPr="007C18C8" w:rsidRDefault="008B5954" w:rsidP="0036177A">
            <w:pPr>
              <w:spacing w:line="0" w:lineRule="atLeast"/>
            </w:pPr>
          </w:p>
        </w:tc>
        <w:tc>
          <w:tcPr>
            <w:tcW w:w="1101" w:type="dxa"/>
            <w:tcBorders>
              <w:top w:val="nil"/>
              <w:left w:val="nil"/>
              <w:bottom w:val="single" w:sz="8" w:space="0" w:color="auto"/>
              <w:right w:val="nil"/>
            </w:tcBorders>
            <w:vAlign w:val="bottom"/>
          </w:tcPr>
          <w:p w14:paraId="1FA13556" w14:textId="77777777" w:rsidR="008B5954" w:rsidRPr="007C18C8" w:rsidRDefault="008B5954" w:rsidP="0036177A">
            <w:pPr>
              <w:spacing w:line="0" w:lineRule="atLeast"/>
            </w:pPr>
          </w:p>
        </w:tc>
        <w:tc>
          <w:tcPr>
            <w:tcW w:w="961" w:type="dxa"/>
            <w:tcBorders>
              <w:top w:val="nil"/>
              <w:left w:val="nil"/>
              <w:bottom w:val="single" w:sz="8" w:space="0" w:color="auto"/>
              <w:right w:val="nil"/>
            </w:tcBorders>
            <w:vAlign w:val="bottom"/>
          </w:tcPr>
          <w:p w14:paraId="0687F192" w14:textId="77777777" w:rsidR="008B5954" w:rsidRPr="007C18C8" w:rsidRDefault="008B5954" w:rsidP="0036177A">
            <w:pPr>
              <w:spacing w:line="0" w:lineRule="atLeast"/>
            </w:pPr>
          </w:p>
        </w:tc>
        <w:tc>
          <w:tcPr>
            <w:tcW w:w="961" w:type="dxa"/>
            <w:tcBorders>
              <w:top w:val="nil"/>
              <w:left w:val="nil"/>
              <w:bottom w:val="single" w:sz="8" w:space="0" w:color="auto"/>
              <w:right w:val="nil"/>
            </w:tcBorders>
          </w:tcPr>
          <w:p w14:paraId="284B32E6" w14:textId="77777777" w:rsidR="008B5954" w:rsidRPr="007C18C8" w:rsidRDefault="008B5954" w:rsidP="0036177A">
            <w:pPr>
              <w:spacing w:line="0" w:lineRule="atLeast"/>
            </w:pPr>
          </w:p>
        </w:tc>
      </w:tr>
      <w:tr w:rsidR="008B5954" w:rsidRPr="007C18C8" w14:paraId="60A67989" w14:textId="77777777" w:rsidTr="0036177A">
        <w:trPr>
          <w:trHeight w:val="319"/>
        </w:trPr>
        <w:tc>
          <w:tcPr>
            <w:tcW w:w="2041" w:type="dxa"/>
            <w:vAlign w:val="bottom"/>
            <w:hideMark/>
          </w:tcPr>
          <w:p w14:paraId="75DC4825" w14:textId="77777777" w:rsidR="008B5954" w:rsidRPr="007C18C8" w:rsidRDefault="008B5954" w:rsidP="0036177A">
            <w:pPr>
              <w:spacing w:line="0" w:lineRule="atLeast"/>
              <w:jc w:val="center"/>
              <w:rPr>
                <w:rFonts w:eastAsia="Arial"/>
                <w:w w:val="94"/>
              </w:rPr>
            </w:pPr>
            <w:r w:rsidRPr="007C18C8">
              <w:rPr>
                <w:rFonts w:eastAsia="Arial"/>
                <w:w w:val="94"/>
              </w:rPr>
              <w:t>1-classes;</w:t>
            </w:r>
          </w:p>
        </w:tc>
        <w:tc>
          <w:tcPr>
            <w:tcW w:w="1861" w:type="dxa"/>
            <w:vAlign w:val="bottom"/>
            <w:hideMark/>
          </w:tcPr>
          <w:p w14:paraId="1EC8B239" w14:textId="77777777" w:rsidR="008B5954" w:rsidRPr="007C18C8" w:rsidRDefault="008B5954" w:rsidP="0036177A">
            <w:pPr>
              <w:spacing w:line="0" w:lineRule="atLeast"/>
              <w:jc w:val="center"/>
              <w:rPr>
                <w:rFonts w:eastAsia="Arial"/>
                <w:w w:val="89"/>
              </w:rPr>
            </w:pPr>
            <w:r w:rsidRPr="007C18C8">
              <w:rPr>
                <w:rFonts w:eastAsia="Arial"/>
                <w:w w:val="89"/>
              </w:rPr>
              <w:t>2</w:t>
            </w:r>
            <w:r>
              <w:rPr>
                <w:rFonts w:eastAsia="Arial"/>
                <w:w w:val="89"/>
              </w:rPr>
              <w:t>79</w:t>
            </w:r>
          </w:p>
        </w:tc>
        <w:tc>
          <w:tcPr>
            <w:tcW w:w="1641" w:type="dxa"/>
            <w:vAlign w:val="bottom"/>
            <w:hideMark/>
          </w:tcPr>
          <w:p w14:paraId="1469F513" w14:textId="77777777" w:rsidR="008B5954" w:rsidRPr="007C18C8" w:rsidRDefault="008B5954" w:rsidP="0036177A">
            <w:pPr>
              <w:spacing w:line="0" w:lineRule="atLeast"/>
              <w:jc w:val="center"/>
              <w:rPr>
                <w:rFonts w:eastAsia="Arial"/>
                <w:w w:val="89"/>
              </w:rPr>
            </w:pPr>
            <w:r w:rsidRPr="007C18C8">
              <w:rPr>
                <w:rFonts w:eastAsia="Arial"/>
                <w:w w:val="89"/>
              </w:rPr>
              <w:t>54</w:t>
            </w:r>
          </w:p>
        </w:tc>
        <w:tc>
          <w:tcPr>
            <w:tcW w:w="1101" w:type="dxa"/>
            <w:vAlign w:val="bottom"/>
            <w:hideMark/>
          </w:tcPr>
          <w:p w14:paraId="3FEB8E81" w14:textId="77777777" w:rsidR="008B5954" w:rsidRPr="007C18C8" w:rsidRDefault="008B5954" w:rsidP="0036177A">
            <w:pPr>
              <w:spacing w:line="0" w:lineRule="atLeast"/>
              <w:jc w:val="center"/>
              <w:rPr>
                <w:rFonts w:eastAsia="Arial"/>
                <w:w w:val="89"/>
              </w:rPr>
            </w:pPr>
            <w:r w:rsidRPr="007C18C8">
              <w:rPr>
                <w:rFonts w:eastAsia="Arial"/>
                <w:w w:val="89"/>
              </w:rPr>
              <w:t>22635</w:t>
            </w:r>
          </w:p>
        </w:tc>
        <w:tc>
          <w:tcPr>
            <w:tcW w:w="961" w:type="dxa"/>
            <w:vAlign w:val="bottom"/>
            <w:hideMark/>
          </w:tcPr>
          <w:p w14:paraId="4AC6B1F8" w14:textId="77777777" w:rsidR="008B5954" w:rsidRPr="007C18C8" w:rsidRDefault="008B5954" w:rsidP="0036177A">
            <w:pPr>
              <w:spacing w:line="0" w:lineRule="atLeast"/>
              <w:jc w:val="center"/>
              <w:rPr>
                <w:rFonts w:eastAsia="Arial"/>
                <w:w w:val="89"/>
              </w:rPr>
            </w:pPr>
            <w:r w:rsidRPr="007C18C8">
              <w:rPr>
                <w:rFonts w:eastAsia="Arial"/>
                <w:w w:val="89"/>
              </w:rPr>
              <w:t>22831</w:t>
            </w:r>
          </w:p>
        </w:tc>
        <w:tc>
          <w:tcPr>
            <w:tcW w:w="961" w:type="dxa"/>
          </w:tcPr>
          <w:p w14:paraId="43A65F65" w14:textId="77777777" w:rsidR="008B5954" w:rsidRPr="007C18C8" w:rsidRDefault="008B5954" w:rsidP="0036177A">
            <w:pPr>
              <w:spacing w:line="0" w:lineRule="atLeast"/>
              <w:jc w:val="center"/>
              <w:rPr>
                <w:rFonts w:eastAsia="Arial"/>
                <w:w w:val="89"/>
              </w:rPr>
            </w:pPr>
            <w:r>
              <w:rPr>
                <w:rFonts w:eastAsia="Arial"/>
                <w:w w:val="89"/>
              </w:rPr>
              <w:t>NA</w:t>
            </w:r>
          </w:p>
        </w:tc>
      </w:tr>
      <w:tr w:rsidR="008B5954" w:rsidRPr="007C18C8" w14:paraId="49FAB949" w14:textId="77777777" w:rsidTr="0036177A">
        <w:trPr>
          <w:trHeight w:val="311"/>
        </w:trPr>
        <w:tc>
          <w:tcPr>
            <w:tcW w:w="2041" w:type="dxa"/>
            <w:vAlign w:val="bottom"/>
            <w:hideMark/>
          </w:tcPr>
          <w:p w14:paraId="6D91606C" w14:textId="77777777" w:rsidR="008B5954" w:rsidRPr="007C18C8" w:rsidRDefault="008B5954" w:rsidP="0036177A">
            <w:pPr>
              <w:spacing w:line="0" w:lineRule="atLeast"/>
              <w:jc w:val="center"/>
              <w:rPr>
                <w:rFonts w:eastAsia="Arial"/>
                <w:w w:val="94"/>
              </w:rPr>
            </w:pPr>
            <w:r w:rsidRPr="007C18C8">
              <w:rPr>
                <w:rFonts w:eastAsia="Arial"/>
                <w:w w:val="94"/>
              </w:rPr>
              <w:t>2-classes;</w:t>
            </w:r>
          </w:p>
        </w:tc>
        <w:tc>
          <w:tcPr>
            <w:tcW w:w="1861" w:type="dxa"/>
            <w:vAlign w:val="bottom"/>
            <w:hideMark/>
          </w:tcPr>
          <w:p w14:paraId="7D2CFF66"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424EE91C" w14:textId="77777777" w:rsidR="008B5954" w:rsidRPr="007C18C8" w:rsidRDefault="008B5954" w:rsidP="0036177A">
            <w:pPr>
              <w:spacing w:line="0" w:lineRule="atLeast"/>
              <w:jc w:val="center"/>
              <w:rPr>
                <w:rFonts w:eastAsia="Arial"/>
                <w:w w:val="89"/>
              </w:rPr>
            </w:pPr>
            <w:r w:rsidRPr="007C18C8">
              <w:rPr>
                <w:rFonts w:eastAsia="Arial"/>
                <w:w w:val="89"/>
              </w:rPr>
              <w:t>96</w:t>
            </w:r>
          </w:p>
        </w:tc>
        <w:tc>
          <w:tcPr>
            <w:tcW w:w="1101" w:type="dxa"/>
            <w:vAlign w:val="bottom"/>
            <w:hideMark/>
          </w:tcPr>
          <w:p w14:paraId="6851B727" w14:textId="77777777" w:rsidR="008B5954" w:rsidRPr="007C18C8" w:rsidRDefault="008B5954" w:rsidP="0036177A">
            <w:pPr>
              <w:spacing w:line="0" w:lineRule="atLeast"/>
              <w:jc w:val="center"/>
              <w:rPr>
                <w:rFonts w:eastAsia="Arial"/>
                <w:w w:val="89"/>
              </w:rPr>
            </w:pPr>
            <w:r w:rsidRPr="007C18C8">
              <w:rPr>
                <w:rFonts w:eastAsia="Arial"/>
                <w:w w:val="89"/>
              </w:rPr>
              <w:t>18043</w:t>
            </w:r>
          </w:p>
        </w:tc>
        <w:tc>
          <w:tcPr>
            <w:tcW w:w="961" w:type="dxa"/>
            <w:vAlign w:val="bottom"/>
            <w:hideMark/>
          </w:tcPr>
          <w:p w14:paraId="21EC4729" w14:textId="77777777" w:rsidR="008B5954" w:rsidRPr="007C18C8" w:rsidRDefault="008B5954" w:rsidP="0036177A">
            <w:pPr>
              <w:spacing w:line="0" w:lineRule="atLeast"/>
              <w:jc w:val="center"/>
              <w:rPr>
                <w:rFonts w:eastAsia="Arial"/>
                <w:w w:val="89"/>
              </w:rPr>
            </w:pPr>
            <w:r w:rsidRPr="007C18C8">
              <w:rPr>
                <w:rFonts w:eastAsia="Arial"/>
                <w:w w:val="89"/>
              </w:rPr>
              <w:t>18392</w:t>
            </w:r>
          </w:p>
        </w:tc>
        <w:tc>
          <w:tcPr>
            <w:tcW w:w="961" w:type="dxa"/>
          </w:tcPr>
          <w:p w14:paraId="0072AA45" w14:textId="77777777" w:rsidR="008B5954" w:rsidRPr="007C18C8" w:rsidRDefault="008B5954" w:rsidP="0036177A">
            <w:pPr>
              <w:spacing w:line="0" w:lineRule="atLeast"/>
              <w:jc w:val="center"/>
              <w:rPr>
                <w:rFonts w:eastAsia="Arial"/>
                <w:w w:val="89"/>
              </w:rPr>
            </w:pPr>
            <w:r>
              <w:rPr>
                <w:rFonts w:eastAsia="Arial"/>
                <w:w w:val="89"/>
              </w:rPr>
              <w:t>0.999</w:t>
            </w:r>
          </w:p>
        </w:tc>
      </w:tr>
      <w:tr w:rsidR="008B5954" w:rsidRPr="007C18C8" w14:paraId="43833D42" w14:textId="77777777" w:rsidTr="0036177A">
        <w:trPr>
          <w:trHeight w:val="311"/>
        </w:trPr>
        <w:tc>
          <w:tcPr>
            <w:tcW w:w="2041" w:type="dxa"/>
            <w:vAlign w:val="bottom"/>
            <w:hideMark/>
          </w:tcPr>
          <w:p w14:paraId="32A30368" w14:textId="77777777" w:rsidR="008B5954" w:rsidRPr="007C18C8" w:rsidRDefault="008B5954" w:rsidP="0036177A">
            <w:pPr>
              <w:spacing w:line="0" w:lineRule="atLeast"/>
              <w:jc w:val="center"/>
              <w:rPr>
                <w:rFonts w:eastAsia="Arial"/>
                <w:w w:val="94"/>
              </w:rPr>
            </w:pPr>
            <w:r w:rsidRPr="007C18C8">
              <w:rPr>
                <w:rFonts w:eastAsia="Arial"/>
                <w:w w:val="94"/>
              </w:rPr>
              <w:t>3-classes;</w:t>
            </w:r>
          </w:p>
        </w:tc>
        <w:tc>
          <w:tcPr>
            <w:tcW w:w="1861" w:type="dxa"/>
            <w:vAlign w:val="bottom"/>
            <w:hideMark/>
          </w:tcPr>
          <w:p w14:paraId="32C68293"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048C1A6C" w14:textId="77777777" w:rsidR="008B5954" w:rsidRPr="007C18C8" w:rsidRDefault="008B5954" w:rsidP="0036177A">
            <w:pPr>
              <w:spacing w:line="0" w:lineRule="atLeast"/>
              <w:jc w:val="center"/>
              <w:rPr>
                <w:rFonts w:eastAsia="Arial"/>
                <w:w w:val="89"/>
              </w:rPr>
            </w:pPr>
            <w:r w:rsidRPr="007C18C8">
              <w:rPr>
                <w:rFonts w:eastAsia="Arial"/>
                <w:w w:val="89"/>
              </w:rPr>
              <w:t>138</w:t>
            </w:r>
          </w:p>
        </w:tc>
        <w:tc>
          <w:tcPr>
            <w:tcW w:w="1101" w:type="dxa"/>
            <w:vAlign w:val="bottom"/>
            <w:hideMark/>
          </w:tcPr>
          <w:p w14:paraId="0DDE4C9F" w14:textId="77777777" w:rsidR="008B5954" w:rsidRPr="007C18C8" w:rsidRDefault="008B5954" w:rsidP="0036177A">
            <w:pPr>
              <w:spacing w:line="0" w:lineRule="atLeast"/>
              <w:jc w:val="center"/>
              <w:rPr>
                <w:rFonts w:eastAsia="Arial"/>
                <w:w w:val="89"/>
              </w:rPr>
            </w:pPr>
            <w:r w:rsidRPr="007C18C8">
              <w:rPr>
                <w:rFonts w:eastAsia="Arial"/>
                <w:w w:val="89"/>
              </w:rPr>
              <w:t>17540</w:t>
            </w:r>
          </w:p>
        </w:tc>
        <w:tc>
          <w:tcPr>
            <w:tcW w:w="961" w:type="dxa"/>
            <w:vAlign w:val="bottom"/>
            <w:hideMark/>
          </w:tcPr>
          <w:p w14:paraId="242E29C2" w14:textId="77777777" w:rsidR="008B5954" w:rsidRPr="007C18C8" w:rsidRDefault="008B5954" w:rsidP="0036177A">
            <w:pPr>
              <w:spacing w:line="0" w:lineRule="atLeast"/>
              <w:jc w:val="center"/>
              <w:rPr>
                <w:rFonts w:eastAsia="Arial"/>
                <w:w w:val="89"/>
              </w:rPr>
            </w:pPr>
            <w:r w:rsidRPr="007C18C8">
              <w:rPr>
                <w:rFonts w:eastAsia="Arial"/>
                <w:w w:val="89"/>
              </w:rPr>
              <w:t>18042</w:t>
            </w:r>
          </w:p>
        </w:tc>
        <w:tc>
          <w:tcPr>
            <w:tcW w:w="961" w:type="dxa"/>
          </w:tcPr>
          <w:p w14:paraId="1A04C195" w14:textId="77777777" w:rsidR="008B5954" w:rsidRPr="007C18C8" w:rsidRDefault="008B5954" w:rsidP="0036177A">
            <w:pPr>
              <w:spacing w:line="0" w:lineRule="atLeast"/>
              <w:jc w:val="center"/>
              <w:rPr>
                <w:rFonts w:eastAsia="Arial"/>
                <w:w w:val="89"/>
              </w:rPr>
            </w:pPr>
            <w:r>
              <w:rPr>
                <w:rFonts w:eastAsia="Arial"/>
                <w:w w:val="89"/>
              </w:rPr>
              <w:t>0.976</w:t>
            </w:r>
          </w:p>
        </w:tc>
      </w:tr>
      <w:tr w:rsidR="008B5954" w:rsidRPr="007C18C8" w14:paraId="73A61EC4" w14:textId="77777777" w:rsidTr="0036177A">
        <w:trPr>
          <w:trHeight w:val="311"/>
        </w:trPr>
        <w:tc>
          <w:tcPr>
            <w:tcW w:w="2041" w:type="dxa"/>
            <w:vAlign w:val="bottom"/>
            <w:hideMark/>
          </w:tcPr>
          <w:p w14:paraId="1CD1D56F" w14:textId="77777777" w:rsidR="008B5954" w:rsidRPr="007C18C8" w:rsidRDefault="008B5954" w:rsidP="0036177A">
            <w:pPr>
              <w:spacing w:line="0" w:lineRule="atLeast"/>
              <w:jc w:val="center"/>
              <w:rPr>
                <w:rFonts w:eastAsia="Arial"/>
                <w:w w:val="94"/>
              </w:rPr>
            </w:pPr>
            <w:r w:rsidRPr="007C18C8">
              <w:rPr>
                <w:rFonts w:eastAsia="Arial"/>
                <w:w w:val="94"/>
              </w:rPr>
              <w:t>4-classes;</w:t>
            </w:r>
          </w:p>
        </w:tc>
        <w:tc>
          <w:tcPr>
            <w:tcW w:w="1861" w:type="dxa"/>
            <w:vAlign w:val="bottom"/>
            <w:hideMark/>
          </w:tcPr>
          <w:p w14:paraId="38F5CF9A"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492A1D56" w14:textId="77777777" w:rsidR="008B5954" w:rsidRPr="007C18C8" w:rsidRDefault="008B5954" w:rsidP="0036177A">
            <w:pPr>
              <w:spacing w:line="0" w:lineRule="atLeast"/>
              <w:jc w:val="center"/>
              <w:rPr>
                <w:rFonts w:eastAsia="Arial"/>
                <w:w w:val="89"/>
              </w:rPr>
            </w:pPr>
            <w:r w:rsidRPr="007C18C8">
              <w:rPr>
                <w:rFonts w:eastAsia="Arial"/>
                <w:w w:val="89"/>
              </w:rPr>
              <w:t>180</w:t>
            </w:r>
          </w:p>
        </w:tc>
        <w:tc>
          <w:tcPr>
            <w:tcW w:w="1101" w:type="dxa"/>
            <w:vAlign w:val="bottom"/>
            <w:hideMark/>
          </w:tcPr>
          <w:p w14:paraId="6FB456A3" w14:textId="77777777" w:rsidR="008B5954" w:rsidRPr="007C18C8" w:rsidRDefault="008B5954" w:rsidP="0036177A">
            <w:pPr>
              <w:spacing w:line="0" w:lineRule="atLeast"/>
              <w:jc w:val="center"/>
              <w:rPr>
                <w:rFonts w:eastAsia="Arial"/>
                <w:w w:val="89"/>
              </w:rPr>
            </w:pPr>
            <w:r w:rsidRPr="007C18C8">
              <w:rPr>
                <w:rFonts w:eastAsia="Arial"/>
                <w:w w:val="89"/>
              </w:rPr>
              <w:t>17213</w:t>
            </w:r>
          </w:p>
        </w:tc>
        <w:tc>
          <w:tcPr>
            <w:tcW w:w="961" w:type="dxa"/>
            <w:vAlign w:val="bottom"/>
            <w:hideMark/>
          </w:tcPr>
          <w:p w14:paraId="746CA8B8" w14:textId="77777777" w:rsidR="008B5954" w:rsidRPr="007C18C8" w:rsidRDefault="008B5954" w:rsidP="0036177A">
            <w:pPr>
              <w:spacing w:line="0" w:lineRule="atLeast"/>
              <w:jc w:val="center"/>
              <w:rPr>
                <w:rFonts w:eastAsia="Arial"/>
                <w:w w:val="89"/>
              </w:rPr>
            </w:pPr>
            <w:r w:rsidRPr="007C18C8">
              <w:rPr>
                <w:rFonts w:eastAsia="Arial"/>
                <w:w w:val="89"/>
              </w:rPr>
              <w:t>17868</w:t>
            </w:r>
          </w:p>
        </w:tc>
        <w:tc>
          <w:tcPr>
            <w:tcW w:w="961" w:type="dxa"/>
          </w:tcPr>
          <w:p w14:paraId="07917E47" w14:textId="34E47A5D" w:rsidR="008B5954" w:rsidRPr="007C18C8" w:rsidRDefault="008B5954" w:rsidP="0036177A">
            <w:pPr>
              <w:spacing w:line="0" w:lineRule="atLeast"/>
              <w:jc w:val="center"/>
              <w:rPr>
                <w:rFonts w:eastAsia="Arial"/>
                <w:w w:val="89"/>
              </w:rPr>
            </w:pPr>
            <w:r>
              <w:rPr>
                <w:rFonts w:eastAsia="Arial"/>
                <w:w w:val="89"/>
              </w:rPr>
              <w:t>0.98</w:t>
            </w:r>
            <w:r w:rsidR="006A75BE">
              <w:rPr>
                <w:rFonts w:eastAsia="Arial"/>
                <w:w w:val="89"/>
              </w:rPr>
              <w:t>0</w:t>
            </w:r>
          </w:p>
        </w:tc>
      </w:tr>
      <w:tr w:rsidR="008B5954" w:rsidRPr="007C18C8" w14:paraId="2565513C" w14:textId="77777777" w:rsidTr="0036177A">
        <w:trPr>
          <w:trHeight w:val="311"/>
        </w:trPr>
        <w:tc>
          <w:tcPr>
            <w:tcW w:w="2041" w:type="dxa"/>
            <w:vAlign w:val="bottom"/>
            <w:hideMark/>
          </w:tcPr>
          <w:p w14:paraId="46F72F27" w14:textId="77777777" w:rsidR="008B5954" w:rsidRPr="007C18C8" w:rsidRDefault="008B5954" w:rsidP="0036177A">
            <w:pPr>
              <w:spacing w:line="0" w:lineRule="atLeast"/>
              <w:jc w:val="center"/>
              <w:rPr>
                <w:rFonts w:eastAsia="Arial"/>
                <w:w w:val="94"/>
              </w:rPr>
            </w:pPr>
            <w:r w:rsidRPr="007C18C8">
              <w:rPr>
                <w:rFonts w:eastAsia="Arial"/>
                <w:w w:val="94"/>
              </w:rPr>
              <w:t>5-classes;</w:t>
            </w:r>
          </w:p>
        </w:tc>
        <w:tc>
          <w:tcPr>
            <w:tcW w:w="1861" w:type="dxa"/>
            <w:vAlign w:val="bottom"/>
            <w:hideMark/>
          </w:tcPr>
          <w:p w14:paraId="13D8BF04"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7D24B9BE" w14:textId="77777777" w:rsidR="008B5954" w:rsidRPr="007C18C8" w:rsidRDefault="008B5954" w:rsidP="0036177A">
            <w:pPr>
              <w:spacing w:line="0" w:lineRule="atLeast"/>
              <w:jc w:val="center"/>
              <w:rPr>
                <w:rFonts w:eastAsia="Arial"/>
                <w:w w:val="89"/>
              </w:rPr>
            </w:pPr>
            <w:r w:rsidRPr="007C18C8">
              <w:rPr>
                <w:rFonts w:eastAsia="Arial"/>
                <w:w w:val="89"/>
              </w:rPr>
              <w:t>222</w:t>
            </w:r>
          </w:p>
        </w:tc>
        <w:tc>
          <w:tcPr>
            <w:tcW w:w="1101" w:type="dxa"/>
            <w:vAlign w:val="bottom"/>
            <w:hideMark/>
          </w:tcPr>
          <w:p w14:paraId="04F69E32" w14:textId="77777777" w:rsidR="008B5954" w:rsidRPr="007C18C8" w:rsidRDefault="008B5954" w:rsidP="0036177A">
            <w:pPr>
              <w:spacing w:line="0" w:lineRule="atLeast"/>
              <w:jc w:val="center"/>
              <w:rPr>
                <w:rFonts w:eastAsia="Arial"/>
                <w:w w:val="89"/>
              </w:rPr>
            </w:pPr>
            <w:r w:rsidRPr="007C18C8">
              <w:rPr>
                <w:rFonts w:eastAsia="Arial"/>
                <w:w w:val="89"/>
              </w:rPr>
              <w:t>17104</w:t>
            </w:r>
          </w:p>
        </w:tc>
        <w:tc>
          <w:tcPr>
            <w:tcW w:w="961" w:type="dxa"/>
            <w:vAlign w:val="bottom"/>
            <w:hideMark/>
          </w:tcPr>
          <w:p w14:paraId="041F947F" w14:textId="77777777" w:rsidR="008B5954" w:rsidRPr="007C18C8" w:rsidRDefault="008B5954" w:rsidP="0036177A">
            <w:pPr>
              <w:spacing w:line="0" w:lineRule="atLeast"/>
              <w:jc w:val="center"/>
              <w:rPr>
                <w:rFonts w:eastAsia="Arial"/>
                <w:w w:val="89"/>
              </w:rPr>
            </w:pPr>
            <w:r w:rsidRPr="007C18C8">
              <w:rPr>
                <w:rFonts w:eastAsia="Arial"/>
                <w:w w:val="89"/>
              </w:rPr>
              <w:t>17911</w:t>
            </w:r>
          </w:p>
        </w:tc>
        <w:tc>
          <w:tcPr>
            <w:tcW w:w="961" w:type="dxa"/>
          </w:tcPr>
          <w:p w14:paraId="4A9085AE" w14:textId="3C37243E" w:rsidR="008B5954" w:rsidRPr="007C18C8" w:rsidRDefault="008B5954" w:rsidP="0036177A">
            <w:pPr>
              <w:spacing w:line="0" w:lineRule="atLeast"/>
              <w:jc w:val="center"/>
              <w:rPr>
                <w:rFonts w:eastAsia="Arial"/>
                <w:w w:val="89"/>
              </w:rPr>
            </w:pPr>
            <w:r>
              <w:rPr>
                <w:rFonts w:eastAsia="Arial"/>
                <w:w w:val="89"/>
              </w:rPr>
              <w:t>0.98</w:t>
            </w:r>
            <w:r w:rsidR="006A75BE">
              <w:rPr>
                <w:rFonts w:eastAsia="Arial"/>
                <w:w w:val="89"/>
              </w:rPr>
              <w:t>0</w:t>
            </w:r>
          </w:p>
        </w:tc>
      </w:tr>
      <w:tr w:rsidR="008B5954" w:rsidRPr="007C18C8" w14:paraId="549133C9" w14:textId="77777777" w:rsidTr="0036177A">
        <w:trPr>
          <w:trHeight w:val="311"/>
        </w:trPr>
        <w:tc>
          <w:tcPr>
            <w:tcW w:w="2041" w:type="dxa"/>
            <w:vAlign w:val="bottom"/>
            <w:hideMark/>
          </w:tcPr>
          <w:p w14:paraId="3AEA294A" w14:textId="77777777" w:rsidR="008B5954" w:rsidRPr="007C18C8" w:rsidRDefault="008B5954" w:rsidP="0036177A">
            <w:pPr>
              <w:spacing w:line="0" w:lineRule="atLeast"/>
              <w:jc w:val="center"/>
              <w:rPr>
                <w:rFonts w:eastAsia="Arial"/>
                <w:w w:val="94"/>
              </w:rPr>
            </w:pPr>
            <w:r w:rsidRPr="007C18C8">
              <w:rPr>
                <w:rFonts w:eastAsia="Arial"/>
                <w:w w:val="94"/>
              </w:rPr>
              <w:t>6-classes;</w:t>
            </w:r>
          </w:p>
        </w:tc>
        <w:tc>
          <w:tcPr>
            <w:tcW w:w="1861" w:type="dxa"/>
            <w:vAlign w:val="bottom"/>
            <w:hideMark/>
          </w:tcPr>
          <w:p w14:paraId="443EC217" w14:textId="77777777" w:rsidR="008B5954" w:rsidRPr="007C18C8" w:rsidRDefault="008B5954" w:rsidP="0036177A">
            <w:pPr>
              <w:spacing w:line="0" w:lineRule="atLeast"/>
              <w:jc w:val="center"/>
              <w:rPr>
                <w:rFonts w:eastAsia="Arial"/>
                <w:w w:val="89"/>
              </w:rPr>
            </w:pPr>
            <w:r w:rsidRPr="007C18C8">
              <w:rPr>
                <w:rFonts w:eastAsia="Arial"/>
                <w:w w:val="89"/>
              </w:rPr>
              <w:t>2</w:t>
            </w:r>
            <w:r>
              <w:rPr>
                <w:rFonts w:eastAsia="Arial"/>
                <w:w w:val="89"/>
              </w:rPr>
              <w:t>79</w:t>
            </w:r>
          </w:p>
        </w:tc>
        <w:tc>
          <w:tcPr>
            <w:tcW w:w="1641" w:type="dxa"/>
            <w:vAlign w:val="bottom"/>
            <w:hideMark/>
          </w:tcPr>
          <w:p w14:paraId="36A8CDC3" w14:textId="77777777" w:rsidR="008B5954" w:rsidRPr="007C18C8" w:rsidRDefault="008B5954" w:rsidP="0036177A">
            <w:pPr>
              <w:spacing w:line="0" w:lineRule="atLeast"/>
              <w:jc w:val="center"/>
              <w:rPr>
                <w:rFonts w:eastAsia="Arial"/>
                <w:w w:val="89"/>
              </w:rPr>
            </w:pPr>
            <w:r w:rsidRPr="007C18C8">
              <w:rPr>
                <w:rFonts w:eastAsia="Arial"/>
                <w:w w:val="89"/>
              </w:rPr>
              <w:t>264</w:t>
            </w:r>
          </w:p>
        </w:tc>
        <w:tc>
          <w:tcPr>
            <w:tcW w:w="1101" w:type="dxa"/>
            <w:vAlign w:val="bottom"/>
            <w:hideMark/>
          </w:tcPr>
          <w:p w14:paraId="04EA90C7" w14:textId="77777777" w:rsidR="008B5954" w:rsidRPr="007C18C8" w:rsidRDefault="008B5954" w:rsidP="0036177A">
            <w:pPr>
              <w:spacing w:line="0" w:lineRule="atLeast"/>
              <w:jc w:val="center"/>
              <w:rPr>
                <w:rFonts w:eastAsia="Arial"/>
                <w:w w:val="89"/>
              </w:rPr>
            </w:pPr>
            <w:r w:rsidRPr="007C18C8">
              <w:rPr>
                <w:rFonts w:eastAsia="Arial"/>
                <w:w w:val="89"/>
              </w:rPr>
              <w:t>17068</w:t>
            </w:r>
          </w:p>
        </w:tc>
        <w:tc>
          <w:tcPr>
            <w:tcW w:w="961" w:type="dxa"/>
            <w:vAlign w:val="bottom"/>
            <w:hideMark/>
          </w:tcPr>
          <w:p w14:paraId="35C0DB17" w14:textId="77777777" w:rsidR="008B5954" w:rsidRPr="007C18C8" w:rsidRDefault="008B5954" w:rsidP="0036177A">
            <w:pPr>
              <w:spacing w:line="0" w:lineRule="atLeast"/>
              <w:jc w:val="center"/>
              <w:rPr>
                <w:rFonts w:eastAsia="Arial"/>
                <w:w w:val="89"/>
              </w:rPr>
            </w:pPr>
            <w:r w:rsidRPr="007C18C8">
              <w:rPr>
                <w:rFonts w:eastAsia="Arial"/>
                <w:w w:val="89"/>
              </w:rPr>
              <w:t>18027</w:t>
            </w:r>
          </w:p>
        </w:tc>
        <w:tc>
          <w:tcPr>
            <w:tcW w:w="961" w:type="dxa"/>
          </w:tcPr>
          <w:p w14:paraId="42A1CF0E" w14:textId="77777777" w:rsidR="008B5954" w:rsidRPr="007C18C8" w:rsidRDefault="008B5954" w:rsidP="0036177A">
            <w:pPr>
              <w:spacing w:line="0" w:lineRule="atLeast"/>
              <w:jc w:val="center"/>
              <w:rPr>
                <w:rFonts w:eastAsia="Arial"/>
                <w:w w:val="89"/>
              </w:rPr>
            </w:pPr>
            <w:r>
              <w:rPr>
                <w:rFonts w:eastAsia="Arial"/>
                <w:w w:val="89"/>
              </w:rPr>
              <w:t>0.975</w:t>
            </w:r>
          </w:p>
        </w:tc>
      </w:tr>
      <w:tr w:rsidR="008B5954" w:rsidRPr="007C18C8" w14:paraId="7CD1600D" w14:textId="77777777" w:rsidTr="0036177A">
        <w:trPr>
          <w:trHeight w:val="72"/>
        </w:trPr>
        <w:tc>
          <w:tcPr>
            <w:tcW w:w="2041" w:type="dxa"/>
            <w:tcBorders>
              <w:top w:val="nil"/>
              <w:left w:val="nil"/>
              <w:bottom w:val="single" w:sz="8" w:space="0" w:color="auto"/>
              <w:right w:val="nil"/>
            </w:tcBorders>
            <w:vAlign w:val="bottom"/>
          </w:tcPr>
          <w:p w14:paraId="617C8ED8" w14:textId="77777777" w:rsidR="008B5954" w:rsidRPr="007C18C8" w:rsidRDefault="008B5954" w:rsidP="0036177A">
            <w:pPr>
              <w:spacing w:line="0" w:lineRule="atLeast"/>
            </w:pPr>
          </w:p>
        </w:tc>
        <w:tc>
          <w:tcPr>
            <w:tcW w:w="1861" w:type="dxa"/>
            <w:tcBorders>
              <w:top w:val="nil"/>
              <w:left w:val="nil"/>
              <w:bottom w:val="single" w:sz="8" w:space="0" w:color="auto"/>
              <w:right w:val="nil"/>
            </w:tcBorders>
            <w:vAlign w:val="bottom"/>
          </w:tcPr>
          <w:p w14:paraId="0280D2BC" w14:textId="77777777" w:rsidR="008B5954" w:rsidRPr="007C18C8" w:rsidRDefault="008B5954" w:rsidP="0036177A">
            <w:pPr>
              <w:spacing w:line="0" w:lineRule="atLeast"/>
            </w:pPr>
          </w:p>
        </w:tc>
        <w:tc>
          <w:tcPr>
            <w:tcW w:w="1641" w:type="dxa"/>
            <w:tcBorders>
              <w:top w:val="nil"/>
              <w:left w:val="nil"/>
              <w:bottom w:val="single" w:sz="8" w:space="0" w:color="auto"/>
              <w:right w:val="nil"/>
            </w:tcBorders>
            <w:vAlign w:val="bottom"/>
          </w:tcPr>
          <w:p w14:paraId="232116BE" w14:textId="77777777" w:rsidR="008B5954" w:rsidRPr="007C18C8" w:rsidRDefault="008B5954" w:rsidP="0036177A">
            <w:pPr>
              <w:spacing w:line="0" w:lineRule="atLeast"/>
            </w:pPr>
          </w:p>
        </w:tc>
        <w:tc>
          <w:tcPr>
            <w:tcW w:w="1101" w:type="dxa"/>
            <w:tcBorders>
              <w:top w:val="nil"/>
              <w:left w:val="nil"/>
              <w:bottom w:val="single" w:sz="8" w:space="0" w:color="auto"/>
              <w:right w:val="nil"/>
            </w:tcBorders>
            <w:vAlign w:val="bottom"/>
          </w:tcPr>
          <w:p w14:paraId="47724374" w14:textId="77777777" w:rsidR="008B5954" w:rsidRPr="007C18C8" w:rsidRDefault="008B5954" w:rsidP="0036177A">
            <w:pPr>
              <w:spacing w:line="0" w:lineRule="atLeast"/>
            </w:pPr>
          </w:p>
        </w:tc>
        <w:tc>
          <w:tcPr>
            <w:tcW w:w="961" w:type="dxa"/>
            <w:tcBorders>
              <w:top w:val="nil"/>
              <w:left w:val="nil"/>
              <w:bottom w:val="single" w:sz="8" w:space="0" w:color="auto"/>
              <w:right w:val="nil"/>
            </w:tcBorders>
            <w:vAlign w:val="bottom"/>
          </w:tcPr>
          <w:p w14:paraId="05928E1D" w14:textId="77777777" w:rsidR="008B5954" w:rsidRPr="007C18C8" w:rsidRDefault="008B5954" w:rsidP="0036177A">
            <w:pPr>
              <w:spacing w:line="0" w:lineRule="atLeast"/>
            </w:pPr>
          </w:p>
        </w:tc>
        <w:tc>
          <w:tcPr>
            <w:tcW w:w="961" w:type="dxa"/>
            <w:tcBorders>
              <w:top w:val="nil"/>
              <w:left w:val="nil"/>
              <w:bottom w:val="single" w:sz="8" w:space="0" w:color="auto"/>
              <w:right w:val="nil"/>
            </w:tcBorders>
          </w:tcPr>
          <w:p w14:paraId="6262A143" w14:textId="77777777" w:rsidR="008B5954" w:rsidRPr="007C18C8" w:rsidRDefault="008B5954" w:rsidP="0036177A">
            <w:pPr>
              <w:spacing w:line="0" w:lineRule="atLeast"/>
            </w:pPr>
          </w:p>
        </w:tc>
      </w:tr>
    </w:tbl>
    <w:p w14:paraId="075ED554" w14:textId="77777777" w:rsidR="008B5954" w:rsidRPr="007C18C8" w:rsidRDefault="008B5954" w:rsidP="008B5954">
      <w:pPr>
        <w:spacing w:line="200" w:lineRule="exact"/>
      </w:pPr>
    </w:p>
    <w:p w14:paraId="69A43E53" w14:textId="372D0DBC" w:rsidR="008B5954" w:rsidRPr="007C18C8" w:rsidRDefault="008B5954" w:rsidP="008B5954">
      <w:pPr>
        <w:spacing w:line="200" w:lineRule="exact"/>
      </w:pPr>
    </w:p>
    <w:p w14:paraId="5CF7F29B" w14:textId="77777777" w:rsidR="008B5954" w:rsidRPr="007C18C8" w:rsidRDefault="008B5954" w:rsidP="008B5954">
      <w:pPr>
        <w:spacing w:line="200" w:lineRule="exact"/>
      </w:pPr>
    </w:p>
    <w:p w14:paraId="2F231933" w14:textId="29EF3EC4" w:rsidR="008B5954" w:rsidRPr="007C18C8" w:rsidRDefault="008B5954" w:rsidP="008B5954">
      <w:pPr>
        <w:autoSpaceDE w:val="0"/>
        <w:autoSpaceDN w:val="0"/>
        <w:adjustRightInd w:val="0"/>
        <w:spacing w:line="480" w:lineRule="auto"/>
      </w:pPr>
      <w:r w:rsidRPr="007C18C8">
        <w:t xml:space="preserve">Table </w:t>
      </w:r>
      <w:r w:rsidR="00FB27A2">
        <w:t>2</w:t>
      </w:r>
      <w:r w:rsidRPr="007C18C8">
        <w:t xml:space="preserve">b. Skin Picking Disorder subtypes based on combined </w:t>
      </w:r>
      <w:r>
        <w:t xml:space="preserve">item-level </w:t>
      </w:r>
      <w:r w:rsidRPr="007C18C8">
        <w:t>data from MIDAS and SPS-R</w:t>
      </w:r>
    </w:p>
    <w:p w14:paraId="708A7ACA" w14:textId="77777777" w:rsidR="008B5954" w:rsidRPr="007C18C8" w:rsidRDefault="008B5954" w:rsidP="008B5954">
      <w:pPr>
        <w:spacing w:line="20" w:lineRule="exact"/>
      </w:pPr>
      <w:r w:rsidRPr="007C18C8">
        <w:rPr>
          <w:rFonts w:ascii="Calibri" w:eastAsia="Calibri" w:hAnsi="Calibri"/>
          <w:noProof/>
          <w:sz w:val="22"/>
          <w:szCs w:val="22"/>
          <w:lang w:val="en-GB" w:eastAsia="en-GB"/>
        </w:rPr>
        <mc:AlternateContent>
          <mc:Choice Requires="wps">
            <w:drawing>
              <wp:anchor distT="0" distB="0" distL="114300" distR="114300" simplePos="0" relativeHeight="251660288" behindDoc="1" locked="0" layoutInCell="1" allowOverlap="1" wp14:anchorId="6D43F512" wp14:editId="631D9877">
                <wp:simplePos x="0" y="0"/>
                <wp:positionH relativeFrom="column">
                  <wp:posOffset>214630</wp:posOffset>
                </wp:positionH>
                <wp:positionV relativeFrom="paragraph">
                  <wp:posOffset>48895</wp:posOffset>
                </wp:positionV>
                <wp:extent cx="5513705" cy="0"/>
                <wp:effectExtent l="0" t="0" r="2984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10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DEE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3.85pt" to="451.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" strokeweight=".28114mm"/>
            </w:pict>
          </mc:Fallback>
        </mc:AlternateContent>
      </w:r>
    </w:p>
    <w:p w14:paraId="0B95793E" w14:textId="77777777" w:rsidR="008B5954" w:rsidRPr="007C18C8" w:rsidRDefault="008B5954" w:rsidP="008B5954">
      <w:pPr>
        <w:spacing w:line="115" w:lineRule="exact"/>
      </w:pPr>
    </w:p>
    <w:tbl>
      <w:tblPr>
        <w:tblW w:w="8566" w:type="dxa"/>
        <w:tblInd w:w="340" w:type="dxa"/>
        <w:tblLayout w:type="fixed"/>
        <w:tblCellMar>
          <w:left w:w="0" w:type="dxa"/>
          <w:right w:w="0" w:type="dxa"/>
        </w:tblCellMar>
        <w:tblLook w:val="04A0" w:firstRow="1" w:lastRow="0" w:firstColumn="1" w:lastColumn="0" w:noHBand="0" w:noVBand="1"/>
      </w:tblPr>
      <w:tblGrid>
        <w:gridCol w:w="2041"/>
        <w:gridCol w:w="1861"/>
        <w:gridCol w:w="1641"/>
        <w:gridCol w:w="1101"/>
        <w:gridCol w:w="961"/>
        <w:gridCol w:w="961"/>
      </w:tblGrid>
      <w:tr w:rsidR="008B5954" w:rsidRPr="007C18C8" w14:paraId="7AE24C4B" w14:textId="77777777" w:rsidTr="0036177A">
        <w:trPr>
          <w:trHeight w:val="279"/>
        </w:trPr>
        <w:tc>
          <w:tcPr>
            <w:tcW w:w="2041" w:type="dxa"/>
            <w:vAlign w:val="bottom"/>
            <w:hideMark/>
          </w:tcPr>
          <w:p w14:paraId="0058FBB2" w14:textId="77777777" w:rsidR="008B5954" w:rsidRPr="007C18C8" w:rsidRDefault="008B5954" w:rsidP="0036177A">
            <w:pPr>
              <w:spacing w:line="0" w:lineRule="atLeast"/>
              <w:jc w:val="center"/>
              <w:rPr>
                <w:rFonts w:eastAsia="Arial"/>
              </w:rPr>
            </w:pPr>
            <w:r w:rsidRPr="007C18C8">
              <w:rPr>
                <w:rFonts w:eastAsia="Arial"/>
              </w:rPr>
              <w:t>Title</w:t>
            </w:r>
          </w:p>
        </w:tc>
        <w:tc>
          <w:tcPr>
            <w:tcW w:w="1861" w:type="dxa"/>
            <w:vAlign w:val="bottom"/>
            <w:hideMark/>
          </w:tcPr>
          <w:p w14:paraId="70BC89AB" w14:textId="77777777" w:rsidR="008B5954" w:rsidRPr="007C18C8" w:rsidRDefault="008B5954" w:rsidP="0036177A">
            <w:pPr>
              <w:spacing w:line="0" w:lineRule="atLeast"/>
              <w:jc w:val="center"/>
              <w:rPr>
                <w:rFonts w:eastAsia="Arial"/>
                <w:w w:val="95"/>
              </w:rPr>
            </w:pPr>
            <w:r w:rsidRPr="007C18C8">
              <w:rPr>
                <w:rFonts w:eastAsia="Arial"/>
                <w:w w:val="95"/>
              </w:rPr>
              <w:t>Observations</w:t>
            </w:r>
          </w:p>
        </w:tc>
        <w:tc>
          <w:tcPr>
            <w:tcW w:w="1641" w:type="dxa"/>
            <w:vAlign w:val="bottom"/>
            <w:hideMark/>
          </w:tcPr>
          <w:p w14:paraId="0BFA5332" w14:textId="77777777" w:rsidR="008B5954" w:rsidRPr="007C18C8" w:rsidRDefault="008B5954" w:rsidP="0036177A">
            <w:pPr>
              <w:spacing w:line="0" w:lineRule="atLeast"/>
              <w:ind w:left="340"/>
              <w:rPr>
                <w:rFonts w:eastAsia="Arial"/>
              </w:rPr>
            </w:pPr>
            <w:r w:rsidRPr="007C18C8">
              <w:rPr>
                <w:rFonts w:eastAsia="Arial"/>
              </w:rPr>
              <w:t>Parameters</w:t>
            </w:r>
          </w:p>
        </w:tc>
        <w:tc>
          <w:tcPr>
            <w:tcW w:w="1101" w:type="dxa"/>
            <w:vAlign w:val="bottom"/>
            <w:hideMark/>
          </w:tcPr>
          <w:p w14:paraId="1D566096" w14:textId="77777777" w:rsidR="008B5954" w:rsidRPr="007C18C8" w:rsidRDefault="008B5954" w:rsidP="0036177A">
            <w:pPr>
              <w:spacing w:line="0" w:lineRule="atLeast"/>
              <w:jc w:val="center"/>
              <w:rPr>
                <w:rFonts w:eastAsia="Arial"/>
              </w:rPr>
            </w:pPr>
            <w:r w:rsidRPr="007C18C8">
              <w:rPr>
                <w:rFonts w:eastAsia="Arial"/>
              </w:rPr>
              <w:t>AIC</w:t>
            </w:r>
          </w:p>
        </w:tc>
        <w:tc>
          <w:tcPr>
            <w:tcW w:w="961" w:type="dxa"/>
            <w:vAlign w:val="bottom"/>
            <w:hideMark/>
          </w:tcPr>
          <w:p w14:paraId="15C40F8B" w14:textId="77777777" w:rsidR="008B5954" w:rsidRPr="007C18C8" w:rsidRDefault="008B5954" w:rsidP="0036177A">
            <w:pPr>
              <w:spacing w:line="0" w:lineRule="atLeast"/>
              <w:ind w:left="20"/>
              <w:jc w:val="center"/>
              <w:rPr>
                <w:rFonts w:eastAsia="Arial"/>
              </w:rPr>
            </w:pPr>
            <w:r w:rsidRPr="007C18C8">
              <w:rPr>
                <w:rFonts w:eastAsia="Arial"/>
              </w:rPr>
              <w:t>BIC</w:t>
            </w:r>
          </w:p>
        </w:tc>
        <w:tc>
          <w:tcPr>
            <w:tcW w:w="961" w:type="dxa"/>
          </w:tcPr>
          <w:p w14:paraId="1D95120D" w14:textId="77777777" w:rsidR="008B5954" w:rsidRPr="007C18C8" w:rsidRDefault="008B5954" w:rsidP="0036177A">
            <w:pPr>
              <w:spacing w:line="0" w:lineRule="atLeast"/>
              <w:ind w:left="20"/>
              <w:jc w:val="center"/>
              <w:rPr>
                <w:rFonts w:eastAsia="Arial"/>
              </w:rPr>
            </w:pPr>
            <w:r>
              <w:rPr>
                <w:rFonts w:eastAsia="Arial"/>
              </w:rPr>
              <w:t>Entropy</w:t>
            </w:r>
          </w:p>
        </w:tc>
      </w:tr>
      <w:tr w:rsidR="008B5954" w:rsidRPr="007C18C8" w14:paraId="3C3A7E09" w14:textId="77777777" w:rsidTr="0036177A">
        <w:trPr>
          <w:trHeight w:val="72"/>
        </w:trPr>
        <w:tc>
          <w:tcPr>
            <w:tcW w:w="2041" w:type="dxa"/>
            <w:tcBorders>
              <w:top w:val="nil"/>
              <w:left w:val="nil"/>
              <w:bottom w:val="single" w:sz="8" w:space="0" w:color="auto"/>
              <w:right w:val="nil"/>
            </w:tcBorders>
            <w:vAlign w:val="bottom"/>
          </w:tcPr>
          <w:p w14:paraId="5695D5B3" w14:textId="77777777" w:rsidR="008B5954" w:rsidRPr="007C18C8" w:rsidRDefault="008B5954" w:rsidP="0036177A">
            <w:pPr>
              <w:spacing w:line="0" w:lineRule="atLeast"/>
            </w:pPr>
          </w:p>
        </w:tc>
        <w:tc>
          <w:tcPr>
            <w:tcW w:w="1861" w:type="dxa"/>
            <w:tcBorders>
              <w:top w:val="nil"/>
              <w:left w:val="nil"/>
              <w:bottom w:val="single" w:sz="8" w:space="0" w:color="auto"/>
              <w:right w:val="nil"/>
            </w:tcBorders>
            <w:vAlign w:val="bottom"/>
          </w:tcPr>
          <w:p w14:paraId="4D3428FD" w14:textId="77777777" w:rsidR="008B5954" w:rsidRPr="007C18C8" w:rsidRDefault="008B5954" w:rsidP="0036177A">
            <w:pPr>
              <w:spacing w:line="0" w:lineRule="atLeast"/>
            </w:pPr>
          </w:p>
        </w:tc>
        <w:tc>
          <w:tcPr>
            <w:tcW w:w="1641" w:type="dxa"/>
            <w:tcBorders>
              <w:top w:val="nil"/>
              <w:left w:val="nil"/>
              <w:bottom w:val="single" w:sz="8" w:space="0" w:color="auto"/>
              <w:right w:val="nil"/>
            </w:tcBorders>
            <w:vAlign w:val="bottom"/>
          </w:tcPr>
          <w:p w14:paraId="65156081" w14:textId="77777777" w:rsidR="008B5954" w:rsidRPr="007C18C8" w:rsidRDefault="008B5954" w:rsidP="0036177A">
            <w:pPr>
              <w:spacing w:line="0" w:lineRule="atLeast"/>
            </w:pPr>
          </w:p>
        </w:tc>
        <w:tc>
          <w:tcPr>
            <w:tcW w:w="1101" w:type="dxa"/>
            <w:tcBorders>
              <w:top w:val="nil"/>
              <w:left w:val="nil"/>
              <w:bottom w:val="single" w:sz="8" w:space="0" w:color="auto"/>
              <w:right w:val="nil"/>
            </w:tcBorders>
            <w:vAlign w:val="bottom"/>
          </w:tcPr>
          <w:p w14:paraId="0024129A" w14:textId="77777777" w:rsidR="008B5954" w:rsidRPr="007C18C8" w:rsidRDefault="008B5954" w:rsidP="0036177A">
            <w:pPr>
              <w:spacing w:line="0" w:lineRule="atLeast"/>
            </w:pPr>
          </w:p>
        </w:tc>
        <w:tc>
          <w:tcPr>
            <w:tcW w:w="961" w:type="dxa"/>
            <w:tcBorders>
              <w:top w:val="nil"/>
              <w:left w:val="nil"/>
              <w:bottom w:val="single" w:sz="8" w:space="0" w:color="auto"/>
              <w:right w:val="nil"/>
            </w:tcBorders>
            <w:vAlign w:val="bottom"/>
          </w:tcPr>
          <w:p w14:paraId="02EA5A57" w14:textId="77777777" w:rsidR="008B5954" w:rsidRPr="007C18C8" w:rsidRDefault="008B5954" w:rsidP="0036177A">
            <w:pPr>
              <w:spacing w:line="0" w:lineRule="atLeast"/>
            </w:pPr>
          </w:p>
        </w:tc>
        <w:tc>
          <w:tcPr>
            <w:tcW w:w="961" w:type="dxa"/>
            <w:tcBorders>
              <w:top w:val="nil"/>
              <w:left w:val="nil"/>
              <w:bottom w:val="single" w:sz="8" w:space="0" w:color="auto"/>
              <w:right w:val="nil"/>
            </w:tcBorders>
          </w:tcPr>
          <w:p w14:paraId="73987E84" w14:textId="77777777" w:rsidR="008B5954" w:rsidRPr="007C18C8" w:rsidRDefault="008B5954" w:rsidP="0036177A">
            <w:pPr>
              <w:spacing w:line="0" w:lineRule="atLeast"/>
            </w:pPr>
          </w:p>
        </w:tc>
      </w:tr>
      <w:tr w:rsidR="008B5954" w:rsidRPr="007C18C8" w14:paraId="481A8748" w14:textId="77777777" w:rsidTr="0036177A">
        <w:trPr>
          <w:trHeight w:val="319"/>
        </w:trPr>
        <w:tc>
          <w:tcPr>
            <w:tcW w:w="2041" w:type="dxa"/>
            <w:vAlign w:val="bottom"/>
            <w:hideMark/>
          </w:tcPr>
          <w:p w14:paraId="2B01EF12" w14:textId="77777777" w:rsidR="008B5954" w:rsidRPr="007C18C8" w:rsidRDefault="008B5954" w:rsidP="0036177A">
            <w:pPr>
              <w:spacing w:line="0" w:lineRule="atLeast"/>
              <w:jc w:val="center"/>
              <w:rPr>
                <w:rFonts w:eastAsia="Arial"/>
                <w:w w:val="94"/>
              </w:rPr>
            </w:pPr>
            <w:r w:rsidRPr="007C18C8">
              <w:rPr>
                <w:rFonts w:eastAsia="Arial"/>
                <w:w w:val="94"/>
              </w:rPr>
              <w:t>1-classes;</w:t>
            </w:r>
          </w:p>
        </w:tc>
        <w:tc>
          <w:tcPr>
            <w:tcW w:w="1861" w:type="dxa"/>
            <w:vAlign w:val="bottom"/>
            <w:hideMark/>
          </w:tcPr>
          <w:p w14:paraId="043D4A2D" w14:textId="77777777" w:rsidR="008B5954" w:rsidRPr="007C18C8" w:rsidRDefault="008B5954" w:rsidP="0036177A">
            <w:pPr>
              <w:spacing w:line="0" w:lineRule="atLeast"/>
              <w:jc w:val="center"/>
              <w:rPr>
                <w:rFonts w:eastAsia="Arial"/>
                <w:w w:val="89"/>
              </w:rPr>
            </w:pPr>
            <w:r w:rsidRPr="007C18C8">
              <w:rPr>
                <w:rFonts w:eastAsia="Arial"/>
                <w:w w:val="89"/>
              </w:rPr>
              <w:t>2</w:t>
            </w:r>
            <w:r>
              <w:rPr>
                <w:rFonts w:eastAsia="Arial"/>
                <w:w w:val="89"/>
              </w:rPr>
              <w:t>79</w:t>
            </w:r>
          </w:p>
        </w:tc>
        <w:tc>
          <w:tcPr>
            <w:tcW w:w="1641" w:type="dxa"/>
            <w:vAlign w:val="bottom"/>
            <w:hideMark/>
          </w:tcPr>
          <w:p w14:paraId="3E536283" w14:textId="77777777" w:rsidR="008B5954" w:rsidRPr="007C18C8" w:rsidRDefault="008B5954" w:rsidP="0036177A">
            <w:pPr>
              <w:spacing w:line="0" w:lineRule="atLeast"/>
              <w:jc w:val="center"/>
              <w:rPr>
                <w:rFonts w:eastAsia="Arial"/>
                <w:w w:val="89"/>
              </w:rPr>
            </w:pPr>
            <w:r w:rsidRPr="007C18C8">
              <w:rPr>
                <w:rFonts w:eastAsia="Arial"/>
                <w:w w:val="89"/>
              </w:rPr>
              <w:t>54</w:t>
            </w:r>
          </w:p>
        </w:tc>
        <w:tc>
          <w:tcPr>
            <w:tcW w:w="1101" w:type="dxa"/>
            <w:vAlign w:val="bottom"/>
            <w:hideMark/>
          </w:tcPr>
          <w:p w14:paraId="1FF6FDFB" w14:textId="77777777" w:rsidR="008B5954" w:rsidRPr="007C18C8" w:rsidRDefault="008B5954" w:rsidP="0036177A">
            <w:pPr>
              <w:spacing w:line="0" w:lineRule="atLeast"/>
              <w:jc w:val="center"/>
              <w:rPr>
                <w:rFonts w:eastAsia="Arial"/>
                <w:w w:val="89"/>
              </w:rPr>
            </w:pPr>
            <w:r w:rsidRPr="007C18C8">
              <w:rPr>
                <w:rFonts w:eastAsia="Arial"/>
                <w:w w:val="89"/>
              </w:rPr>
              <w:t>13761</w:t>
            </w:r>
          </w:p>
        </w:tc>
        <w:tc>
          <w:tcPr>
            <w:tcW w:w="961" w:type="dxa"/>
            <w:vAlign w:val="bottom"/>
            <w:hideMark/>
          </w:tcPr>
          <w:p w14:paraId="617A371C" w14:textId="77777777" w:rsidR="008B5954" w:rsidRPr="007C18C8" w:rsidRDefault="008B5954" w:rsidP="0036177A">
            <w:pPr>
              <w:spacing w:line="0" w:lineRule="atLeast"/>
              <w:jc w:val="center"/>
              <w:rPr>
                <w:rFonts w:eastAsia="Arial"/>
                <w:w w:val="89"/>
              </w:rPr>
            </w:pPr>
            <w:r w:rsidRPr="007C18C8">
              <w:rPr>
                <w:rFonts w:eastAsia="Arial"/>
                <w:w w:val="89"/>
              </w:rPr>
              <w:t>14048</w:t>
            </w:r>
          </w:p>
        </w:tc>
        <w:tc>
          <w:tcPr>
            <w:tcW w:w="961" w:type="dxa"/>
          </w:tcPr>
          <w:p w14:paraId="28A11E77" w14:textId="77777777" w:rsidR="008B5954" w:rsidRPr="007C18C8" w:rsidRDefault="008B5954" w:rsidP="0036177A">
            <w:pPr>
              <w:spacing w:line="0" w:lineRule="atLeast"/>
              <w:jc w:val="center"/>
              <w:rPr>
                <w:rFonts w:eastAsia="Arial"/>
                <w:w w:val="89"/>
              </w:rPr>
            </w:pPr>
            <w:r>
              <w:rPr>
                <w:rFonts w:eastAsia="Arial"/>
                <w:w w:val="89"/>
              </w:rPr>
              <w:t>NA</w:t>
            </w:r>
          </w:p>
        </w:tc>
      </w:tr>
      <w:tr w:rsidR="008B5954" w:rsidRPr="007C18C8" w14:paraId="6FDAAC1B" w14:textId="77777777" w:rsidTr="0036177A">
        <w:trPr>
          <w:trHeight w:val="311"/>
        </w:trPr>
        <w:tc>
          <w:tcPr>
            <w:tcW w:w="2041" w:type="dxa"/>
            <w:vAlign w:val="bottom"/>
            <w:hideMark/>
          </w:tcPr>
          <w:p w14:paraId="3CC4BD02" w14:textId="77777777" w:rsidR="008B5954" w:rsidRPr="007C18C8" w:rsidRDefault="008B5954" w:rsidP="0036177A">
            <w:pPr>
              <w:spacing w:line="0" w:lineRule="atLeast"/>
              <w:jc w:val="center"/>
              <w:rPr>
                <w:rFonts w:eastAsia="Arial"/>
                <w:w w:val="94"/>
              </w:rPr>
            </w:pPr>
            <w:r w:rsidRPr="007C18C8">
              <w:rPr>
                <w:rFonts w:eastAsia="Arial"/>
                <w:w w:val="94"/>
              </w:rPr>
              <w:t>2-classes;</w:t>
            </w:r>
          </w:p>
        </w:tc>
        <w:tc>
          <w:tcPr>
            <w:tcW w:w="1861" w:type="dxa"/>
            <w:vAlign w:val="bottom"/>
            <w:hideMark/>
          </w:tcPr>
          <w:p w14:paraId="6293C61F"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5A248FA4" w14:textId="77777777" w:rsidR="008B5954" w:rsidRPr="007C18C8" w:rsidRDefault="008B5954" w:rsidP="0036177A">
            <w:pPr>
              <w:spacing w:line="0" w:lineRule="atLeast"/>
              <w:jc w:val="center"/>
              <w:rPr>
                <w:rFonts w:eastAsia="Arial"/>
                <w:w w:val="89"/>
              </w:rPr>
            </w:pPr>
            <w:r w:rsidRPr="007C18C8">
              <w:rPr>
                <w:rFonts w:eastAsia="Arial"/>
                <w:w w:val="89"/>
              </w:rPr>
              <w:t>96</w:t>
            </w:r>
          </w:p>
        </w:tc>
        <w:tc>
          <w:tcPr>
            <w:tcW w:w="1101" w:type="dxa"/>
            <w:vAlign w:val="bottom"/>
            <w:hideMark/>
          </w:tcPr>
          <w:p w14:paraId="47A7747F" w14:textId="77777777" w:rsidR="008B5954" w:rsidRPr="007C18C8" w:rsidRDefault="008B5954" w:rsidP="0036177A">
            <w:pPr>
              <w:spacing w:line="0" w:lineRule="atLeast"/>
              <w:jc w:val="center"/>
              <w:rPr>
                <w:rFonts w:eastAsia="Arial"/>
                <w:w w:val="89"/>
              </w:rPr>
            </w:pPr>
            <w:r w:rsidRPr="007C18C8">
              <w:rPr>
                <w:rFonts w:eastAsia="Arial"/>
                <w:w w:val="89"/>
              </w:rPr>
              <w:t>9943</w:t>
            </w:r>
          </w:p>
        </w:tc>
        <w:tc>
          <w:tcPr>
            <w:tcW w:w="961" w:type="dxa"/>
            <w:vAlign w:val="bottom"/>
            <w:hideMark/>
          </w:tcPr>
          <w:p w14:paraId="7E2D17E1" w14:textId="77777777" w:rsidR="008B5954" w:rsidRPr="007C18C8" w:rsidRDefault="008B5954" w:rsidP="0036177A">
            <w:pPr>
              <w:spacing w:line="0" w:lineRule="atLeast"/>
              <w:jc w:val="center"/>
              <w:rPr>
                <w:rFonts w:eastAsia="Arial"/>
                <w:w w:val="89"/>
              </w:rPr>
            </w:pPr>
            <w:r w:rsidRPr="007C18C8">
              <w:rPr>
                <w:rFonts w:eastAsia="Arial"/>
                <w:w w:val="89"/>
              </w:rPr>
              <w:t>10521</w:t>
            </w:r>
          </w:p>
        </w:tc>
        <w:tc>
          <w:tcPr>
            <w:tcW w:w="961" w:type="dxa"/>
          </w:tcPr>
          <w:p w14:paraId="22FA1A96" w14:textId="77777777" w:rsidR="008B5954" w:rsidRPr="007C18C8" w:rsidRDefault="008B5954" w:rsidP="0036177A">
            <w:pPr>
              <w:spacing w:line="0" w:lineRule="atLeast"/>
              <w:jc w:val="center"/>
              <w:rPr>
                <w:rFonts w:eastAsia="Arial"/>
                <w:w w:val="89"/>
              </w:rPr>
            </w:pPr>
            <w:r>
              <w:rPr>
                <w:rFonts w:eastAsia="Arial"/>
                <w:w w:val="89"/>
              </w:rPr>
              <w:t>0.999</w:t>
            </w:r>
          </w:p>
        </w:tc>
      </w:tr>
      <w:tr w:rsidR="008B5954" w:rsidRPr="007C18C8" w14:paraId="3228425E" w14:textId="77777777" w:rsidTr="0036177A">
        <w:trPr>
          <w:trHeight w:val="311"/>
        </w:trPr>
        <w:tc>
          <w:tcPr>
            <w:tcW w:w="2041" w:type="dxa"/>
            <w:vAlign w:val="bottom"/>
            <w:hideMark/>
          </w:tcPr>
          <w:p w14:paraId="330969D1" w14:textId="77777777" w:rsidR="008B5954" w:rsidRPr="007C18C8" w:rsidRDefault="008B5954" w:rsidP="0036177A">
            <w:pPr>
              <w:spacing w:line="0" w:lineRule="atLeast"/>
              <w:jc w:val="center"/>
              <w:rPr>
                <w:rFonts w:eastAsia="Arial"/>
                <w:w w:val="94"/>
              </w:rPr>
            </w:pPr>
            <w:r w:rsidRPr="007C18C8">
              <w:rPr>
                <w:rFonts w:eastAsia="Arial"/>
                <w:w w:val="94"/>
              </w:rPr>
              <w:t>3-classes;</w:t>
            </w:r>
          </w:p>
        </w:tc>
        <w:tc>
          <w:tcPr>
            <w:tcW w:w="1861" w:type="dxa"/>
            <w:vAlign w:val="bottom"/>
            <w:hideMark/>
          </w:tcPr>
          <w:p w14:paraId="0B2D40E2"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621EDC4A" w14:textId="77777777" w:rsidR="008B5954" w:rsidRPr="007C18C8" w:rsidRDefault="008B5954" w:rsidP="0036177A">
            <w:pPr>
              <w:spacing w:line="0" w:lineRule="atLeast"/>
              <w:jc w:val="center"/>
              <w:rPr>
                <w:rFonts w:eastAsia="Arial"/>
                <w:w w:val="89"/>
              </w:rPr>
            </w:pPr>
            <w:r w:rsidRPr="007C18C8">
              <w:rPr>
                <w:rFonts w:eastAsia="Arial"/>
                <w:w w:val="89"/>
              </w:rPr>
              <w:t>138</w:t>
            </w:r>
          </w:p>
        </w:tc>
        <w:tc>
          <w:tcPr>
            <w:tcW w:w="1101" w:type="dxa"/>
            <w:vAlign w:val="bottom"/>
            <w:hideMark/>
          </w:tcPr>
          <w:p w14:paraId="54F5F9F1" w14:textId="77777777" w:rsidR="008B5954" w:rsidRPr="007C18C8" w:rsidRDefault="008B5954" w:rsidP="0036177A">
            <w:pPr>
              <w:spacing w:line="0" w:lineRule="atLeast"/>
              <w:jc w:val="center"/>
              <w:rPr>
                <w:rFonts w:eastAsia="Arial"/>
                <w:w w:val="89"/>
              </w:rPr>
            </w:pPr>
            <w:r w:rsidRPr="007C18C8">
              <w:rPr>
                <w:rFonts w:eastAsia="Arial"/>
                <w:w w:val="89"/>
              </w:rPr>
              <w:t>9478</w:t>
            </w:r>
          </w:p>
        </w:tc>
        <w:tc>
          <w:tcPr>
            <w:tcW w:w="961" w:type="dxa"/>
            <w:vAlign w:val="bottom"/>
            <w:hideMark/>
          </w:tcPr>
          <w:p w14:paraId="7B828470" w14:textId="77777777" w:rsidR="008B5954" w:rsidRPr="007C18C8" w:rsidRDefault="008B5954" w:rsidP="0036177A">
            <w:pPr>
              <w:spacing w:line="0" w:lineRule="atLeast"/>
              <w:jc w:val="center"/>
              <w:rPr>
                <w:rFonts w:eastAsia="Arial"/>
                <w:w w:val="89"/>
              </w:rPr>
            </w:pPr>
            <w:r w:rsidRPr="007C18C8">
              <w:rPr>
                <w:rFonts w:eastAsia="Arial"/>
                <w:w w:val="89"/>
              </w:rPr>
              <w:t>10347</w:t>
            </w:r>
          </w:p>
        </w:tc>
        <w:tc>
          <w:tcPr>
            <w:tcW w:w="961" w:type="dxa"/>
          </w:tcPr>
          <w:p w14:paraId="591FC07C" w14:textId="77777777" w:rsidR="008B5954" w:rsidRPr="007C18C8" w:rsidRDefault="008B5954" w:rsidP="0036177A">
            <w:pPr>
              <w:spacing w:line="0" w:lineRule="atLeast"/>
              <w:jc w:val="center"/>
              <w:rPr>
                <w:rFonts w:eastAsia="Arial"/>
                <w:w w:val="89"/>
              </w:rPr>
            </w:pPr>
            <w:r>
              <w:rPr>
                <w:rFonts w:eastAsia="Arial"/>
                <w:w w:val="89"/>
              </w:rPr>
              <w:t>0.985</w:t>
            </w:r>
          </w:p>
        </w:tc>
      </w:tr>
      <w:tr w:rsidR="008B5954" w:rsidRPr="007C18C8" w14:paraId="661FB308" w14:textId="77777777" w:rsidTr="0036177A">
        <w:trPr>
          <w:trHeight w:val="311"/>
        </w:trPr>
        <w:tc>
          <w:tcPr>
            <w:tcW w:w="2041" w:type="dxa"/>
            <w:vAlign w:val="bottom"/>
            <w:hideMark/>
          </w:tcPr>
          <w:p w14:paraId="4D86EA83" w14:textId="77777777" w:rsidR="008B5954" w:rsidRPr="007C18C8" w:rsidRDefault="008B5954" w:rsidP="0036177A">
            <w:pPr>
              <w:spacing w:line="0" w:lineRule="atLeast"/>
              <w:jc w:val="center"/>
              <w:rPr>
                <w:rFonts w:eastAsia="Arial"/>
                <w:w w:val="94"/>
              </w:rPr>
            </w:pPr>
            <w:r w:rsidRPr="007C18C8">
              <w:rPr>
                <w:rFonts w:eastAsia="Arial"/>
                <w:w w:val="94"/>
              </w:rPr>
              <w:t>4-classes;</w:t>
            </w:r>
          </w:p>
        </w:tc>
        <w:tc>
          <w:tcPr>
            <w:tcW w:w="1861" w:type="dxa"/>
            <w:vAlign w:val="bottom"/>
            <w:hideMark/>
          </w:tcPr>
          <w:p w14:paraId="4BDF7FAD"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5831F2C0" w14:textId="77777777" w:rsidR="008B5954" w:rsidRPr="007C18C8" w:rsidRDefault="008B5954" w:rsidP="0036177A">
            <w:pPr>
              <w:spacing w:line="0" w:lineRule="atLeast"/>
              <w:jc w:val="center"/>
              <w:rPr>
                <w:rFonts w:eastAsia="Arial"/>
                <w:w w:val="89"/>
              </w:rPr>
            </w:pPr>
            <w:r w:rsidRPr="007C18C8">
              <w:rPr>
                <w:rFonts w:eastAsia="Arial"/>
                <w:w w:val="89"/>
              </w:rPr>
              <w:t>180</w:t>
            </w:r>
          </w:p>
        </w:tc>
        <w:tc>
          <w:tcPr>
            <w:tcW w:w="1101" w:type="dxa"/>
            <w:vAlign w:val="bottom"/>
            <w:hideMark/>
          </w:tcPr>
          <w:p w14:paraId="0F3AA6F7" w14:textId="77777777" w:rsidR="008B5954" w:rsidRPr="007C18C8" w:rsidRDefault="008B5954" w:rsidP="0036177A">
            <w:pPr>
              <w:spacing w:line="0" w:lineRule="atLeast"/>
              <w:jc w:val="center"/>
              <w:rPr>
                <w:rFonts w:eastAsia="Arial"/>
                <w:w w:val="89"/>
              </w:rPr>
            </w:pPr>
            <w:r w:rsidRPr="007C18C8">
              <w:rPr>
                <w:rFonts w:eastAsia="Arial"/>
                <w:w w:val="89"/>
              </w:rPr>
              <w:t>9310</w:t>
            </w:r>
          </w:p>
        </w:tc>
        <w:tc>
          <w:tcPr>
            <w:tcW w:w="961" w:type="dxa"/>
            <w:vAlign w:val="bottom"/>
            <w:hideMark/>
          </w:tcPr>
          <w:p w14:paraId="582404D5" w14:textId="77777777" w:rsidR="008B5954" w:rsidRPr="007C18C8" w:rsidRDefault="008B5954" w:rsidP="0036177A">
            <w:pPr>
              <w:spacing w:line="0" w:lineRule="atLeast"/>
              <w:jc w:val="center"/>
              <w:rPr>
                <w:rFonts w:eastAsia="Arial"/>
                <w:w w:val="89"/>
              </w:rPr>
            </w:pPr>
            <w:r w:rsidRPr="007C18C8">
              <w:rPr>
                <w:rFonts w:eastAsia="Arial"/>
                <w:w w:val="89"/>
              </w:rPr>
              <w:t>10469</w:t>
            </w:r>
          </w:p>
        </w:tc>
        <w:tc>
          <w:tcPr>
            <w:tcW w:w="961" w:type="dxa"/>
          </w:tcPr>
          <w:p w14:paraId="78DA3492" w14:textId="77777777" w:rsidR="008B5954" w:rsidRPr="007C18C8" w:rsidRDefault="008B5954" w:rsidP="0036177A">
            <w:pPr>
              <w:spacing w:line="0" w:lineRule="atLeast"/>
              <w:jc w:val="center"/>
              <w:rPr>
                <w:rFonts w:eastAsia="Arial"/>
                <w:w w:val="89"/>
              </w:rPr>
            </w:pPr>
            <w:r>
              <w:rPr>
                <w:rFonts w:eastAsia="Arial"/>
                <w:w w:val="89"/>
              </w:rPr>
              <w:t>0.986</w:t>
            </w:r>
          </w:p>
        </w:tc>
      </w:tr>
      <w:tr w:rsidR="008B5954" w:rsidRPr="007C18C8" w14:paraId="5588592D" w14:textId="77777777" w:rsidTr="0036177A">
        <w:trPr>
          <w:trHeight w:val="311"/>
        </w:trPr>
        <w:tc>
          <w:tcPr>
            <w:tcW w:w="2041" w:type="dxa"/>
            <w:vAlign w:val="bottom"/>
            <w:hideMark/>
          </w:tcPr>
          <w:p w14:paraId="69242C9F" w14:textId="77777777" w:rsidR="008B5954" w:rsidRPr="007C18C8" w:rsidRDefault="008B5954" w:rsidP="0036177A">
            <w:pPr>
              <w:spacing w:line="0" w:lineRule="atLeast"/>
              <w:jc w:val="center"/>
              <w:rPr>
                <w:rFonts w:eastAsia="Arial"/>
                <w:w w:val="94"/>
              </w:rPr>
            </w:pPr>
            <w:r w:rsidRPr="007C18C8">
              <w:rPr>
                <w:rFonts w:eastAsia="Arial"/>
                <w:w w:val="94"/>
              </w:rPr>
              <w:t>5-classes;</w:t>
            </w:r>
          </w:p>
        </w:tc>
        <w:tc>
          <w:tcPr>
            <w:tcW w:w="1861" w:type="dxa"/>
            <w:vAlign w:val="bottom"/>
            <w:hideMark/>
          </w:tcPr>
          <w:p w14:paraId="2BD0AD20"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7F8E6489" w14:textId="77777777" w:rsidR="008B5954" w:rsidRPr="007C18C8" w:rsidRDefault="008B5954" w:rsidP="0036177A">
            <w:pPr>
              <w:spacing w:line="0" w:lineRule="atLeast"/>
              <w:jc w:val="center"/>
              <w:rPr>
                <w:rFonts w:eastAsia="Arial"/>
                <w:w w:val="89"/>
              </w:rPr>
            </w:pPr>
            <w:r w:rsidRPr="007C18C8">
              <w:rPr>
                <w:rFonts w:eastAsia="Arial"/>
                <w:w w:val="89"/>
              </w:rPr>
              <w:t>222</w:t>
            </w:r>
          </w:p>
        </w:tc>
        <w:tc>
          <w:tcPr>
            <w:tcW w:w="1101" w:type="dxa"/>
            <w:vAlign w:val="bottom"/>
            <w:hideMark/>
          </w:tcPr>
          <w:p w14:paraId="14B3D9A7" w14:textId="77777777" w:rsidR="008B5954" w:rsidRPr="007C18C8" w:rsidRDefault="008B5954" w:rsidP="0036177A">
            <w:pPr>
              <w:spacing w:line="0" w:lineRule="atLeast"/>
              <w:jc w:val="center"/>
              <w:rPr>
                <w:rFonts w:eastAsia="Arial"/>
                <w:w w:val="89"/>
              </w:rPr>
            </w:pPr>
            <w:r w:rsidRPr="007C18C8">
              <w:rPr>
                <w:rFonts w:eastAsia="Arial"/>
                <w:w w:val="89"/>
              </w:rPr>
              <w:t>9249</w:t>
            </w:r>
          </w:p>
        </w:tc>
        <w:tc>
          <w:tcPr>
            <w:tcW w:w="961" w:type="dxa"/>
            <w:vAlign w:val="bottom"/>
            <w:hideMark/>
          </w:tcPr>
          <w:p w14:paraId="52B19523" w14:textId="77777777" w:rsidR="008B5954" w:rsidRPr="007C18C8" w:rsidRDefault="008B5954" w:rsidP="0036177A">
            <w:pPr>
              <w:spacing w:line="0" w:lineRule="atLeast"/>
              <w:jc w:val="center"/>
              <w:rPr>
                <w:rFonts w:eastAsia="Arial"/>
                <w:w w:val="89"/>
              </w:rPr>
            </w:pPr>
            <w:r w:rsidRPr="007C18C8">
              <w:rPr>
                <w:rFonts w:eastAsia="Arial"/>
                <w:w w:val="89"/>
              </w:rPr>
              <w:t>10699</w:t>
            </w:r>
          </w:p>
        </w:tc>
        <w:tc>
          <w:tcPr>
            <w:tcW w:w="961" w:type="dxa"/>
          </w:tcPr>
          <w:p w14:paraId="01B345C5" w14:textId="77777777" w:rsidR="008B5954" w:rsidRPr="007C18C8" w:rsidRDefault="008B5954" w:rsidP="0036177A">
            <w:pPr>
              <w:spacing w:line="0" w:lineRule="atLeast"/>
              <w:jc w:val="center"/>
              <w:rPr>
                <w:rFonts w:eastAsia="Arial"/>
                <w:w w:val="89"/>
              </w:rPr>
            </w:pPr>
            <w:r>
              <w:rPr>
                <w:rFonts w:eastAsia="Arial"/>
                <w:w w:val="89"/>
              </w:rPr>
              <w:t>0.989</w:t>
            </w:r>
          </w:p>
        </w:tc>
      </w:tr>
      <w:tr w:rsidR="008B5954" w:rsidRPr="007C18C8" w14:paraId="4FBA02CA" w14:textId="77777777" w:rsidTr="0036177A">
        <w:trPr>
          <w:trHeight w:val="311"/>
        </w:trPr>
        <w:tc>
          <w:tcPr>
            <w:tcW w:w="2041" w:type="dxa"/>
            <w:vAlign w:val="bottom"/>
            <w:hideMark/>
          </w:tcPr>
          <w:p w14:paraId="6AD1FF8B" w14:textId="77777777" w:rsidR="008B5954" w:rsidRPr="007C18C8" w:rsidRDefault="008B5954" w:rsidP="0036177A">
            <w:pPr>
              <w:spacing w:line="0" w:lineRule="atLeast"/>
              <w:jc w:val="center"/>
              <w:rPr>
                <w:rFonts w:eastAsia="Arial"/>
                <w:w w:val="94"/>
              </w:rPr>
            </w:pPr>
            <w:r w:rsidRPr="007C18C8">
              <w:rPr>
                <w:rFonts w:eastAsia="Arial"/>
                <w:w w:val="94"/>
              </w:rPr>
              <w:t>6-classes;</w:t>
            </w:r>
          </w:p>
        </w:tc>
        <w:tc>
          <w:tcPr>
            <w:tcW w:w="1861" w:type="dxa"/>
            <w:vAlign w:val="bottom"/>
            <w:hideMark/>
          </w:tcPr>
          <w:p w14:paraId="1545736E" w14:textId="77777777" w:rsidR="008B5954" w:rsidRPr="007C18C8" w:rsidRDefault="008B5954" w:rsidP="0036177A">
            <w:pPr>
              <w:spacing w:line="0" w:lineRule="atLeast"/>
              <w:jc w:val="center"/>
              <w:rPr>
                <w:rFonts w:eastAsia="Arial"/>
                <w:w w:val="89"/>
              </w:rPr>
            </w:pPr>
            <w:r>
              <w:rPr>
                <w:rFonts w:eastAsia="Arial"/>
                <w:w w:val="89"/>
              </w:rPr>
              <w:t>279</w:t>
            </w:r>
          </w:p>
        </w:tc>
        <w:tc>
          <w:tcPr>
            <w:tcW w:w="1641" w:type="dxa"/>
            <w:vAlign w:val="bottom"/>
            <w:hideMark/>
          </w:tcPr>
          <w:p w14:paraId="246A0739" w14:textId="77777777" w:rsidR="008B5954" w:rsidRPr="007C18C8" w:rsidRDefault="008B5954" w:rsidP="0036177A">
            <w:pPr>
              <w:spacing w:line="0" w:lineRule="atLeast"/>
              <w:jc w:val="center"/>
              <w:rPr>
                <w:rFonts w:eastAsia="Arial"/>
                <w:w w:val="89"/>
              </w:rPr>
            </w:pPr>
            <w:r w:rsidRPr="007C18C8">
              <w:rPr>
                <w:rFonts w:eastAsia="Arial"/>
                <w:w w:val="89"/>
              </w:rPr>
              <w:t>264</w:t>
            </w:r>
          </w:p>
        </w:tc>
        <w:tc>
          <w:tcPr>
            <w:tcW w:w="1101" w:type="dxa"/>
            <w:vAlign w:val="bottom"/>
            <w:hideMark/>
          </w:tcPr>
          <w:p w14:paraId="12A3DB65" w14:textId="77777777" w:rsidR="008B5954" w:rsidRPr="007C18C8" w:rsidRDefault="008B5954" w:rsidP="0036177A">
            <w:pPr>
              <w:spacing w:line="0" w:lineRule="atLeast"/>
              <w:jc w:val="center"/>
              <w:rPr>
                <w:rFonts w:eastAsia="Arial"/>
                <w:w w:val="89"/>
              </w:rPr>
            </w:pPr>
            <w:r w:rsidRPr="007C18C8">
              <w:rPr>
                <w:rFonts w:eastAsia="Arial"/>
                <w:w w:val="89"/>
              </w:rPr>
              <w:t>9261</w:t>
            </w:r>
          </w:p>
        </w:tc>
        <w:tc>
          <w:tcPr>
            <w:tcW w:w="961" w:type="dxa"/>
            <w:vAlign w:val="bottom"/>
            <w:hideMark/>
          </w:tcPr>
          <w:p w14:paraId="33246252" w14:textId="77777777" w:rsidR="008B5954" w:rsidRPr="007C18C8" w:rsidRDefault="008B5954" w:rsidP="0036177A">
            <w:pPr>
              <w:spacing w:line="0" w:lineRule="atLeast"/>
              <w:jc w:val="center"/>
              <w:rPr>
                <w:rFonts w:eastAsia="Arial"/>
                <w:w w:val="89"/>
              </w:rPr>
            </w:pPr>
            <w:r w:rsidRPr="007C18C8">
              <w:rPr>
                <w:rFonts w:eastAsia="Arial"/>
                <w:w w:val="89"/>
              </w:rPr>
              <w:t>11002</w:t>
            </w:r>
          </w:p>
        </w:tc>
        <w:tc>
          <w:tcPr>
            <w:tcW w:w="961" w:type="dxa"/>
          </w:tcPr>
          <w:p w14:paraId="15DCB936" w14:textId="2A762BED" w:rsidR="008B5954" w:rsidRPr="007C18C8" w:rsidRDefault="008B5954" w:rsidP="0036177A">
            <w:pPr>
              <w:spacing w:line="0" w:lineRule="atLeast"/>
              <w:jc w:val="center"/>
              <w:rPr>
                <w:rFonts w:eastAsia="Arial"/>
                <w:w w:val="89"/>
              </w:rPr>
            </w:pPr>
            <w:r>
              <w:rPr>
                <w:rFonts w:eastAsia="Arial"/>
                <w:w w:val="89"/>
              </w:rPr>
              <w:t>0.99</w:t>
            </w:r>
            <w:r w:rsidR="006A75BE">
              <w:rPr>
                <w:rFonts w:eastAsia="Arial"/>
                <w:w w:val="89"/>
              </w:rPr>
              <w:t>0</w:t>
            </w:r>
          </w:p>
        </w:tc>
      </w:tr>
      <w:tr w:rsidR="008B5954" w:rsidRPr="007C18C8" w14:paraId="3C6DE89B" w14:textId="77777777" w:rsidTr="0036177A">
        <w:trPr>
          <w:trHeight w:val="72"/>
        </w:trPr>
        <w:tc>
          <w:tcPr>
            <w:tcW w:w="2041" w:type="dxa"/>
            <w:tcBorders>
              <w:top w:val="nil"/>
              <w:left w:val="nil"/>
              <w:bottom w:val="single" w:sz="8" w:space="0" w:color="auto"/>
              <w:right w:val="nil"/>
            </w:tcBorders>
            <w:vAlign w:val="bottom"/>
          </w:tcPr>
          <w:p w14:paraId="2E09E5BC" w14:textId="77777777" w:rsidR="008B5954" w:rsidRPr="007C18C8" w:rsidRDefault="008B5954" w:rsidP="0036177A">
            <w:pPr>
              <w:spacing w:line="0" w:lineRule="atLeast"/>
            </w:pPr>
          </w:p>
        </w:tc>
        <w:tc>
          <w:tcPr>
            <w:tcW w:w="1861" w:type="dxa"/>
            <w:tcBorders>
              <w:top w:val="nil"/>
              <w:left w:val="nil"/>
              <w:bottom w:val="single" w:sz="8" w:space="0" w:color="auto"/>
              <w:right w:val="nil"/>
            </w:tcBorders>
            <w:vAlign w:val="bottom"/>
          </w:tcPr>
          <w:p w14:paraId="4CBF3BC8" w14:textId="77777777" w:rsidR="008B5954" w:rsidRPr="007C18C8" w:rsidRDefault="008B5954" w:rsidP="0036177A">
            <w:pPr>
              <w:spacing w:line="0" w:lineRule="atLeast"/>
            </w:pPr>
          </w:p>
        </w:tc>
        <w:tc>
          <w:tcPr>
            <w:tcW w:w="1641" w:type="dxa"/>
            <w:tcBorders>
              <w:top w:val="nil"/>
              <w:left w:val="nil"/>
              <w:bottom w:val="single" w:sz="8" w:space="0" w:color="auto"/>
              <w:right w:val="nil"/>
            </w:tcBorders>
            <w:vAlign w:val="bottom"/>
          </w:tcPr>
          <w:p w14:paraId="5F65435E" w14:textId="77777777" w:rsidR="008B5954" w:rsidRPr="007C18C8" w:rsidRDefault="008B5954" w:rsidP="0036177A">
            <w:pPr>
              <w:spacing w:line="0" w:lineRule="atLeast"/>
            </w:pPr>
          </w:p>
        </w:tc>
        <w:tc>
          <w:tcPr>
            <w:tcW w:w="1101" w:type="dxa"/>
            <w:tcBorders>
              <w:top w:val="nil"/>
              <w:left w:val="nil"/>
              <w:bottom w:val="single" w:sz="8" w:space="0" w:color="auto"/>
              <w:right w:val="nil"/>
            </w:tcBorders>
            <w:vAlign w:val="bottom"/>
          </w:tcPr>
          <w:p w14:paraId="4AD65393" w14:textId="77777777" w:rsidR="008B5954" w:rsidRPr="007C18C8" w:rsidRDefault="008B5954" w:rsidP="0036177A">
            <w:pPr>
              <w:spacing w:line="0" w:lineRule="atLeast"/>
            </w:pPr>
          </w:p>
        </w:tc>
        <w:tc>
          <w:tcPr>
            <w:tcW w:w="961" w:type="dxa"/>
            <w:tcBorders>
              <w:top w:val="nil"/>
              <w:left w:val="nil"/>
              <w:bottom w:val="single" w:sz="8" w:space="0" w:color="auto"/>
              <w:right w:val="nil"/>
            </w:tcBorders>
            <w:vAlign w:val="bottom"/>
          </w:tcPr>
          <w:p w14:paraId="1B5113DC" w14:textId="77777777" w:rsidR="008B5954" w:rsidRPr="007C18C8" w:rsidRDefault="008B5954" w:rsidP="0036177A">
            <w:pPr>
              <w:spacing w:line="0" w:lineRule="atLeast"/>
            </w:pPr>
          </w:p>
        </w:tc>
        <w:tc>
          <w:tcPr>
            <w:tcW w:w="961" w:type="dxa"/>
            <w:tcBorders>
              <w:top w:val="nil"/>
              <w:left w:val="nil"/>
              <w:bottom w:val="single" w:sz="8" w:space="0" w:color="auto"/>
              <w:right w:val="nil"/>
            </w:tcBorders>
          </w:tcPr>
          <w:p w14:paraId="10739027" w14:textId="77777777" w:rsidR="008B5954" w:rsidRPr="007C18C8" w:rsidRDefault="008B5954" w:rsidP="0036177A">
            <w:pPr>
              <w:spacing w:line="0" w:lineRule="atLeast"/>
            </w:pPr>
          </w:p>
        </w:tc>
      </w:tr>
    </w:tbl>
    <w:p w14:paraId="01EF6183" w14:textId="77777777" w:rsidR="008B5954" w:rsidRPr="007C18C8" w:rsidRDefault="008B5954" w:rsidP="008B5954">
      <w:pPr>
        <w:rPr>
          <w:rFonts w:ascii="Calibri" w:eastAsia="Calibri" w:hAnsi="Calibri"/>
          <w:sz w:val="22"/>
          <w:szCs w:val="22"/>
        </w:rPr>
      </w:pPr>
    </w:p>
    <w:p w14:paraId="577CA0E6" w14:textId="3B7E9B85" w:rsidR="008B5954" w:rsidRDefault="008B5954" w:rsidP="008B5954">
      <w:pPr>
        <w:autoSpaceDE w:val="0"/>
        <w:autoSpaceDN w:val="0"/>
        <w:adjustRightInd w:val="0"/>
      </w:pPr>
      <w:r>
        <w:t xml:space="preserve">Abbreviations: </w:t>
      </w:r>
      <w:r w:rsidRPr="00366677">
        <w:t>MGH-HPS= Massachusetts General Hospital Hair Pulling Scale; MIST</w:t>
      </w:r>
      <w:r>
        <w:t>-A-R</w:t>
      </w:r>
      <w:r w:rsidRPr="00366677">
        <w:t>=Milwaukee Inventory for Subtypes of Trichotillomania</w:t>
      </w:r>
      <w:r w:rsidR="0036177A">
        <w:t>-Adult-Revised</w:t>
      </w:r>
      <w:r w:rsidRPr="00366677">
        <w:t>; MIDAS= Milwaukee Inventory for the Dimensions of Adult Skin Picking; SPS-R=Skin Picking Scale-Revised.</w:t>
      </w:r>
    </w:p>
    <w:p w14:paraId="092DEC1C" w14:textId="77777777" w:rsidR="004B6DA1" w:rsidRDefault="004B6DA1">
      <w:pPr>
        <w:rPr>
          <w:b/>
        </w:rPr>
      </w:pPr>
      <w:r>
        <w:rPr>
          <w:b/>
        </w:rPr>
        <w:br w:type="page"/>
      </w:r>
    </w:p>
    <w:p w14:paraId="20BDDFA8" w14:textId="77777777" w:rsidR="004B6DA1" w:rsidRPr="00AF0398" w:rsidRDefault="004B6DA1" w:rsidP="004B6DA1">
      <w:pPr>
        <w:autoSpaceDE w:val="0"/>
        <w:autoSpaceDN w:val="0"/>
        <w:adjustRightInd w:val="0"/>
        <w:spacing w:line="480" w:lineRule="auto"/>
        <w:ind w:firstLine="720"/>
      </w:pPr>
    </w:p>
    <w:p w14:paraId="719DA5C3" w14:textId="77777777" w:rsidR="004B6DA1" w:rsidRPr="006B6F22" w:rsidRDefault="004B6DA1" w:rsidP="004B6DA1">
      <w:pPr>
        <w:rPr>
          <w:b/>
        </w:rPr>
      </w:pPr>
    </w:p>
    <w:p w14:paraId="47ED1A4F" w14:textId="77777777" w:rsidR="004B6DA1" w:rsidRPr="006B6F22" w:rsidRDefault="004B6DA1" w:rsidP="004B6DA1">
      <w:pPr>
        <w:rPr>
          <w:b/>
          <w:noProof/>
          <w:lang w:val="en-GB" w:eastAsia="en-GB"/>
        </w:rPr>
      </w:pPr>
    </w:p>
    <w:p w14:paraId="1EE2B01B" w14:textId="1E890267" w:rsidR="004B6DA1" w:rsidRDefault="004B6DA1">
      <w:pPr>
        <w:rPr>
          <w:b/>
        </w:rPr>
      </w:pPr>
      <w:r>
        <w:rPr>
          <w:b/>
        </w:rPr>
        <w:br w:type="page"/>
      </w:r>
    </w:p>
    <w:p w14:paraId="17F1E0BC" w14:textId="77777777" w:rsidR="004B6DA1" w:rsidRDefault="004B6DA1" w:rsidP="006B6F22">
      <w:pPr>
        <w:spacing w:line="480" w:lineRule="auto"/>
        <w:rPr>
          <w:b/>
        </w:rPr>
        <w:sectPr w:rsidR="004B6DA1" w:rsidSect="004B6DA1">
          <w:footerReference w:type="default" r:id="rId13"/>
          <w:pgSz w:w="12240" w:h="15840" w:code="1"/>
          <w:pgMar w:top="1440" w:right="1800" w:bottom="1440" w:left="1800" w:header="720" w:footer="720" w:gutter="0"/>
          <w:cols w:space="720"/>
          <w:docGrid w:linePitch="360"/>
        </w:sectPr>
      </w:pPr>
    </w:p>
    <w:p w14:paraId="11E166A3" w14:textId="1D64D796" w:rsidR="006B6F22" w:rsidRPr="009F1107" w:rsidRDefault="004B6DA1" w:rsidP="006B6F22">
      <w:pPr>
        <w:spacing w:line="480" w:lineRule="auto"/>
        <w:rPr>
          <w:b/>
        </w:rPr>
      </w:pPr>
      <w:r>
        <w:rPr>
          <w:b/>
        </w:rPr>
        <w:lastRenderedPageBreak/>
        <w:t>T</w:t>
      </w:r>
      <w:r w:rsidR="006B6F22" w:rsidRPr="009F1107">
        <w:rPr>
          <w:b/>
        </w:rPr>
        <w:t xml:space="preserve">able </w:t>
      </w:r>
      <w:r w:rsidR="00FB27A2">
        <w:rPr>
          <w:b/>
        </w:rPr>
        <w:t>3</w:t>
      </w:r>
      <w:r w:rsidR="006B6F22" w:rsidRPr="009F1107">
        <w:rPr>
          <w:b/>
        </w:rPr>
        <w:t xml:space="preserve">. Differences in Variables of Interest Across </w:t>
      </w:r>
      <w:r w:rsidR="006B6F22">
        <w:rPr>
          <w:b/>
        </w:rPr>
        <w:t>T</w:t>
      </w:r>
      <w:r w:rsidR="00423850">
        <w:rPr>
          <w:b/>
        </w:rPr>
        <w:t>richotillomania (TTM)</w:t>
      </w:r>
      <w:r w:rsidR="006B6F22">
        <w:rPr>
          <w:b/>
        </w:rPr>
        <w:t xml:space="preserve"> </w:t>
      </w:r>
      <w:r w:rsidR="006B6F22" w:rsidRPr="009F1107">
        <w:rPr>
          <w:b/>
        </w:rPr>
        <w:t>Subtypes</w:t>
      </w:r>
    </w:p>
    <w:tbl>
      <w:tblPr>
        <w:tblStyle w:val="TableGrid1"/>
        <w:tblW w:w="13747" w:type="dxa"/>
        <w:tblInd w:w="18" w:type="dxa"/>
        <w:tblLayout w:type="fixed"/>
        <w:tblLook w:val="04A0" w:firstRow="1" w:lastRow="0" w:firstColumn="1" w:lastColumn="0" w:noHBand="0" w:noVBand="1"/>
      </w:tblPr>
      <w:tblGrid>
        <w:gridCol w:w="3577"/>
        <w:gridCol w:w="1890"/>
        <w:gridCol w:w="1260"/>
        <w:gridCol w:w="1260"/>
        <w:gridCol w:w="1350"/>
        <w:gridCol w:w="2070"/>
        <w:gridCol w:w="2340"/>
      </w:tblGrid>
      <w:tr w:rsidR="006B6F22" w:rsidRPr="009F1107" w14:paraId="02CBE831" w14:textId="77777777" w:rsidTr="007422D7">
        <w:tc>
          <w:tcPr>
            <w:tcW w:w="3577" w:type="dxa"/>
          </w:tcPr>
          <w:p w14:paraId="0F2B3E0E" w14:textId="77777777" w:rsidR="006B6F22" w:rsidRPr="009F1107" w:rsidRDefault="006B6F22" w:rsidP="000760AC">
            <w:pPr>
              <w:jc w:val="center"/>
              <w:rPr>
                <w:b/>
              </w:rPr>
            </w:pPr>
            <w:r w:rsidRPr="009F1107">
              <w:rPr>
                <w:b/>
              </w:rPr>
              <w:t>Variable</w:t>
            </w:r>
          </w:p>
        </w:tc>
        <w:tc>
          <w:tcPr>
            <w:tcW w:w="1890" w:type="dxa"/>
          </w:tcPr>
          <w:p w14:paraId="08F85377" w14:textId="69F7B1E9" w:rsidR="006B6F22" w:rsidRPr="009F1107" w:rsidRDefault="006B6F22" w:rsidP="000760AC">
            <w:pPr>
              <w:jc w:val="center"/>
              <w:rPr>
                <w:b/>
              </w:rPr>
            </w:pPr>
            <w:r w:rsidRPr="009F1107">
              <w:rPr>
                <w:b/>
              </w:rPr>
              <w:t xml:space="preserve">Class 1  </w:t>
            </w:r>
            <w:r w:rsidR="007422D7">
              <w:rPr>
                <w:b/>
              </w:rPr>
              <w:t>TTM-Absent/</w:t>
            </w:r>
            <w:r w:rsidRPr="009F1107">
              <w:rPr>
                <w:b/>
              </w:rPr>
              <w:t>Controls (n=1</w:t>
            </w:r>
            <w:r>
              <w:rPr>
                <w:b/>
              </w:rPr>
              <w:t>21</w:t>
            </w:r>
            <w:r w:rsidRPr="009F1107">
              <w:rPr>
                <w:b/>
              </w:rPr>
              <w:t>)</w:t>
            </w:r>
          </w:p>
        </w:tc>
        <w:tc>
          <w:tcPr>
            <w:tcW w:w="1260" w:type="dxa"/>
          </w:tcPr>
          <w:p w14:paraId="39A6AE6F" w14:textId="77777777" w:rsidR="006B6F22" w:rsidRPr="009F1107" w:rsidRDefault="006B6F22" w:rsidP="000760AC">
            <w:pPr>
              <w:jc w:val="center"/>
              <w:rPr>
                <w:b/>
              </w:rPr>
            </w:pPr>
            <w:r>
              <w:rPr>
                <w:b/>
              </w:rPr>
              <w:t>TTM Subtype 1</w:t>
            </w:r>
            <w:r w:rsidRPr="009F1107">
              <w:rPr>
                <w:b/>
              </w:rPr>
              <w:t xml:space="preserve"> (n=</w:t>
            </w:r>
            <w:r>
              <w:rPr>
                <w:b/>
              </w:rPr>
              <w:t>27</w:t>
            </w:r>
            <w:r w:rsidRPr="009F1107">
              <w:rPr>
                <w:b/>
              </w:rPr>
              <w:t>)</w:t>
            </w:r>
          </w:p>
        </w:tc>
        <w:tc>
          <w:tcPr>
            <w:tcW w:w="1260" w:type="dxa"/>
          </w:tcPr>
          <w:p w14:paraId="4A7EA6A0" w14:textId="77777777" w:rsidR="006B6F22" w:rsidRPr="009F1107" w:rsidRDefault="006B6F22" w:rsidP="000760AC">
            <w:pPr>
              <w:jc w:val="center"/>
              <w:rPr>
                <w:b/>
              </w:rPr>
            </w:pPr>
            <w:r w:rsidRPr="009F1107">
              <w:rPr>
                <w:b/>
              </w:rPr>
              <w:t>TTM</w:t>
            </w:r>
            <w:r>
              <w:rPr>
                <w:b/>
              </w:rPr>
              <w:t xml:space="preserve"> Subtype 2</w:t>
            </w:r>
            <w:r w:rsidRPr="009F1107">
              <w:rPr>
                <w:b/>
              </w:rPr>
              <w:t xml:space="preserve"> (n=</w:t>
            </w:r>
            <w:r>
              <w:rPr>
                <w:b/>
              </w:rPr>
              <w:t>81</w:t>
            </w:r>
            <w:r w:rsidRPr="009F1107">
              <w:rPr>
                <w:b/>
              </w:rPr>
              <w:t>)</w:t>
            </w:r>
          </w:p>
        </w:tc>
        <w:tc>
          <w:tcPr>
            <w:tcW w:w="1350" w:type="dxa"/>
          </w:tcPr>
          <w:p w14:paraId="77CB1AD8" w14:textId="77777777" w:rsidR="006B6F22" w:rsidRPr="009F1107" w:rsidRDefault="006B6F22" w:rsidP="000760AC">
            <w:pPr>
              <w:jc w:val="center"/>
              <w:rPr>
                <w:b/>
              </w:rPr>
            </w:pPr>
            <w:r>
              <w:rPr>
                <w:b/>
              </w:rPr>
              <w:t>TTM Subtype  3</w:t>
            </w:r>
            <w:r w:rsidRPr="009F1107">
              <w:rPr>
                <w:b/>
              </w:rPr>
              <w:t xml:space="preserve"> (n=5</w:t>
            </w:r>
            <w:r>
              <w:rPr>
                <w:b/>
              </w:rPr>
              <w:t>0</w:t>
            </w:r>
            <w:r w:rsidRPr="009F1107">
              <w:rPr>
                <w:b/>
              </w:rPr>
              <w:t>)</w:t>
            </w:r>
          </w:p>
        </w:tc>
        <w:tc>
          <w:tcPr>
            <w:tcW w:w="2070" w:type="dxa"/>
          </w:tcPr>
          <w:p w14:paraId="45D1BEB0" w14:textId="77777777" w:rsidR="006B6F22" w:rsidRPr="009F1107" w:rsidRDefault="006B6F22" w:rsidP="000760AC">
            <w:pPr>
              <w:jc w:val="center"/>
              <w:rPr>
                <w:b/>
              </w:rPr>
            </w:pPr>
            <w:r w:rsidRPr="009F1107">
              <w:rPr>
                <w:b/>
              </w:rPr>
              <w:t>Statistic –</w:t>
            </w:r>
          </w:p>
          <w:p w14:paraId="1A8D4746" w14:textId="77777777" w:rsidR="006B6F22" w:rsidRPr="009F1107" w:rsidRDefault="006B6F22" w:rsidP="000760AC">
            <w:pPr>
              <w:jc w:val="center"/>
              <w:rPr>
                <w:b/>
              </w:rPr>
            </w:pPr>
            <w:r w:rsidRPr="009F1107">
              <w:rPr>
                <w:b/>
              </w:rPr>
              <w:t xml:space="preserve">Overall </w:t>
            </w:r>
          </w:p>
        </w:tc>
        <w:tc>
          <w:tcPr>
            <w:tcW w:w="2340" w:type="dxa"/>
          </w:tcPr>
          <w:p w14:paraId="38F3FA08" w14:textId="77777777" w:rsidR="006B6F22" w:rsidRPr="009F1107" w:rsidRDefault="006B6F22" w:rsidP="000760AC">
            <w:pPr>
              <w:jc w:val="center"/>
              <w:rPr>
                <w:b/>
              </w:rPr>
            </w:pPr>
            <w:r w:rsidRPr="009F1107">
              <w:rPr>
                <w:b/>
              </w:rPr>
              <w:t>Post hoc tests</w:t>
            </w:r>
          </w:p>
        </w:tc>
      </w:tr>
      <w:tr w:rsidR="006B6F22" w:rsidRPr="009F1107" w14:paraId="3D829211" w14:textId="77777777" w:rsidTr="004219C2">
        <w:tc>
          <w:tcPr>
            <w:tcW w:w="13747" w:type="dxa"/>
            <w:gridSpan w:val="7"/>
          </w:tcPr>
          <w:p w14:paraId="639746C3" w14:textId="08D9D1F3" w:rsidR="006B6F22" w:rsidRPr="00BC4A2C" w:rsidRDefault="00423850" w:rsidP="000760AC">
            <w:pPr>
              <w:jc w:val="center"/>
              <w:rPr>
                <w:b/>
              </w:rPr>
            </w:pPr>
            <w:r>
              <w:rPr>
                <w:b/>
              </w:rPr>
              <w:t xml:space="preserve">Demographics and </w:t>
            </w:r>
            <w:r w:rsidR="006B6F22" w:rsidRPr="00BC4A2C">
              <w:rPr>
                <w:b/>
              </w:rPr>
              <w:t>Clinical Measures</w:t>
            </w:r>
          </w:p>
        </w:tc>
      </w:tr>
      <w:tr w:rsidR="006B6F22" w:rsidRPr="009F1107" w14:paraId="588AA164" w14:textId="77777777" w:rsidTr="007422D7">
        <w:tc>
          <w:tcPr>
            <w:tcW w:w="3577" w:type="dxa"/>
          </w:tcPr>
          <w:p w14:paraId="552A5DE2" w14:textId="68E09C8F" w:rsidR="006B6F22" w:rsidRPr="009F1107" w:rsidRDefault="006B6F22" w:rsidP="000760AC">
            <w:pPr>
              <w:rPr>
                <w:b/>
              </w:rPr>
            </w:pPr>
            <w:r>
              <w:rPr>
                <w:b/>
              </w:rPr>
              <w:t>Age</w:t>
            </w:r>
            <w:r w:rsidR="00230E3C">
              <w:rPr>
                <w:b/>
              </w:rPr>
              <w:t xml:space="preserve">, </w:t>
            </w:r>
            <w:proofErr w:type="spellStart"/>
            <w:r w:rsidR="00230E3C">
              <w:rPr>
                <w:b/>
              </w:rPr>
              <w:t>yrs</w:t>
            </w:r>
            <w:proofErr w:type="spellEnd"/>
          </w:p>
        </w:tc>
        <w:tc>
          <w:tcPr>
            <w:tcW w:w="1890" w:type="dxa"/>
          </w:tcPr>
          <w:p w14:paraId="55607A6C" w14:textId="77777777" w:rsidR="006B6F22" w:rsidRPr="009F1107" w:rsidRDefault="006B6F22" w:rsidP="000760AC">
            <w:pPr>
              <w:jc w:val="center"/>
            </w:pPr>
            <w:r w:rsidRPr="00751872">
              <w:t xml:space="preserve">30.588 </w:t>
            </w:r>
            <w:r>
              <w:t>(</w:t>
            </w:r>
            <w:r w:rsidRPr="00751872">
              <w:t>0.95</w:t>
            </w:r>
            <w:r>
              <w:t>)</w:t>
            </w:r>
          </w:p>
        </w:tc>
        <w:tc>
          <w:tcPr>
            <w:tcW w:w="1260" w:type="dxa"/>
          </w:tcPr>
          <w:p w14:paraId="71455A79" w14:textId="77777777" w:rsidR="006B6F22" w:rsidRPr="009F1107" w:rsidRDefault="006B6F22" w:rsidP="000760AC">
            <w:pPr>
              <w:jc w:val="center"/>
            </w:pPr>
            <w:r w:rsidRPr="00751872">
              <w:t xml:space="preserve">33.136 </w:t>
            </w:r>
            <w:r>
              <w:t>(</w:t>
            </w:r>
            <w:r w:rsidRPr="00751872">
              <w:t>2.288</w:t>
            </w:r>
            <w:r>
              <w:t>)</w:t>
            </w:r>
          </w:p>
        </w:tc>
        <w:tc>
          <w:tcPr>
            <w:tcW w:w="1260" w:type="dxa"/>
          </w:tcPr>
          <w:p w14:paraId="0CACBA9D" w14:textId="77777777" w:rsidR="006B6F22" w:rsidRPr="009F1107" w:rsidRDefault="006B6F22" w:rsidP="000760AC">
            <w:pPr>
              <w:jc w:val="center"/>
            </w:pPr>
            <w:r w:rsidRPr="00751872">
              <w:t xml:space="preserve">29.186 </w:t>
            </w:r>
            <w:r>
              <w:t>(</w:t>
            </w:r>
            <w:r w:rsidRPr="00751872">
              <w:t>1.041</w:t>
            </w:r>
            <w:r>
              <w:t>)</w:t>
            </w:r>
          </w:p>
        </w:tc>
        <w:tc>
          <w:tcPr>
            <w:tcW w:w="1350" w:type="dxa"/>
          </w:tcPr>
          <w:p w14:paraId="597FC6D1" w14:textId="77777777" w:rsidR="006B6F22" w:rsidRPr="009F1107" w:rsidRDefault="006B6F22" w:rsidP="000760AC">
            <w:pPr>
              <w:jc w:val="center"/>
            </w:pPr>
            <w:r w:rsidRPr="00751872">
              <w:t xml:space="preserve">30.37 </w:t>
            </w:r>
            <w:r>
              <w:t>(</w:t>
            </w:r>
            <w:r w:rsidRPr="00751872">
              <w:t>1.452</w:t>
            </w:r>
            <w:r>
              <w:t>)</w:t>
            </w:r>
          </w:p>
        </w:tc>
        <w:tc>
          <w:tcPr>
            <w:tcW w:w="2070" w:type="dxa"/>
          </w:tcPr>
          <w:p w14:paraId="15FB1918" w14:textId="77777777" w:rsidR="006B6F22" w:rsidRDefault="006B6F22" w:rsidP="000760AC">
            <w:pPr>
              <w:jc w:val="center"/>
            </w:pPr>
            <w:r w:rsidRPr="00751872">
              <w:t>Chi</w:t>
            </w:r>
            <w:r>
              <w:t>-</w:t>
            </w:r>
            <w:r w:rsidRPr="00751872">
              <w:t>sq</w:t>
            </w:r>
            <w:r>
              <w:t xml:space="preserve">uare = </w:t>
            </w:r>
            <w:r w:rsidRPr="00751872">
              <w:t>2.769</w:t>
            </w:r>
            <w:r>
              <w:t>;</w:t>
            </w:r>
            <w:r w:rsidRPr="00751872">
              <w:t xml:space="preserve"> </w:t>
            </w:r>
          </w:p>
          <w:p w14:paraId="5CFE670A" w14:textId="77777777" w:rsidR="006B6F22" w:rsidRDefault="006B6F22" w:rsidP="000760AC">
            <w:pPr>
              <w:jc w:val="center"/>
            </w:pPr>
            <w:r w:rsidRPr="00751872">
              <w:t>df</w:t>
            </w:r>
            <w:r>
              <w:t>=</w:t>
            </w:r>
            <w:r w:rsidRPr="00751872">
              <w:t xml:space="preserve"> 3 </w:t>
            </w:r>
          </w:p>
          <w:p w14:paraId="744BFDC1" w14:textId="77777777" w:rsidR="006B6F22" w:rsidRDefault="006B6F22" w:rsidP="000760AC">
            <w:pPr>
              <w:jc w:val="center"/>
            </w:pPr>
            <w:r w:rsidRPr="00751872">
              <w:t>p</w:t>
            </w:r>
            <w:r>
              <w:t>=</w:t>
            </w:r>
            <w:r w:rsidRPr="00751872">
              <w:t xml:space="preserve"> 0.429</w:t>
            </w:r>
          </w:p>
          <w:p w14:paraId="26C3C2C0" w14:textId="1AEA8B53" w:rsidR="0054684E" w:rsidRPr="009F1107" w:rsidRDefault="0054684E" w:rsidP="000760AC">
            <w:pPr>
              <w:jc w:val="center"/>
            </w:pPr>
            <w:r>
              <w:t>(corrected p value=1)</w:t>
            </w:r>
          </w:p>
        </w:tc>
        <w:tc>
          <w:tcPr>
            <w:tcW w:w="2340" w:type="dxa"/>
          </w:tcPr>
          <w:p w14:paraId="3F130A9B" w14:textId="77777777" w:rsidR="006B6F22" w:rsidRPr="009F1107" w:rsidRDefault="006B6F22" w:rsidP="000760AC">
            <w:pPr>
              <w:jc w:val="center"/>
            </w:pPr>
          </w:p>
        </w:tc>
      </w:tr>
      <w:tr w:rsidR="006B6F22" w:rsidRPr="009F1107" w14:paraId="25EF2637" w14:textId="77777777" w:rsidTr="007422D7">
        <w:tc>
          <w:tcPr>
            <w:tcW w:w="3577" w:type="dxa"/>
          </w:tcPr>
          <w:p w14:paraId="595E654C" w14:textId="472D93AD" w:rsidR="006B6F22" w:rsidRPr="009F1107" w:rsidRDefault="00FA5DCC" w:rsidP="00B70978">
            <w:pPr>
              <w:rPr>
                <w:b/>
              </w:rPr>
            </w:pPr>
            <w:r>
              <w:rPr>
                <w:b/>
              </w:rPr>
              <w:t>Sex</w:t>
            </w:r>
            <w:r w:rsidR="00230E3C">
              <w:rPr>
                <w:b/>
              </w:rPr>
              <w:t>, p</w:t>
            </w:r>
            <w:r w:rsidR="00B70978">
              <w:rPr>
                <w:b/>
              </w:rPr>
              <w:t>roportion</w:t>
            </w:r>
            <w:r w:rsidR="00230E3C">
              <w:rPr>
                <w:b/>
              </w:rPr>
              <w:t xml:space="preserve"> females</w:t>
            </w:r>
          </w:p>
        </w:tc>
        <w:tc>
          <w:tcPr>
            <w:tcW w:w="1890" w:type="dxa"/>
          </w:tcPr>
          <w:p w14:paraId="15610B00" w14:textId="3A872F56" w:rsidR="006B6F22" w:rsidRPr="009F1107" w:rsidRDefault="00B70978">
            <w:pPr>
              <w:jc w:val="center"/>
            </w:pPr>
            <w:r>
              <w:t>0.</w:t>
            </w:r>
            <w:r w:rsidR="002135A8">
              <w:t>8</w:t>
            </w:r>
            <w:r w:rsidR="00FA5DCC">
              <w:t>4</w:t>
            </w:r>
            <w:r w:rsidR="002135A8">
              <w:t>6</w:t>
            </w:r>
          </w:p>
        </w:tc>
        <w:tc>
          <w:tcPr>
            <w:tcW w:w="1260" w:type="dxa"/>
          </w:tcPr>
          <w:p w14:paraId="46EFB22D" w14:textId="6F2FC7C3" w:rsidR="006B6F22" w:rsidRPr="009F1107" w:rsidRDefault="00B70978">
            <w:pPr>
              <w:jc w:val="center"/>
            </w:pPr>
            <w:r>
              <w:t>0.</w:t>
            </w:r>
            <w:r w:rsidR="00FA5DCC">
              <w:t>885</w:t>
            </w:r>
          </w:p>
        </w:tc>
        <w:tc>
          <w:tcPr>
            <w:tcW w:w="1260" w:type="dxa"/>
          </w:tcPr>
          <w:p w14:paraId="74934482" w14:textId="170F75A9" w:rsidR="006B6F22" w:rsidRPr="009F1107" w:rsidRDefault="00B70978">
            <w:pPr>
              <w:jc w:val="center"/>
            </w:pPr>
            <w:r>
              <w:t>0.</w:t>
            </w:r>
            <w:r w:rsidR="00FA5DCC">
              <w:t>815</w:t>
            </w:r>
          </w:p>
        </w:tc>
        <w:tc>
          <w:tcPr>
            <w:tcW w:w="1350" w:type="dxa"/>
          </w:tcPr>
          <w:p w14:paraId="50B81919" w14:textId="47218493" w:rsidR="006B6F22" w:rsidRPr="009F1107" w:rsidRDefault="00FA5DCC" w:rsidP="00646578">
            <w:pPr>
              <w:jc w:val="center"/>
            </w:pPr>
            <w:r>
              <w:t>80.</w:t>
            </w:r>
            <w:r w:rsidR="00646578">
              <w:t>1</w:t>
            </w:r>
          </w:p>
        </w:tc>
        <w:tc>
          <w:tcPr>
            <w:tcW w:w="2070" w:type="dxa"/>
          </w:tcPr>
          <w:p w14:paraId="21F8E585" w14:textId="24C3F348" w:rsidR="00FA5DCC" w:rsidRDefault="00FA5DCC" w:rsidP="00FA5DCC">
            <w:pPr>
              <w:jc w:val="center"/>
            </w:pPr>
            <w:r w:rsidRPr="00957B46">
              <w:t>Chi</w:t>
            </w:r>
            <w:r>
              <w:t>-</w:t>
            </w:r>
            <w:r w:rsidRPr="00957B46">
              <w:t>sq</w:t>
            </w:r>
            <w:r>
              <w:t>uare =</w:t>
            </w:r>
            <w:r w:rsidRPr="00957B46">
              <w:t xml:space="preserve"> </w:t>
            </w:r>
            <w:r>
              <w:t>0.857;</w:t>
            </w:r>
            <w:r w:rsidRPr="00957B46">
              <w:t xml:space="preserve"> </w:t>
            </w:r>
          </w:p>
          <w:p w14:paraId="2296030B" w14:textId="0ED208C4" w:rsidR="006B6F22" w:rsidRDefault="00FA5DCC" w:rsidP="00FA5DCC">
            <w:pPr>
              <w:jc w:val="center"/>
            </w:pPr>
            <w:r w:rsidRPr="00957B46">
              <w:t>df</w:t>
            </w:r>
            <w:r>
              <w:t>=</w:t>
            </w:r>
            <w:r w:rsidRPr="00957B46">
              <w:t xml:space="preserve"> 3</w:t>
            </w:r>
            <w:r>
              <w:t>;</w:t>
            </w:r>
            <w:r w:rsidRPr="00957B46">
              <w:t xml:space="preserve"> p</w:t>
            </w:r>
            <w:r>
              <w:t>=</w:t>
            </w:r>
            <w:r w:rsidRPr="00957B46">
              <w:t xml:space="preserve"> </w:t>
            </w:r>
            <w:r>
              <w:t>.836</w:t>
            </w:r>
          </w:p>
          <w:p w14:paraId="41A7C73F" w14:textId="7B9FE2C2" w:rsidR="0054684E" w:rsidRPr="009F1107" w:rsidRDefault="0054684E" w:rsidP="00FA5DCC">
            <w:pPr>
              <w:jc w:val="center"/>
            </w:pPr>
            <w:r>
              <w:t>(corrected p value =1)</w:t>
            </w:r>
          </w:p>
        </w:tc>
        <w:tc>
          <w:tcPr>
            <w:tcW w:w="2340" w:type="dxa"/>
          </w:tcPr>
          <w:p w14:paraId="5C939CB1" w14:textId="3F6065B4" w:rsidR="006B6F22" w:rsidRPr="009F1107" w:rsidRDefault="006B6F22" w:rsidP="000760AC">
            <w:pPr>
              <w:jc w:val="center"/>
            </w:pPr>
          </w:p>
        </w:tc>
      </w:tr>
      <w:tr w:rsidR="006B6F22" w:rsidRPr="009F1107" w14:paraId="0244B61A" w14:textId="77777777" w:rsidTr="007422D7">
        <w:tc>
          <w:tcPr>
            <w:tcW w:w="3577" w:type="dxa"/>
          </w:tcPr>
          <w:p w14:paraId="6299E5BE" w14:textId="115F6E7E" w:rsidR="006B6F22" w:rsidRPr="009F1107" w:rsidRDefault="006B6F22" w:rsidP="000760AC">
            <w:pPr>
              <w:rPr>
                <w:b/>
              </w:rPr>
            </w:pPr>
            <w:r>
              <w:rPr>
                <w:b/>
              </w:rPr>
              <w:t>Duration of illness</w:t>
            </w:r>
            <w:r w:rsidR="00230E3C">
              <w:rPr>
                <w:b/>
              </w:rPr>
              <w:t xml:space="preserve">, </w:t>
            </w:r>
            <w:proofErr w:type="spellStart"/>
            <w:r w:rsidR="00230E3C">
              <w:rPr>
                <w:b/>
              </w:rPr>
              <w:t>yrs</w:t>
            </w:r>
            <w:proofErr w:type="spellEnd"/>
          </w:p>
        </w:tc>
        <w:tc>
          <w:tcPr>
            <w:tcW w:w="1890" w:type="dxa"/>
          </w:tcPr>
          <w:p w14:paraId="450F9B17" w14:textId="77777777" w:rsidR="006B6F22" w:rsidRPr="009F1107" w:rsidRDefault="006B6F22" w:rsidP="000760AC">
            <w:pPr>
              <w:jc w:val="center"/>
            </w:pPr>
            <w:r w:rsidRPr="00F61068">
              <w:t xml:space="preserve">18.27 </w:t>
            </w:r>
            <w:r>
              <w:t>(</w:t>
            </w:r>
            <w:r w:rsidRPr="00F61068">
              <w:t>1.426</w:t>
            </w:r>
            <w:r>
              <w:t>)</w:t>
            </w:r>
          </w:p>
        </w:tc>
        <w:tc>
          <w:tcPr>
            <w:tcW w:w="1260" w:type="dxa"/>
          </w:tcPr>
          <w:p w14:paraId="02BD9EDF" w14:textId="77777777" w:rsidR="006B6F22" w:rsidRPr="009F1107" w:rsidRDefault="006B6F22" w:rsidP="000760AC">
            <w:pPr>
              <w:jc w:val="center"/>
            </w:pPr>
            <w:r w:rsidRPr="00F61068">
              <w:t xml:space="preserve">19.258 </w:t>
            </w:r>
            <w:r>
              <w:t>(</w:t>
            </w:r>
            <w:r w:rsidRPr="00F61068">
              <w:t>2.33</w:t>
            </w:r>
            <w:r>
              <w:t>)</w:t>
            </w:r>
          </w:p>
        </w:tc>
        <w:tc>
          <w:tcPr>
            <w:tcW w:w="1260" w:type="dxa"/>
          </w:tcPr>
          <w:p w14:paraId="3F847880" w14:textId="77777777" w:rsidR="006B6F22" w:rsidRPr="009F1107" w:rsidRDefault="006B6F22" w:rsidP="000760AC">
            <w:pPr>
              <w:jc w:val="center"/>
            </w:pPr>
            <w:r w:rsidRPr="00F61068">
              <w:t xml:space="preserve">17.119 </w:t>
            </w:r>
            <w:r>
              <w:t>(</w:t>
            </w:r>
            <w:r w:rsidRPr="00F61068">
              <w:t>1.211</w:t>
            </w:r>
            <w:r>
              <w:t>)</w:t>
            </w:r>
          </w:p>
        </w:tc>
        <w:tc>
          <w:tcPr>
            <w:tcW w:w="1350" w:type="dxa"/>
          </w:tcPr>
          <w:p w14:paraId="580F95C6" w14:textId="77777777" w:rsidR="006B6F22" w:rsidRPr="009F1107" w:rsidRDefault="006B6F22" w:rsidP="000760AC">
            <w:pPr>
              <w:jc w:val="center"/>
            </w:pPr>
            <w:r w:rsidRPr="00957B46">
              <w:t xml:space="preserve">17.271 </w:t>
            </w:r>
            <w:r>
              <w:t>(</w:t>
            </w:r>
            <w:r w:rsidRPr="00957B46">
              <w:t>1.592</w:t>
            </w:r>
            <w:r>
              <w:t>)</w:t>
            </w:r>
          </w:p>
        </w:tc>
        <w:tc>
          <w:tcPr>
            <w:tcW w:w="2070" w:type="dxa"/>
          </w:tcPr>
          <w:p w14:paraId="68F1C483" w14:textId="77777777" w:rsidR="006B6F22" w:rsidRDefault="006B6F22" w:rsidP="000760AC">
            <w:pPr>
              <w:jc w:val="center"/>
            </w:pPr>
            <w:r w:rsidRPr="00957B46">
              <w:t>Chi</w:t>
            </w:r>
            <w:r>
              <w:t>-</w:t>
            </w:r>
            <w:r w:rsidRPr="00957B46">
              <w:t>sq</w:t>
            </w:r>
            <w:r>
              <w:t>uare =</w:t>
            </w:r>
            <w:r w:rsidRPr="00957B46">
              <w:t xml:space="preserve"> 0.909</w:t>
            </w:r>
            <w:r>
              <w:t>;</w:t>
            </w:r>
            <w:r w:rsidRPr="00957B46">
              <w:t xml:space="preserve"> </w:t>
            </w:r>
          </w:p>
          <w:p w14:paraId="1E0CD1E6" w14:textId="77777777" w:rsidR="006B6F22" w:rsidRDefault="006B6F22" w:rsidP="000760AC">
            <w:pPr>
              <w:jc w:val="center"/>
            </w:pPr>
            <w:r w:rsidRPr="00957B46">
              <w:t>df</w:t>
            </w:r>
            <w:r>
              <w:t>=</w:t>
            </w:r>
            <w:r w:rsidRPr="00957B46">
              <w:t xml:space="preserve"> 3</w:t>
            </w:r>
            <w:r>
              <w:t>;</w:t>
            </w:r>
            <w:r w:rsidRPr="00957B46">
              <w:t xml:space="preserve"> </w:t>
            </w:r>
          </w:p>
          <w:p w14:paraId="425F3BAE" w14:textId="77777777" w:rsidR="006B6F22" w:rsidRDefault="006B6F22" w:rsidP="000760AC">
            <w:pPr>
              <w:jc w:val="center"/>
            </w:pPr>
            <w:r w:rsidRPr="00957B46">
              <w:t>p</w:t>
            </w:r>
            <w:r>
              <w:t>=</w:t>
            </w:r>
            <w:r w:rsidRPr="00957B46">
              <w:t xml:space="preserve"> 0.823</w:t>
            </w:r>
          </w:p>
          <w:p w14:paraId="6CDD2524" w14:textId="29E1DA0E" w:rsidR="0054684E" w:rsidRPr="009F1107" w:rsidRDefault="0054684E" w:rsidP="000760AC">
            <w:pPr>
              <w:jc w:val="center"/>
            </w:pPr>
            <w:r>
              <w:t>(corrected p value =1)</w:t>
            </w:r>
          </w:p>
        </w:tc>
        <w:tc>
          <w:tcPr>
            <w:tcW w:w="2340" w:type="dxa"/>
          </w:tcPr>
          <w:p w14:paraId="7AE6C5F1" w14:textId="77777777" w:rsidR="006B6F22" w:rsidRPr="009F1107" w:rsidRDefault="006B6F22" w:rsidP="000760AC">
            <w:pPr>
              <w:jc w:val="center"/>
            </w:pPr>
          </w:p>
        </w:tc>
      </w:tr>
      <w:tr w:rsidR="006B6F22" w:rsidRPr="009F1107" w14:paraId="5F986977" w14:textId="77777777" w:rsidTr="007422D7">
        <w:tc>
          <w:tcPr>
            <w:tcW w:w="3577" w:type="dxa"/>
          </w:tcPr>
          <w:p w14:paraId="210AA730" w14:textId="4F27548C" w:rsidR="006B6F22" w:rsidRPr="009F1107" w:rsidRDefault="006B6F22" w:rsidP="00423850">
            <w:pPr>
              <w:rPr>
                <w:b/>
              </w:rPr>
            </w:pPr>
            <w:r w:rsidRPr="009F1107">
              <w:rPr>
                <w:b/>
              </w:rPr>
              <w:t xml:space="preserve">ADHD symptoms (Adult ADHD Self-Report Scale Screener </w:t>
            </w:r>
            <w:r>
              <w:rPr>
                <w:b/>
              </w:rPr>
              <w:t xml:space="preserve">total </w:t>
            </w:r>
            <w:r w:rsidRPr="009F1107">
              <w:rPr>
                <w:b/>
              </w:rPr>
              <w:t>scores</w:t>
            </w:r>
            <w:r w:rsidR="00423850">
              <w:rPr>
                <w:b/>
              </w:rPr>
              <w:t>)</w:t>
            </w:r>
          </w:p>
        </w:tc>
        <w:tc>
          <w:tcPr>
            <w:tcW w:w="1890" w:type="dxa"/>
          </w:tcPr>
          <w:p w14:paraId="30BCA891" w14:textId="77777777" w:rsidR="006B6F22" w:rsidRPr="009F1107" w:rsidRDefault="006B6F22" w:rsidP="000760AC">
            <w:pPr>
              <w:jc w:val="center"/>
            </w:pPr>
            <w:r w:rsidRPr="00D841C3">
              <w:t xml:space="preserve">1.359 </w:t>
            </w:r>
            <w:r>
              <w:t>(</w:t>
            </w:r>
            <w:r w:rsidRPr="00D841C3">
              <w:t>0.149</w:t>
            </w:r>
            <w:r>
              <w:t>)</w:t>
            </w:r>
          </w:p>
        </w:tc>
        <w:tc>
          <w:tcPr>
            <w:tcW w:w="1260" w:type="dxa"/>
          </w:tcPr>
          <w:p w14:paraId="509BA222" w14:textId="77777777" w:rsidR="006B6F22" w:rsidRPr="009F1107" w:rsidRDefault="006B6F22" w:rsidP="000760AC">
            <w:pPr>
              <w:jc w:val="center"/>
            </w:pPr>
            <w:r w:rsidRPr="00D841C3">
              <w:t xml:space="preserve">1.652 </w:t>
            </w:r>
            <w:r>
              <w:t>(</w:t>
            </w:r>
            <w:r w:rsidRPr="00D841C3">
              <w:t>0.339</w:t>
            </w:r>
            <w:r>
              <w:t>)</w:t>
            </w:r>
          </w:p>
        </w:tc>
        <w:tc>
          <w:tcPr>
            <w:tcW w:w="1260" w:type="dxa"/>
          </w:tcPr>
          <w:p w14:paraId="7DA7DBEC" w14:textId="77777777" w:rsidR="006B6F22" w:rsidRPr="009F1107" w:rsidRDefault="006B6F22" w:rsidP="000760AC">
            <w:pPr>
              <w:jc w:val="center"/>
            </w:pPr>
            <w:r w:rsidRPr="00D841C3">
              <w:t xml:space="preserve">2.232 </w:t>
            </w:r>
            <w:r>
              <w:t>(</w:t>
            </w:r>
            <w:r w:rsidRPr="00D841C3">
              <w:t>0.215</w:t>
            </w:r>
            <w:r>
              <w:t>)</w:t>
            </w:r>
          </w:p>
        </w:tc>
        <w:tc>
          <w:tcPr>
            <w:tcW w:w="1350" w:type="dxa"/>
          </w:tcPr>
          <w:p w14:paraId="2BACEA51" w14:textId="77777777" w:rsidR="006B6F22" w:rsidRPr="009F1107" w:rsidRDefault="006B6F22" w:rsidP="000760AC">
            <w:pPr>
              <w:jc w:val="center"/>
            </w:pPr>
            <w:r w:rsidRPr="00D841C3">
              <w:t xml:space="preserve">2.302 </w:t>
            </w:r>
            <w:r>
              <w:t>(</w:t>
            </w:r>
            <w:r w:rsidRPr="00D841C3">
              <w:t>0.268</w:t>
            </w:r>
            <w:r>
              <w:t>)</w:t>
            </w:r>
          </w:p>
        </w:tc>
        <w:tc>
          <w:tcPr>
            <w:tcW w:w="2070" w:type="dxa"/>
          </w:tcPr>
          <w:p w14:paraId="23A5E963" w14:textId="77777777" w:rsidR="006B6F22" w:rsidRDefault="006B6F22" w:rsidP="000760AC">
            <w:pPr>
              <w:jc w:val="center"/>
            </w:pPr>
            <w:r w:rsidRPr="00957B46">
              <w:t>Chi</w:t>
            </w:r>
            <w:r>
              <w:t>-</w:t>
            </w:r>
            <w:r w:rsidRPr="00957B46">
              <w:t>sq</w:t>
            </w:r>
            <w:r>
              <w:t>uare =</w:t>
            </w:r>
            <w:r w:rsidRPr="00957B46">
              <w:t xml:space="preserve"> </w:t>
            </w:r>
            <w:r>
              <w:t>16.244;</w:t>
            </w:r>
            <w:r w:rsidRPr="00957B46">
              <w:t xml:space="preserve"> </w:t>
            </w:r>
          </w:p>
          <w:p w14:paraId="040D7CD9" w14:textId="66C4F10C" w:rsidR="006B6F22" w:rsidRDefault="006B6F22" w:rsidP="000760AC">
            <w:pPr>
              <w:jc w:val="center"/>
            </w:pPr>
            <w:r w:rsidRPr="00957B46">
              <w:t>df</w:t>
            </w:r>
            <w:r>
              <w:t>=</w:t>
            </w:r>
            <w:r w:rsidRPr="00957B46">
              <w:t xml:space="preserve"> 3</w:t>
            </w:r>
            <w:r>
              <w:t>;</w:t>
            </w:r>
            <w:r w:rsidRPr="00957B46">
              <w:t xml:space="preserve"> p</w:t>
            </w:r>
            <w:r>
              <w:t>=</w:t>
            </w:r>
            <w:r w:rsidRPr="00957B46">
              <w:t xml:space="preserve"> </w:t>
            </w:r>
            <w:r>
              <w:t>.001</w:t>
            </w:r>
          </w:p>
          <w:p w14:paraId="600A6530" w14:textId="06CEF72E" w:rsidR="0054684E" w:rsidRPr="009F1107" w:rsidRDefault="0054684E" w:rsidP="004E477E">
            <w:pPr>
              <w:jc w:val="center"/>
            </w:pPr>
            <w:r>
              <w:t>(corrected p value =.01</w:t>
            </w:r>
            <w:r w:rsidR="004E477E">
              <w:t>3</w:t>
            </w:r>
            <w:r>
              <w:t>)</w:t>
            </w:r>
          </w:p>
        </w:tc>
        <w:tc>
          <w:tcPr>
            <w:tcW w:w="2340" w:type="dxa"/>
          </w:tcPr>
          <w:p w14:paraId="09D8DCB9" w14:textId="77777777" w:rsidR="006B6F22" w:rsidRPr="009F1107" w:rsidRDefault="006B6F22" w:rsidP="000760AC">
            <w:pPr>
              <w:jc w:val="center"/>
            </w:pPr>
            <w:r>
              <w:t>Subtype 2 compared to controls (p=.001) and Subtype 3 compared to controls (p=.003)</w:t>
            </w:r>
          </w:p>
        </w:tc>
      </w:tr>
      <w:tr w:rsidR="006B6F22" w:rsidRPr="009F1107" w14:paraId="2990FCDE" w14:textId="77777777" w:rsidTr="007422D7">
        <w:trPr>
          <w:trHeight w:val="1052"/>
        </w:trPr>
        <w:tc>
          <w:tcPr>
            <w:tcW w:w="3577" w:type="dxa"/>
          </w:tcPr>
          <w:p w14:paraId="52BCF4E1" w14:textId="77777777" w:rsidR="006B6F22" w:rsidRPr="009F1107" w:rsidRDefault="006B6F22" w:rsidP="000760AC">
            <w:pPr>
              <w:rPr>
                <w:b/>
              </w:rPr>
            </w:pPr>
            <w:r w:rsidRPr="009F1107">
              <w:rPr>
                <w:b/>
              </w:rPr>
              <w:lastRenderedPageBreak/>
              <w:t xml:space="preserve">Impairment due to BFRB (Sheehan Disability Scale total score) </w:t>
            </w:r>
          </w:p>
        </w:tc>
        <w:tc>
          <w:tcPr>
            <w:tcW w:w="1890" w:type="dxa"/>
          </w:tcPr>
          <w:p w14:paraId="360B2F49" w14:textId="77777777" w:rsidR="006B6F22" w:rsidRPr="009F1107" w:rsidRDefault="006B6F22" w:rsidP="000760AC">
            <w:pPr>
              <w:jc w:val="center"/>
            </w:pPr>
            <w:r w:rsidRPr="00D841C3">
              <w:t xml:space="preserve">4.389 </w:t>
            </w:r>
            <w:r>
              <w:t>(</w:t>
            </w:r>
            <w:r w:rsidRPr="00D841C3">
              <w:t>0.515</w:t>
            </w:r>
            <w:r>
              <w:t>)</w:t>
            </w:r>
          </w:p>
        </w:tc>
        <w:tc>
          <w:tcPr>
            <w:tcW w:w="1260" w:type="dxa"/>
          </w:tcPr>
          <w:p w14:paraId="6621CB4D" w14:textId="77777777" w:rsidR="006B6F22" w:rsidRPr="009F1107" w:rsidRDefault="006B6F22" w:rsidP="000760AC">
            <w:pPr>
              <w:jc w:val="center"/>
            </w:pPr>
            <w:r w:rsidRPr="00D841C3">
              <w:t xml:space="preserve">7.54 </w:t>
            </w:r>
            <w:r>
              <w:t>(</w:t>
            </w:r>
            <w:r w:rsidRPr="00D841C3">
              <w:t>1.434</w:t>
            </w:r>
            <w:r>
              <w:t>)</w:t>
            </w:r>
          </w:p>
        </w:tc>
        <w:tc>
          <w:tcPr>
            <w:tcW w:w="1260" w:type="dxa"/>
          </w:tcPr>
          <w:p w14:paraId="39812343" w14:textId="77777777" w:rsidR="006B6F22" w:rsidRPr="009F1107" w:rsidRDefault="006B6F22" w:rsidP="000760AC">
            <w:pPr>
              <w:jc w:val="center"/>
            </w:pPr>
            <w:r w:rsidRPr="00D841C3">
              <w:t xml:space="preserve">7.059 </w:t>
            </w:r>
            <w:r>
              <w:t>(</w:t>
            </w:r>
            <w:r w:rsidRPr="00D841C3">
              <w:t>0.789</w:t>
            </w:r>
            <w:r>
              <w:t>)</w:t>
            </w:r>
          </w:p>
        </w:tc>
        <w:tc>
          <w:tcPr>
            <w:tcW w:w="1350" w:type="dxa"/>
          </w:tcPr>
          <w:p w14:paraId="2A329676" w14:textId="77777777" w:rsidR="006B6F22" w:rsidRPr="009F1107" w:rsidRDefault="006B6F22" w:rsidP="000760AC">
            <w:pPr>
              <w:jc w:val="center"/>
            </w:pPr>
            <w:r w:rsidRPr="00D841C3">
              <w:t xml:space="preserve">10.776 </w:t>
            </w:r>
            <w:r>
              <w:t>(</w:t>
            </w:r>
            <w:r w:rsidRPr="00D841C3">
              <w:t>1.159</w:t>
            </w:r>
            <w:r>
              <w:t>)</w:t>
            </w:r>
          </w:p>
        </w:tc>
        <w:tc>
          <w:tcPr>
            <w:tcW w:w="2070" w:type="dxa"/>
          </w:tcPr>
          <w:p w14:paraId="71C2ED87" w14:textId="77777777" w:rsidR="006B6F22" w:rsidRDefault="006B6F22" w:rsidP="000760AC">
            <w:pPr>
              <w:jc w:val="center"/>
            </w:pPr>
            <w:r w:rsidRPr="00957B46">
              <w:t>Chi</w:t>
            </w:r>
            <w:r>
              <w:t>-</w:t>
            </w:r>
            <w:r w:rsidRPr="00957B46">
              <w:t>sq</w:t>
            </w:r>
            <w:r>
              <w:t>uare =</w:t>
            </w:r>
            <w:r w:rsidRPr="00957B46">
              <w:t xml:space="preserve"> </w:t>
            </w:r>
            <w:r>
              <w:t>29.705;</w:t>
            </w:r>
            <w:r w:rsidRPr="00957B46">
              <w:t xml:space="preserve"> </w:t>
            </w:r>
          </w:p>
          <w:p w14:paraId="368866F8" w14:textId="5E4CFF95" w:rsidR="006B6F22" w:rsidRDefault="006B6F22" w:rsidP="00A77D5A">
            <w:pPr>
              <w:jc w:val="center"/>
            </w:pPr>
            <w:r w:rsidRPr="00957B46">
              <w:t>df</w:t>
            </w:r>
            <w:r>
              <w:t>=</w:t>
            </w:r>
            <w:r w:rsidRPr="00957B46">
              <w:t xml:space="preserve"> 3</w:t>
            </w:r>
            <w:r>
              <w:t>;</w:t>
            </w:r>
            <w:r w:rsidRPr="00957B46">
              <w:t xml:space="preserve"> p</w:t>
            </w:r>
            <w:r>
              <w:t>&lt;.00</w:t>
            </w:r>
            <w:r w:rsidR="00A77D5A">
              <w:t>1</w:t>
            </w:r>
          </w:p>
          <w:p w14:paraId="718876DF" w14:textId="0D21DCE6" w:rsidR="0054684E" w:rsidRPr="009F1107" w:rsidRDefault="0054684E" w:rsidP="0054684E">
            <w:pPr>
              <w:jc w:val="center"/>
            </w:pPr>
            <w:r>
              <w:t>(corrected p value &lt;.001)</w:t>
            </w:r>
          </w:p>
        </w:tc>
        <w:tc>
          <w:tcPr>
            <w:tcW w:w="2340" w:type="dxa"/>
          </w:tcPr>
          <w:p w14:paraId="1B4540C0" w14:textId="77777777" w:rsidR="006B6F22" w:rsidRDefault="006B6F22" w:rsidP="000760AC">
            <w:r>
              <w:t>Subtype 1 compared to controls (p=.039)</w:t>
            </w:r>
          </w:p>
          <w:p w14:paraId="4AD1C36A" w14:textId="77777777" w:rsidR="006B6F22" w:rsidRDefault="006B6F22" w:rsidP="000760AC">
            <w:r>
              <w:t>Subtype 2 compared to controls (p=.005)</w:t>
            </w:r>
          </w:p>
          <w:p w14:paraId="6C42A627" w14:textId="13F72820" w:rsidR="006B6F22" w:rsidRDefault="006B6F22" w:rsidP="000760AC">
            <w:r>
              <w:t>Subtype 3 compared to controls (p&lt;.00</w:t>
            </w:r>
            <w:r w:rsidR="00A77D5A">
              <w:t>1</w:t>
            </w:r>
            <w:r>
              <w:t>)</w:t>
            </w:r>
          </w:p>
          <w:p w14:paraId="53ED0E8B" w14:textId="77777777" w:rsidR="006B6F22" w:rsidRDefault="006B6F22" w:rsidP="000760AC"/>
          <w:p w14:paraId="4853C562" w14:textId="77777777" w:rsidR="006B6F22" w:rsidRDefault="006B6F22" w:rsidP="000760AC">
            <w:r>
              <w:t>Subtype 3 compared to subtype 2 (p=.008)</w:t>
            </w:r>
          </w:p>
          <w:p w14:paraId="50C8271A" w14:textId="77777777" w:rsidR="006B6F22" w:rsidRPr="009F1107" w:rsidRDefault="006B6F22" w:rsidP="000760AC"/>
        </w:tc>
      </w:tr>
      <w:tr w:rsidR="006B6F22" w:rsidRPr="009F1107" w14:paraId="278C9B82" w14:textId="77777777" w:rsidTr="007422D7">
        <w:tc>
          <w:tcPr>
            <w:tcW w:w="3577" w:type="dxa"/>
          </w:tcPr>
          <w:p w14:paraId="3A41A41F" w14:textId="77777777" w:rsidR="006B6F22" w:rsidRPr="009F1107" w:rsidRDefault="006B6F22" w:rsidP="000760AC">
            <w:pPr>
              <w:rPr>
                <w:b/>
              </w:rPr>
            </w:pPr>
            <w:r w:rsidRPr="009F1107">
              <w:rPr>
                <w:b/>
              </w:rPr>
              <w:t xml:space="preserve">Short Mood and </w:t>
            </w:r>
          </w:p>
          <w:p w14:paraId="0341FA14" w14:textId="77777777" w:rsidR="006B6F22" w:rsidRPr="009F1107" w:rsidRDefault="006B6F22" w:rsidP="000760AC">
            <w:pPr>
              <w:rPr>
                <w:b/>
              </w:rPr>
            </w:pPr>
            <w:r w:rsidRPr="009F1107">
              <w:rPr>
                <w:b/>
              </w:rPr>
              <w:t>Feelings Questionnaire</w:t>
            </w:r>
          </w:p>
        </w:tc>
        <w:tc>
          <w:tcPr>
            <w:tcW w:w="1890" w:type="dxa"/>
          </w:tcPr>
          <w:p w14:paraId="15238951" w14:textId="77777777" w:rsidR="006B6F22" w:rsidRPr="009F1107" w:rsidRDefault="006B6F22" w:rsidP="000760AC">
            <w:pPr>
              <w:jc w:val="center"/>
            </w:pPr>
            <w:r w:rsidRPr="00ED05BD">
              <w:t xml:space="preserve">3.599 </w:t>
            </w:r>
            <w:r>
              <w:t>(</w:t>
            </w:r>
            <w:r w:rsidRPr="00ED05BD">
              <w:t>0.386</w:t>
            </w:r>
            <w:r>
              <w:t>)</w:t>
            </w:r>
          </w:p>
        </w:tc>
        <w:tc>
          <w:tcPr>
            <w:tcW w:w="1260" w:type="dxa"/>
          </w:tcPr>
          <w:p w14:paraId="0F5796D0" w14:textId="77777777" w:rsidR="006B6F22" w:rsidRPr="009F1107" w:rsidRDefault="006B6F22" w:rsidP="000760AC">
            <w:pPr>
              <w:jc w:val="center"/>
            </w:pPr>
            <w:r w:rsidRPr="00ED05BD">
              <w:t xml:space="preserve">6.684 </w:t>
            </w:r>
            <w:r>
              <w:t>(</w:t>
            </w:r>
            <w:r w:rsidRPr="00ED05BD">
              <w:t>1.104</w:t>
            </w:r>
            <w:r>
              <w:t>)</w:t>
            </w:r>
          </w:p>
        </w:tc>
        <w:tc>
          <w:tcPr>
            <w:tcW w:w="1260" w:type="dxa"/>
          </w:tcPr>
          <w:p w14:paraId="2E415E63" w14:textId="77777777" w:rsidR="006B6F22" w:rsidRPr="009F1107" w:rsidRDefault="006B6F22" w:rsidP="000760AC">
            <w:pPr>
              <w:jc w:val="center"/>
            </w:pPr>
            <w:r w:rsidRPr="00ED05BD">
              <w:t xml:space="preserve">5.111 </w:t>
            </w:r>
            <w:r>
              <w:t>(</w:t>
            </w:r>
            <w:r w:rsidRPr="00ED05BD">
              <w:t>0.599</w:t>
            </w:r>
            <w:r>
              <w:t>)</w:t>
            </w:r>
          </w:p>
        </w:tc>
        <w:tc>
          <w:tcPr>
            <w:tcW w:w="1350" w:type="dxa"/>
          </w:tcPr>
          <w:p w14:paraId="1CCED7FB" w14:textId="77777777" w:rsidR="006B6F22" w:rsidRPr="009F1107" w:rsidRDefault="006B6F22" w:rsidP="000760AC">
            <w:pPr>
              <w:jc w:val="center"/>
            </w:pPr>
            <w:r w:rsidRPr="00ED05BD">
              <w:t xml:space="preserve">7.783 </w:t>
            </w:r>
            <w:r>
              <w:t>(</w:t>
            </w:r>
            <w:r w:rsidRPr="00ED05BD">
              <w:t>0.872</w:t>
            </w:r>
            <w:r>
              <w:t>)</w:t>
            </w:r>
          </w:p>
        </w:tc>
        <w:tc>
          <w:tcPr>
            <w:tcW w:w="2070" w:type="dxa"/>
          </w:tcPr>
          <w:p w14:paraId="46406DC2" w14:textId="77777777" w:rsidR="006B6F22" w:rsidRDefault="006B6F22" w:rsidP="000760AC">
            <w:pPr>
              <w:jc w:val="center"/>
            </w:pPr>
            <w:r w:rsidRPr="00957B46">
              <w:t>Chi</w:t>
            </w:r>
            <w:r>
              <w:t>-</w:t>
            </w:r>
            <w:r w:rsidRPr="00957B46">
              <w:t>sq</w:t>
            </w:r>
            <w:r>
              <w:t>uare =</w:t>
            </w:r>
            <w:r w:rsidRPr="00957B46">
              <w:t xml:space="preserve"> </w:t>
            </w:r>
            <w:r>
              <w:t>24.298;</w:t>
            </w:r>
            <w:r w:rsidRPr="00957B46">
              <w:t xml:space="preserve"> </w:t>
            </w:r>
          </w:p>
          <w:p w14:paraId="67383FA6" w14:textId="0EC68E92" w:rsidR="006B6F22" w:rsidRDefault="006B6F22" w:rsidP="00DF022C">
            <w:pPr>
              <w:jc w:val="center"/>
            </w:pPr>
            <w:r w:rsidRPr="00957B46">
              <w:t>df</w:t>
            </w:r>
            <w:r>
              <w:t>=</w:t>
            </w:r>
            <w:r w:rsidRPr="00957B46">
              <w:t xml:space="preserve"> 3</w:t>
            </w:r>
            <w:r>
              <w:t>;</w:t>
            </w:r>
            <w:r w:rsidRPr="00957B46">
              <w:t xml:space="preserve"> p</w:t>
            </w:r>
            <w:r>
              <w:t>&lt;.00</w:t>
            </w:r>
            <w:r w:rsidR="00A77D5A">
              <w:t>1</w:t>
            </w:r>
          </w:p>
          <w:p w14:paraId="3DAF6E81" w14:textId="54684D9B" w:rsidR="0054684E" w:rsidRPr="009F1107" w:rsidRDefault="0054684E" w:rsidP="00B50E7D">
            <w:pPr>
              <w:jc w:val="center"/>
            </w:pPr>
            <w:r>
              <w:t xml:space="preserve">(corrected p value </w:t>
            </w:r>
            <w:r w:rsidR="00B50E7D">
              <w:t>&lt;.001</w:t>
            </w:r>
            <w:r>
              <w:t>)</w:t>
            </w:r>
          </w:p>
        </w:tc>
        <w:tc>
          <w:tcPr>
            <w:tcW w:w="2340" w:type="dxa"/>
          </w:tcPr>
          <w:p w14:paraId="0E2F2395" w14:textId="77777777" w:rsidR="006B6F22" w:rsidRDefault="006B6F22" w:rsidP="000760AC">
            <w:r>
              <w:t>Subtype 1 compared to controls (p=.008)</w:t>
            </w:r>
          </w:p>
          <w:p w14:paraId="4174C101" w14:textId="77777777" w:rsidR="006B6F22" w:rsidRDefault="006B6F22" w:rsidP="000760AC">
            <w:r>
              <w:t>Subtype 2 compared to controls (p=.034)</w:t>
            </w:r>
          </w:p>
          <w:p w14:paraId="371D0DD8" w14:textId="086EB004" w:rsidR="006B6F22" w:rsidRDefault="006B6F22" w:rsidP="000760AC">
            <w:r>
              <w:t>Subtype 3 compared to controls (p&lt;.00</w:t>
            </w:r>
            <w:r w:rsidR="00A77D5A">
              <w:t>1</w:t>
            </w:r>
            <w:r>
              <w:t>)</w:t>
            </w:r>
          </w:p>
          <w:p w14:paraId="70A8E012" w14:textId="77777777" w:rsidR="006B6F22" w:rsidRDefault="006B6F22" w:rsidP="000760AC"/>
          <w:p w14:paraId="19A9131E" w14:textId="77777777" w:rsidR="006B6F22" w:rsidRDefault="006B6F22" w:rsidP="000760AC">
            <w:r>
              <w:t>Subtype 3 compared to subtype 2 (p=.012)</w:t>
            </w:r>
          </w:p>
          <w:p w14:paraId="064F340D" w14:textId="77777777" w:rsidR="006B6F22" w:rsidRPr="009F1107" w:rsidRDefault="006B6F22" w:rsidP="000760AC"/>
        </w:tc>
      </w:tr>
      <w:tr w:rsidR="006B6F22" w:rsidRPr="009F1107" w14:paraId="0C81E9D5" w14:textId="77777777" w:rsidTr="007422D7">
        <w:tc>
          <w:tcPr>
            <w:tcW w:w="3577" w:type="dxa"/>
          </w:tcPr>
          <w:p w14:paraId="2D943964" w14:textId="75F0A7CC" w:rsidR="00416889" w:rsidRDefault="006B6F22" w:rsidP="000760AC">
            <w:pPr>
              <w:rPr>
                <w:b/>
              </w:rPr>
            </w:pPr>
            <w:r w:rsidRPr="00D20B9A">
              <w:rPr>
                <w:b/>
              </w:rPr>
              <w:t xml:space="preserve">The Emotion Regulation Questionnaire </w:t>
            </w:r>
            <w:r w:rsidR="00416889">
              <w:rPr>
                <w:b/>
              </w:rPr>
              <w:t>–</w:t>
            </w:r>
            <w:r w:rsidRPr="00D20B9A">
              <w:rPr>
                <w:b/>
              </w:rPr>
              <w:t xml:space="preserve"> </w:t>
            </w:r>
          </w:p>
          <w:p w14:paraId="498C018B" w14:textId="77777777" w:rsidR="00416889" w:rsidRDefault="00416889" w:rsidP="000760AC">
            <w:pPr>
              <w:rPr>
                <w:b/>
              </w:rPr>
            </w:pPr>
          </w:p>
          <w:p w14:paraId="06911D9A" w14:textId="77777777" w:rsidR="00416889" w:rsidRDefault="006B6F22" w:rsidP="000760AC">
            <w:pPr>
              <w:rPr>
                <w:b/>
              </w:rPr>
            </w:pPr>
            <w:r w:rsidRPr="00D20B9A">
              <w:rPr>
                <w:b/>
              </w:rPr>
              <w:t xml:space="preserve">Reappraisal </w:t>
            </w:r>
            <w:r w:rsidR="00416889">
              <w:rPr>
                <w:b/>
              </w:rPr>
              <w:t>Subscale</w:t>
            </w:r>
          </w:p>
          <w:p w14:paraId="7A4A9CD5" w14:textId="77777777" w:rsidR="00416889" w:rsidRDefault="00416889" w:rsidP="000760AC">
            <w:pPr>
              <w:rPr>
                <w:b/>
              </w:rPr>
            </w:pPr>
          </w:p>
          <w:p w14:paraId="59B56B3B" w14:textId="77777777" w:rsidR="00416889" w:rsidRDefault="00416889" w:rsidP="000760AC">
            <w:pPr>
              <w:rPr>
                <w:b/>
              </w:rPr>
            </w:pPr>
          </w:p>
          <w:p w14:paraId="376E826E" w14:textId="77777777" w:rsidR="00416889" w:rsidRDefault="00416889" w:rsidP="000760AC">
            <w:pPr>
              <w:rPr>
                <w:b/>
              </w:rPr>
            </w:pPr>
          </w:p>
          <w:p w14:paraId="23F0593D" w14:textId="77777777" w:rsidR="007422D7" w:rsidRDefault="007422D7" w:rsidP="000760AC">
            <w:pPr>
              <w:rPr>
                <w:b/>
              </w:rPr>
            </w:pPr>
          </w:p>
          <w:p w14:paraId="5F49E2FE" w14:textId="77777777" w:rsidR="007422D7" w:rsidRDefault="007422D7" w:rsidP="000760AC">
            <w:pPr>
              <w:rPr>
                <w:b/>
              </w:rPr>
            </w:pPr>
          </w:p>
          <w:p w14:paraId="58369A53" w14:textId="17742F5E" w:rsidR="006B6F22" w:rsidRPr="00D20B9A" w:rsidRDefault="00416889" w:rsidP="000760AC">
            <w:pPr>
              <w:rPr>
                <w:b/>
              </w:rPr>
            </w:pPr>
            <w:r>
              <w:rPr>
                <w:b/>
              </w:rPr>
              <w:lastRenderedPageBreak/>
              <w:t>S</w:t>
            </w:r>
            <w:r w:rsidR="006B6F22" w:rsidRPr="00D20B9A">
              <w:rPr>
                <w:b/>
              </w:rPr>
              <w:t xml:space="preserve">uppression </w:t>
            </w:r>
            <w:r>
              <w:rPr>
                <w:b/>
              </w:rPr>
              <w:t>S</w:t>
            </w:r>
            <w:r w:rsidR="006B6F22" w:rsidRPr="00D20B9A">
              <w:rPr>
                <w:b/>
              </w:rPr>
              <w:t xml:space="preserve">ubscale </w:t>
            </w:r>
          </w:p>
          <w:p w14:paraId="41CB42A9" w14:textId="77777777" w:rsidR="006B6F22" w:rsidRPr="00D20B9A" w:rsidRDefault="006B6F22" w:rsidP="000760AC">
            <w:pPr>
              <w:rPr>
                <w:b/>
              </w:rPr>
            </w:pPr>
          </w:p>
        </w:tc>
        <w:tc>
          <w:tcPr>
            <w:tcW w:w="1890" w:type="dxa"/>
          </w:tcPr>
          <w:p w14:paraId="18F3EFF5" w14:textId="77777777" w:rsidR="00416889" w:rsidRDefault="00416889" w:rsidP="000760AC">
            <w:pPr>
              <w:jc w:val="center"/>
            </w:pPr>
          </w:p>
          <w:p w14:paraId="151CA94A" w14:textId="77777777" w:rsidR="00416889" w:rsidRDefault="00416889" w:rsidP="000760AC">
            <w:pPr>
              <w:jc w:val="center"/>
            </w:pPr>
          </w:p>
          <w:p w14:paraId="35C264FB" w14:textId="77777777" w:rsidR="00416889" w:rsidRDefault="00416889" w:rsidP="000760AC">
            <w:pPr>
              <w:jc w:val="center"/>
            </w:pPr>
          </w:p>
          <w:p w14:paraId="2DC92570" w14:textId="1DE0023B" w:rsidR="006B6F22" w:rsidRDefault="006B6F22" w:rsidP="000760AC">
            <w:pPr>
              <w:jc w:val="center"/>
            </w:pPr>
            <w:r w:rsidRPr="002331C3">
              <w:t xml:space="preserve">28.112 </w:t>
            </w:r>
            <w:r>
              <w:t>(</w:t>
            </w:r>
            <w:r w:rsidRPr="002331C3">
              <w:t>0.652</w:t>
            </w:r>
            <w:r>
              <w:t>)</w:t>
            </w:r>
          </w:p>
          <w:p w14:paraId="18ADFD93" w14:textId="77777777" w:rsidR="006B6F22" w:rsidRDefault="006B6F22" w:rsidP="000760AC">
            <w:pPr>
              <w:jc w:val="center"/>
            </w:pPr>
          </w:p>
          <w:p w14:paraId="65E5B99B" w14:textId="2AA27FD1" w:rsidR="006B6F22" w:rsidRDefault="006B6F22" w:rsidP="000760AC">
            <w:pPr>
              <w:jc w:val="center"/>
            </w:pPr>
          </w:p>
          <w:p w14:paraId="6642BC5C" w14:textId="77777777" w:rsidR="007422D7" w:rsidRDefault="007422D7" w:rsidP="000760AC">
            <w:pPr>
              <w:jc w:val="center"/>
            </w:pPr>
          </w:p>
          <w:p w14:paraId="2ED47662" w14:textId="77777777" w:rsidR="007422D7" w:rsidRDefault="007422D7" w:rsidP="000760AC">
            <w:pPr>
              <w:jc w:val="center"/>
            </w:pPr>
          </w:p>
          <w:p w14:paraId="56572757" w14:textId="77777777" w:rsidR="007422D7" w:rsidRDefault="007422D7" w:rsidP="000760AC">
            <w:pPr>
              <w:jc w:val="center"/>
            </w:pPr>
          </w:p>
          <w:p w14:paraId="390E5AE8" w14:textId="506BE5AE" w:rsidR="006B6F22" w:rsidRPr="009F1107" w:rsidRDefault="006B6F22" w:rsidP="000760AC">
            <w:pPr>
              <w:jc w:val="center"/>
            </w:pPr>
            <w:r w:rsidRPr="008E1E10">
              <w:lastRenderedPageBreak/>
              <w:t xml:space="preserve">12.891 </w:t>
            </w:r>
            <w:r>
              <w:t>(</w:t>
            </w:r>
            <w:r w:rsidRPr="008E1E10">
              <w:t>0.473</w:t>
            </w:r>
            <w:r>
              <w:t>)</w:t>
            </w:r>
          </w:p>
        </w:tc>
        <w:tc>
          <w:tcPr>
            <w:tcW w:w="1260" w:type="dxa"/>
          </w:tcPr>
          <w:p w14:paraId="5AC31D71" w14:textId="77777777" w:rsidR="00416889" w:rsidRDefault="00416889" w:rsidP="000760AC">
            <w:pPr>
              <w:jc w:val="center"/>
            </w:pPr>
          </w:p>
          <w:p w14:paraId="39CE9D87" w14:textId="77777777" w:rsidR="00416889" w:rsidRDefault="00416889" w:rsidP="000760AC">
            <w:pPr>
              <w:jc w:val="center"/>
            </w:pPr>
          </w:p>
          <w:p w14:paraId="1067C58B" w14:textId="77777777" w:rsidR="00416889" w:rsidRDefault="00416889" w:rsidP="000760AC">
            <w:pPr>
              <w:jc w:val="center"/>
            </w:pPr>
          </w:p>
          <w:p w14:paraId="76C249D3" w14:textId="4D2E9DC7" w:rsidR="006B6F22" w:rsidRDefault="006B6F22" w:rsidP="000760AC">
            <w:pPr>
              <w:jc w:val="center"/>
            </w:pPr>
            <w:r w:rsidRPr="002331C3">
              <w:t xml:space="preserve">26.062 </w:t>
            </w:r>
            <w:r>
              <w:t>(</w:t>
            </w:r>
            <w:r w:rsidRPr="002331C3">
              <w:t>1.471</w:t>
            </w:r>
            <w:r>
              <w:t>)</w:t>
            </w:r>
          </w:p>
          <w:p w14:paraId="169711CD" w14:textId="77777777" w:rsidR="006B6F22" w:rsidRDefault="006B6F22" w:rsidP="000760AC">
            <w:pPr>
              <w:jc w:val="center"/>
            </w:pPr>
          </w:p>
          <w:p w14:paraId="3C92998C" w14:textId="05A0834D" w:rsidR="006B6F22" w:rsidRDefault="006B6F22" w:rsidP="000760AC">
            <w:pPr>
              <w:jc w:val="center"/>
            </w:pPr>
          </w:p>
          <w:p w14:paraId="561335B8" w14:textId="77777777" w:rsidR="007422D7" w:rsidRDefault="007422D7" w:rsidP="000760AC">
            <w:pPr>
              <w:jc w:val="center"/>
            </w:pPr>
          </w:p>
          <w:p w14:paraId="5F1972EA" w14:textId="1BCE5803" w:rsidR="006B6F22" w:rsidRPr="009F1107" w:rsidRDefault="006B6F22" w:rsidP="000760AC">
            <w:pPr>
              <w:jc w:val="center"/>
            </w:pPr>
            <w:r w:rsidRPr="008E1E10">
              <w:lastRenderedPageBreak/>
              <w:t xml:space="preserve">14.846 </w:t>
            </w:r>
            <w:r>
              <w:t>(</w:t>
            </w:r>
            <w:r w:rsidRPr="008E1E10">
              <w:t>1.05</w:t>
            </w:r>
            <w:r>
              <w:t>))</w:t>
            </w:r>
          </w:p>
        </w:tc>
        <w:tc>
          <w:tcPr>
            <w:tcW w:w="1260" w:type="dxa"/>
          </w:tcPr>
          <w:p w14:paraId="390294FC" w14:textId="77777777" w:rsidR="00416889" w:rsidRDefault="00416889" w:rsidP="000760AC">
            <w:pPr>
              <w:jc w:val="center"/>
            </w:pPr>
          </w:p>
          <w:p w14:paraId="40FD32AD" w14:textId="77777777" w:rsidR="00416889" w:rsidRDefault="00416889" w:rsidP="000760AC">
            <w:pPr>
              <w:jc w:val="center"/>
            </w:pPr>
          </w:p>
          <w:p w14:paraId="62659DC4" w14:textId="77777777" w:rsidR="00416889" w:rsidRDefault="00416889" w:rsidP="000760AC">
            <w:pPr>
              <w:jc w:val="center"/>
            </w:pPr>
          </w:p>
          <w:p w14:paraId="6E5A59CA" w14:textId="21375286" w:rsidR="006B6F22" w:rsidRDefault="006B6F22" w:rsidP="000760AC">
            <w:pPr>
              <w:jc w:val="center"/>
            </w:pPr>
            <w:r w:rsidRPr="002331C3">
              <w:t xml:space="preserve">28.068 </w:t>
            </w:r>
            <w:r>
              <w:t>(</w:t>
            </w:r>
            <w:r w:rsidRPr="002331C3">
              <w:t>0.776</w:t>
            </w:r>
            <w:r>
              <w:t>)</w:t>
            </w:r>
          </w:p>
          <w:p w14:paraId="1B3391F9" w14:textId="77777777" w:rsidR="006B6F22" w:rsidRDefault="006B6F22" w:rsidP="000760AC">
            <w:pPr>
              <w:jc w:val="center"/>
            </w:pPr>
          </w:p>
          <w:p w14:paraId="2473AD0A" w14:textId="232E0946" w:rsidR="006B6F22" w:rsidRDefault="006B6F22" w:rsidP="000760AC">
            <w:pPr>
              <w:jc w:val="center"/>
            </w:pPr>
          </w:p>
          <w:p w14:paraId="494E7FF6" w14:textId="77777777" w:rsidR="007422D7" w:rsidRDefault="007422D7" w:rsidP="000760AC">
            <w:pPr>
              <w:jc w:val="center"/>
            </w:pPr>
          </w:p>
          <w:p w14:paraId="04C2193A" w14:textId="332FBC10" w:rsidR="006B6F22" w:rsidRPr="009F1107" w:rsidRDefault="006B6F22" w:rsidP="000760AC">
            <w:pPr>
              <w:jc w:val="center"/>
            </w:pPr>
            <w:r w:rsidRPr="008E1E10">
              <w:lastRenderedPageBreak/>
              <w:t xml:space="preserve">13.197 </w:t>
            </w:r>
            <w:r>
              <w:t>(</w:t>
            </w:r>
            <w:r w:rsidRPr="008E1E10">
              <w:t>0.574</w:t>
            </w:r>
            <w:r>
              <w:t>)</w:t>
            </w:r>
          </w:p>
        </w:tc>
        <w:tc>
          <w:tcPr>
            <w:tcW w:w="1350" w:type="dxa"/>
          </w:tcPr>
          <w:p w14:paraId="240F37C4" w14:textId="77777777" w:rsidR="00416889" w:rsidRDefault="00416889" w:rsidP="000760AC">
            <w:pPr>
              <w:jc w:val="center"/>
            </w:pPr>
          </w:p>
          <w:p w14:paraId="354A5E12" w14:textId="77777777" w:rsidR="00416889" w:rsidRDefault="00416889" w:rsidP="000760AC">
            <w:pPr>
              <w:jc w:val="center"/>
            </w:pPr>
          </w:p>
          <w:p w14:paraId="73633750" w14:textId="77777777" w:rsidR="00416889" w:rsidRDefault="00416889" w:rsidP="000760AC">
            <w:pPr>
              <w:jc w:val="center"/>
            </w:pPr>
          </w:p>
          <w:p w14:paraId="254E6937" w14:textId="74015D3F" w:rsidR="006B6F22" w:rsidRDefault="006B6F22" w:rsidP="000760AC">
            <w:pPr>
              <w:jc w:val="center"/>
            </w:pPr>
            <w:r w:rsidRPr="002331C3">
              <w:t xml:space="preserve">25.337 </w:t>
            </w:r>
            <w:r>
              <w:t>(</w:t>
            </w:r>
            <w:r w:rsidRPr="002331C3">
              <w:t>1.118</w:t>
            </w:r>
            <w:r>
              <w:t>)</w:t>
            </w:r>
          </w:p>
          <w:p w14:paraId="4C271DB9" w14:textId="77777777" w:rsidR="006B6F22" w:rsidRDefault="006B6F22" w:rsidP="000760AC">
            <w:pPr>
              <w:jc w:val="center"/>
            </w:pPr>
          </w:p>
          <w:p w14:paraId="13AC2BA2" w14:textId="35B1B680" w:rsidR="006B6F22" w:rsidRDefault="006B6F22" w:rsidP="000760AC">
            <w:pPr>
              <w:jc w:val="center"/>
            </w:pPr>
          </w:p>
          <w:p w14:paraId="0C5CD84D" w14:textId="77777777" w:rsidR="007422D7" w:rsidRDefault="007422D7" w:rsidP="000760AC">
            <w:pPr>
              <w:jc w:val="center"/>
            </w:pPr>
          </w:p>
          <w:p w14:paraId="4F12AF21" w14:textId="13F72BED" w:rsidR="006B6F22" w:rsidRPr="009F1107" w:rsidRDefault="006B6F22" w:rsidP="000760AC">
            <w:pPr>
              <w:jc w:val="center"/>
            </w:pPr>
            <w:r w:rsidRPr="008E1E10">
              <w:lastRenderedPageBreak/>
              <w:t xml:space="preserve">14.283 </w:t>
            </w:r>
            <w:r>
              <w:t>(</w:t>
            </w:r>
            <w:r w:rsidRPr="008E1E10">
              <w:t>0.746</w:t>
            </w:r>
            <w:r>
              <w:t>)</w:t>
            </w:r>
          </w:p>
        </w:tc>
        <w:tc>
          <w:tcPr>
            <w:tcW w:w="2070" w:type="dxa"/>
          </w:tcPr>
          <w:p w14:paraId="24AF0B17" w14:textId="77777777" w:rsidR="00416889" w:rsidRDefault="00416889" w:rsidP="000760AC">
            <w:pPr>
              <w:jc w:val="center"/>
            </w:pPr>
          </w:p>
          <w:p w14:paraId="45B34AE7" w14:textId="77777777" w:rsidR="00416889" w:rsidRDefault="00416889" w:rsidP="000760AC">
            <w:pPr>
              <w:jc w:val="center"/>
            </w:pPr>
          </w:p>
          <w:p w14:paraId="7D9B0215" w14:textId="77777777" w:rsidR="00416889" w:rsidRDefault="00416889" w:rsidP="000760AC">
            <w:pPr>
              <w:jc w:val="center"/>
            </w:pPr>
          </w:p>
          <w:p w14:paraId="1AD5778E" w14:textId="4EC1D87D" w:rsidR="006B6F22" w:rsidRDefault="006B6F22" w:rsidP="000760AC">
            <w:pPr>
              <w:jc w:val="center"/>
            </w:pPr>
            <w:r w:rsidRPr="00957B46">
              <w:t>Chi</w:t>
            </w:r>
            <w:r>
              <w:t>-</w:t>
            </w:r>
            <w:r w:rsidRPr="00957B46">
              <w:t>sq</w:t>
            </w:r>
            <w:r>
              <w:t>uare =</w:t>
            </w:r>
            <w:r w:rsidRPr="00957B46">
              <w:t xml:space="preserve"> </w:t>
            </w:r>
            <w:r>
              <w:t>6.117;</w:t>
            </w:r>
            <w:r w:rsidRPr="00957B46">
              <w:t xml:space="preserve"> </w:t>
            </w:r>
          </w:p>
          <w:p w14:paraId="794F053E" w14:textId="2BE6236D" w:rsidR="006B6F22" w:rsidRDefault="006B6F22" w:rsidP="000760AC">
            <w:pPr>
              <w:jc w:val="center"/>
            </w:pPr>
            <w:r w:rsidRPr="00957B46">
              <w:t>df</w:t>
            </w:r>
            <w:r>
              <w:t>=</w:t>
            </w:r>
            <w:r w:rsidRPr="00957B46">
              <w:t xml:space="preserve"> 3</w:t>
            </w:r>
            <w:r>
              <w:t>;</w:t>
            </w:r>
            <w:r w:rsidRPr="00957B46">
              <w:t xml:space="preserve"> p</w:t>
            </w:r>
            <w:r>
              <w:t>=.106</w:t>
            </w:r>
          </w:p>
          <w:p w14:paraId="326266AB" w14:textId="656560A9" w:rsidR="00B50E7D" w:rsidRDefault="00B50E7D" w:rsidP="000760AC">
            <w:pPr>
              <w:jc w:val="center"/>
            </w:pPr>
            <w:r>
              <w:t>(corrected p value =</w:t>
            </w:r>
            <w:r w:rsidR="004E477E">
              <w:t>1</w:t>
            </w:r>
            <w:r>
              <w:t>)</w:t>
            </w:r>
          </w:p>
          <w:p w14:paraId="73A33033" w14:textId="77777777" w:rsidR="00416889" w:rsidRDefault="00416889" w:rsidP="000760AC">
            <w:pPr>
              <w:jc w:val="center"/>
            </w:pPr>
          </w:p>
          <w:p w14:paraId="678918A7" w14:textId="1F2BF002" w:rsidR="006B6F22" w:rsidRDefault="006B6F22" w:rsidP="000760AC">
            <w:pPr>
              <w:jc w:val="center"/>
            </w:pPr>
            <w:r w:rsidRPr="00957B46">
              <w:lastRenderedPageBreak/>
              <w:t>Chi</w:t>
            </w:r>
            <w:r>
              <w:t>-</w:t>
            </w:r>
            <w:r w:rsidRPr="00957B46">
              <w:t>sq</w:t>
            </w:r>
            <w:r>
              <w:t>uare =</w:t>
            </w:r>
            <w:r w:rsidRPr="00957B46">
              <w:t xml:space="preserve"> </w:t>
            </w:r>
            <w:r>
              <w:t>4.577;</w:t>
            </w:r>
            <w:r w:rsidRPr="00957B46">
              <w:t xml:space="preserve"> </w:t>
            </w:r>
          </w:p>
          <w:p w14:paraId="65AEE789" w14:textId="6B87F8D5" w:rsidR="006B6F22" w:rsidRDefault="006B6F22" w:rsidP="000760AC">
            <w:pPr>
              <w:jc w:val="center"/>
            </w:pPr>
            <w:r w:rsidRPr="00957B46">
              <w:t>df</w:t>
            </w:r>
            <w:r>
              <w:t>=</w:t>
            </w:r>
            <w:r w:rsidRPr="00957B46">
              <w:t xml:space="preserve"> 3</w:t>
            </w:r>
            <w:r>
              <w:t>;</w:t>
            </w:r>
            <w:r w:rsidRPr="00957B46">
              <w:t xml:space="preserve"> p</w:t>
            </w:r>
            <w:r>
              <w:t>=.206</w:t>
            </w:r>
          </w:p>
          <w:p w14:paraId="02786E24" w14:textId="4B3DD277" w:rsidR="00B50E7D" w:rsidRPr="009F1107" w:rsidRDefault="00B50E7D" w:rsidP="000760AC">
            <w:pPr>
              <w:jc w:val="center"/>
            </w:pPr>
            <w:r>
              <w:t>(corrected p value =1)</w:t>
            </w:r>
          </w:p>
        </w:tc>
        <w:tc>
          <w:tcPr>
            <w:tcW w:w="2340" w:type="dxa"/>
          </w:tcPr>
          <w:p w14:paraId="612611B3" w14:textId="77777777" w:rsidR="006B6F22" w:rsidRPr="009F1107" w:rsidRDefault="006B6F22" w:rsidP="000760AC"/>
        </w:tc>
      </w:tr>
      <w:tr w:rsidR="006B6F22" w:rsidRPr="009F1107" w14:paraId="4377A840" w14:textId="77777777" w:rsidTr="007422D7">
        <w:tc>
          <w:tcPr>
            <w:tcW w:w="3577" w:type="dxa"/>
          </w:tcPr>
          <w:p w14:paraId="6EF446C6" w14:textId="77777777" w:rsidR="006B6F22" w:rsidRPr="00D20B9A" w:rsidRDefault="006B6F22" w:rsidP="000760AC">
            <w:pPr>
              <w:rPr>
                <w:b/>
              </w:rPr>
            </w:pPr>
            <w:r w:rsidRPr="00D20B9A">
              <w:rPr>
                <w:b/>
              </w:rPr>
              <w:t xml:space="preserve">Distress Tolerance Scale total score </w:t>
            </w:r>
          </w:p>
          <w:p w14:paraId="2C4C1530" w14:textId="77777777" w:rsidR="006B6F22" w:rsidRPr="00D20B9A" w:rsidRDefault="006B6F22" w:rsidP="000760AC">
            <w:pPr>
              <w:rPr>
                <w:b/>
              </w:rPr>
            </w:pPr>
          </w:p>
        </w:tc>
        <w:tc>
          <w:tcPr>
            <w:tcW w:w="1890" w:type="dxa"/>
          </w:tcPr>
          <w:p w14:paraId="7DD5A4A1" w14:textId="77777777" w:rsidR="006B6F22" w:rsidRPr="009F1107" w:rsidRDefault="006B6F22" w:rsidP="000760AC">
            <w:pPr>
              <w:jc w:val="center"/>
            </w:pPr>
            <w:r w:rsidRPr="00EF6DD7">
              <w:t xml:space="preserve">56.685 </w:t>
            </w:r>
            <w:r>
              <w:t>(</w:t>
            </w:r>
            <w:r w:rsidRPr="00EF6DD7">
              <w:t>1.129</w:t>
            </w:r>
            <w:r>
              <w:t>)</w:t>
            </w:r>
          </w:p>
        </w:tc>
        <w:tc>
          <w:tcPr>
            <w:tcW w:w="1260" w:type="dxa"/>
          </w:tcPr>
          <w:p w14:paraId="0819BEA9" w14:textId="77777777" w:rsidR="006B6F22" w:rsidRPr="009F1107" w:rsidRDefault="006B6F22" w:rsidP="000760AC">
            <w:pPr>
              <w:jc w:val="center"/>
            </w:pPr>
            <w:r w:rsidRPr="00EF6DD7">
              <w:t xml:space="preserve">51.615 </w:t>
            </w:r>
            <w:r>
              <w:t>(</w:t>
            </w:r>
            <w:r w:rsidRPr="00EF6DD7">
              <w:t>2.816</w:t>
            </w:r>
            <w:r>
              <w:t>)</w:t>
            </w:r>
          </w:p>
        </w:tc>
        <w:tc>
          <w:tcPr>
            <w:tcW w:w="1260" w:type="dxa"/>
          </w:tcPr>
          <w:p w14:paraId="5EB40AC5" w14:textId="77777777" w:rsidR="006B6F22" w:rsidRPr="009F1107" w:rsidRDefault="006B6F22" w:rsidP="000760AC">
            <w:pPr>
              <w:jc w:val="center"/>
            </w:pPr>
            <w:r w:rsidRPr="00EF6DD7">
              <w:t xml:space="preserve">52.919 </w:t>
            </w:r>
            <w:r>
              <w:t>(</w:t>
            </w:r>
            <w:r w:rsidRPr="00EF6DD7">
              <w:t>1.46</w:t>
            </w:r>
            <w:r>
              <w:t>)</w:t>
            </w:r>
          </w:p>
        </w:tc>
        <w:tc>
          <w:tcPr>
            <w:tcW w:w="1350" w:type="dxa"/>
          </w:tcPr>
          <w:p w14:paraId="3C0E1C4E" w14:textId="77777777" w:rsidR="006B6F22" w:rsidRPr="009F1107" w:rsidRDefault="006B6F22" w:rsidP="000760AC">
            <w:pPr>
              <w:jc w:val="center"/>
            </w:pPr>
            <w:r w:rsidRPr="00EF6DD7">
              <w:t xml:space="preserve">43.629 </w:t>
            </w:r>
            <w:r>
              <w:t>(</w:t>
            </w:r>
            <w:r w:rsidRPr="00EF6DD7">
              <w:t>1.852</w:t>
            </w:r>
            <w:r>
              <w:t>)</w:t>
            </w:r>
          </w:p>
        </w:tc>
        <w:tc>
          <w:tcPr>
            <w:tcW w:w="2070" w:type="dxa"/>
          </w:tcPr>
          <w:p w14:paraId="0460B607" w14:textId="77777777" w:rsidR="006B6F22" w:rsidRDefault="006B6F22" w:rsidP="000760AC">
            <w:pPr>
              <w:jc w:val="center"/>
            </w:pPr>
            <w:r w:rsidRPr="00957B46">
              <w:t>Chi</w:t>
            </w:r>
            <w:r>
              <w:t>-</w:t>
            </w:r>
            <w:r w:rsidRPr="00957B46">
              <w:t>sq</w:t>
            </w:r>
            <w:r>
              <w:t>uare =</w:t>
            </w:r>
            <w:r w:rsidRPr="00957B46">
              <w:t xml:space="preserve"> </w:t>
            </w:r>
            <w:r>
              <w:t>36.509;</w:t>
            </w:r>
            <w:r w:rsidRPr="00957B46">
              <w:t xml:space="preserve"> </w:t>
            </w:r>
          </w:p>
          <w:p w14:paraId="739B420D" w14:textId="7559E7A4" w:rsidR="006B6F22" w:rsidRDefault="006B6F22" w:rsidP="000760AC">
            <w:pPr>
              <w:jc w:val="center"/>
            </w:pPr>
            <w:r w:rsidRPr="00957B46">
              <w:t>df</w:t>
            </w:r>
            <w:r>
              <w:t>=</w:t>
            </w:r>
            <w:r w:rsidRPr="00957B46">
              <w:t xml:space="preserve"> 3</w:t>
            </w:r>
            <w:r>
              <w:t>;</w:t>
            </w:r>
            <w:r w:rsidRPr="00957B46">
              <w:t xml:space="preserve"> p</w:t>
            </w:r>
            <w:r>
              <w:t>&lt;.00</w:t>
            </w:r>
            <w:r w:rsidR="00A77D5A">
              <w:t>1</w:t>
            </w:r>
          </w:p>
          <w:p w14:paraId="1C48FB6D" w14:textId="1FB42CF3" w:rsidR="00B50E7D" w:rsidRPr="009F1107" w:rsidRDefault="00B50E7D" w:rsidP="00B50E7D">
            <w:pPr>
              <w:jc w:val="center"/>
            </w:pPr>
            <w:r>
              <w:t>(corrected p value &lt;.001)</w:t>
            </w:r>
          </w:p>
        </w:tc>
        <w:tc>
          <w:tcPr>
            <w:tcW w:w="2340" w:type="dxa"/>
          </w:tcPr>
          <w:p w14:paraId="36E25213" w14:textId="0EDA8B80" w:rsidR="006B6F22" w:rsidRDefault="006B6F22" w:rsidP="000760AC">
            <w:r>
              <w:t>Subtype 3 compared to controls (p&lt;.00</w:t>
            </w:r>
            <w:r w:rsidR="00A77D5A">
              <w:t>1</w:t>
            </w:r>
            <w:r>
              <w:t>)</w:t>
            </w:r>
          </w:p>
          <w:p w14:paraId="237375B3" w14:textId="71265895" w:rsidR="006B6F22" w:rsidRDefault="006B6F22" w:rsidP="000760AC">
            <w:r>
              <w:t>compared to Subtype 1 (p=.018) and compared to Subtype 2 (p&lt;.00</w:t>
            </w:r>
            <w:r w:rsidR="00A77D5A">
              <w:t>1</w:t>
            </w:r>
            <w:r>
              <w:t>)</w:t>
            </w:r>
          </w:p>
          <w:p w14:paraId="1F7722DB" w14:textId="77777777" w:rsidR="006B6F22" w:rsidRDefault="006B6F22" w:rsidP="000760AC"/>
          <w:p w14:paraId="3880E255" w14:textId="77777777" w:rsidR="006B6F22" w:rsidRPr="009F1107" w:rsidRDefault="006B6F22" w:rsidP="000760AC">
            <w:r>
              <w:t>Subtype 2 compared to controls (p=.041)</w:t>
            </w:r>
          </w:p>
        </w:tc>
      </w:tr>
      <w:tr w:rsidR="006B6F22" w:rsidRPr="009F1107" w14:paraId="48A1134A" w14:textId="77777777" w:rsidTr="007422D7">
        <w:tc>
          <w:tcPr>
            <w:tcW w:w="3577" w:type="dxa"/>
          </w:tcPr>
          <w:p w14:paraId="607E8321" w14:textId="77777777" w:rsidR="006B6F22" w:rsidRPr="00D20B9A" w:rsidRDefault="006B6F22" w:rsidP="000760AC">
            <w:pPr>
              <w:rPr>
                <w:b/>
              </w:rPr>
            </w:pPr>
            <w:r w:rsidRPr="00D20B9A">
              <w:rPr>
                <w:b/>
              </w:rPr>
              <w:t xml:space="preserve">Adult sensory profile: Sensory Sensitivity subscale </w:t>
            </w:r>
          </w:p>
          <w:p w14:paraId="707967B2" w14:textId="77777777" w:rsidR="006B6F22" w:rsidRPr="00D20B9A" w:rsidRDefault="006B6F22" w:rsidP="000760AC">
            <w:pPr>
              <w:rPr>
                <w:b/>
              </w:rPr>
            </w:pPr>
          </w:p>
        </w:tc>
        <w:tc>
          <w:tcPr>
            <w:tcW w:w="1890" w:type="dxa"/>
          </w:tcPr>
          <w:p w14:paraId="7C8C0847" w14:textId="77777777" w:rsidR="006B6F22" w:rsidRPr="009F1107" w:rsidRDefault="006B6F22" w:rsidP="000760AC">
            <w:pPr>
              <w:jc w:val="center"/>
            </w:pPr>
            <w:r w:rsidRPr="008F3DDD">
              <w:t xml:space="preserve">30.749 </w:t>
            </w:r>
            <w:r>
              <w:t>(</w:t>
            </w:r>
            <w:r w:rsidRPr="008F3DDD">
              <w:t>0.701</w:t>
            </w:r>
            <w:r>
              <w:t>)</w:t>
            </w:r>
          </w:p>
        </w:tc>
        <w:tc>
          <w:tcPr>
            <w:tcW w:w="1260" w:type="dxa"/>
          </w:tcPr>
          <w:p w14:paraId="23268C4C" w14:textId="77777777" w:rsidR="006B6F22" w:rsidRPr="009F1107" w:rsidRDefault="006B6F22" w:rsidP="000760AC">
            <w:pPr>
              <w:jc w:val="center"/>
            </w:pPr>
            <w:r w:rsidRPr="008F3DDD">
              <w:t xml:space="preserve">37.684 </w:t>
            </w:r>
            <w:r>
              <w:t>(</w:t>
            </w:r>
            <w:r w:rsidRPr="008F3DDD">
              <w:t>1.808</w:t>
            </w:r>
            <w:r>
              <w:t>)</w:t>
            </w:r>
          </w:p>
        </w:tc>
        <w:tc>
          <w:tcPr>
            <w:tcW w:w="1260" w:type="dxa"/>
          </w:tcPr>
          <w:p w14:paraId="18E106DE" w14:textId="77777777" w:rsidR="006B6F22" w:rsidRPr="009F1107" w:rsidRDefault="006B6F22" w:rsidP="000760AC">
            <w:pPr>
              <w:jc w:val="center"/>
            </w:pPr>
            <w:r w:rsidRPr="008F3DDD">
              <w:t xml:space="preserve">34.189 </w:t>
            </w:r>
            <w:r>
              <w:t>(</w:t>
            </w:r>
            <w:r w:rsidRPr="008F3DDD">
              <w:t>0.966</w:t>
            </w:r>
            <w:r>
              <w:t>)</w:t>
            </w:r>
          </w:p>
        </w:tc>
        <w:tc>
          <w:tcPr>
            <w:tcW w:w="1350" w:type="dxa"/>
          </w:tcPr>
          <w:p w14:paraId="0BD14287" w14:textId="77777777" w:rsidR="006B6F22" w:rsidRPr="009F1107" w:rsidRDefault="006B6F22" w:rsidP="000760AC">
            <w:pPr>
              <w:jc w:val="center"/>
            </w:pPr>
            <w:r w:rsidRPr="008F3DDD">
              <w:t xml:space="preserve">36.063 </w:t>
            </w:r>
            <w:r>
              <w:t>(</w:t>
            </w:r>
            <w:r w:rsidRPr="008F3DDD">
              <w:t>1.278</w:t>
            </w:r>
            <w:r>
              <w:t>)</w:t>
            </w:r>
          </w:p>
        </w:tc>
        <w:tc>
          <w:tcPr>
            <w:tcW w:w="2070" w:type="dxa"/>
          </w:tcPr>
          <w:p w14:paraId="75F1DA48" w14:textId="77777777" w:rsidR="006B6F22" w:rsidRDefault="006B6F22" w:rsidP="000760AC">
            <w:pPr>
              <w:jc w:val="center"/>
            </w:pPr>
            <w:r w:rsidRPr="00957B46">
              <w:t>Chi</w:t>
            </w:r>
            <w:r>
              <w:t>-</w:t>
            </w:r>
            <w:r w:rsidRPr="00957B46">
              <w:t>sq</w:t>
            </w:r>
            <w:r>
              <w:t>uare =</w:t>
            </w:r>
            <w:r w:rsidRPr="00957B46">
              <w:t xml:space="preserve"> </w:t>
            </w:r>
            <w:r>
              <w:t>24.303;</w:t>
            </w:r>
            <w:r w:rsidRPr="00957B46">
              <w:t xml:space="preserve"> </w:t>
            </w:r>
          </w:p>
          <w:p w14:paraId="560A38FD" w14:textId="4768CCB5" w:rsidR="006B6F22" w:rsidRDefault="006B6F22" w:rsidP="00DF022C">
            <w:pPr>
              <w:jc w:val="center"/>
            </w:pPr>
            <w:r w:rsidRPr="00957B46">
              <w:t>df</w:t>
            </w:r>
            <w:r>
              <w:t>=</w:t>
            </w:r>
            <w:r w:rsidRPr="00957B46">
              <w:t xml:space="preserve"> 3</w:t>
            </w:r>
            <w:r>
              <w:t>;</w:t>
            </w:r>
            <w:r w:rsidRPr="00957B46">
              <w:t xml:space="preserve"> p</w:t>
            </w:r>
            <w:r>
              <w:t>&lt;.00</w:t>
            </w:r>
            <w:r w:rsidR="00A77D5A">
              <w:t>1</w:t>
            </w:r>
          </w:p>
          <w:p w14:paraId="4566B713" w14:textId="681846DB" w:rsidR="00B50E7D" w:rsidRPr="009F1107" w:rsidRDefault="00B50E7D" w:rsidP="00B50E7D">
            <w:pPr>
              <w:jc w:val="center"/>
            </w:pPr>
            <w:r>
              <w:t>(corrected p value &lt;.001)</w:t>
            </w:r>
          </w:p>
        </w:tc>
        <w:tc>
          <w:tcPr>
            <w:tcW w:w="2340" w:type="dxa"/>
          </w:tcPr>
          <w:p w14:paraId="108A27AD" w14:textId="0046EF90" w:rsidR="006B6F22" w:rsidRDefault="006B6F22" w:rsidP="000760AC">
            <w:r>
              <w:t>Subtype 1 compared to controls (p&lt;.00</w:t>
            </w:r>
            <w:r w:rsidR="00A77D5A">
              <w:t>1</w:t>
            </w:r>
            <w:r>
              <w:t>)</w:t>
            </w:r>
          </w:p>
          <w:p w14:paraId="1F20CE2C" w14:textId="77777777" w:rsidR="006B6F22" w:rsidRDefault="006B6F22" w:rsidP="000760AC"/>
          <w:p w14:paraId="48923BE9" w14:textId="77777777" w:rsidR="006B6F22" w:rsidRDefault="006B6F22" w:rsidP="000760AC">
            <w:r>
              <w:t>Subtype 2 compared to controls (p=.004)</w:t>
            </w:r>
          </w:p>
          <w:p w14:paraId="2D112FE3" w14:textId="77777777" w:rsidR="006B6F22" w:rsidRDefault="006B6F22" w:rsidP="000760AC"/>
          <w:p w14:paraId="0766F3EE" w14:textId="3C611984" w:rsidR="006B6F22" w:rsidRDefault="006B6F22" w:rsidP="000760AC">
            <w:r>
              <w:t>Subtype 3 compared to controls (p&lt;.00</w:t>
            </w:r>
            <w:r w:rsidR="00A77D5A">
              <w:t>1</w:t>
            </w:r>
            <w:r>
              <w:t>)</w:t>
            </w:r>
          </w:p>
          <w:p w14:paraId="13A8AA7C" w14:textId="77777777" w:rsidR="006B6F22" w:rsidRPr="009F1107" w:rsidRDefault="006B6F22" w:rsidP="000760AC"/>
        </w:tc>
      </w:tr>
      <w:tr w:rsidR="006B6F22" w:rsidRPr="009F1107" w14:paraId="11F43A5F" w14:textId="77777777" w:rsidTr="007422D7">
        <w:tc>
          <w:tcPr>
            <w:tcW w:w="3577" w:type="dxa"/>
          </w:tcPr>
          <w:p w14:paraId="666DD938" w14:textId="77777777" w:rsidR="006B6F22" w:rsidRPr="009F1107" w:rsidRDefault="006B6F22" w:rsidP="000760AC">
            <w:pPr>
              <w:rPr>
                <w:b/>
              </w:rPr>
            </w:pPr>
            <w:r w:rsidRPr="009F1107">
              <w:rPr>
                <w:b/>
              </w:rPr>
              <w:t xml:space="preserve">Perfectionism </w:t>
            </w:r>
          </w:p>
          <w:p w14:paraId="1F33234B" w14:textId="77777777" w:rsidR="006B6F22" w:rsidRPr="00D20B9A" w:rsidRDefault="006B6F22" w:rsidP="000760AC">
            <w:pPr>
              <w:rPr>
                <w:b/>
              </w:rPr>
            </w:pPr>
            <w:r w:rsidRPr="009F1107">
              <w:rPr>
                <w:b/>
              </w:rPr>
              <w:t xml:space="preserve">(Frost Perfectionism in Adults total score) </w:t>
            </w:r>
          </w:p>
        </w:tc>
        <w:tc>
          <w:tcPr>
            <w:tcW w:w="1890" w:type="dxa"/>
          </w:tcPr>
          <w:p w14:paraId="07DDC7F2" w14:textId="77777777" w:rsidR="006B6F22" w:rsidRPr="009F1107" w:rsidRDefault="006B6F22" w:rsidP="000760AC">
            <w:pPr>
              <w:jc w:val="center"/>
            </w:pPr>
            <w:r w:rsidRPr="0077215F">
              <w:t xml:space="preserve">80.011 </w:t>
            </w:r>
            <w:r>
              <w:t>(</w:t>
            </w:r>
            <w:r w:rsidRPr="0077215F">
              <w:t>1.961</w:t>
            </w:r>
            <w:r>
              <w:t>)</w:t>
            </w:r>
          </w:p>
        </w:tc>
        <w:tc>
          <w:tcPr>
            <w:tcW w:w="1260" w:type="dxa"/>
          </w:tcPr>
          <w:p w14:paraId="624C3E44" w14:textId="77777777" w:rsidR="006B6F22" w:rsidRPr="009F1107" w:rsidRDefault="006B6F22" w:rsidP="000760AC">
            <w:pPr>
              <w:jc w:val="center"/>
            </w:pPr>
            <w:r w:rsidRPr="0077215F">
              <w:t xml:space="preserve">80.032 </w:t>
            </w:r>
            <w:r>
              <w:t>(</w:t>
            </w:r>
            <w:r w:rsidRPr="0077215F">
              <w:t>4.274</w:t>
            </w:r>
            <w:r>
              <w:t>)</w:t>
            </w:r>
          </w:p>
        </w:tc>
        <w:tc>
          <w:tcPr>
            <w:tcW w:w="1260" w:type="dxa"/>
          </w:tcPr>
          <w:p w14:paraId="21FDAF1D" w14:textId="77777777" w:rsidR="006B6F22" w:rsidRPr="009F1107" w:rsidRDefault="006B6F22" w:rsidP="000760AC">
            <w:pPr>
              <w:jc w:val="center"/>
            </w:pPr>
            <w:r w:rsidRPr="0077215F">
              <w:t xml:space="preserve">84.746 </w:t>
            </w:r>
            <w:r>
              <w:t>(</w:t>
            </w:r>
            <w:r w:rsidRPr="0077215F">
              <w:t>2.464</w:t>
            </w:r>
            <w:r>
              <w:t>)</w:t>
            </w:r>
          </w:p>
        </w:tc>
        <w:tc>
          <w:tcPr>
            <w:tcW w:w="1350" w:type="dxa"/>
          </w:tcPr>
          <w:p w14:paraId="1C33C168" w14:textId="77777777" w:rsidR="006B6F22" w:rsidRPr="009F1107" w:rsidRDefault="006B6F22" w:rsidP="000760AC">
            <w:pPr>
              <w:jc w:val="center"/>
            </w:pPr>
            <w:r w:rsidRPr="0077215F">
              <w:t xml:space="preserve">95.562 </w:t>
            </w:r>
            <w:r>
              <w:t>(</w:t>
            </w:r>
            <w:r w:rsidRPr="0077215F">
              <w:t>3.047</w:t>
            </w:r>
            <w:r>
              <w:t>)</w:t>
            </w:r>
          </w:p>
        </w:tc>
        <w:tc>
          <w:tcPr>
            <w:tcW w:w="2070" w:type="dxa"/>
          </w:tcPr>
          <w:p w14:paraId="088F6C68" w14:textId="77777777" w:rsidR="006B6F22" w:rsidRDefault="006B6F22" w:rsidP="000760AC">
            <w:pPr>
              <w:jc w:val="center"/>
            </w:pPr>
            <w:r w:rsidRPr="00957B46">
              <w:t>Chi</w:t>
            </w:r>
            <w:r>
              <w:t>-</w:t>
            </w:r>
            <w:r w:rsidRPr="00957B46">
              <w:t>sq</w:t>
            </w:r>
            <w:r>
              <w:t>uare =</w:t>
            </w:r>
            <w:r w:rsidRPr="00957B46">
              <w:t xml:space="preserve"> </w:t>
            </w:r>
            <w:r>
              <w:t>19.468;</w:t>
            </w:r>
            <w:r w:rsidRPr="00957B46">
              <w:t xml:space="preserve"> </w:t>
            </w:r>
          </w:p>
          <w:p w14:paraId="3698D8BD" w14:textId="00576424" w:rsidR="00B50E7D" w:rsidRDefault="006B6F22" w:rsidP="00DF022C">
            <w:pPr>
              <w:jc w:val="center"/>
            </w:pPr>
            <w:r w:rsidRPr="00957B46">
              <w:t>df</w:t>
            </w:r>
            <w:r>
              <w:t>=</w:t>
            </w:r>
            <w:r w:rsidRPr="00957B46">
              <w:t xml:space="preserve"> 3</w:t>
            </w:r>
            <w:r>
              <w:t>;</w:t>
            </w:r>
            <w:r w:rsidRPr="00957B46">
              <w:t xml:space="preserve"> p</w:t>
            </w:r>
            <w:r>
              <w:t>&lt;.00</w:t>
            </w:r>
            <w:r w:rsidR="00A77D5A">
              <w:t>1</w:t>
            </w:r>
          </w:p>
          <w:p w14:paraId="16344CAC" w14:textId="210A9DC1" w:rsidR="006B6F22" w:rsidRDefault="00B50E7D" w:rsidP="00DF022C">
            <w:pPr>
              <w:jc w:val="center"/>
            </w:pPr>
            <w:r>
              <w:t>(corrected p value =.003)</w:t>
            </w:r>
          </w:p>
          <w:p w14:paraId="54B67BBA" w14:textId="1B6F4199" w:rsidR="00B50E7D" w:rsidRPr="009F1107" w:rsidRDefault="00B50E7D" w:rsidP="00DF022C">
            <w:pPr>
              <w:jc w:val="center"/>
            </w:pPr>
          </w:p>
        </w:tc>
        <w:tc>
          <w:tcPr>
            <w:tcW w:w="2340" w:type="dxa"/>
          </w:tcPr>
          <w:p w14:paraId="77B57B84" w14:textId="0AE2BDB9" w:rsidR="006B6F22" w:rsidRDefault="006B6F22" w:rsidP="000760AC">
            <w:r>
              <w:t>Subtype 3 compared to controls (p&lt;.00</w:t>
            </w:r>
            <w:r w:rsidR="00A77D5A">
              <w:t>1</w:t>
            </w:r>
            <w:r>
              <w:t>)</w:t>
            </w:r>
          </w:p>
          <w:p w14:paraId="0850604E" w14:textId="77777777" w:rsidR="006B6F22" w:rsidRDefault="006B6F22" w:rsidP="000760AC">
            <w:r>
              <w:t>compared to Subtype 1 (p=.003) and compared to Subtype 2 (p=.006)</w:t>
            </w:r>
          </w:p>
          <w:p w14:paraId="0E8B52CD" w14:textId="77777777" w:rsidR="006B6F22" w:rsidRPr="009F1107" w:rsidRDefault="006B6F22" w:rsidP="000760AC"/>
        </w:tc>
      </w:tr>
      <w:tr w:rsidR="00423850" w:rsidRPr="009F1107" w14:paraId="70429D6C" w14:textId="77777777" w:rsidTr="004219C2">
        <w:tc>
          <w:tcPr>
            <w:tcW w:w="13747" w:type="dxa"/>
            <w:gridSpan w:val="7"/>
          </w:tcPr>
          <w:p w14:paraId="0EDDDBB6" w14:textId="331C3308" w:rsidR="00423850" w:rsidRDefault="00423850" w:rsidP="00423850">
            <w:pPr>
              <w:jc w:val="center"/>
            </w:pPr>
            <w:r>
              <w:rPr>
                <w:b/>
              </w:rPr>
              <w:lastRenderedPageBreak/>
              <w:t>Comorbidity</w:t>
            </w:r>
          </w:p>
        </w:tc>
      </w:tr>
      <w:tr w:rsidR="00423850" w:rsidRPr="009F1107" w14:paraId="2049137F" w14:textId="77777777" w:rsidTr="007422D7">
        <w:tc>
          <w:tcPr>
            <w:tcW w:w="3577" w:type="dxa"/>
          </w:tcPr>
          <w:p w14:paraId="32CE43B0" w14:textId="7174B781" w:rsidR="00423850" w:rsidRPr="009F1107" w:rsidRDefault="00423850" w:rsidP="00423850">
            <w:pPr>
              <w:rPr>
                <w:b/>
              </w:rPr>
            </w:pPr>
            <w:r w:rsidRPr="009F1107">
              <w:rPr>
                <w:b/>
              </w:rPr>
              <w:t>ADHD diagnosis, proportion meeting diagnostic criteria</w:t>
            </w:r>
          </w:p>
        </w:tc>
        <w:tc>
          <w:tcPr>
            <w:tcW w:w="1890" w:type="dxa"/>
          </w:tcPr>
          <w:p w14:paraId="2E078CCF" w14:textId="41C5266F" w:rsidR="00423850" w:rsidRPr="0077215F" w:rsidRDefault="00FA5DCC" w:rsidP="00423850">
            <w:pPr>
              <w:jc w:val="center"/>
            </w:pPr>
            <w:r>
              <w:t>0.017</w:t>
            </w:r>
          </w:p>
        </w:tc>
        <w:tc>
          <w:tcPr>
            <w:tcW w:w="1260" w:type="dxa"/>
          </w:tcPr>
          <w:p w14:paraId="72B19AD1" w14:textId="199E765E" w:rsidR="00423850" w:rsidRPr="0077215F" w:rsidRDefault="00FA5DCC" w:rsidP="00423850">
            <w:pPr>
              <w:jc w:val="center"/>
            </w:pPr>
            <w:r>
              <w:t>0</w:t>
            </w:r>
          </w:p>
        </w:tc>
        <w:tc>
          <w:tcPr>
            <w:tcW w:w="1260" w:type="dxa"/>
          </w:tcPr>
          <w:p w14:paraId="228D37EB" w14:textId="21269866" w:rsidR="00423850" w:rsidRPr="0077215F" w:rsidRDefault="00FA5DCC" w:rsidP="00423850">
            <w:pPr>
              <w:jc w:val="center"/>
            </w:pPr>
            <w:r>
              <w:t>0</w:t>
            </w:r>
          </w:p>
        </w:tc>
        <w:tc>
          <w:tcPr>
            <w:tcW w:w="1350" w:type="dxa"/>
          </w:tcPr>
          <w:p w14:paraId="1EA6ECBE" w14:textId="522758B0" w:rsidR="00423850" w:rsidRPr="0077215F" w:rsidRDefault="00FA5DCC" w:rsidP="00423850">
            <w:pPr>
              <w:jc w:val="center"/>
            </w:pPr>
            <w:r>
              <w:t>0.061</w:t>
            </w:r>
          </w:p>
        </w:tc>
        <w:tc>
          <w:tcPr>
            <w:tcW w:w="2070" w:type="dxa"/>
          </w:tcPr>
          <w:p w14:paraId="2C6983BB" w14:textId="4A9AF676" w:rsidR="00FA5DCC" w:rsidRDefault="00FA5DCC" w:rsidP="00FA5DCC">
            <w:pPr>
              <w:jc w:val="center"/>
            </w:pPr>
            <w:r w:rsidRPr="00957B46">
              <w:t>Chi</w:t>
            </w:r>
            <w:r>
              <w:t>-</w:t>
            </w:r>
            <w:r w:rsidRPr="00957B46">
              <w:t>sq</w:t>
            </w:r>
            <w:r>
              <w:t>uare =</w:t>
            </w:r>
            <w:r w:rsidRPr="00957B46">
              <w:t xml:space="preserve"> </w:t>
            </w:r>
            <w:r>
              <w:t>5.082;</w:t>
            </w:r>
            <w:r w:rsidRPr="00957B46">
              <w:t xml:space="preserve"> </w:t>
            </w:r>
          </w:p>
          <w:p w14:paraId="0B2A3739" w14:textId="6A811720" w:rsidR="00423850" w:rsidRDefault="00FA5DCC" w:rsidP="00FA5DCC">
            <w:pPr>
              <w:jc w:val="center"/>
            </w:pPr>
            <w:r w:rsidRPr="00957B46">
              <w:t>df</w:t>
            </w:r>
            <w:r>
              <w:t>=</w:t>
            </w:r>
            <w:r w:rsidRPr="00957B46">
              <w:t xml:space="preserve"> 3</w:t>
            </w:r>
            <w:r>
              <w:t>;</w:t>
            </w:r>
            <w:r w:rsidRPr="00957B46">
              <w:t xml:space="preserve"> p</w:t>
            </w:r>
            <w:r>
              <w:t>=.166</w:t>
            </w:r>
          </w:p>
          <w:p w14:paraId="04D4FB9C" w14:textId="748A1487" w:rsidR="00B50E7D" w:rsidRPr="00957B46" w:rsidRDefault="00B50E7D" w:rsidP="00FA5DCC">
            <w:pPr>
              <w:jc w:val="center"/>
            </w:pPr>
            <w:r>
              <w:t>(corrected p value =1)</w:t>
            </w:r>
          </w:p>
        </w:tc>
        <w:tc>
          <w:tcPr>
            <w:tcW w:w="2340" w:type="dxa"/>
          </w:tcPr>
          <w:p w14:paraId="79C54731" w14:textId="067862C6" w:rsidR="00423850" w:rsidRDefault="00423850" w:rsidP="00423850"/>
        </w:tc>
      </w:tr>
      <w:tr w:rsidR="00423850" w:rsidRPr="009F1107" w14:paraId="2FC5170E" w14:textId="77777777" w:rsidTr="007422D7">
        <w:tc>
          <w:tcPr>
            <w:tcW w:w="3577" w:type="dxa"/>
          </w:tcPr>
          <w:p w14:paraId="3CF78FE7" w14:textId="09538323" w:rsidR="00423850" w:rsidRPr="009F1107" w:rsidRDefault="00423850" w:rsidP="00423850">
            <w:pPr>
              <w:rPr>
                <w:b/>
              </w:rPr>
            </w:pPr>
            <w:r w:rsidRPr="009F1107">
              <w:rPr>
                <w:b/>
              </w:rPr>
              <w:t>Obsessive Compulsive Disorder (OCD) diagnosis, proportion with diagnosis</w:t>
            </w:r>
          </w:p>
        </w:tc>
        <w:tc>
          <w:tcPr>
            <w:tcW w:w="1890" w:type="dxa"/>
          </w:tcPr>
          <w:p w14:paraId="005858C7" w14:textId="589FC9FC" w:rsidR="00423850" w:rsidRPr="0077215F" w:rsidRDefault="00FA5DCC" w:rsidP="00423850">
            <w:pPr>
              <w:jc w:val="center"/>
            </w:pPr>
            <w:r>
              <w:t>0.017</w:t>
            </w:r>
          </w:p>
        </w:tc>
        <w:tc>
          <w:tcPr>
            <w:tcW w:w="1260" w:type="dxa"/>
          </w:tcPr>
          <w:p w14:paraId="5852852F" w14:textId="337372E5" w:rsidR="00423850" w:rsidRPr="0077215F" w:rsidRDefault="00FA5DCC" w:rsidP="00423850">
            <w:pPr>
              <w:jc w:val="center"/>
            </w:pPr>
            <w:r>
              <w:t>0.074</w:t>
            </w:r>
          </w:p>
        </w:tc>
        <w:tc>
          <w:tcPr>
            <w:tcW w:w="1260" w:type="dxa"/>
          </w:tcPr>
          <w:p w14:paraId="70CC536F" w14:textId="737C8A15" w:rsidR="00423850" w:rsidRPr="0077215F" w:rsidRDefault="00FA5DCC" w:rsidP="00423850">
            <w:pPr>
              <w:jc w:val="center"/>
            </w:pPr>
            <w:r>
              <w:t>0.037</w:t>
            </w:r>
          </w:p>
        </w:tc>
        <w:tc>
          <w:tcPr>
            <w:tcW w:w="1350" w:type="dxa"/>
          </w:tcPr>
          <w:p w14:paraId="69A9BF1C" w14:textId="06E0355D" w:rsidR="00423850" w:rsidRPr="0077215F" w:rsidRDefault="00FA5DCC" w:rsidP="00423850">
            <w:pPr>
              <w:jc w:val="center"/>
            </w:pPr>
            <w:r>
              <w:t>0.141</w:t>
            </w:r>
          </w:p>
        </w:tc>
        <w:tc>
          <w:tcPr>
            <w:tcW w:w="2070" w:type="dxa"/>
          </w:tcPr>
          <w:p w14:paraId="5336964D" w14:textId="0CF5A84E" w:rsidR="00FA5DCC" w:rsidRDefault="00FA5DCC" w:rsidP="00FA5DCC">
            <w:pPr>
              <w:jc w:val="center"/>
            </w:pPr>
            <w:r w:rsidRPr="00957B46">
              <w:t>Chi</w:t>
            </w:r>
            <w:r>
              <w:t>-</w:t>
            </w:r>
            <w:r w:rsidRPr="00957B46">
              <w:t>sq</w:t>
            </w:r>
            <w:r>
              <w:t>uare =</w:t>
            </w:r>
            <w:r w:rsidRPr="00957B46">
              <w:t xml:space="preserve"> </w:t>
            </w:r>
            <w:r>
              <w:t>6.890;</w:t>
            </w:r>
            <w:r w:rsidRPr="00957B46">
              <w:t xml:space="preserve"> </w:t>
            </w:r>
          </w:p>
          <w:p w14:paraId="7F191066" w14:textId="0FE22314" w:rsidR="00423850" w:rsidRDefault="00FA5DCC" w:rsidP="00FA5DCC">
            <w:pPr>
              <w:jc w:val="center"/>
            </w:pPr>
            <w:r w:rsidRPr="00957B46">
              <w:t>df</w:t>
            </w:r>
            <w:r>
              <w:t>=</w:t>
            </w:r>
            <w:r w:rsidRPr="00957B46">
              <w:t xml:space="preserve"> 3</w:t>
            </w:r>
            <w:r>
              <w:t>;</w:t>
            </w:r>
            <w:r w:rsidRPr="00957B46">
              <w:t xml:space="preserve"> p</w:t>
            </w:r>
            <w:r>
              <w:t>=.075</w:t>
            </w:r>
          </w:p>
          <w:p w14:paraId="301583B1" w14:textId="2D9AE550" w:rsidR="00B50E7D" w:rsidRPr="00957B46" w:rsidRDefault="00B50E7D" w:rsidP="004E477E">
            <w:pPr>
              <w:jc w:val="center"/>
            </w:pPr>
            <w:r>
              <w:t>(corrected p value =.</w:t>
            </w:r>
            <w:r w:rsidR="004E477E">
              <w:t>830</w:t>
            </w:r>
            <w:r>
              <w:t>)</w:t>
            </w:r>
          </w:p>
        </w:tc>
        <w:tc>
          <w:tcPr>
            <w:tcW w:w="2340" w:type="dxa"/>
          </w:tcPr>
          <w:p w14:paraId="4469F411" w14:textId="52BF7994" w:rsidR="00423850" w:rsidRDefault="00423850" w:rsidP="00423850"/>
        </w:tc>
      </w:tr>
      <w:tr w:rsidR="006B6F22" w:rsidRPr="009F1107" w14:paraId="23EEB738" w14:textId="77777777" w:rsidTr="004219C2">
        <w:tc>
          <w:tcPr>
            <w:tcW w:w="13747" w:type="dxa"/>
            <w:gridSpan w:val="7"/>
          </w:tcPr>
          <w:p w14:paraId="61701551" w14:textId="77777777" w:rsidR="006B6F22" w:rsidRPr="00BC4A2C" w:rsidRDefault="006B6F22" w:rsidP="000760AC">
            <w:pPr>
              <w:jc w:val="center"/>
              <w:rPr>
                <w:b/>
              </w:rPr>
            </w:pPr>
            <w:r w:rsidRPr="00BC4A2C">
              <w:rPr>
                <w:b/>
              </w:rPr>
              <w:t>Family History</w:t>
            </w:r>
          </w:p>
        </w:tc>
      </w:tr>
      <w:tr w:rsidR="006B6F22" w:rsidRPr="009F1107" w14:paraId="4F2097DE" w14:textId="77777777" w:rsidTr="007422D7">
        <w:tc>
          <w:tcPr>
            <w:tcW w:w="3577" w:type="dxa"/>
          </w:tcPr>
          <w:p w14:paraId="17F79D50" w14:textId="77777777" w:rsidR="006B6F22" w:rsidRPr="009F1107" w:rsidRDefault="006B6F22" w:rsidP="000760AC">
            <w:r w:rsidRPr="009F1107">
              <w:rPr>
                <w:b/>
              </w:rPr>
              <w:t xml:space="preserve">Family </w:t>
            </w:r>
            <w:r>
              <w:rPr>
                <w:b/>
              </w:rPr>
              <w:t>History</w:t>
            </w:r>
            <w:r w:rsidRPr="009F1107">
              <w:rPr>
                <w:b/>
              </w:rPr>
              <w:t xml:space="preserve"> of OCD, proportion</w:t>
            </w:r>
            <w:r>
              <w:rPr>
                <w:b/>
              </w:rPr>
              <w:t xml:space="preserve"> with</w:t>
            </w:r>
          </w:p>
        </w:tc>
        <w:tc>
          <w:tcPr>
            <w:tcW w:w="1890" w:type="dxa"/>
          </w:tcPr>
          <w:p w14:paraId="115AC1DC" w14:textId="5D6CA81A" w:rsidR="006B6F22" w:rsidRPr="009F1107" w:rsidRDefault="002930C6" w:rsidP="000760AC">
            <w:pPr>
              <w:jc w:val="center"/>
            </w:pPr>
            <w:r>
              <w:t>0.0125</w:t>
            </w:r>
          </w:p>
        </w:tc>
        <w:tc>
          <w:tcPr>
            <w:tcW w:w="1260" w:type="dxa"/>
          </w:tcPr>
          <w:p w14:paraId="61CBC673" w14:textId="0AA5FA00" w:rsidR="006B6F22" w:rsidRPr="009F1107" w:rsidRDefault="002930C6" w:rsidP="000760AC">
            <w:pPr>
              <w:jc w:val="center"/>
            </w:pPr>
            <w:r>
              <w:t>0</w:t>
            </w:r>
          </w:p>
        </w:tc>
        <w:tc>
          <w:tcPr>
            <w:tcW w:w="1260" w:type="dxa"/>
          </w:tcPr>
          <w:p w14:paraId="61890616" w14:textId="63E040C9" w:rsidR="006B6F22" w:rsidRPr="009F1107" w:rsidRDefault="002930C6" w:rsidP="000760AC">
            <w:pPr>
              <w:jc w:val="center"/>
            </w:pPr>
            <w:r>
              <w:t>0.037</w:t>
            </w:r>
          </w:p>
        </w:tc>
        <w:tc>
          <w:tcPr>
            <w:tcW w:w="1350" w:type="dxa"/>
          </w:tcPr>
          <w:p w14:paraId="60BB71CD" w14:textId="3DF03445" w:rsidR="006B6F22" w:rsidRPr="009F1107" w:rsidRDefault="002930C6" w:rsidP="000760AC">
            <w:pPr>
              <w:jc w:val="center"/>
            </w:pPr>
            <w:r>
              <w:t>0.020</w:t>
            </w:r>
          </w:p>
        </w:tc>
        <w:tc>
          <w:tcPr>
            <w:tcW w:w="2070" w:type="dxa"/>
          </w:tcPr>
          <w:p w14:paraId="1D6ADC5A" w14:textId="3618D6D4" w:rsidR="002930C6" w:rsidRDefault="002930C6" w:rsidP="002930C6">
            <w:pPr>
              <w:jc w:val="center"/>
            </w:pPr>
            <w:r w:rsidRPr="00957B46">
              <w:t>Chi</w:t>
            </w:r>
            <w:r>
              <w:t>-</w:t>
            </w:r>
            <w:r w:rsidRPr="00957B46">
              <w:t>sq</w:t>
            </w:r>
            <w:r>
              <w:t>uare =</w:t>
            </w:r>
            <w:r w:rsidRPr="00957B46">
              <w:t xml:space="preserve"> </w:t>
            </w:r>
            <w:r>
              <w:t>7.198;</w:t>
            </w:r>
          </w:p>
          <w:p w14:paraId="3FDB8D35" w14:textId="2A24DDE0" w:rsidR="006B6F22" w:rsidRDefault="002930C6" w:rsidP="002930C6">
            <w:pPr>
              <w:jc w:val="center"/>
            </w:pPr>
            <w:r w:rsidRPr="00957B46">
              <w:t xml:space="preserve"> df </w:t>
            </w:r>
            <w:r>
              <w:t>=</w:t>
            </w:r>
            <w:r w:rsidRPr="00957B46">
              <w:t>3</w:t>
            </w:r>
            <w:r>
              <w:t>;</w:t>
            </w:r>
            <w:r w:rsidRPr="00957B46">
              <w:t xml:space="preserve"> p</w:t>
            </w:r>
            <w:r>
              <w:t>=.066</w:t>
            </w:r>
          </w:p>
          <w:p w14:paraId="1209B053" w14:textId="1A3E0DD5" w:rsidR="00B50E7D" w:rsidRPr="009F1107" w:rsidRDefault="00B50E7D" w:rsidP="004E477E">
            <w:pPr>
              <w:jc w:val="center"/>
            </w:pPr>
            <w:r>
              <w:t>(corrected p value =.</w:t>
            </w:r>
            <w:r w:rsidR="004E477E">
              <w:t>790</w:t>
            </w:r>
            <w:r>
              <w:t>)</w:t>
            </w:r>
          </w:p>
        </w:tc>
        <w:tc>
          <w:tcPr>
            <w:tcW w:w="2340" w:type="dxa"/>
          </w:tcPr>
          <w:p w14:paraId="18BE1461" w14:textId="4EA2805C" w:rsidR="006B6F22" w:rsidRPr="009F1107" w:rsidRDefault="006B6F22" w:rsidP="000760AC">
            <w:pPr>
              <w:jc w:val="center"/>
            </w:pPr>
          </w:p>
        </w:tc>
      </w:tr>
      <w:tr w:rsidR="006B6F22" w:rsidRPr="009F1107" w14:paraId="6ED67F0A" w14:textId="77777777" w:rsidTr="007422D7">
        <w:tc>
          <w:tcPr>
            <w:tcW w:w="3577" w:type="dxa"/>
          </w:tcPr>
          <w:p w14:paraId="306EF631" w14:textId="77777777" w:rsidR="006B6F22" w:rsidRPr="009F1107" w:rsidRDefault="006B6F22" w:rsidP="000760AC">
            <w:r w:rsidRPr="009F1107">
              <w:rPr>
                <w:b/>
              </w:rPr>
              <w:t xml:space="preserve">Family history of </w:t>
            </w:r>
            <w:r>
              <w:rPr>
                <w:b/>
              </w:rPr>
              <w:t>Alcohol</w:t>
            </w:r>
            <w:r w:rsidRPr="009F1107">
              <w:rPr>
                <w:b/>
              </w:rPr>
              <w:t xml:space="preserve"> use disorder, proportion with</w:t>
            </w:r>
          </w:p>
        </w:tc>
        <w:tc>
          <w:tcPr>
            <w:tcW w:w="1890" w:type="dxa"/>
          </w:tcPr>
          <w:p w14:paraId="2BE787C6" w14:textId="74D2A678" w:rsidR="006B6F22" w:rsidRPr="009F1107" w:rsidRDefault="002930C6" w:rsidP="000760AC">
            <w:pPr>
              <w:jc w:val="center"/>
            </w:pPr>
            <w:r>
              <w:t>0.182</w:t>
            </w:r>
          </w:p>
        </w:tc>
        <w:tc>
          <w:tcPr>
            <w:tcW w:w="1260" w:type="dxa"/>
          </w:tcPr>
          <w:p w14:paraId="6C5085D4" w14:textId="2C85AA87" w:rsidR="006B6F22" w:rsidRPr="009F1107" w:rsidRDefault="002930C6" w:rsidP="000760AC">
            <w:pPr>
              <w:jc w:val="center"/>
            </w:pPr>
            <w:r>
              <w:t>0.146</w:t>
            </w:r>
          </w:p>
        </w:tc>
        <w:tc>
          <w:tcPr>
            <w:tcW w:w="1260" w:type="dxa"/>
          </w:tcPr>
          <w:p w14:paraId="682AFA1E" w14:textId="02050F52" w:rsidR="006B6F22" w:rsidRPr="009F1107" w:rsidRDefault="002930C6" w:rsidP="000760AC">
            <w:pPr>
              <w:jc w:val="center"/>
            </w:pPr>
            <w:r>
              <w:t>0.178</w:t>
            </w:r>
          </w:p>
        </w:tc>
        <w:tc>
          <w:tcPr>
            <w:tcW w:w="1350" w:type="dxa"/>
          </w:tcPr>
          <w:p w14:paraId="53CA4483" w14:textId="31AF48C0" w:rsidR="006B6F22" w:rsidRPr="009F1107" w:rsidRDefault="002930C6" w:rsidP="000760AC">
            <w:pPr>
              <w:jc w:val="center"/>
            </w:pPr>
            <w:r>
              <w:t>0.213</w:t>
            </w:r>
          </w:p>
        </w:tc>
        <w:tc>
          <w:tcPr>
            <w:tcW w:w="2070" w:type="dxa"/>
          </w:tcPr>
          <w:p w14:paraId="3B12BFD9" w14:textId="4CBFA3CD" w:rsidR="002930C6" w:rsidRDefault="002930C6" w:rsidP="002930C6">
            <w:pPr>
              <w:jc w:val="center"/>
            </w:pPr>
            <w:r w:rsidRPr="00957B46">
              <w:t>Chi</w:t>
            </w:r>
            <w:r>
              <w:t>-</w:t>
            </w:r>
            <w:r w:rsidRPr="00957B46">
              <w:t>sq</w:t>
            </w:r>
            <w:r>
              <w:t>uare =</w:t>
            </w:r>
            <w:r w:rsidRPr="00957B46">
              <w:t xml:space="preserve"> </w:t>
            </w:r>
            <w:r w:rsidR="00416889">
              <w:t>0.422</w:t>
            </w:r>
            <w:r>
              <w:t>;</w:t>
            </w:r>
          </w:p>
          <w:p w14:paraId="7F90DA0F" w14:textId="70307E4B" w:rsidR="006B6F22" w:rsidRDefault="002930C6" w:rsidP="002930C6">
            <w:pPr>
              <w:jc w:val="center"/>
            </w:pPr>
            <w:r w:rsidRPr="00957B46">
              <w:t xml:space="preserve"> df </w:t>
            </w:r>
            <w:r>
              <w:t>=</w:t>
            </w:r>
            <w:r w:rsidRPr="00957B46">
              <w:t>3</w:t>
            </w:r>
            <w:r>
              <w:t>;</w:t>
            </w:r>
            <w:r w:rsidRPr="00957B46">
              <w:t xml:space="preserve"> p</w:t>
            </w:r>
            <w:r>
              <w:t>=.936</w:t>
            </w:r>
          </w:p>
          <w:p w14:paraId="11B339D9" w14:textId="2FC41A50" w:rsidR="00B50E7D" w:rsidRPr="009F1107" w:rsidRDefault="00B50E7D" w:rsidP="002930C6">
            <w:pPr>
              <w:jc w:val="center"/>
            </w:pPr>
            <w:r>
              <w:t>(corrected p value =1)</w:t>
            </w:r>
          </w:p>
        </w:tc>
        <w:tc>
          <w:tcPr>
            <w:tcW w:w="2340" w:type="dxa"/>
          </w:tcPr>
          <w:p w14:paraId="23BEEEA9" w14:textId="438D5527" w:rsidR="006B6F22" w:rsidRPr="009F1107" w:rsidRDefault="006B6F22" w:rsidP="000760AC">
            <w:pPr>
              <w:jc w:val="center"/>
            </w:pPr>
          </w:p>
        </w:tc>
      </w:tr>
      <w:tr w:rsidR="006B6F22" w:rsidRPr="009F1107" w14:paraId="446D3CF6" w14:textId="77777777" w:rsidTr="007422D7">
        <w:tc>
          <w:tcPr>
            <w:tcW w:w="3577" w:type="dxa"/>
          </w:tcPr>
          <w:p w14:paraId="35D4A4EF" w14:textId="77777777" w:rsidR="006B6F22" w:rsidRPr="009F1107" w:rsidRDefault="006B6F22" w:rsidP="000760AC">
            <w:r w:rsidRPr="009F1107">
              <w:rPr>
                <w:b/>
              </w:rPr>
              <w:t>Family history of Substance use disorder, proportion with</w:t>
            </w:r>
          </w:p>
        </w:tc>
        <w:tc>
          <w:tcPr>
            <w:tcW w:w="1890" w:type="dxa"/>
          </w:tcPr>
          <w:p w14:paraId="39C839DE" w14:textId="642978B2" w:rsidR="006B6F22" w:rsidRPr="009F1107" w:rsidRDefault="00416889" w:rsidP="000760AC">
            <w:pPr>
              <w:jc w:val="center"/>
            </w:pPr>
            <w:r>
              <w:t>0.074</w:t>
            </w:r>
          </w:p>
        </w:tc>
        <w:tc>
          <w:tcPr>
            <w:tcW w:w="1260" w:type="dxa"/>
          </w:tcPr>
          <w:p w14:paraId="5160D9B5" w14:textId="7B03B39E" w:rsidR="006B6F22" w:rsidRPr="009F1107" w:rsidRDefault="00416889" w:rsidP="000760AC">
            <w:pPr>
              <w:jc w:val="center"/>
            </w:pPr>
            <w:r>
              <w:t>0.073</w:t>
            </w:r>
          </w:p>
        </w:tc>
        <w:tc>
          <w:tcPr>
            <w:tcW w:w="1260" w:type="dxa"/>
          </w:tcPr>
          <w:p w14:paraId="0B8CC95A" w14:textId="13AE1719" w:rsidR="006B6F22" w:rsidRPr="009F1107" w:rsidRDefault="00416889" w:rsidP="000760AC">
            <w:pPr>
              <w:jc w:val="center"/>
            </w:pPr>
            <w:r>
              <w:t>0.099</w:t>
            </w:r>
          </w:p>
        </w:tc>
        <w:tc>
          <w:tcPr>
            <w:tcW w:w="1350" w:type="dxa"/>
          </w:tcPr>
          <w:p w14:paraId="331537F2" w14:textId="069F2F7E" w:rsidR="006B6F22" w:rsidRPr="009F1107" w:rsidRDefault="00416889" w:rsidP="000760AC">
            <w:pPr>
              <w:jc w:val="center"/>
            </w:pPr>
            <w:r>
              <w:t>0.142</w:t>
            </w:r>
          </w:p>
        </w:tc>
        <w:tc>
          <w:tcPr>
            <w:tcW w:w="2070" w:type="dxa"/>
          </w:tcPr>
          <w:p w14:paraId="2CD720C7" w14:textId="0EF39AD4" w:rsidR="00416889" w:rsidRDefault="00416889" w:rsidP="00416889">
            <w:pPr>
              <w:jc w:val="center"/>
            </w:pPr>
            <w:r w:rsidRPr="00957B46">
              <w:t>Chi</w:t>
            </w:r>
            <w:r>
              <w:t>-</w:t>
            </w:r>
            <w:r w:rsidRPr="00957B46">
              <w:t>sq</w:t>
            </w:r>
            <w:r>
              <w:t>uare =</w:t>
            </w:r>
            <w:r w:rsidRPr="00957B46">
              <w:t xml:space="preserve"> 1.</w:t>
            </w:r>
            <w:r>
              <w:t>461;</w:t>
            </w:r>
          </w:p>
          <w:p w14:paraId="7FC4C458" w14:textId="243BF8AE" w:rsidR="006B6F22" w:rsidRDefault="00416889" w:rsidP="00416889">
            <w:pPr>
              <w:jc w:val="center"/>
            </w:pPr>
            <w:r w:rsidRPr="00957B46">
              <w:t xml:space="preserve"> </w:t>
            </w:r>
            <w:r>
              <w:t>d</w:t>
            </w:r>
            <w:r w:rsidRPr="00957B46">
              <w:t xml:space="preserve">f </w:t>
            </w:r>
            <w:r>
              <w:t>=</w:t>
            </w:r>
            <w:r w:rsidRPr="00957B46">
              <w:t>3</w:t>
            </w:r>
            <w:r>
              <w:t>;</w:t>
            </w:r>
            <w:r w:rsidRPr="00957B46">
              <w:t xml:space="preserve"> p</w:t>
            </w:r>
            <w:r>
              <w:t>=.691</w:t>
            </w:r>
          </w:p>
          <w:p w14:paraId="501005DF" w14:textId="012EC347" w:rsidR="00B50E7D" w:rsidRPr="009F1107" w:rsidRDefault="00B50E7D" w:rsidP="00416889">
            <w:pPr>
              <w:jc w:val="center"/>
            </w:pPr>
            <w:r>
              <w:t>(corrected p value =1)</w:t>
            </w:r>
          </w:p>
        </w:tc>
        <w:tc>
          <w:tcPr>
            <w:tcW w:w="2340" w:type="dxa"/>
          </w:tcPr>
          <w:p w14:paraId="11BE1661" w14:textId="71E323D5" w:rsidR="006B6F22" w:rsidRPr="009F1107" w:rsidRDefault="006B6F22" w:rsidP="000760AC">
            <w:pPr>
              <w:jc w:val="center"/>
            </w:pPr>
          </w:p>
        </w:tc>
      </w:tr>
      <w:tr w:rsidR="006B6F22" w:rsidRPr="009F1107" w14:paraId="01BA2A48" w14:textId="77777777" w:rsidTr="004219C2">
        <w:tc>
          <w:tcPr>
            <w:tcW w:w="13747" w:type="dxa"/>
            <w:gridSpan w:val="7"/>
          </w:tcPr>
          <w:p w14:paraId="2DC88C46" w14:textId="77777777" w:rsidR="006B6F22" w:rsidRPr="00BC4A2C" w:rsidRDefault="006B6F22" w:rsidP="000760AC">
            <w:pPr>
              <w:jc w:val="center"/>
              <w:rPr>
                <w:b/>
              </w:rPr>
            </w:pPr>
            <w:r w:rsidRPr="00BC4A2C">
              <w:rPr>
                <w:b/>
              </w:rPr>
              <w:t>Cognitive Measures</w:t>
            </w:r>
          </w:p>
        </w:tc>
      </w:tr>
      <w:tr w:rsidR="006B6F22" w:rsidRPr="009F1107" w14:paraId="6183F961" w14:textId="77777777" w:rsidTr="007422D7">
        <w:tc>
          <w:tcPr>
            <w:tcW w:w="3577" w:type="dxa"/>
          </w:tcPr>
          <w:p w14:paraId="5DF4BF41" w14:textId="77777777" w:rsidR="006B6F22" w:rsidRPr="009F1107" w:rsidRDefault="006B6F22" w:rsidP="000760AC">
            <w:r w:rsidRPr="009F1107">
              <w:rPr>
                <w:b/>
              </w:rPr>
              <w:lastRenderedPageBreak/>
              <w:t>Barratt Impulsivity Scale total</w:t>
            </w:r>
          </w:p>
        </w:tc>
        <w:tc>
          <w:tcPr>
            <w:tcW w:w="1890" w:type="dxa"/>
          </w:tcPr>
          <w:p w14:paraId="115A1C2D" w14:textId="77777777" w:rsidR="006B6F22" w:rsidRPr="009F1107" w:rsidRDefault="006B6F22" w:rsidP="000760AC">
            <w:pPr>
              <w:jc w:val="center"/>
            </w:pPr>
            <w:r w:rsidRPr="00957B46">
              <w:t xml:space="preserve">56.12 </w:t>
            </w:r>
            <w:r>
              <w:t>(</w:t>
            </w:r>
            <w:r w:rsidRPr="00957B46">
              <w:t>1.103</w:t>
            </w:r>
            <w:r>
              <w:t>)</w:t>
            </w:r>
          </w:p>
        </w:tc>
        <w:tc>
          <w:tcPr>
            <w:tcW w:w="1260" w:type="dxa"/>
          </w:tcPr>
          <w:p w14:paraId="48F7A29E" w14:textId="77777777" w:rsidR="006B6F22" w:rsidRPr="009F1107" w:rsidRDefault="006B6F22" w:rsidP="000760AC">
            <w:pPr>
              <w:jc w:val="center"/>
            </w:pPr>
            <w:r w:rsidRPr="00957B46">
              <w:t xml:space="preserve">58.593 </w:t>
            </w:r>
            <w:r>
              <w:t>(</w:t>
            </w:r>
            <w:r w:rsidRPr="00957B46">
              <w:t>2.398</w:t>
            </w:r>
            <w:r>
              <w:t>)</w:t>
            </w:r>
          </w:p>
        </w:tc>
        <w:tc>
          <w:tcPr>
            <w:tcW w:w="1260" w:type="dxa"/>
          </w:tcPr>
          <w:p w14:paraId="5F26710C" w14:textId="77777777" w:rsidR="006B6F22" w:rsidRPr="009F1107" w:rsidRDefault="006B6F22" w:rsidP="000760AC">
            <w:pPr>
              <w:jc w:val="center"/>
            </w:pPr>
            <w:r w:rsidRPr="00957B46">
              <w:t xml:space="preserve">59.935 </w:t>
            </w:r>
            <w:r>
              <w:t>(</w:t>
            </w:r>
            <w:r w:rsidRPr="00957B46">
              <w:t>1.266</w:t>
            </w:r>
            <w:r>
              <w:t>)</w:t>
            </w:r>
          </w:p>
        </w:tc>
        <w:tc>
          <w:tcPr>
            <w:tcW w:w="1350" w:type="dxa"/>
          </w:tcPr>
          <w:p w14:paraId="60CBB78B" w14:textId="77777777" w:rsidR="006B6F22" w:rsidRPr="009F1107" w:rsidRDefault="006B6F22" w:rsidP="000760AC">
            <w:pPr>
              <w:jc w:val="center"/>
            </w:pPr>
            <w:r w:rsidRPr="00957B46">
              <w:t xml:space="preserve">64.282 </w:t>
            </w:r>
            <w:r>
              <w:t>(</w:t>
            </w:r>
            <w:r w:rsidRPr="00957B46">
              <w:t>1.613</w:t>
            </w:r>
            <w:r>
              <w:t>)</w:t>
            </w:r>
          </w:p>
        </w:tc>
        <w:tc>
          <w:tcPr>
            <w:tcW w:w="2070" w:type="dxa"/>
          </w:tcPr>
          <w:p w14:paraId="024D35B4" w14:textId="6BE7CD5F" w:rsidR="006B6F22" w:rsidRDefault="006B6F22" w:rsidP="000760AC">
            <w:pPr>
              <w:jc w:val="center"/>
            </w:pPr>
            <w:r w:rsidRPr="00957B46">
              <w:t>Chi</w:t>
            </w:r>
            <w:r>
              <w:t>-</w:t>
            </w:r>
            <w:r w:rsidRPr="00957B46">
              <w:t>sq</w:t>
            </w:r>
            <w:r>
              <w:t>uare =</w:t>
            </w:r>
            <w:r w:rsidRPr="00957B46">
              <w:t xml:space="preserve"> </w:t>
            </w:r>
            <w:r w:rsidR="00EA6335">
              <w:t>18.097</w:t>
            </w:r>
            <w:r>
              <w:t>;</w:t>
            </w:r>
          </w:p>
          <w:p w14:paraId="284DAE79" w14:textId="6AD32850" w:rsidR="006B6F22" w:rsidRDefault="006B6F22" w:rsidP="002930C6">
            <w:pPr>
              <w:jc w:val="center"/>
            </w:pPr>
            <w:r w:rsidRPr="00957B46">
              <w:t xml:space="preserve"> df </w:t>
            </w:r>
            <w:r>
              <w:t>=</w:t>
            </w:r>
            <w:r w:rsidRPr="00957B46">
              <w:t>3</w:t>
            </w:r>
            <w:r>
              <w:t>;</w:t>
            </w:r>
            <w:r w:rsidRPr="00957B46">
              <w:t xml:space="preserve"> p</w:t>
            </w:r>
            <w:r>
              <w:t>&lt;.00</w:t>
            </w:r>
            <w:r w:rsidR="00A77D5A">
              <w:t>1</w:t>
            </w:r>
          </w:p>
          <w:p w14:paraId="032C0BE9" w14:textId="7A68DD43" w:rsidR="004E477E" w:rsidRDefault="004E477E" w:rsidP="002930C6">
            <w:pPr>
              <w:jc w:val="center"/>
            </w:pPr>
            <w:r>
              <w:t>(corrected p value =.006)</w:t>
            </w:r>
          </w:p>
          <w:p w14:paraId="347ABF5C" w14:textId="1A236BB0" w:rsidR="00B50E7D" w:rsidRPr="009F1107" w:rsidRDefault="00B50E7D" w:rsidP="002930C6">
            <w:pPr>
              <w:jc w:val="center"/>
            </w:pPr>
          </w:p>
        </w:tc>
        <w:tc>
          <w:tcPr>
            <w:tcW w:w="2340" w:type="dxa"/>
          </w:tcPr>
          <w:p w14:paraId="640C02BD" w14:textId="6FC39158" w:rsidR="006B6F22" w:rsidRDefault="006B6F22" w:rsidP="000760AC">
            <w:pPr>
              <w:jc w:val="center"/>
            </w:pPr>
            <w:r>
              <w:t>Subtype 3 compared to controls (p&lt;.00</w:t>
            </w:r>
            <w:r w:rsidR="00A77D5A">
              <w:t>1</w:t>
            </w:r>
            <w:r>
              <w:t>), compared to Subtype 1 (p=.049) and compared to subtype 2 (p=.034)</w:t>
            </w:r>
          </w:p>
          <w:p w14:paraId="3BD1F017" w14:textId="77777777" w:rsidR="006B6F22" w:rsidRDefault="006B6F22" w:rsidP="000760AC">
            <w:pPr>
              <w:jc w:val="center"/>
            </w:pPr>
          </w:p>
          <w:p w14:paraId="7FF47D9D" w14:textId="77777777" w:rsidR="006B6F22" w:rsidRPr="009F1107" w:rsidRDefault="006B6F22" w:rsidP="000760AC">
            <w:pPr>
              <w:jc w:val="center"/>
            </w:pPr>
            <w:r>
              <w:t>Subtype 2 compared to controls (p=</w:t>
            </w:r>
            <w:r w:rsidRPr="00957B46">
              <w:t>0.023</w:t>
            </w:r>
            <w:r>
              <w:t>)</w:t>
            </w:r>
          </w:p>
        </w:tc>
      </w:tr>
      <w:tr w:rsidR="006B6F22" w:rsidRPr="009F1107" w14:paraId="2A56F215" w14:textId="77777777" w:rsidTr="007422D7">
        <w:tc>
          <w:tcPr>
            <w:tcW w:w="3577" w:type="dxa"/>
          </w:tcPr>
          <w:p w14:paraId="1F02D622" w14:textId="77777777" w:rsidR="006B6F22" w:rsidRPr="009F1107" w:rsidRDefault="006B6F22" w:rsidP="000760AC">
            <w:r w:rsidRPr="009F1107">
              <w:rPr>
                <w:b/>
              </w:rPr>
              <w:t>Extra-dimensional set-shifting errors</w:t>
            </w:r>
          </w:p>
        </w:tc>
        <w:tc>
          <w:tcPr>
            <w:tcW w:w="1890" w:type="dxa"/>
          </w:tcPr>
          <w:p w14:paraId="4ADD8C4D" w14:textId="77777777" w:rsidR="006B6F22" w:rsidRPr="009F1107" w:rsidRDefault="006B6F22" w:rsidP="000760AC">
            <w:pPr>
              <w:jc w:val="center"/>
            </w:pPr>
            <w:r w:rsidRPr="00C67BA6">
              <w:t xml:space="preserve">9.491 </w:t>
            </w:r>
            <w:r>
              <w:t>(</w:t>
            </w:r>
            <w:r w:rsidRPr="00C67BA6">
              <w:t>0.963</w:t>
            </w:r>
            <w:r>
              <w:t>)</w:t>
            </w:r>
          </w:p>
        </w:tc>
        <w:tc>
          <w:tcPr>
            <w:tcW w:w="1260" w:type="dxa"/>
          </w:tcPr>
          <w:p w14:paraId="305C376C" w14:textId="77777777" w:rsidR="006B6F22" w:rsidRPr="009F1107" w:rsidRDefault="006B6F22" w:rsidP="000760AC">
            <w:pPr>
              <w:jc w:val="center"/>
            </w:pPr>
            <w:r w:rsidRPr="000870DC">
              <w:t xml:space="preserve">12.719 </w:t>
            </w:r>
            <w:r>
              <w:t>(</w:t>
            </w:r>
            <w:r w:rsidRPr="000870DC">
              <w:t>2.32</w:t>
            </w:r>
            <w:r>
              <w:t>)</w:t>
            </w:r>
          </w:p>
        </w:tc>
        <w:tc>
          <w:tcPr>
            <w:tcW w:w="1260" w:type="dxa"/>
          </w:tcPr>
          <w:p w14:paraId="5CC6EEB8" w14:textId="77777777" w:rsidR="006B6F22" w:rsidRPr="009F1107" w:rsidRDefault="006B6F22" w:rsidP="000760AC">
            <w:pPr>
              <w:jc w:val="center"/>
            </w:pPr>
            <w:r w:rsidRPr="000870DC">
              <w:t xml:space="preserve">9.874 </w:t>
            </w:r>
            <w:r>
              <w:t>(</w:t>
            </w:r>
            <w:r w:rsidRPr="000870DC">
              <w:t>1.225</w:t>
            </w:r>
            <w:r>
              <w:t>)</w:t>
            </w:r>
          </w:p>
        </w:tc>
        <w:tc>
          <w:tcPr>
            <w:tcW w:w="1350" w:type="dxa"/>
          </w:tcPr>
          <w:p w14:paraId="56C0E36E" w14:textId="77777777" w:rsidR="006B6F22" w:rsidRPr="009F1107" w:rsidRDefault="006B6F22" w:rsidP="000760AC">
            <w:pPr>
              <w:jc w:val="center"/>
            </w:pPr>
            <w:r w:rsidRPr="000870DC">
              <w:t xml:space="preserve">10.18 </w:t>
            </w:r>
            <w:r>
              <w:t>(</w:t>
            </w:r>
            <w:r w:rsidRPr="000870DC">
              <w:t>1.653</w:t>
            </w:r>
            <w:r>
              <w:t>)</w:t>
            </w:r>
          </w:p>
        </w:tc>
        <w:tc>
          <w:tcPr>
            <w:tcW w:w="2070" w:type="dxa"/>
          </w:tcPr>
          <w:p w14:paraId="40E1E3F4" w14:textId="77777777" w:rsidR="006B6F22" w:rsidRDefault="006B6F22" w:rsidP="000760AC">
            <w:pPr>
              <w:jc w:val="center"/>
            </w:pPr>
            <w:r w:rsidRPr="00957B46">
              <w:t>Chi</w:t>
            </w:r>
            <w:r>
              <w:t>-</w:t>
            </w:r>
            <w:r w:rsidRPr="00957B46">
              <w:t>sq</w:t>
            </w:r>
            <w:r>
              <w:t>uare =</w:t>
            </w:r>
            <w:r w:rsidRPr="00957B46">
              <w:t xml:space="preserve"> 1.</w:t>
            </w:r>
            <w:r>
              <w:t>674;</w:t>
            </w:r>
          </w:p>
          <w:p w14:paraId="7DDE1E97" w14:textId="46E7E17C" w:rsidR="006B6F22" w:rsidRDefault="006B6F22" w:rsidP="000760AC">
            <w:pPr>
              <w:jc w:val="center"/>
            </w:pPr>
            <w:r w:rsidRPr="00957B46">
              <w:t xml:space="preserve"> df </w:t>
            </w:r>
            <w:r>
              <w:t>=</w:t>
            </w:r>
            <w:r w:rsidRPr="00957B46">
              <w:t>3</w:t>
            </w:r>
            <w:r>
              <w:t>;</w:t>
            </w:r>
            <w:r w:rsidRPr="00957B46">
              <w:t xml:space="preserve"> p</w:t>
            </w:r>
            <w:r>
              <w:t>=.643</w:t>
            </w:r>
          </w:p>
          <w:p w14:paraId="6442830B" w14:textId="0E68469C" w:rsidR="004E477E" w:rsidRPr="009F1107" w:rsidRDefault="004E477E" w:rsidP="000760AC">
            <w:pPr>
              <w:jc w:val="center"/>
            </w:pPr>
            <w:r>
              <w:t>(corrected p value =1)</w:t>
            </w:r>
          </w:p>
        </w:tc>
        <w:tc>
          <w:tcPr>
            <w:tcW w:w="2340" w:type="dxa"/>
          </w:tcPr>
          <w:p w14:paraId="66AA3242" w14:textId="77777777" w:rsidR="006B6F22" w:rsidRPr="009F1107" w:rsidRDefault="006B6F22" w:rsidP="000760AC">
            <w:pPr>
              <w:jc w:val="center"/>
            </w:pPr>
          </w:p>
        </w:tc>
      </w:tr>
      <w:tr w:rsidR="006B6F22" w:rsidRPr="009F1107" w14:paraId="3DE66467" w14:textId="77777777" w:rsidTr="007422D7">
        <w:tc>
          <w:tcPr>
            <w:tcW w:w="3577" w:type="dxa"/>
          </w:tcPr>
          <w:p w14:paraId="6491DCE1" w14:textId="77777777" w:rsidR="006B6F22" w:rsidRPr="009F1107" w:rsidRDefault="006B6F22" w:rsidP="000760AC">
            <w:r w:rsidRPr="009F1107">
              <w:rPr>
                <w:b/>
              </w:rPr>
              <w:t>Stop-signal reaction times</w:t>
            </w:r>
          </w:p>
        </w:tc>
        <w:tc>
          <w:tcPr>
            <w:tcW w:w="1890" w:type="dxa"/>
          </w:tcPr>
          <w:p w14:paraId="4AD387FE" w14:textId="77777777" w:rsidR="006B6F22" w:rsidRPr="009F1107" w:rsidRDefault="006B6F22" w:rsidP="000760AC">
            <w:pPr>
              <w:jc w:val="center"/>
            </w:pPr>
            <w:r w:rsidRPr="00D54EA6">
              <w:t xml:space="preserve">207.762 </w:t>
            </w:r>
            <w:r>
              <w:t>(</w:t>
            </w:r>
            <w:r w:rsidRPr="00D54EA6">
              <w:t>6.387</w:t>
            </w:r>
            <w:r>
              <w:t>)</w:t>
            </w:r>
          </w:p>
        </w:tc>
        <w:tc>
          <w:tcPr>
            <w:tcW w:w="1260" w:type="dxa"/>
          </w:tcPr>
          <w:p w14:paraId="3014F676" w14:textId="77777777" w:rsidR="006B6F22" w:rsidRPr="009F1107" w:rsidRDefault="006B6F22" w:rsidP="000760AC">
            <w:pPr>
              <w:jc w:val="center"/>
            </w:pPr>
            <w:r w:rsidRPr="00D54EA6">
              <w:t xml:space="preserve">239.64 </w:t>
            </w:r>
            <w:r>
              <w:t>(</w:t>
            </w:r>
            <w:r w:rsidRPr="00D54EA6">
              <w:t>30.529</w:t>
            </w:r>
            <w:r>
              <w:t>)</w:t>
            </w:r>
          </w:p>
        </w:tc>
        <w:tc>
          <w:tcPr>
            <w:tcW w:w="1260" w:type="dxa"/>
          </w:tcPr>
          <w:p w14:paraId="2F3FE8E1" w14:textId="77777777" w:rsidR="006B6F22" w:rsidRPr="009F1107" w:rsidRDefault="006B6F22" w:rsidP="000760AC">
            <w:pPr>
              <w:jc w:val="center"/>
            </w:pPr>
            <w:r w:rsidRPr="00D54EA6">
              <w:t xml:space="preserve">220.784 </w:t>
            </w:r>
            <w:r>
              <w:t>(</w:t>
            </w:r>
            <w:r w:rsidRPr="00D54EA6">
              <w:t>11.386</w:t>
            </w:r>
            <w:r>
              <w:t>)</w:t>
            </w:r>
          </w:p>
        </w:tc>
        <w:tc>
          <w:tcPr>
            <w:tcW w:w="1350" w:type="dxa"/>
          </w:tcPr>
          <w:p w14:paraId="41D5DBAD" w14:textId="77777777" w:rsidR="006B6F22" w:rsidRPr="009F1107" w:rsidRDefault="006B6F22" w:rsidP="000760AC">
            <w:pPr>
              <w:jc w:val="center"/>
            </w:pPr>
            <w:r w:rsidRPr="00D54EA6">
              <w:t xml:space="preserve">247.528 </w:t>
            </w:r>
            <w:r>
              <w:t>(</w:t>
            </w:r>
            <w:r w:rsidRPr="00D54EA6">
              <w:t>25.006</w:t>
            </w:r>
            <w:r>
              <w:t>)</w:t>
            </w:r>
          </w:p>
        </w:tc>
        <w:tc>
          <w:tcPr>
            <w:tcW w:w="2070" w:type="dxa"/>
          </w:tcPr>
          <w:p w14:paraId="445950D1" w14:textId="77777777" w:rsidR="006B6F22" w:rsidRDefault="006B6F22" w:rsidP="000760AC">
            <w:pPr>
              <w:jc w:val="center"/>
            </w:pPr>
            <w:r w:rsidRPr="00957B46">
              <w:t>Chi</w:t>
            </w:r>
            <w:r>
              <w:t>-</w:t>
            </w:r>
            <w:r w:rsidRPr="00957B46">
              <w:t>sq</w:t>
            </w:r>
            <w:r>
              <w:t>uare =</w:t>
            </w:r>
            <w:r w:rsidRPr="00957B46">
              <w:t xml:space="preserve"> </w:t>
            </w:r>
            <w:r>
              <w:t>3.801;</w:t>
            </w:r>
          </w:p>
          <w:p w14:paraId="484AA33F" w14:textId="2DBC0EF4" w:rsidR="006B6F22" w:rsidRDefault="006B6F22" w:rsidP="000760AC">
            <w:pPr>
              <w:jc w:val="center"/>
            </w:pPr>
            <w:r w:rsidRPr="00957B46">
              <w:t xml:space="preserve"> df </w:t>
            </w:r>
            <w:r>
              <w:t>=</w:t>
            </w:r>
            <w:r w:rsidRPr="00957B46">
              <w:t>3</w:t>
            </w:r>
            <w:r>
              <w:t>;</w:t>
            </w:r>
            <w:r w:rsidRPr="00957B46">
              <w:t xml:space="preserve"> p</w:t>
            </w:r>
            <w:r>
              <w:t>=</w:t>
            </w:r>
            <w:r w:rsidR="004E477E">
              <w:t>1</w:t>
            </w:r>
          </w:p>
          <w:p w14:paraId="52AAE12B" w14:textId="7E34D50D" w:rsidR="004E477E" w:rsidRPr="009F1107" w:rsidRDefault="004E477E" w:rsidP="000760AC">
            <w:pPr>
              <w:jc w:val="center"/>
            </w:pPr>
            <w:r>
              <w:t>(corrected p value =1)</w:t>
            </w:r>
          </w:p>
        </w:tc>
        <w:tc>
          <w:tcPr>
            <w:tcW w:w="2340" w:type="dxa"/>
          </w:tcPr>
          <w:p w14:paraId="008D0ADD" w14:textId="77777777" w:rsidR="006B6F22" w:rsidRPr="009F1107" w:rsidRDefault="006B6F22" w:rsidP="000760AC">
            <w:pPr>
              <w:jc w:val="center"/>
            </w:pPr>
          </w:p>
        </w:tc>
      </w:tr>
    </w:tbl>
    <w:p w14:paraId="4AA68C06" w14:textId="77777777" w:rsidR="006B6F22" w:rsidRDefault="006B6F22" w:rsidP="006B6F22">
      <w:pPr>
        <w:spacing w:line="480" w:lineRule="auto"/>
        <w:rPr>
          <w:b/>
        </w:rPr>
      </w:pPr>
      <w:r>
        <w:rPr>
          <w:b/>
        </w:rPr>
        <w:t xml:space="preserve"> Values are Mean (±SE) unless stated otherwise; only significant results are displayed under post-hoc tests</w:t>
      </w:r>
    </w:p>
    <w:p w14:paraId="1E8A9F88" w14:textId="77777777" w:rsidR="007422D7" w:rsidRDefault="007422D7">
      <w:pPr>
        <w:rPr>
          <w:b/>
        </w:rPr>
      </w:pPr>
      <w:r>
        <w:rPr>
          <w:b/>
        </w:rPr>
        <w:br w:type="page"/>
      </w:r>
    </w:p>
    <w:p w14:paraId="0172690F" w14:textId="44293BEC" w:rsidR="006B6F22" w:rsidRPr="009F1107" w:rsidRDefault="006B6F22" w:rsidP="006B6F22">
      <w:pPr>
        <w:spacing w:line="480" w:lineRule="auto"/>
        <w:rPr>
          <w:b/>
        </w:rPr>
      </w:pPr>
      <w:r w:rsidRPr="009F1107">
        <w:rPr>
          <w:b/>
        </w:rPr>
        <w:lastRenderedPageBreak/>
        <w:t xml:space="preserve">Table </w:t>
      </w:r>
      <w:r w:rsidR="00FB27A2">
        <w:rPr>
          <w:b/>
        </w:rPr>
        <w:t>4</w:t>
      </w:r>
      <w:r w:rsidR="00AA09DE">
        <w:rPr>
          <w:b/>
        </w:rPr>
        <w:t>.</w:t>
      </w:r>
      <w:r w:rsidRPr="009F1107">
        <w:rPr>
          <w:b/>
        </w:rPr>
        <w:t xml:space="preserve"> Differences in Variables of Interest Across </w:t>
      </w:r>
      <w:r>
        <w:rPr>
          <w:b/>
        </w:rPr>
        <w:t>S</w:t>
      </w:r>
      <w:r w:rsidR="00423850">
        <w:rPr>
          <w:b/>
        </w:rPr>
        <w:t>kin Picking Disorder (S</w:t>
      </w:r>
      <w:r>
        <w:rPr>
          <w:b/>
        </w:rPr>
        <w:t>PD</w:t>
      </w:r>
      <w:r w:rsidR="00423850">
        <w:rPr>
          <w:b/>
        </w:rPr>
        <w:t>)</w:t>
      </w:r>
      <w:r>
        <w:rPr>
          <w:b/>
        </w:rPr>
        <w:t xml:space="preserve"> </w:t>
      </w:r>
      <w:r w:rsidRPr="009F1107">
        <w:rPr>
          <w:b/>
        </w:rPr>
        <w:t>Subtypes</w:t>
      </w:r>
    </w:p>
    <w:tbl>
      <w:tblPr>
        <w:tblStyle w:val="TableGrid1"/>
        <w:tblW w:w="13297" w:type="dxa"/>
        <w:tblInd w:w="18" w:type="dxa"/>
        <w:tblLayout w:type="fixed"/>
        <w:tblLook w:val="04A0" w:firstRow="1" w:lastRow="0" w:firstColumn="1" w:lastColumn="0" w:noHBand="0" w:noVBand="1"/>
      </w:tblPr>
      <w:tblGrid>
        <w:gridCol w:w="3307"/>
        <w:gridCol w:w="1890"/>
        <w:gridCol w:w="1530"/>
        <w:gridCol w:w="1350"/>
        <w:gridCol w:w="2430"/>
        <w:gridCol w:w="2790"/>
      </w:tblGrid>
      <w:tr w:rsidR="006B6F22" w:rsidRPr="009F1107" w14:paraId="0D55A446" w14:textId="77777777" w:rsidTr="007422D7">
        <w:tc>
          <w:tcPr>
            <w:tcW w:w="3307" w:type="dxa"/>
          </w:tcPr>
          <w:p w14:paraId="1D351887" w14:textId="77777777" w:rsidR="006B6F22" w:rsidRPr="009F1107" w:rsidRDefault="006B6F22" w:rsidP="000760AC">
            <w:pPr>
              <w:jc w:val="center"/>
              <w:rPr>
                <w:b/>
              </w:rPr>
            </w:pPr>
            <w:r w:rsidRPr="009F1107">
              <w:rPr>
                <w:b/>
              </w:rPr>
              <w:t>Variable</w:t>
            </w:r>
          </w:p>
        </w:tc>
        <w:tc>
          <w:tcPr>
            <w:tcW w:w="1890" w:type="dxa"/>
          </w:tcPr>
          <w:p w14:paraId="18FAAFBD" w14:textId="14F27998" w:rsidR="006B6F22" w:rsidRPr="009F1107" w:rsidRDefault="006B6F22" w:rsidP="000760AC">
            <w:pPr>
              <w:jc w:val="center"/>
              <w:rPr>
                <w:b/>
              </w:rPr>
            </w:pPr>
            <w:r w:rsidRPr="009F1107">
              <w:rPr>
                <w:b/>
              </w:rPr>
              <w:t xml:space="preserve">Class 1  </w:t>
            </w:r>
            <w:r w:rsidR="007422D7">
              <w:rPr>
                <w:b/>
              </w:rPr>
              <w:t>SPD-Absent/</w:t>
            </w:r>
            <w:r w:rsidRPr="009F1107">
              <w:rPr>
                <w:b/>
              </w:rPr>
              <w:t>Controls (n=1</w:t>
            </w:r>
            <w:r>
              <w:rPr>
                <w:b/>
              </w:rPr>
              <w:t>15</w:t>
            </w:r>
            <w:r w:rsidRPr="009F1107">
              <w:rPr>
                <w:b/>
              </w:rPr>
              <w:t>)</w:t>
            </w:r>
          </w:p>
        </w:tc>
        <w:tc>
          <w:tcPr>
            <w:tcW w:w="1530" w:type="dxa"/>
          </w:tcPr>
          <w:p w14:paraId="317E3C78" w14:textId="77777777" w:rsidR="007422D7" w:rsidRDefault="006B6F22" w:rsidP="000760AC">
            <w:pPr>
              <w:jc w:val="center"/>
              <w:rPr>
                <w:b/>
              </w:rPr>
            </w:pPr>
            <w:r w:rsidRPr="009F1107">
              <w:rPr>
                <w:b/>
              </w:rPr>
              <w:t>SPD</w:t>
            </w:r>
            <w:r>
              <w:rPr>
                <w:b/>
              </w:rPr>
              <w:t xml:space="preserve"> </w:t>
            </w:r>
          </w:p>
          <w:p w14:paraId="6434A995" w14:textId="356652AB" w:rsidR="006B6F22" w:rsidRPr="009F1107" w:rsidRDefault="006B6F22" w:rsidP="000760AC">
            <w:pPr>
              <w:jc w:val="center"/>
              <w:rPr>
                <w:b/>
              </w:rPr>
            </w:pPr>
            <w:r>
              <w:rPr>
                <w:b/>
              </w:rPr>
              <w:t>Subtype 1</w:t>
            </w:r>
            <w:r w:rsidRPr="009F1107">
              <w:rPr>
                <w:b/>
              </w:rPr>
              <w:t xml:space="preserve"> (n=</w:t>
            </w:r>
            <w:r>
              <w:rPr>
                <w:b/>
              </w:rPr>
              <w:t>112</w:t>
            </w:r>
            <w:r w:rsidRPr="009F1107">
              <w:rPr>
                <w:b/>
              </w:rPr>
              <w:t>)</w:t>
            </w:r>
          </w:p>
        </w:tc>
        <w:tc>
          <w:tcPr>
            <w:tcW w:w="1350" w:type="dxa"/>
          </w:tcPr>
          <w:p w14:paraId="535A9900" w14:textId="7ACA15C4" w:rsidR="006B6F22" w:rsidRPr="009F1107" w:rsidRDefault="00CC1FBA" w:rsidP="000760AC">
            <w:pPr>
              <w:jc w:val="center"/>
              <w:rPr>
                <w:b/>
              </w:rPr>
            </w:pPr>
            <w:r>
              <w:rPr>
                <w:b/>
              </w:rPr>
              <w:t>SPD</w:t>
            </w:r>
            <w:r w:rsidR="006B6F22">
              <w:rPr>
                <w:b/>
              </w:rPr>
              <w:t xml:space="preserve"> Subtype 2</w:t>
            </w:r>
            <w:r w:rsidR="006B6F22" w:rsidRPr="009F1107">
              <w:rPr>
                <w:b/>
              </w:rPr>
              <w:t xml:space="preserve"> (n=</w:t>
            </w:r>
            <w:r w:rsidR="006B6F22">
              <w:rPr>
                <w:b/>
              </w:rPr>
              <w:t>52</w:t>
            </w:r>
            <w:r w:rsidR="006B6F22" w:rsidRPr="009F1107">
              <w:rPr>
                <w:b/>
              </w:rPr>
              <w:t>)</w:t>
            </w:r>
          </w:p>
        </w:tc>
        <w:tc>
          <w:tcPr>
            <w:tcW w:w="2430" w:type="dxa"/>
          </w:tcPr>
          <w:p w14:paraId="55AC6B51" w14:textId="77777777" w:rsidR="006B6F22" w:rsidRPr="009F1107" w:rsidRDefault="006B6F22" w:rsidP="000760AC">
            <w:pPr>
              <w:jc w:val="center"/>
              <w:rPr>
                <w:b/>
              </w:rPr>
            </w:pPr>
            <w:r w:rsidRPr="009F1107">
              <w:rPr>
                <w:b/>
              </w:rPr>
              <w:t>Statistic –</w:t>
            </w:r>
          </w:p>
          <w:p w14:paraId="529DE5DB" w14:textId="77777777" w:rsidR="006B6F22" w:rsidRPr="009F1107" w:rsidRDefault="006B6F22" w:rsidP="000760AC">
            <w:pPr>
              <w:jc w:val="center"/>
              <w:rPr>
                <w:b/>
              </w:rPr>
            </w:pPr>
            <w:r w:rsidRPr="009F1107">
              <w:rPr>
                <w:b/>
              </w:rPr>
              <w:t xml:space="preserve">Overall </w:t>
            </w:r>
          </w:p>
        </w:tc>
        <w:tc>
          <w:tcPr>
            <w:tcW w:w="2790" w:type="dxa"/>
          </w:tcPr>
          <w:p w14:paraId="0E87DDD3" w14:textId="77777777" w:rsidR="006B6F22" w:rsidRPr="009F1107" w:rsidRDefault="006B6F22" w:rsidP="000760AC">
            <w:pPr>
              <w:jc w:val="center"/>
              <w:rPr>
                <w:b/>
              </w:rPr>
            </w:pPr>
            <w:r w:rsidRPr="009F1107">
              <w:rPr>
                <w:b/>
              </w:rPr>
              <w:t>Post hoc tests</w:t>
            </w:r>
          </w:p>
        </w:tc>
      </w:tr>
      <w:tr w:rsidR="006B6F22" w:rsidRPr="009F1107" w14:paraId="71C02D71" w14:textId="77777777" w:rsidTr="004219C2">
        <w:tc>
          <w:tcPr>
            <w:tcW w:w="13297" w:type="dxa"/>
            <w:gridSpan w:val="6"/>
          </w:tcPr>
          <w:p w14:paraId="298BC2E2" w14:textId="434C4B04" w:rsidR="006B6F22" w:rsidRPr="00BC4A2C" w:rsidRDefault="00423850" w:rsidP="000760AC">
            <w:pPr>
              <w:jc w:val="center"/>
              <w:rPr>
                <w:b/>
              </w:rPr>
            </w:pPr>
            <w:r>
              <w:rPr>
                <w:b/>
              </w:rPr>
              <w:t xml:space="preserve">Demographic and </w:t>
            </w:r>
            <w:r w:rsidR="006B6F22" w:rsidRPr="00BC4A2C">
              <w:rPr>
                <w:b/>
              </w:rPr>
              <w:t>Clinical Measures</w:t>
            </w:r>
          </w:p>
        </w:tc>
      </w:tr>
      <w:tr w:rsidR="006B6F22" w:rsidRPr="009F1107" w14:paraId="24E9B61A" w14:textId="77777777" w:rsidTr="007422D7">
        <w:tc>
          <w:tcPr>
            <w:tcW w:w="3307" w:type="dxa"/>
          </w:tcPr>
          <w:p w14:paraId="749C43FB" w14:textId="0AB70E90" w:rsidR="006B6F22" w:rsidRPr="009F1107" w:rsidRDefault="006B6F22" w:rsidP="000760AC">
            <w:pPr>
              <w:rPr>
                <w:b/>
              </w:rPr>
            </w:pPr>
            <w:r>
              <w:rPr>
                <w:b/>
              </w:rPr>
              <w:t>Age</w:t>
            </w:r>
            <w:r w:rsidR="00423850">
              <w:rPr>
                <w:b/>
              </w:rPr>
              <w:t xml:space="preserve">, </w:t>
            </w:r>
            <w:proofErr w:type="spellStart"/>
            <w:r w:rsidR="00423850">
              <w:rPr>
                <w:b/>
              </w:rPr>
              <w:t>yrs</w:t>
            </w:r>
            <w:proofErr w:type="spellEnd"/>
          </w:p>
        </w:tc>
        <w:tc>
          <w:tcPr>
            <w:tcW w:w="1890" w:type="dxa"/>
          </w:tcPr>
          <w:p w14:paraId="29E8DECF" w14:textId="77777777" w:rsidR="006B6F22" w:rsidRPr="009F1107" w:rsidRDefault="006B6F22" w:rsidP="000760AC">
            <w:pPr>
              <w:jc w:val="center"/>
            </w:pPr>
            <w:r w:rsidRPr="00FC423D">
              <w:t xml:space="preserve">29.78 </w:t>
            </w:r>
            <w:r>
              <w:t>(</w:t>
            </w:r>
            <w:r w:rsidRPr="00FC423D">
              <w:t>0.937</w:t>
            </w:r>
            <w:r>
              <w:t>)</w:t>
            </w:r>
          </w:p>
        </w:tc>
        <w:tc>
          <w:tcPr>
            <w:tcW w:w="1530" w:type="dxa"/>
          </w:tcPr>
          <w:p w14:paraId="65B870F5" w14:textId="77777777" w:rsidR="006B6F22" w:rsidRPr="009F1107" w:rsidRDefault="006B6F22" w:rsidP="000760AC">
            <w:pPr>
              <w:jc w:val="center"/>
            </w:pPr>
            <w:r w:rsidRPr="00FC423D">
              <w:t xml:space="preserve">30.244 </w:t>
            </w:r>
            <w:r>
              <w:t>(</w:t>
            </w:r>
            <w:r w:rsidRPr="00FC423D">
              <w:t>0.967</w:t>
            </w:r>
            <w:r>
              <w:t>)</w:t>
            </w:r>
          </w:p>
        </w:tc>
        <w:tc>
          <w:tcPr>
            <w:tcW w:w="1350" w:type="dxa"/>
          </w:tcPr>
          <w:p w14:paraId="6FD244F6" w14:textId="77777777" w:rsidR="006B6F22" w:rsidRPr="009F1107" w:rsidRDefault="006B6F22" w:rsidP="000760AC">
            <w:pPr>
              <w:jc w:val="center"/>
            </w:pPr>
            <w:r w:rsidRPr="00FC423D">
              <w:t xml:space="preserve">32.1 </w:t>
            </w:r>
            <w:r>
              <w:t>(</w:t>
            </w:r>
            <w:r w:rsidRPr="00FC423D">
              <w:t>1.644</w:t>
            </w:r>
            <w:r>
              <w:t>)</w:t>
            </w:r>
          </w:p>
        </w:tc>
        <w:tc>
          <w:tcPr>
            <w:tcW w:w="2430" w:type="dxa"/>
          </w:tcPr>
          <w:p w14:paraId="70AC8906" w14:textId="77777777" w:rsidR="006B6F22" w:rsidRDefault="006B6F22" w:rsidP="000760AC">
            <w:pPr>
              <w:jc w:val="center"/>
            </w:pPr>
            <w:r w:rsidRPr="00FC423D">
              <w:t>Chi</w:t>
            </w:r>
            <w:r>
              <w:t>-</w:t>
            </w:r>
            <w:r w:rsidRPr="00FC423D">
              <w:t>sq</w:t>
            </w:r>
            <w:r>
              <w:t>uare =</w:t>
            </w:r>
            <w:r w:rsidRPr="00FC423D">
              <w:t xml:space="preserve"> 1.51</w:t>
            </w:r>
            <w:r>
              <w:t>;</w:t>
            </w:r>
            <w:r w:rsidRPr="00FC423D">
              <w:t xml:space="preserve"> df</w:t>
            </w:r>
            <w:r>
              <w:t>=</w:t>
            </w:r>
            <w:r w:rsidRPr="00FC423D">
              <w:t>2</w:t>
            </w:r>
            <w:r>
              <w:t>;</w:t>
            </w:r>
            <w:r w:rsidRPr="00FC423D">
              <w:t xml:space="preserve"> </w:t>
            </w:r>
          </w:p>
          <w:p w14:paraId="7C30382A" w14:textId="77777777" w:rsidR="006B6F22" w:rsidRDefault="006B6F22" w:rsidP="000760AC">
            <w:pPr>
              <w:jc w:val="center"/>
            </w:pPr>
            <w:r>
              <w:t>p=</w:t>
            </w:r>
            <w:r w:rsidRPr="00FC423D">
              <w:t xml:space="preserve"> 0.47</w:t>
            </w:r>
          </w:p>
          <w:p w14:paraId="2611AE88" w14:textId="361D529D" w:rsidR="00B50E7D" w:rsidRPr="009F1107" w:rsidRDefault="00B50E7D" w:rsidP="000760AC">
            <w:pPr>
              <w:jc w:val="center"/>
            </w:pPr>
            <w:r>
              <w:t>(corrected p value =1)</w:t>
            </w:r>
          </w:p>
        </w:tc>
        <w:tc>
          <w:tcPr>
            <w:tcW w:w="2790" w:type="dxa"/>
          </w:tcPr>
          <w:p w14:paraId="0F615AEC" w14:textId="77777777" w:rsidR="006B6F22" w:rsidRPr="009F1107" w:rsidRDefault="006B6F22" w:rsidP="000760AC">
            <w:pPr>
              <w:jc w:val="center"/>
            </w:pPr>
          </w:p>
        </w:tc>
      </w:tr>
      <w:tr w:rsidR="006B6F22" w:rsidRPr="009F1107" w14:paraId="75A3A54A" w14:textId="77777777" w:rsidTr="007422D7">
        <w:tc>
          <w:tcPr>
            <w:tcW w:w="3307" w:type="dxa"/>
          </w:tcPr>
          <w:p w14:paraId="34FBB6EC" w14:textId="36BEAAC7" w:rsidR="006B6F22" w:rsidRPr="009F1107" w:rsidRDefault="00FA5DCC">
            <w:pPr>
              <w:rPr>
                <w:b/>
              </w:rPr>
            </w:pPr>
            <w:r>
              <w:rPr>
                <w:b/>
              </w:rPr>
              <w:t>Sex</w:t>
            </w:r>
            <w:r w:rsidR="00423850">
              <w:rPr>
                <w:b/>
              </w:rPr>
              <w:t>, p</w:t>
            </w:r>
            <w:r w:rsidR="00B70978">
              <w:rPr>
                <w:b/>
              </w:rPr>
              <w:t>roportion</w:t>
            </w:r>
            <w:r w:rsidR="00423850">
              <w:rPr>
                <w:b/>
              </w:rPr>
              <w:t xml:space="preserve"> female</w:t>
            </w:r>
          </w:p>
        </w:tc>
        <w:tc>
          <w:tcPr>
            <w:tcW w:w="1890" w:type="dxa"/>
          </w:tcPr>
          <w:p w14:paraId="37A54D68" w14:textId="4BAA521C" w:rsidR="006B6F22" w:rsidRPr="009F1107" w:rsidRDefault="00B70978">
            <w:pPr>
              <w:jc w:val="center"/>
            </w:pPr>
            <w:r>
              <w:t>0.</w:t>
            </w:r>
            <w:r w:rsidR="00FA5DCC">
              <w:t>816</w:t>
            </w:r>
          </w:p>
        </w:tc>
        <w:tc>
          <w:tcPr>
            <w:tcW w:w="1530" w:type="dxa"/>
          </w:tcPr>
          <w:p w14:paraId="5B97682B" w14:textId="601CD064" w:rsidR="006B6F22" w:rsidRPr="009F1107" w:rsidRDefault="00B70978" w:rsidP="000760AC">
            <w:pPr>
              <w:jc w:val="center"/>
            </w:pPr>
            <w:r>
              <w:t>0.</w:t>
            </w:r>
            <w:r w:rsidR="00FA5DCC">
              <w:t>840</w:t>
            </w:r>
          </w:p>
        </w:tc>
        <w:tc>
          <w:tcPr>
            <w:tcW w:w="1350" w:type="dxa"/>
          </w:tcPr>
          <w:p w14:paraId="5A842E35" w14:textId="4C736C76" w:rsidR="006B6F22" w:rsidRPr="009F1107" w:rsidRDefault="00B70978">
            <w:pPr>
              <w:jc w:val="center"/>
            </w:pPr>
            <w:r>
              <w:t>0.</w:t>
            </w:r>
            <w:r w:rsidR="00FA5DCC">
              <w:t>856</w:t>
            </w:r>
          </w:p>
        </w:tc>
        <w:tc>
          <w:tcPr>
            <w:tcW w:w="2430" w:type="dxa"/>
          </w:tcPr>
          <w:p w14:paraId="15988E03" w14:textId="2C8EFBBE" w:rsidR="00FA5DCC" w:rsidRDefault="00FA5DCC" w:rsidP="00FA5DCC">
            <w:pPr>
              <w:jc w:val="center"/>
            </w:pPr>
            <w:r w:rsidRPr="00957B46">
              <w:t>Chi</w:t>
            </w:r>
            <w:r>
              <w:t>-</w:t>
            </w:r>
            <w:r w:rsidRPr="00957B46">
              <w:t>sq</w:t>
            </w:r>
            <w:r>
              <w:t>uare =</w:t>
            </w:r>
            <w:r w:rsidRPr="00957B46">
              <w:t xml:space="preserve"> 0.</w:t>
            </w:r>
            <w:r>
              <w:t>460;</w:t>
            </w:r>
          </w:p>
          <w:p w14:paraId="3659F69B" w14:textId="360099E9" w:rsidR="006B6F22" w:rsidRDefault="00FA5DCC" w:rsidP="00FA5DCC">
            <w:pPr>
              <w:jc w:val="center"/>
            </w:pPr>
            <w:r w:rsidRPr="00957B46">
              <w:t xml:space="preserve"> </w:t>
            </w:r>
            <w:r>
              <w:t>d</w:t>
            </w:r>
            <w:r w:rsidRPr="00957B46">
              <w:t>f</w:t>
            </w:r>
            <w:r>
              <w:t>=</w:t>
            </w:r>
            <w:r w:rsidRPr="00957B46">
              <w:t>2</w:t>
            </w:r>
            <w:r w:rsidR="004219C2">
              <w:t>;</w:t>
            </w:r>
            <w:r w:rsidRPr="00957B46">
              <w:t xml:space="preserve"> P</w:t>
            </w:r>
            <w:r>
              <w:t>=</w:t>
            </w:r>
            <w:r w:rsidRPr="00957B46">
              <w:t xml:space="preserve"> 0.</w:t>
            </w:r>
            <w:r>
              <w:t>795</w:t>
            </w:r>
          </w:p>
          <w:p w14:paraId="1BED995F" w14:textId="72E50776" w:rsidR="00B50E7D" w:rsidRPr="009F1107" w:rsidRDefault="00B50E7D" w:rsidP="00FA5DCC">
            <w:pPr>
              <w:jc w:val="center"/>
            </w:pPr>
            <w:r>
              <w:t>(corrected p value =1)</w:t>
            </w:r>
          </w:p>
        </w:tc>
        <w:tc>
          <w:tcPr>
            <w:tcW w:w="2790" w:type="dxa"/>
          </w:tcPr>
          <w:p w14:paraId="05219D7E" w14:textId="5661A21E" w:rsidR="006B6F22" w:rsidRPr="009F1107" w:rsidRDefault="006B6F22" w:rsidP="000760AC">
            <w:pPr>
              <w:jc w:val="center"/>
            </w:pPr>
          </w:p>
        </w:tc>
      </w:tr>
      <w:tr w:rsidR="006B6F22" w:rsidRPr="009F1107" w14:paraId="2C6DC59E" w14:textId="77777777" w:rsidTr="007422D7">
        <w:tc>
          <w:tcPr>
            <w:tcW w:w="3307" w:type="dxa"/>
          </w:tcPr>
          <w:p w14:paraId="220902C4" w14:textId="15E83A31" w:rsidR="006B6F22" w:rsidRPr="009F1107" w:rsidRDefault="006B6F22" w:rsidP="000760AC">
            <w:pPr>
              <w:rPr>
                <w:b/>
              </w:rPr>
            </w:pPr>
            <w:r>
              <w:rPr>
                <w:b/>
              </w:rPr>
              <w:t>Duration of illness</w:t>
            </w:r>
            <w:r w:rsidR="00423850">
              <w:rPr>
                <w:b/>
              </w:rPr>
              <w:t xml:space="preserve">, </w:t>
            </w:r>
            <w:proofErr w:type="spellStart"/>
            <w:r w:rsidR="00423850">
              <w:rPr>
                <w:b/>
              </w:rPr>
              <w:t>yrs</w:t>
            </w:r>
            <w:proofErr w:type="spellEnd"/>
          </w:p>
        </w:tc>
        <w:tc>
          <w:tcPr>
            <w:tcW w:w="1890" w:type="dxa"/>
          </w:tcPr>
          <w:p w14:paraId="4EBBEED8" w14:textId="77777777" w:rsidR="006B6F22" w:rsidRPr="009F1107" w:rsidRDefault="006B6F22" w:rsidP="000760AC">
            <w:pPr>
              <w:jc w:val="center"/>
            </w:pPr>
            <w:r w:rsidRPr="00957B46">
              <w:t xml:space="preserve">17.557 </w:t>
            </w:r>
            <w:r>
              <w:t>(</w:t>
            </w:r>
            <w:r w:rsidRPr="00957B46">
              <w:t>1.452</w:t>
            </w:r>
            <w:r>
              <w:t>)</w:t>
            </w:r>
          </w:p>
        </w:tc>
        <w:tc>
          <w:tcPr>
            <w:tcW w:w="1530" w:type="dxa"/>
          </w:tcPr>
          <w:p w14:paraId="1AC6C5EA" w14:textId="77777777" w:rsidR="006B6F22" w:rsidRPr="009F1107" w:rsidRDefault="006B6F22" w:rsidP="000760AC">
            <w:pPr>
              <w:jc w:val="center"/>
            </w:pPr>
            <w:r w:rsidRPr="00957B46">
              <w:t xml:space="preserve">17.821 </w:t>
            </w:r>
            <w:r>
              <w:t>(</w:t>
            </w:r>
            <w:r w:rsidRPr="00957B46">
              <w:t>1.103</w:t>
            </w:r>
            <w:r>
              <w:t>)</w:t>
            </w:r>
          </w:p>
        </w:tc>
        <w:tc>
          <w:tcPr>
            <w:tcW w:w="1350" w:type="dxa"/>
          </w:tcPr>
          <w:p w14:paraId="56A355A2" w14:textId="77777777" w:rsidR="006B6F22" w:rsidRPr="009F1107" w:rsidRDefault="006B6F22" w:rsidP="000760AC">
            <w:pPr>
              <w:jc w:val="center"/>
            </w:pPr>
            <w:r w:rsidRPr="00957B46">
              <w:t xml:space="preserve">18.095 </w:t>
            </w:r>
            <w:r>
              <w:t>(</w:t>
            </w:r>
            <w:r w:rsidRPr="00957B46">
              <w:t>1.7</w:t>
            </w:r>
            <w:r>
              <w:t>)</w:t>
            </w:r>
          </w:p>
        </w:tc>
        <w:tc>
          <w:tcPr>
            <w:tcW w:w="2430" w:type="dxa"/>
          </w:tcPr>
          <w:p w14:paraId="53190776" w14:textId="77777777" w:rsidR="006B6F22" w:rsidRDefault="006B6F22" w:rsidP="000760AC">
            <w:pPr>
              <w:jc w:val="center"/>
            </w:pPr>
            <w:r w:rsidRPr="00957B46">
              <w:t>Chi</w:t>
            </w:r>
            <w:r>
              <w:t>-</w:t>
            </w:r>
            <w:r w:rsidRPr="00957B46">
              <w:t>sq</w:t>
            </w:r>
            <w:r>
              <w:t>uare =</w:t>
            </w:r>
            <w:r w:rsidRPr="00957B46">
              <w:t xml:space="preserve"> 0.058</w:t>
            </w:r>
            <w:r>
              <w:t>;</w:t>
            </w:r>
          </w:p>
          <w:p w14:paraId="2D8836C6" w14:textId="52E9D14B" w:rsidR="006B6F22" w:rsidRDefault="006B6F22" w:rsidP="000760AC">
            <w:pPr>
              <w:jc w:val="center"/>
            </w:pPr>
            <w:r w:rsidRPr="00957B46">
              <w:t xml:space="preserve"> </w:t>
            </w:r>
            <w:r>
              <w:t>d</w:t>
            </w:r>
            <w:r w:rsidRPr="00957B46">
              <w:t>f</w:t>
            </w:r>
            <w:r>
              <w:t>=</w:t>
            </w:r>
            <w:proofErr w:type="gramStart"/>
            <w:r w:rsidRPr="00957B46">
              <w:t>2</w:t>
            </w:r>
            <w:r w:rsidR="004219C2">
              <w:t xml:space="preserve">; </w:t>
            </w:r>
            <w:r w:rsidRPr="00957B46">
              <w:t xml:space="preserve"> P</w:t>
            </w:r>
            <w:proofErr w:type="gramEnd"/>
            <w:r>
              <w:t>=</w:t>
            </w:r>
            <w:r w:rsidRPr="00957B46">
              <w:t xml:space="preserve"> 0.971</w:t>
            </w:r>
          </w:p>
          <w:p w14:paraId="6DF3676D" w14:textId="50C783A9" w:rsidR="00B50E7D" w:rsidRPr="009F1107" w:rsidRDefault="00B50E7D" w:rsidP="000760AC">
            <w:pPr>
              <w:jc w:val="center"/>
            </w:pPr>
            <w:r>
              <w:t>(corrected p value =1)</w:t>
            </w:r>
          </w:p>
        </w:tc>
        <w:tc>
          <w:tcPr>
            <w:tcW w:w="2790" w:type="dxa"/>
          </w:tcPr>
          <w:p w14:paraId="2DD3ABAD" w14:textId="77777777" w:rsidR="006B6F22" w:rsidRPr="009F1107" w:rsidRDefault="006B6F22" w:rsidP="000760AC">
            <w:pPr>
              <w:jc w:val="center"/>
            </w:pPr>
          </w:p>
        </w:tc>
      </w:tr>
      <w:tr w:rsidR="006B6F22" w:rsidRPr="009F1107" w14:paraId="4D9FF984" w14:textId="77777777" w:rsidTr="007422D7">
        <w:tc>
          <w:tcPr>
            <w:tcW w:w="3307" w:type="dxa"/>
          </w:tcPr>
          <w:p w14:paraId="0A4319F7" w14:textId="48D76015" w:rsidR="006B6F22" w:rsidRPr="009F1107" w:rsidRDefault="006B6F22" w:rsidP="00423850">
            <w:pPr>
              <w:rPr>
                <w:b/>
              </w:rPr>
            </w:pPr>
            <w:r w:rsidRPr="009F1107">
              <w:rPr>
                <w:b/>
              </w:rPr>
              <w:t>ADHD symptoms (Adult ADHD Self-Report Scale Screener</w:t>
            </w:r>
            <w:r w:rsidR="00423850">
              <w:rPr>
                <w:b/>
              </w:rPr>
              <w:t xml:space="preserve"> </w:t>
            </w:r>
            <w:r>
              <w:rPr>
                <w:b/>
              </w:rPr>
              <w:t xml:space="preserve">total </w:t>
            </w:r>
            <w:r w:rsidRPr="009F1107">
              <w:rPr>
                <w:b/>
              </w:rPr>
              <w:t>scores</w:t>
            </w:r>
            <w:r w:rsidR="00423850">
              <w:rPr>
                <w:b/>
              </w:rPr>
              <w:t>)</w:t>
            </w:r>
          </w:p>
        </w:tc>
        <w:tc>
          <w:tcPr>
            <w:tcW w:w="1890" w:type="dxa"/>
          </w:tcPr>
          <w:p w14:paraId="4B47CADB" w14:textId="77777777" w:rsidR="006B6F22" w:rsidRPr="009F1107" w:rsidRDefault="006B6F22" w:rsidP="000760AC">
            <w:pPr>
              <w:jc w:val="center"/>
            </w:pPr>
            <w:r w:rsidRPr="00D841C3">
              <w:t xml:space="preserve">1.149 </w:t>
            </w:r>
            <w:r>
              <w:t>(</w:t>
            </w:r>
            <w:r w:rsidRPr="00D841C3">
              <w:t>0.142</w:t>
            </w:r>
            <w:r>
              <w:t>)</w:t>
            </w:r>
          </w:p>
        </w:tc>
        <w:tc>
          <w:tcPr>
            <w:tcW w:w="1530" w:type="dxa"/>
          </w:tcPr>
          <w:p w14:paraId="1C3E2142" w14:textId="77777777" w:rsidR="006B6F22" w:rsidRPr="009F1107" w:rsidRDefault="006B6F22" w:rsidP="000760AC">
            <w:pPr>
              <w:jc w:val="center"/>
            </w:pPr>
            <w:r w:rsidRPr="00D841C3">
              <w:t xml:space="preserve">2.478 </w:t>
            </w:r>
            <w:r>
              <w:t>(</w:t>
            </w:r>
            <w:r w:rsidRPr="00D841C3">
              <w:t>0.182</w:t>
            </w:r>
            <w:r>
              <w:t>)</w:t>
            </w:r>
          </w:p>
        </w:tc>
        <w:tc>
          <w:tcPr>
            <w:tcW w:w="1350" w:type="dxa"/>
          </w:tcPr>
          <w:p w14:paraId="168E9175" w14:textId="77777777" w:rsidR="006B6F22" w:rsidRPr="009F1107" w:rsidRDefault="006B6F22" w:rsidP="000760AC">
            <w:pPr>
              <w:jc w:val="center"/>
            </w:pPr>
            <w:r w:rsidRPr="00D841C3">
              <w:t xml:space="preserve">1.834 </w:t>
            </w:r>
            <w:r>
              <w:t>(</w:t>
            </w:r>
            <w:r w:rsidRPr="00D841C3">
              <w:t>0.257</w:t>
            </w:r>
            <w:r>
              <w:t>)</w:t>
            </w:r>
          </w:p>
        </w:tc>
        <w:tc>
          <w:tcPr>
            <w:tcW w:w="2430" w:type="dxa"/>
          </w:tcPr>
          <w:p w14:paraId="766EFCFC" w14:textId="77777777" w:rsidR="006B6F22" w:rsidRDefault="006B6F22" w:rsidP="000760AC">
            <w:pPr>
              <w:jc w:val="center"/>
            </w:pPr>
            <w:r w:rsidRPr="00957B46">
              <w:t>Chi</w:t>
            </w:r>
            <w:r>
              <w:t>-</w:t>
            </w:r>
            <w:r w:rsidRPr="00957B46">
              <w:t>sq</w:t>
            </w:r>
            <w:r>
              <w:t>uare =</w:t>
            </w:r>
            <w:r w:rsidRPr="00957B46">
              <w:t xml:space="preserve"> </w:t>
            </w:r>
            <w:r>
              <w:t>33.606;</w:t>
            </w:r>
          </w:p>
          <w:p w14:paraId="644F9E5F" w14:textId="39959667" w:rsidR="006B6F22" w:rsidRDefault="006B6F22" w:rsidP="000760AC">
            <w:pPr>
              <w:jc w:val="center"/>
            </w:pPr>
            <w:r w:rsidRPr="00957B46">
              <w:t xml:space="preserve"> </w:t>
            </w:r>
            <w:r>
              <w:t>d</w:t>
            </w:r>
            <w:r w:rsidRPr="00957B46">
              <w:t>f</w:t>
            </w:r>
            <w:r>
              <w:t>=</w:t>
            </w:r>
            <w:r w:rsidRPr="00957B46">
              <w:t>2</w:t>
            </w:r>
            <w:r w:rsidR="004219C2">
              <w:t>; p</w:t>
            </w:r>
            <w:r>
              <w:t>&lt;.00</w:t>
            </w:r>
            <w:r w:rsidR="007022A2">
              <w:t>1</w:t>
            </w:r>
          </w:p>
          <w:p w14:paraId="72A039D4" w14:textId="7BDD75F2" w:rsidR="00B50E7D" w:rsidRPr="009F1107" w:rsidRDefault="00B50E7D" w:rsidP="00B50E7D">
            <w:pPr>
              <w:jc w:val="center"/>
            </w:pPr>
            <w:r>
              <w:t>(corrected p value &lt;.001)</w:t>
            </w:r>
          </w:p>
        </w:tc>
        <w:tc>
          <w:tcPr>
            <w:tcW w:w="2790" w:type="dxa"/>
          </w:tcPr>
          <w:p w14:paraId="07D76684" w14:textId="26458A45" w:rsidR="006B6F22" w:rsidRDefault="006B6F22" w:rsidP="000760AC">
            <w:pPr>
              <w:jc w:val="center"/>
            </w:pPr>
            <w:r>
              <w:t>Subtype 1 compared to controls (p&lt;.00</w:t>
            </w:r>
            <w:r w:rsidR="007022A2">
              <w:t>1</w:t>
            </w:r>
            <w:r>
              <w:t>) and compared to subtype 2 (p=.041)</w:t>
            </w:r>
          </w:p>
          <w:p w14:paraId="6D848A07" w14:textId="77777777" w:rsidR="006B6F22" w:rsidRDefault="006B6F22" w:rsidP="000760AC">
            <w:pPr>
              <w:jc w:val="center"/>
            </w:pPr>
          </w:p>
          <w:p w14:paraId="10B0119A" w14:textId="01D92E6C" w:rsidR="006B6F22" w:rsidRPr="009F1107" w:rsidRDefault="006B6F22" w:rsidP="000760AC">
            <w:pPr>
              <w:jc w:val="center"/>
            </w:pPr>
            <w:r>
              <w:t>Subtype 2 compared to controls (p</w:t>
            </w:r>
            <w:r w:rsidR="00EA6335">
              <w:t>=</w:t>
            </w:r>
            <w:r>
              <w:t>.02)</w:t>
            </w:r>
          </w:p>
        </w:tc>
      </w:tr>
      <w:tr w:rsidR="006B6F22" w:rsidRPr="009F1107" w14:paraId="1D516AD4" w14:textId="77777777" w:rsidTr="007422D7">
        <w:trPr>
          <w:trHeight w:val="1052"/>
        </w:trPr>
        <w:tc>
          <w:tcPr>
            <w:tcW w:w="3307" w:type="dxa"/>
          </w:tcPr>
          <w:p w14:paraId="32EE009A" w14:textId="77777777" w:rsidR="006B6F22" w:rsidRPr="009F1107" w:rsidRDefault="006B6F22" w:rsidP="000760AC">
            <w:pPr>
              <w:rPr>
                <w:b/>
              </w:rPr>
            </w:pPr>
            <w:r w:rsidRPr="009F1107">
              <w:rPr>
                <w:b/>
              </w:rPr>
              <w:t xml:space="preserve">Impairment due to BFRB (Sheehan Disability Scale total score) </w:t>
            </w:r>
          </w:p>
        </w:tc>
        <w:tc>
          <w:tcPr>
            <w:tcW w:w="1890" w:type="dxa"/>
          </w:tcPr>
          <w:p w14:paraId="6F99D116" w14:textId="77777777" w:rsidR="006B6F22" w:rsidRPr="009F1107" w:rsidRDefault="006B6F22" w:rsidP="000760AC">
            <w:pPr>
              <w:jc w:val="center"/>
            </w:pPr>
            <w:r w:rsidRPr="002331C3">
              <w:t xml:space="preserve">3.861 </w:t>
            </w:r>
            <w:r>
              <w:t>(</w:t>
            </w:r>
            <w:r w:rsidRPr="002331C3">
              <w:t>0.482</w:t>
            </w:r>
            <w:r>
              <w:t>)</w:t>
            </w:r>
          </w:p>
        </w:tc>
        <w:tc>
          <w:tcPr>
            <w:tcW w:w="1530" w:type="dxa"/>
          </w:tcPr>
          <w:p w14:paraId="7AF71B38" w14:textId="77777777" w:rsidR="006B6F22" w:rsidRPr="009F1107" w:rsidRDefault="006B6F22" w:rsidP="000760AC">
            <w:pPr>
              <w:jc w:val="center"/>
            </w:pPr>
            <w:r w:rsidRPr="002331C3">
              <w:t xml:space="preserve">9.817 </w:t>
            </w:r>
            <w:r>
              <w:t>(</w:t>
            </w:r>
            <w:r w:rsidRPr="002331C3">
              <w:t>0.741</w:t>
            </w:r>
            <w:r>
              <w:t>)</w:t>
            </w:r>
          </w:p>
        </w:tc>
        <w:tc>
          <w:tcPr>
            <w:tcW w:w="1350" w:type="dxa"/>
          </w:tcPr>
          <w:p w14:paraId="74DC38A3" w14:textId="77777777" w:rsidR="006B6F22" w:rsidRPr="009F1107" w:rsidRDefault="006B6F22" w:rsidP="000760AC">
            <w:pPr>
              <w:jc w:val="center"/>
            </w:pPr>
            <w:r w:rsidRPr="002331C3">
              <w:t xml:space="preserve">5.706 </w:t>
            </w:r>
            <w:r>
              <w:t>(</w:t>
            </w:r>
            <w:r w:rsidRPr="002331C3">
              <w:t>0.932</w:t>
            </w:r>
            <w:r>
              <w:t>)</w:t>
            </w:r>
          </w:p>
        </w:tc>
        <w:tc>
          <w:tcPr>
            <w:tcW w:w="2430" w:type="dxa"/>
          </w:tcPr>
          <w:p w14:paraId="3F75CAD0" w14:textId="77777777" w:rsidR="006B6F22" w:rsidRDefault="006B6F22" w:rsidP="000760AC">
            <w:pPr>
              <w:jc w:val="center"/>
            </w:pPr>
            <w:r w:rsidRPr="00957B46">
              <w:t>Chi</w:t>
            </w:r>
            <w:r>
              <w:t>-</w:t>
            </w:r>
            <w:r w:rsidRPr="00957B46">
              <w:t>sq</w:t>
            </w:r>
            <w:r>
              <w:t>uare =</w:t>
            </w:r>
            <w:r w:rsidRPr="00957B46">
              <w:t xml:space="preserve"> </w:t>
            </w:r>
            <w:r>
              <w:t>45.364;</w:t>
            </w:r>
          </w:p>
          <w:p w14:paraId="05DF6258" w14:textId="4CCD2BE0" w:rsidR="006B6F22" w:rsidRDefault="006B6F22" w:rsidP="00DF022C">
            <w:pPr>
              <w:jc w:val="center"/>
            </w:pPr>
            <w:r w:rsidRPr="00957B46">
              <w:t xml:space="preserve"> </w:t>
            </w:r>
            <w:r>
              <w:t>d</w:t>
            </w:r>
            <w:r w:rsidRPr="00957B46">
              <w:t>f</w:t>
            </w:r>
            <w:r>
              <w:t>=</w:t>
            </w:r>
            <w:r w:rsidRPr="00957B46">
              <w:t>2</w:t>
            </w:r>
            <w:r w:rsidR="004219C2">
              <w:t>; p</w:t>
            </w:r>
            <w:r>
              <w:t>&lt;.00</w:t>
            </w:r>
            <w:r w:rsidR="007022A2">
              <w:t>1</w:t>
            </w:r>
          </w:p>
          <w:p w14:paraId="01B234E3" w14:textId="2C8BE3BA" w:rsidR="00B50E7D" w:rsidRPr="009F1107" w:rsidRDefault="00B50E7D" w:rsidP="00B50E7D">
            <w:pPr>
              <w:jc w:val="center"/>
            </w:pPr>
            <w:r>
              <w:t>(corrected p value &lt;.001)</w:t>
            </w:r>
          </w:p>
        </w:tc>
        <w:tc>
          <w:tcPr>
            <w:tcW w:w="2790" w:type="dxa"/>
          </w:tcPr>
          <w:p w14:paraId="2CA3A72E" w14:textId="0314C66F" w:rsidR="006B6F22" w:rsidRPr="009F1107" w:rsidRDefault="006B6F22" w:rsidP="000760AC">
            <w:r>
              <w:t>Subtype 1 compared to controls (p&lt;.00</w:t>
            </w:r>
            <w:r w:rsidR="00EA6335">
              <w:t>1</w:t>
            </w:r>
            <w:r>
              <w:t>) and compared to Subtype 2 (p=.001)</w:t>
            </w:r>
          </w:p>
        </w:tc>
      </w:tr>
      <w:tr w:rsidR="006B6F22" w:rsidRPr="009F1107" w14:paraId="3BEF8BE0" w14:textId="77777777" w:rsidTr="007422D7">
        <w:tc>
          <w:tcPr>
            <w:tcW w:w="3307" w:type="dxa"/>
          </w:tcPr>
          <w:p w14:paraId="577C0CB3" w14:textId="77777777" w:rsidR="006B6F22" w:rsidRPr="009F1107" w:rsidRDefault="006B6F22" w:rsidP="000760AC">
            <w:pPr>
              <w:rPr>
                <w:b/>
              </w:rPr>
            </w:pPr>
            <w:r w:rsidRPr="009F1107">
              <w:rPr>
                <w:b/>
              </w:rPr>
              <w:t xml:space="preserve">Short Mood and </w:t>
            </w:r>
          </w:p>
          <w:p w14:paraId="4D000605" w14:textId="77777777" w:rsidR="006B6F22" w:rsidRPr="009F1107" w:rsidRDefault="006B6F22" w:rsidP="000760AC">
            <w:pPr>
              <w:rPr>
                <w:b/>
              </w:rPr>
            </w:pPr>
            <w:r w:rsidRPr="009F1107">
              <w:rPr>
                <w:b/>
              </w:rPr>
              <w:t>Feelings Questionnaire</w:t>
            </w:r>
          </w:p>
        </w:tc>
        <w:tc>
          <w:tcPr>
            <w:tcW w:w="1890" w:type="dxa"/>
          </w:tcPr>
          <w:p w14:paraId="14F3C33D" w14:textId="77777777" w:rsidR="006B6F22" w:rsidRPr="009F1107" w:rsidRDefault="006B6F22" w:rsidP="000760AC">
            <w:pPr>
              <w:jc w:val="center"/>
            </w:pPr>
            <w:r w:rsidRPr="0053114E">
              <w:t xml:space="preserve">3.345 </w:t>
            </w:r>
            <w:r>
              <w:t>(</w:t>
            </w:r>
            <w:r w:rsidRPr="0053114E">
              <w:t>0.386</w:t>
            </w:r>
            <w:r>
              <w:t>)</w:t>
            </w:r>
          </w:p>
        </w:tc>
        <w:tc>
          <w:tcPr>
            <w:tcW w:w="1530" w:type="dxa"/>
          </w:tcPr>
          <w:p w14:paraId="6695B155" w14:textId="77777777" w:rsidR="006B6F22" w:rsidRPr="009F1107" w:rsidRDefault="006B6F22" w:rsidP="000760AC">
            <w:pPr>
              <w:jc w:val="center"/>
            </w:pPr>
            <w:r w:rsidRPr="0053114E">
              <w:t xml:space="preserve">7.221 </w:t>
            </w:r>
            <w:r>
              <w:t>(</w:t>
            </w:r>
            <w:r w:rsidRPr="0053114E">
              <w:t>0.578</w:t>
            </w:r>
            <w:r>
              <w:t>)</w:t>
            </w:r>
          </w:p>
        </w:tc>
        <w:tc>
          <w:tcPr>
            <w:tcW w:w="1350" w:type="dxa"/>
          </w:tcPr>
          <w:p w14:paraId="17C0F03C" w14:textId="77777777" w:rsidR="006B6F22" w:rsidRPr="009F1107" w:rsidRDefault="006B6F22" w:rsidP="000760AC">
            <w:pPr>
              <w:jc w:val="center"/>
            </w:pPr>
            <w:r w:rsidRPr="0053114E">
              <w:t xml:space="preserve">4.651 </w:t>
            </w:r>
            <w:r>
              <w:t>(</w:t>
            </w:r>
            <w:r w:rsidRPr="0053114E">
              <w:t>0.696</w:t>
            </w:r>
            <w:r>
              <w:t>)</w:t>
            </w:r>
          </w:p>
        </w:tc>
        <w:tc>
          <w:tcPr>
            <w:tcW w:w="2430" w:type="dxa"/>
          </w:tcPr>
          <w:p w14:paraId="5FCCE5EB" w14:textId="77777777" w:rsidR="006B6F22" w:rsidRDefault="006B6F22" w:rsidP="000760AC">
            <w:pPr>
              <w:jc w:val="center"/>
            </w:pPr>
            <w:r w:rsidRPr="00957B46">
              <w:t>Chi</w:t>
            </w:r>
            <w:r>
              <w:t>-</w:t>
            </w:r>
            <w:r w:rsidRPr="00957B46">
              <w:t>sq</w:t>
            </w:r>
            <w:r>
              <w:t>uare =</w:t>
            </w:r>
            <w:r w:rsidRPr="00957B46">
              <w:t xml:space="preserve"> </w:t>
            </w:r>
            <w:r>
              <w:t>31.116;</w:t>
            </w:r>
          </w:p>
          <w:p w14:paraId="13E19E2A" w14:textId="104A444E" w:rsidR="006B6F22" w:rsidRDefault="006B6F22" w:rsidP="00DF022C">
            <w:pPr>
              <w:jc w:val="center"/>
            </w:pPr>
            <w:r w:rsidRPr="00957B46">
              <w:t xml:space="preserve"> </w:t>
            </w:r>
            <w:r>
              <w:t>d</w:t>
            </w:r>
            <w:r w:rsidRPr="00957B46">
              <w:t>f</w:t>
            </w:r>
            <w:r>
              <w:t>=</w:t>
            </w:r>
            <w:r w:rsidRPr="00957B46">
              <w:t>2</w:t>
            </w:r>
            <w:r w:rsidR="004219C2">
              <w:t xml:space="preserve">; </w:t>
            </w:r>
            <w:r>
              <w:t>p&lt;.00</w:t>
            </w:r>
            <w:r w:rsidR="007022A2">
              <w:t>1</w:t>
            </w:r>
          </w:p>
          <w:p w14:paraId="7649C00E" w14:textId="3F25642E" w:rsidR="00B50E7D" w:rsidRPr="009F1107" w:rsidRDefault="00B50E7D" w:rsidP="00B50E7D">
            <w:pPr>
              <w:jc w:val="center"/>
            </w:pPr>
            <w:r>
              <w:lastRenderedPageBreak/>
              <w:t>(corrected p value &lt;.001)</w:t>
            </w:r>
          </w:p>
        </w:tc>
        <w:tc>
          <w:tcPr>
            <w:tcW w:w="2790" w:type="dxa"/>
          </w:tcPr>
          <w:p w14:paraId="0659BE8B" w14:textId="7713C6AA" w:rsidR="006B6F22" w:rsidRPr="009F1107" w:rsidRDefault="006B6F22" w:rsidP="00DF022C">
            <w:r>
              <w:lastRenderedPageBreak/>
              <w:t>Subtype 1 compared to controls (p&lt;.00</w:t>
            </w:r>
            <w:r w:rsidR="007022A2">
              <w:t>1</w:t>
            </w:r>
            <w:r>
              <w:t xml:space="preserve">) and </w:t>
            </w:r>
            <w:r>
              <w:lastRenderedPageBreak/>
              <w:t>compared to Subtype 2 (p=.005)</w:t>
            </w:r>
          </w:p>
        </w:tc>
      </w:tr>
      <w:tr w:rsidR="006B6F22" w:rsidRPr="009F1107" w14:paraId="0FD6DD06" w14:textId="77777777" w:rsidTr="007422D7">
        <w:tc>
          <w:tcPr>
            <w:tcW w:w="3307" w:type="dxa"/>
          </w:tcPr>
          <w:p w14:paraId="18CEA932" w14:textId="51F674E1" w:rsidR="00416889" w:rsidRDefault="006B6F22" w:rsidP="000760AC">
            <w:pPr>
              <w:rPr>
                <w:b/>
              </w:rPr>
            </w:pPr>
            <w:r w:rsidRPr="00D20B9A">
              <w:rPr>
                <w:b/>
              </w:rPr>
              <w:lastRenderedPageBreak/>
              <w:t xml:space="preserve">The Emotion Regulation Questionnaire </w:t>
            </w:r>
            <w:r w:rsidR="00416889">
              <w:rPr>
                <w:b/>
              </w:rPr>
              <w:t>–</w:t>
            </w:r>
          </w:p>
          <w:p w14:paraId="73594940" w14:textId="77777777" w:rsidR="00416889" w:rsidRDefault="00416889" w:rsidP="000760AC">
            <w:pPr>
              <w:rPr>
                <w:b/>
              </w:rPr>
            </w:pPr>
          </w:p>
          <w:p w14:paraId="79349E2E" w14:textId="77777777" w:rsidR="00416889" w:rsidRDefault="006B6F22" w:rsidP="000760AC">
            <w:pPr>
              <w:rPr>
                <w:b/>
              </w:rPr>
            </w:pPr>
            <w:r w:rsidRPr="00D20B9A">
              <w:rPr>
                <w:b/>
              </w:rPr>
              <w:t>Reappraisal</w:t>
            </w:r>
            <w:r w:rsidR="00416889">
              <w:rPr>
                <w:b/>
              </w:rPr>
              <w:t xml:space="preserve"> Subscale</w:t>
            </w:r>
            <w:r w:rsidRPr="00D20B9A">
              <w:rPr>
                <w:b/>
              </w:rPr>
              <w:t xml:space="preserve"> </w:t>
            </w:r>
          </w:p>
          <w:p w14:paraId="2FFAF626" w14:textId="77777777" w:rsidR="00416889" w:rsidRDefault="00416889" w:rsidP="000760AC">
            <w:pPr>
              <w:rPr>
                <w:b/>
              </w:rPr>
            </w:pPr>
          </w:p>
          <w:p w14:paraId="0E19D31B" w14:textId="77777777" w:rsidR="00416889" w:rsidRDefault="00416889" w:rsidP="000760AC">
            <w:pPr>
              <w:rPr>
                <w:b/>
              </w:rPr>
            </w:pPr>
          </w:p>
          <w:p w14:paraId="2EE531E1" w14:textId="77777777" w:rsidR="00416889" w:rsidRDefault="00416889" w:rsidP="000760AC">
            <w:pPr>
              <w:rPr>
                <w:b/>
              </w:rPr>
            </w:pPr>
          </w:p>
          <w:p w14:paraId="6FD5DEBF" w14:textId="2C61876A" w:rsidR="006B6F22" w:rsidRPr="00D20B9A" w:rsidRDefault="00416889" w:rsidP="000760AC">
            <w:pPr>
              <w:rPr>
                <w:b/>
              </w:rPr>
            </w:pPr>
            <w:r>
              <w:rPr>
                <w:b/>
              </w:rPr>
              <w:t>S</w:t>
            </w:r>
            <w:r w:rsidR="006B6F22" w:rsidRPr="00D20B9A">
              <w:rPr>
                <w:b/>
              </w:rPr>
              <w:t xml:space="preserve">uppression </w:t>
            </w:r>
            <w:r>
              <w:rPr>
                <w:b/>
              </w:rPr>
              <w:t>Subscales</w:t>
            </w:r>
          </w:p>
          <w:p w14:paraId="7ACF4570" w14:textId="77777777" w:rsidR="006B6F22" w:rsidRPr="00D20B9A" w:rsidRDefault="006B6F22" w:rsidP="000760AC">
            <w:pPr>
              <w:rPr>
                <w:b/>
              </w:rPr>
            </w:pPr>
          </w:p>
        </w:tc>
        <w:tc>
          <w:tcPr>
            <w:tcW w:w="1890" w:type="dxa"/>
          </w:tcPr>
          <w:p w14:paraId="6D43A208" w14:textId="77777777" w:rsidR="00416889" w:rsidRDefault="00416889" w:rsidP="000760AC">
            <w:pPr>
              <w:jc w:val="center"/>
            </w:pPr>
          </w:p>
          <w:p w14:paraId="63B899D3" w14:textId="77777777" w:rsidR="00416889" w:rsidRDefault="00416889" w:rsidP="000760AC">
            <w:pPr>
              <w:jc w:val="center"/>
            </w:pPr>
          </w:p>
          <w:p w14:paraId="4617F343" w14:textId="77777777" w:rsidR="00416889" w:rsidRDefault="00416889" w:rsidP="000760AC">
            <w:pPr>
              <w:jc w:val="center"/>
            </w:pPr>
          </w:p>
          <w:p w14:paraId="7CA7C3DC" w14:textId="131FCD69" w:rsidR="006B6F22" w:rsidRDefault="006B6F22" w:rsidP="000760AC">
            <w:pPr>
              <w:jc w:val="center"/>
            </w:pPr>
            <w:r w:rsidRPr="002331C3">
              <w:t xml:space="preserve">28.727 </w:t>
            </w:r>
            <w:r>
              <w:t>(</w:t>
            </w:r>
            <w:r w:rsidRPr="002331C3">
              <w:t>0.672</w:t>
            </w:r>
            <w:r>
              <w:t>)</w:t>
            </w:r>
          </w:p>
          <w:p w14:paraId="4B11B799" w14:textId="77777777" w:rsidR="006B6F22" w:rsidRDefault="006B6F22" w:rsidP="000760AC">
            <w:pPr>
              <w:jc w:val="center"/>
            </w:pPr>
          </w:p>
          <w:p w14:paraId="01BD38FC" w14:textId="173816A4" w:rsidR="006B6F22" w:rsidRDefault="006B6F22" w:rsidP="000760AC">
            <w:pPr>
              <w:jc w:val="center"/>
            </w:pPr>
          </w:p>
          <w:p w14:paraId="533FCB33" w14:textId="68551602" w:rsidR="006B6F22" w:rsidRPr="009F1107" w:rsidRDefault="006B6F22" w:rsidP="000760AC">
            <w:pPr>
              <w:jc w:val="center"/>
            </w:pPr>
            <w:r w:rsidRPr="008E1E10">
              <w:t xml:space="preserve">12.82 </w:t>
            </w:r>
            <w:r>
              <w:t>(</w:t>
            </w:r>
            <w:r w:rsidRPr="008E1E10">
              <w:t>0.495</w:t>
            </w:r>
            <w:r>
              <w:t>)</w:t>
            </w:r>
          </w:p>
        </w:tc>
        <w:tc>
          <w:tcPr>
            <w:tcW w:w="1530" w:type="dxa"/>
          </w:tcPr>
          <w:p w14:paraId="506584A9" w14:textId="77777777" w:rsidR="00416889" w:rsidRDefault="00416889" w:rsidP="000760AC">
            <w:pPr>
              <w:jc w:val="center"/>
            </w:pPr>
          </w:p>
          <w:p w14:paraId="256B722C" w14:textId="77777777" w:rsidR="00416889" w:rsidRDefault="00416889" w:rsidP="000760AC">
            <w:pPr>
              <w:jc w:val="center"/>
            </w:pPr>
          </w:p>
          <w:p w14:paraId="39712581" w14:textId="77777777" w:rsidR="00416889" w:rsidRDefault="00416889" w:rsidP="000760AC">
            <w:pPr>
              <w:jc w:val="center"/>
            </w:pPr>
          </w:p>
          <w:p w14:paraId="51635173" w14:textId="3D1067F6" w:rsidR="006B6F22" w:rsidRDefault="006B6F22" w:rsidP="000760AC">
            <w:pPr>
              <w:jc w:val="center"/>
            </w:pPr>
            <w:r w:rsidRPr="002331C3">
              <w:t xml:space="preserve">26.158 </w:t>
            </w:r>
            <w:r>
              <w:t>(</w:t>
            </w:r>
            <w:r w:rsidRPr="002331C3">
              <w:t>0.707</w:t>
            </w:r>
            <w:r>
              <w:t>)</w:t>
            </w:r>
          </w:p>
          <w:p w14:paraId="6A388529" w14:textId="77777777" w:rsidR="006B6F22" w:rsidRDefault="006B6F22" w:rsidP="000760AC">
            <w:pPr>
              <w:jc w:val="center"/>
            </w:pPr>
          </w:p>
          <w:p w14:paraId="155974AD" w14:textId="042579AA" w:rsidR="006B6F22" w:rsidRDefault="006B6F22" w:rsidP="000760AC">
            <w:pPr>
              <w:jc w:val="center"/>
            </w:pPr>
          </w:p>
          <w:p w14:paraId="23DDD137" w14:textId="14DD3FDC" w:rsidR="006B6F22" w:rsidRPr="009F1107" w:rsidRDefault="006B6F22" w:rsidP="000760AC">
            <w:pPr>
              <w:jc w:val="center"/>
            </w:pPr>
            <w:r w:rsidRPr="008E1E10">
              <w:t xml:space="preserve">13.742 </w:t>
            </w:r>
            <w:r>
              <w:t>(</w:t>
            </w:r>
            <w:r w:rsidRPr="008E1E10">
              <w:t>0.5</w:t>
            </w:r>
            <w:r>
              <w:t>)</w:t>
            </w:r>
          </w:p>
        </w:tc>
        <w:tc>
          <w:tcPr>
            <w:tcW w:w="1350" w:type="dxa"/>
          </w:tcPr>
          <w:p w14:paraId="33B164B8" w14:textId="77777777" w:rsidR="00416889" w:rsidRDefault="00416889" w:rsidP="000760AC">
            <w:pPr>
              <w:jc w:val="center"/>
            </w:pPr>
          </w:p>
          <w:p w14:paraId="25230E94" w14:textId="77777777" w:rsidR="00416889" w:rsidRDefault="00416889" w:rsidP="000760AC">
            <w:pPr>
              <w:jc w:val="center"/>
            </w:pPr>
          </w:p>
          <w:p w14:paraId="1328FD62" w14:textId="77777777" w:rsidR="00416889" w:rsidRDefault="00416889" w:rsidP="000760AC">
            <w:pPr>
              <w:jc w:val="center"/>
            </w:pPr>
          </w:p>
          <w:p w14:paraId="0FAFDF95" w14:textId="414BC748" w:rsidR="006B6F22" w:rsidRDefault="006B6F22" w:rsidP="000760AC">
            <w:pPr>
              <w:jc w:val="center"/>
            </w:pPr>
            <w:r w:rsidRPr="002331C3">
              <w:t xml:space="preserve">26.748 </w:t>
            </w:r>
            <w:r>
              <w:t>(</w:t>
            </w:r>
            <w:r w:rsidRPr="002331C3">
              <w:t>1.052</w:t>
            </w:r>
            <w:r>
              <w:t>)</w:t>
            </w:r>
          </w:p>
          <w:p w14:paraId="69211E3C" w14:textId="77777777" w:rsidR="006B6F22" w:rsidRDefault="006B6F22" w:rsidP="000760AC">
            <w:pPr>
              <w:jc w:val="center"/>
            </w:pPr>
          </w:p>
          <w:p w14:paraId="3691CC19" w14:textId="32194099" w:rsidR="006B6F22" w:rsidRDefault="006B6F22" w:rsidP="000760AC">
            <w:pPr>
              <w:jc w:val="center"/>
            </w:pPr>
          </w:p>
          <w:p w14:paraId="124FAEEE" w14:textId="3BE5DA34" w:rsidR="006B6F22" w:rsidRPr="009F1107" w:rsidRDefault="006B6F22" w:rsidP="000760AC">
            <w:pPr>
              <w:jc w:val="center"/>
            </w:pPr>
            <w:r w:rsidRPr="008E1E10">
              <w:t xml:space="preserve">13.846 </w:t>
            </w:r>
            <w:r>
              <w:t>(</w:t>
            </w:r>
            <w:r w:rsidRPr="008E1E10">
              <w:t>0.745</w:t>
            </w:r>
            <w:r>
              <w:t>)</w:t>
            </w:r>
          </w:p>
        </w:tc>
        <w:tc>
          <w:tcPr>
            <w:tcW w:w="2430" w:type="dxa"/>
          </w:tcPr>
          <w:p w14:paraId="317F7B00" w14:textId="77777777" w:rsidR="00416889" w:rsidRDefault="00416889" w:rsidP="000760AC">
            <w:pPr>
              <w:jc w:val="center"/>
            </w:pPr>
          </w:p>
          <w:p w14:paraId="5DC3D275" w14:textId="77777777" w:rsidR="00416889" w:rsidRDefault="00416889" w:rsidP="000760AC">
            <w:pPr>
              <w:jc w:val="center"/>
            </w:pPr>
          </w:p>
          <w:p w14:paraId="30E1D406" w14:textId="77777777" w:rsidR="00416889" w:rsidRDefault="00416889" w:rsidP="000760AC">
            <w:pPr>
              <w:jc w:val="center"/>
            </w:pPr>
          </w:p>
          <w:p w14:paraId="15F69DC1" w14:textId="1D967A62" w:rsidR="006B6F22" w:rsidRDefault="006B6F22" w:rsidP="000760AC">
            <w:pPr>
              <w:jc w:val="center"/>
            </w:pPr>
            <w:r w:rsidRPr="00957B46">
              <w:t>Chi</w:t>
            </w:r>
            <w:r>
              <w:t>-</w:t>
            </w:r>
            <w:r w:rsidRPr="00957B46">
              <w:t>sq</w:t>
            </w:r>
            <w:r>
              <w:t>uare =</w:t>
            </w:r>
            <w:r w:rsidRPr="00957B46">
              <w:t xml:space="preserve"> </w:t>
            </w:r>
            <w:r>
              <w:t>7.359;</w:t>
            </w:r>
          </w:p>
          <w:p w14:paraId="1DBF13FE" w14:textId="05D9B137" w:rsidR="006B6F22" w:rsidRDefault="006B6F22" w:rsidP="000760AC">
            <w:pPr>
              <w:jc w:val="center"/>
            </w:pPr>
            <w:r w:rsidRPr="00957B46">
              <w:t xml:space="preserve"> </w:t>
            </w:r>
            <w:r>
              <w:t>d</w:t>
            </w:r>
            <w:r w:rsidRPr="00957B46">
              <w:t>f</w:t>
            </w:r>
            <w:r>
              <w:t>=</w:t>
            </w:r>
            <w:r w:rsidRPr="00957B46">
              <w:t>2</w:t>
            </w:r>
            <w:r w:rsidR="004219C2">
              <w:t xml:space="preserve">; </w:t>
            </w:r>
            <w:r>
              <w:t>p=.025</w:t>
            </w:r>
          </w:p>
          <w:p w14:paraId="2481C430" w14:textId="2CC80A41" w:rsidR="00B50E7D" w:rsidRDefault="00B50E7D" w:rsidP="000760AC">
            <w:pPr>
              <w:jc w:val="center"/>
            </w:pPr>
            <w:r>
              <w:t>(corrected p value =.</w:t>
            </w:r>
            <w:r w:rsidR="004E477E">
              <w:t>303</w:t>
            </w:r>
            <w:r>
              <w:t>)</w:t>
            </w:r>
          </w:p>
          <w:p w14:paraId="56AC2A05" w14:textId="77777777" w:rsidR="00423850" w:rsidRDefault="00423850" w:rsidP="000760AC">
            <w:pPr>
              <w:jc w:val="center"/>
            </w:pPr>
          </w:p>
          <w:p w14:paraId="466EA9DA" w14:textId="1E44F65E" w:rsidR="006B6F22" w:rsidRDefault="006B6F22" w:rsidP="000760AC">
            <w:pPr>
              <w:jc w:val="center"/>
            </w:pPr>
            <w:r w:rsidRPr="00957B46">
              <w:t>Chi</w:t>
            </w:r>
            <w:r>
              <w:t>-</w:t>
            </w:r>
            <w:r w:rsidRPr="00957B46">
              <w:t>sq</w:t>
            </w:r>
            <w:r>
              <w:t>uare =</w:t>
            </w:r>
            <w:r w:rsidRPr="00957B46">
              <w:t xml:space="preserve"> </w:t>
            </w:r>
            <w:r>
              <w:t>2.191;</w:t>
            </w:r>
          </w:p>
          <w:p w14:paraId="40A1CDA8" w14:textId="181E89E1" w:rsidR="00B50E7D" w:rsidRDefault="006B6F22" w:rsidP="000760AC">
            <w:pPr>
              <w:jc w:val="center"/>
            </w:pPr>
            <w:r w:rsidRPr="00957B46">
              <w:t xml:space="preserve"> </w:t>
            </w:r>
            <w:r>
              <w:t>d</w:t>
            </w:r>
            <w:r w:rsidRPr="00957B46">
              <w:t>f</w:t>
            </w:r>
            <w:r>
              <w:t>=</w:t>
            </w:r>
            <w:proofErr w:type="gramStart"/>
            <w:r w:rsidRPr="00957B46">
              <w:t>2</w:t>
            </w:r>
            <w:r w:rsidR="004219C2">
              <w:t xml:space="preserve">; </w:t>
            </w:r>
            <w:r w:rsidRPr="00957B46">
              <w:t xml:space="preserve"> </w:t>
            </w:r>
            <w:r>
              <w:t>p</w:t>
            </w:r>
            <w:proofErr w:type="gramEnd"/>
            <w:r>
              <w:t>=.334</w:t>
            </w:r>
          </w:p>
          <w:p w14:paraId="50BB66EF" w14:textId="691AB515" w:rsidR="006B6F22" w:rsidRPr="009F1107" w:rsidRDefault="00B50E7D" w:rsidP="000760AC">
            <w:pPr>
              <w:jc w:val="center"/>
            </w:pPr>
            <w:r>
              <w:t>(corrected p value =1)</w:t>
            </w:r>
          </w:p>
        </w:tc>
        <w:tc>
          <w:tcPr>
            <w:tcW w:w="2790" w:type="dxa"/>
          </w:tcPr>
          <w:p w14:paraId="4068CEEB" w14:textId="722C4F88" w:rsidR="006B6F22" w:rsidRPr="009F1107" w:rsidRDefault="006B6F22" w:rsidP="000760AC"/>
        </w:tc>
      </w:tr>
      <w:tr w:rsidR="006B6F22" w:rsidRPr="009F1107" w14:paraId="40F7F646" w14:textId="77777777" w:rsidTr="007422D7">
        <w:tc>
          <w:tcPr>
            <w:tcW w:w="3307" w:type="dxa"/>
          </w:tcPr>
          <w:p w14:paraId="40E9E5E1" w14:textId="77777777" w:rsidR="006B6F22" w:rsidRPr="00D20B9A" w:rsidRDefault="006B6F22" w:rsidP="000760AC">
            <w:pPr>
              <w:rPr>
                <w:b/>
              </w:rPr>
            </w:pPr>
            <w:r w:rsidRPr="00D20B9A">
              <w:rPr>
                <w:b/>
              </w:rPr>
              <w:t xml:space="preserve">Distress Tolerance Scale total score </w:t>
            </w:r>
          </w:p>
          <w:p w14:paraId="6824B324" w14:textId="77777777" w:rsidR="006B6F22" w:rsidRPr="00D20B9A" w:rsidRDefault="006B6F22" w:rsidP="000760AC">
            <w:pPr>
              <w:rPr>
                <w:b/>
              </w:rPr>
            </w:pPr>
          </w:p>
        </w:tc>
        <w:tc>
          <w:tcPr>
            <w:tcW w:w="1890" w:type="dxa"/>
          </w:tcPr>
          <w:p w14:paraId="62F95414" w14:textId="77777777" w:rsidR="006B6F22" w:rsidRPr="009F1107" w:rsidRDefault="006B6F22" w:rsidP="000760AC">
            <w:pPr>
              <w:jc w:val="center"/>
            </w:pPr>
            <w:r w:rsidRPr="00EF6DD7">
              <w:t xml:space="preserve">56.37 </w:t>
            </w:r>
            <w:r>
              <w:t>(</w:t>
            </w:r>
            <w:r w:rsidRPr="00EF6DD7">
              <w:t>1.205</w:t>
            </w:r>
            <w:r>
              <w:t>)</w:t>
            </w:r>
          </w:p>
        </w:tc>
        <w:tc>
          <w:tcPr>
            <w:tcW w:w="1530" w:type="dxa"/>
          </w:tcPr>
          <w:p w14:paraId="121B619A" w14:textId="77777777" w:rsidR="006B6F22" w:rsidRPr="009F1107" w:rsidRDefault="006B6F22" w:rsidP="000760AC">
            <w:pPr>
              <w:jc w:val="center"/>
            </w:pPr>
            <w:r w:rsidRPr="00EF6DD7">
              <w:t xml:space="preserve">48.566 </w:t>
            </w:r>
            <w:r>
              <w:t>(</w:t>
            </w:r>
            <w:r w:rsidRPr="00EF6DD7">
              <w:t>1.334</w:t>
            </w:r>
            <w:r>
              <w:t>)</w:t>
            </w:r>
          </w:p>
        </w:tc>
        <w:tc>
          <w:tcPr>
            <w:tcW w:w="1350" w:type="dxa"/>
          </w:tcPr>
          <w:p w14:paraId="3F7C1EB9" w14:textId="77777777" w:rsidR="006B6F22" w:rsidRPr="009F1107" w:rsidRDefault="006B6F22" w:rsidP="000760AC">
            <w:pPr>
              <w:jc w:val="center"/>
            </w:pPr>
            <w:r w:rsidRPr="00EF6DD7">
              <w:t xml:space="preserve">51.701 </w:t>
            </w:r>
            <w:r>
              <w:t>(</w:t>
            </w:r>
            <w:r w:rsidRPr="00EF6DD7">
              <w:t>1.932</w:t>
            </w:r>
            <w:r>
              <w:t>)</w:t>
            </w:r>
          </w:p>
        </w:tc>
        <w:tc>
          <w:tcPr>
            <w:tcW w:w="2430" w:type="dxa"/>
          </w:tcPr>
          <w:p w14:paraId="17B36784" w14:textId="77777777" w:rsidR="006B6F22" w:rsidRDefault="006B6F22" w:rsidP="000760AC">
            <w:pPr>
              <w:jc w:val="center"/>
            </w:pPr>
            <w:r w:rsidRPr="00957B46">
              <w:t>Chi</w:t>
            </w:r>
            <w:r>
              <w:t>-</w:t>
            </w:r>
            <w:r w:rsidRPr="00957B46">
              <w:t>sq</w:t>
            </w:r>
            <w:r>
              <w:t>uare =</w:t>
            </w:r>
            <w:r w:rsidRPr="00957B46">
              <w:t xml:space="preserve"> </w:t>
            </w:r>
            <w:r>
              <w:t>19.135;</w:t>
            </w:r>
          </w:p>
          <w:p w14:paraId="4F0F02ED" w14:textId="27B86008" w:rsidR="00B50E7D" w:rsidRDefault="006B6F22" w:rsidP="00DF022C">
            <w:pPr>
              <w:jc w:val="center"/>
            </w:pPr>
            <w:r w:rsidRPr="00957B46">
              <w:t xml:space="preserve"> </w:t>
            </w:r>
            <w:r>
              <w:t>d</w:t>
            </w:r>
            <w:r w:rsidRPr="00957B46">
              <w:t>f</w:t>
            </w:r>
            <w:r>
              <w:t>=</w:t>
            </w:r>
            <w:r w:rsidRPr="00957B46">
              <w:t>2</w:t>
            </w:r>
            <w:r w:rsidR="004219C2">
              <w:t xml:space="preserve">; </w:t>
            </w:r>
            <w:r>
              <w:t>p&lt;.00</w:t>
            </w:r>
            <w:r w:rsidR="007022A2">
              <w:t>1</w:t>
            </w:r>
          </w:p>
          <w:p w14:paraId="569CBB47" w14:textId="2DBAAF35" w:rsidR="006B6F22" w:rsidRDefault="00B50E7D" w:rsidP="00DF022C">
            <w:pPr>
              <w:jc w:val="center"/>
            </w:pPr>
            <w:r>
              <w:t>(corrected p value &lt;.001)</w:t>
            </w:r>
          </w:p>
          <w:p w14:paraId="31B3A8E2" w14:textId="594C13B4" w:rsidR="00B50E7D" w:rsidRPr="009F1107" w:rsidRDefault="00B50E7D" w:rsidP="00DF022C">
            <w:pPr>
              <w:jc w:val="center"/>
            </w:pPr>
          </w:p>
        </w:tc>
        <w:tc>
          <w:tcPr>
            <w:tcW w:w="2790" w:type="dxa"/>
          </w:tcPr>
          <w:p w14:paraId="5462A963" w14:textId="7BD10869" w:rsidR="006B6F22" w:rsidRDefault="006B6F22" w:rsidP="000760AC">
            <w:r>
              <w:t>Subtype 1 compared to controls (p&lt;.00</w:t>
            </w:r>
            <w:r w:rsidR="007022A2">
              <w:t>1</w:t>
            </w:r>
            <w:r>
              <w:t>)</w:t>
            </w:r>
          </w:p>
          <w:p w14:paraId="68091926" w14:textId="77777777" w:rsidR="006B6F22" w:rsidRDefault="006B6F22" w:rsidP="000760AC"/>
          <w:p w14:paraId="4016AD02" w14:textId="77777777" w:rsidR="006B6F22" w:rsidRPr="009F1107" w:rsidRDefault="006B6F22" w:rsidP="000760AC">
            <w:r>
              <w:t>Subtype 2 compared to controls (p=.04)</w:t>
            </w:r>
          </w:p>
        </w:tc>
      </w:tr>
      <w:tr w:rsidR="006B6F22" w:rsidRPr="009F1107" w14:paraId="17D17728" w14:textId="77777777" w:rsidTr="007422D7">
        <w:tc>
          <w:tcPr>
            <w:tcW w:w="3307" w:type="dxa"/>
          </w:tcPr>
          <w:p w14:paraId="03AFBF63" w14:textId="27C02A7F" w:rsidR="006B6F22" w:rsidRPr="00D20B9A" w:rsidRDefault="006B6F22" w:rsidP="000760AC">
            <w:pPr>
              <w:rPr>
                <w:b/>
              </w:rPr>
            </w:pPr>
            <w:r w:rsidRPr="00D20B9A">
              <w:rPr>
                <w:b/>
              </w:rPr>
              <w:t xml:space="preserve">Adult </w:t>
            </w:r>
            <w:r w:rsidR="00423850">
              <w:rPr>
                <w:b/>
              </w:rPr>
              <w:t>S</w:t>
            </w:r>
            <w:r w:rsidRPr="00D20B9A">
              <w:rPr>
                <w:b/>
              </w:rPr>
              <w:t xml:space="preserve">ensory </w:t>
            </w:r>
            <w:r w:rsidR="00423850">
              <w:rPr>
                <w:b/>
              </w:rPr>
              <w:t>P</w:t>
            </w:r>
            <w:r w:rsidRPr="00D20B9A">
              <w:rPr>
                <w:b/>
              </w:rPr>
              <w:t xml:space="preserve">rofile: Sensory Sensitivity subscale </w:t>
            </w:r>
          </w:p>
          <w:p w14:paraId="084DF848" w14:textId="77777777" w:rsidR="006B6F22" w:rsidRPr="00D20B9A" w:rsidRDefault="006B6F22" w:rsidP="000760AC">
            <w:pPr>
              <w:rPr>
                <w:b/>
              </w:rPr>
            </w:pPr>
          </w:p>
        </w:tc>
        <w:tc>
          <w:tcPr>
            <w:tcW w:w="1890" w:type="dxa"/>
          </w:tcPr>
          <w:p w14:paraId="323AA84A" w14:textId="77777777" w:rsidR="006B6F22" w:rsidRPr="009F1107" w:rsidRDefault="006B6F22" w:rsidP="000760AC">
            <w:pPr>
              <w:jc w:val="center"/>
            </w:pPr>
            <w:r w:rsidRPr="008F3DDD">
              <w:t xml:space="preserve">30.043 </w:t>
            </w:r>
            <w:r>
              <w:t>(</w:t>
            </w:r>
            <w:r w:rsidRPr="008F3DDD">
              <w:t>0.704</w:t>
            </w:r>
            <w:r>
              <w:t>)</w:t>
            </w:r>
          </w:p>
        </w:tc>
        <w:tc>
          <w:tcPr>
            <w:tcW w:w="1530" w:type="dxa"/>
          </w:tcPr>
          <w:p w14:paraId="0F56F953" w14:textId="77777777" w:rsidR="006B6F22" w:rsidRPr="009F1107" w:rsidRDefault="006B6F22" w:rsidP="000760AC">
            <w:pPr>
              <w:jc w:val="center"/>
            </w:pPr>
            <w:r w:rsidRPr="008F3DDD">
              <w:t xml:space="preserve">36.933 </w:t>
            </w:r>
            <w:r>
              <w:t>(</w:t>
            </w:r>
            <w:r w:rsidRPr="008F3DDD">
              <w:t>0.816</w:t>
            </w:r>
            <w:r>
              <w:t>)</w:t>
            </w:r>
          </w:p>
        </w:tc>
        <w:tc>
          <w:tcPr>
            <w:tcW w:w="1350" w:type="dxa"/>
          </w:tcPr>
          <w:p w14:paraId="16A7A1D9" w14:textId="77777777" w:rsidR="006B6F22" w:rsidRPr="009F1107" w:rsidRDefault="006B6F22" w:rsidP="000760AC">
            <w:pPr>
              <w:jc w:val="center"/>
            </w:pPr>
            <w:r w:rsidRPr="008F3DDD">
              <w:t xml:space="preserve">32.874 </w:t>
            </w:r>
            <w:r>
              <w:t>(</w:t>
            </w:r>
            <w:r w:rsidRPr="008F3DDD">
              <w:t>1.22</w:t>
            </w:r>
            <w:r>
              <w:t>)</w:t>
            </w:r>
          </w:p>
        </w:tc>
        <w:tc>
          <w:tcPr>
            <w:tcW w:w="2430" w:type="dxa"/>
          </w:tcPr>
          <w:p w14:paraId="37F8BA41" w14:textId="77777777" w:rsidR="006B6F22" w:rsidRDefault="006B6F22" w:rsidP="000760AC">
            <w:pPr>
              <w:jc w:val="center"/>
            </w:pPr>
            <w:r w:rsidRPr="00ED05BD">
              <w:t>Chi</w:t>
            </w:r>
            <w:r>
              <w:t>-</w:t>
            </w:r>
            <w:r w:rsidRPr="00ED05BD">
              <w:t>sq</w:t>
            </w:r>
            <w:r>
              <w:t>uare =</w:t>
            </w:r>
            <w:r w:rsidRPr="00ED05BD">
              <w:t xml:space="preserve"> </w:t>
            </w:r>
            <w:r>
              <w:t>40.862</w:t>
            </w:r>
          </w:p>
          <w:p w14:paraId="32E410BF" w14:textId="560BC610" w:rsidR="006B6F22" w:rsidRDefault="006B6F22" w:rsidP="00DF022C">
            <w:pPr>
              <w:jc w:val="center"/>
            </w:pPr>
            <w:r w:rsidRPr="00ED05BD">
              <w:t xml:space="preserve"> </w:t>
            </w:r>
            <w:r>
              <w:t>d</w:t>
            </w:r>
            <w:r w:rsidRPr="00ED05BD">
              <w:t>f</w:t>
            </w:r>
            <w:r>
              <w:t>=</w:t>
            </w:r>
            <w:r w:rsidRPr="00ED05BD">
              <w:t>2</w:t>
            </w:r>
            <w:r>
              <w:t>;</w:t>
            </w:r>
            <w:r w:rsidRPr="00ED05BD">
              <w:t xml:space="preserve"> </w:t>
            </w:r>
            <w:r>
              <w:t>p &lt;.00</w:t>
            </w:r>
            <w:r w:rsidR="007022A2">
              <w:t>1</w:t>
            </w:r>
          </w:p>
          <w:p w14:paraId="250E87B0" w14:textId="7641EF6B" w:rsidR="00B50E7D" w:rsidRPr="009F1107" w:rsidRDefault="00B50E7D" w:rsidP="00B50E7D">
            <w:pPr>
              <w:jc w:val="center"/>
            </w:pPr>
            <w:r>
              <w:t>(corrected p value &lt;.001)</w:t>
            </w:r>
          </w:p>
        </w:tc>
        <w:tc>
          <w:tcPr>
            <w:tcW w:w="2790" w:type="dxa"/>
          </w:tcPr>
          <w:p w14:paraId="39782B87" w14:textId="3854B4B5" w:rsidR="006B6F22" w:rsidRDefault="006B6F22" w:rsidP="000760AC">
            <w:r>
              <w:t>Subtype 1 compared to controls (p&lt;</w:t>
            </w:r>
            <w:r w:rsidRPr="00ED05BD">
              <w:t>.00</w:t>
            </w:r>
            <w:r w:rsidR="007022A2">
              <w:t>1</w:t>
            </w:r>
            <w:r>
              <w:t>) and compared to Subtype 2 (p=.006)</w:t>
            </w:r>
          </w:p>
          <w:p w14:paraId="522AA38C" w14:textId="77777777" w:rsidR="006B6F22" w:rsidRDefault="006B6F22" w:rsidP="000760AC"/>
          <w:p w14:paraId="48D112F7" w14:textId="77777777" w:rsidR="006B6F22" w:rsidRPr="009F1107" w:rsidRDefault="006B6F22" w:rsidP="000760AC">
            <w:r>
              <w:t>Subtype 2 compared to controls (p=.044)</w:t>
            </w:r>
          </w:p>
        </w:tc>
      </w:tr>
      <w:tr w:rsidR="006B6F22" w:rsidRPr="009F1107" w14:paraId="208AFD34" w14:textId="77777777" w:rsidTr="007422D7">
        <w:tc>
          <w:tcPr>
            <w:tcW w:w="3307" w:type="dxa"/>
          </w:tcPr>
          <w:p w14:paraId="59D502CF" w14:textId="77777777" w:rsidR="006B6F22" w:rsidRPr="009F1107" w:rsidRDefault="006B6F22" w:rsidP="000760AC">
            <w:pPr>
              <w:rPr>
                <w:b/>
              </w:rPr>
            </w:pPr>
            <w:r w:rsidRPr="009F1107">
              <w:rPr>
                <w:b/>
              </w:rPr>
              <w:t xml:space="preserve">Perfectionism </w:t>
            </w:r>
          </w:p>
          <w:p w14:paraId="5BD9B1C3" w14:textId="77777777" w:rsidR="006B6F22" w:rsidRPr="00D20B9A" w:rsidRDefault="006B6F22" w:rsidP="000760AC">
            <w:pPr>
              <w:rPr>
                <w:b/>
              </w:rPr>
            </w:pPr>
            <w:r w:rsidRPr="009F1107">
              <w:rPr>
                <w:b/>
              </w:rPr>
              <w:t xml:space="preserve">(Frost Perfectionism in Adults total score) </w:t>
            </w:r>
          </w:p>
        </w:tc>
        <w:tc>
          <w:tcPr>
            <w:tcW w:w="1890" w:type="dxa"/>
          </w:tcPr>
          <w:p w14:paraId="49857BA0" w14:textId="77777777" w:rsidR="006B6F22" w:rsidRPr="009F1107" w:rsidRDefault="006B6F22" w:rsidP="000760AC">
            <w:pPr>
              <w:jc w:val="center"/>
            </w:pPr>
            <w:r w:rsidRPr="0077215F">
              <w:t xml:space="preserve">78.104 </w:t>
            </w:r>
            <w:r>
              <w:t>(</w:t>
            </w:r>
            <w:r w:rsidRPr="0077215F">
              <w:t>2.027</w:t>
            </w:r>
            <w:r>
              <w:t>)</w:t>
            </w:r>
          </w:p>
        </w:tc>
        <w:tc>
          <w:tcPr>
            <w:tcW w:w="1530" w:type="dxa"/>
          </w:tcPr>
          <w:p w14:paraId="20E497A5" w14:textId="77777777" w:rsidR="006B6F22" w:rsidRPr="009F1107" w:rsidRDefault="006B6F22" w:rsidP="000760AC">
            <w:pPr>
              <w:jc w:val="center"/>
            </w:pPr>
            <w:r w:rsidRPr="0077215F">
              <w:t xml:space="preserve">90.544 </w:t>
            </w:r>
            <w:r>
              <w:t>(</w:t>
            </w:r>
            <w:r w:rsidRPr="0077215F">
              <w:t>2.132</w:t>
            </w:r>
            <w:r>
              <w:t>)</w:t>
            </w:r>
          </w:p>
        </w:tc>
        <w:tc>
          <w:tcPr>
            <w:tcW w:w="1350" w:type="dxa"/>
          </w:tcPr>
          <w:p w14:paraId="7C9A6BB4" w14:textId="77777777" w:rsidR="006B6F22" w:rsidRPr="009F1107" w:rsidRDefault="006B6F22" w:rsidP="000760AC">
            <w:pPr>
              <w:jc w:val="center"/>
            </w:pPr>
            <w:r w:rsidRPr="0077215F">
              <w:t xml:space="preserve">83.618 </w:t>
            </w:r>
            <w:r>
              <w:t>(</w:t>
            </w:r>
            <w:r w:rsidRPr="0077215F">
              <w:t>3.028</w:t>
            </w:r>
            <w:r>
              <w:t>)</w:t>
            </w:r>
          </w:p>
        </w:tc>
        <w:tc>
          <w:tcPr>
            <w:tcW w:w="2430" w:type="dxa"/>
          </w:tcPr>
          <w:p w14:paraId="4B22E5A1" w14:textId="77777777" w:rsidR="006B6F22" w:rsidRDefault="006B6F22" w:rsidP="000760AC">
            <w:pPr>
              <w:jc w:val="center"/>
            </w:pPr>
            <w:r w:rsidRPr="00ED05BD">
              <w:t>Chi</w:t>
            </w:r>
            <w:r>
              <w:t>-</w:t>
            </w:r>
            <w:r w:rsidRPr="00ED05BD">
              <w:t>sq</w:t>
            </w:r>
            <w:r>
              <w:t>uare =</w:t>
            </w:r>
            <w:r w:rsidRPr="00ED05BD">
              <w:t xml:space="preserve"> </w:t>
            </w:r>
            <w:r>
              <w:t>17.894</w:t>
            </w:r>
          </w:p>
          <w:p w14:paraId="18294935" w14:textId="42B8E630" w:rsidR="006B6F22" w:rsidRDefault="006B6F22" w:rsidP="00DF022C">
            <w:pPr>
              <w:jc w:val="center"/>
            </w:pPr>
            <w:r w:rsidRPr="00ED05BD">
              <w:t xml:space="preserve"> </w:t>
            </w:r>
            <w:r>
              <w:t>d</w:t>
            </w:r>
            <w:r w:rsidRPr="00ED05BD">
              <w:t>f</w:t>
            </w:r>
            <w:r>
              <w:t>=</w:t>
            </w:r>
            <w:r w:rsidRPr="00ED05BD">
              <w:t>2</w:t>
            </w:r>
            <w:r>
              <w:t>;</w:t>
            </w:r>
            <w:r w:rsidRPr="00ED05BD">
              <w:t xml:space="preserve"> </w:t>
            </w:r>
            <w:r>
              <w:t>p &lt;.00</w:t>
            </w:r>
            <w:r w:rsidR="007022A2">
              <w:t>1</w:t>
            </w:r>
          </w:p>
          <w:p w14:paraId="135FAD11" w14:textId="30CF4955" w:rsidR="00B50E7D" w:rsidRPr="009F1107" w:rsidRDefault="00B50E7D" w:rsidP="004E477E">
            <w:pPr>
              <w:jc w:val="center"/>
            </w:pPr>
            <w:r>
              <w:t>(corrected p value =.00</w:t>
            </w:r>
            <w:r w:rsidR="004E477E">
              <w:t>2</w:t>
            </w:r>
            <w:r>
              <w:t>)</w:t>
            </w:r>
          </w:p>
        </w:tc>
        <w:tc>
          <w:tcPr>
            <w:tcW w:w="2790" w:type="dxa"/>
          </w:tcPr>
          <w:p w14:paraId="587F23BD" w14:textId="742D229B" w:rsidR="006B6F22" w:rsidRPr="009F1107" w:rsidRDefault="006B6F22" w:rsidP="00DF022C">
            <w:r>
              <w:t>Subtype 1 compared to controls (p&lt;</w:t>
            </w:r>
            <w:r w:rsidRPr="00ED05BD">
              <w:t>.00</w:t>
            </w:r>
            <w:r w:rsidR="007022A2">
              <w:t>1</w:t>
            </w:r>
            <w:r>
              <w:t xml:space="preserve">) </w:t>
            </w:r>
          </w:p>
        </w:tc>
      </w:tr>
      <w:tr w:rsidR="00423850" w:rsidRPr="009F1107" w14:paraId="678FAA8A" w14:textId="77777777" w:rsidTr="004219C2">
        <w:tc>
          <w:tcPr>
            <w:tcW w:w="13297" w:type="dxa"/>
            <w:gridSpan w:val="6"/>
          </w:tcPr>
          <w:p w14:paraId="5858F3D9" w14:textId="7D6CBE4C" w:rsidR="00423850" w:rsidRDefault="00423850" w:rsidP="00423850">
            <w:pPr>
              <w:jc w:val="center"/>
            </w:pPr>
            <w:r>
              <w:rPr>
                <w:b/>
              </w:rPr>
              <w:lastRenderedPageBreak/>
              <w:t>Comorbidity</w:t>
            </w:r>
          </w:p>
        </w:tc>
      </w:tr>
      <w:tr w:rsidR="00423850" w:rsidRPr="009F1107" w14:paraId="40FF4346" w14:textId="77777777" w:rsidTr="007422D7">
        <w:tc>
          <w:tcPr>
            <w:tcW w:w="3307" w:type="dxa"/>
          </w:tcPr>
          <w:p w14:paraId="71BB7E89" w14:textId="23D7566A" w:rsidR="00423850" w:rsidRPr="009F1107" w:rsidRDefault="00423850" w:rsidP="00423850">
            <w:pPr>
              <w:rPr>
                <w:b/>
              </w:rPr>
            </w:pPr>
            <w:r w:rsidRPr="009F1107">
              <w:rPr>
                <w:b/>
              </w:rPr>
              <w:t>ADHD diagnosis, proportion meeting diagnostic criteria</w:t>
            </w:r>
          </w:p>
        </w:tc>
        <w:tc>
          <w:tcPr>
            <w:tcW w:w="1890" w:type="dxa"/>
          </w:tcPr>
          <w:p w14:paraId="40F25192" w14:textId="765FB0F3" w:rsidR="00423850" w:rsidRPr="0077215F" w:rsidRDefault="00FA5DCC" w:rsidP="00423850">
            <w:pPr>
              <w:jc w:val="center"/>
            </w:pPr>
            <w:r>
              <w:t>0</w:t>
            </w:r>
          </w:p>
        </w:tc>
        <w:tc>
          <w:tcPr>
            <w:tcW w:w="1530" w:type="dxa"/>
          </w:tcPr>
          <w:p w14:paraId="2B3014FF" w14:textId="05805155" w:rsidR="00423850" w:rsidRPr="0077215F" w:rsidRDefault="00FA5DCC" w:rsidP="00423850">
            <w:pPr>
              <w:jc w:val="center"/>
            </w:pPr>
            <w:r>
              <w:t>0.044</w:t>
            </w:r>
          </w:p>
        </w:tc>
        <w:tc>
          <w:tcPr>
            <w:tcW w:w="1350" w:type="dxa"/>
          </w:tcPr>
          <w:p w14:paraId="6EA254FF" w14:textId="33E3F4A5" w:rsidR="00423850" w:rsidRPr="0077215F" w:rsidRDefault="00FA5DCC" w:rsidP="00423850">
            <w:pPr>
              <w:jc w:val="center"/>
            </w:pPr>
            <w:r>
              <w:t>0</w:t>
            </w:r>
          </w:p>
        </w:tc>
        <w:tc>
          <w:tcPr>
            <w:tcW w:w="2430" w:type="dxa"/>
          </w:tcPr>
          <w:p w14:paraId="61D928A4" w14:textId="5AFAF88C" w:rsidR="00FA5DCC" w:rsidRDefault="00FA5DCC" w:rsidP="00FA5DCC">
            <w:pPr>
              <w:jc w:val="center"/>
            </w:pPr>
            <w:r w:rsidRPr="00ED05BD">
              <w:t>Chi</w:t>
            </w:r>
            <w:r>
              <w:t>-</w:t>
            </w:r>
            <w:r w:rsidRPr="00ED05BD">
              <w:t>sq</w:t>
            </w:r>
            <w:r>
              <w:t>uare = 5.193</w:t>
            </w:r>
          </w:p>
          <w:p w14:paraId="6A9E6756" w14:textId="46D57D3F" w:rsidR="00423850" w:rsidRDefault="00FA5DCC" w:rsidP="00FA5DCC">
            <w:pPr>
              <w:jc w:val="center"/>
            </w:pPr>
            <w:r w:rsidRPr="00ED05BD">
              <w:t xml:space="preserve"> </w:t>
            </w:r>
            <w:r>
              <w:t>d</w:t>
            </w:r>
            <w:r w:rsidRPr="00ED05BD">
              <w:t>f</w:t>
            </w:r>
            <w:r>
              <w:t>=</w:t>
            </w:r>
            <w:r w:rsidRPr="00ED05BD">
              <w:t>2</w:t>
            </w:r>
            <w:r>
              <w:t>;</w:t>
            </w:r>
            <w:r w:rsidRPr="00ED05BD">
              <w:t xml:space="preserve"> </w:t>
            </w:r>
            <w:r>
              <w:t>p =</w:t>
            </w:r>
            <w:r w:rsidRPr="00ED05BD">
              <w:t>.07</w:t>
            </w:r>
            <w:r>
              <w:t>5</w:t>
            </w:r>
          </w:p>
          <w:p w14:paraId="64A3BD16" w14:textId="2303CC96" w:rsidR="00B50E7D" w:rsidRPr="00ED05BD" w:rsidRDefault="00B50E7D" w:rsidP="004E477E">
            <w:pPr>
              <w:jc w:val="center"/>
            </w:pPr>
            <w:r>
              <w:t>(corrected p value =.</w:t>
            </w:r>
            <w:r w:rsidR="004E477E">
              <w:t>745</w:t>
            </w:r>
            <w:r>
              <w:t>)</w:t>
            </w:r>
          </w:p>
        </w:tc>
        <w:tc>
          <w:tcPr>
            <w:tcW w:w="2790" w:type="dxa"/>
          </w:tcPr>
          <w:p w14:paraId="7899D7F8" w14:textId="0CD6A483" w:rsidR="00423850" w:rsidRDefault="00423850" w:rsidP="00423850"/>
        </w:tc>
      </w:tr>
      <w:tr w:rsidR="00423850" w:rsidRPr="009F1107" w14:paraId="63F6E153" w14:textId="77777777" w:rsidTr="007422D7">
        <w:tc>
          <w:tcPr>
            <w:tcW w:w="3307" w:type="dxa"/>
          </w:tcPr>
          <w:p w14:paraId="322C69DE" w14:textId="00762058" w:rsidR="00423850" w:rsidRPr="009F1107" w:rsidRDefault="00423850" w:rsidP="00423850">
            <w:pPr>
              <w:rPr>
                <w:b/>
              </w:rPr>
            </w:pPr>
            <w:r w:rsidRPr="009F1107">
              <w:rPr>
                <w:b/>
              </w:rPr>
              <w:t>Obsessive Compulsive Disorder (OCD) diagnosis, proportion with diagnosis</w:t>
            </w:r>
          </w:p>
        </w:tc>
        <w:tc>
          <w:tcPr>
            <w:tcW w:w="1890" w:type="dxa"/>
          </w:tcPr>
          <w:p w14:paraId="6CE62657" w14:textId="4738A850" w:rsidR="00423850" w:rsidRPr="0077215F" w:rsidRDefault="002930C6" w:rsidP="00423850">
            <w:pPr>
              <w:jc w:val="center"/>
            </w:pPr>
            <w:r>
              <w:t>0.035</w:t>
            </w:r>
          </w:p>
        </w:tc>
        <w:tc>
          <w:tcPr>
            <w:tcW w:w="1530" w:type="dxa"/>
          </w:tcPr>
          <w:p w14:paraId="5459B664" w14:textId="1647348E" w:rsidR="00423850" w:rsidRPr="0077215F" w:rsidRDefault="002930C6" w:rsidP="00423850">
            <w:pPr>
              <w:jc w:val="center"/>
            </w:pPr>
            <w:r>
              <w:t>0.080</w:t>
            </w:r>
          </w:p>
        </w:tc>
        <w:tc>
          <w:tcPr>
            <w:tcW w:w="1350" w:type="dxa"/>
          </w:tcPr>
          <w:p w14:paraId="10B6EBA1" w14:textId="6F430A70" w:rsidR="00423850" w:rsidRPr="0077215F" w:rsidRDefault="002930C6" w:rsidP="00423850">
            <w:pPr>
              <w:jc w:val="center"/>
            </w:pPr>
            <w:r>
              <w:t>0.019</w:t>
            </w:r>
          </w:p>
        </w:tc>
        <w:tc>
          <w:tcPr>
            <w:tcW w:w="2430" w:type="dxa"/>
          </w:tcPr>
          <w:p w14:paraId="36AB4110" w14:textId="393D438A" w:rsidR="002930C6" w:rsidRDefault="002930C6" w:rsidP="002930C6">
            <w:pPr>
              <w:jc w:val="center"/>
            </w:pPr>
            <w:r w:rsidRPr="00ED05BD">
              <w:t>Chi</w:t>
            </w:r>
            <w:r>
              <w:t>-</w:t>
            </w:r>
            <w:r w:rsidRPr="00ED05BD">
              <w:t>sq</w:t>
            </w:r>
            <w:r>
              <w:t>uare = 3.588</w:t>
            </w:r>
          </w:p>
          <w:p w14:paraId="495E16DC" w14:textId="5C8C6F4D" w:rsidR="00423850" w:rsidRDefault="002930C6" w:rsidP="002930C6">
            <w:pPr>
              <w:jc w:val="center"/>
            </w:pPr>
            <w:r w:rsidRPr="00ED05BD">
              <w:t xml:space="preserve"> </w:t>
            </w:r>
            <w:r>
              <w:t>d</w:t>
            </w:r>
            <w:r w:rsidRPr="00ED05BD">
              <w:t>f</w:t>
            </w:r>
            <w:r>
              <w:t>=</w:t>
            </w:r>
            <w:proofErr w:type="gramStart"/>
            <w:r w:rsidRPr="00ED05BD">
              <w:t>2</w:t>
            </w:r>
            <w:r>
              <w:t>;</w:t>
            </w:r>
            <w:r w:rsidR="004219C2">
              <w:t xml:space="preserve"> </w:t>
            </w:r>
            <w:r w:rsidRPr="00ED05BD">
              <w:t xml:space="preserve"> </w:t>
            </w:r>
            <w:r>
              <w:t>p</w:t>
            </w:r>
            <w:proofErr w:type="gramEnd"/>
            <w:r>
              <w:t xml:space="preserve"> =</w:t>
            </w:r>
            <w:r w:rsidRPr="00ED05BD">
              <w:t>.</w:t>
            </w:r>
            <w:r>
              <w:t>166</w:t>
            </w:r>
          </w:p>
          <w:p w14:paraId="547A3609" w14:textId="03CB1603" w:rsidR="00B50E7D" w:rsidRPr="00ED05BD" w:rsidRDefault="00B50E7D" w:rsidP="002930C6">
            <w:pPr>
              <w:jc w:val="center"/>
            </w:pPr>
            <w:r>
              <w:t>(corrected p value =1)</w:t>
            </w:r>
          </w:p>
        </w:tc>
        <w:tc>
          <w:tcPr>
            <w:tcW w:w="2790" w:type="dxa"/>
          </w:tcPr>
          <w:p w14:paraId="6F77DA19" w14:textId="5924C6B2" w:rsidR="00423850" w:rsidRDefault="00423850" w:rsidP="00423850"/>
        </w:tc>
      </w:tr>
      <w:tr w:rsidR="006B6F22" w:rsidRPr="009F1107" w14:paraId="69AE8CDE" w14:textId="77777777" w:rsidTr="004219C2">
        <w:tc>
          <w:tcPr>
            <w:tcW w:w="13297" w:type="dxa"/>
            <w:gridSpan w:val="6"/>
          </w:tcPr>
          <w:p w14:paraId="0F206AD1" w14:textId="77777777" w:rsidR="006B6F22" w:rsidRPr="00BC4A2C" w:rsidRDefault="006B6F22" w:rsidP="000760AC">
            <w:pPr>
              <w:jc w:val="center"/>
              <w:rPr>
                <w:b/>
              </w:rPr>
            </w:pPr>
            <w:r w:rsidRPr="00BC4A2C">
              <w:rPr>
                <w:b/>
              </w:rPr>
              <w:t>Family History</w:t>
            </w:r>
          </w:p>
        </w:tc>
      </w:tr>
      <w:tr w:rsidR="006B6F22" w:rsidRPr="009F1107" w14:paraId="7B02613D" w14:textId="77777777" w:rsidTr="007422D7">
        <w:tc>
          <w:tcPr>
            <w:tcW w:w="3307" w:type="dxa"/>
          </w:tcPr>
          <w:p w14:paraId="685F22A6" w14:textId="77777777" w:rsidR="006B6F22" w:rsidRPr="009F1107" w:rsidRDefault="006B6F22" w:rsidP="000760AC">
            <w:r w:rsidRPr="009F1107">
              <w:rPr>
                <w:b/>
              </w:rPr>
              <w:t xml:space="preserve">Family </w:t>
            </w:r>
            <w:r>
              <w:rPr>
                <w:b/>
              </w:rPr>
              <w:t>History</w:t>
            </w:r>
            <w:r w:rsidRPr="009F1107">
              <w:rPr>
                <w:b/>
              </w:rPr>
              <w:t xml:space="preserve"> of OCD, proportion</w:t>
            </w:r>
            <w:r>
              <w:rPr>
                <w:b/>
              </w:rPr>
              <w:t xml:space="preserve"> with</w:t>
            </w:r>
          </w:p>
        </w:tc>
        <w:tc>
          <w:tcPr>
            <w:tcW w:w="1890" w:type="dxa"/>
          </w:tcPr>
          <w:p w14:paraId="24C119C4" w14:textId="78B90D95" w:rsidR="006B6F22" w:rsidRPr="009F1107" w:rsidRDefault="002930C6" w:rsidP="000760AC">
            <w:pPr>
              <w:jc w:val="center"/>
            </w:pPr>
            <w:r>
              <w:t>0.009</w:t>
            </w:r>
          </w:p>
        </w:tc>
        <w:tc>
          <w:tcPr>
            <w:tcW w:w="1530" w:type="dxa"/>
          </w:tcPr>
          <w:p w14:paraId="1F06376B" w14:textId="34BDEB90" w:rsidR="006B6F22" w:rsidRPr="009F1107" w:rsidRDefault="002930C6" w:rsidP="000760AC">
            <w:pPr>
              <w:jc w:val="center"/>
            </w:pPr>
            <w:r>
              <w:t>0.035</w:t>
            </w:r>
          </w:p>
        </w:tc>
        <w:tc>
          <w:tcPr>
            <w:tcW w:w="1350" w:type="dxa"/>
          </w:tcPr>
          <w:p w14:paraId="4C88B4B9" w14:textId="48AF120B" w:rsidR="006B6F22" w:rsidRPr="009F1107" w:rsidRDefault="002930C6" w:rsidP="000760AC">
            <w:pPr>
              <w:jc w:val="center"/>
            </w:pPr>
            <w:r>
              <w:t>0.039</w:t>
            </w:r>
          </w:p>
        </w:tc>
        <w:tc>
          <w:tcPr>
            <w:tcW w:w="2430" w:type="dxa"/>
          </w:tcPr>
          <w:p w14:paraId="78D07F47" w14:textId="4CEFD348" w:rsidR="002930C6" w:rsidRDefault="002930C6" w:rsidP="002930C6">
            <w:pPr>
              <w:jc w:val="center"/>
            </w:pPr>
            <w:r w:rsidRPr="00ED05BD">
              <w:t>Chi</w:t>
            </w:r>
            <w:r>
              <w:t>-</w:t>
            </w:r>
            <w:r w:rsidRPr="00ED05BD">
              <w:t>sq</w:t>
            </w:r>
            <w:r>
              <w:t>uare = 2.685</w:t>
            </w:r>
          </w:p>
          <w:p w14:paraId="2D81CF12" w14:textId="728C6334" w:rsidR="006B6F22" w:rsidRDefault="002930C6" w:rsidP="002930C6">
            <w:pPr>
              <w:jc w:val="center"/>
            </w:pPr>
            <w:r w:rsidRPr="00ED05BD">
              <w:t xml:space="preserve"> </w:t>
            </w:r>
            <w:r>
              <w:t>d</w:t>
            </w:r>
            <w:r w:rsidRPr="00ED05BD">
              <w:t>f</w:t>
            </w:r>
            <w:r>
              <w:t>=</w:t>
            </w:r>
            <w:r w:rsidRPr="00ED05BD">
              <w:t>2</w:t>
            </w:r>
            <w:r>
              <w:t>;</w:t>
            </w:r>
            <w:r w:rsidR="004219C2">
              <w:t xml:space="preserve"> </w:t>
            </w:r>
            <w:r>
              <w:t>p =</w:t>
            </w:r>
            <w:r w:rsidRPr="00ED05BD">
              <w:t>.</w:t>
            </w:r>
            <w:r>
              <w:t>261</w:t>
            </w:r>
          </w:p>
          <w:p w14:paraId="338A0788" w14:textId="025D8AF7" w:rsidR="00B50E7D" w:rsidRPr="009F1107" w:rsidRDefault="00B50E7D" w:rsidP="002930C6">
            <w:pPr>
              <w:jc w:val="center"/>
            </w:pPr>
            <w:r>
              <w:t>(corrected p value =1)</w:t>
            </w:r>
          </w:p>
        </w:tc>
        <w:tc>
          <w:tcPr>
            <w:tcW w:w="2790" w:type="dxa"/>
          </w:tcPr>
          <w:p w14:paraId="514FBC94" w14:textId="16EAFAB6" w:rsidR="006B6F22" w:rsidRPr="009F1107" w:rsidRDefault="006B6F22" w:rsidP="000760AC">
            <w:pPr>
              <w:jc w:val="center"/>
            </w:pPr>
          </w:p>
        </w:tc>
      </w:tr>
      <w:tr w:rsidR="006B6F22" w:rsidRPr="009F1107" w14:paraId="2D312E46" w14:textId="77777777" w:rsidTr="007422D7">
        <w:tc>
          <w:tcPr>
            <w:tcW w:w="3307" w:type="dxa"/>
          </w:tcPr>
          <w:p w14:paraId="25595B72" w14:textId="77777777" w:rsidR="006B6F22" w:rsidRPr="009F1107" w:rsidRDefault="006B6F22" w:rsidP="000760AC">
            <w:r w:rsidRPr="009F1107">
              <w:rPr>
                <w:b/>
              </w:rPr>
              <w:t xml:space="preserve">Family history of </w:t>
            </w:r>
            <w:r>
              <w:rPr>
                <w:b/>
              </w:rPr>
              <w:t>Alcohol</w:t>
            </w:r>
            <w:r w:rsidRPr="009F1107">
              <w:rPr>
                <w:b/>
              </w:rPr>
              <w:t xml:space="preserve"> use disorder, proportion with</w:t>
            </w:r>
          </w:p>
        </w:tc>
        <w:tc>
          <w:tcPr>
            <w:tcW w:w="1890" w:type="dxa"/>
          </w:tcPr>
          <w:p w14:paraId="7015E8AC" w14:textId="71FF40DC" w:rsidR="006B6F22" w:rsidRPr="009F1107" w:rsidRDefault="002930C6" w:rsidP="000760AC">
            <w:pPr>
              <w:jc w:val="center"/>
            </w:pPr>
            <w:r>
              <w:t>0.122</w:t>
            </w:r>
          </w:p>
        </w:tc>
        <w:tc>
          <w:tcPr>
            <w:tcW w:w="1530" w:type="dxa"/>
          </w:tcPr>
          <w:p w14:paraId="138BFA89" w14:textId="1FE1B453" w:rsidR="006B6F22" w:rsidRPr="009F1107" w:rsidRDefault="002930C6" w:rsidP="000760AC">
            <w:pPr>
              <w:jc w:val="center"/>
            </w:pPr>
            <w:r>
              <w:t>0.248</w:t>
            </w:r>
          </w:p>
        </w:tc>
        <w:tc>
          <w:tcPr>
            <w:tcW w:w="1350" w:type="dxa"/>
          </w:tcPr>
          <w:p w14:paraId="7C170A8B" w14:textId="58EDF5BD" w:rsidR="006B6F22" w:rsidRPr="009F1107" w:rsidRDefault="002930C6" w:rsidP="000760AC">
            <w:pPr>
              <w:jc w:val="center"/>
            </w:pPr>
            <w:r>
              <w:t>0.196</w:t>
            </w:r>
          </w:p>
        </w:tc>
        <w:tc>
          <w:tcPr>
            <w:tcW w:w="2430" w:type="dxa"/>
          </w:tcPr>
          <w:p w14:paraId="627C272E" w14:textId="489BCF52" w:rsidR="002930C6" w:rsidRDefault="002930C6" w:rsidP="002930C6">
            <w:pPr>
              <w:jc w:val="center"/>
            </w:pPr>
            <w:r w:rsidRPr="00ED05BD">
              <w:t>Chi</w:t>
            </w:r>
            <w:r>
              <w:t>-</w:t>
            </w:r>
            <w:r w:rsidRPr="00ED05BD">
              <w:t>sq</w:t>
            </w:r>
            <w:r>
              <w:t>uare = 6.387</w:t>
            </w:r>
          </w:p>
          <w:p w14:paraId="3CFE3CBD" w14:textId="295883C3" w:rsidR="006B6F22" w:rsidRDefault="002930C6" w:rsidP="002930C6">
            <w:pPr>
              <w:jc w:val="center"/>
            </w:pPr>
            <w:r w:rsidRPr="00ED05BD">
              <w:t xml:space="preserve"> </w:t>
            </w:r>
            <w:r>
              <w:t>d</w:t>
            </w:r>
            <w:r w:rsidRPr="00ED05BD">
              <w:t>f</w:t>
            </w:r>
            <w:r>
              <w:t>=</w:t>
            </w:r>
            <w:r w:rsidRPr="00ED05BD">
              <w:t>2</w:t>
            </w:r>
            <w:r>
              <w:t>;</w:t>
            </w:r>
            <w:r w:rsidRPr="00ED05BD">
              <w:t xml:space="preserve"> </w:t>
            </w:r>
            <w:r>
              <w:t>p =</w:t>
            </w:r>
            <w:r w:rsidRPr="00ED05BD">
              <w:t>.</w:t>
            </w:r>
            <w:r>
              <w:t>041</w:t>
            </w:r>
          </w:p>
          <w:p w14:paraId="1AFC8038" w14:textId="142B527F" w:rsidR="00B50E7D" w:rsidRPr="009F1107" w:rsidRDefault="00B50E7D" w:rsidP="004E477E">
            <w:pPr>
              <w:jc w:val="center"/>
            </w:pPr>
            <w:r>
              <w:t>(corrected p value =.</w:t>
            </w:r>
            <w:r w:rsidR="004E477E">
              <w:t>451</w:t>
            </w:r>
            <w:r>
              <w:t>)</w:t>
            </w:r>
          </w:p>
        </w:tc>
        <w:tc>
          <w:tcPr>
            <w:tcW w:w="2790" w:type="dxa"/>
          </w:tcPr>
          <w:p w14:paraId="63CF926C" w14:textId="69590375" w:rsidR="006B6F22" w:rsidRPr="009F1107" w:rsidRDefault="006B6F22" w:rsidP="000760AC">
            <w:pPr>
              <w:jc w:val="center"/>
            </w:pPr>
          </w:p>
        </w:tc>
      </w:tr>
      <w:tr w:rsidR="006B6F22" w:rsidRPr="009F1107" w14:paraId="3793CE0D" w14:textId="77777777" w:rsidTr="007422D7">
        <w:tc>
          <w:tcPr>
            <w:tcW w:w="3307" w:type="dxa"/>
          </w:tcPr>
          <w:p w14:paraId="52C902A1" w14:textId="77777777" w:rsidR="006B6F22" w:rsidRPr="009F1107" w:rsidRDefault="006B6F22" w:rsidP="000760AC">
            <w:r w:rsidRPr="009F1107">
              <w:rPr>
                <w:b/>
              </w:rPr>
              <w:t>Family history of Substance use disorder, proportion with</w:t>
            </w:r>
          </w:p>
        </w:tc>
        <w:tc>
          <w:tcPr>
            <w:tcW w:w="1890" w:type="dxa"/>
          </w:tcPr>
          <w:p w14:paraId="0476B41B" w14:textId="5893556B" w:rsidR="006B6F22" w:rsidRPr="009F1107" w:rsidRDefault="00416889" w:rsidP="000760AC">
            <w:pPr>
              <w:jc w:val="center"/>
            </w:pPr>
            <w:r>
              <w:t>0.061</w:t>
            </w:r>
          </w:p>
        </w:tc>
        <w:tc>
          <w:tcPr>
            <w:tcW w:w="1530" w:type="dxa"/>
          </w:tcPr>
          <w:p w14:paraId="58E82C93" w14:textId="04312881" w:rsidR="006B6F22" w:rsidRPr="009F1107" w:rsidRDefault="00416889" w:rsidP="000760AC">
            <w:pPr>
              <w:jc w:val="center"/>
            </w:pPr>
            <w:r>
              <w:t>0.124</w:t>
            </w:r>
          </w:p>
        </w:tc>
        <w:tc>
          <w:tcPr>
            <w:tcW w:w="1350" w:type="dxa"/>
          </w:tcPr>
          <w:p w14:paraId="5E02E927" w14:textId="24C0E548" w:rsidR="006B6F22" w:rsidRPr="009F1107" w:rsidRDefault="00416889" w:rsidP="000760AC">
            <w:pPr>
              <w:jc w:val="center"/>
            </w:pPr>
            <w:r>
              <w:t>0.098</w:t>
            </w:r>
          </w:p>
        </w:tc>
        <w:tc>
          <w:tcPr>
            <w:tcW w:w="2430" w:type="dxa"/>
          </w:tcPr>
          <w:p w14:paraId="6B8E6920" w14:textId="4F0D4273" w:rsidR="00416889" w:rsidRDefault="00416889" w:rsidP="00416889">
            <w:pPr>
              <w:jc w:val="center"/>
            </w:pPr>
            <w:r w:rsidRPr="00957B46">
              <w:t>Chi</w:t>
            </w:r>
            <w:r>
              <w:t>-</w:t>
            </w:r>
            <w:r w:rsidRPr="00957B46">
              <w:t>sq</w:t>
            </w:r>
            <w:r>
              <w:t>uare =</w:t>
            </w:r>
            <w:r w:rsidRPr="00957B46">
              <w:t xml:space="preserve"> </w:t>
            </w:r>
            <w:r>
              <w:t>2.83</w:t>
            </w:r>
            <w:r w:rsidR="00EA6335">
              <w:t>2</w:t>
            </w:r>
            <w:r>
              <w:t>;</w:t>
            </w:r>
          </w:p>
          <w:p w14:paraId="5B6FF505" w14:textId="628FEFFA" w:rsidR="006B6F22" w:rsidRDefault="00416889" w:rsidP="00416889">
            <w:pPr>
              <w:jc w:val="center"/>
            </w:pPr>
            <w:r w:rsidRPr="00957B46">
              <w:t xml:space="preserve"> df </w:t>
            </w:r>
            <w:r>
              <w:t>=</w:t>
            </w:r>
            <w:r w:rsidRPr="00957B46">
              <w:t>3</w:t>
            </w:r>
            <w:r>
              <w:t>;</w:t>
            </w:r>
            <w:r w:rsidRPr="00957B46">
              <w:t xml:space="preserve"> p</w:t>
            </w:r>
            <w:r>
              <w:t>=.243</w:t>
            </w:r>
          </w:p>
          <w:p w14:paraId="30B770A2" w14:textId="76316E3E" w:rsidR="00B50E7D" w:rsidRPr="009F1107" w:rsidRDefault="00B50E7D" w:rsidP="00416889">
            <w:pPr>
              <w:jc w:val="center"/>
            </w:pPr>
            <w:r>
              <w:t>(corrected p value =1)</w:t>
            </w:r>
          </w:p>
        </w:tc>
        <w:tc>
          <w:tcPr>
            <w:tcW w:w="2790" w:type="dxa"/>
          </w:tcPr>
          <w:p w14:paraId="0868CD2C" w14:textId="424421D8" w:rsidR="006B6F22" w:rsidRPr="009F1107" w:rsidRDefault="006B6F22" w:rsidP="000760AC">
            <w:pPr>
              <w:jc w:val="center"/>
            </w:pPr>
          </w:p>
        </w:tc>
      </w:tr>
      <w:tr w:rsidR="006B6F22" w:rsidRPr="009F1107" w14:paraId="1623DD88" w14:textId="77777777" w:rsidTr="004219C2">
        <w:tc>
          <w:tcPr>
            <w:tcW w:w="13297" w:type="dxa"/>
            <w:gridSpan w:val="6"/>
          </w:tcPr>
          <w:p w14:paraId="3C54A3FC" w14:textId="77777777" w:rsidR="006B6F22" w:rsidRPr="00BC4A2C" w:rsidRDefault="006B6F22" w:rsidP="000760AC">
            <w:pPr>
              <w:jc w:val="center"/>
              <w:rPr>
                <w:b/>
              </w:rPr>
            </w:pPr>
            <w:r w:rsidRPr="00BC4A2C">
              <w:rPr>
                <w:b/>
              </w:rPr>
              <w:t>Cognitive Measures</w:t>
            </w:r>
          </w:p>
        </w:tc>
      </w:tr>
      <w:tr w:rsidR="006B6F22" w:rsidRPr="009F1107" w14:paraId="4B0D032B" w14:textId="77777777" w:rsidTr="007422D7">
        <w:tc>
          <w:tcPr>
            <w:tcW w:w="3307" w:type="dxa"/>
          </w:tcPr>
          <w:p w14:paraId="78F65BDB" w14:textId="77777777" w:rsidR="006B6F22" w:rsidRPr="009F1107" w:rsidRDefault="006B6F22" w:rsidP="000760AC">
            <w:r w:rsidRPr="009F1107">
              <w:rPr>
                <w:b/>
              </w:rPr>
              <w:t>Barratt Impulsivity Scale total</w:t>
            </w:r>
          </w:p>
        </w:tc>
        <w:tc>
          <w:tcPr>
            <w:tcW w:w="1890" w:type="dxa"/>
          </w:tcPr>
          <w:p w14:paraId="1E2EDC45" w14:textId="77777777" w:rsidR="006B6F22" w:rsidRPr="009F1107" w:rsidRDefault="006B6F22" w:rsidP="000760AC">
            <w:pPr>
              <w:jc w:val="center"/>
            </w:pPr>
            <w:r w:rsidRPr="00ED05BD">
              <w:t xml:space="preserve">56.773 </w:t>
            </w:r>
            <w:r>
              <w:t>(</w:t>
            </w:r>
            <w:r w:rsidRPr="00ED05BD">
              <w:t>1.139</w:t>
            </w:r>
            <w:r>
              <w:t>)</w:t>
            </w:r>
          </w:p>
        </w:tc>
        <w:tc>
          <w:tcPr>
            <w:tcW w:w="1530" w:type="dxa"/>
          </w:tcPr>
          <w:p w14:paraId="06C4F25A" w14:textId="77777777" w:rsidR="006B6F22" w:rsidRPr="009F1107" w:rsidRDefault="006B6F22" w:rsidP="000760AC">
            <w:pPr>
              <w:jc w:val="center"/>
            </w:pPr>
            <w:r w:rsidRPr="00ED05BD">
              <w:t xml:space="preserve">61.51 </w:t>
            </w:r>
            <w:r>
              <w:t>(</w:t>
            </w:r>
            <w:r w:rsidRPr="00ED05BD">
              <w:t>1.08</w:t>
            </w:r>
            <w:r>
              <w:t>)</w:t>
            </w:r>
          </w:p>
        </w:tc>
        <w:tc>
          <w:tcPr>
            <w:tcW w:w="1350" w:type="dxa"/>
          </w:tcPr>
          <w:p w14:paraId="4C920B69" w14:textId="77777777" w:rsidR="006B6F22" w:rsidRPr="009F1107" w:rsidRDefault="006B6F22" w:rsidP="000760AC">
            <w:pPr>
              <w:jc w:val="center"/>
            </w:pPr>
            <w:r w:rsidRPr="00ED05BD">
              <w:t xml:space="preserve">57.582 </w:t>
            </w:r>
            <w:r>
              <w:t>(</w:t>
            </w:r>
            <w:r w:rsidRPr="00ED05BD">
              <w:t>1.641</w:t>
            </w:r>
            <w:r>
              <w:t>)</w:t>
            </w:r>
          </w:p>
        </w:tc>
        <w:tc>
          <w:tcPr>
            <w:tcW w:w="2430" w:type="dxa"/>
          </w:tcPr>
          <w:p w14:paraId="19CC9523" w14:textId="77777777" w:rsidR="006B6F22" w:rsidRDefault="006B6F22" w:rsidP="000760AC">
            <w:pPr>
              <w:jc w:val="center"/>
            </w:pPr>
            <w:r w:rsidRPr="00ED05BD">
              <w:t>Chi</w:t>
            </w:r>
            <w:r>
              <w:t>-</w:t>
            </w:r>
            <w:r w:rsidRPr="00ED05BD">
              <w:t>sq</w:t>
            </w:r>
            <w:r>
              <w:t>uare =</w:t>
            </w:r>
            <w:r w:rsidRPr="00ED05BD">
              <w:t xml:space="preserve"> 9.96</w:t>
            </w:r>
          </w:p>
          <w:p w14:paraId="56E8A79A" w14:textId="28F896B0" w:rsidR="006B6F22" w:rsidRDefault="006B6F22" w:rsidP="000760AC">
            <w:pPr>
              <w:jc w:val="center"/>
            </w:pPr>
            <w:r w:rsidRPr="00ED05BD">
              <w:t xml:space="preserve"> </w:t>
            </w:r>
            <w:r>
              <w:t>d</w:t>
            </w:r>
            <w:r w:rsidRPr="00ED05BD">
              <w:t>f</w:t>
            </w:r>
            <w:r>
              <w:t>=</w:t>
            </w:r>
            <w:r w:rsidRPr="00ED05BD">
              <w:t>2</w:t>
            </w:r>
            <w:r>
              <w:t>;</w:t>
            </w:r>
            <w:r w:rsidRPr="00ED05BD">
              <w:t xml:space="preserve"> </w:t>
            </w:r>
            <w:r>
              <w:t>p =</w:t>
            </w:r>
            <w:r w:rsidRPr="00ED05BD">
              <w:t>0.007</w:t>
            </w:r>
          </w:p>
          <w:p w14:paraId="12046685" w14:textId="05C2C706" w:rsidR="004E477E" w:rsidRPr="009F1107" w:rsidRDefault="004E477E" w:rsidP="004E477E">
            <w:pPr>
              <w:jc w:val="center"/>
            </w:pPr>
            <w:r>
              <w:t>(corrected p value =.089)</w:t>
            </w:r>
          </w:p>
        </w:tc>
        <w:tc>
          <w:tcPr>
            <w:tcW w:w="2790" w:type="dxa"/>
          </w:tcPr>
          <w:p w14:paraId="4DDDA4ED" w14:textId="4CAE81B5" w:rsidR="006B6F22" w:rsidRPr="009F1107" w:rsidRDefault="006B6F22" w:rsidP="000760AC">
            <w:pPr>
              <w:jc w:val="center"/>
            </w:pPr>
          </w:p>
        </w:tc>
      </w:tr>
      <w:tr w:rsidR="006B6F22" w:rsidRPr="009F1107" w14:paraId="03E0AC36" w14:textId="77777777" w:rsidTr="007422D7">
        <w:tc>
          <w:tcPr>
            <w:tcW w:w="3307" w:type="dxa"/>
          </w:tcPr>
          <w:p w14:paraId="4D3F781D" w14:textId="77777777" w:rsidR="006B6F22" w:rsidRPr="009F1107" w:rsidRDefault="006B6F22" w:rsidP="000760AC">
            <w:r w:rsidRPr="009F1107">
              <w:rPr>
                <w:b/>
              </w:rPr>
              <w:t>Extra-dimensional set-shifting errors</w:t>
            </w:r>
          </w:p>
        </w:tc>
        <w:tc>
          <w:tcPr>
            <w:tcW w:w="1890" w:type="dxa"/>
          </w:tcPr>
          <w:p w14:paraId="16EFD52B" w14:textId="77777777" w:rsidR="006B6F22" w:rsidRPr="009F1107" w:rsidRDefault="006B6F22" w:rsidP="000760AC">
            <w:pPr>
              <w:jc w:val="center"/>
            </w:pPr>
            <w:r w:rsidRPr="000870DC">
              <w:t xml:space="preserve">10.674 </w:t>
            </w:r>
            <w:r>
              <w:t>(</w:t>
            </w:r>
            <w:r w:rsidRPr="000870DC">
              <w:t>1.044</w:t>
            </w:r>
            <w:r>
              <w:t>)</w:t>
            </w:r>
          </w:p>
        </w:tc>
        <w:tc>
          <w:tcPr>
            <w:tcW w:w="1530" w:type="dxa"/>
          </w:tcPr>
          <w:p w14:paraId="09D183ED" w14:textId="77777777" w:rsidR="006B6F22" w:rsidRPr="009F1107" w:rsidRDefault="006B6F22" w:rsidP="000760AC">
            <w:pPr>
              <w:jc w:val="center"/>
            </w:pPr>
            <w:r w:rsidRPr="000870DC">
              <w:t xml:space="preserve">9.063 </w:t>
            </w:r>
            <w:r>
              <w:t>(</w:t>
            </w:r>
            <w:r w:rsidRPr="000870DC">
              <w:t>0.999</w:t>
            </w:r>
            <w:r>
              <w:t>)</w:t>
            </w:r>
          </w:p>
        </w:tc>
        <w:tc>
          <w:tcPr>
            <w:tcW w:w="1350" w:type="dxa"/>
          </w:tcPr>
          <w:p w14:paraId="45BEE281" w14:textId="77777777" w:rsidR="006B6F22" w:rsidRPr="009F1107" w:rsidRDefault="006B6F22" w:rsidP="000760AC">
            <w:pPr>
              <w:jc w:val="center"/>
            </w:pPr>
            <w:r w:rsidRPr="000870DC">
              <w:t xml:space="preserve">10.46 </w:t>
            </w:r>
            <w:r>
              <w:t>(</w:t>
            </w:r>
            <w:r w:rsidRPr="000870DC">
              <w:t>1.549</w:t>
            </w:r>
            <w:r>
              <w:t>)</w:t>
            </w:r>
          </w:p>
        </w:tc>
        <w:tc>
          <w:tcPr>
            <w:tcW w:w="2430" w:type="dxa"/>
          </w:tcPr>
          <w:p w14:paraId="47044CAC" w14:textId="77777777" w:rsidR="006B6F22" w:rsidRDefault="006B6F22" w:rsidP="000760AC">
            <w:pPr>
              <w:jc w:val="center"/>
            </w:pPr>
            <w:r w:rsidRPr="00ED05BD">
              <w:t>Chi</w:t>
            </w:r>
            <w:r>
              <w:t>-</w:t>
            </w:r>
            <w:r w:rsidRPr="00ED05BD">
              <w:t>sq</w:t>
            </w:r>
            <w:r>
              <w:t>uare =</w:t>
            </w:r>
            <w:r w:rsidRPr="00ED05BD">
              <w:t xml:space="preserve"> </w:t>
            </w:r>
            <w:r>
              <w:t>1.377</w:t>
            </w:r>
          </w:p>
          <w:p w14:paraId="7C4F6444" w14:textId="5115DA1D" w:rsidR="006B6F22" w:rsidRDefault="006B6F22" w:rsidP="000760AC">
            <w:pPr>
              <w:jc w:val="center"/>
            </w:pPr>
            <w:r w:rsidRPr="00ED05BD">
              <w:t xml:space="preserve"> </w:t>
            </w:r>
            <w:r>
              <w:t>d</w:t>
            </w:r>
            <w:r w:rsidRPr="00ED05BD">
              <w:t>f</w:t>
            </w:r>
            <w:r>
              <w:t>=</w:t>
            </w:r>
            <w:r w:rsidRPr="00ED05BD">
              <w:t>2</w:t>
            </w:r>
            <w:r>
              <w:t>;</w:t>
            </w:r>
            <w:r w:rsidR="004219C2">
              <w:t xml:space="preserve"> </w:t>
            </w:r>
            <w:r>
              <w:t>p =</w:t>
            </w:r>
            <w:r w:rsidRPr="00ED05BD">
              <w:t>.</w:t>
            </w:r>
            <w:r>
              <w:t>502</w:t>
            </w:r>
          </w:p>
          <w:p w14:paraId="58BE7268" w14:textId="26959D0D" w:rsidR="004E477E" w:rsidRPr="009F1107" w:rsidRDefault="004E477E" w:rsidP="000760AC">
            <w:pPr>
              <w:jc w:val="center"/>
            </w:pPr>
            <w:r>
              <w:t>(corrected p value =1)</w:t>
            </w:r>
          </w:p>
        </w:tc>
        <w:tc>
          <w:tcPr>
            <w:tcW w:w="2790" w:type="dxa"/>
          </w:tcPr>
          <w:p w14:paraId="1D37E1DD" w14:textId="77777777" w:rsidR="006B6F22" w:rsidRPr="009F1107" w:rsidRDefault="006B6F22" w:rsidP="000760AC">
            <w:pPr>
              <w:jc w:val="center"/>
            </w:pPr>
          </w:p>
        </w:tc>
      </w:tr>
      <w:tr w:rsidR="006B6F22" w:rsidRPr="009F1107" w14:paraId="1395CFBC" w14:textId="77777777" w:rsidTr="007422D7">
        <w:tc>
          <w:tcPr>
            <w:tcW w:w="3307" w:type="dxa"/>
          </w:tcPr>
          <w:p w14:paraId="5D3B4DAF" w14:textId="77777777" w:rsidR="006B6F22" w:rsidRPr="009F1107" w:rsidRDefault="006B6F22" w:rsidP="000760AC">
            <w:r w:rsidRPr="009F1107">
              <w:rPr>
                <w:b/>
              </w:rPr>
              <w:t>Stop-signal reaction times</w:t>
            </w:r>
          </w:p>
        </w:tc>
        <w:tc>
          <w:tcPr>
            <w:tcW w:w="1890" w:type="dxa"/>
          </w:tcPr>
          <w:p w14:paraId="47202A03" w14:textId="77777777" w:rsidR="006B6F22" w:rsidRPr="009F1107" w:rsidRDefault="006B6F22" w:rsidP="000760AC">
            <w:pPr>
              <w:jc w:val="center"/>
            </w:pPr>
            <w:r w:rsidRPr="00D54EA6">
              <w:t xml:space="preserve">232.344 </w:t>
            </w:r>
            <w:r>
              <w:t>(</w:t>
            </w:r>
            <w:r w:rsidRPr="00D54EA6">
              <w:t>12.414</w:t>
            </w:r>
            <w:r>
              <w:t>)</w:t>
            </w:r>
          </w:p>
        </w:tc>
        <w:tc>
          <w:tcPr>
            <w:tcW w:w="1530" w:type="dxa"/>
          </w:tcPr>
          <w:p w14:paraId="37F87D19" w14:textId="77777777" w:rsidR="006B6F22" w:rsidRPr="009F1107" w:rsidRDefault="006B6F22" w:rsidP="000760AC">
            <w:pPr>
              <w:jc w:val="center"/>
            </w:pPr>
            <w:r w:rsidRPr="00D54EA6">
              <w:t xml:space="preserve">218.942 </w:t>
            </w:r>
            <w:r>
              <w:t>(</w:t>
            </w:r>
            <w:r w:rsidRPr="00D54EA6">
              <w:t>9.266</w:t>
            </w:r>
            <w:r>
              <w:t>)</w:t>
            </w:r>
          </w:p>
        </w:tc>
        <w:tc>
          <w:tcPr>
            <w:tcW w:w="1350" w:type="dxa"/>
          </w:tcPr>
          <w:p w14:paraId="52E3F0E9" w14:textId="77777777" w:rsidR="006B6F22" w:rsidRPr="009F1107" w:rsidRDefault="006B6F22" w:rsidP="000760AC">
            <w:pPr>
              <w:jc w:val="center"/>
            </w:pPr>
            <w:r w:rsidRPr="00D54EA6">
              <w:t xml:space="preserve">200.741 </w:t>
            </w:r>
            <w:r>
              <w:t>(</w:t>
            </w:r>
            <w:r w:rsidRPr="00D54EA6">
              <w:t>8.157</w:t>
            </w:r>
            <w:r>
              <w:t>)</w:t>
            </w:r>
          </w:p>
        </w:tc>
        <w:tc>
          <w:tcPr>
            <w:tcW w:w="2430" w:type="dxa"/>
          </w:tcPr>
          <w:p w14:paraId="0D9E09C4" w14:textId="77777777" w:rsidR="006B6F22" w:rsidRDefault="006B6F22" w:rsidP="000760AC">
            <w:pPr>
              <w:jc w:val="center"/>
            </w:pPr>
            <w:r w:rsidRPr="00ED05BD">
              <w:t>Chi</w:t>
            </w:r>
            <w:r>
              <w:t>-</w:t>
            </w:r>
            <w:r w:rsidRPr="00ED05BD">
              <w:t>sq</w:t>
            </w:r>
            <w:r>
              <w:t>uare =</w:t>
            </w:r>
            <w:r w:rsidRPr="00ED05BD">
              <w:t xml:space="preserve"> </w:t>
            </w:r>
            <w:r>
              <w:t>5.094</w:t>
            </w:r>
          </w:p>
          <w:p w14:paraId="0BD1B675" w14:textId="1E990D51" w:rsidR="006B6F22" w:rsidRDefault="006B6F22" w:rsidP="000760AC">
            <w:pPr>
              <w:jc w:val="center"/>
            </w:pPr>
            <w:r w:rsidRPr="00ED05BD">
              <w:t xml:space="preserve"> </w:t>
            </w:r>
            <w:r>
              <w:t>d</w:t>
            </w:r>
            <w:r w:rsidRPr="00ED05BD">
              <w:t>f</w:t>
            </w:r>
            <w:r>
              <w:t>=</w:t>
            </w:r>
            <w:r w:rsidRPr="00ED05BD">
              <w:t>2</w:t>
            </w:r>
            <w:r>
              <w:t>;</w:t>
            </w:r>
            <w:r w:rsidR="004219C2">
              <w:t xml:space="preserve"> </w:t>
            </w:r>
            <w:r>
              <w:t>p =</w:t>
            </w:r>
            <w:r w:rsidRPr="00ED05BD">
              <w:t>.</w:t>
            </w:r>
            <w:r>
              <w:t>078</w:t>
            </w:r>
          </w:p>
          <w:p w14:paraId="4EFA872E" w14:textId="61252587" w:rsidR="004E477E" w:rsidRPr="009F1107" w:rsidRDefault="004E477E" w:rsidP="004E477E">
            <w:pPr>
              <w:jc w:val="center"/>
            </w:pPr>
            <w:r>
              <w:lastRenderedPageBreak/>
              <w:t>(corrected p value =.745)</w:t>
            </w:r>
          </w:p>
        </w:tc>
        <w:tc>
          <w:tcPr>
            <w:tcW w:w="2790" w:type="dxa"/>
          </w:tcPr>
          <w:p w14:paraId="7C20DB9B" w14:textId="77777777" w:rsidR="006B6F22" w:rsidRPr="009F1107" w:rsidRDefault="006B6F22" w:rsidP="000760AC">
            <w:pPr>
              <w:jc w:val="center"/>
            </w:pPr>
          </w:p>
        </w:tc>
      </w:tr>
    </w:tbl>
    <w:p w14:paraId="754F0DAD" w14:textId="77777777" w:rsidR="006B6F22" w:rsidRDefault="006B6F22" w:rsidP="006B6F22"/>
    <w:p w14:paraId="665930E6" w14:textId="77777777" w:rsidR="00F84A76" w:rsidRDefault="00F84A76" w:rsidP="00AF1F2F">
      <w:pPr>
        <w:ind w:left="720" w:hanging="720"/>
      </w:pPr>
    </w:p>
    <w:sectPr w:rsidR="00F84A76" w:rsidSect="004B6DA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01F9" w14:textId="77777777" w:rsidR="00311566" w:rsidRDefault="00311566">
      <w:r>
        <w:separator/>
      </w:r>
    </w:p>
  </w:endnote>
  <w:endnote w:type="continuationSeparator" w:id="0">
    <w:p w14:paraId="26011F10" w14:textId="77777777" w:rsidR="00311566" w:rsidRDefault="0031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577713"/>
      <w:docPartObj>
        <w:docPartGallery w:val="Page Numbers (Bottom of Page)"/>
        <w:docPartUnique/>
      </w:docPartObj>
    </w:sdtPr>
    <w:sdtEndPr>
      <w:rPr>
        <w:noProof/>
      </w:rPr>
    </w:sdtEndPr>
    <w:sdtContent>
      <w:p w14:paraId="0D0DF3E4" w14:textId="764AD425" w:rsidR="00C22DE7" w:rsidRDefault="00C22DE7">
        <w:pPr>
          <w:pStyle w:val="Footer"/>
          <w:jc w:val="center"/>
        </w:pPr>
        <w:r>
          <w:fldChar w:fldCharType="begin"/>
        </w:r>
        <w:r>
          <w:instrText xml:space="preserve"> PAGE   \* MERGEFORMAT </w:instrText>
        </w:r>
        <w:r>
          <w:fldChar w:fldCharType="separate"/>
        </w:r>
        <w:r w:rsidR="00036B1D">
          <w:rPr>
            <w:noProof/>
          </w:rPr>
          <w:t>1</w:t>
        </w:r>
        <w:r>
          <w:rPr>
            <w:noProof/>
          </w:rPr>
          <w:fldChar w:fldCharType="end"/>
        </w:r>
      </w:p>
    </w:sdtContent>
  </w:sdt>
  <w:p w14:paraId="73A8CC1C" w14:textId="599D929A" w:rsidR="00C22DE7" w:rsidRPr="00E75B52" w:rsidRDefault="00C22DE7" w:rsidP="0058599D">
    <w:pPr>
      <w:pStyle w:val="Footer"/>
      <w:ind w:right="360"/>
      <w:rPr>
        <w:rStyle w:val="textcontro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88393" w14:textId="77777777" w:rsidR="00311566" w:rsidRDefault="00311566">
      <w:r>
        <w:separator/>
      </w:r>
    </w:p>
  </w:footnote>
  <w:footnote w:type="continuationSeparator" w:id="0">
    <w:p w14:paraId="5882877B" w14:textId="77777777" w:rsidR="00311566" w:rsidRDefault="0031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5618"/>
    <w:multiLevelType w:val="hybridMultilevel"/>
    <w:tmpl w:val="6CDCABC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B1B05"/>
    <w:multiLevelType w:val="hybridMultilevel"/>
    <w:tmpl w:val="2F8C5A6A"/>
    <w:lvl w:ilvl="0" w:tplc="9FC00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1323"/>
    <w:multiLevelType w:val="hybridMultilevel"/>
    <w:tmpl w:val="ECA87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D6EDE"/>
    <w:multiLevelType w:val="hybridMultilevel"/>
    <w:tmpl w:val="5C942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E45D5"/>
    <w:multiLevelType w:val="hybridMultilevel"/>
    <w:tmpl w:val="A0D6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C3433"/>
    <w:multiLevelType w:val="hybridMultilevel"/>
    <w:tmpl w:val="F328D0E0"/>
    <w:lvl w:ilvl="0" w:tplc="AB58D96C">
      <w:start w:val="1"/>
      <w:numFmt w:val="bullet"/>
      <w:lvlText w:val=""/>
      <w:lvlJc w:val="left"/>
      <w:pPr>
        <w:tabs>
          <w:tab w:val="num" w:pos="216"/>
        </w:tabs>
        <w:ind w:left="216" w:hanging="216"/>
      </w:pPr>
      <w:rPr>
        <w:rFonts w:ascii="Symbol" w:hAnsi="Symbol" w:hint="default"/>
        <w:sz w:val="20"/>
      </w:rPr>
    </w:lvl>
    <w:lvl w:ilvl="1" w:tplc="7B060D0C">
      <w:start w:val="1"/>
      <w:numFmt w:val="bullet"/>
      <w:lvlText w:val=""/>
      <w:lvlJc w:val="left"/>
      <w:pPr>
        <w:tabs>
          <w:tab w:val="num" w:pos="936"/>
        </w:tabs>
        <w:ind w:left="936" w:hanging="216"/>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D5649D"/>
    <w:multiLevelType w:val="hybridMultilevel"/>
    <w:tmpl w:val="68A4C53A"/>
    <w:lvl w:ilvl="0" w:tplc="7B060D0C">
      <w:start w:val="1"/>
      <w:numFmt w:val="bullet"/>
      <w:lvlText w:val=""/>
      <w:lvlJc w:val="left"/>
      <w:pPr>
        <w:tabs>
          <w:tab w:val="num" w:pos="216"/>
        </w:tabs>
        <w:ind w:left="216" w:hanging="216"/>
      </w:pPr>
      <w:rPr>
        <w:rFonts w:ascii="Symbol" w:hAnsi="Symbol" w:hint="default"/>
        <w:b w:val="0"/>
        <w:i w:val="0"/>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E7052"/>
    <w:multiLevelType w:val="hybridMultilevel"/>
    <w:tmpl w:val="9E887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42BE2"/>
    <w:multiLevelType w:val="hybridMultilevel"/>
    <w:tmpl w:val="2F1E09DC"/>
    <w:lvl w:ilvl="0" w:tplc="675EDF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06FF2"/>
    <w:multiLevelType w:val="hybridMultilevel"/>
    <w:tmpl w:val="877E793E"/>
    <w:lvl w:ilvl="0" w:tplc="0B983862">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30A79"/>
    <w:multiLevelType w:val="hybridMultilevel"/>
    <w:tmpl w:val="E30E0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A3848"/>
    <w:multiLevelType w:val="hybridMultilevel"/>
    <w:tmpl w:val="B8AAD5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FD1004"/>
    <w:multiLevelType w:val="hybridMultilevel"/>
    <w:tmpl w:val="C09E1370"/>
    <w:lvl w:ilvl="0" w:tplc="EAAC670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E26BFA"/>
    <w:multiLevelType w:val="hybridMultilevel"/>
    <w:tmpl w:val="60309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87F0E"/>
    <w:multiLevelType w:val="multilevel"/>
    <w:tmpl w:val="12D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D2BB6"/>
    <w:multiLevelType w:val="hybridMultilevel"/>
    <w:tmpl w:val="E36EA4E2"/>
    <w:lvl w:ilvl="0" w:tplc="9D049DAE">
      <w:start w:val="1"/>
      <w:numFmt w:val="lowerLetter"/>
      <w:lvlText w:val="%1."/>
      <w:lvlJc w:val="left"/>
      <w:pPr>
        <w:tabs>
          <w:tab w:val="num" w:pos="720"/>
        </w:tabs>
        <w:ind w:left="720" w:hanging="360"/>
      </w:pPr>
      <w:rPr>
        <w:rFonts w:ascii="Times New Roman" w:eastAsia="Times New Roman" w:hAnsi="Times New Roman" w:cs="Times New Roman"/>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15"/>
  </w:num>
  <w:num w:numId="5">
    <w:abstractNumId w:val="11"/>
  </w:num>
  <w:num w:numId="6">
    <w:abstractNumId w:val="3"/>
  </w:num>
  <w:num w:numId="7">
    <w:abstractNumId w:val="13"/>
  </w:num>
  <w:num w:numId="8">
    <w:abstractNumId w:val="2"/>
  </w:num>
  <w:num w:numId="9">
    <w:abstractNumId w:val="4"/>
  </w:num>
  <w:num w:numId="10">
    <w:abstractNumId w:val="14"/>
  </w:num>
  <w:num w:numId="11">
    <w:abstractNumId w:val="9"/>
  </w:num>
  <w:num w:numId="12">
    <w:abstractNumId w:val="8"/>
  </w:num>
  <w:num w:numId="13">
    <w:abstractNumId w:val="1"/>
  </w:num>
  <w:num w:numId="14">
    <w:abstractNumId w:val="1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5A"/>
    <w:rsid w:val="00000558"/>
    <w:rsid w:val="000018EE"/>
    <w:rsid w:val="00003309"/>
    <w:rsid w:val="00004E2A"/>
    <w:rsid w:val="000108C5"/>
    <w:rsid w:val="00013311"/>
    <w:rsid w:val="000135BF"/>
    <w:rsid w:val="00015ABA"/>
    <w:rsid w:val="00017AD0"/>
    <w:rsid w:val="00020050"/>
    <w:rsid w:val="000203D8"/>
    <w:rsid w:val="0002110F"/>
    <w:rsid w:val="00021332"/>
    <w:rsid w:val="00021DB0"/>
    <w:rsid w:val="00023841"/>
    <w:rsid w:val="000239CA"/>
    <w:rsid w:val="00024350"/>
    <w:rsid w:val="000264D2"/>
    <w:rsid w:val="0003209A"/>
    <w:rsid w:val="0003339B"/>
    <w:rsid w:val="00036B1D"/>
    <w:rsid w:val="00036C5D"/>
    <w:rsid w:val="00037CEA"/>
    <w:rsid w:val="000415AF"/>
    <w:rsid w:val="00041877"/>
    <w:rsid w:val="0004226A"/>
    <w:rsid w:val="000433EE"/>
    <w:rsid w:val="0004415F"/>
    <w:rsid w:val="000442FB"/>
    <w:rsid w:val="00045323"/>
    <w:rsid w:val="00047244"/>
    <w:rsid w:val="000501DF"/>
    <w:rsid w:val="00050A9E"/>
    <w:rsid w:val="00051986"/>
    <w:rsid w:val="00052295"/>
    <w:rsid w:val="00052317"/>
    <w:rsid w:val="00053747"/>
    <w:rsid w:val="00056D78"/>
    <w:rsid w:val="00057F38"/>
    <w:rsid w:val="00060856"/>
    <w:rsid w:val="00065257"/>
    <w:rsid w:val="000700EC"/>
    <w:rsid w:val="00072298"/>
    <w:rsid w:val="00074A5C"/>
    <w:rsid w:val="000760AC"/>
    <w:rsid w:val="00077DDB"/>
    <w:rsid w:val="00080B1F"/>
    <w:rsid w:val="0008175F"/>
    <w:rsid w:val="000842C3"/>
    <w:rsid w:val="000847B9"/>
    <w:rsid w:val="00084EB5"/>
    <w:rsid w:val="00085C5A"/>
    <w:rsid w:val="00086743"/>
    <w:rsid w:val="000870E1"/>
    <w:rsid w:val="0008755C"/>
    <w:rsid w:val="00090292"/>
    <w:rsid w:val="000971AE"/>
    <w:rsid w:val="000A35BD"/>
    <w:rsid w:val="000A3C07"/>
    <w:rsid w:val="000A57CB"/>
    <w:rsid w:val="000A7B54"/>
    <w:rsid w:val="000B1F44"/>
    <w:rsid w:val="000B2D82"/>
    <w:rsid w:val="000B36A0"/>
    <w:rsid w:val="000B43D1"/>
    <w:rsid w:val="000B594A"/>
    <w:rsid w:val="000C04BE"/>
    <w:rsid w:val="000C2015"/>
    <w:rsid w:val="000C2C68"/>
    <w:rsid w:val="000C332E"/>
    <w:rsid w:val="000C4349"/>
    <w:rsid w:val="000C5C11"/>
    <w:rsid w:val="000C6116"/>
    <w:rsid w:val="000C6F48"/>
    <w:rsid w:val="000D0E20"/>
    <w:rsid w:val="000D27DD"/>
    <w:rsid w:val="000D41AF"/>
    <w:rsid w:val="000D5589"/>
    <w:rsid w:val="000E1714"/>
    <w:rsid w:val="000E4D5E"/>
    <w:rsid w:val="000E5295"/>
    <w:rsid w:val="000E7404"/>
    <w:rsid w:val="000F10A7"/>
    <w:rsid w:val="000F30C0"/>
    <w:rsid w:val="000F4D47"/>
    <w:rsid w:val="000F56C4"/>
    <w:rsid w:val="000F6389"/>
    <w:rsid w:val="00100674"/>
    <w:rsid w:val="0010141A"/>
    <w:rsid w:val="00101A4D"/>
    <w:rsid w:val="00106851"/>
    <w:rsid w:val="00111DA0"/>
    <w:rsid w:val="00113FE6"/>
    <w:rsid w:val="00117E11"/>
    <w:rsid w:val="001204D0"/>
    <w:rsid w:val="00121487"/>
    <w:rsid w:val="001214FA"/>
    <w:rsid w:val="00123B29"/>
    <w:rsid w:val="00124F24"/>
    <w:rsid w:val="0012571C"/>
    <w:rsid w:val="001330EC"/>
    <w:rsid w:val="0013684A"/>
    <w:rsid w:val="00141727"/>
    <w:rsid w:val="00142B3C"/>
    <w:rsid w:val="00143901"/>
    <w:rsid w:val="00144A31"/>
    <w:rsid w:val="001477B1"/>
    <w:rsid w:val="00151D4A"/>
    <w:rsid w:val="00151F14"/>
    <w:rsid w:val="00152217"/>
    <w:rsid w:val="00153162"/>
    <w:rsid w:val="001533A2"/>
    <w:rsid w:val="00154684"/>
    <w:rsid w:val="0016203B"/>
    <w:rsid w:val="001623CD"/>
    <w:rsid w:val="00162D44"/>
    <w:rsid w:val="001664C1"/>
    <w:rsid w:val="001711D0"/>
    <w:rsid w:val="00171E25"/>
    <w:rsid w:val="00173AAA"/>
    <w:rsid w:val="00173DFC"/>
    <w:rsid w:val="00180B86"/>
    <w:rsid w:val="001820F0"/>
    <w:rsid w:val="00182A11"/>
    <w:rsid w:val="001848FA"/>
    <w:rsid w:val="00185C7C"/>
    <w:rsid w:val="00185CE6"/>
    <w:rsid w:val="001873F6"/>
    <w:rsid w:val="001878AF"/>
    <w:rsid w:val="00190A89"/>
    <w:rsid w:val="001925EE"/>
    <w:rsid w:val="0019387D"/>
    <w:rsid w:val="00196940"/>
    <w:rsid w:val="001A0ACF"/>
    <w:rsid w:val="001A2784"/>
    <w:rsid w:val="001A4C6C"/>
    <w:rsid w:val="001A53E8"/>
    <w:rsid w:val="001A6222"/>
    <w:rsid w:val="001A6B68"/>
    <w:rsid w:val="001A7F4A"/>
    <w:rsid w:val="001B0BB8"/>
    <w:rsid w:val="001B445C"/>
    <w:rsid w:val="001C04D4"/>
    <w:rsid w:val="001C14CB"/>
    <w:rsid w:val="001C2575"/>
    <w:rsid w:val="001C3EDC"/>
    <w:rsid w:val="001C562A"/>
    <w:rsid w:val="001D013A"/>
    <w:rsid w:val="001D552D"/>
    <w:rsid w:val="001D65D3"/>
    <w:rsid w:val="001D6B61"/>
    <w:rsid w:val="001E126C"/>
    <w:rsid w:val="001E4FFD"/>
    <w:rsid w:val="001F1D42"/>
    <w:rsid w:val="001F2D36"/>
    <w:rsid w:val="001F7BD6"/>
    <w:rsid w:val="002001F9"/>
    <w:rsid w:val="00201895"/>
    <w:rsid w:val="002029F4"/>
    <w:rsid w:val="002044C1"/>
    <w:rsid w:val="00205028"/>
    <w:rsid w:val="002054AD"/>
    <w:rsid w:val="002064AA"/>
    <w:rsid w:val="00212B2B"/>
    <w:rsid w:val="002135A8"/>
    <w:rsid w:val="00216A50"/>
    <w:rsid w:val="0022415B"/>
    <w:rsid w:val="00225EE1"/>
    <w:rsid w:val="00226BF9"/>
    <w:rsid w:val="00227077"/>
    <w:rsid w:val="00227665"/>
    <w:rsid w:val="00230E3C"/>
    <w:rsid w:val="00231A68"/>
    <w:rsid w:val="002320AD"/>
    <w:rsid w:val="00235D37"/>
    <w:rsid w:val="00235FE3"/>
    <w:rsid w:val="0023608E"/>
    <w:rsid w:val="00237FF9"/>
    <w:rsid w:val="00242052"/>
    <w:rsid w:val="002453F0"/>
    <w:rsid w:val="00245A76"/>
    <w:rsid w:val="00245B37"/>
    <w:rsid w:val="00246818"/>
    <w:rsid w:val="0024743E"/>
    <w:rsid w:val="00254757"/>
    <w:rsid w:val="00254E17"/>
    <w:rsid w:val="002578E4"/>
    <w:rsid w:val="002601E4"/>
    <w:rsid w:val="0026051A"/>
    <w:rsid w:val="00265580"/>
    <w:rsid w:val="00266A37"/>
    <w:rsid w:val="0027465B"/>
    <w:rsid w:val="00275602"/>
    <w:rsid w:val="00276453"/>
    <w:rsid w:val="0028423E"/>
    <w:rsid w:val="00284443"/>
    <w:rsid w:val="0028607A"/>
    <w:rsid w:val="0028698D"/>
    <w:rsid w:val="002930C6"/>
    <w:rsid w:val="00293C22"/>
    <w:rsid w:val="002A0A66"/>
    <w:rsid w:val="002A50A2"/>
    <w:rsid w:val="002A56E1"/>
    <w:rsid w:val="002A5C92"/>
    <w:rsid w:val="002B283B"/>
    <w:rsid w:val="002B398E"/>
    <w:rsid w:val="002C0B79"/>
    <w:rsid w:val="002C2911"/>
    <w:rsid w:val="002C2AD6"/>
    <w:rsid w:val="002C4B08"/>
    <w:rsid w:val="002C4B16"/>
    <w:rsid w:val="002C59F7"/>
    <w:rsid w:val="002D3A97"/>
    <w:rsid w:val="002D70A6"/>
    <w:rsid w:val="002D7BF8"/>
    <w:rsid w:val="002E180D"/>
    <w:rsid w:val="002E2E9A"/>
    <w:rsid w:val="002E3695"/>
    <w:rsid w:val="002E43BC"/>
    <w:rsid w:val="002E58F4"/>
    <w:rsid w:val="002E5F55"/>
    <w:rsid w:val="002E6BB8"/>
    <w:rsid w:val="002E78EE"/>
    <w:rsid w:val="002E7BFD"/>
    <w:rsid w:val="002F3669"/>
    <w:rsid w:val="00302BBA"/>
    <w:rsid w:val="00304E40"/>
    <w:rsid w:val="00311566"/>
    <w:rsid w:val="0031222E"/>
    <w:rsid w:val="00315C0A"/>
    <w:rsid w:val="00315EEB"/>
    <w:rsid w:val="00315F8F"/>
    <w:rsid w:val="00321910"/>
    <w:rsid w:val="00321C51"/>
    <w:rsid w:val="003225BE"/>
    <w:rsid w:val="00323517"/>
    <w:rsid w:val="00324DC3"/>
    <w:rsid w:val="003315F8"/>
    <w:rsid w:val="00334FAA"/>
    <w:rsid w:val="00335D23"/>
    <w:rsid w:val="003369FE"/>
    <w:rsid w:val="0033706F"/>
    <w:rsid w:val="00343B5E"/>
    <w:rsid w:val="003458C7"/>
    <w:rsid w:val="00345B20"/>
    <w:rsid w:val="00350157"/>
    <w:rsid w:val="0035078C"/>
    <w:rsid w:val="0035367D"/>
    <w:rsid w:val="00354FA8"/>
    <w:rsid w:val="00355A31"/>
    <w:rsid w:val="00355F81"/>
    <w:rsid w:val="00355FF1"/>
    <w:rsid w:val="0036177A"/>
    <w:rsid w:val="003622E6"/>
    <w:rsid w:val="00362EEC"/>
    <w:rsid w:val="003643CB"/>
    <w:rsid w:val="0036588D"/>
    <w:rsid w:val="00365EF4"/>
    <w:rsid w:val="00366677"/>
    <w:rsid w:val="00371CA1"/>
    <w:rsid w:val="003731ED"/>
    <w:rsid w:val="00383BB2"/>
    <w:rsid w:val="00390FFF"/>
    <w:rsid w:val="00392703"/>
    <w:rsid w:val="0039435A"/>
    <w:rsid w:val="003A2202"/>
    <w:rsid w:val="003A272B"/>
    <w:rsid w:val="003A3D58"/>
    <w:rsid w:val="003A40B1"/>
    <w:rsid w:val="003A4387"/>
    <w:rsid w:val="003A612C"/>
    <w:rsid w:val="003A666D"/>
    <w:rsid w:val="003B6BAE"/>
    <w:rsid w:val="003B6EA4"/>
    <w:rsid w:val="003C11FA"/>
    <w:rsid w:val="003C1A7D"/>
    <w:rsid w:val="003C2640"/>
    <w:rsid w:val="003D26AA"/>
    <w:rsid w:val="003D2983"/>
    <w:rsid w:val="003D2BD7"/>
    <w:rsid w:val="003D613A"/>
    <w:rsid w:val="003D6671"/>
    <w:rsid w:val="003D7F22"/>
    <w:rsid w:val="003E0AE2"/>
    <w:rsid w:val="003E1E93"/>
    <w:rsid w:val="003E6C8F"/>
    <w:rsid w:val="003F4ED9"/>
    <w:rsid w:val="00401808"/>
    <w:rsid w:val="00404F68"/>
    <w:rsid w:val="00406EE8"/>
    <w:rsid w:val="00406F18"/>
    <w:rsid w:val="004104D8"/>
    <w:rsid w:val="00410E77"/>
    <w:rsid w:val="00411A38"/>
    <w:rsid w:val="004125F8"/>
    <w:rsid w:val="0041678F"/>
    <w:rsid w:val="00416889"/>
    <w:rsid w:val="00417C1C"/>
    <w:rsid w:val="00420B71"/>
    <w:rsid w:val="00421646"/>
    <w:rsid w:val="004219C2"/>
    <w:rsid w:val="00423417"/>
    <w:rsid w:val="00423850"/>
    <w:rsid w:val="00425BB5"/>
    <w:rsid w:val="00430F90"/>
    <w:rsid w:val="00431671"/>
    <w:rsid w:val="004318E6"/>
    <w:rsid w:val="00434EB4"/>
    <w:rsid w:val="00436A7C"/>
    <w:rsid w:val="00436AF6"/>
    <w:rsid w:val="00436D38"/>
    <w:rsid w:val="00440BA1"/>
    <w:rsid w:val="00440CF1"/>
    <w:rsid w:val="00441B2D"/>
    <w:rsid w:val="00442EA2"/>
    <w:rsid w:val="00443E6A"/>
    <w:rsid w:val="004555AD"/>
    <w:rsid w:val="00455FFC"/>
    <w:rsid w:val="00457836"/>
    <w:rsid w:val="004628C8"/>
    <w:rsid w:val="00464930"/>
    <w:rsid w:val="00467527"/>
    <w:rsid w:val="004675CC"/>
    <w:rsid w:val="00472856"/>
    <w:rsid w:val="00472E2E"/>
    <w:rsid w:val="0047364B"/>
    <w:rsid w:val="00474EC1"/>
    <w:rsid w:val="0047743D"/>
    <w:rsid w:val="00477760"/>
    <w:rsid w:val="00480BD3"/>
    <w:rsid w:val="0048204D"/>
    <w:rsid w:val="00482BE2"/>
    <w:rsid w:val="00482F85"/>
    <w:rsid w:val="004832A6"/>
    <w:rsid w:val="0048334A"/>
    <w:rsid w:val="00487C2E"/>
    <w:rsid w:val="00491DD0"/>
    <w:rsid w:val="004926D8"/>
    <w:rsid w:val="0049378A"/>
    <w:rsid w:val="00493EEF"/>
    <w:rsid w:val="004A1930"/>
    <w:rsid w:val="004A52BB"/>
    <w:rsid w:val="004A5758"/>
    <w:rsid w:val="004A5E46"/>
    <w:rsid w:val="004A693C"/>
    <w:rsid w:val="004B0FB7"/>
    <w:rsid w:val="004B1356"/>
    <w:rsid w:val="004B2B6E"/>
    <w:rsid w:val="004B54F8"/>
    <w:rsid w:val="004B5FA7"/>
    <w:rsid w:val="004B6DA1"/>
    <w:rsid w:val="004B7199"/>
    <w:rsid w:val="004C6BCB"/>
    <w:rsid w:val="004D1A4E"/>
    <w:rsid w:val="004D3FA5"/>
    <w:rsid w:val="004D417A"/>
    <w:rsid w:val="004D4F79"/>
    <w:rsid w:val="004D532F"/>
    <w:rsid w:val="004D6386"/>
    <w:rsid w:val="004D667F"/>
    <w:rsid w:val="004D722B"/>
    <w:rsid w:val="004E1D9C"/>
    <w:rsid w:val="004E4042"/>
    <w:rsid w:val="004E477E"/>
    <w:rsid w:val="004F6416"/>
    <w:rsid w:val="00500650"/>
    <w:rsid w:val="005025E6"/>
    <w:rsid w:val="005032F4"/>
    <w:rsid w:val="00503A98"/>
    <w:rsid w:val="00510105"/>
    <w:rsid w:val="00511DC9"/>
    <w:rsid w:val="00512428"/>
    <w:rsid w:val="00514073"/>
    <w:rsid w:val="005204B0"/>
    <w:rsid w:val="00521211"/>
    <w:rsid w:val="00523481"/>
    <w:rsid w:val="005246BF"/>
    <w:rsid w:val="0052664B"/>
    <w:rsid w:val="00527730"/>
    <w:rsid w:val="0053151A"/>
    <w:rsid w:val="00540D34"/>
    <w:rsid w:val="00541BE4"/>
    <w:rsid w:val="0054245F"/>
    <w:rsid w:val="005427AD"/>
    <w:rsid w:val="0054465A"/>
    <w:rsid w:val="0054684E"/>
    <w:rsid w:val="00550C1F"/>
    <w:rsid w:val="00552D7F"/>
    <w:rsid w:val="00553EA2"/>
    <w:rsid w:val="00554440"/>
    <w:rsid w:val="0055746F"/>
    <w:rsid w:val="005602D0"/>
    <w:rsid w:val="00560F0F"/>
    <w:rsid w:val="00564F36"/>
    <w:rsid w:val="00565E4A"/>
    <w:rsid w:val="005706DA"/>
    <w:rsid w:val="00574BFB"/>
    <w:rsid w:val="00577539"/>
    <w:rsid w:val="00577F17"/>
    <w:rsid w:val="005818BE"/>
    <w:rsid w:val="00581DCF"/>
    <w:rsid w:val="0058599D"/>
    <w:rsid w:val="0059123E"/>
    <w:rsid w:val="00591ACC"/>
    <w:rsid w:val="00591FBB"/>
    <w:rsid w:val="00592B17"/>
    <w:rsid w:val="00594F5B"/>
    <w:rsid w:val="00596082"/>
    <w:rsid w:val="005A5C2F"/>
    <w:rsid w:val="005A61A5"/>
    <w:rsid w:val="005A7D88"/>
    <w:rsid w:val="005B220F"/>
    <w:rsid w:val="005B48D4"/>
    <w:rsid w:val="005C14E0"/>
    <w:rsid w:val="005C34B3"/>
    <w:rsid w:val="005C53D6"/>
    <w:rsid w:val="005C5C51"/>
    <w:rsid w:val="005D27FD"/>
    <w:rsid w:val="005D2CA6"/>
    <w:rsid w:val="005D42E0"/>
    <w:rsid w:val="005D4D7C"/>
    <w:rsid w:val="005D527C"/>
    <w:rsid w:val="005D55AE"/>
    <w:rsid w:val="005E15AC"/>
    <w:rsid w:val="005E2BA4"/>
    <w:rsid w:val="005E45EB"/>
    <w:rsid w:val="005E5153"/>
    <w:rsid w:val="005F2D31"/>
    <w:rsid w:val="005F2FED"/>
    <w:rsid w:val="005F5EA5"/>
    <w:rsid w:val="005F6746"/>
    <w:rsid w:val="0060332A"/>
    <w:rsid w:val="0060641D"/>
    <w:rsid w:val="006069F3"/>
    <w:rsid w:val="00612601"/>
    <w:rsid w:val="0061511E"/>
    <w:rsid w:val="00623FCC"/>
    <w:rsid w:val="00624A8F"/>
    <w:rsid w:val="006336BF"/>
    <w:rsid w:val="00634403"/>
    <w:rsid w:val="00634642"/>
    <w:rsid w:val="00634AB1"/>
    <w:rsid w:val="0063670D"/>
    <w:rsid w:val="00641D78"/>
    <w:rsid w:val="006424D1"/>
    <w:rsid w:val="00643E10"/>
    <w:rsid w:val="00646578"/>
    <w:rsid w:val="006465E0"/>
    <w:rsid w:val="00647F3B"/>
    <w:rsid w:val="006520AE"/>
    <w:rsid w:val="00652AC9"/>
    <w:rsid w:val="00652FD1"/>
    <w:rsid w:val="00655129"/>
    <w:rsid w:val="0065639F"/>
    <w:rsid w:val="00657E51"/>
    <w:rsid w:val="00660ABC"/>
    <w:rsid w:val="006631B8"/>
    <w:rsid w:val="0066333F"/>
    <w:rsid w:val="0067042F"/>
    <w:rsid w:val="0067442F"/>
    <w:rsid w:val="00674850"/>
    <w:rsid w:val="006761B2"/>
    <w:rsid w:val="0067770F"/>
    <w:rsid w:val="00680F6C"/>
    <w:rsid w:val="00683420"/>
    <w:rsid w:val="00683CAF"/>
    <w:rsid w:val="00692401"/>
    <w:rsid w:val="00694002"/>
    <w:rsid w:val="00696063"/>
    <w:rsid w:val="00697F8B"/>
    <w:rsid w:val="006A2BA0"/>
    <w:rsid w:val="006A415B"/>
    <w:rsid w:val="006A4ABE"/>
    <w:rsid w:val="006A75BE"/>
    <w:rsid w:val="006B00A5"/>
    <w:rsid w:val="006B0C34"/>
    <w:rsid w:val="006B40A9"/>
    <w:rsid w:val="006B4416"/>
    <w:rsid w:val="006B6F22"/>
    <w:rsid w:val="006C0DEA"/>
    <w:rsid w:val="006C56F6"/>
    <w:rsid w:val="006C6D51"/>
    <w:rsid w:val="006D18C4"/>
    <w:rsid w:val="006D24B5"/>
    <w:rsid w:val="006D52F6"/>
    <w:rsid w:val="006D5302"/>
    <w:rsid w:val="006E01FD"/>
    <w:rsid w:val="006E0327"/>
    <w:rsid w:val="006E263D"/>
    <w:rsid w:val="006E2BFC"/>
    <w:rsid w:val="006F1F2E"/>
    <w:rsid w:val="006F5679"/>
    <w:rsid w:val="007022A2"/>
    <w:rsid w:val="00704648"/>
    <w:rsid w:val="0070695D"/>
    <w:rsid w:val="007070BB"/>
    <w:rsid w:val="00714424"/>
    <w:rsid w:val="00715C77"/>
    <w:rsid w:val="00717593"/>
    <w:rsid w:val="00717FBC"/>
    <w:rsid w:val="007209A1"/>
    <w:rsid w:val="00722044"/>
    <w:rsid w:val="00723D29"/>
    <w:rsid w:val="00732966"/>
    <w:rsid w:val="00732E68"/>
    <w:rsid w:val="00733175"/>
    <w:rsid w:val="007352D8"/>
    <w:rsid w:val="0073549F"/>
    <w:rsid w:val="00735F73"/>
    <w:rsid w:val="007415CD"/>
    <w:rsid w:val="007422D7"/>
    <w:rsid w:val="00742F05"/>
    <w:rsid w:val="00742FB7"/>
    <w:rsid w:val="007438AA"/>
    <w:rsid w:val="00744AA4"/>
    <w:rsid w:val="00746E1C"/>
    <w:rsid w:val="00747D7B"/>
    <w:rsid w:val="00751484"/>
    <w:rsid w:val="00751B42"/>
    <w:rsid w:val="007566AE"/>
    <w:rsid w:val="00760548"/>
    <w:rsid w:val="00760CBA"/>
    <w:rsid w:val="00760E88"/>
    <w:rsid w:val="00761038"/>
    <w:rsid w:val="007626A5"/>
    <w:rsid w:val="00763315"/>
    <w:rsid w:val="00763E65"/>
    <w:rsid w:val="00767B8C"/>
    <w:rsid w:val="0077016B"/>
    <w:rsid w:val="007710EC"/>
    <w:rsid w:val="00773A4B"/>
    <w:rsid w:val="00774ED6"/>
    <w:rsid w:val="00775BA6"/>
    <w:rsid w:val="007817E2"/>
    <w:rsid w:val="00781A59"/>
    <w:rsid w:val="0078229D"/>
    <w:rsid w:val="0078443C"/>
    <w:rsid w:val="00786EED"/>
    <w:rsid w:val="00791A4C"/>
    <w:rsid w:val="00792895"/>
    <w:rsid w:val="00793D84"/>
    <w:rsid w:val="007943C7"/>
    <w:rsid w:val="00794DEB"/>
    <w:rsid w:val="007958A2"/>
    <w:rsid w:val="00796E93"/>
    <w:rsid w:val="007A085D"/>
    <w:rsid w:val="007A1618"/>
    <w:rsid w:val="007A1C1A"/>
    <w:rsid w:val="007A21D7"/>
    <w:rsid w:val="007A25CA"/>
    <w:rsid w:val="007A389D"/>
    <w:rsid w:val="007B24F8"/>
    <w:rsid w:val="007B32B1"/>
    <w:rsid w:val="007B3D40"/>
    <w:rsid w:val="007B3F91"/>
    <w:rsid w:val="007B4F4F"/>
    <w:rsid w:val="007B6074"/>
    <w:rsid w:val="007B676C"/>
    <w:rsid w:val="007B6FA7"/>
    <w:rsid w:val="007B7304"/>
    <w:rsid w:val="007B79AA"/>
    <w:rsid w:val="007C18C8"/>
    <w:rsid w:val="007C5024"/>
    <w:rsid w:val="007C69D1"/>
    <w:rsid w:val="007D4092"/>
    <w:rsid w:val="007D4AC7"/>
    <w:rsid w:val="007D6A18"/>
    <w:rsid w:val="007D6EDB"/>
    <w:rsid w:val="007E2487"/>
    <w:rsid w:val="007E2C61"/>
    <w:rsid w:val="007E3C65"/>
    <w:rsid w:val="007F3546"/>
    <w:rsid w:val="007F664D"/>
    <w:rsid w:val="00801E4E"/>
    <w:rsid w:val="00803980"/>
    <w:rsid w:val="00804B72"/>
    <w:rsid w:val="00805BA7"/>
    <w:rsid w:val="00807CB1"/>
    <w:rsid w:val="008102FB"/>
    <w:rsid w:val="00811070"/>
    <w:rsid w:val="00815E13"/>
    <w:rsid w:val="00822604"/>
    <w:rsid w:val="008237F3"/>
    <w:rsid w:val="00823CD2"/>
    <w:rsid w:val="00827BA9"/>
    <w:rsid w:val="00831588"/>
    <w:rsid w:val="00831F80"/>
    <w:rsid w:val="008329F2"/>
    <w:rsid w:val="0083345A"/>
    <w:rsid w:val="00834EBA"/>
    <w:rsid w:val="008375C9"/>
    <w:rsid w:val="00837918"/>
    <w:rsid w:val="00840591"/>
    <w:rsid w:val="00851D65"/>
    <w:rsid w:val="00852EA6"/>
    <w:rsid w:val="0085425D"/>
    <w:rsid w:val="008549F9"/>
    <w:rsid w:val="00857604"/>
    <w:rsid w:val="00862F30"/>
    <w:rsid w:val="008672DB"/>
    <w:rsid w:val="00870255"/>
    <w:rsid w:val="00870CF4"/>
    <w:rsid w:val="00873861"/>
    <w:rsid w:val="00874957"/>
    <w:rsid w:val="00876FDF"/>
    <w:rsid w:val="00877AB7"/>
    <w:rsid w:val="00880BA4"/>
    <w:rsid w:val="008811EF"/>
    <w:rsid w:val="00882834"/>
    <w:rsid w:val="008853AB"/>
    <w:rsid w:val="00885CFF"/>
    <w:rsid w:val="00887AB3"/>
    <w:rsid w:val="00891228"/>
    <w:rsid w:val="00893542"/>
    <w:rsid w:val="00895DA7"/>
    <w:rsid w:val="008A2B4D"/>
    <w:rsid w:val="008A672F"/>
    <w:rsid w:val="008B32FE"/>
    <w:rsid w:val="008B5954"/>
    <w:rsid w:val="008C07E6"/>
    <w:rsid w:val="008C07F8"/>
    <w:rsid w:val="008C32E3"/>
    <w:rsid w:val="008C45B6"/>
    <w:rsid w:val="008C477F"/>
    <w:rsid w:val="008D395A"/>
    <w:rsid w:val="008D3FAD"/>
    <w:rsid w:val="008D4587"/>
    <w:rsid w:val="008D5A90"/>
    <w:rsid w:val="008E141C"/>
    <w:rsid w:val="008E160A"/>
    <w:rsid w:val="008E36B8"/>
    <w:rsid w:val="008E5F78"/>
    <w:rsid w:val="008E6A22"/>
    <w:rsid w:val="008E6EB5"/>
    <w:rsid w:val="008F3D02"/>
    <w:rsid w:val="008F4BC1"/>
    <w:rsid w:val="008F7134"/>
    <w:rsid w:val="00900ED0"/>
    <w:rsid w:val="00901F70"/>
    <w:rsid w:val="00902815"/>
    <w:rsid w:val="00905747"/>
    <w:rsid w:val="009062A8"/>
    <w:rsid w:val="009115E1"/>
    <w:rsid w:val="0091331E"/>
    <w:rsid w:val="009146BD"/>
    <w:rsid w:val="00915CD6"/>
    <w:rsid w:val="00916A41"/>
    <w:rsid w:val="00921783"/>
    <w:rsid w:val="00931E15"/>
    <w:rsid w:val="00932399"/>
    <w:rsid w:val="00933E25"/>
    <w:rsid w:val="00935EF2"/>
    <w:rsid w:val="00936D80"/>
    <w:rsid w:val="009370D9"/>
    <w:rsid w:val="0094013A"/>
    <w:rsid w:val="00940D8B"/>
    <w:rsid w:val="009416B6"/>
    <w:rsid w:val="009439B7"/>
    <w:rsid w:val="009456B1"/>
    <w:rsid w:val="00946741"/>
    <w:rsid w:val="00950F0B"/>
    <w:rsid w:val="00951E38"/>
    <w:rsid w:val="00952250"/>
    <w:rsid w:val="009541A1"/>
    <w:rsid w:val="0095442B"/>
    <w:rsid w:val="009544B3"/>
    <w:rsid w:val="00962B02"/>
    <w:rsid w:val="009650E1"/>
    <w:rsid w:val="00965D0E"/>
    <w:rsid w:val="00965EE0"/>
    <w:rsid w:val="00966582"/>
    <w:rsid w:val="009722A7"/>
    <w:rsid w:val="009723BA"/>
    <w:rsid w:val="00972CB6"/>
    <w:rsid w:val="009758D8"/>
    <w:rsid w:val="009759B1"/>
    <w:rsid w:val="009763B7"/>
    <w:rsid w:val="00976416"/>
    <w:rsid w:val="00976F04"/>
    <w:rsid w:val="00977513"/>
    <w:rsid w:val="00980481"/>
    <w:rsid w:val="00983487"/>
    <w:rsid w:val="00983AB4"/>
    <w:rsid w:val="0098444D"/>
    <w:rsid w:val="00984738"/>
    <w:rsid w:val="00985092"/>
    <w:rsid w:val="00994118"/>
    <w:rsid w:val="009954B6"/>
    <w:rsid w:val="00995C40"/>
    <w:rsid w:val="009965CF"/>
    <w:rsid w:val="00996857"/>
    <w:rsid w:val="009A33DE"/>
    <w:rsid w:val="009A39F6"/>
    <w:rsid w:val="009A3D0A"/>
    <w:rsid w:val="009A4A74"/>
    <w:rsid w:val="009A4F9A"/>
    <w:rsid w:val="009A661C"/>
    <w:rsid w:val="009B0806"/>
    <w:rsid w:val="009B0AC6"/>
    <w:rsid w:val="009B2694"/>
    <w:rsid w:val="009B39D9"/>
    <w:rsid w:val="009B56FE"/>
    <w:rsid w:val="009B6784"/>
    <w:rsid w:val="009C0B6A"/>
    <w:rsid w:val="009C136B"/>
    <w:rsid w:val="009C314D"/>
    <w:rsid w:val="009C3E42"/>
    <w:rsid w:val="009C4038"/>
    <w:rsid w:val="009C648F"/>
    <w:rsid w:val="009C785D"/>
    <w:rsid w:val="009C7BA4"/>
    <w:rsid w:val="009D0ADF"/>
    <w:rsid w:val="009D1495"/>
    <w:rsid w:val="009D1BD1"/>
    <w:rsid w:val="009D7A56"/>
    <w:rsid w:val="009E6C13"/>
    <w:rsid w:val="009E71E0"/>
    <w:rsid w:val="009F027B"/>
    <w:rsid w:val="00A02740"/>
    <w:rsid w:val="00A02873"/>
    <w:rsid w:val="00A02CAF"/>
    <w:rsid w:val="00A036D3"/>
    <w:rsid w:val="00A0499C"/>
    <w:rsid w:val="00A07575"/>
    <w:rsid w:val="00A1456E"/>
    <w:rsid w:val="00A156FE"/>
    <w:rsid w:val="00A1743C"/>
    <w:rsid w:val="00A20F1A"/>
    <w:rsid w:val="00A245C0"/>
    <w:rsid w:val="00A257D6"/>
    <w:rsid w:val="00A26276"/>
    <w:rsid w:val="00A26577"/>
    <w:rsid w:val="00A26FC9"/>
    <w:rsid w:val="00A30EAA"/>
    <w:rsid w:val="00A31E85"/>
    <w:rsid w:val="00A329B1"/>
    <w:rsid w:val="00A33D91"/>
    <w:rsid w:val="00A35483"/>
    <w:rsid w:val="00A42DF6"/>
    <w:rsid w:val="00A452B6"/>
    <w:rsid w:val="00A50866"/>
    <w:rsid w:val="00A51643"/>
    <w:rsid w:val="00A5217D"/>
    <w:rsid w:val="00A55774"/>
    <w:rsid w:val="00A607A8"/>
    <w:rsid w:val="00A61038"/>
    <w:rsid w:val="00A632C4"/>
    <w:rsid w:val="00A63EEF"/>
    <w:rsid w:val="00A70B44"/>
    <w:rsid w:val="00A721DD"/>
    <w:rsid w:val="00A73BBE"/>
    <w:rsid w:val="00A77D5A"/>
    <w:rsid w:val="00A805CA"/>
    <w:rsid w:val="00A82688"/>
    <w:rsid w:val="00A8309D"/>
    <w:rsid w:val="00A83848"/>
    <w:rsid w:val="00A869FE"/>
    <w:rsid w:val="00A87D73"/>
    <w:rsid w:val="00A90E9B"/>
    <w:rsid w:val="00A96950"/>
    <w:rsid w:val="00AA09DE"/>
    <w:rsid w:val="00AA1516"/>
    <w:rsid w:val="00AA3FE7"/>
    <w:rsid w:val="00AB1D8B"/>
    <w:rsid w:val="00AB28EF"/>
    <w:rsid w:val="00AB42A8"/>
    <w:rsid w:val="00AB4830"/>
    <w:rsid w:val="00AB7C2F"/>
    <w:rsid w:val="00AC1412"/>
    <w:rsid w:val="00AC1680"/>
    <w:rsid w:val="00AC7F8D"/>
    <w:rsid w:val="00AD1D3A"/>
    <w:rsid w:val="00AD1E4C"/>
    <w:rsid w:val="00AD2543"/>
    <w:rsid w:val="00AD2A68"/>
    <w:rsid w:val="00AD3753"/>
    <w:rsid w:val="00AD3ED0"/>
    <w:rsid w:val="00AD6169"/>
    <w:rsid w:val="00AD6976"/>
    <w:rsid w:val="00AE20EB"/>
    <w:rsid w:val="00AE2E91"/>
    <w:rsid w:val="00AE3F65"/>
    <w:rsid w:val="00AE4387"/>
    <w:rsid w:val="00AE43E4"/>
    <w:rsid w:val="00AF0398"/>
    <w:rsid w:val="00AF1F2F"/>
    <w:rsid w:val="00AF1FBC"/>
    <w:rsid w:val="00AF422B"/>
    <w:rsid w:val="00AF5304"/>
    <w:rsid w:val="00B0382F"/>
    <w:rsid w:val="00B03B37"/>
    <w:rsid w:val="00B054AB"/>
    <w:rsid w:val="00B072B9"/>
    <w:rsid w:val="00B075AF"/>
    <w:rsid w:val="00B07DE7"/>
    <w:rsid w:val="00B110F2"/>
    <w:rsid w:val="00B11EC7"/>
    <w:rsid w:val="00B1353B"/>
    <w:rsid w:val="00B141AA"/>
    <w:rsid w:val="00B14DD7"/>
    <w:rsid w:val="00B1696E"/>
    <w:rsid w:val="00B1726C"/>
    <w:rsid w:val="00B22080"/>
    <w:rsid w:val="00B22AEA"/>
    <w:rsid w:val="00B23865"/>
    <w:rsid w:val="00B23E3E"/>
    <w:rsid w:val="00B24036"/>
    <w:rsid w:val="00B252E1"/>
    <w:rsid w:val="00B333A1"/>
    <w:rsid w:val="00B3366C"/>
    <w:rsid w:val="00B402E4"/>
    <w:rsid w:val="00B457EF"/>
    <w:rsid w:val="00B47F5F"/>
    <w:rsid w:val="00B50E7D"/>
    <w:rsid w:val="00B531B1"/>
    <w:rsid w:val="00B53B8D"/>
    <w:rsid w:val="00B568D8"/>
    <w:rsid w:val="00B615D0"/>
    <w:rsid w:val="00B6395C"/>
    <w:rsid w:val="00B67557"/>
    <w:rsid w:val="00B70978"/>
    <w:rsid w:val="00B73CC7"/>
    <w:rsid w:val="00B767F2"/>
    <w:rsid w:val="00B77836"/>
    <w:rsid w:val="00B80661"/>
    <w:rsid w:val="00B81C54"/>
    <w:rsid w:val="00B852E0"/>
    <w:rsid w:val="00B90B18"/>
    <w:rsid w:val="00B923B8"/>
    <w:rsid w:val="00B96EDB"/>
    <w:rsid w:val="00B970D0"/>
    <w:rsid w:val="00BA195F"/>
    <w:rsid w:val="00BA46A3"/>
    <w:rsid w:val="00BA4A8C"/>
    <w:rsid w:val="00BB0B99"/>
    <w:rsid w:val="00BB2C8B"/>
    <w:rsid w:val="00BB6B77"/>
    <w:rsid w:val="00BB7FFB"/>
    <w:rsid w:val="00BC0C5E"/>
    <w:rsid w:val="00BC17E1"/>
    <w:rsid w:val="00BC290D"/>
    <w:rsid w:val="00BC2C2D"/>
    <w:rsid w:val="00BC2FA9"/>
    <w:rsid w:val="00BC7386"/>
    <w:rsid w:val="00BD0FCA"/>
    <w:rsid w:val="00BD5E58"/>
    <w:rsid w:val="00BE199D"/>
    <w:rsid w:val="00BE3362"/>
    <w:rsid w:val="00BE54FE"/>
    <w:rsid w:val="00BE5960"/>
    <w:rsid w:val="00BE655F"/>
    <w:rsid w:val="00BF0037"/>
    <w:rsid w:val="00BF11DD"/>
    <w:rsid w:val="00BF21CE"/>
    <w:rsid w:val="00BF29B9"/>
    <w:rsid w:val="00BF33F5"/>
    <w:rsid w:val="00BF6706"/>
    <w:rsid w:val="00C00163"/>
    <w:rsid w:val="00C00554"/>
    <w:rsid w:val="00C00FC0"/>
    <w:rsid w:val="00C03397"/>
    <w:rsid w:val="00C06036"/>
    <w:rsid w:val="00C06E2C"/>
    <w:rsid w:val="00C07418"/>
    <w:rsid w:val="00C10B07"/>
    <w:rsid w:val="00C10FA0"/>
    <w:rsid w:val="00C137FF"/>
    <w:rsid w:val="00C13880"/>
    <w:rsid w:val="00C14D42"/>
    <w:rsid w:val="00C16284"/>
    <w:rsid w:val="00C17E6B"/>
    <w:rsid w:val="00C21554"/>
    <w:rsid w:val="00C215FD"/>
    <w:rsid w:val="00C21E38"/>
    <w:rsid w:val="00C22DE7"/>
    <w:rsid w:val="00C24842"/>
    <w:rsid w:val="00C251D3"/>
    <w:rsid w:val="00C26857"/>
    <w:rsid w:val="00C31264"/>
    <w:rsid w:val="00C31403"/>
    <w:rsid w:val="00C31780"/>
    <w:rsid w:val="00C318B9"/>
    <w:rsid w:val="00C33FE4"/>
    <w:rsid w:val="00C34471"/>
    <w:rsid w:val="00C353CA"/>
    <w:rsid w:val="00C44B75"/>
    <w:rsid w:val="00C46662"/>
    <w:rsid w:val="00C50A99"/>
    <w:rsid w:val="00C50C94"/>
    <w:rsid w:val="00C50CB6"/>
    <w:rsid w:val="00C52EBF"/>
    <w:rsid w:val="00C52FA6"/>
    <w:rsid w:val="00C54C9E"/>
    <w:rsid w:val="00C57D39"/>
    <w:rsid w:val="00C60660"/>
    <w:rsid w:val="00C63D81"/>
    <w:rsid w:val="00C641A4"/>
    <w:rsid w:val="00C65177"/>
    <w:rsid w:val="00C6583B"/>
    <w:rsid w:val="00C70130"/>
    <w:rsid w:val="00C72688"/>
    <w:rsid w:val="00C73302"/>
    <w:rsid w:val="00C765D0"/>
    <w:rsid w:val="00C76631"/>
    <w:rsid w:val="00C772F2"/>
    <w:rsid w:val="00C805F9"/>
    <w:rsid w:val="00C82532"/>
    <w:rsid w:val="00C82960"/>
    <w:rsid w:val="00C85431"/>
    <w:rsid w:val="00C8698D"/>
    <w:rsid w:val="00C870ED"/>
    <w:rsid w:val="00C900FC"/>
    <w:rsid w:val="00C908B5"/>
    <w:rsid w:val="00C918AC"/>
    <w:rsid w:val="00C93160"/>
    <w:rsid w:val="00CA0570"/>
    <w:rsid w:val="00CA3A49"/>
    <w:rsid w:val="00CB01A7"/>
    <w:rsid w:val="00CB10D0"/>
    <w:rsid w:val="00CB19D9"/>
    <w:rsid w:val="00CB1F02"/>
    <w:rsid w:val="00CB3F23"/>
    <w:rsid w:val="00CB3F89"/>
    <w:rsid w:val="00CC059E"/>
    <w:rsid w:val="00CC067C"/>
    <w:rsid w:val="00CC1FBA"/>
    <w:rsid w:val="00CC2A7C"/>
    <w:rsid w:val="00CC2C1D"/>
    <w:rsid w:val="00CC34BB"/>
    <w:rsid w:val="00CC35D5"/>
    <w:rsid w:val="00CC3E40"/>
    <w:rsid w:val="00CC4675"/>
    <w:rsid w:val="00CC51BD"/>
    <w:rsid w:val="00CC639C"/>
    <w:rsid w:val="00CC6F99"/>
    <w:rsid w:val="00CD0E4A"/>
    <w:rsid w:val="00CD14D6"/>
    <w:rsid w:val="00CD5461"/>
    <w:rsid w:val="00CD722E"/>
    <w:rsid w:val="00CE0BFF"/>
    <w:rsid w:val="00CE0F07"/>
    <w:rsid w:val="00CE332C"/>
    <w:rsid w:val="00CE339D"/>
    <w:rsid w:val="00CE5AEA"/>
    <w:rsid w:val="00CF3EC9"/>
    <w:rsid w:val="00CF439C"/>
    <w:rsid w:val="00CF4415"/>
    <w:rsid w:val="00CF5922"/>
    <w:rsid w:val="00CF75C8"/>
    <w:rsid w:val="00D00D90"/>
    <w:rsid w:val="00D0208D"/>
    <w:rsid w:val="00D02266"/>
    <w:rsid w:val="00D02D1D"/>
    <w:rsid w:val="00D04156"/>
    <w:rsid w:val="00D12687"/>
    <w:rsid w:val="00D12DB9"/>
    <w:rsid w:val="00D13183"/>
    <w:rsid w:val="00D13FE4"/>
    <w:rsid w:val="00D218F8"/>
    <w:rsid w:val="00D24DAA"/>
    <w:rsid w:val="00D321E0"/>
    <w:rsid w:val="00D32A2F"/>
    <w:rsid w:val="00D37796"/>
    <w:rsid w:val="00D410D6"/>
    <w:rsid w:val="00D474B2"/>
    <w:rsid w:val="00D50300"/>
    <w:rsid w:val="00D50401"/>
    <w:rsid w:val="00D50583"/>
    <w:rsid w:val="00D507BD"/>
    <w:rsid w:val="00D5646D"/>
    <w:rsid w:val="00D5672D"/>
    <w:rsid w:val="00D56DBC"/>
    <w:rsid w:val="00D63C85"/>
    <w:rsid w:val="00D641AB"/>
    <w:rsid w:val="00D678F1"/>
    <w:rsid w:val="00D739B3"/>
    <w:rsid w:val="00D7504E"/>
    <w:rsid w:val="00D8043F"/>
    <w:rsid w:val="00D80C4B"/>
    <w:rsid w:val="00D86575"/>
    <w:rsid w:val="00D86B76"/>
    <w:rsid w:val="00D875DB"/>
    <w:rsid w:val="00D9145D"/>
    <w:rsid w:val="00D92C7D"/>
    <w:rsid w:val="00D965FE"/>
    <w:rsid w:val="00DA0604"/>
    <w:rsid w:val="00DA165D"/>
    <w:rsid w:val="00DA3515"/>
    <w:rsid w:val="00DA3C1E"/>
    <w:rsid w:val="00DA65E7"/>
    <w:rsid w:val="00DA6FFA"/>
    <w:rsid w:val="00DA7E03"/>
    <w:rsid w:val="00DB45F0"/>
    <w:rsid w:val="00DB6BC4"/>
    <w:rsid w:val="00DB70C2"/>
    <w:rsid w:val="00DC0123"/>
    <w:rsid w:val="00DC06AB"/>
    <w:rsid w:val="00DC32D6"/>
    <w:rsid w:val="00DD04C1"/>
    <w:rsid w:val="00DD24DC"/>
    <w:rsid w:val="00DD324D"/>
    <w:rsid w:val="00DE02FC"/>
    <w:rsid w:val="00DE3E39"/>
    <w:rsid w:val="00DF022C"/>
    <w:rsid w:val="00DF09F0"/>
    <w:rsid w:val="00DF0D6B"/>
    <w:rsid w:val="00DF3621"/>
    <w:rsid w:val="00DF5FFA"/>
    <w:rsid w:val="00DF7720"/>
    <w:rsid w:val="00DF7F08"/>
    <w:rsid w:val="00E07226"/>
    <w:rsid w:val="00E103C6"/>
    <w:rsid w:val="00E13FC4"/>
    <w:rsid w:val="00E16E3D"/>
    <w:rsid w:val="00E23C72"/>
    <w:rsid w:val="00E2611F"/>
    <w:rsid w:val="00E26B7A"/>
    <w:rsid w:val="00E27683"/>
    <w:rsid w:val="00E27CD7"/>
    <w:rsid w:val="00E27DDD"/>
    <w:rsid w:val="00E31C22"/>
    <w:rsid w:val="00E361FA"/>
    <w:rsid w:val="00E42C39"/>
    <w:rsid w:val="00E47677"/>
    <w:rsid w:val="00E50C40"/>
    <w:rsid w:val="00E51619"/>
    <w:rsid w:val="00E5287D"/>
    <w:rsid w:val="00E53397"/>
    <w:rsid w:val="00E53F2D"/>
    <w:rsid w:val="00E54C2E"/>
    <w:rsid w:val="00E57497"/>
    <w:rsid w:val="00E61533"/>
    <w:rsid w:val="00E62595"/>
    <w:rsid w:val="00E67C7E"/>
    <w:rsid w:val="00E70138"/>
    <w:rsid w:val="00E70220"/>
    <w:rsid w:val="00E711A6"/>
    <w:rsid w:val="00E747B1"/>
    <w:rsid w:val="00E74849"/>
    <w:rsid w:val="00E764E7"/>
    <w:rsid w:val="00E82EF7"/>
    <w:rsid w:val="00E840C9"/>
    <w:rsid w:val="00E84F89"/>
    <w:rsid w:val="00E857E4"/>
    <w:rsid w:val="00E8647F"/>
    <w:rsid w:val="00E93344"/>
    <w:rsid w:val="00E96D05"/>
    <w:rsid w:val="00EA1B64"/>
    <w:rsid w:val="00EA494C"/>
    <w:rsid w:val="00EA54AF"/>
    <w:rsid w:val="00EA5AD9"/>
    <w:rsid w:val="00EA6335"/>
    <w:rsid w:val="00EA7F01"/>
    <w:rsid w:val="00EB0CA8"/>
    <w:rsid w:val="00EB1AFC"/>
    <w:rsid w:val="00EB2252"/>
    <w:rsid w:val="00EB227F"/>
    <w:rsid w:val="00EB4709"/>
    <w:rsid w:val="00EC073D"/>
    <w:rsid w:val="00EC1213"/>
    <w:rsid w:val="00EC12C1"/>
    <w:rsid w:val="00EC3C68"/>
    <w:rsid w:val="00EC52BD"/>
    <w:rsid w:val="00EC5517"/>
    <w:rsid w:val="00EC5A4B"/>
    <w:rsid w:val="00EC78E0"/>
    <w:rsid w:val="00EC7D04"/>
    <w:rsid w:val="00ED28E9"/>
    <w:rsid w:val="00ED2BCD"/>
    <w:rsid w:val="00ED4286"/>
    <w:rsid w:val="00ED5C72"/>
    <w:rsid w:val="00EE198E"/>
    <w:rsid w:val="00EE4260"/>
    <w:rsid w:val="00EE4A5A"/>
    <w:rsid w:val="00EE6C4B"/>
    <w:rsid w:val="00EE7C39"/>
    <w:rsid w:val="00EE7D56"/>
    <w:rsid w:val="00EF0F32"/>
    <w:rsid w:val="00EF1136"/>
    <w:rsid w:val="00EF26EA"/>
    <w:rsid w:val="00EF3279"/>
    <w:rsid w:val="00EF4B9E"/>
    <w:rsid w:val="00F0117B"/>
    <w:rsid w:val="00F02494"/>
    <w:rsid w:val="00F05372"/>
    <w:rsid w:val="00F05607"/>
    <w:rsid w:val="00F0635D"/>
    <w:rsid w:val="00F07996"/>
    <w:rsid w:val="00F10D5A"/>
    <w:rsid w:val="00F10FAD"/>
    <w:rsid w:val="00F1102E"/>
    <w:rsid w:val="00F11E01"/>
    <w:rsid w:val="00F15695"/>
    <w:rsid w:val="00F223C7"/>
    <w:rsid w:val="00F253A3"/>
    <w:rsid w:val="00F3120E"/>
    <w:rsid w:val="00F31B9E"/>
    <w:rsid w:val="00F3275C"/>
    <w:rsid w:val="00F33C93"/>
    <w:rsid w:val="00F3430C"/>
    <w:rsid w:val="00F35391"/>
    <w:rsid w:val="00F355AD"/>
    <w:rsid w:val="00F42519"/>
    <w:rsid w:val="00F448E1"/>
    <w:rsid w:val="00F45EB8"/>
    <w:rsid w:val="00F46926"/>
    <w:rsid w:val="00F46A2C"/>
    <w:rsid w:val="00F46E3A"/>
    <w:rsid w:val="00F47895"/>
    <w:rsid w:val="00F517EB"/>
    <w:rsid w:val="00F51999"/>
    <w:rsid w:val="00F53529"/>
    <w:rsid w:val="00F536F7"/>
    <w:rsid w:val="00F55757"/>
    <w:rsid w:val="00F57FD2"/>
    <w:rsid w:val="00F610C5"/>
    <w:rsid w:val="00F65135"/>
    <w:rsid w:val="00F6539B"/>
    <w:rsid w:val="00F67047"/>
    <w:rsid w:val="00F71C74"/>
    <w:rsid w:val="00F726EE"/>
    <w:rsid w:val="00F72E52"/>
    <w:rsid w:val="00F746AF"/>
    <w:rsid w:val="00F83139"/>
    <w:rsid w:val="00F84A76"/>
    <w:rsid w:val="00F8794B"/>
    <w:rsid w:val="00F87FA7"/>
    <w:rsid w:val="00F9198A"/>
    <w:rsid w:val="00F94914"/>
    <w:rsid w:val="00F96098"/>
    <w:rsid w:val="00F9695E"/>
    <w:rsid w:val="00FA5DCC"/>
    <w:rsid w:val="00FA5FCA"/>
    <w:rsid w:val="00FA6BC8"/>
    <w:rsid w:val="00FB27A2"/>
    <w:rsid w:val="00FB3507"/>
    <w:rsid w:val="00FB3C1B"/>
    <w:rsid w:val="00FB5308"/>
    <w:rsid w:val="00FB5B1E"/>
    <w:rsid w:val="00FB65C0"/>
    <w:rsid w:val="00FB7B49"/>
    <w:rsid w:val="00FC2443"/>
    <w:rsid w:val="00FC2B8E"/>
    <w:rsid w:val="00FD3950"/>
    <w:rsid w:val="00FD7D41"/>
    <w:rsid w:val="00FE613D"/>
    <w:rsid w:val="00FF08CA"/>
    <w:rsid w:val="00FF0958"/>
    <w:rsid w:val="00FF29DD"/>
    <w:rsid w:val="00FF327B"/>
    <w:rsid w:val="00FF380C"/>
    <w:rsid w:val="00FF4B05"/>
    <w:rsid w:val="00FF62C3"/>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37153B"/>
  <w15:docId w15:val="{0D75947B-A67F-41BB-BB10-2759EAA8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362"/>
    <w:rPr>
      <w:sz w:val="24"/>
      <w:szCs w:val="24"/>
    </w:rPr>
  </w:style>
  <w:style w:type="paragraph" w:styleId="Heading1">
    <w:name w:val="heading 1"/>
    <w:basedOn w:val="Normal"/>
    <w:next w:val="Normal"/>
    <w:link w:val="Heading1Char"/>
    <w:qFormat/>
    <w:rsid w:val="00A42D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651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6517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1038"/>
    <w:pPr>
      <w:spacing w:before="100" w:beforeAutospacing="1" w:after="100" w:afterAutospacing="1"/>
    </w:pPr>
    <w:rPr>
      <w:rFonts w:ascii="Verdana" w:hAnsi="Verdana"/>
      <w:color w:val="000000"/>
      <w:sz w:val="17"/>
      <w:szCs w:val="17"/>
    </w:rPr>
  </w:style>
  <w:style w:type="paragraph" w:styleId="Footer">
    <w:name w:val="footer"/>
    <w:basedOn w:val="Normal"/>
    <w:link w:val="FooterChar"/>
    <w:uiPriority w:val="99"/>
    <w:rsid w:val="0067770F"/>
    <w:pPr>
      <w:tabs>
        <w:tab w:val="center" w:pos="4320"/>
        <w:tab w:val="right" w:pos="8640"/>
      </w:tabs>
    </w:pPr>
  </w:style>
  <w:style w:type="character" w:styleId="PageNumber">
    <w:name w:val="page number"/>
    <w:basedOn w:val="DefaultParagraphFont"/>
    <w:rsid w:val="0067770F"/>
  </w:style>
  <w:style w:type="character" w:customStyle="1" w:styleId="textcontrol">
    <w:name w:val="textcontrol"/>
    <w:basedOn w:val="DefaultParagraphFont"/>
    <w:rsid w:val="0067770F"/>
  </w:style>
  <w:style w:type="paragraph" w:styleId="Header">
    <w:name w:val="header"/>
    <w:basedOn w:val="Normal"/>
    <w:rsid w:val="0067770F"/>
    <w:pPr>
      <w:tabs>
        <w:tab w:val="center" w:pos="4320"/>
        <w:tab w:val="right" w:pos="8640"/>
      </w:tabs>
    </w:pPr>
  </w:style>
  <w:style w:type="paragraph" w:styleId="BalloonText">
    <w:name w:val="Balloon Text"/>
    <w:basedOn w:val="Normal"/>
    <w:semiHidden/>
    <w:rsid w:val="00A869FE"/>
    <w:rPr>
      <w:rFonts w:ascii="Tahoma" w:hAnsi="Tahoma" w:cs="Tahoma"/>
      <w:sz w:val="16"/>
      <w:szCs w:val="16"/>
    </w:rPr>
  </w:style>
  <w:style w:type="character" w:styleId="CommentReference">
    <w:name w:val="annotation reference"/>
    <w:uiPriority w:val="99"/>
    <w:rsid w:val="003C11FA"/>
    <w:rPr>
      <w:sz w:val="16"/>
      <w:szCs w:val="16"/>
    </w:rPr>
  </w:style>
  <w:style w:type="paragraph" w:styleId="CommentText">
    <w:name w:val="annotation text"/>
    <w:basedOn w:val="Normal"/>
    <w:link w:val="CommentTextChar"/>
    <w:uiPriority w:val="99"/>
    <w:rsid w:val="003C11FA"/>
    <w:rPr>
      <w:sz w:val="20"/>
      <w:szCs w:val="20"/>
    </w:rPr>
  </w:style>
  <w:style w:type="character" w:customStyle="1" w:styleId="CommentTextChar">
    <w:name w:val="Comment Text Char"/>
    <w:basedOn w:val="DefaultParagraphFont"/>
    <w:link w:val="CommentText"/>
    <w:uiPriority w:val="99"/>
    <w:rsid w:val="003C11FA"/>
  </w:style>
  <w:style w:type="paragraph" w:styleId="CommentSubject">
    <w:name w:val="annotation subject"/>
    <w:basedOn w:val="CommentText"/>
    <w:next w:val="CommentText"/>
    <w:link w:val="CommentSubjectChar"/>
    <w:rsid w:val="003C11FA"/>
    <w:rPr>
      <w:b/>
      <w:bCs/>
    </w:rPr>
  </w:style>
  <w:style w:type="character" w:customStyle="1" w:styleId="CommentSubjectChar">
    <w:name w:val="Comment Subject Char"/>
    <w:link w:val="CommentSubject"/>
    <w:rsid w:val="003C11FA"/>
    <w:rPr>
      <w:b/>
      <w:bCs/>
    </w:rPr>
  </w:style>
  <w:style w:type="character" w:styleId="Hyperlink">
    <w:name w:val="Hyperlink"/>
    <w:rsid w:val="00A26276"/>
    <w:rPr>
      <w:color w:val="0563C1"/>
      <w:u w:val="single"/>
    </w:rPr>
  </w:style>
  <w:style w:type="table" w:styleId="TableGrid">
    <w:name w:val="Table Grid"/>
    <w:basedOn w:val="TableNormal"/>
    <w:uiPriority w:val="39"/>
    <w:rsid w:val="00A0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73D"/>
    <w:pPr>
      <w:spacing w:after="160" w:line="259" w:lineRule="auto"/>
      <w:ind w:left="720"/>
      <w:contextualSpacing/>
    </w:pPr>
    <w:rPr>
      <w:rFonts w:ascii="Calibri" w:eastAsia="Calibri" w:hAnsi="Calibri"/>
      <w:sz w:val="22"/>
      <w:szCs w:val="22"/>
    </w:rPr>
  </w:style>
  <w:style w:type="paragraph" w:customStyle="1" w:styleId="Default">
    <w:name w:val="Default"/>
    <w:rsid w:val="008237F3"/>
    <w:pPr>
      <w:autoSpaceDE w:val="0"/>
      <w:autoSpaceDN w:val="0"/>
      <w:adjustRightInd w:val="0"/>
    </w:pPr>
    <w:rPr>
      <w:color w:val="000000"/>
      <w:sz w:val="24"/>
      <w:szCs w:val="24"/>
    </w:rPr>
  </w:style>
  <w:style w:type="character" w:customStyle="1" w:styleId="Heading1Char">
    <w:name w:val="Heading 1 Char"/>
    <w:link w:val="Heading1"/>
    <w:rsid w:val="00A42DF6"/>
    <w:rPr>
      <w:rFonts w:ascii="Cambria" w:eastAsia="Times New Roman" w:hAnsi="Cambria" w:cs="Times New Roman"/>
      <w:b/>
      <w:bCs/>
      <w:kern w:val="32"/>
      <w:sz w:val="32"/>
      <w:szCs w:val="32"/>
    </w:rPr>
  </w:style>
  <w:style w:type="character" w:customStyle="1" w:styleId="element-citation">
    <w:name w:val="element-citation"/>
    <w:rsid w:val="007B676C"/>
  </w:style>
  <w:style w:type="character" w:customStyle="1" w:styleId="apple-converted-space">
    <w:name w:val="apple-converted-space"/>
    <w:rsid w:val="007B676C"/>
  </w:style>
  <w:style w:type="character" w:customStyle="1" w:styleId="ref-journal">
    <w:name w:val="ref-journal"/>
    <w:rsid w:val="007B676C"/>
  </w:style>
  <w:style w:type="character" w:styleId="Emphasis">
    <w:name w:val="Emphasis"/>
    <w:uiPriority w:val="20"/>
    <w:qFormat/>
    <w:rsid w:val="007B676C"/>
    <w:rPr>
      <w:i/>
      <w:iCs/>
    </w:rPr>
  </w:style>
  <w:style w:type="character" w:customStyle="1" w:styleId="mixed-citation">
    <w:name w:val="mixed-citation"/>
    <w:rsid w:val="007B676C"/>
  </w:style>
  <w:style w:type="paragraph" w:styleId="BodyText">
    <w:name w:val="Body Text"/>
    <w:basedOn w:val="Normal"/>
    <w:link w:val="BodyTextChar"/>
    <w:rsid w:val="001C14CB"/>
    <w:pPr>
      <w:jc w:val="center"/>
    </w:pPr>
    <w:rPr>
      <w:b/>
      <w:sz w:val="36"/>
      <w:szCs w:val="20"/>
    </w:rPr>
  </w:style>
  <w:style w:type="character" w:customStyle="1" w:styleId="BodyTextChar">
    <w:name w:val="Body Text Char"/>
    <w:basedOn w:val="DefaultParagraphFont"/>
    <w:link w:val="BodyText"/>
    <w:rsid w:val="001C14CB"/>
    <w:rPr>
      <w:b/>
      <w:sz w:val="36"/>
    </w:rPr>
  </w:style>
  <w:style w:type="character" w:customStyle="1" w:styleId="Heading2Char">
    <w:name w:val="Heading 2 Char"/>
    <w:basedOn w:val="DefaultParagraphFont"/>
    <w:link w:val="Heading2"/>
    <w:semiHidden/>
    <w:rsid w:val="00C651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C65177"/>
    <w:rPr>
      <w:rFonts w:asciiTheme="majorHAnsi" w:eastAsiaTheme="majorEastAsia" w:hAnsiTheme="majorHAnsi" w:cstheme="majorBidi"/>
      <w:color w:val="1F4D78" w:themeColor="accent1" w:themeShade="7F"/>
      <w:sz w:val="24"/>
      <w:szCs w:val="24"/>
    </w:rPr>
  </w:style>
  <w:style w:type="paragraph" w:customStyle="1" w:styleId="CAMSText">
    <w:name w:val="CAMS Text"/>
    <w:basedOn w:val="Normal"/>
    <w:rsid w:val="00C65177"/>
    <w:pPr>
      <w:spacing w:after="120"/>
    </w:pPr>
    <w:rPr>
      <w:rFonts w:ascii="Arial" w:hAnsi="Arial" w:cs="Arial"/>
      <w:sz w:val="22"/>
      <w:szCs w:val="22"/>
    </w:rPr>
  </w:style>
  <w:style w:type="paragraph" w:styleId="PlainText">
    <w:name w:val="Plain Text"/>
    <w:basedOn w:val="Normal"/>
    <w:link w:val="PlainTextChar"/>
    <w:uiPriority w:val="99"/>
    <w:rsid w:val="00E840C9"/>
    <w:rPr>
      <w:rFonts w:ascii="Consolas" w:hAnsi="Consolas"/>
      <w:sz w:val="21"/>
      <w:szCs w:val="21"/>
    </w:rPr>
  </w:style>
  <w:style w:type="character" w:customStyle="1" w:styleId="PlainTextChar">
    <w:name w:val="Plain Text Char"/>
    <w:basedOn w:val="DefaultParagraphFont"/>
    <w:link w:val="PlainText"/>
    <w:uiPriority w:val="99"/>
    <w:rsid w:val="00E840C9"/>
    <w:rPr>
      <w:rFonts w:ascii="Consolas" w:hAnsi="Consolas"/>
      <w:sz w:val="21"/>
      <w:szCs w:val="21"/>
    </w:rPr>
  </w:style>
  <w:style w:type="character" w:customStyle="1" w:styleId="FooterChar">
    <w:name w:val="Footer Char"/>
    <w:basedOn w:val="DefaultParagraphFont"/>
    <w:link w:val="Footer"/>
    <w:uiPriority w:val="99"/>
    <w:rsid w:val="0067442F"/>
    <w:rPr>
      <w:sz w:val="24"/>
      <w:szCs w:val="24"/>
    </w:rPr>
  </w:style>
  <w:style w:type="table" w:customStyle="1" w:styleId="TableGrid1">
    <w:name w:val="Table Grid1"/>
    <w:basedOn w:val="TableNormal"/>
    <w:next w:val="TableGrid"/>
    <w:uiPriority w:val="39"/>
    <w:rsid w:val="002029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rsid w:val="00AA3FE7"/>
    <w:pPr>
      <w:spacing w:after="158"/>
    </w:pPr>
  </w:style>
  <w:style w:type="table" w:customStyle="1" w:styleId="TableGrid11">
    <w:name w:val="Table Grid11"/>
    <w:basedOn w:val="TableNormal"/>
    <w:uiPriority w:val="39"/>
    <w:rsid w:val="0019694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vol">
    <w:name w:val="ref-vol"/>
    <w:basedOn w:val="DefaultParagraphFont"/>
    <w:rsid w:val="00C33FE4"/>
  </w:style>
  <w:style w:type="paragraph" w:styleId="HTMLPreformatted">
    <w:name w:val="HTML Preformatted"/>
    <w:basedOn w:val="Normal"/>
    <w:link w:val="HTMLPreformattedChar"/>
    <w:uiPriority w:val="99"/>
    <w:semiHidden/>
    <w:unhideWhenUsed/>
    <w:rsid w:val="00E93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HTMLPreformattedChar">
    <w:name w:val="HTML Preformatted Char"/>
    <w:basedOn w:val="DefaultParagraphFont"/>
    <w:link w:val="HTMLPreformatted"/>
    <w:uiPriority w:val="99"/>
    <w:semiHidden/>
    <w:rsid w:val="00E93344"/>
    <w:rPr>
      <w:rFonts w:ascii="Courier New" w:hAnsi="Courier New" w:cs="Courier New"/>
      <w:lang w:val="cs-CZ" w:eastAsia="cs-CZ"/>
    </w:rPr>
  </w:style>
  <w:style w:type="character" w:customStyle="1" w:styleId="gd15mcfceub">
    <w:name w:val="gd15mcfceub"/>
    <w:basedOn w:val="DefaultParagraphFont"/>
    <w:rsid w:val="00E93344"/>
  </w:style>
  <w:style w:type="character" w:customStyle="1" w:styleId="citation-doi">
    <w:name w:val="citation-doi"/>
    <w:basedOn w:val="DefaultParagraphFont"/>
    <w:rsid w:val="00AA09DE"/>
  </w:style>
  <w:style w:type="character" w:customStyle="1" w:styleId="secondary-date">
    <w:name w:val="secondary-date"/>
    <w:basedOn w:val="DefaultParagraphFont"/>
    <w:rsid w:val="00AA09DE"/>
  </w:style>
  <w:style w:type="character" w:customStyle="1" w:styleId="meta-citation-journal-name">
    <w:name w:val="meta-citation-journal-name"/>
    <w:basedOn w:val="DefaultParagraphFont"/>
    <w:rsid w:val="00BC17E1"/>
  </w:style>
  <w:style w:type="character" w:customStyle="1" w:styleId="meta-citation">
    <w:name w:val="meta-citation"/>
    <w:basedOn w:val="DefaultParagraphFont"/>
    <w:rsid w:val="00BC17E1"/>
  </w:style>
  <w:style w:type="paragraph" w:styleId="BodyText2">
    <w:name w:val="Body Text 2"/>
    <w:basedOn w:val="Normal"/>
    <w:link w:val="BodyText2Char"/>
    <w:semiHidden/>
    <w:unhideWhenUsed/>
    <w:rsid w:val="00732E68"/>
    <w:pPr>
      <w:spacing w:after="120" w:line="480" w:lineRule="auto"/>
    </w:pPr>
  </w:style>
  <w:style w:type="character" w:customStyle="1" w:styleId="BodyText2Char">
    <w:name w:val="Body Text 2 Char"/>
    <w:basedOn w:val="DefaultParagraphFont"/>
    <w:link w:val="BodyText2"/>
    <w:semiHidden/>
    <w:rsid w:val="00732E68"/>
    <w:rPr>
      <w:sz w:val="24"/>
      <w:szCs w:val="24"/>
    </w:rPr>
  </w:style>
  <w:style w:type="character" w:customStyle="1" w:styleId="docsum-authors">
    <w:name w:val="docsum-authors"/>
    <w:basedOn w:val="DefaultParagraphFont"/>
    <w:rsid w:val="00153162"/>
  </w:style>
  <w:style w:type="character" w:customStyle="1" w:styleId="docsum-journal-citation">
    <w:name w:val="docsum-journal-citation"/>
    <w:basedOn w:val="DefaultParagraphFont"/>
    <w:rsid w:val="0015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0652">
      <w:bodyDiv w:val="1"/>
      <w:marLeft w:val="0"/>
      <w:marRight w:val="0"/>
      <w:marTop w:val="0"/>
      <w:marBottom w:val="0"/>
      <w:divBdr>
        <w:top w:val="none" w:sz="0" w:space="0" w:color="auto"/>
        <w:left w:val="none" w:sz="0" w:space="0" w:color="auto"/>
        <w:bottom w:val="none" w:sz="0" w:space="0" w:color="auto"/>
        <w:right w:val="none" w:sz="0" w:space="0" w:color="auto"/>
      </w:divBdr>
    </w:div>
    <w:div w:id="81727795">
      <w:bodyDiv w:val="1"/>
      <w:marLeft w:val="0"/>
      <w:marRight w:val="0"/>
      <w:marTop w:val="0"/>
      <w:marBottom w:val="0"/>
      <w:divBdr>
        <w:top w:val="none" w:sz="0" w:space="0" w:color="auto"/>
        <w:left w:val="none" w:sz="0" w:space="0" w:color="auto"/>
        <w:bottom w:val="none" w:sz="0" w:space="0" w:color="auto"/>
        <w:right w:val="none" w:sz="0" w:space="0" w:color="auto"/>
      </w:divBdr>
    </w:div>
    <w:div w:id="109057250">
      <w:bodyDiv w:val="1"/>
      <w:marLeft w:val="0"/>
      <w:marRight w:val="0"/>
      <w:marTop w:val="0"/>
      <w:marBottom w:val="0"/>
      <w:divBdr>
        <w:top w:val="none" w:sz="0" w:space="0" w:color="auto"/>
        <w:left w:val="none" w:sz="0" w:space="0" w:color="auto"/>
        <w:bottom w:val="none" w:sz="0" w:space="0" w:color="auto"/>
        <w:right w:val="none" w:sz="0" w:space="0" w:color="auto"/>
      </w:divBdr>
    </w:div>
    <w:div w:id="175659649">
      <w:bodyDiv w:val="1"/>
      <w:marLeft w:val="0"/>
      <w:marRight w:val="0"/>
      <w:marTop w:val="0"/>
      <w:marBottom w:val="0"/>
      <w:divBdr>
        <w:top w:val="none" w:sz="0" w:space="0" w:color="auto"/>
        <w:left w:val="none" w:sz="0" w:space="0" w:color="auto"/>
        <w:bottom w:val="none" w:sz="0" w:space="0" w:color="auto"/>
        <w:right w:val="none" w:sz="0" w:space="0" w:color="auto"/>
      </w:divBdr>
    </w:div>
    <w:div w:id="366874031">
      <w:bodyDiv w:val="1"/>
      <w:marLeft w:val="0"/>
      <w:marRight w:val="0"/>
      <w:marTop w:val="0"/>
      <w:marBottom w:val="0"/>
      <w:divBdr>
        <w:top w:val="none" w:sz="0" w:space="0" w:color="auto"/>
        <w:left w:val="none" w:sz="0" w:space="0" w:color="auto"/>
        <w:bottom w:val="none" w:sz="0" w:space="0" w:color="auto"/>
        <w:right w:val="none" w:sz="0" w:space="0" w:color="auto"/>
      </w:divBdr>
    </w:div>
    <w:div w:id="409350975">
      <w:bodyDiv w:val="1"/>
      <w:marLeft w:val="0"/>
      <w:marRight w:val="0"/>
      <w:marTop w:val="0"/>
      <w:marBottom w:val="0"/>
      <w:divBdr>
        <w:top w:val="none" w:sz="0" w:space="0" w:color="auto"/>
        <w:left w:val="none" w:sz="0" w:space="0" w:color="auto"/>
        <w:bottom w:val="none" w:sz="0" w:space="0" w:color="auto"/>
        <w:right w:val="none" w:sz="0" w:space="0" w:color="auto"/>
      </w:divBdr>
    </w:div>
    <w:div w:id="615867468">
      <w:bodyDiv w:val="1"/>
      <w:marLeft w:val="0"/>
      <w:marRight w:val="0"/>
      <w:marTop w:val="0"/>
      <w:marBottom w:val="0"/>
      <w:divBdr>
        <w:top w:val="none" w:sz="0" w:space="0" w:color="auto"/>
        <w:left w:val="none" w:sz="0" w:space="0" w:color="auto"/>
        <w:bottom w:val="none" w:sz="0" w:space="0" w:color="auto"/>
        <w:right w:val="none" w:sz="0" w:space="0" w:color="auto"/>
      </w:divBdr>
    </w:div>
    <w:div w:id="866942213">
      <w:bodyDiv w:val="1"/>
      <w:marLeft w:val="0"/>
      <w:marRight w:val="0"/>
      <w:marTop w:val="0"/>
      <w:marBottom w:val="0"/>
      <w:divBdr>
        <w:top w:val="none" w:sz="0" w:space="0" w:color="auto"/>
        <w:left w:val="none" w:sz="0" w:space="0" w:color="auto"/>
        <w:bottom w:val="none" w:sz="0" w:space="0" w:color="auto"/>
        <w:right w:val="none" w:sz="0" w:space="0" w:color="auto"/>
      </w:divBdr>
      <w:divsChild>
        <w:div w:id="1914775820">
          <w:marLeft w:val="0"/>
          <w:marRight w:val="0"/>
          <w:marTop w:val="0"/>
          <w:marBottom w:val="0"/>
          <w:divBdr>
            <w:top w:val="none" w:sz="0" w:space="0" w:color="auto"/>
            <w:left w:val="none" w:sz="0" w:space="0" w:color="auto"/>
            <w:bottom w:val="none" w:sz="0" w:space="0" w:color="auto"/>
            <w:right w:val="none" w:sz="0" w:space="0" w:color="auto"/>
          </w:divBdr>
        </w:div>
      </w:divsChild>
    </w:div>
    <w:div w:id="1083064578">
      <w:bodyDiv w:val="1"/>
      <w:marLeft w:val="0"/>
      <w:marRight w:val="0"/>
      <w:marTop w:val="0"/>
      <w:marBottom w:val="0"/>
      <w:divBdr>
        <w:top w:val="none" w:sz="0" w:space="0" w:color="auto"/>
        <w:left w:val="none" w:sz="0" w:space="0" w:color="auto"/>
        <w:bottom w:val="none" w:sz="0" w:space="0" w:color="auto"/>
        <w:right w:val="none" w:sz="0" w:space="0" w:color="auto"/>
      </w:divBdr>
    </w:div>
    <w:div w:id="1156386124">
      <w:bodyDiv w:val="1"/>
      <w:marLeft w:val="0"/>
      <w:marRight w:val="0"/>
      <w:marTop w:val="0"/>
      <w:marBottom w:val="0"/>
      <w:divBdr>
        <w:top w:val="none" w:sz="0" w:space="0" w:color="auto"/>
        <w:left w:val="none" w:sz="0" w:space="0" w:color="auto"/>
        <w:bottom w:val="none" w:sz="0" w:space="0" w:color="auto"/>
        <w:right w:val="none" w:sz="0" w:space="0" w:color="auto"/>
      </w:divBdr>
    </w:div>
    <w:div w:id="1159659804">
      <w:bodyDiv w:val="1"/>
      <w:marLeft w:val="0"/>
      <w:marRight w:val="0"/>
      <w:marTop w:val="0"/>
      <w:marBottom w:val="0"/>
      <w:divBdr>
        <w:top w:val="none" w:sz="0" w:space="0" w:color="auto"/>
        <w:left w:val="none" w:sz="0" w:space="0" w:color="auto"/>
        <w:bottom w:val="none" w:sz="0" w:space="0" w:color="auto"/>
        <w:right w:val="none" w:sz="0" w:space="0" w:color="auto"/>
      </w:divBdr>
      <w:divsChild>
        <w:div w:id="569539254">
          <w:marLeft w:val="0"/>
          <w:marRight w:val="0"/>
          <w:marTop w:val="0"/>
          <w:marBottom w:val="0"/>
          <w:divBdr>
            <w:top w:val="none" w:sz="0" w:space="0" w:color="auto"/>
            <w:left w:val="none" w:sz="0" w:space="0" w:color="auto"/>
            <w:bottom w:val="none" w:sz="0" w:space="0" w:color="auto"/>
            <w:right w:val="none" w:sz="0" w:space="0" w:color="auto"/>
          </w:divBdr>
        </w:div>
      </w:divsChild>
    </w:div>
    <w:div w:id="1411544068">
      <w:bodyDiv w:val="1"/>
      <w:marLeft w:val="0"/>
      <w:marRight w:val="0"/>
      <w:marTop w:val="0"/>
      <w:marBottom w:val="0"/>
      <w:divBdr>
        <w:top w:val="none" w:sz="0" w:space="0" w:color="auto"/>
        <w:left w:val="none" w:sz="0" w:space="0" w:color="auto"/>
        <w:bottom w:val="none" w:sz="0" w:space="0" w:color="auto"/>
        <w:right w:val="none" w:sz="0" w:space="0" w:color="auto"/>
      </w:divBdr>
      <w:divsChild>
        <w:div w:id="521746111">
          <w:marLeft w:val="0"/>
          <w:marRight w:val="0"/>
          <w:marTop w:val="0"/>
          <w:marBottom w:val="0"/>
          <w:divBdr>
            <w:top w:val="none" w:sz="0" w:space="0" w:color="auto"/>
            <w:left w:val="none" w:sz="0" w:space="0" w:color="auto"/>
            <w:bottom w:val="none" w:sz="0" w:space="0" w:color="auto"/>
            <w:right w:val="none" w:sz="0" w:space="0" w:color="auto"/>
          </w:divBdr>
          <w:divsChild>
            <w:div w:id="1829318763">
              <w:marLeft w:val="0"/>
              <w:marRight w:val="0"/>
              <w:marTop w:val="0"/>
              <w:marBottom w:val="0"/>
              <w:divBdr>
                <w:top w:val="none" w:sz="0" w:space="0" w:color="auto"/>
                <w:left w:val="none" w:sz="0" w:space="0" w:color="auto"/>
                <w:bottom w:val="none" w:sz="0" w:space="0" w:color="auto"/>
                <w:right w:val="none" w:sz="0" w:space="0" w:color="auto"/>
              </w:divBdr>
              <w:divsChild>
                <w:div w:id="1818187575">
                  <w:marLeft w:val="0"/>
                  <w:marRight w:val="0"/>
                  <w:marTop w:val="0"/>
                  <w:marBottom w:val="0"/>
                  <w:divBdr>
                    <w:top w:val="none" w:sz="0" w:space="0" w:color="auto"/>
                    <w:left w:val="none" w:sz="0" w:space="0" w:color="auto"/>
                    <w:bottom w:val="none" w:sz="0" w:space="0" w:color="auto"/>
                    <w:right w:val="none" w:sz="0" w:space="0" w:color="auto"/>
                  </w:divBdr>
                  <w:divsChild>
                    <w:div w:id="1362896207">
                      <w:marLeft w:val="0"/>
                      <w:marRight w:val="0"/>
                      <w:marTop w:val="0"/>
                      <w:marBottom w:val="0"/>
                      <w:divBdr>
                        <w:top w:val="none" w:sz="0" w:space="0" w:color="auto"/>
                        <w:left w:val="none" w:sz="0" w:space="0" w:color="auto"/>
                        <w:bottom w:val="none" w:sz="0" w:space="0" w:color="auto"/>
                        <w:right w:val="none" w:sz="0" w:space="0" w:color="auto"/>
                      </w:divBdr>
                      <w:divsChild>
                        <w:div w:id="10689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335776">
      <w:bodyDiv w:val="1"/>
      <w:marLeft w:val="0"/>
      <w:marRight w:val="0"/>
      <w:marTop w:val="0"/>
      <w:marBottom w:val="0"/>
      <w:divBdr>
        <w:top w:val="none" w:sz="0" w:space="0" w:color="auto"/>
        <w:left w:val="none" w:sz="0" w:space="0" w:color="auto"/>
        <w:bottom w:val="none" w:sz="0" w:space="0" w:color="auto"/>
        <w:right w:val="none" w:sz="0" w:space="0" w:color="auto"/>
      </w:divBdr>
    </w:div>
    <w:div w:id="1783572386">
      <w:bodyDiv w:val="1"/>
      <w:marLeft w:val="0"/>
      <w:marRight w:val="0"/>
      <w:marTop w:val="0"/>
      <w:marBottom w:val="0"/>
      <w:divBdr>
        <w:top w:val="none" w:sz="0" w:space="0" w:color="auto"/>
        <w:left w:val="none" w:sz="0" w:space="0" w:color="auto"/>
        <w:bottom w:val="none" w:sz="0" w:space="0" w:color="auto"/>
        <w:right w:val="none" w:sz="0" w:space="0" w:color="auto"/>
      </w:divBdr>
    </w:div>
    <w:div w:id="1841306681">
      <w:bodyDiv w:val="1"/>
      <w:marLeft w:val="0"/>
      <w:marRight w:val="0"/>
      <w:marTop w:val="0"/>
      <w:marBottom w:val="0"/>
      <w:divBdr>
        <w:top w:val="none" w:sz="0" w:space="0" w:color="auto"/>
        <w:left w:val="none" w:sz="0" w:space="0" w:color="auto"/>
        <w:bottom w:val="none" w:sz="0" w:space="0" w:color="auto"/>
        <w:right w:val="none" w:sz="0" w:space="0" w:color="auto"/>
      </w:divBdr>
    </w:div>
    <w:div w:id="1899779664">
      <w:bodyDiv w:val="1"/>
      <w:marLeft w:val="0"/>
      <w:marRight w:val="0"/>
      <w:marTop w:val="0"/>
      <w:marBottom w:val="0"/>
      <w:divBdr>
        <w:top w:val="none" w:sz="0" w:space="0" w:color="auto"/>
        <w:left w:val="none" w:sz="0" w:space="0" w:color="auto"/>
        <w:bottom w:val="none" w:sz="0" w:space="0" w:color="auto"/>
        <w:right w:val="none" w:sz="0" w:space="0" w:color="auto"/>
      </w:divBdr>
    </w:div>
    <w:div w:id="1970624711">
      <w:bodyDiv w:val="1"/>
      <w:marLeft w:val="0"/>
      <w:marRight w:val="0"/>
      <w:marTop w:val="0"/>
      <w:marBottom w:val="0"/>
      <w:divBdr>
        <w:top w:val="none" w:sz="0" w:space="0" w:color="auto"/>
        <w:left w:val="none" w:sz="0" w:space="0" w:color="auto"/>
        <w:bottom w:val="none" w:sz="0" w:space="0" w:color="auto"/>
        <w:right w:val="none" w:sz="0" w:space="0" w:color="auto"/>
      </w:divBdr>
    </w:div>
    <w:div w:id="20432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model.com/download/webnotes/webnote1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ocrd.2012.03.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rojec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model.com/download/webnotes/webnote15.pdf" TargetMode="External"/><Relationship Id="rId4" Type="http://schemas.openxmlformats.org/officeDocument/2006/relationships/settings" Target="settings.xml"/><Relationship Id="rId9" Type="http://schemas.openxmlformats.org/officeDocument/2006/relationships/hyperlink" Target="http://www.statmodel.com/download/webnotes/webnote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8034-CA6F-4365-943F-31CB41AA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7739</Words>
  <Characters>47712</Characters>
  <Application>Microsoft Office Word</Application>
  <DocSecurity>4</DocSecurity>
  <Lines>397</Lines>
  <Paragraphs>110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vt:lpstr>
      <vt:lpstr>I</vt:lpstr>
    </vt:vector>
  </TitlesOfParts>
  <Company>Strong Health</Company>
  <LinksUpToDate>false</LinksUpToDate>
  <CharactersWithSpaces>55341</CharactersWithSpaces>
  <SharedDoc>false</SharedDoc>
  <HLinks>
    <vt:vector size="6" baseType="variant">
      <vt:variant>
        <vt:i4>5636125</vt:i4>
      </vt:variant>
      <vt:variant>
        <vt:i4>0</vt:i4>
      </vt:variant>
      <vt:variant>
        <vt:i4>0</vt:i4>
      </vt:variant>
      <vt:variant>
        <vt:i4>5</vt:i4>
      </vt:variant>
      <vt:variant>
        <vt:lpwstr>http://www.trich.org/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sjee</dc:creator>
  <cp:lastModifiedBy>Mary Houston</cp:lastModifiedBy>
  <cp:revision>2</cp:revision>
  <cp:lastPrinted>2020-04-21T07:01:00Z</cp:lastPrinted>
  <dcterms:created xsi:type="dcterms:W3CDTF">2021-05-04T11:25:00Z</dcterms:created>
  <dcterms:modified xsi:type="dcterms:W3CDTF">2021-05-04T11:25:00Z</dcterms:modified>
</cp:coreProperties>
</file>