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7A0C" w14:textId="557013B8" w:rsidR="005F635D" w:rsidRPr="00757919" w:rsidRDefault="00A62299" w:rsidP="00864F3F">
      <w:pPr>
        <w:spacing w:line="480" w:lineRule="auto"/>
        <w:rPr>
          <w:rFonts w:ascii="Times New Roman" w:hAnsi="Times New Roman" w:cs="Times New Roman"/>
          <w:bCs/>
          <w:sz w:val="24"/>
          <w:szCs w:val="24"/>
        </w:rPr>
      </w:pPr>
      <w:r w:rsidRPr="00757919">
        <w:rPr>
          <w:rFonts w:ascii="Times New Roman" w:hAnsi="Times New Roman" w:cs="Times New Roman"/>
          <w:bCs/>
          <w:sz w:val="24"/>
          <w:szCs w:val="24"/>
        </w:rPr>
        <w:t xml:space="preserve">Pharmacogenomic effects of </w:t>
      </w:r>
      <w:r w:rsidR="00A84F33">
        <w:rPr>
          <w:rFonts w:ascii="Times New Roman" w:hAnsi="Times New Roman" w:cs="Times New Roman"/>
          <w:bCs/>
          <w:sz w:val="24"/>
          <w:szCs w:val="24"/>
        </w:rPr>
        <w:t>β</w:t>
      </w:r>
      <w:r w:rsidRPr="00757919">
        <w:rPr>
          <w:rFonts w:ascii="Times New Roman" w:hAnsi="Times New Roman" w:cs="Times New Roman"/>
          <w:bCs/>
          <w:sz w:val="24"/>
          <w:szCs w:val="24"/>
        </w:rPr>
        <w:t xml:space="preserve">-blocker use on </w:t>
      </w:r>
      <w:r w:rsidR="007C433C">
        <w:rPr>
          <w:rFonts w:ascii="Times New Roman" w:hAnsi="Times New Roman" w:cs="Times New Roman"/>
          <w:bCs/>
          <w:sz w:val="24"/>
          <w:szCs w:val="24"/>
        </w:rPr>
        <w:t xml:space="preserve">femoral neck </w:t>
      </w:r>
      <w:r w:rsidRPr="00757919">
        <w:rPr>
          <w:rFonts w:ascii="Times New Roman" w:hAnsi="Times New Roman" w:cs="Times New Roman"/>
          <w:bCs/>
          <w:sz w:val="24"/>
          <w:szCs w:val="24"/>
        </w:rPr>
        <w:t xml:space="preserve">bone </w:t>
      </w:r>
      <w:r w:rsidR="00226728" w:rsidRPr="00757919">
        <w:rPr>
          <w:rFonts w:ascii="Times New Roman" w:hAnsi="Times New Roman" w:cs="Times New Roman"/>
          <w:bCs/>
          <w:sz w:val="24"/>
          <w:szCs w:val="24"/>
        </w:rPr>
        <w:t xml:space="preserve">mineral density </w:t>
      </w:r>
    </w:p>
    <w:p w14:paraId="201C53D5" w14:textId="0F918596" w:rsidR="00226728" w:rsidRPr="00757919" w:rsidRDefault="00226728" w:rsidP="00864F3F">
      <w:pPr>
        <w:spacing w:line="480" w:lineRule="auto"/>
        <w:rPr>
          <w:rFonts w:ascii="Times New Roman" w:hAnsi="Times New Roman" w:cs="Times New Roman"/>
          <w:b/>
          <w:sz w:val="24"/>
          <w:szCs w:val="24"/>
        </w:rPr>
      </w:pPr>
      <w:r w:rsidRPr="00757919">
        <w:rPr>
          <w:rFonts w:ascii="Times New Roman" w:hAnsi="Times New Roman" w:cs="Times New Roman"/>
          <w:b/>
          <w:sz w:val="24"/>
          <w:szCs w:val="24"/>
        </w:rPr>
        <w:t>Authors:</w:t>
      </w:r>
    </w:p>
    <w:p w14:paraId="5CBE9765" w14:textId="37F2A6D3" w:rsidR="00226728" w:rsidRPr="00757919" w:rsidRDefault="00226728" w:rsidP="00864F3F">
      <w:pPr>
        <w:spacing w:line="480" w:lineRule="auto"/>
        <w:rPr>
          <w:rFonts w:ascii="Times New Roman" w:hAnsi="Times New Roman" w:cs="Times New Roman"/>
          <w:bCs/>
          <w:sz w:val="24"/>
          <w:szCs w:val="24"/>
        </w:rPr>
      </w:pPr>
      <w:bookmarkStart w:id="0" w:name="_Hlk47706744"/>
      <w:r w:rsidRPr="00757919">
        <w:rPr>
          <w:rFonts w:ascii="Times New Roman" w:hAnsi="Times New Roman" w:cs="Times New Roman"/>
          <w:bCs/>
          <w:sz w:val="24"/>
          <w:szCs w:val="24"/>
        </w:rPr>
        <w:t xml:space="preserve">Kathleen T. </w:t>
      </w:r>
      <w:proofErr w:type="spellStart"/>
      <w:r w:rsidRPr="00757919">
        <w:rPr>
          <w:rFonts w:ascii="Times New Roman" w:hAnsi="Times New Roman" w:cs="Times New Roman"/>
          <w:bCs/>
          <w:sz w:val="24"/>
          <w:szCs w:val="24"/>
        </w:rPr>
        <w:t>Nevola</w:t>
      </w:r>
      <w:r w:rsidRPr="00757919">
        <w:rPr>
          <w:rFonts w:ascii="Times New Roman" w:hAnsi="Times New Roman" w:cs="Times New Roman"/>
          <w:bCs/>
          <w:sz w:val="24"/>
          <w:szCs w:val="24"/>
          <w:vertAlign w:val="superscript"/>
        </w:rPr>
        <w:t>a</w:t>
      </w:r>
      <w:proofErr w:type="spellEnd"/>
      <w:r w:rsidR="002722E0" w:rsidRPr="00757919">
        <w:rPr>
          <w:rFonts w:ascii="Times New Roman" w:hAnsi="Times New Roman" w:cs="Times New Roman"/>
          <w:bCs/>
          <w:sz w:val="24"/>
          <w:szCs w:val="24"/>
        </w:rPr>
        <w:t xml:space="preserve">, </w:t>
      </w:r>
      <w:r w:rsidR="00D56D65">
        <w:rPr>
          <w:rFonts w:ascii="Times New Roman" w:hAnsi="Times New Roman" w:cs="Times New Roman"/>
          <w:bCs/>
          <w:sz w:val="24"/>
          <w:szCs w:val="24"/>
        </w:rPr>
        <w:t xml:space="preserve">Archana </w:t>
      </w:r>
      <w:proofErr w:type="spellStart"/>
      <w:r w:rsidR="00D56D65">
        <w:rPr>
          <w:rFonts w:ascii="Times New Roman" w:hAnsi="Times New Roman" w:cs="Times New Roman"/>
          <w:bCs/>
          <w:sz w:val="24"/>
          <w:szCs w:val="24"/>
        </w:rPr>
        <w:t>Nagarajan</w:t>
      </w:r>
      <w:r w:rsidR="00D56D65" w:rsidRPr="002C2316">
        <w:rPr>
          <w:rFonts w:ascii="Times New Roman" w:hAnsi="Times New Roman" w:cs="Times New Roman"/>
          <w:bCs/>
          <w:sz w:val="24"/>
          <w:szCs w:val="24"/>
          <w:vertAlign w:val="superscript"/>
        </w:rPr>
        <w:t>a</w:t>
      </w:r>
      <w:r w:rsidR="00D56D65">
        <w:rPr>
          <w:rFonts w:ascii="Times New Roman" w:hAnsi="Times New Roman" w:cs="Times New Roman"/>
          <w:bCs/>
          <w:sz w:val="24"/>
          <w:szCs w:val="24"/>
          <w:vertAlign w:val="superscript"/>
        </w:rPr>
        <w:t>,</w:t>
      </w:r>
      <w:r w:rsidR="00315EE1">
        <w:rPr>
          <w:rFonts w:ascii="Times New Roman" w:hAnsi="Times New Roman" w:cs="Times New Roman"/>
          <w:bCs/>
          <w:sz w:val="24"/>
          <w:szCs w:val="24"/>
          <w:vertAlign w:val="superscript"/>
        </w:rPr>
        <w:t>b</w:t>
      </w:r>
      <w:proofErr w:type="spellEnd"/>
      <w:r w:rsidR="00D56D65">
        <w:rPr>
          <w:rFonts w:ascii="Times New Roman" w:hAnsi="Times New Roman" w:cs="Times New Roman"/>
          <w:bCs/>
          <w:sz w:val="24"/>
          <w:szCs w:val="24"/>
        </w:rPr>
        <w:t xml:space="preserve">, Alexandra C. </w:t>
      </w:r>
      <w:proofErr w:type="spellStart"/>
      <w:r w:rsidR="00D56D65">
        <w:rPr>
          <w:rFonts w:ascii="Times New Roman" w:hAnsi="Times New Roman" w:cs="Times New Roman"/>
          <w:bCs/>
          <w:sz w:val="24"/>
          <w:szCs w:val="24"/>
        </w:rPr>
        <w:t>Hinton</w:t>
      </w:r>
      <w:r w:rsidR="00315EE1">
        <w:rPr>
          <w:rFonts w:ascii="Times New Roman" w:hAnsi="Times New Roman" w:cs="Times New Roman"/>
          <w:bCs/>
          <w:sz w:val="24"/>
          <w:szCs w:val="24"/>
          <w:vertAlign w:val="superscript"/>
        </w:rPr>
        <w:t>b</w:t>
      </w:r>
      <w:proofErr w:type="spellEnd"/>
      <w:r w:rsidR="00D56D65">
        <w:rPr>
          <w:rFonts w:ascii="Times New Roman" w:hAnsi="Times New Roman" w:cs="Times New Roman"/>
          <w:bCs/>
          <w:sz w:val="24"/>
          <w:szCs w:val="24"/>
        </w:rPr>
        <w:t xml:space="preserve">, </w:t>
      </w:r>
      <w:r w:rsidR="002722E0" w:rsidRPr="00757919">
        <w:rPr>
          <w:rFonts w:ascii="Times New Roman" w:hAnsi="Times New Roman" w:cs="Times New Roman"/>
          <w:bCs/>
          <w:sz w:val="24"/>
          <w:szCs w:val="24"/>
        </w:rPr>
        <w:t xml:space="preserve">Katerina </w:t>
      </w:r>
      <w:proofErr w:type="spellStart"/>
      <w:r w:rsidR="002722E0" w:rsidRPr="00757919">
        <w:rPr>
          <w:rFonts w:ascii="Times New Roman" w:hAnsi="Times New Roman" w:cs="Times New Roman"/>
          <w:bCs/>
          <w:sz w:val="24"/>
          <w:szCs w:val="24"/>
        </w:rPr>
        <w:t>Trajanoska</w:t>
      </w:r>
      <w:r w:rsidR="002722E0" w:rsidRPr="00757919">
        <w:rPr>
          <w:rFonts w:ascii="Times New Roman" w:hAnsi="Times New Roman" w:cs="Times New Roman"/>
          <w:bCs/>
          <w:sz w:val="24"/>
          <w:szCs w:val="24"/>
          <w:vertAlign w:val="superscript"/>
        </w:rPr>
        <w:t>c</w:t>
      </w:r>
      <w:r w:rsidR="003B0469">
        <w:rPr>
          <w:rFonts w:ascii="Times New Roman" w:hAnsi="Times New Roman" w:cs="Times New Roman"/>
          <w:bCs/>
          <w:sz w:val="24"/>
          <w:szCs w:val="24"/>
          <w:vertAlign w:val="superscript"/>
        </w:rPr>
        <w:t>,d</w:t>
      </w:r>
      <w:proofErr w:type="spellEnd"/>
      <w:r w:rsidR="002722E0" w:rsidRPr="00757919">
        <w:rPr>
          <w:rFonts w:ascii="Times New Roman" w:hAnsi="Times New Roman" w:cs="Times New Roman"/>
          <w:bCs/>
          <w:sz w:val="24"/>
          <w:szCs w:val="24"/>
        </w:rPr>
        <w:t>,</w:t>
      </w:r>
      <w:r w:rsidR="00D177EE" w:rsidRPr="00757919">
        <w:rPr>
          <w:rFonts w:ascii="Times New Roman" w:hAnsi="Times New Roman" w:cs="Times New Roman"/>
          <w:bCs/>
          <w:sz w:val="24"/>
          <w:szCs w:val="24"/>
        </w:rPr>
        <w:t xml:space="preserve"> Melissa M. </w:t>
      </w:r>
      <w:proofErr w:type="spellStart"/>
      <w:r w:rsidR="00D177EE" w:rsidRPr="00757919">
        <w:rPr>
          <w:rFonts w:ascii="Times New Roman" w:hAnsi="Times New Roman" w:cs="Times New Roman"/>
          <w:bCs/>
          <w:sz w:val="24"/>
          <w:szCs w:val="24"/>
        </w:rPr>
        <w:t>Formosa</w:t>
      </w:r>
      <w:r w:rsidR="003B0469">
        <w:rPr>
          <w:rFonts w:ascii="Times New Roman" w:hAnsi="Times New Roman" w:cs="Times New Roman"/>
          <w:bCs/>
          <w:sz w:val="24"/>
          <w:szCs w:val="24"/>
          <w:vertAlign w:val="superscript"/>
        </w:rPr>
        <w:t>e</w:t>
      </w:r>
      <w:r w:rsidR="00FE1971">
        <w:rPr>
          <w:rFonts w:ascii="Times New Roman" w:hAnsi="Times New Roman" w:cs="Times New Roman"/>
          <w:bCs/>
          <w:sz w:val="24"/>
          <w:szCs w:val="24"/>
          <w:vertAlign w:val="superscript"/>
        </w:rPr>
        <w:t>,f</w:t>
      </w:r>
      <w:proofErr w:type="spellEnd"/>
      <w:r w:rsidR="00D177EE" w:rsidRPr="00757919">
        <w:rPr>
          <w:rFonts w:ascii="Times New Roman" w:hAnsi="Times New Roman" w:cs="Times New Roman"/>
          <w:bCs/>
          <w:sz w:val="24"/>
          <w:szCs w:val="24"/>
        </w:rPr>
        <w:t xml:space="preserve">, Angela </w:t>
      </w:r>
      <w:proofErr w:type="spellStart"/>
      <w:r w:rsidR="00D177EE" w:rsidRPr="00757919">
        <w:rPr>
          <w:rFonts w:ascii="Times New Roman" w:hAnsi="Times New Roman" w:cs="Times New Roman"/>
          <w:bCs/>
          <w:sz w:val="24"/>
          <w:szCs w:val="24"/>
        </w:rPr>
        <w:t>Xuereb-Anastasi</w:t>
      </w:r>
      <w:r w:rsidR="003B0469">
        <w:rPr>
          <w:rFonts w:ascii="Times New Roman" w:hAnsi="Times New Roman" w:cs="Times New Roman"/>
          <w:bCs/>
          <w:sz w:val="24"/>
          <w:szCs w:val="24"/>
          <w:vertAlign w:val="superscript"/>
        </w:rPr>
        <w:t>e</w:t>
      </w:r>
      <w:r w:rsidR="00FE1971">
        <w:rPr>
          <w:rFonts w:ascii="Times New Roman" w:hAnsi="Times New Roman" w:cs="Times New Roman"/>
          <w:bCs/>
          <w:sz w:val="24"/>
          <w:szCs w:val="24"/>
          <w:vertAlign w:val="superscript"/>
        </w:rPr>
        <w:t>,f</w:t>
      </w:r>
      <w:proofErr w:type="spellEnd"/>
      <w:r w:rsidR="00D177EE" w:rsidRPr="00757919">
        <w:rPr>
          <w:rFonts w:ascii="Times New Roman" w:hAnsi="Times New Roman" w:cs="Times New Roman"/>
          <w:bCs/>
          <w:sz w:val="24"/>
          <w:szCs w:val="24"/>
        </w:rPr>
        <w:t xml:space="preserve">, </w:t>
      </w:r>
      <w:r w:rsidR="003D7A93" w:rsidRPr="00757919">
        <w:rPr>
          <w:rFonts w:ascii="Times New Roman" w:hAnsi="Times New Roman" w:cs="Times New Roman"/>
          <w:bCs/>
          <w:sz w:val="24"/>
          <w:szCs w:val="24"/>
        </w:rPr>
        <w:t xml:space="preserve">Nathalie van der </w:t>
      </w:r>
      <w:proofErr w:type="spellStart"/>
      <w:r w:rsidR="008864DA" w:rsidRPr="00757919">
        <w:rPr>
          <w:rFonts w:ascii="Times New Roman" w:hAnsi="Times New Roman" w:cs="Times New Roman"/>
          <w:bCs/>
          <w:sz w:val="24"/>
          <w:szCs w:val="24"/>
        </w:rPr>
        <w:t>Velde</w:t>
      </w:r>
      <w:r w:rsidR="008864DA">
        <w:rPr>
          <w:rFonts w:ascii="Times New Roman" w:hAnsi="Times New Roman" w:cs="Times New Roman"/>
          <w:bCs/>
          <w:sz w:val="24"/>
          <w:szCs w:val="24"/>
          <w:vertAlign w:val="superscript"/>
        </w:rPr>
        <w:t>g</w:t>
      </w:r>
      <w:proofErr w:type="spellEnd"/>
      <w:r w:rsidR="003D7A93" w:rsidRPr="00757919">
        <w:rPr>
          <w:rFonts w:ascii="Times New Roman" w:hAnsi="Times New Roman" w:cs="Times New Roman"/>
          <w:bCs/>
          <w:sz w:val="24"/>
          <w:szCs w:val="24"/>
        </w:rPr>
        <w:t xml:space="preserve">, </w:t>
      </w:r>
      <w:r w:rsidR="00DD3754" w:rsidRPr="00757919">
        <w:rPr>
          <w:rFonts w:ascii="Times New Roman" w:hAnsi="Times New Roman" w:cs="Times New Roman"/>
          <w:bCs/>
          <w:sz w:val="24"/>
          <w:szCs w:val="24"/>
        </w:rPr>
        <w:t xml:space="preserve">Bruno H. </w:t>
      </w:r>
      <w:proofErr w:type="spellStart"/>
      <w:r w:rsidR="00DD3754" w:rsidRPr="00757919">
        <w:rPr>
          <w:rFonts w:ascii="Times New Roman" w:hAnsi="Times New Roman" w:cs="Times New Roman"/>
          <w:bCs/>
          <w:sz w:val="24"/>
          <w:szCs w:val="24"/>
        </w:rPr>
        <w:t>Stricker</w:t>
      </w:r>
      <w:r w:rsidR="003B0469">
        <w:rPr>
          <w:rFonts w:ascii="Times New Roman" w:hAnsi="Times New Roman" w:cs="Times New Roman"/>
          <w:bCs/>
          <w:sz w:val="24"/>
          <w:szCs w:val="24"/>
          <w:vertAlign w:val="superscript"/>
        </w:rPr>
        <w:t>d</w:t>
      </w:r>
      <w:proofErr w:type="spellEnd"/>
      <w:r w:rsidR="00DD3754" w:rsidRPr="00757919">
        <w:rPr>
          <w:rFonts w:ascii="Times New Roman" w:hAnsi="Times New Roman" w:cs="Times New Roman"/>
          <w:bCs/>
          <w:sz w:val="24"/>
          <w:szCs w:val="24"/>
        </w:rPr>
        <w:t xml:space="preserve">, </w:t>
      </w:r>
      <w:r w:rsidR="00D177EE" w:rsidRPr="00757919">
        <w:rPr>
          <w:rFonts w:ascii="Times New Roman" w:hAnsi="Times New Roman" w:cs="Times New Roman"/>
          <w:sz w:val="24"/>
          <w:szCs w:val="24"/>
        </w:rPr>
        <w:t xml:space="preserve">Fernando </w:t>
      </w:r>
      <w:proofErr w:type="spellStart"/>
      <w:r w:rsidR="00D177EE" w:rsidRPr="00757919">
        <w:rPr>
          <w:rFonts w:ascii="Times New Roman" w:hAnsi="Times New Roman" w:cs="Times New Roman"/>
          <w:sz w:val="24"/>
          <w:szCs w:val="24"/>
        </w:rPr>
        <w:t>Rivadeneira</w:t>
      </w:r>
      <w:r w:rsidR="00D177EE" w:rsidRPr="00757919">
        <w:rPr>
          <w:rFonts w:ascii="Times New Roman" w:hAnsi="Times New Roman" w:cs="Times New Roman"/>
          <w:sz w:val="24"/>
          <w:szCs w:val="24"/>
          <w:vertAlign w:val="superscript"/>
        </w:rPr>
        <w:t>c</w:t>
      </w:r>
      <w:r w:rsidR="003B0469">
        <w:rPr>
          <w:rFonts w:ascii="Times New Roman" w:hAnsi="Times New Roman" w:cs="Times New Roman"/>
          <w:sz w:val="24"/>
          <w:szCs w:val="24"/>
          <w:vertAlign w:val="superscript"/>
        </w:rPr>
        <w:t>,d</w:t>
      </w:r>
      <w:proofErr w:type="spellEnd"/>
      <w:r w:rsidR="00D177EE" w:rsidRPr="00757919">
        <w:rPr>
          <w:rFonts w:ascii="Times New Roman" w:hAnsi="Times New Roman" w:cs="Times New Roman"/>
          <w:sz w:val="24"/>
          <w:szCs w:val="24"/>
        </w:rPr>
        <w:t>,</w:t>
      </w:r>
      <w:r w:rsidR="002722E0" w:rsidRPr="00757919">
        <w:rPr>
          <w:rFonts w:ascii="Times New Roman" w:hAnsi="Times New Roman" w:cs="Times New Roman"/>
          <w:bCs/>
          <w:sz w:val="24"/>
          <w:szCs w:val="24"/>
        </w:rPr>
        <w:t xml:space="preserve"> </w:t>
      </w:r>
      <w:r w:rsidR="000E187D" w:rsidRPr="00757919">
        <w:rPr>
          <w:rFonts w:ascii="Times New Roman" w:hAnsi="Times New Roman" w:cs="Times New Roman"/>
          <w:bCs/>
          <w:sz w:val="24"/>
          <w:szCs w:val="24"/>
        </w:rPr>
        <w:t xml:space="preserve">Nicholas </w:t>
      </w:r>
      <w:r w:rsidR="00766788" w:rsidRPr="00757919">
        <w:rPr>
          <w:rFonts w:ascii="Times New Roman" w:hAnsi="Times New Roman" w:cs="Times New Roman"/>
          <w:bCs/>
          <w:sz w:val="24"/>
          <w:szCs w:val="24"/>
        </w:rPr>
        <w:t>R</w:t>
      </w:r>
      <w:r w:rsidR="00F72E65">
        <w:rPr>
          <w:rFonts w:ascii="Times New Roman" w:hAnsi="Times New Roman" w:cs="Times New Roman"/>
          <w:bCs/>
          <w:sz w:val="24"/>
          <w:szCs w:val="24"/>
        </w:rPr>
        <w:t>.</w:t>
      </w:r>
      <w:r w:rsidR="00766788" w:rsidRPr="00757919">
        <w:rPr>
          <w:rFonts w:ascii="Times New Roman" w:hAnsi="Times New Roman" w:cs="Times New Roman"/>
          <w:bCs/>
          <w:sz w:val="24"/>
          <w:szCs w:val="24"/>
        </w:rPr>
        <w:t xml:space="preserve"> </w:t>
      </w:r>
      <w:proofErr w:type="spellStart"/>
      <w:r w:rsidR="008864DA" w:rsidRPr="00757919">
        <w:rPr>
          <w:rFonts w:ascii="Times New Roman" w:hAnsi="Times New Roman" w:cs="Times New Roman"/>
          <w:bCs/>
          <w:sz w:val="24"/>
          <w:szCs w:val="24"/>
        </w:rPr>
        <w:t>Fuggle</w:t>
      </w:r>
      <w:r w:rsidR="008864DA">
        <w:rPr>
          <w:rFonts w:ascii="Times New Roman" w:hAnsi="Times New Roman" w:cs="Times New Roman"/>
          <w:bCs/>
          <w:sz w:val="24"/>
          <w:szCs w:val="24"/>
          <w:vertAlign w:val="superscript"/>
        </w:rPr>
        <w:t>h</w:t>
      </w:r>
      <w:proofErr w:type="spellEnd"/>
      <w:r w:rsidR="000E187D" w:rsidRPr="00757919">
        <w:rPr>
          <w:rFonts w:ascii="Times New Roman" w:hAnsi="Times New Roman" w:cs="Times New Roman"/>
          <w:bCs/>
          <w:sz w:val="24"/>
          <w:szCs w:val="24"/>
        </w:rPr>
        <w:t xml:space="preserve">, Leo </w:t>
      </w:r>
      <w:r w:rsidR="00766788" w:rsidRPr="00757919">
        <w:rPr>
          <w:rFonts w:ascii="Times New Roman" w:hAnsi="Times New Roman" w:cs="Times New Roman"/>
          <w:bCs/>
          <w:sz w:val="24"/>
          <w:szCs w:val="24"/>
        </w:rPr>
        <w:t xml:space="preserve">D. </w:t>
      </w:r>
      <w:proofErr w:type="spellStart"/>
      <w:r w:rsidR="008864DA" w:rsidRPr="00757919">
        <w:rPr>
          <w:rFonts w:ascii="Times New Roman" w:hAnsi="Times New Roman" w:cs="Times New Roman"/>
          <w:bCs/>
          <w:sz w:val="24"/>
          <w:szCs w:val="24"/>
        </w:rPr>
        <w:t>Westbury</w:t>
      </w:r>
      <w:r w:rsidR="005D1035">
        <w:rPr>
          <w:rFonts w:ascii="Times New Roman" w:hAnsi="Times New Roman" w:cs="Times New Roman"/>
          <w:bCs/>
          <w:sz w:val="24"/>
          <w:szCs w:val="24"/>
          <w:vertAlign w:val="superscript"/>
        </w:rPr>
        <w:t>i</w:t>
      </w:r>
      <w:proofErr w:type="spellEnd"/>
      <w:r w:rsidR="008864DA" w:rsidDel="00B8144D">
        <w:rPr>
          <w:rFonts w:ascii="Times New Roman" w:hAnsi="Times New Roman" w:cs="Times New Roman"/>
          <w:bCs/>
          <w:sz w:val="24"/>
          <w:szCs w:val="24"/>
          <w:vertAlign w:val="superscript"/>
        </w:rPr>
        <w:t xml:space="preserve"> </w:t>
      </w:r>
      <w:r w:rsidR="000E187D" w:rsidRPr="00757919">
        <w:rPr>
          <w:rFonts w:ascii="Times New Roman" w:hAnsi="Times New Roman" w:cs="Times New Roman"/>
          <w:bCs/>
          <w:sz w:val="24"/>
          <w:szCs w:val="24"/>
        </w:rPr>
        <w:t>, Elaine</w:t>
      </w:r>
      <w:r w:rsidR="005F0918">
        <w:rPr>
          <w:rFonts w:ascii="Times New Roman" w:hAnsi="Times New Roman" w:cs="Times New Roman"/>
          <w:bCs/>
          <w:sz w:val="24"/>
          <w:szCs w:val="24"/>
        </w:rPr>
        <w:t xml:space="preserve"> M</w:t>
      </w:r>
      <w:r w:rsidR="00F72E65">
        <w:rPr>
          <w:rFonts w:ascii="Times New Roman" w:hAnsi="Times New Roman" w:cs="Times New Roman"/>
          <w:bCs/>
          <w:sz w:val="24"/>
          <w:szCs w:val="24"/>
        </w:rPr>
        <w:t>.</w:t>
      </w:r>
      <w:r w:rsidR="000E187D" w:rsidRPr="00757919">
        <w:rPr>
          <w:rFonts w:ascii="Times New Roman" w:hAnsi="Times New Roman" w:cs="Times New Roman"/>
          <w:bCs/>
          <w:sz w:val="24"/>
          <w:szCs w:val="24"/>
        </w:rPr>
        <w:t xml:space="preserve"> </w:t>
      </w:r>
      <w:proofErr w:type="spellStart"/>
      <w:r w:rsidR="008864DA" w:rsidRPr="00757919">
        <w:rPr>
          <w:rFonts w:ascii="Times New Roman" w:hAnsi="Times New Roman" w:cs="Times New Roman"/>
          <w:bCs/>
          <w:sz w:val="24"/>
          <w:szCs w:val="24"/>
        </w:rPr>
        <w:t>Dennison</w:t>
      </w:r>
      <w:r w:rsidR="008864DA">
        <w:rPr>
          <w:rFonts w:ascii="Times New Roman" w:hAnsi="Times New Roman" w:cs="Times New Roman"/>
          <w:bCs/>
          <w:sz w:val="24"/>
          <w:szCs w:val="24"/>
          <w:vertAlign w:val="superscript"/>
        </w:rPr>
        <w:t>h</w:t>
      </w:r>
      <w:r w:rsidR="00E3764D">
        <w:rPr>
          <w:rFonts w:ascii="Times New Roman" w:hAnsi="Times New Roman" w:cs="Times New Roman"/>
          <w:bCs/>
          <w:sz w:val="24"/>
          <w:szCs w:val="24"/>
          <w:vertAlign w:val="superscript"/>
        </w:rPr>
        <w:t>,</w:t>
      </w:r>
      <w:r w:rsidR="005D1035">
        <w:rPr>
          <w:rFonts w:ascii="Times New Roman" w:hAnsi="Times New Roman" w:cs="Times New Roman"/>
          <w:bCs/>
          <w:sz w:val="24"/>
          <w:szCs w:val="24"/>
          <w:vertAlign w:val="superscript"/>
        </w:rPr>
        <w:t>k</w:t>
      </w:r>
      <w:proofErr w:type="spellEnd"/>
      <w:r w:rsidR="000E187D" w:rsidRPr="00757919">
        <w:rPr>
          <w:rFonts w:ascii="Times New Roman" w:hAnsi="Times New Roman" w:cs="Times New Roman"/>
          <w:bCs/>
          <w:sz w:val="24"/>
          <w:szCs w:val="24"/>
        </w:rPr>
        <w:t xml:space="preserve">, Cyrus </w:t>
      </w:r>
      <w:proofErr w:type="spellStart"/>
      <w:r w:rsidR="008864DA" w:rsidRPr="00757919">
        <w:rPr>
          <w:rFonts w:ascii="Times New Roman" w:hAnsi="Times New Roman" w:cs="Times New Roman"/>
          <w:bCs/>
          <w:sz w:val="24"/>
          <w:szCs w:val="24"/>
        </w:rPr>
        <w:t>Cooper</w:t>
      </w:r>
      <w:r w:rsidR="008864DA">
        <w:rPr>
          <w:rFonts w:ascii="Times New Roman" w:hAnsi="Times New Roman" w:cs="Times New Roman"/>
          <w:bCs/>
          <w:sz w:val="24"/>
          <w:szCs w:val="24"/>
          <w:vertAlign w:val="superscript"/>
        </w:rPr>
        <w:t>h</w:t>
      </w:r>
      <w:r w:rsidR="00B8144D">
        <w:rPr>
          <w:rFonts w:ascii="Times New Roman" w:hAnsi="Times New Roman" w:cs="Times New Roman"/>
          <w:bCs/>
          <w:sz w:val="24"/>
          <w:szCs w:val="24"/>
          <w:vertAlign w:val="superscript"/>
        </w:rPr>
        <w:t>,</w:t>
      </w:r>
      <w:r w:rsidR="008864DA">
        <w:rPr>
          <w:rFonts w:ascii="Times New Roman" w:hAnsi="Times New Roman" w:cs="Times New Roman"/>
          <w:bCs/>
          <w:sz w:val="24"/>
          <w:szCs w:val="24"/>
          <w:vertAlign w:val="superscript"/>
        </w:rPr>
        <w:t>i</w:t>
      </w:r>
      <w:r w:rsidR="00B8144D">
        <w:rPr>
          <w:rFonts w:ascii="Times New Roman" w:hAnsi="Times New Roman" w:cs="Times New Roman"/>
          <w:bCs/>
          <w:sz w:val="24"/>
          <w:szCs w:val="24"/>
          <w:vertAlign w:val="superscript"/>
        </w:rPr>
        <w:t>,</w:t>
      </w:r>
      <w:r w:rsidR="008864DA">
        <w:rPr>
          <w:rFonts w:ascii="Times New Roman" w:hAnsi="Times New Roman" w:cs="Times New Roman"/>
          <w:bCs/>
          <w:sz w:val="24"/>
          <w:szCs w:val="24"/>
          <w:vertAlign w:val="superscript"/>
        </w:rPr>
        <w:t>j</w:t>
      </w:r>
      <w:proofErr w:type="spellEnd"/>
      <w:r w:rsidR="000E187D" w:rsidRPr="00757919">
        <w:rPr>
          <w:rFonts w:ascii="Times New Roman" w:hAnsi="Times New Roman" w:cs="Times New Roman"/>
          <w:bCs/>
          <w:sz w:val="24"/>
          <w:szCs w:val="24"/>
        </w:rPr>
        <w:t xml:space="preserve">, </w:t>
      </w:r>
      <w:r w:rsidR="002722E0" w:rsidRPr="00757919">
        <w:rPr>
          <w:rFonts w:ascii="Times New Roman" w:hAnsi="Times New Roman" w:cs="Times New Roman"/>
          <w:sz w:val="24"/>
          <w:szCs w:val="24"/>
        </w:rPr>
        <w:t xml:space="preserve">Douglas P. </w:t>
      </w:r>
      <w:proofErr w:type="spellStart"/>
      <w:r w:rsidR="002722E0" w:rsidRPr="00757919">
        <w:rPr>
          <w:rFonts w:ascii="Times New Roman" w:hAnsi="Times New Roman" w:cs="Times New Roman"/>
          <w:sz w:val="24"/>
          <w:szCs w:val="24"/>
        </w:rPr>
        <w:t>Kiel</w:t>
      </w:r>
      <w:r w:rsidR="008864DA">
        <w:rPr>
          <w:rFonts w:ascii="Times New Roman" w:hAnsi="Times New Roman" w:cs="Times New Roman"/>
          <w:sz w:val="24"/>
          <w:szCs w:val="24"/>
          <w:vertAlign w:val="superscript"/>
        </w:rPr>
        <w:t>l</w:t>
      </w:r>
      <w:r w:rsidR="003B0469">
        <w:rPr>
          <w:rFonts w:ascii="Times New Roman" w:hAnsi="Times New Roman" w:cs="Times New Roman"/>
          <w:sz w:val="24"/>
          <w:szCs w:val="24"/>
          <w:vertAlign w:val="superscript"/>
        </w:rPr>
        <w:t>,</w:t>
      </w:r>
      <w:r w:rsidR="008864DA">
        <w:rPr>
          <w:rFonts w:ascii="Times New Roman" w:hAnsi="Times New Roman" w:cs="Times New Roman"/>
          <w:sz w:val="24"/>
          <w:szCs w:val="24"/>
          <w:vertAlign w:val="superscript"/>
        </w:rPr>
        <w:t>m</w:t>
      </w:r>
      <w:proofErr w:type="spellEnd"/>
      <w:r w:rsidR="002722E0" w:rsidRPr="00757919">
        <w:rPr>
          <w:rFonts w:ascii="Times New Roman" w:hAnsi="Times New Roman" w:cs="Times New Roman"/>
          <w:sz w:val="24"/>
          <w:szCs w:val="24"/>
        </w:rPr>
        <w:t xml:space="preserve">, Katherine J. </w:t>
      </w:r>
      <w:proofErr w:type="spellStart"/>
      <w:r w:rsidR="002722E0" w:rsidRPr="00757919">
        <w:rPr>
          <w:rFonts w:ascii="Times New Roman" w:hAnsi="Times New Roman" w:cs="Times New Roman"/>
          <w:sz w:val="24"/>
          <w:szCs w:val="24"/>
        </w:rPr>
        <w:t>Motyl</w:t>
      </w:r>
      <w:r w:rsidR="008864DA">
        <w:rPr>
          <w:rFonts w:ascii="Times New Roman" w:hAnsi="Times New Roman" w:cs="Times New Roman"/>
          <w:sz w:val="24"/>
          <w:szCs w:val="24"/>
          <w:vertAlign w:val="superscript"/>
        </w:rPr>
        <w:t>n</w:t>
      </w:r>
      <w:proofErr w:type="spellEnd"/>
      <w:r w:rsidR="002722E0" w:rsidRPr="00757919">
        <w:rPr>
          <w:rFonts w:ascii="Times New Roman" w:hAnsi="Times New Roman" w:cs="Times New Roman"/>
          <w:sz w:val="24"/>
          <w:szCs w:val="24"/>
        </w:rPr>
        <w:t xml:space="preserve">, Christine W. </w:t>
      </w:r>
      <w:proofErr w:type="spellStart"/>
      <w:r w:rsidR="00315EE1" w:rsidRPr="00757919">
        <w:rPr>
          <w:rFonts w:ascii="Times New Roman" w:hAnsi="Times New Roman" w:cs="Times New Roman"/>
          <w:sz w:val="24"/>
          <w:szCs w:val="24"/>
        </w:rPr>
        <w:t>Lary</w:t>
      </w:r>
      <w:r w:rsidR="00315EE1">
        <w:rPr>
          <w:rFonts w:ascii="Times New Roman" w:hAnsi="Times New Roman" w:cs="Times New Roman"/>
          <w:sz w:val="24"/>
          <w:szCs w:val="24"/>
          <w:vertAlign w:val="superscript"/>
        </w:rPr>
        <w:t>b</w:t>
      </w:r>
      <w:proofErr w:type="spellEnd"/>
    </w:p>
    <w:bookmarkEnd w:id="0"/>
    <w:p w14:paraId="499A58A1" w14:textId="5B89B5AF" w:rsidR="00226728" w:rsidRPr="000D7DF4" w:rsidRDefault="00226728" w:rsidP="00864F3F">
      <w:pPr>
        <w:spacing w:line="480" w:lineRule="auto"/>
        <w:rPr>
          <w:rFonts w:ascii="Times New Roman" w:hAnsi="Times New Roman" w:cs="Times New Roman"/>
          <w:sz w:val="24"/>
          <w:szCs w:val="24"/>
        </w:rPr>
      </w:pPr>
      <w:proofErr w:type="spellStart"/>
      <w:r w:rsidRPr="00757919">
        <w:rPr>
          <w:rFonts w:ascii="Times New Roman" w:hAnsi="Times New Roman" w:cs="Times New Roman"/>
          <w:sz w:val="24"/>
          <w:szCs w:val="24"/>
          <w:vertAlign w:val="superscript"/>
        </w:rPr>
        <w:t>a</w:t>
      </w:r>
      <w:r w:rsidRPr="00757919">
        <w:rPr>
          <w:rFonts w:ascii="Times New Roman" w:hAnsi="Times New Roman" w:cs="Times New Roman"/>
          <w:sz w:val="24"/>
          <w:szCs w:val="24"/>
        </w:rPr>
        <w:t>Graduate</w:t>
      </w:r>
      <w:proofErr w:type="spellEnd"/>
      <w:r w:rsidRPr="00757919">
        <w:rPr>
          <w:rFonts w:ascii="Times New Roman" w:hAnsi="Times New Roman" w:cs="Times New Roman"/>
          <w:sz w:val="24"/>
          <w:szCs w:val="24"/>
        </w:rPr>
        <w:t xml:space="preserve"> School of Biomedical Sciences, Tufts University, 136 Harrison Ave, Boston, MA, 02111</w:t>
      </w:r>
      <w:r w:rsidR="002722E0" w:rsidRPr="00757919">
        <w:rPr>
          <w:rFonts w:ascii="Times New Roman" w:hAnsi="Times New Roman" w:cs="Times New Roman"/>
          <w:sz w:val="24"/>
          <w:szCs w:val="24"/>
        </w:rPr>
        <w:t xml:space="preserve">, USA, </w:t>
      </w:r>
      <w:proofErr w:type="spellStart"/>
      <w:r w:rsidR="00315EE1">
        <w:rPr>
          <w:rFonts w:ascii="Times New Roman" w:hAnsi="Times New Roman" w:cs="Times New Roman"/>
          <w:sz w:val="24"/>
          <w:szCs w:val="24"/>
          <w:vertAlign w:val="superscript"/>
        </w:rPr>
        <w:t>b</w:t>
      </w:r>
      <w:r w:rsidR="00315EE1" w:rsidRPr="00757919">
        <w:rPr>
          <w:rFonts w:ascii="Times New Roman" w:hAnsi="Times New Roman" w:cs="Times New Roman"/>
          <w:color w:val="000000"/>
          <w:sz w:val="24"/>
          <w:szCs w:val="24"/>
          <w:shd w:val="clear" w:color="auto" w:fill="FFFFFF"/>
        </w:rPr>
        <w:t>Center</w:t>
      </w:r>
      <w:proofErr w:type="spellEnd"/>
      <w:r w:rsidR="00315EE1" w:rsidRPr="00757919">
        <w:rPr>
          <w:rFonts w:ascii="Times New Roman" w:hAnsi="Times New Roman" w:cs="Times New Roman"/>
          <w:color w:val="000000"/>
          <w:sz w:val="24"/>
          <w:szCs w:val="24"/>
          <w:shd w:val="clear" w:color="auto" w:fill="FFFFFF"/>
        </w:rPr>
        <w:t xml:space="preserve"> for Outcomes Research and Evaluation, Maine Medical Center Research Institute, Portland, ME, USA</w:t>
      </w:r>
      <w:r w:rsidR="00315EE1">
        <w:rPr>
          <w:rFonts w:ascii="Times New Roman" w:hAnsi="Times New Roman" w:cs="Times New Roman"/>
          <w:color w:val="000000"/>
          <w:sz w:val="24"/>
          <w:szCs w:val="24"/>
          <w:shd w:val="clear" w:color="auto" w:fill="FFFFFF"/>
        </w:rPr>
        <w:t>,</w:t>
      </w:r>
      <w:r w:rsidR="00315EE1" w:rsidRPr="00757919" w:rsidDel="00315EE1">
        <w:rPr>
          <w:rFonts w:ascii="Times New Roman" w:hAnsi="Times New Roman" w:cs="Times New Roman"/>
          <w:sz w:val="24"/>
          <w:szCs w:val="24"/>
          <w:vertAlign w:val="superscript"/>
        </w:rPr>
        <w:t xml:space="preserve"> </w:t>
      </w:r>
      <w:proofErr w:type="spellStart"/>
      <w:r w:rsidR="00315EE1">
        <w:rPr>
          <w:rFonts w:ascii="Times New Roman" w:hAnsi="Times New Roman" w:cs="Times New Roman"/>
          <w:sz w:val="24"/>
          <w:szCs w:val="24"/>
          <w:vertAlign w:val="superscript"/>
        </w:rPr>
        <w:t>c</w:t>
      </w:r>
      <w:r w:rsidR="00315EE1" w:rsidRPr="00757919">
        <w:rPr>
          <w:rFonts w:ascii="Times New Roman" w:hAnsi="Times New Roman" w:cs="Times New Roman"/>
          <w:sz w:val="24"/>
          <w:szCs w:val="24"/>
        </w:rPr>
        <w:t>Department</w:t>
      </w:r>
      <w:proofErr w:type="spellEnd"/>
      <w:r w:rsidR="00315EE1" w:rsidRPr="00757919">
        <w:rPr>
          <w:rFonts w:ascii="Times New Roman" w:hAnsi="Times New Roman" w:cs="Times New Roman"/>
          <w:sz w:val="24"/>
          <w:szCs w:val="24"/>
        </w:rPr>
        <w:t xml:space="preserve"> </w:t>
      </w:r>
      <w:r w:rsidR="002722E0" w:rsidRPr="00757919">
        <w:rPr>
          <w:rFonts w:ascii="Times New Roman" w:hAnsi="Times New Roman" w:cs="Times New Roman"/>
          <w:sz w:val="24"/>
          <w:szCs w:val="24"/>
        </w:rPr>
        <w:t xml:space="preserve">of Internal Medicine, Erasmus MC, University Medical Center, Rotterdam, Netherlands, </w:t>
      </w:r>
      <w:proofErr w:type="spellStart"/>
      <w:r w:rsidR="00315EE1">
        <w:rPr>
          <w:rFonts w:ascii="Times New Roman" w:hAnsi="Times New Roman" w:cs="Times New Roman"/>
          <w:sz w:val="24"/>
          <w:szCs w:val="24"/>
          <w:vertAlign w:val="superscript"/>
        </w:rPr>
        <w:t>d</w:t>
      </w:r>
      <w:r w:rsidR="00315EE1" w:rsidRPr="00757919">
        <w:rPr>
          <w:rFonts w:ascii="Times New Roman" w:hAnsi="Times New Roman" w:cs="Times New Roman"/>
          <w:sz w:val="24"/>
          <w:szCs w:val="24"/>
        </w:rPr>
        <w:t>Department</w:t>
      </w:r>
      <w:proofErr w:type="spellEnd"/>
      <w:r w:rsidR="00315EE1" w:rsidRPr="00757919">
        <w:rPr>
          <w:rFonts w:ascii="Times New Roman" w:hAnsi="Times New Roman" w:cs="Times New Roman"/>
          <w:sz w:val="24"/>
          <w:szCs w:val="24"/>
        </w:rPr>
        <w:t xml:space="preserve"> </w:t>
      </w:r>
      <w:r w:rsidR="002722E0" w:rsidRPr="00757919">
        <w:rPr>
          <w:rFonts w:ascii="Times New Roman" w:hAnsi="Times New Roman" w:cs="Times New Roman"/>
          <w:sz w:val="24"/>
          <w:szCs w:val="24"/>
        </w:rPr>
        <w:t xml:space="preserve">of Epidemiology, Erasmus MC, University Medical Center, Rotterdam, Netherlands, </w:t>
      </w:r>
      <w:proofErr w:type="spellStart"/>
      <w:r w:rsidR="00315EE1">
        <w:rPr>
          <w:rFonts w:ascii="Times New Roman" w:hAnsi="Times New Roman" w:cs="Times New Roman"/>
          <w:sz w:val="24"/>
          <w:szCs w:val="24"/>
          <w:vertAlign w:val="superscript"/>
        </w:rPr>
        <w:t>e</w:t>
      </w:r>
      <w:r w:rsidR="00315EE1" w:rsidRPr="00757919">
        <w:rPr>
          <w:rFonts w:ascii="Times New Roman" w:hAnsi="Times New Roman" w:cs="Times New Roman"/>
          <w:sz w:val="24"/>
          <w:szCs w:val="24"/>
        </w:rPr>
        <w:t>Department</w:t>
      </w:r>
      <w:proofErr w:type="spellEnd"/>
      <w:r w:rsidR="00315EE1" w:rsidRPr="00757919">
        <w:rPr>
          <w:rFonts w:ascii="Times New Roman" w:hAnsi="Times New Roman" w:cs="Times New Roman"/>
          <w:sz w:val="24"/>
          <w:szCs w:val="24"/>
        </w:rPr>
        <w:t xml:space="preserve"> </w:t>
      </w:r>
      <w:r w:rsidR="00D177EE" w:rsidRPr="00757919">
        <w:rPr>
          <w:rFonts w:ascii="Times New Roman" w:hAnsi="Times New Roman" w:cs="Times New Roman"/>
          <w:sz w:val="24"/>
          <w:szCs w:val="24"/>
        </w:rPr>
        <w:t xml:space="preserve">of Applied </w:t>
      </w:r>
      <w:r w:rsidR="002628B7" w:rsidRPr="00757919">
        <w:rPr>
          <w:rFonts w:ascii="Times New Roman" w:hAnsi="Times New Roman" w:cs="Times New Roman"/>
          <w:sz w:val="24"/>
          <w:szCs w:val="24"/>
        </w:rPr>
        <w:t>Biomedical</w:t>
      </w:r>
      <w:r w:rsidR="00D177EE" w:rsidRPr="00757919">
        <w:rPr>
          <w:rFonts w:ascii="Times New Roman" w:hAnsi="Times New Roman" w:cs="Times New Roman"/>
          <w:sz w:val="24"/>
          <w:szCs w:val="24"/>
        </w:rPr>
        <w:t xml:space="preserve"> Science, Faculty of Health Sciences, University of Malta, </w:t>
      </w:r>
      <w:proofErr w:type="spellStart"/>
      <w:r w:rsidR="00D177EE" w:rsidRPr="00757919">
        <w:rPr>
          <w:rFonts w:ascii="Times New Roman" w:hAnsi="Times New Roman" w:cs="Times New Roman"/>
          <w:sz w:val="24"/>
          <w:szCs w:val="24"/>
        </w:rPr>
        <w:t>Msida</w:t>
      </w:r>
      <w:proofErr w:type="spellEnd"/>
      <w:r w:rsidR="00D177EE" w:rsidRPr="00757919">
        <w:rPr>
          <w:rFonts w:ascii="Times New Roman" w:hAnsi="Times New Roman" w:cs="Times New Roman"/>
          <w:sz w:val="24"/>
          <w:szCs w:val="24"/>
        </w:rPr>
        <w:t xml:space="preserve"> MSD 2080, Malta,</w:t>
      </w:r>
      <w:r w:rsidR="00FE1971">
        <w:rPr>
          <w:rFonts w:ascii="Times New Roman" w:hAnsi="Times New Roman" w:cs="Times New Roman"/>
          <w:sz w:val="24"/>
          <w:szCs w:val="24"/>
        </w:rPr>
        <w:t xml:space="preserve"> </w:t>
      </w:r>
      <w:r w:rsidR="00FE1971">
        <w:rPr>
          <w:rFonts w:ascii="Times New Roman" w:hAnsi="Times New Roman" w:cs="Times New Roman"/>
          <w:sz w:val="24"/>
          <w:szCs w:val="24"/>
          <w:vertAlign w:val="superscript"/>
        </w:rPr>
        <w:t>f</w:t>
      </w:r>
      <w:r w:rsidR="00FE1971">
        <w:rPr>
          <w:rFonts w:ascii="Times New Roman" w:hAnsi="Times New Roman"/>
          <w:sz w:val="24"/>
          <w:szCs w:val="24"/>
          <w:lang w:val="en-GB"/>
        </w:rPr>
        <w:t>Centre for Molecular Medicine and Biobanking,</w:t>
      </w:r>
      <w:r w:rsidR="002628B7" w:rsidRPr="00757919">
        <w:rPr>
          <w:rFonts w:ascii="Times New Roman" w:hAnsi="Times New Roman" w:cs="Times New Roman"/>
          <w:sz w:val="24"/>
          <w:szCs w:val="24"/>
        </w:rPr>
        <w:t xml:space="preserve"> </w:t>
      </w:r>
      <w:r w:rsidR="00FE1971">
        <w:rPr>
          <w:rFonts w:ascii="Times New Roman" w:hAnsi="Times New Roman" w:cs="Times New Roman"/>
          <w:sz w:val="24"/>
          <w:szCs w:val="24"/>
          <w:vertAlign w:val="superscript"/>
        </w:rPr>
        <w:t>g</w:t>
      </w:r>
      <w:r w:rsidR="00315EE1" w:rsidRPr="00BB087C">
        <w:rPr>
          <w:rFonts w:ascii="Times New Roman" w:hAnsi="Times New Roman"/>
          <w:sz w:val="24"/>
          <w:szCs w:val="24"/>
          <w:lang w:val="en-GB"/>
        </w:rPr>
        <w:t xml:space="preserve">Department </w:t>
      </w:r>
      <w:r w:rsidR="008007F4" w:rsidRPr="00BB087C">
        <w:rPr>
          <w:rFonts w:ascii="Times New Roman" w:hAnsi="Times New Roman"/>
          <w:sz w:val="24"/>
          <w:szCs w:val="24"/>
          <w:lang w:val="en-GB"/>
        </w:rPr>
        <w:t xml:space="preserve">of Internal Medicine, Geriatrics, Amsterdam Public Health Research Institute, Amsterdam University Medical </w:t>
      </w:r>
      <w:proofErr w:type="spellStart"/>
      <w:r w:rsidR="008007F4" w:rsidRPr="00BB087C">
        <w:rPr>
          <w:rFonts w:ascii="Times New Roman" w:hAnsi="Times New Roman"/>
          <w:sz w:val="24"/>
          <w:szCs w:val="24"/>
          <w:lang w:val="en-GB"/>
        </w:rPr>
        <w:t>Cen</w:t>
      </w:r>
      <w:r w:rsidR="008007F4">
        <w:rPr>
          <w:rFonts w:ascii="Times New Roman" w:hAnsi="Times New Roman"/>
          <w:sz w:val="24"/>
          <w:szCs w:val="24"/>
          <w:lang w:val="en-GB"/>
        </w:rPr>
        <w:t>ter</w:t>
      </w:r>
      <w:proofErr w:type="spellEnd"/>
      <w:r w:rsidR="008007F4">
        <w:rPr>
          <w:rFonts w:ascii="Times New Roman" w:hAnsi="Times New Roman"/>
          <w:sz w:val="24"/>
          <w:szCs w:val="24"/>
          <w:lang w:val="en-GB"/>
        </w:rPr>
        <w:t>, Amsterdam, The Netherlands,</w:t>
      </w:r>
      <w:r w:rsidR="003D7A93" w:rsidRPr="00757919">
        <w:rPr>
          <w:rFonts w:ascii="Times New Roman" w:hAnsi="Times New Roman" w:cs="Times New Roman"/>
          <w:sz w:val="24"/>
          <w:szCs w:val="24"/>
        </w:rPr>
        <w:t xml:space="preserve"> </w:t>
      </w:r>
      <w:proofErr w:type="spellStart"/>
      <w:r w:rsidR="00FE1971">
        <w:rPr>
          <w:rFonts w:ascii="Times New Roman" w:hAnsi="Times New Roman" w:cs="Times New Roman"/>
          <w:sz w:val="24"/>
          <w:szCs w:val="24"/>
          <w:vertAlign w:val="superscript"/>
        </w:rPr>
        <w:t>h</w:t>
      </w:r>
      <w:r w:rsidR="00315EE1" w:rsidRPr="00757919">
        <w:rPr>
          <w:rFonts w:ascii="Times New Roman" w:hAnsi="Times New Roman" w:cs="Times New Roman"/>
          <w:sz w:val="24"/>
          <w:szCs w:val="24"/>
        </w:rPr>
        <w:t>MRC</w:t>
      </w:r>
      <w:proofErr w:type="spellEnd"/>
      <w:r w:rsidR="00315EE1" w:rsidRPr="00757919">
        <w:rPr>
          <w:rFonts w:ascii="Times New Roman" w:hAnsi="Times New Roman" w:cs="Times New Roman"/>
          <w:sz w:val="24"/>
          <w:szCs w:val="24"/>
        </w:rPr>
        <w:t xml:space="preserve"> </w:t>
      </w:r>
      <w:r w:rsidR="00766788" w:rsidRPr="00757919">
        <w:rPr>
          <w:rFonts w:ascii="Times New Roman" w:hAnsi="Times New Roman" w:cs="Times New Roman"/>
          <w:sz w:val="24"/>
          <w:szCs w:val="24"/>
        </w:rPr>
        <w:t xml:space="preserve">Lifecourse Epidemiology Unit, </w:t>
      </w:r>
      <w:r w:rsidR="000D7DF4">
        <w:rPr>
          <w:rFonts w:ascii="Times New Roman" w:hAnsi="Times New Roman" w:cs="Times New Roman"/>
          <w:sz w:val="24"/>
          <w:szCs w:val="24"/>
        </w:rPr>
        <w:t>University of Southampton</w:t>
      </w:r>
      <w:r w:rsidR="00766788" w:rsidRPr="00757919">
        <w:rPr>
          <w:rFonts w:ascii="Times New Roman" w:hAnsi="Times New Roman" w:cs="Times New Roman"/>
          <w:sz w:val="24"/>
          <w:szCs w:val="24"/>
        </w:rPr>
        <w:t xml:space="preserve">, Southampton, UK, </w:t>
      </w:r>
      <w:proofErr w:type="spellStart"/>
      <w:r w:rsidR="00FE1971">
        <w:rPr>
          <w:rFonts w:ascii="Times New Roman" w:hAnsi="Times New Roman" w:cs="Times New Roman"/>
          <w:sz w:val="24"/>
          <w:szCs w:val="24"/>
          <w:vertAlign w:val="superscript"/>
        </w:rPr>
        <w:t>i</w:t>
      </w:r>
      <w:r w:rsidR="00315EE1" w:rsidRPr="00E3764D">
        <w:rPr>
          <w:rFonts w:ascii="Times New Roman" w:hAnsi="Times New Roman" w:cs="Times New Roman"/>
          <w:sz w:val="24"/>
          <w:szCs w:val="24"/>
        </w:rPr>
        <w:t>NIHR</w:t>
      </w:r>
      <w:proofErr w:type="spellEnd"/>
      <w:r w:rsidR="00315EE1" w:rsidRPr="00E3764D">
        <w:rPr>
          <w:rFonts w:ascii="Times New Roman" w:hAnsi="Times New Roman" w:cs="Times New Roman"/>
          <w:sz w:val="24"/>
          <w:szCs w:val="24"/>
        </w:rPr>
        <w:t xml:space="preserve"> </w:t>
      </w:r>
      <w:r w:rsidR="00E3764D" w:rsidRPr="00E3764D">
        <w:rPr>
          <w:rFonts w:ascii="Times New Roman" w:hAnsi="Times New Roman" w:cs="Times New Roman"/>
          <w:sz w:val="24"/>
          <w:szCs w:val="24"/>
        </w:rPr>
        <w:t>Southampton Biomedical Research Centre, University of Southampton and University Hospital Southampton NHS Foundation Trust, Southampton, UK</w:t>
      </w:r>
      <w:r w:rsidR="00E3764D">
        <w:rPr>
          <w:rFonts w:ascii="Times New Roman" w:hAnsi="Times New Roman" w:cs="Times New Roman"/>
          <w:sz w:val="24"/>
          <w:szCs w:val="24"/>
        </w:rPr>
        <w:t xml:space="preserve">, </w:t>
      </w:r>
      <w:proofErr w:type="spellStart"/>
      <w:r w:rsidR="00FE1971">
        <w:rPr>
          <w:rFonts w:ascii="Times New Roman" w:hAnsi="Times New Roman" w:cs="Times New Roman"/>
          <w:sz w:val="24"/>
          <w:szCs w:val="24"/>
          <w:vertAlign w:val="superscript"/>
        </w:rPr>
        <w:t>j</w:t>
      </w:r>
      <w:r w:rsidR="00315EE1" w:rsidRPr="00E3764D">
        <w:rPr>
          <w:rFonts w:ascii="Times New Roman" w:hAnsi="Times New Roman" w:cs="Times New Roman"/>
          <w:sz w:val="24"/>
          <w:szCs w:val="24"/>
        </w:rPr>
        <w:t>NIHR</w:t>
      </w:r>
      <w:proofErr w:type="spellEnd"/>
      <w:r w:rsidR="00315EE1" w:rsidRPr="00E3764D">
        <w:rPr>
          <w:rFonts w:ascii="Times New Roman" w:hAnsi="Times New Roman" w:cs="Times New Roman"/>
          <w:sz w:val="24"/>
          <w:szCs w:val="24"/>
        </w:rPr>
        <w:t xml:space="preserve"> </w:t>
      </w:r>
      <w:r w:rsidR="00E3764D" w:rsidRPr="00E3764D">
        <w:rPr>
          <w:rFonts w:ascii="Times New Roman" w:hAnsi="Times New Roman" w:cs="Times New Roman"/>
          <w:sz w:val="24"/>
          <w:szCs w:val="24"/>
        </w:rPr>
        <w:t>Oxford Biomedical Research Centre, University of Oxford, Oxford, UK</w:t>
      </w:r>
      <w:r w:rsidR="00E3764D">
        <w:rPr>
          <w:rFonts w:ascii="Times New Roman" w:hAnsi="Times New Roman" w:cs="Times New Roman"/>
          <w:sz w:val="24"/>
          <w:szCs w:val="24"/>
        </w:rPr>
        <w:t xml:space="preserve">, </w:t>
      </w:r>
      <w:proofErr w:type="spellStart"/>
      <w:r w:rsidR="00FE1971">
        <w:rPr>
          <w:rFonts w:ascii="Times New Roman" w:hAnsi="Times New Roman" w:cs="Times New Roman"/>
          <w:sz w:val="24"/>
          <w:szCs w:val="24"/>
          <w:vertAlign w:val="superscript"/>
        </w:rPr>
        <w:t>k</w:t>
      </w:r>
      <w:r w:rsidR="00315EE1" w:rsidRPr="005F0918">
        <w:rPr>
          <w:rFonts w:ascii="Times New Roman" w:hAnsi="Times New Roman" w:cs="Times New Roman"/>
          <w:sz w:val="24"/>
          <w:szCs w:val="24"/>
        </w:rPr>
        <w:t>Victoria</w:t>
      </w:r>
      <w:proofErr w:type="spellEnd"/>
      <w:r w:rsidR="00315EE1" w:rsidRPr="005F0918">
        <w:rPr>
          <w:rFonts w:ascii="Times New Roman" w:hAnsi="Times New Roman" w:cs="Times New Roman"/>
          <w:sz w:val="24"/>
          <w:szCs w:val="24"/>
        </w:rPr>
        <w:t xml:space="preserve"> </w:t>
      </w:r>
      <w:r w:rsidR="005F0918" w:rsidRPr="005F0918">
        <w:rPr>
          <w:rFonts w:ascii="Times New Roman" w:hAnsi="Times New Roman" w:cs="Times New Roman"/>
          <w:sz w:val="24"/>
          <w:szCs w:val="24"/>
        </w:rPr>
        <w:t>University of Wellington, Wellington, New Zealand</w:t>
      </w:r>
      <w:r w:rsidR="00E3764D">
        <w:rPr>
          <w:rFonts w:ascii="Times New Roman" w:hAnsi="Times New Roman" w:cs="Times New Roman"/>
          <w:sz w:val="24"/>
          <w:szCs w:val="24"/>
        </w:rPr>
        <w:t>,</w:t>
      </w:r>
      <w:r w:rsidR="000D7DF4">
        <w:rPr>
          <w:rFonts w:ascii="Times New Roman" w:hAnsi="Times New Roman" w:cs="Times New Roman"/>
          <w:sz w:val="24"/>
          <w:szCs w:val="24"/>
        </w:rPr>
        <w:t xml:space="preserve"> </w:t>
      </w:r>
      <w:proofErr w:type="spellStart"/>
      <w:r w:rsidR="00FE1971">
        <w:rPr>
          <w:rFonts w:ascii="Times New Roman" w:hAnsi="Times New Roman" w:cs="Times New Roman"/>
          <w:sz w:val="24"/>
          <w:szCs w:val="24"/>
          <w:vertAlign w:val="superscript"/>
        </w:rPr>
        <w:t>l</w:t>
      </w:r>
      <w:r w:rsidR="00315EE1" w:rsidRPr="00757919">
        <w:rPr>
          <w:rFonts w:ascii="Times New Roman" w:hAnsi="Times New Roman" w:cs="Times New Roman"/>
          <w:sz w:val="24"/>
          <w:szCs w:val="24"/>
        </w:rPr>
        <w:t>Department</w:t>
      </w:r>
      <w:proofErr w:type="spellEnd"/>
      <w:r w:rsidR="00315EE1" w:rsidRPr="00757919">
        <w:rPr>
          <w:rFonts w:ascii="Times New Roman" w:hAnsi="Times New Roman" w:cs="Times New Roman"/>
          <w:sz w:val="24"/>
          <w:szCs w:val="24"/>
        </w:rPr>
        <w:t xml:space="preserve"> </w:t>
      </w:r>
      <w:r w:rsidR="002722E0" w:rsidRPr="00757919">
        <w:rPr>
          <w:rFonts w:ascii="Times New Roman" w:hAnsi="Times New Roman" w:cs="Times New Roman"/>
          <w:sz w:val="24"/>
          <w:szCs w:val="24"/>
        </w:rPr>
        <w:t xml:space="preserve">of Medicine, Beth Israel Deaconess Medical Center, Harvard Medical School, Boston, MA, USA. </w:t>
      </w:r>
      <w:proofErr w:type="spellStart"/>
      <w:r w:rsidR="00FE1971">
        <w:rPr>
          <w:rFonts w:ascii="Times New Roman" w:hAnsi="Times New Roman" w:cs="Times New Roman"/>
          <w:sz w:val="24"/>
          <w:szCs w:val="24"/>
          <w:vertAlign w:val="superscript"/>
        </w:rPr>
        <w:t>m</w:t>
      </w:r>
      <w:r w:rsidR="00315EE1" w:rsidRPr="00757919">
        <w:rPr>
          <w:rFonts w:ascii="Times New Roman" w:hAnsi="Times New Roman" w:cs="Times New Roman"/>
          <w:sz w:val="24"/>
          <w:szCs w:val="24"/>
        </w:rPr>
        <w:t>Hinda</w:t>
      </w:r>
      <w:proofErr w:type="spellEnd"/>
      <w:r w:rsidR="00315EE1" w:rsidRPr="00757919">
        <w:rPr>
          <w:rFonts w:ascii="Times New Roman" w:hAnsi="Times New Roman" w:cs="Times New Roman"/>
          <w:sz w:val="24"/>
          <w:szCs w:val="24"/>
        </w:rPr>
        <w:t xml:space="preserve"> </w:t>
      </w:r>
      <w:r w:rsidR="002722E0" w:rsidRPr="00757919">
        <w:rPr>
          <w:rFonts w:ascii="Times New Roman" w:hAnsi="Times New Roman" w:cs="Times New Roman"/>
          <w:sz w:val="24"/>
          <w:szCs w:val="24"/>
        </w:rPr>
        <w:t xml:space="preserve">and Arthur Marcus Institute for Aging Research Hebrew </w:t>
      </w:r>
      <w:proofErr w:type="spellStart"/>
      <w:r w:rsidR="002722E0" w:rsidRPr="00757919">
        <w:rPr>
          <w:rFonts w:ascii="Times New Roman" w:hAnsi="Times New Roman" w:cs="Times New Roman"/>
          <w:sz w:val="24"/>
          <w:szCs w:val="24"/>
        </w:rPr>
        <w:t>SeniorLife</w:t>
      </w:r>
      <w:proofErr w:type="spellEnd"/>
      <w:r w:rsidR="002722E0" w:rsidRPr="00757919">
        <w:rPr>
          <w:rFonts w:ascii="Times New Roman" w:hAnsi="Times New Roman" w:cs="Times New Roman"/>
          <w:sz w:val="24"/>
          <w:szCs w:val="24"/>
        </w:rPr>
        <w:t xml:space="preserve">, Boston, MA, USA, </w:t>
      </w:r>
      <w:proofErr w:type="spellStart"/>
      <w:r w:rsidR="00FE1971">
        <w:rPr>
          <w:rFonts w:ascii="Times New Roman" w:hAnsi="Times New Roman" w:cs="Times New Roman"/>
          <w:sz w:val="24"/>
          <w:szCs w:val="24"/>
          <w:vertAlign w:val="superscript"/>
        </w:rPr>
        <w:t>n</w:t>
      </w:r>
      <w:r w:rsidR="00315EE1" w:rsidRPr="00757919">
        <w:rPr>
          <w:rFonts w:ascii="Times New Roman" w:hAnsi="Times New Roman" w:cs="Times New Roman"/>
          <w:sz w:val="24"/>
          <w:szCs w:val="24"/>
        </w:rPr>
        <w:t>Center</w:t>
      </w:r>
      <w:proofErr w:type="spellEnd"/>
      <w:r w:rsidR="00315EE1" w:rsidRPr="00757919">
        <w:rPr>
          <w:rFonts w:ascii="Times New Roman" w:hAnsi="Times New Roman" w:cs="Times New Roman"/>
          <w:sz w:val="24"/>
          <w:szCs w:val="24"/>
        </w:rPr>
        <w:t xml:space="preserve"> </w:t>
      </w:r>
      <w:r w:rsidR="002722E0" w:rsidRPr="00757919">
        <w:rPr>
          <w:rFonts w:ascii="Times New Roman" w:hAnsi="Times New Roman" w:cs="Times New Roman"/>
          <w:sz w:val="24"/>
          <w:szCs w:val="24"/>
        </w:rPr>
        <w:t>for Molecular Medicine, Maine Medical Center Research Institute, Maine Medical Center, Scarborough, ME, USA</w:t>
      </w:r>
      <w:r w:rsidR="002722E0" w:rsidRPr="00757919">
        <w:rPr>
          <w:rFonts w:ascii="Times New Roman" w:hAnsi="Times New Roman" w:cs="Times New Roman"/>
          <w:color w:val="000000"/>
          <w:sz w:val="24"/>
          <w:szCs w:val="24"/>
          <w:shd w:val="clear" w:color="auto" w:fill="FFFFFF"/>
        </w:rPr>
        <w:t>.</w:t>
      </w:r>
    </w:p>
    <w:p w14:paraId="580246C0" w14:textId="6E8B7242" w:rsidR="00226728" w:rsidRPr="00757919" w:rsidRDefault="00226728" w:rsidP="00864F3F">
      <w:pPr>
        <w:spacing w:line="480" w:lineRule="auto"/>
        <w:rPr>
          <w:rFonts w:ascii="Times New Roman" w:hAnsi="Times New Roman" w:cs="Times New Roman"/>
          <w:bCs/>
          <w:sz w:val="24"/>
          <w:szCs w:val="24"/>
        </w:rPr>
      </w:pPr>
      <w:r w:rsidRPr="00757919">
        <w:rPr>
          <w:rFonts w:ascii="Times New Roman" w:hAnsi="Times New Roman" w:cs="Times New Roman"/>
          <w:bCs/>
          <w:sz w:val="24"/>
          <w:szCs w:val="24"/>
        </w:rPr>
        <w:lastRenderedPageBreak/>
        <w:t xml:space="preserve">Page Heading: Pharmacogenomic effects of </w:t>
      </w:r>
      <w:r w:rsidR="00A84F33">
        <w:rPr>
          <w:rFonts w:ascii="Times New Roman" w:hAnsi="Times New Roman" w:cs="Times New Roman"/>
          <w:bCs/>
          <w:sz w:val="24"/>
          <w:szCs w:val="24"/>
        </w:rPr>
        <w:t>β</w:t>
      </w:r>
      <w:r w:rsidRPr="00757919">
        <w:rPr>
          <w:rFonts w:ascii="Times New Roman" w:hAnsi="Times New Roman" w:cs="Times New Roman"/>
          <w:bCs/>
          <w:sz w:val="24"/>
          <w:szCs w:val="24"/>
        </w:rPr>
        <w:t>-blocker use on bone</w:t>
      </w:r>
    </w:p>
    <w:p w14:paraId="112962D8" w14:textId="2ED89DF0" w:rsidR="00226728" w:rsidRPr="00757919" w:rsidRDefault="00226728" w:rsidP="00864F3F">
      <w:pPr>
        <w:spacing w:line="480" w:lineRule="auto"/>
        <w:rPr>
          <w:rFonts w:ascii="Times New Roman" w:hAnsi="Times New Roman" w:cs="Times New Roman"/>
          <w:bCs/>
          <w:sz w:val="24"/>
          <w:szCs w:val="24"/>
        </w:rPr>
      </w:pPr>
      <w:r w:rsidRPr="000B5D6C">
        <w:rPr>
          <w:rFonts w:ascii="Times New Roman" w:hAnsi="Times New Roman" w:cs="Times New Roman"/>
          <w:b/>
          <w:bCs/>
          <w:sz w:val="24"/>
          <w:szCs w:val="24"/>
        </w:rPr>
        <w:t>Keywords</w:t>
      </w:r>
      <w:r w:rsidRPr="00757919">
        <w:rPr>
          <w:rFonts w:ascii="Times New Roman" w:hAnsi="Times New Roman" w:cs="Times New Roman"/>
          <w:bCs/>
          <w:sz w:val="24"/>
          <w:szCs w:val="24"/>
        </w:rPr>
        <w:t xml:space="preserve">: </w:t>
      </w:r>
      <w:r w:rsidR="00CA5373">
        <w:rPr>
          <w:rFonts w:ascii="Times New Roman" w:hAnsi="Times New Roman" w:cs="Times New Roman"/>
          <w:bCs/>
          <w:sz w:val="24"/>
          <w:szCs w:val="24"/>
        </w:rPr>
        <w:t>β</w:t>
      </w:r>
      <w:r w:rsidRPr="00757919">
        <w:rPr>
          <w:rFonts w:ascii="Times New Roman" w:hAnsi="Times New Roman" w:cs="Times New Roman"/>
          <w:bCs/>
          <w:sz w:val="24"/>
          <w:szCs w:val="24"/>
        </w:rPr>
        <w:t xml:space="preserve">-blocker, </w:t>
      </w:r>
      <w:r w:rsidR="00705433">
        <w:rPr>
          <w:rFonts w:ascii="Times New Roman" w:hAnsi="Times New Roman" w:cs="Times New Roman"/>
          <w:bCs/>
          <w:sz w:val="24"/>
          <w:szCs w:val="24"/>
        </w:rPr>
        <w:t xml:space="preserve">beta blocker, </w:t>
      </w:r>
      <w:r w:rsidRPr="00757919">
        <w:rPr>
          <w:rFonts w:ascii="Times New Roman" w:hAnsi="Times New Roman" w:cs="Times New Roman"/>
          <w:bCs/>
          <w:sz w:val="24"/>
          <w:szCs w:val="24"/>
        </w:rPr>
        <w:t>bone, pharmacogenomics, miRNA, genomics</w:t>
      </w:r>
    </w:p>
    <w:p w14:paraId="01372947" w14:textId="77777777" w:rsidR="002722E0" w:rsidRPr="00757919" w:rsidRDefault="00226728" w:rsidP="00864F3F">
      <w:pPr>
        <w:spacing w:after="0" w:line="480" w:lineRule="auto"/>
        <w:rPr>
          <w:rFonts w:ascii="Times New Roman" w:hAnsi="Times New Roman" w:cs="Times New Roman"/>
          <w:bCs/>
          <w:sz w:val="24"/>
          <w:szCs w:val="24"/>
        </w:rPr>
      </w:pPr>
      <w:r w:rsidRPr="00757919">
        <w:rPr>
          <w:rFonts w:ascii="Times New Roman" w:hAnsi="Times New Roman" w:cs="Times New Roman"/>
          <w:bCs/>
          <w:sz w:val="24"/>
          <w:szCs w:val="24"/>
        </w:rPr>
        <w:t>Corresponding Author</w:t>
      </w:r>
      <w:r w:rsidR="002722E0" w:rsidRPr="00757919">
        <w:rPr>
          <w:rFonts w:ascii="Times New Roman" w:hAnsi="Times New Roman" w:cs="Times New Roman"/>
          <w:bCs/>
          <w:sz w:val="24"/>
          <w:szCs w:val="24"/>
        </w:rPr>
        <w:t xml:space="preserve">: </w:t>
      </w:r>
    </w:p>
    <w:p w14:paraId="7C5D2E17" w14:textId="626614C1" w:rsidR="002722E0" w:rsidRPr="00757919" w:rsidRDefault="002722E0" w:rsidP="00864F3F">
      <w:pPr>
        <w:spacing w:after="0" w:line="480" w:lineRule="auto"/>
        <w:rPr>
          <w:rFonts w:ascii="Times New Roman" w:hAnsi="Times New Roman" w:cs="Times New Roman"/>
          <w:color w:val="000000"/>
          <w:sz w:val="24"/>
          <w:szCs w:val="24"/>
          <w:shd w:val="clear" w:color="auto" w:fill="FFFFFF"/>
        </w:rPr>
      </w:pPr>
      <w:r w:rsidRPr="00757919">
        <w:rPr>
          <w:rFonts w:ascii="Times New Roman" w:hAnsi="Times New Roman" w:cs="Times New Roman"/>
          <w:color w:val="000000"/>
          <w:sz w:val="24"/>
          <w:szCs w:val="24"/>
          <w:shd w:val="clear" w:color="auto" w:fill="FFFFFF"/>
        </w:rPr>
        <w:t xml:space="preserve">Christine W. </w:t>
      </w:r>
      <w:proofErr w:type="spellStart"/>
      <w:r w:rsidRPr="00757919">
        <w:rPr>
          <w:rFonts w:ascii="Times New Roman" w:hAnsi="Times New Roman" w:cs="Times New Roman"/>
          <w:color w:val="000000"/>
          <w:sz w:val="24"/>
          <w:szCs w:val="24"/>
          <w:shd w:val="clear" w:color="auto" w:fill="FFFFFF"/>
        </w:rPr>
        <w:t>Lary</w:t>
      </w:r>
      <w:proofErr w:type="spellEnd"/>
    </w:p>
    <w:p w14:paraId="1DBE106F" w14:textId="77777777" w:rsidR="002722E0" w:rsidRPr="00757919" w:rsidRDefault="002722E0" w:rsidP="00864F3F">
      <w:pPr>
        <w:spacing w:after="0" w:line="480" w:lineRule="auto"/>
        <w:rPr>
          <w:rFonts w:ascii="Times New Roman" w:hAnsi="Times New Roman" w:cs="Times New Roman"/>
          <w:color w:val="000000"/>
          <w:sz w:val="24"/>
          <w:szCs w:val="24"/>
          <w:shd w:val="clear" w:color="auto" w:fill="FFFFFF"/>
        </w:rPr>
      </w:pPr>
      <w:r w:rsidRPr="00757919">
        <w:rPr>
          <w:rFonts w:ascii="Times New Roman" w:hAnsi="Times New Roman" w:cs="Times New Roman"/>
          <w:color w:val="000000"/>
          <w:sz w:val="24"/>
          <w:szCs w:val="24"/>
          <w:shd w:val="clear" w:color="auto" w:fill="FFFFFF"/>
        </w:rPr>
        <w:t>Center for Outcomes Research and Evaluation</w:t>
      </w:r>
    </w:p>
    <w:p w14:paraId="1F893157" w14:textId="77777777" w:rsidR="002722E0" w:rsidRPr="00757919" w:rsidRDefault="002722E0" w:rsidP="00864F3F">
      <w:pPr>
        <w:spacing w:after="0" w:line="480" w:lineRule="auto"/>
        <w:rPr>
          <w:rFonts w:ascii="Times New Roman" w:hAnsi="Times New Roman" w:cs="Times New Roman"/>
          <w:color w:val="000000"/>
          <w:sz w:val="24"/>
          <w:szCs w:val="24"/>
          <w:shd w:val="clear" w:color="auto" w:fill="FFFFFF"/>
        </w:rPr>
      </w:pPr>
      <w:r w:rsidRPr="00757919">
        <w:rPr>
          <w:rFonts w:ascii="Times New Roman" w:hAnsi="Times New Roman" w:cs="Times New Roman"/>
          <w:color w:val="000000"/>
          <w:sz w:val="24"/>
          <w:szCs w:val="24"/>
          <w:shd w:val="clear" w:color="auto" w:fill="FFFFFF"/>
        </w:rPr>
        <w:t>509 Forest Ave. Suite 200</w:t>
      </w:r>
    </w:p>
    <w:p w14:paraId="6D36A73A" w14:textId="77777777" w:rsidR="002722E0" w:rsidRPr="00757919" w:rsidRDefault="002722E0" w:rsidP="00864F3F">
      <w:pPr>
        <w:spacing w:after="0" w:line="480" w:lineRule="auto"/>
        <w:rPr>
          <w:rFonts w:ascii="Times New Roman" w:hAnsi="Times New Roman" w:cs="Times New Roman"/>
          <w:color w:val="000000"/>
          <w:sz w:val="24"/>
          <w:szCs w:val="24"/>
          <w:shd w:val="clear" w:color="auto" w:fill="FFFFFF"/>
        </w:rPr>
      </w:pPr>
      <w:r w:rsidRPr="00757919">
        <w:rPr>
          <w:rFonts w:ascii="Times New Roman" w:hAnsi="Times New Roman" w:cs="Times New Roman"/>
          <w:color w:val="000000"/>
          <w:sz w:val="24"/>
          <w:szCs w:val="24"/>
          <w:shd w:val="clear" w:color="auto" w:fill="FFFFFF"/>
        </w:rPr>
        <w:t>Portland, ME 04101</w:t>
      </w:r>
    </w:p>
    <w:p w14:paraId="64BA46FE" w14:textId="77777777" w:rsidR="002722E0" w:rsidRPr="00757919" w:rsidRDefault="002722E0" w:rsidP="00864F3F">
      <w:pPr>
        <w:spacing w:after="0" w:line="480" w:lineRule="auto"/>
        <w:rPr>
          <w:rFonts w:ascii="Times New Roman" w:hAnsi="Times New Roman" w:cs="Times New Roman"/>
          <w:color w:val="000000"/>
          <w:sz w:val="24"/>
          <w:szCs w:val="24"/>
          <w:shd w:val="clear" w:color="auto" w:fill="FFFFFF"/>
        </w:rPr>
      </w:pPr>
      <w:r w:rsidRPr="00757919">
        <w:rPr>
          <w:rFonts w:ascii="Times New Roman" w:hAnsi="Times New Roman" w:cs="Times New Roman"/>
          <w:color w:val="000000"/>
          <w:sz w:val="24"/>
          <w:szCs w:val="24"/>
          <w:shd w:val="clear" w:color="auto" w:fill="FFFFFF"/>
        </w:rPr>
        <w:t>207-661-7657</w:t>
      </w:r>
    </w:p>
    <w:p w14:paraId="24EE4F54" w14:textId="59425FE7" w:rsidR="00226728" w:rsidRPr="00757919" w:rsidRDefault="00920112" w:rsidP="00864F3F">
      <w:pPr>
        <w:spacing w:line="480" w:lineRule="auto"/>
        <w:rPr>
          <w:rFonts w:ascii="Times New Roman" w:hAnsi="Times New Roman" w:cs="Times New Roman"/>
          <w:bCs/>
          <w:sz w:val="24"/>
          <w:szCs w:val="24"/>
        </w:rPr>
      </w:pPr>
      <w:hyperlink r:id="rId8" w:history="1">
        <w:r w:rsidR="002722E0" w:rsidRPr="00757919">
          <w:rPr>
            <w:rStyle w:val="Hyperlink"/>
            <w:rFonts w:ascii="Times New Roman" w:hAnsi="Times New Roman" w:cs="Times New Roman"/>
            <w:sz w:val="24"/>
            <w:szCs w:val="24"/>
            <w:shd w:val="clear" w:color="auto" w:fill="FFFFFF"/>
          </w:rPr>
          <w:t>clary@mmc.org</w:t>
        </w:r>
      </w:hyperlink>
    </w:p>
    <w:p w14:paraId="0B855A73" w14:textId="77777777" w:rsidR="00CA5373" w:rsidRPr="00CA5373" w:rsidRDefault="00226728" w:rsidP="00CA5373">
      <w:pPr>
        <w:spacing w:line="480" w:lineRule="auto"/>
        <w:rPr>
          <w:rFonts w:ascii="Times New Roman" w:hAnsi="Times New Roman" w:cs="Times New Roman"/>
          <w:sz w:val="24"/>
          <w:szCs w:val="24"/>
        </w:rPr>
      </w:pPr>
      <w:r w:rsidRPr="00757919">
        <w:rPr>
          <w:rFonts w:ascii="Times New Roman" w:hAnsi="Times New Roman" w:cs="Times New Roman"/>
          <w:bCs/>
          <w:sz w:val="24"/>
          <w:szCs w:val="24"/>
        </w:rPr>
        <w:t>Grants and Fellowships:</w:t>
      </w:r>
      <w:r w:rsidR="002722E0" w:rsidRPr="00757919">
        <w:rPr>
          <w:rFonts w:ascii="Times New Roman" w:hAnsi="Times New Roman" w:cs="Times New Roman"/>
          <w:sz w:val="24"/>
          <w:szCs w:val="24"/>
        </w:rPr>
        <w:t xml:space="preserve"> This work was supported by the COBRE in Mesenchymal and Neural Regulation of Metabolic Networks (NIH/NIGMS P20GM121301 to Lucy </w:t>
      </w:r>
      <w:proofErr w:type="spellStart"/>
      <w:r w:rsidR="002722E0" w:rsidRPr="00757919">
        <w:rPr>
          <w:rFonts w:ascii="Times New Roman" w:hAnsi="Times New Roman" w:cs="Times New Roman"/>
          <w:sz w:val="24"/>
          <w:szCs w:val="24"/>
        </w:rPr>
        <w:t>Liaw</w:t>
      </w:r>
      <w:proofErr w:type="spellEnd"/>
      <w:r w:rsidR="002722E0" w:rsidRPr="00757919">
        <w:rPr>
          <w:rFonts w:ascii="Times New Roman" w:hAnsi="Times New Roman" w:cs="Times New Roman"/>
          <w:sz w:val="24"/>
          <w:szCs w:val="24"/>
        </w:rPr>
        <w:t xml:space="preserve">), NIH/NIAMS K01AR067858 to KJM, </w:t>
      </w:r>
      <w:r w:rsidR="002722E0" w:rsidRPr="00757919">
        <w:rPr>
          <w:rFonts w:ascii="Times New Roman" w:hAnsi="Times New Roman" w:cs="Times New Roman"/>
          <w:bCs/>
          <w:sz w:val="24"/>
          <w:szCs w:val="24"/>
        </w:rPr>
        <w:t>NIH/NIAMS R01 AR041398 to DPK, Framingham Contract Number (75N92019D00031)</w:t>
      </w:r>
      <w:r w:rsidR="00112351" w:rsidRPr="00757919">
        <w:rPr>
          <w:rFonts w:ascii="Times New Roman" w:hAnsi="Times New Roman" w:cs="Times New Roman"/>
          <w:bCs/>
          <w:sz w:val="24"/>
          <w:szCs w:val="24"/>
        </w:rPr>
        <w:t xml:space="preserve">. </w:t>
      </w:r>
      <w:r w:rsidR="004B00AC" w:rsidRPr="00757919">
        <w:rPr>
          <w:rFonts w:ascii="Times New Roman" w:hAnsi="Times New Roman" w:cs="Times New Roman"/>
          <w:color w:val="000000"/>
          <w:sz w:val="24"/>
          <w:szCs w:val="24"/>
          <w:lang w:val="en-GB"/>
        </w:rPr>
        <w:t xml:space="preserve">The MOFS was supported by the </w:t>
      </w:r>
      <w:r w:rsidR="004B00AC" w:rsidRPr="00757919">
        <w:rPr>
          <w:rFonts w:ascii="Times New Roman" w:hAnsi="Times New Roman" w:cs="Times New Roman"/>
          <w:sz w:val="24"/>
          <w:szCs w:val="24"/>
          <w:lang w:val="en-GB"/>
        </w:rPr>
        <w:t>Research and Innovation Development Trust (RIDT) of the University of Malta, The Malta Community Chest Fund, and</w:t>
      </w:r>
      <w:r w:rsidR="004B00AC" w:rsidRPr="00757919">
        <w:rPr>
          <w:rFonts w:ascii="Times New Roman" w:hAnsi="Times New Roman" w:cs="Times New Roman"/>
          <w:sz w:val="24"/>
          <w:szCs w:val="24"/>
        </w:rPr>
        <w:t xml:space="preserve"> the European Union Strategic Educational Pathways Scholarship scheme (STEPS).</w:t>
      </w:r>
      <w:r w:rsidR="00CA5373">
        <w:rPr>
          <w:rFonts w:ascii="Times New Roman" w:hAnsi="Times New Roman" w:cs="Times New Roman"/>
          <w:sz w:val="24"/>
          <w:szCs w:val="24"/>
        </w:rPr>
        <w:t xml:space="preserve"> </w:t>
      </w:r>
      <w:r w:rsidR="00CA5373" w:rsidRPr="00CA5373">
        <w:rPr>
          <w:rFonts w:ascii="Times New Roman" w:hAnsi="Times New Roman" w:cs="Times New Roman"/>
          <w:sz w:val="24"/>
          <w:szCs w:val="24"/>
        </w:rPr>
        <w:t>The Rotterdam Study was supported by the Erasmus MC University Medical Center and Erasmus University Rotterdam; The Netherlands Organization for Scientific Research (NWO); The Netherlands Organization for Health Research and Development (</w:t>
      </w:r>
      <w:proofErr w:type="spellStart"/>
      <w:r w:rsidR="00CA5373" w:rsidRPr="00CA5373">
        <w:rPr>
          <w:rFonts w:ascii="Times New Roman" w:hAnsi="Times New Roman" w:cs="Times New Roman"/>
          <w:sz w:val="24"/>
          <w:szCs w:val="24"/>
        </w:rPr>
        <w:t>ZonMw</w:t>
      </w:r>
      <w:proofErr w:type="spellEnd"/>
      <w:r w:rsidR="00CA5373" w:rsidRPr="00CA5373">
        <w:rPr>
          <w:rFonts w:ascii="Times New Roman" w:hAnsi="Times New Roman" w:cs="Times New Roman"/>
          <w:sz w:val="24"/>
          <w:szCs w:val="24"/>
        </w:rPr>
        <w:t>); the Research Institute for Diseases in the Elderly (RIDE); The Netherlands Genomics Initiative (NGI); the Ministry of Education, Culture and Science; the Ministry of Health, Welfare and Sports; the European Commission (DG XII); and the Municipality of Rotterdam. The BPROOF study is registered with the Netherlands Trial (NTR NTR1333) and with ClinicalTrials.gov (NCT00696514). This study was supported and funded by The Netherlands Organization for Health Research and Development (</w:t>
      </w:r>
      <w:proofErr w:type="spellStart"/>
      <w:r w:rsidR="00CA5373" w:rsidRPr="00CA5373">
        <w:rPr>
          <w:rFonts w:ascii="Times New Roman" w:hAnsi="Times New Roman" w:cs="Times New Roman"/>
          <w:sz w:val="24"/>
          <w:szCs w:val="24"/>
        </w:rPr>
        <w:t>ZonMw</w:t>
      </w:r>
      <w:proofErr w:type="spellEnd"/>
      <w:r w:rsidR="00CA5373" w:rsidRPr="00CA5373">
        <w:rPr>
          <w:rFonts w:ascii="Times New Roman" w:hAnsi="Times New Roman" w:cs="Times New Roman"/>
          <w:sz w:val="24"/>
          <w:szCs w:val="24"/>
        </w:rPr>
        <w:t xml:space="preserve">, Grant </w:t>
      </w:r>
      <w:r w:rsidR="00CA5373" w:rsidRPr="00CA5373">
        <w:rPr>
          <w:rFonts w:ascii="Times New Roman" w:hAnsi="Times New Roman" w:cs="Times New Roman"/>
          <w:sz w:val="24"/>
          <w:szCs w:val="24"/>
        </w:rPr>
        <w:lastRenderedPageBreak/>
        <w:t xml:space="preserve">6130.0031), the Hague; an unrestricted grant from NZO (Dutch Dairy Association), Zoetermeer; </w:t>
      </w:r>
      <w:proofErr w:type="spellStart"/>
      <w:r w:rsidR="00CA5373" w:rsidRPr="00CA5373">
        <w:rPr>
          <w:rFonts w:ascii="Times New Roman" w:hAnsi="Times New Roman" w:cs="Times New Roman"/>
          <w:sz w:val="24"/>
          <w:szCs w:val="24"/>
        </w:rPr>
        <w:t>Orthica</w:t>
      </w:r>
      <w:proofErr w:type="spellEnd"/>
      <w:r w:rsidR="00CA5373" w:rsidRPr="00CA5373">
        <w:rPr>
          <w:rFonts w:ascii="Times New Roman" w:hAnsi="Times New Roman" w:cs="Times New Roman"/>
          <w:sz w:val="24"/>
          <w:szCs w:val="24"/>
        </w:rPr>
        <w:t xml:space="preserve">, Almere; NCHA (Netherlands Consortium Healthy Ageing) Leiden/Rotterdam; Ministry of Economic Affairs, Agriculture and Innovation (project KB-15-004-003), The Hague; Wageningen University, Wageningen; </w:t>
      </w:r>
      <w:proofErr w:type="spellStart"/>
      <w:r w:rsidR="00CA5373" w:rsidRPr="00CA5373">
        <w:rPr>
          <w:rFonts w:ascii="Times New Roman" w:hAnsi="Times New Roman" w:cs="Times New Roman"/>
          <w:sz w:val="24"/>
          <w:szCs w:val="24"/>
        </w:rPr>
        <w:t>VUmc</w:t>
      </w:r>
      <w:proofErr w:type="spellEnd"/>
      <w:r w:rsidR="00CA5373" w:rsidRPr="00CA5373">
        <w:rPr>
          <w:rFonts w:ascii="Times New Roman" w:hAnsi="Times New Roman" w:cs="Times New Roman"/>
          <w:sz w:val="24"/>
          <w:szCs w:val="24"/>
        </w:rPr>
        <w:t>, Amsterdam; Erasmus Medical Center, Rotterdam. The Hertfordshire Cohort Study is supported by the Medical Research Council University Unit Partnership grant number MRC_MC_UP_A620_1014.</w:t>
      </w:r>
    </w:p>
    <w:p w14:paraId="301C0F5B" w14:textId="1235C19A" w:rsidR="002722E0" w:rsidRPr="00757919" w:rsidRDefault="00226728" w:rsidP="00864F3F">
      <w:pPr>
        <w:spacing w:line="480" w:lineRule="auto"/>
        <w:rPr>
          <w:rFonts w:ascii="Times New Roman" w:hAnsi="Times New Roman" w:cs="Times New Roman"/>
          <w:sz w:val="24"/>
          <w:szCs w:val="24"/>
        </w:rPr>
      </w:pPr>
      <w:r w:rsidRPr="00757919">
        <w:rPr>
          <w:rFonts w:ascii="Times New Roman" w:hAnsi="Times New Roman" w:cs="Times New Roman"/>
          <w:bCs/>
          <w:sz w:val="24"/>
          <w:szCs w:val="24"/>
        </w:rPr>
        <w:t>Disclosure:</w:t>
      </w:r>
      <w:r w:rsidR="002722E0" w:rsidRPr="00757919">
        <w:rPr>
          <w:rFonts w:ascii="Times New Roman" w:hAnsi="Times New Roman" w:cs="Times New Roman"/>
          <w:bCs/>
          <w:sz w:val="24"/>
          <w:szCs w:val="24"/>
        </w:rPr>
        <w:t xml:space="preserve"> </w:t>
      </w:r>
      <w:r w:rsidR="002722E0" w:rsidRPr="00757919">
        <w:rPr>
          <w:rFonts w:ascii="Times New Roman" w:hAnsi="Times New Roman" w:cs="Times New Roman"/>
          <w:sz w:val="24"/>
          <w:szCs w:val="24"/>
        </w:rPr>
        <w:t xml:space="preserve">DPK has received royalty payments from Wolters Kluwer for authoring a chapter in UpToDate on Falls and grant funding through a grant to his Institute by the Dairy Council, Amgen, and Radius Health. </w:t>
      </w:r>
      <w:r w:rsidR="000D7DF4" w:rsidRPr="000D7DF4">
        <w:rPr>
          <w:rFonts w:ascii="Times New Roman" w:hAnsi="Times New Roman" w:cs="Times New Roman"/>
          <w:sz w:val="24"/>
          <w:szCs w:val="24"/>
        </w:rPr>
        <w:t xml:space="preserve">Cyrus Cooper reports personal fees (outside the submitted work) from Amgen, Danone, Eli Lilly, GSK, Kyowa Kirin, Medtronic, Merck, Nestle, Novartis, Pfizer, Roche, </w:t>
      </w:r>
      <w:proofErr w:type="spellStart"/>
      <w:r w:rsidR="000D7DF4" w:rsidRPr="000D7DF4">
        <w:rPr>
          <w:rFonts w:ascii="Times New Roman" w:hAnsi="Times New Roman" w:cs="Times New Roman"/>
          <w:sz w:val="24"/>
          <w:szCs w:val="24"/>
        </w:rPr>
        <w:t>Servier</w:t>
      </w:r>
      <w:proofErr w:type="spellEnd"/>
      <w:r w:rsidR="000D7DF4" w:rsidRPr="000D7DF4">
        <w:rPr>
          <w:rFonts w:ascii="Times New Roman" w:hAnsi="Times New Roman" w:cs="Times New Roman"/>
          <w:sz w:val="24"/>
          <w:szCs w:val="24"/>
        </w:rPr>
        <w:t>, Shire, Takeda</w:t>
      </w:r>
      <w:r w:rsidR="00766BFF">
        <w:rPr>
          <w:rFonts w:ascii="Times New Roman" w:hAnsi="Times New Roman" w:cs="Times New Roman"/>
          <w:sz w:val="24"/>
          <w:szCs w:val="24"/>
        </w:rPr>
        <w:t>,</w:t>
      </w:r>
      <w:r w:rsidR="000D7DF4" w:rsidRPr="000D7DF4">
        <w:rPr>
          <w:rFonts w:ascii="Times New Roman" w:hAnsi="Times New Roman" w:cs="Times New Roman"/>
          <w:sz w:val="24"/>
          <w:szCs w:val="24"/>
        </w:rPr>
        <w:t xml:space="preserve"> and UCB. Elaine Dennison reports personal fees (outside the submitted work) from Pfizer Healthcare and the UCB Discussion panel.</w:t>
      </w:r>
      <w:r w:rsidR="000D7DF4">
        <w:rPr>
          <w:rFonts w:ascii="Times New Roman" w:hAnsi="Times New Roman" w:cs="Times New Roman"/>
          <w:sz w:val="24"/>
          <w:szCs w:val="24"/>
        </w:rPr>
        <w:t xml:space="preserve"> </w:t>
      </w:r>
      <w:r w:rsidR="002722E0" w:rsidRPr="00757919">
        <w:rPr>
          <w:rFonts w:ascii="Times New Roman" w:hAnsi="Times New Roman" w:cs="Times New Roman"/>
          <w:sz w:val="24"/>
          <w:szCs w:val="24"/>
        </w:rPr>
        <w:t>No other authors have disclosures to report.</w:t>
      </w:r>
    </w:p>
    <w:p w14:paraId="525BD87E" w14:textId="0099743B" w:rsidR="00721472" w:rsidRPr="002C561E" w:rsidRDefault="00721472" w:rsidP="00721472">
      <w:pPr>
        <w:spacing w:line="480" w:lineRule="auto"/>
      </w:pPr>
      <w:r>
        <w:rPr>
          <w:rFonts w:ascii="Times New Roman" w:hAnsi="Times New Roman" w:cs="Times New Roman"/>
          <w:sz w:val="24"/>
          <w:szCs w:val="24"/>
        </w:rPr>
        <w:t>Author Contributions:</w:t>
      </w:r>
      <w:r w:rsidRPr="00CF2453">
        <w:t xml:space="preserve"> </w:t>
      </w:r>
      <w:r>
        <w:t xml:space="preserve"> </w:t>
      </w:r>
      <w:r w:rsidRPr="00CF2453">
        <w:rPr>
          <w:rFonts w:ascii="Times New Roman" w:hAnsi="Times New Roman" w:cs="Times New Roman"/>
          <w:sz w:val="24"/>
          <w:szCs w:val="24"/>
        </w:rPr>
        <w:t xml:space="preserve">Kathleen T. </w:t>
      </w:r>
      <w:proofErr w:type="spellStart"/>
      <w:r w:rsidRPr="00CF2453">
        <w:rPr>
          <w:rFonts w:ascii="Times New Roman" w:hAnsi="Times New Roman" w:cs="Times New Roman"/>
          <w:sz w:val="24"/>
          <w:szCs w:val="24"/>
        </w:rPr>
        <w:t>Nevola</w:t>
      </w:r>
      <w:proofErr w:type="spellEnd"/>
      <w:r w:rsidRPr="00CF2453">
        <w:rPr>
          <w:rFonts w:ascii="Times New Roman" w:hAnsi="Times New Roman" w:cs="Times New Roman"/>
          <w:sz w:val="24"/>
          <w:szCs w:val="24"/>
        </w:rPr>
        <w:t xml:space="preserve"> performed data visualization, analytical design, analysis, drafting, interpretation, and critical review. Kathleen T. </w:t>
      </w:r>
      <w:proofErr w:type="spellStart"/>
      <w:r w:rsidRPr="00CF2453">
        <w:rPr>
          <w:rFonts w:ascii="Times New Roman" w:hAnsi="Times New Roman" w:cs="Times New Roman"/>
          <w:sz w:val="24"/>
          <w:szCs w:val="24"/>
        </w:rPr>
        <w:t>Nevola</w:t>
      </w:r>
      <w:proofErr w:type="spellEnd"/>
      <w:r w:rsidRPr="00CF2453">
        <w:rPr>
          <w:rFonts w:ascii="Times New Roman" w:hAnsi="Times New Roman" w:cs="Times New Roman"/>
          <w:sz w:val="24"/>
          <w:szCs w:val="24"/>
        </w:rPr>
        <w:t xml:space="preserve"> also created all figures and tables and wrote all code for the analysis of FHS data, MOFS data, and meta-analyses.</w:t>
      </w:r>
      <w:r>
        <w:rPr>
          <w:rFonts w:ascii="Times New Roman" w:hAnsi="Times New Roman" w:cs="Times New Roman"/>
          <w:sz w:val="24"/>
          <w:szCs w:val="24"/>
        </w:rPr>
        <w:t xml:space="preserve"> </w:t>
      </w:r>
      <w:r w:rsidR="00292686">
        <w:rPr>
          <w:rFonts w:ascii="Times New Roman" w:hAnsi="Times New Roman" w:cs="Times New Roman"/>
          <w:sz w:val="24"/>
          <w:szCs w:val="24"/>
        </w:rPr>
        <w:t xml:space="preserve">Archana </w:t>
      </w:r>
      <w:r w:rsidR="00292686">
        <w:rPr>
          <w:rFonts w:ascii="Times New Roman" w:hAnsi="Times New Roman" w:cs="Times New Roman"/>
          <w:bCs/>
          <w:sz w:val="24"/>
          <w:szCs w:val="24"/>
        </w:rPr>
        <w:t>Nagarajan, Alexandra C. Hinton</w:t>
      </w:r>
      <w:r w:rsidR="00766BFF">
        <w:rPr>
          <w:rFonts w:ascii="Times New Roman" w:hAnsi="Times New Roman" w:cs="Times New Roman"/>
          <w:bCs/>
          <w:sz w:val="24"/>
          <w:szCs w:val="24"/>
        </w:rPr>
        <w:t>,</w:t>
      </w:r>
      <w:r w:rsidR="00292686">
        <w:rPr>
          <w:rFonts w:ascii="Times New Roman" w:hAnsi="Times New Roman" w:cs="Times New Roman"/>
          <w:bCs/>
          <w:sz w:val="24"/>
          <w:szCs w:val="24"/>
        </w:rPr>
        <w:t xml:space="preserve"> and Christine </w:t>
      </w:r>
      <w:proofErr w:type="spellStart"/>
      <w:r w:rsidR="00292686">
        <w:rPr>
          <w:rFonts w:ascii="Times New Roman" w:hAnsi="Times New Roman" w:cs="Times New Roman"/>
          <w:bCs/>
          <w:sz w:val="24"/>
          <w:szCs w:val="24"/>
        </w:rPr>
        <w:t>Lary</w:t>
      </w:r>
      <w:proofErr w:type="spellEnd"/>
      <w:r w:rsidR="00292686">
        <w:rPr>
          <w:rFonts w:ascii="Times New Roman" w:hAnsi="Times New Roman" w:cs="Times New Roman"/>
          <w:bCs/>
          <w:sz w:val="24"/>
          <w:szCs w:val="24"/>
        </w:rPr>
        <w:t xml:space="preserve"> performed sensitivity analyses and wrote code and manuscript portions </w:t>
      </w:r>
      <w:r w:rsidR="00766BFF">
        <w:rPr>
          <w:rFonts w:ascii="Times New Roman" w:hAnsi="Times New Roman" w:cs="Times New Roman"/>
          <w:bCs/>
          <w:sz w:val="24"/>
          <w:szCs w:val="24"/>
        </w:rPr>
        <w:t>related to the</w:t>
      </w:r>
      <w:r w:rsidR="00292686">
        <w:rPr>
          <w:rFonts w:ascii="Times New Roman" w:hAnsi="Times New Roman" w:cs="Times New Roman"/>
          <w:bCs/>
          <w:sz w:val="24"/>
          <w:szCs w:val="24"/>
        </w:rPr>
        <w:t xml:space="preserve"> sensitivity analyses. </w:t>
      </w:r>
      <w:r w:rsidRPr="00CF2453">
        <w:rPr>
          <w:rFonts w:ascii="Times New Roman" w:hAnsi="Times New Roman" w:cs="Times New Roman"/>
          <w:sz w:val="24"/>
          <w:szCs w:val="24"/>
        </w:rPr>
        <w:t xml:space="preserve">Katerina </w:t>
      </w:r>
      <w:proofErr w:type="spellStart"/>
      <w:r w:rsidRPr="00CF2453">
        <w:rPr>
          <w:rFonts w:ascii="Times New Roman" w:hAnsi="Times New Roman" w:cs="Times New Roman"/>
          <w:sz w:val="24"/>
          <w:szCs w:val="24"/>
        </w:rPr>
        <w:t>Trajanoska</w:t>
      </w:r>
      <w:proofErr w:type="spellEnd"/>
      <w:r w:rsidRPr="00CF2453">
        <w:rPr>
          <w:rFonts w:ascii="Times New Roman" w:hAnsi="Times New Roman" w:cs="Times New Roman"/>
          <w:sz w:val="24"/>
          <w:szCs w:val="24"/>
        </w:rPr>
        <w:t xml:space="preserve"> and Fernando </w:t>
      </w:r>
      <w:proofErr w:type="spellStart"/>
      <w:r w:rsidRPr="00CF2453">
        <w:rPr>
          <w:rFonts w:ascii="Times New Roman" w:hAnsi="Times New Roman" w:cs="Times New Roman"/>
          <w:sz w:val="24"/>
          <w:szCs w:val="24"/>
        </w:rPr>
        <w:t>Rivadeneira</w:t>
      </w:r>
      <w:proofErr w:type="spellEnd"/>
      <w:r w:rsidRPr="00CF2453">
        <w:rPr>
          <w:rFonts w:ascii="Times New Roman" w:hAnsi="Times New Roman" w:cs="Times New Roman"/>
          <w:sz w:val="24"/>
          <w:szCs w:val="24"/>
        </w:rPr>
        <w:t xml:space="preserve"> </w:t>
      </w:r>
      <w:r w:rsidR="00C55BCB">
        <w:rPr>
          <w:rFonts w:ascii="Times New Roman" w:hAnsi="Times New Roman" w:cs="Times New Roman"/>
          <w:sz w:val="24"/>
          <w:szCs w:val="24"/>
        </w:rPr>
        <w:t>did</w:t>
      </w:r>
      <w:r w:rsidR="00292686">
        <w:rPr>
          <w:rFonts w:ascii="Times New Roman" w:hAnsi="Times New Roman" w:cs="Times New Roman"/>
          <w:sz w:val="24"/>
          <w:szCs w:val="24"/>
        </w:rPr>
        <w:t xml:space="preserve"> the</w:t>
      </w:r>
      <w:r w:rsidR="00C55BCB">
        <w:rPr>
          <w:rFonts w:ascii="Times New Roman" w:hAnsi="Times New Roman" w:cs="Times New Roman"/>
          <w:sz w:val="24"/>
          <w:szCs w:val="24"/>
        </w:rPr>
        <w:t xml:space="preserve"> </w:t>
      </w:r>
      <w:r w:rsidRPr="00CF2453">
        <w:rPr>
          <w:rFonts w:ascii="Times New Roman" w:hAnsi="Times New Roman" w:cs="Times New Roman"/>
          <w:sz w:val="24"/>
          <w:szCs w:val="24"/>
        </w:rPr>
        <w:t xml:space="preserve">design and analysis in the Rotterdam and BPROOF cohorts and drafting and critical revision. Melissa M. Formosa and Angela </w:t>
      </w:r>
      <w:proofErr w:type="spellStart"/>
      <w:r w:rsidRPr="00CF2453">
        <w:rPr>
          <w:rFonts w:ascii="Times New Roman" w:hAnsi="Times New Roman" w:cs="Times New Roman"/>
          <w:sz w:val="24"/>
          <w:szCs w:val="24"/>
        </w:rPr>
        <w:t>Xuereb</w:t>
      </w:r>
      <w:proofErr w:type="spellEnd"/>
      <w:r w:rsidRPr="00CF2453">
        <w:rPr>
          <w:rFonts w:ascii="Times New Roman" w:hAnsi="Times New Roman" w:cs="Times New Roman"/>
          <w:sz w:val="24"/>
          <w:szCs w:val="24"/>
        </w:rPr>
        <w:t xml:space="preserve">-Anastasi performed data acquisition for the MOFS cohort and drafting and critical revision. Nathalie van der Velde and Fernando </w:t>
      </w:r>
      <w:proofErr w:type="spellStart"/>
      <w:r w:rsidRPr="00CF2453">
        <w:rPr>
          <w:rFonts w:ascii="Times New Roman" w:hAnsi="Times New Roman" w:cs="Times New Roman"/>
          <w:sz w:val="24"/>
          <w:szCs w:val="24"/>
        </w:rPr>
        <w:t>Rivadeneira</w:t>
      </w:r>
      <w:proofErr w:type="spellEnd"/>
      <w:r w:rsidRPr="00CF2453">
        <w:rPr>
          <w:rFonts w:ascii="Times New Roman" w:hAnsi="Times New Roman" w:cs="Times New Roman"/>
          <w:sz w:val="24"/>
          <w:szCs w:val="24"/>
        </w:rPr>
        <w:t xml:space="preserve"> designed and acquired data for the BPROOF cohort. Bruno H. Stricker and Fernando </w:t>
      </w:r>
      <w:proofErr w:type="spellStart"/>
      <w:r w:rsidRPr="00CF2453">
        <w:rPr>
          <w:rFonts w:ascii="Times New Roman" w:hAnsi="Times New Roman" w:cs="Times New Roman"/>
          <w:sz w:val="24"/>
          <w:szCs w:val="24"/>
        </w:rPr>
        <w:t>Rivadeneira</w:t>
      </w:r>
      <w:proofErr w:type="spellEnd"/>
      <w:r w:rsidRPr="00CF2453">
        <w:rPr>
          <w:rFonts w:ascii="Times New Roman" w:hAnsi="Times New Roman" w:cs="Times New Roman"/>
          <w:sz w:val="24"/>
          <w:szCs w:val="24"/>
        </w:rPr>
        <w:t xml:space="preserve"> designed and acquired data for the Rotterdam cohort. Nicholas R. </w:t>
      </w:r>
      <w:r w:rsidRPr="00CF2453">
        <w:rPr>
          <w:rFonts w:ascii="Times New Roman" w:hAnsi="Times New Roman" w:cs="Times New Roman"/>
          <w:sz w:val="24"/>
          <w:szCs w:val="24"/>
        </w:rPr>
        <w:lastRenderedPageBreak/>
        <w:t xml:space="preserve">Fuggle, Leo D. Westbury, Elaine M. Dennison, and Cyrus Cooper performed data acquisition, design, and analysis of the Hertfordshire Cohort Study. Douglas P. Kiel secured funding to obtain bone density data for the FHS and aided in analytical design and interpretation. Katherine J. </w:t>
      </w:r>
      <w:proofErr w:type="spellStart"/>
      <w:r w:rsidRPr="00CF2453">
        <w:rPr>
          <w:rFonts w:ascii="Times New Roman" w:hAnsi="Times New Roman" w:cs="Times New Roman"/>
          <w:sz w:val="24"/>
          <w:szCs w:val="24"/>
        </w:rPr>
        <w:t>Motyl</w:t>
      </w:r>
      <w:proofErr w:type="spellEnd"/>
      <w:r w:rsidRPr="00CF2453">
        <w:rPr>
          <w:rFonts w:ascii="Times New Roman" w:hAnsi="Times New Roman" w:cs="Times New Roman"/>
          <w:sz w:val="24"/>
          <w:szCs w:val="24"/>
        </w:rPr>
        <w:t xml:space="preserve"> performed interpretation, drafting, and critical review.</w:t>
      </w:r>
    </w:p>
    <w:p w14:paraId="288D2F6B" w14:textId="77777777" w:rsidR="00721472" w:rsidRPr="00757919" w:rsidRDefault="00721472" w:rsidP="00721472">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Code for FHS analyses can be found at </w:t>
      </w:r>
      <w:hyperlink r:id="rId9" w:history="1">
        <w:r w:rsidRPr="00FC4AB2">
          <w:rPr>
            <w:rStyle w:val="Hyperlink"/>
            <w:rFonts w:ascii="Times New Roman" w:hAnsi="Times New Roman" w:cs="Times New Roman"/>
            <w:sz w:val="24"/>
            <w:szCs w:val="24"/>
          </w:rPr>
          <w:t>https://github.com/knevola/MMC/tree/master/Aim2_Genetic_Influences_scripts</w:t>
        </w:r>
      </w:hyperlink>
      <w:r>
        <w:rPr>
          <w:rFonts w:ascii="Times New Roman" w:hAnsi="Times New Roman" w:cs="Times New Roman"/>
          <w:sz w:val="24"/>
          <w:szCs w:val="24"/>
        </w:rPr>
        <w:t xml:space="preserve">. </w:t>
      </w:r>
      <w:r w:rsidRPr="00CF2453">
        <w:rPr>
          <w:rFonts w:ascii="Times New Roman" w:hAnsi="Times New Roman" w:cs="Times New Roman"/>
          <w:sz w:val="24"/>
          <w:szCs w:val="24"/>
        </w:rPr>
        <w:t xml:space="preserve"> </w:t>
      </w:r>
    </w:p>
    <w:p w14:paraId="5B7183B3" w14:textId="3F85E40F" w:rsidR="00226728" w:rsidRPr="00757919" w:rsidRDefault="00226728" w:rsidP="00864F3F">
      <w:pPr>
        <w:spacing w:line="480" w:lineRule="auto"/>
        <w:rPr>
          <w:rFonts w:ascii="Times New Roman" w:hAnsi="Times New Roman" w:cs="Times New Roman"/>
          <w:bCs/>
          <w:sz w:val="24"/>
          <w:szCs w:val="24"/>
        </w:rPr>
      </w:pPr>
    </w:p>
    <w:p w14:paraId="4EBE8D30" w14:textId="77777777" w:rsidR="00226728" w:rsidRPr="00757919" w:rsidRDefault="00226728" w:rsidP="00864F3F">
      <w:pPr>
        <w:rPr>
          <w:rFonts w:ascii="Times New Roman" w:hAnsi="Times New Roman" w:cs="Times New Roman"/>
          <w:b/>
          <w:sz w:val="24"/>
          <w:szCs w:val="24"/>
        </w:rPr>
      </w:pPr>
      <w:r w:rsidRPr="00757919">
        <w:rPr>
          <w:rFonts w:ascii="Times New Roman" w:hAnsi="Times New Roman" w:cs="Times New Roman"/>
          <w:b/>
          <w:sz w:val="24"/>
          <w:szCs w:val="24"/>
        </w:rPr>
        <w:br w:type="page"/>
      </w:r>
    </w:p>
    <w:p w14:paraId="4A4317E9" w14:textId="402BB2F1" w:rsidR="00013227" w:rsidRDefault="00013227" w:rsidP="00864F3F">
      <w:pPr>
        <w:spacing w:line="480" w:lineRule="auto"/>
        <w:rPr>
          <w:rFonts w:ascii="Times New Roman" w:hAnsi="Times New Roman" w:cs="Times New Roman"/>
          <w:b/>
          <w:sz w:val="24"/>
          <w:szCs w:val="24"/>
        </w:rPr>
      </w:pPr>
      <w:r w:rsidRPr="00757919">
        <w:rPr>
          <w:rFonts w:ascii="Times New Roman" w:hAnsi="Times New Roman" w:cs="Times New Roman"/>
          <w:b/>
          <w:sz w:val="24"/>
          <w:szCs w:val="24"/>
        </w:rPr>
        <w:lastRenderedPageBreak/>
        <w:t xml:space="preserve">Abstract </w:t>
      </w:r>
    </w:p>
    <w:p w14:paraId="7CDE3674" w14:textId="77777777" w:rsidR="004F7377" w:rsidRDefault="004F7377" w:rsidP="004F7377">
      <w:pPr>
        <w:spacing w:line="480" w:lineRule="auto"/>
        <w:rPr>
          <w:rFonts w:ascii="Times New Roman" w:hAnsi="Times New Roman" w:cs="Times New Roman"/>
          <w:i/>
          <w:iCs/>
        </w:rPr>
      </w:pPr>
      <w:r>
        <w:rPr>
          <w:rFonts w:ascii="Times New Roman" w:hAnsi="Times New Roman" w:cs="Times New Roman"/>
          <w:i/>
          <w:iCs/>
        </w:rPr>
        <w:t>Context.</w:t>
      </w:r>
      <w:r>
        <w:rPr>
          <w:rFonts w:ascii="Times New Roman" w:hAnsi="Times New Roman" w:cs="Times New Roman"/>
          <w:bCs/>
          <w:sz w:val="24"/>
          <w:szCs w:val="24"/>
        </w:rPr>
        <w:t xml:space="preserve"> Recent studies have shown that β-blocker (BB) users have a decreased risk of fracture and higher bone mineral density (BMD) compared to non-users, likely due to the suppression of adrenergic signaling in osteoblasts, leading to increased BMD. There is also variability in the effect size of BB use on BMD in humans, which may be due to pharmacogenomic effects.</w:t>
      </w:r>
    </w:p>
    <w:p w14:paraId="73DBEBF6" w14:textId="77777777" w:rsidR="004F7377" w:rsidRDefault="004F7377" w:rsidP="004F7377">
      <w:pPr>
        <w:spacing w:line="480" w:lineRule="auto"/>
        <w:rPr>
          <w:rFonts w:ascii="Times New Roman" w:hAnsi="Times New Roman" w:cs="Times New Roman"/>
          <w:i/>
          <w:iCs/>
        </w:rPr>
      </w:pPr>
      <w:r>
        <w:rPr>
          <w:rFonts w:ascii="Times New Roman" w:hAnsi="Times New Roman" w:cs="Times New Roman"/>
          <w:i/>
          <w:iCs/>
        </w:rPr>
        <w:t>Objective.</w:t>
      </w:r>
      <w:r>
        <w:rPr>
          <w:rFonts w:ascii="Times New Roman" w:hAnsi="Times New Roman" w:cs="Times New Roman"/>
          <w:bCs/>
          <w:sz w:val="24"/>
          <w:szCs w:val="24"/>
        </w:rPr>
        <w:t xml:space="preserve"> To investigate potential single nucleotide polymorphisms (SNPs) associated with the effect of BB use on femoral neck BMD, we performed a cross-sectional analysis using clinical data, dual-energy X-ray absorptiometry, and genetic data from the Framingham Heart Study’s (FHS) Offspring Cohort. We then sought to validate our top four genetic findings using data from the Rotterdam Study, the BPROOF Study, the MOFS, and the Hertfordshire Cohort Study.</w:t>
      </w:r>
    </w:p>
    <w:p w14:paraId="56F824E4" w14:textId="77777777" w:rsidR="004F7377" w:rsidRDefault="004F7377" w:rsidP="004F7377">
      <w:pPr>
        <w:spacing w:line="480" w:lineRule="auto"/>
        <w:rPr>
          <w:rFonts w:ascii="Times New Roman" w:hAnsi="Times New Roman" w:cs="Times New Roman"/>
          <w:i/>
          <w:iCs/>
        </w:rPr>
      </w:pPr>
      <w:r>
        <w:rPr>
          <w:rFonts w:ascii="Times New Roman" w:hAnsi="Times New Roman" w:cs="Times New Roman"/>
          <w:i/>
          <w:iCs/>
        </w:rPr>
        <w:t>Design.</w:t>
      </w:r>
      <w:r>
        <w:rPr>
          <w:rFonts w:ascii="Times New Roman" w:hAnsi="Times New Roman" w:cs="Times New Roman"/>
          <w:bCs/>
          <w:sz w:val="24"/>
          <w:szCs w:val="24"/>
        </w:rPr>
        <w:t xml:space="preserve"> We used sex-stratified linear mixed models to determine SNPs that had a significant interaction effect with BB use on femoral neck (FN) BMD across 11 gene regions. We also evaluated the association of our top single nucleotide polymorphisms (SNPs) from the FHS with microRNA (miRNA) expression in blood and identified potential miRNA-mediated mechanisms by which these SNPs may impact FN BMD.</w:t>
      </w:r>
    </w:p>
    <w:p w14:paraId="08AC27A8" w14:textId="77777777" w:rsidR="004F7377" w:rsidRDefault="004F7377" w:rsidP="004F7377">
      <w:pPr>
        <w:spacing w:line="480" w:lineRule="auto"/>
        <w:rPr>
          <w:rFonts w:ascii="Times New Roman" w:hAnsi="Times New Roman" w:cs="Times New Roman"/>
          <w:i/>
          <w:iCs/>
        </w:rPr>
      </w:pPr>
      <w:r>
        <w:rPr>
          <w:rFonts w:ascii="Times New Roman" w:hAnsi="Times New Roman" w:cs="Times New Roman"/>
          <w:i/>
          <w:iCs/>
        </w:rPr>
        <w:t>Results.</w:t>
      </w:r>
      <w:r>
        <w:rPr>
          <w:rFonts w:ascii="Times New Roman" w:hAnsi="Times New Roman" w:cs="Times New Roman"/>
          <w:bCs/>
          <w:sz w:val="24"/>
          <w:szCs w:val="24"/>
        </w:rPr>
        <w:t xml:space="preserve"> One polymorphism (rs11124190 in </w:t>
      </w:r>
      <w:r>
        <w:rPr>
          <w:rFonts w:ascii="Times New Roman" w:hAnsi="Times New Roman" w:cs="Times New Roman"/>
          <w:bCs/>
          <w:i/>
          <w:iCs/>
          <w:sz w:val="24"/>
          <w:szCs w:val="24"/>
        </w:rPr>
        <w:t>HDAC4</w:t>
      </w:r>
      <w:r>
        <w:rPr>
          <w:rFonts w:ascii="Times New Roman" w:hAnsi="Times New Roman" w:cs="Times New Roman"/>
          <w:bCs/>
          <w:sz w:val="24"/>
          <w:szCs w:val="24"/>
        </w:rPr>
        <w:t>) was validated in females using data from the Rotterdam Study, while another (</w:t>
      </w:r>
      <w:r>
        <w:rPr>
          <w:rFonts w:ascii="Times New Roman" w:eastAsia="Arial" w:hAnsi="Times New Roman" w:cs="Times New Roman"/>
          <w:bCs/>
          <w:iCs/>
          <w:sz w:val="24"/>
          <w:szCs w:val="24"/>
        </w:rPr>
        <w:t xml:space="preserve">rs12414657 in </w:t>
      </w:r>
      <w:r>
        <w:rPr>
          <w:rFonts w:ascii="Times New Roman" w:eastAsia="Arial" w:hAnsi="Times New Roman" w:cs="Times New Roman"/>
          <w:bCs/>
          <w:i/>
          <w:sz w:val="24"/>
          <w:szCs w:val="24"/>
        </w:rPr>
        <w:t>ADRB1</w:t>
      </w:r>
      <w:r>
        <w:rPr>
          <w:rFonts w:ascii="Times New Roman" w:eastAsia="Arial" w:hAnsi="Times New Roman" w:cs="Times New Roman"/>
          <w:bCs/>
          <w:iCs/>
          <w:sz w:val="24"/>
          <w:szCs w:val="24"/>
        </w:rPr>
        <w:t xml:space="preserve">) was validated in females using data from the MOFS. </w:t>
      </w:r>
      <w:r>
        <w:rPr>
          <w:rFonts w:ascii="Times New Roman" w:hAnsi="Times New Roman" w:cs="Times New Roman"/>
          <w:bCs/>
          <w:sz w:val="24"/>
          <w:szCs w:val="24"/>
        </w:rPr>
        <w:t xml:space="preserve">We performed an exploratory meta-analysis of all 5 studies for these polymorphisms, which further validated our findings. </w:t>
      </w:r>
    </w:p>
    <w:p w14:paraId="4F7A0FED" w14:textId="77777777" w:rsidR="004F7377" w:rsidRDefault="004F7377" w:rsidP="004F7377">
      <w:pPr>
        <w:spacing w:line="480" w:lineRule="auto"/>
        <w:rPr>
          <w:rFonts w:ascii="Times New Roman" w:hAnsi="Times New Roman" w:cs="Times New Roman"/>
          <w:i/>
          <w:iCs/>
        </w:rPr>
      </w:pPr>
      <w:r>
        <w:rPr>
          <w:rFonts w:ascii="Times New Roman" w:hAnsi="Times New Roman" w:cs="Times New Roman"/>
          <w:i/>
          <w:iCs/>
        </w:rPr>
        <w:t>Conclusions.</w:t>
      </w:r>
      <w:r>
        <w:rPr>
          <w:rFonts w:ascii="Times New Roman" w:hAnsi="Times New Roman" w:cs="Times New Roman"/>
          <w:bCs/>
          <w:sz w:val="24"/>
          <w:szCs w:val="24"/>
        </w:rPr>
        <w:t xml:space="preserve"> This analysis provides a starting point for investigating the pharmacogenomic effects of BB use on BMD measures.</w:t>
      </w:r>
    </w:p>
    <w:p w14:paraId="105F5F10" w14:textId="64B5533C" w:rsidR="00D57F0F" w:rsidRPr="00757919" w:rsidRDefault="00D57F0F" w:rsidP="00864F3F">
      <w:pPr>
        <w:spacing w:line="480" w:lineRule="auto"/>
        <w:rPr>
          <w:rFonts w:ascii="Times New Roman" w:hAnsi="Times New Roman" w:cs="Times New Roman"/>
          <w:b/>
          <w:sz w:val="24"/>
          <w:szCs w:val="24"/>
        </w:rPr>
      </w:pPr>
      <w:r w:rsidRPr="00757919">
        <w:rPr>
          <w:rFonts w:ascii="Times New Roman" w:hAnsi="Times New Roman" w:cs="Times New Roman"/>
          <w:b/>
          <w:sz w:val="24"/>
          <w:szCs w:val="24"/>
        </w:rPr>
        <w:t>Introduction</w:t>
      </w:r>
    </w:p>
    <w:p w14:paraId="70D99340" w14:textId="3BF14B8D" w:rsidR="003D3506" w:rsidRPr="00757919" w:rsidRDefault="002C3016" w:rsidP="003D3506">
      <w:pPr>
        <w:spacing w:line="480" w:lineRule="auto"/>
        <w:rPr>
          <w:rFonts w:ascii="Times New Roman" w:hAnsi="Times New Roman" w:cs="Times New Roman"/>
          <w:sz w:val="24"/>
          <w:szCs w:val="24"/>
        </w:rPr>
      </w:pPr>
      <w:r w:rsidRPr="00757919">
        <w:rPr>
          <w:rFonts w:ascii="Times New Roman" w:hAnsi="Times New Roman" w:cs="Times New Roman"/>
          <w:sz w:val="24"/>
          <w:szCs w:val="24"/>
        </w:rPr>
        <w:lastRenderedPageBreak/>
        <w:t xml:space="preserve">Osteoporosis is a skeletal condition that causes bones to become </w:t>
      </w:r>
      <w:r w:rsidR="00377EA3" w:rsidRPr="00757919">
        <w:rPr>
          <w:rFonts w:ascii="Times New Roman" w:hAnsi="Times New Roman" w:cs="Times New Roman"/>
          <w:sz w:val="24"/>
          <w:szCs w:val="24"/>
        </w:rPr>
        <w:t>fragile</w:t>
      </w:r>
      <w:r w:rsidRPr="00757919">
        <w:rPr>
          <w:rFonts w:ascii="Times New Roman" w:hAnsi="Times New Roman" w:cs="Times New Roman"/>
          <w:sz w:val="24"/>
          <w:szCs w:val="24"/>
        </w:rPr>
        <w:t xml:space="preserve">, resulting in </w:t>
      </w:r>
      <w:r w:rsidR="00817C8A" w:rsidRPr="00757919">
        <w:rPr>
          <w:rFonts w:ascii="Times New Roman" w:hAnsi="Times New Roman" w:cs="Times New Roman"/>
          <w:sz w:val="24"/>
          <w:szCs w:val="24"/>
        </w:rPr>
        <w:t xml:space="preserve">an </w:t>
      </w:r>
      <w:r w:rsidRPr="00757919">
        <w:rPr>
          <w:rFonts w:ascii="Times New Roman" w:hAnsi="Times New Roman" w:cs="Times New Roman"/>
          <w:sz w:val="24"/>
          <w:szCs w:val="24"/>
        </w:rPr>
        <w:t>increased risk of fracture</w:t>
      </w:r>
      <w:r w:rsidR="00107F5D">
        <w:rPr>
          <w:rFonts w:ascii="Times New Roman" w:hAnsi="Times New Roman" w:cs="Times New Roman"/>
          <w:sz w:val="24"/>
          <w:szCs w:val="24"/>
        </w:rPr>
        <w:t xml:space="preserve"> and decreased</w:t>
      </w:r>
      <w:r w:rsidR="00107F5D" w:rsidRPr="00107F5D">
        <w:rPr>
          <w:rFonts w:ascii="Times New Roman" w:hAnsi="Times New Roman" w:cs="Times New Roman"/>
          <w:sz w:val="24"/>
          <w:szCs w:val="24"/>
        </w:rPr>
        <w:t xml:space="preserve"> </w:t>
      </w:r>
      <w:r w:rsidR="00107F5D" w:rsidRPr="00757919">
        <w:rPr>
          <w:rFonts w:ascii="Times New Roman" w:hAnsi="Times New Roman" w:cs="Times New Roman"/>
          <w:sz w:val="24"/>
          <w:szCs w:val="24"/>
        </w:rPr>
        <w:t>bone mineral density (BMD)</w:t>
      </w:r>
      <w:r w:rsidRPr="00757919">
        <w:rPr>
          <w:rFonts w:ascii="Times New Roman" w:hAnsi="Times New Roman" w:cs="Times New Roman"/>
          <w:sz w:val="24"/>
          <w:szCs w:val="24"/>
        </w:rPr>
        <w:t xml:space="preserve">. This disorder affects over </w:t>
      </w:r>
      <w:r w:rsidR="002541C5" w:rsidRPr="00757919">
        <w:rPr>
          <w:rFonts w:ascii="Times New Roman" w:hAnsi="Times New Roman" w:cs="Times New Roman"/>
          <w:sz w:val="24"/>
          <w:szCs w:val="24"/>
        </w:rPr>
        <w:t xml:space="preserve">10 million </w:t>
      </w:r>
      <w:r w:rsidR="00A01939" w:rsidRPr="00757919">
        <w:rPr>
          <w:rFonts w:ascii="Times New Roman" w:hAnsi="Times New Roman" w:cs="Times New Roman"/>
          <w:sz w:val="24"/>
          <w:szCs w:val="24"/>
        </w:rPr>
        <w:t>individuals in the United States</w:t>
      </w:r>
      <w:r w:rsidR="002541C5" w:rsidRPr="00757919">
        <w:rPr>
          <w:rFonts w:ascii="Times New Roman" w:hAnsi="Times New Roman" w:cs="Times New Roman"/>
          <w:sz w:val="24"/>
          <w:szCs w:val="24"/>
        </w:rPr>
        <w:t xml:space="preserve"> and results in over 2 million osteoporotic fractures per year, with the annual hospital </w:t>
      </w:r>
      <w:r w:rsidR="00860E3A" w:rsidRPr="00757919">
        <w:rPr>
          <w:rFonts w:ascii="Times New Roman" w:hAnsi="Times New Roman" w:cs="Times New Roman"/>
          <w:sz w:val="24"/>
          <w:szCs w:val="24"/>
        </w:rPr>
        <w:t>c</w:t>
      </w:r>
      <w:r w:rsidR="002541C5" w:rsidRPr="00757919">
        <w:rPr>
          <w:rFonts w:ascii="Times New Roman" w:hAnsi="Times New Roman" w:cs="Times New Roman"/>
          <w:sz w:val="24"/>
          <w:szCs w:val="24"/>
        </w:rPr>
        <w:t>ost of osteoporotic fractures exceeding $28 billion dollars</w:t>
      </w:r>
      <w:r w:rsidR="00586577" w:rsidRPr="00757919">
        <w:rPr>
          <w:rFonts w:ascii="Times New Roman" w:hAnsi="Times New Roman" w:cs="Times New Roman"/>
          <w:sz w:val="24"/>
          <w:szCs w:val="24"/>
        </w:rPr>
        <w:fldChar w:fldCharType="begin"/>
      </w:r>
      <w:r w:rsidR="00260B6D" w:rsidRPr="00757919">
        <w:rPr>
          <w:rFonts w:ascii="Times New Roman" w:hAnsi="Times New Roman" w:cs="Times New Roman"/>
          <w:sz w:val="24"/>
          <w:szCs w:val="24"/>
        </w:rPr>
        <w:instrText xml:space="preserve"> ADDIN ZOTERO_ITEM CSL_CITATION {"citationID":"POzeToWI","properties":{"formattedCitation":"\\super 1\\uc0\\u8211{}4\\nosupersub{}","plainCitation":"1–4","noteIndex":0},"citationItems":[{"id":441,"uris":["http://zotero.org/users/3223062/items/EHU3X945"],"uri":["http://zotero.org/users/3223062/items/EHU3X945"],"itemData":{"id":441,"type":"article-journal","abstract":"SummaryThis position paper reviews how the National Bone Health Alliance (NBHA) will execute a project to help assure health professionals of the clinical utility of bone turnover markers; the current clinical approaches concerning osteoporosis and the status and use of bone turnover markers in the USA; the rationale for focusing this effort around two specific bone turnover markers; the need to standardize bone marker sample collection procedures, reference ranges, and bone turnover marker assays in clinical laboratories; and the importance of harmonization for future research of bone turnover markers.IntroductionOsteoporosis is a major global health problem, with the prevalence and incidence of osteoporosis for at-risk populations estimated to be 44 million Americans. The potential of bone markers as an additional tool for health care professionals to improve patient outcomes and impact morbidity and mortality is crucial in providing better health care and addressing rising health care costs. This need to advance the field of bone turnover markers has been recognized by a number of organizations, including the International Osteoporosis Foundation (IOF), National Osteoporosis Foundation, International Federation of Clinical Chemistry, and Laboratory Medicine (IFCC), and the NBHA.MethodsThis position paper elucidates how this project will standardize bone turnover marker sample collection procedures in the USA, establish a USA reference range for one bone formation (serum procollagen type I N propeptide, s-PINP) and one bone resorption (serum C-terminal telopeptide of type I collagen, s-CTX) marker, and standardize bone turnover marker assays used in clinical laboratories. This effort will allow clinicians from the USA to have confidence in their use of bone turnover markers to help monitor osteoporosis treatment and assess future fracture risk. This project builds on the recommendations of the IOF/IFCC Bone Marker Standards Working Group by developing USA reference standards for s-PINP and s-CTX, the markers identified as most promising for use as reference markers.ResultsThe goals of this project will be realized through the NBHA and will include its governmental, academic, for-profit, and non-profit sector stakeholders as well as major academic and commercial laboratories. Upon completion, a parallel effort will be pursued to make bone turnover marker measurements reliable and accepted by all health care professionals for facilitating treatment decisions and ultimately be reimbursed by all health insurance payers.ConclusionsSuccessful completion of this project will help assure health professionals from the USA of the clinical utility of bone turnover markers and ties in with the parallel effort of the IOF/IFCC to develop worldwide bone turnover reference ranges.","container-title":"Osteoporosis International","DOI":"10.1007/s00198-012-2049-z","ISSN":"1433-2965","issue":"10","journalAbbreviation":"Osteoporos Int","language":"en","page":"2425-2433","source":"Springer Link","title":"National Bone Health Alliance Bone Turnover Marker Project: current practices and the need for US harmonization, standardization, and common reference ranges","title-short":"National Bone Health Alliance Bone Turnover Marker Project","volume":"23","author":[{"family":"Bauer","given":"D."},{"family":"Krege","given":"J."},{"family":"Lane","given":"N."},{"family":"Leary","given":"E."},{"family":"Libanati","given":"C."},{"family":"Miller","given":"P."},{"family":"Myers","given":"G."},{"family":"Silverman","given":"S."},{"family":"Vesper","given":"H. W."},{"family":"Lee","given":"D."},{"family":"Payette","given":"M."},{"family":"Randall","given":"S."}],"issued":{"date-parts":[["2012",10,1]]}}},{"id":442,"uris":["http://zotero.org/users/3223062/items/C6TNJDXZ"],"uri":["http://zotero.org/users/3223062/items/C6TNJDXZ"],"itemData":{"id":442,"type":"article-journal","abstract":"Osteoporosis, defined as low bone mass leading to increased fracture risk, is a major health problem that affects approximately 10 million Americans. The aging U.S. population is predicted to contribute to as much as a 50% increase in prevalence by 2025. Although common, osteoporosis can be clinically silent, and without prevention and screening, the costs of osteoporotic fracture–related morbidity and mortality will burden the U.S. healthcare system. This is a particularly relevant concern in the context of diminishing health care resources. Dual-energy X-ray absorptiometry is the most widely used, validated technique for measuring bone mineral density (BMD) and diagnosing osteoporosis. Cost-effectiveness analyses support early detection and treatment of high-risk patients with antiresorptive medications such as bisphosphonates. Moreover, optimization of bone health throughout life can help prevent osteoporosis. Current guidelines recommend screening women by age 65 years, but because no guidelines for screening intervals exist, decisions are made on the basis of clinical judgment alone. Although the recent literature provides some guidance, this review further explores current recommendations in light of newer evidence to provide more clarity on prevention, screening, and management strategies for patients with osteoporosis in the primary care setting.","container-title":"Journal of Women's Health","DOI":"10.1089/jwh.2013.4611","ISSN":"1540-9996","issue":"7","journalAbbreviation":"J Womens Health (Larchmt)","note":"PMID: 24766381\nPMCID: PMC4089021","page":"563-572","source":"PubMed Central","title":"Osteoporosis Prevention, Screening, and Treatment: A Review","title-short":"Osteoporosis Prevention, Screening, and Treatment","volume":"23","author":[{"family":"Kling","given":"Juliana M."},{"family":"Clarke","given":"Bart L."},{"family":"Sandhu","given":"Nicole P."}],"issued":{"date-parts":[["2014",7,1]]}}},{"id":440,"uris":["http://zotero.org/users/3223062/items/3C5JBR2H"],"uri":["http://zotero.org/users/3223062/items/3C5JBR2H"],"itemData":{"id":440,"type":"article-journal","abstract":"Importance: Because of the aging population, osteoporotic fractures are an increasingly important cause of morbidity and mortality in the United States. Approximately 2 million osteoporotic fractures occurred in the United States in 2005, and annual incidence is projected to increase to more than 3 million fractures by 2025. Within 1 year of experiencing a hip fracture, many patients are unable to walk independently, more than half require assistance with activities of daily living, and 20% to 30% of patients will die.\nObjective: To update the 2013 US Preventive Services Task Force (USPSTF) recommendation on vitamin D supplementation, with or without calcium, to prevent fractures.\nEvidence Review: The USPSTF reviewed the evidence on vitamin D, calcium, and combined supplementation for the primary prevention of fractures in community-dwelling adults (defined as not living in a nursing home or other institutional care setting). The review excluded studies conducted in populations with a known disorder related to bone metabolism (eg, osteoporosis or vitamin D deficiency), taking medications known to be associated with osteoporosis (eg, long-term steroids), or with a previous fracture.\nFindings: The USPSTF found inadequate evidence to estimate the benefits of vitamin D, calcium, or combined supplementation to prevent fractures in community-dwelling men and premenopausal women. The USPSTF found adequate evidence that daily supplementation with 400 IU or less of vitamin D and 1000 mg or less of calcium has no benefit for the primary prevention of fractures in community-dwelling, postmenopausal women. The USPSTF found inadequate evidence to estimate the benefits of doses greater than 400 IU of vitamin D or greater than 1000 mg of calcium to prevent fractures in community-dwelling postmenopausal women. The USPSTF found adequate evidence that supplementation with vitamin D and calcium increases the incidence of kidney stones.\nConclusions and Recommendation: The USPSTF concludes that the current evidence is insufficient to assess the balance of the benefits and harms of vitamin D and calcium supplementation, alone or combined, for the primary prevention of fractures in community-dwelling, asymptomatic men and premenopausal women. (I statement) The USPSTF concludes that the current evidence is insufficient to assess the balance of the benefits and harms of daily supplementation with doses greater than 400 IU of vitamin D and greater than 1000 mg of calcium for the primary prevention of fractures in community-dwelling, postmenopausal women. (I statement) The USPSTF recommends against daily supplementation with 400 IU or less of vitamin D and 1000 mg or less of calcium for the primary prevention of fractures in community-dwelling, postmenopausal women. (D recommendation) These recommendations do not apply to persons with a history of osteoporotic fractures, increased risk for falls, or a diagnosis of osteoporosis or vitamin D deficiency.","container-title":"JAMA","DOI":"10.1001/jama.2018.3185","ISSN":"1538-3598","issue":"15","journalAbbreviation":"JAMA","language":"eng","note":"PMID: 29677309","page":"1592-1599","source":"PubMed","title":"Vitamin D, Calcium, or Combined Supplementation for the Primary Prevention of Fractures in Community-Dwelling Adults: US Preventive Services Task Force Recommendation Statement","title-short":"Vitamin D, Calcium, or Combined Supplementation for the Primary Prevention of Fractures in Community-Dwelling Adults","volume":"319","author":[{"literal":"US Preventive Services Task Force"},{"family":"Grossman","given":"David C."},{"family":"Curry","given":"Susan J."},{"family":"Owens","given":"Douglas K."},{"family":"Barry","given":"Michael J."},{"family":"Caughey","given":"Aaron B."},{"family":"Davidson","given":"Karina W."},{"family":"Doubeni","given":"Chyke A."},{"family":"Epling","given":"John W."},{"family":"Kemper","given":"Alex R."},{"family":"Krist","given":"Alex H."},{"family":"Kubik","given":"Martha"},{"family":"Landefeld","given":"Seth"},{"family":"Mangione","given":"Carol M."},{"family":"Silverstein","given":"Michael"},{"family":"Simon","given":"Melissa A."},{"family":"Tseng","given":"Chien-Wen"}],"issued":{"date-parts":[["2018"]],"season":"17"}}},{"id":438,"uris":["http://zotero.org/users/3223062/items/G33HLQYR"],"uri":["http://zotero.org/users/3223062/items/G33HLQYR"],"itemData":{"id":438,"type":"article-journal","abstract":"If all adults with osteoporosis in the European Union (EU) and United States (US) used calcium and vitamin D supplements, it could prevent more than 500,000 fractures/year in the EU and more than 300,000/year in the US and save approximately €5.7 billion and US $3.3 billion annually.\nPURPOSE: Evaluate the cost-effectiveness of calcium/vitamin D supplementation for preventing osteoporotic fractures.\nMETHODS: A cost-benefit analysis tool was used to estimate the net cost savings from reduced fracture-related hospital expenses if adults with osteoporosis in the EU and US used calcium/vitamin D supplements. A 14% relative risk reduction of fracture with calcium/vitamin D supplementation from a recent systematic review and meta-analysis of randomized, controlled trials was used as the basis for the benefit estimate. Other model inputs were informed by epidemiologic, clinical, and cost data (2016-2017) obtained via the medical literature or public databases. Analyses estimated the total number of avoided fractures and associated cost savings with supplement use. Net cost benefit was calculated by subtracting the supplements' market costs from those savings.\nRESULTS: The &gt; 30 million persons in the EU and nearly 11 million in US with osteoporosis experience about 3.9 million and 2.3 million fractures/year and have annual hospital costs exceeding €50 billion and $28 billion. If all persons with osteoporosis used calcium and vitamin D supplements, there would be an estimated 544,687 fewer fractures/year in the EU and 323,566 fewer in the US, saving over €6.9 billion and $3.9 billion; the net cost benefit would be €5,710,277,330 and $3,312,236,252, respectively.\nCONCLUSIONS: Calcium and vitamin D supplements are highly cost-effective, and expanded use could considerably reduce fractures and related costs. Although these analyses included individuals aged ≥ 50 years, the observed effects are likely driven by benefits observed in those aged ≥ 65 years.","container-title":"Archives of Osteoporosis","DOI":"10.1007/s11657-019-0589-y","ISSN":"1862-3514","issue":"1","journalAbbreviation":"Arch Osteoporos","language":"eng","note":"PMID: 31041620\nPMCID: PMC6491825","page":"50","source":"PubMed","title":"Cost-benefit analysis of calcium and vitamin D supplements","volume":"14","author":[{"family":"Weaver","given":"Connie M."},{"family":"Bischoff-Ferrari","given":"Heike A."},{"family":"Shanahan","given":"Christopher J."}],"issued":{"date-parts":[["2019",4,30]]}}}],"schema":"https://github.com/citation-style-language/schema/raw/master/csl-citation.json"} </w:instrText>
      </w:r>
      <w:r w:rsidR="00586577" w:rsidRPr="00757919">
        <w:rPr>
          <w:rFonts w:ascii="Times New Roman" w:hAnsi="Times New Roman" w:cs="Times New Roman"/>
          <w:sz w:val="24"/>
          <w:szCs w:val="24"/>
        </w:rPr>
        <w:fldChar w:fldCharType="separate"/>
      </w:r>
      <w:r w:rsidR="00586577" w:rsidRPr="00757919">
        <w:rPr>
          <w:rFonts w:ascii="Times New Roman" w:hAnsi="Times New Roman" w:cs="Times New Roman"/>
          <w:sz w:val="24"/>
          <w:szCs w:val="24"/>
          <w:vertAlign w:val="superscript"/>
        </w:rPr>
        <w:t>1–4</w:t>
      </w:r>
      <w:r w:rsidR="00586577" w:rsidRPr="00757919">
        <w:rPr>
          <w:rFonts w:ascii="Times New Roman" w:hAnsi="Times New Roman" w:cs="Times New Roman"/>
          <w:sz w:val="24"/>
          <w:szCs w:val="24"/>
        </w:rPr>
        <w:fldChar w:fldCharType="end"/>
      </w:r>
      <w:r w:rsidR="008E3754" w:rsidRPr="00757919">
        <w:rPr>
          <w:rFonts w:ascii="Times New Roman" w:hAnsi="Times New Roman" w:cs="Times New Roman"/>
          <w:sz w:val="24"/>
          <w:szCs w:val="24"/>
        </w:rPr>
        <w:t>.</w:t>
      </w:r>
      <w:r w:rsidR="002541C5" w:rsidRPr="00757919">
        <w:rPr>
          <w:rFonts w:ascii="Times New Roman" w:hAnsi="Times New Roman" w:cs="Times New Roman"/>
          <w:sz w:val="24"/>
          <w:szCs w:val="24"/>
        </w:rPr>
        <w:t xml:space="preserve"> Several studies have found an association between </w:t>
      </w:r>
      <w:r w:rsidR="007C433C" w:rsidRPr="00BC23F1">
        <w:rPr>
          <w:rFonts w:ascii="Symbol" w:hAnsi="Symbol" w:cs="Times New Roman"/>
          <w:sz w:val="24"/>
          <w:szCs w:val="24"/>
        </w:rPr>
        <w:t></w:t>
      </w:r>
      <w:r w:rsidR="002541C5" w:rsidRPr="00757919">
        <w:rPr>
          <w:rFonts w:ascii="Times New Roman" w:hAnsi="Times New Roman" w:cs="Times New Roman"/>
          <w:sz w:val="24"/>
          <w:szCs w:val="24"/>
        </w:rPr>
        <w:t>-blocker (BB) use</w:t>
      </w:r>
      <w:r w:rsidR="00CE7371">
        <w:rPr>
          <w:rFonts w:ascii="Times New Roman" w:hAnsi="Times New Roman" w:cs="Times New Roman"/>
          <w:sz w:val="24"/>
          <w:szCs w:val="24"/>
        </w:rPr>
        <w:t>,</w:t>
      </w:r>
      <w:r w:rsidR="002541C5" w:rsidRPr="00757919">
        <w:rPr>
          <w:rFonts w:ascii="Times New Roman" w:hAnsi="Times New Roman" w:cs="Times New Roman"/>
          <w:sz w:val="24"/>
          <w:szCs w:val="24"/>
        </w:rPr>
        <w:t xml:space="preserve"> decreased risk</w:t>
      </w:r>
      <w:r w:rsidR="00A01939" w:rsidRPr="00757919">
        <w:rPr>
          <w:rFonts w:ascii="Times New Roman" w:hAnsi="Times New Roman" w:cs="Times New Roman"/>
          <w:sz w:val="24"/>
          <w:szCs w:val="24"/>
        </w:rPr>
        <w:t xml:space="preserve"> of fracture</w:t>
      </w:r>
      <w:r w:rsidR="000A05EF" w:rsidRPr="00757919">
        <w:rPr>
          <w:rFonts w:ascii="Times New Roman" w:hAnsi="Times New Roman" w:cs="Times New Roman"/>
          <w:sz w:val="24"/>
          <w:szCs w:val="24"/>
        </w:rPr>
        <w:t>,</w:t>
      </w:r>
      <w:r w:rsidR="002541C5" w:rsidRPr="00757919">
        <w:rPr>
          <w:rFonts w:ascii="Times New Roman" w:hAnsi="Times New Roman" w:cs="Times New Roman"/>
          <w:sz w:val="24"/>
          <w:szCs w:val="24"/>
        </w:rPr>
        <w:t xml:space="preserve"> and higher </w:t>
      </w:r>
      <w:r w:rsidR="00107F5D">
        <w:rPr>
          <w:rFonts w:ascii="Times New Roman" w:hAnsi="Times New Roman" w:cs="Times New Roman"/>
          <w:sz w:val="24"/>
          <w:szCs w:val="24"/>
        </w:rPr>
        <w:t>BMD</w:t>
      </w:r>
      <w:r w:rsidR="00586577" w:rsidRPr="00757919">
        <w:rPr>
          <w:rFonts w:ascii="Times New Roman" w:hAnsi="Times New Roman" w:cs="Times New Roman"/>
          <w:sz w:val="24"/>
          <w:szCs w:val="24"/>
        </w:rPr>
        <w:fldChar w:fldCharType="begin"/>
      </w:r>
      <w:r w:rsidR="004A0274">
        <w:rPr>
          <w:rFonts w:ascii="Times New Roman" w:hAnsi="Times New Roman" w:cs="Times New Roman"/>
          <w:sz w:val="24"/>
          <w:szCs w:val="24"/>
        </w:rPr>
        <w:instrText xml:space="preserve"> ADDIN ZOTERO_ITEM CSL_CITATION {"citationID":"eB2OrhPN","properties":{"formattedCitation":"\\super 5\\uc0\\u8211{}8\\nosupersub{}","plainCitation":"5–8","noteIndex":0},"citationItems":[{"id":360,"uris":["http://zotero.org/users/3223062/items/5NVH4MYJ"],"uri":["http://zotero.org/users/3223062/items/5NVH4MYJ"],"itemData":{"id":360,"type":"article-journal","abstract":"Background\nThe association between beta-blockers (BB) and fracture risk is controversial, due largely to conflicting findings from previous studies. The present study sought to evaluate the effect of BB on fracture risk by using a Bayesian meta-analysis approach.\nMethods and results\nWe systematically retrieved 13 observational studies on the association between BB use and fracture risk. This meta-analysis involved more than 907,000 men and women with mean/median age of individual studies ranging from 43 to 81years. We used a hierarchical Bayesian random effects model to synthesize the results. BB use was associated with an average 17% reduction in the risk of any fracture (risk ratio [RR] 0.83; 95% credible interval [CrI]: 0.71–0.93), hip fracture (RR 0.83; 95% CrI: 0.70–0.92) and vertebral fracture (RR 0.81; 95% CrI: 0.61–0.99). The probability that BB use reduces fracture risk by at least 10% was 0.91.\nConclusions\nBeta-blockers are associated with reduced risk of fracture in older adults, but the effect size is likely to be modest.","container-title":"Bone","DOI":"10.1016/j.bone.2012.07.013","ISSN":"8756-3282","issue":"5","journalAbbreviation":"Bone","language":"en","page":"969-974","source":"ScienceDirect","title":"Association between beta-blockers and fracture risk: A Bayesian meta-analysis","title-short":"Association between beta-blockers and fracture risk","volume":"51","author":[{"family":"Yang","given":"Shuman"},{"family":"Nguyen","given":"Nguyen D."},{"family":"Eisman","given":"John A."},{"family":"Nguyen","given":"Tuan V."}],"issued":{"date-parts":[["2012",11,1]]}}},{"id":482,"uris":["http://zotero.org/users/3223062/items/PDYDDRRQ"],"uri":["http://zotero.org/users/3223062/items/PDYDDRRQ"],"itemData":{"id":482,"type":"article-journal","abstract":"This population-based study documented β-blocker use in 59/569 cases with incident fracture and 112/775 controls. OR for fracture associated with β-blocker use was 0.68 (95%CI, 0.49–0.96). β-Blockers were associated with higher BMD at the total hip (2.5%) and UD forearm (3.6%) after adjusting for age, anthropometry, and thiazide use. β-Blocker use is associated with reduced fracture risk and higher BMD. Introduction: Animal data suggests that bone formation is under β-adrenergic control and that β-blockers stimulate bone formation and/or inhibit bone resorption. Materials and Methods: We evaluated the association between β-blocker use, bone mineral density (BMD), and fracture risk in a population-based study in Geelong, a southeastern Australian city with a single teaching hospital and two radiological centers providing complete fracture ascertainment for the region. β-Blocker use was documented for 569 women with radiologically confirmed incident fractures and 775 controls without incident fracture. Medication use and lifestyle factors were documented by questionnaire. Results: Odds ratio for fracture associated with β-blocker use was 0.68 (95% CI, 0.49–0.96) for any fracture. Adjusting for age, weight, medications, and lifestyle factors had little effect on the odds ratio. β-Blocker use was associated with a higher BMD at the total hip (2.5%, p = 0.03) and ultradistal forearm (3.6%, p = 0.04) after adjustment for age, anthropometry, and thiazide use. Conclusion: β-Blockers are associated with a reduction in fracture risk and higher BMD.","container-title":"Journal of Bone and Mineral Research","DOI":"10.1359/jbmr.0301214","ISSN":"1523-4681","issue":"1","language":"en","page":"19-24","source":"Wiley Online Library","title":"β-Adrenergic Blockers Reduce the Risk of Fracture Partly by Increasing Bone Mineral Density: Geelong Osteoporosis Study","title-short":"β-Adrenergic Blockers Reduce the Risk of Fracture Partly by Increasing Bone Mineral Density","volume":"19","author":[{"family":"Pasco","given":"Julie A."},{"family":"Henry","given":"Margaret J."},{"family":"Sanders","given":"Kerrie M."},{"family":"Kotowicz","given":"Mark A."},{"family":"Seeman","given":"Ego"},{"family":"Nicholson","given":"Geoffrey C."}],"issued":{"date-parts":[["2004"]]}}},{"id":409,"uris":["http://zotero.org/users/3223062/items/2P4Q3ZBJ"],"uri":["http://zotero.org/users/3223062/items/2P4Q3ZBJ"],"itemData":{"id":409,"type":"article-journal","abstract":"Introduction:\nAnimal studies suggest that bone remodeling is under β-adrenergic control via the sympathetic nervous system. β blockers have been suggested to stimulate bone formation and/or inhibit bone resorption in animals as well as to reduce the risk of fracture in humans. The purpose of this study was to examine if these agents can have a preventive or therapeutic effect in osteoporosis.\nMaterials and methods:\nWe have studied the association of β blockers use with BMD, bone geometry, microarchitecture and fractures rates in postmenopausal women referred for bone density testing. From a total sample of 944 women, we identified 158 women who were taking β blockers and 341 age-matched women as controls. Bone geometry was investigated at the femoral neck on DXA images. Microarchitecture was evaluated by the H mean fractal parameter at the calcaneus.\nResults:\nThe odds ratio for fracture (at all sites) in the β blocker users was 0.56 (95% CI, 0.30–0.99). β blocker use was associated with a higher BMD at the femoral neck (+4.2%, p&lt;0.05) and L1–L4 (+3.2%, p&lt;0.05). Proximal femur scans revealed significantly higher cortical width (+3.6%, p&lt;0.05) at the femoral neck under β blockers. Femoral shaft measurement did not significantly differ under β blockers. Medication use and lifestyle factors indicated no association between β blockers and smoking, alcohol use, physical activity, corticosteroids and estrogen therapies. The H mean parameter was significantly higher in the β blockers group (0.619±0.029 vs. 0.607±0.023 in controls, p&lt;0.05), suggesting a better trabecular microarchitectural organization.\nConclusion:\nOur data suggest that the association of current use of β blockers with low fracture risk is mediated, at least in part, by effects on BMD, cortical bone geometry and trabecular bone microarchitecture.","container-title":"Bone","DOI":"10.1016/j.bone.2007.01.006","ISSN":"8756-3282","issue":"5","journalAbbreviation":"Bone","language":"en","page":"1209-1216","source":"ScienceDirect","title":"Protective effect of β blockers in postmenopausal women: Influence on fractures, bone density, micro and macroarchitecture","title-short":"Protective effect of β blockers in postmenopausal women","volume":"40","author":[{"family":"Bonnet","given":"N."},{"family":"Gadois","given":"C."},{"family":"McCloskey","given":"E."},{"family":"Lemineur","given":"G."},{"family":"Lespessailles","given":"E."},{"family":"Courteix","given":"D."},{"family":"Benhamou","given":"C. L"}],"issued":{"date-parts":[["2007",5,1]]}}},{"id":439,"uris":["http://zotero.org/users/3223062/items/DA4U3YGC"],"uri":["http://zotero.org/users/3223062/items/DA4U3YGC"],"itemData":{"id":439,"type":"article-journal","abstract":"CONTEXT: Animal studies suggest that the beta-blocker propranolol increases bone formation, but data on whether use of beta-blockers (with or without concomitant use of thiazide diuretics) is associated with reduced fracture risk in humans are limited.\nOBJECTIVE: To determine whether use of beta-blockers alone or in combination with thiazides is associated with a decreased risk of fracture in adults.\nDESIGN, SETTING, AND PARTICIPANTS: Case-control analysis using the UK General Practice Research Database (GPRD). The study included 30,601 case patients aged 30 to 79 years with an incident fracture diagnosis between 1993 and 1999 and 120,819 controls, matched to cases on age, sex, calendar time, and general practice attended.\nMAIN OUTCOME MEASURES: Odds ratios (ORs) of having a fracture in association with use of beta-blockers or a combination of beta-blockers with thiazides.\nRESULTS: The most frequent fractures were of the hand/lower arm (n = 12,837 [42.0%]) and of the foot (n = 4627 [15.1%]). Compared with patients who did not use either beta-blockers or thiazide diuretics, the OR for current use of beta-blockers only (&gt; or =3 prescriptions) was 0.77 (95% confidence interval [CI], 0.72-0.83); for current use of thiazides only (&gt; or =3 prescriptions), 0.80 (95% CI, 0.74-0.86); and for combined current use of beta-blockers and thiazides, 0.71 (95% CI, 0.64-0.79). Data were adjusted for smoking; body mass index; number of practice visits; and use of calcium channel blockers, angiotensin-converting enzyme inhibitors, antipsychotics, antidepressants, statins, antiepileptics, benzodiazepines, corticosteroids, and estrogens.\nCONCLUSIONS: Our data suggest that current use of beta-blockers is associated with a reduced risk of fractures, taken alone as well as in combination with thiazide diuretics. Many elderly patients with hypertension who are at risk of developing osteoporosis may potentially benefit from combined therapy with beta-blockers and thiazides.","container-title":"JAMA","DOI":"10.1001/jama.292.11.1326","ISSN":"1538-3598","issue":"11","journalAbbreviation":"JAMA","language":"eng","note":"PMID: 15367554","page":"1326-1332","source":"PubMed","title":"Use of beta-blockers and risk of fractures","volume":"292","author":[{"family":"Schlienger","given":"Raymond G."},{"family":"Kraenzlin","given":"Marius E."},{"family":"Jick","given":"Susan S."},{"family":"Meier","given":"Christoph R."}],"issued":{"date-parts":[["2004",9,15]]}}}],"schema":"https://github.com/citation-style-language/schema/raw/master/csl-citation.json"} </w:instrText>
      </w:r>
      <w:r w:rsidR="00586577" w:rsidRPr="00757919">
        <w:rPr>
          <w:rFonts w:ascii="Times New Roman" w:hAnsi="Times New Roman" w:cs="Times New Roman"/>
          <w:sz w:val="24"/>
          <w:szCs w:val="24"/>
        </w:rPr>
        <w:fldChar w:fldCharType="separate"/>
      </w:r>
      <w:r w:rsidR="004A0274" w:rsidRPr="004A0274">
        <w:rPr>
          <w:rFonts w:ascii="Times New Roman" w:hAnsi="Times New Roman" w:cs="Times New Roman"/>
          <w:sz w:val="24"/>
          <w:szCs w:val="24"/>
          <w:vertAlign w:val="superscript"/>
        </w:rPr>
        <w:t>5–8</w:t>
      </w:r>
      <w:r w:rsidR="00586577" w:rsidRPr="00757919">
        <w:rPr>
          <w:rFonts w:ascii="Times New Roman" w:hAnsi="Times New Roman" w:cs="Times New Roman"/>
          <w:sz w:val="24"/>
          <w:szCs w:val="24"/>
        </w:rPr>
        <w:fldChar w:fldCharType="end"/>
      </w:r>
      <w:r w:rsidR="0095630C">
        <w:rPr>
          <w:rFonts w:ascii="Times New Roman" w:hAnsi="Times New Roman" w:cs="Times New Roman"/>
          <w:sz w:val="24"/>
          <w:szCs w:val="24"/>
        </w:rPr>
        <w:t>, including a pilot randomized trial</w:t>
      </w:r>
      <w:r w:rsidR="00A568A5">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{"citationID":"BvUf7iVH","properties":{"formattedCitation":"\\super 9\\nosupersub{}","plainCitation":"9","noteIndex":0},"citationItems":[{"id":450,"uris":["http://zotero.org/users/3223062/items/NTE29JUR"],"uri":["http://zotero.org/users/3223062/items/NTE29JUR"],"itemData":{"id":450,"type":"article-journal","abstract":"BACKGROUND. Evidence from rodent studies indicates that the sympathetic nervous system (SNS) regulates bone metabolism, principally via β2-adrenergic receptors (β2-ARs). Given the conflicting human data, we used multiple approaches to evaluate the role of the SNS in regulating human bone metabolism., METHODS. Bone biopsies were obtained from 19 young and 19 elderly women for assessment of ADRB1, ADRB2, and ADRB3 mRNA expression. We examined the relationship of β-blocker use to bone microarchitecture by high-resolution peripheral quantitative CT in a population sample of 248 subjects. A total of 155 postmenopausal women were randomized to 1 of 5 treatment groups for 20 weeks: placebo; propranolol, 20 mg b.i.d.; propranolol, 40 mg b.i.d.; atenolol, 50 mg/day; or nebivolol, 5 mg/day. We took advantage of the β1-AR selectivity gradient of these drugs (propranolol [nonselective] &lt;&lt; atenolol [relatively β1-AR selective] &lt; nebivolol [highly β1-AR selective]) to define the β-AR selectivity for SNS effects on bone., RESULTS. ADRB1 and ADRB2, but not ADRB3, were expressed in human bone; patients treated clinically with β1-AR–selective blockers had better bone microarchitecture than did nonusers, and relative to placebo, atenolol and nebivolol, but not propranolol, reduced the bone resorption marker serum C-telopeptide of type I collagen (by 19.5% and 20.6%, respectively; P &lt; 0.01) and increased bone mineral density of the ultradistal radius (by 3.6% and 2.9%; P &lt; 0.01 and P &lt; 0.05, respectively)., CONCLUSIONS. These 3 independent lines of evidence strongly support a role for adrenergic signaling in the regulation of bone metabolism in humans, principally via β1-ARs., TRIAL REGISTRATION. ClinicalTrials.gov NCT02467400., FUNDING. This research was supported by the NIH (AG004875 and AR027065) and a Mayo Clinic Clinical and Translational Science Award (CTSA) (UL1 TR002377).,","container-title":"The Journal of Clinical Investigation","DOI":"10.1172/JCI122151","ISSN":"0021-9738","issue":"11","journalAbbreviation":"J Clin Invest","note":"PMID: 30153111\nPMCID: PMC6205387","page":"4832-4842","source":"PubMed Central","title":"Sympathetic β1-adrenergic signaling contributes to regulation of human bone metabolism","volume":"128","author":[{"family":"Khosla","given":"Sundeep"},{"family":"Drake","given":"Matthew T."},{"family":"Volkman","given":"Tammie L."},{"family":"Thicke","given":"Brianne S."},{"family":"Achenbach","given":"Sara J."},{"family":"Atkinson","given":"Elizabeth J."},{"family":"Joyner","given":"Michael J."},{"family":"Rosen","given":"Clifford J."},{"family":"Monroe","given":"David G."},{"family":"Farr","given":"Joshua N."}],"issued":{"date-parts":[["2018",11]]}}}],"schema":"https://github.com/citation-style-language/schema/raw/master/csl-citation.json"} </w:instrText>
      </w:r>
      <w:r w:rsidR="00A568A5">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9</w:t>
      </w:r>
      <w:r w:rsidR="00A568A5">
        <w:rPr>
          <w:rFonts w:ascii="Times New Roman" w:hAnsi="Times New Roman" w:cs="Times New Roman"/>
          <w:sz w:val="24"/>
          <w:szCs w:val="24"/>
        </w:rPr>
        <w:fldChar w:fldCharType="end"/>
      </w:r>
      <w:r w:rsidR="000A05EF" w:rsidRPr="00757919">
        <w:rPr>
          <w:rFonts w:ascii="Times New Roman" w:hAnsi="Times New Roman" w:cs="Times New Roman"/>
          <w:sz w:val="24"/>
          <w:szCs w:val="24"/>
        </w:rPr>
        <w:t xml:space="preserve"> </w:t>
      </w:r>
      <w:r w:rsidR="008E3866" w:rsidRPr="00757919">
        <w:rPr>
          <w:rFonts w:ascii="Times New Roman" w:hAnsi="Times New Roman" w:cs="Times New Roman"/>
          <w:sz w:val="24"/>
          <w:szCs w:val="24"/>
        </w:rPr>
        <w:t>This association is thought to be mediated, at least in part, by attenuation of adrenergic signaling in osteoblasts</w:t>
      </w:r>
      <w:r w:rsidR="003D3506">
        <w:rPr>
          <w:rFonts w:ascii="Times New Roman" w:hAnsi="Times New Roman" w:cs="Times New Roman"/>
          <w:sz w:val="24"/>
          <w:szCs w:val="24"/>
        </w:rPr>
        <w:t xml:space="preserve"> (Figure 1)</w:t>
      </w:r>
      <w:r w:rsidR="003D3506"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{"citationID":"iKUTlbQ6","properties":{"formattedCitation":"\\super 10\\uc0\\u8211{}13\\nosupersub{}","plainCitation":"10–13","noteIndex":0},"citationItems":[{"id":443,"uris":["http://zotero.org/users/3223062/items/MZ7UDQD8"],"uri":["http://zotero.org/users/3223062/items/MZ7UDQD8"],"itemData":{"id":443,"type":"article-journal","abstract":"It is from the discovery of leptin and the central nervous system as a regulator of bone remodeling that the presence of autonomic nerves within the skeleton transitioned from a mere histological observation to the mechanism whereby neurons of the central nervous system communicate with cells of the bone microenvironment and regulate bone homeostasis. This shift in paradigm sparked new preclinical and clinical investigations aimed at defining the contribution of sympathetic, parasympathetic, and sensory nerves to the process of bone development, bone mass accrual, bone remodeling, and cancer metastasis. The aim of this article is to review the data that led to the current understanding of the interactions between the autonomic and skeletal systems and to present a critical appraisal of the literature, bringing forth a schema that can put into physiological and clinical context the main genetic and pharmacological observations pointing to the existence of an autonomic control of skeletal homeostasis. The different types of nerves found in the skeleton, their functional interactions with bone cells, their impact on bone development, bone mass accrual and remodeling, and the possible clinical or pathophysiological relevance of these findings are discussed.","container-title":"Physiological Reviews","DOI":"10.1152/physrev.00014.2017","ISSN":"0031-9333","issue":"3","journalAbbreviation":"Physiological Reviews","page":"1083-1112","source":"www-physiology-org.ezproxy.library.tufts.edu (Atypon)","title":"Impact of the Autonomic Nervous System on the Skeleton","volume":"98","author":[{"family":"Elefteriou","given":"Florent"}],"issued":{"date-parts":[["2018",5,2]]}}},{"id":515,"uris":["http://zotero.org/users/3223062/items/CFMS6K6K"],"uri":["http://zotero.org/users/3223062/items/CFMS6K6K"],"itemData":{"id":515,"type":"article-journal","abstract":".An increasing number of studies suggest that nerve-derived signals play an important role in the regulation of bone remodeling. Neuropeptides and receptors/transporters of adrenergic, glutaminergic, serotoninergic, dopaminergic and sensory nature have been described in osteoblasts in vitro. Downstream signaling pathways and targets genes have been identified, but the in vivo relevance of these findings remained controversial until more recent gene gain and loss of function studies confirmed the role of CGRP and β2-adrenergic receptor signaling in osteoblasts. Tissue and time-conditional mutant mice originally generated for studies unrelated to bone are now available tools to determine the role of neuronal signaling in bone and to dissociate the central and peripheral role of these signals. Lastly, understanding how the central nervous system integrates homeostatic signals with the regulation of bone homeostasis will be the next exciting subject of research in the field.","container-title":"Cellular and Molecular Life Sciences CMLS","DOI":"10.1007/s00018-005-5175-3","ISSN":"1420-9071","issue":"19","journalAbbreviation":"Cell. Mol. Life Sci.","language":"en","page":"2339-2349","source":"Springer Link","title":"Neuronal signaling and the regulation of bone remodeling","volume":"62","author":[{"family":"Elefteriou","given":"F."}],"issued":{"date-parts":[["2005",10,1]]}}},{"id":476,"uris":["http://zotero.org/users/3223062/items/J8S2CANN"],"uri":["http://zotero.org/users/3223062/items/J8S2CANN"],"itemData":{"id":476,"type":"article-journal","abstract":"Bone structure and function are maintained by bone remodelling, a balance of bone resorption by osteoclasts and bone formation by osteoblasts. New work in mice suggests that leptin, best known as a hormone regulating body weight, may play a major role in striking this balance. In one pathway, leptin stimulation of sympathetic neurons promotes differentiation of osteoclasts (and resorption) and in the other, a neuropeptide called CART inhibits osteoclast differentiation. Blockade of the leptin-regulated neural pathway might help prevent bone loss in osteoporosis.","container-title":"Nature","DOI":"10.1038/nature03398","ISSN":"1476-4687","issue":"7032","journalAbbreviation":"Nature","language":"en","page":"514-520","source":"www-nature-com.ezproxy.library.tufts.edu","title":"Leptin regulation of bone resorption by the sympathetic nervous system and CART","volume":"434","author":[{"family":"Elefteriou","given":"Florent"},{"family":"Ahn","given":"Jong Deok"},{"family":"Takeda","given":"Shu"},{"family":"Starbuck","given":"Michael"},{"family":"Yang","given":"Xiangli"},{"family":"Liu","given":"Xiuyun"},{"family":"Kondo","given":"Hisataka"},{"family":"Richards","given":"William G."},{"family":"Bannon","given":"Tony W."},{"family":"Noda","given":"Masaki"},{"family":"Clement","given":"Karine"},{"family":"Vaisse","given":"Christian"},{"family":"Karsenty","given":"Gerard"}],"issued":{"date-parts":[["2005",3]]}}},{"id":92,"uris":["http://zotero.org/users/3223062/items/6HHTGN2R"],"uri":["http://zotero.org/users/3223062/items/6HHTGN2R"],"itemData":{"id":92,"type":"article-journal","abstract":"Copyright © 2012 by The Endocrine SocietyIn this edition of the JCEM, Farr et al. (1) explore the role of the sympathetic nervous system (SNS) in the pathophysiology of osteoporosis. They hypothesized that sympathetic tone would be increased in postmenopausal women and that this rise would be associated with a lower trabecular bone volume fraction in the radius, as well as decreased serum amino-terminal propeptide of type I procollagen (PINP), a marker of bone formation and osteopontin (1). To test their hypothesis, the investigators employed a well-recognized, albeit invasive method to measure sympathetic tone, i.e. intraarterial catheterization and microneurography of the peroneal nerve (2). Quantification of sympathetic activity was regressed against parameters of skeletal microarchitecture measured by high-resolution peripheral quantitative computed tomography (HRpQCT) as well as by indices of bone turnover; the results were then adjusted for age because both pre- and...","container-title":"The Journal of Clinical Endocrinology &amp; Metabolism","DOI":"10.1210/jc.2012-3205","ISSN":"0021-972X","issue":"11","journalAbbreviation":"J Clin Endocrinol Metab","page":"3908-3911","source":"academic-oup-com.ezproxy.library.tufts.edu","title":"The Skeleton and the Sympathetic Nervous System: It's about Time!","title-short":"The Skeleton and the Sympathetic Nervous System","volume":"97","author":[{"family":"Motyl","given":"Katherine J."},{"family":"Rosen","given":"Clifford J."}],"issued":{"date-parts":[["2012",11,1]]}}}],"schema":"https://github.com/citation-style-language/schema/raw/master/csl-citation.json"} </w:instrText>
      </w:r>
      <w:r w:rsidR="003D3506"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10–13</w:t>
      </w:r>
      <w:r w:rsidR="003D3506" w:rsidRPr="00757919">
        <w:rPr>
          <w:rFonts w:ascii="Times New Roman" w:hAnsi="Times New Roman" w:cs="Times New Roman"/>
          <w:sz w:val="24"/>
          <w:szCs w:val="24"/>
        </w:rPr>
        <w:fldChar w:fldCharType="end"/>
      </w:r>
      <w:r w:rsidR="008E3866" w:rsidRPr="00757919">
        <w:rPr>
          <w:rFonts w:ascii="Times New Roman" w:hAnsi="Times New Roman" w:cs="Times New Roman"/>
          <w:sz w:val="24"/>
          <w:szCs w:val="24"/>
        </w:rPr>
        <w:t xml:space="preserve">. </w:t>
      </w:r>
      <w:proofErr w:type="gramStart"/>
      <w:r w:rsidR="00483CF7">
        <w:rPr>
          <w:rFonts w:ascii="Times New Roman" w:hAnsi="Times New Roman" w:cs="Times New Roman"/>
          <w:sz w:val="24"/>
          <w:szCs w:val="24"/>
        </w:rPr>
        <w:t>In particular</w:t>
      </w:r>
      <w:r w:rsidR="003D3506" w:rsidRPr="00757919">
        <w:rPr>
          <w:rFonts w:ascii="Times New Roman" w:hAnsi="Times New Roman" w:cs="Times New Roman"/>
          <w:sz w:val="24"/>
          <w:szCs w:val="24"/>
        </w:rPr>
        <w:t xml:space="preserve">, </w:t>
      </w:r>
      <w:r w:rsidR="00483CF7">
        <w:rPr>
          <w:rFonts w:ascii="Times New Roman" w:hAnsi="Times New Roman" w:cs="Times New Roman"/>
          <w:sz w:val="24"/>
          <w:szCs w:val="24"/>
        </w:rPr>
        <w:t>it</w:t>
      </w:r>
      <w:proofErr w:type="gramEnd"/>
      <w:r w:rsidR="00483CF7">
        <w:rPr>
          <w:rFonts w:ascii="Times New Roman" w:hAnsi="Times New Roman" w:cs="Times New Roman"/>
          <w:sz w:val="24"/>
          <w:szCs w:val="24"/>
        </w:rPr>
        <w:t xml:space="preserve"> has been found that </w:t>
      </w:r>
      <w:r w:rsidR="003D3506" w:rsidRPr="00757919">
        <w:rPr>
          <w:rFonts w:ascii="Times New Roman" w:hAnsi="Times New Roman" w:cs="Times New Roman"/>
          <w:sz w:val="24"/>
          <w:szCs w:val="24"/>
        </w:rPr>
        <w:t xml:space="preserve">norepinephrine signaling activates </w:t>
      </w:r>
      <w:r w:rsidR="003D3506">
        <w:rPr>
          <w:rFonts w:ascii="Times New Roman" w:hAnsi="Times New Roman" w:cs="Times New Roman"/>
          <w:sz w:val="24"/>
          <w:szCs w:val="24"/>
        </w:rPr>
        <w:t>β</w:t>
      </w:r>
      <w:r w:rsidR="003D3506" w:rsidRPr="00757919">
        <w:rPr>
          <w:rFonts w:ascii="Times New Roman" w:hAnsi="Times New Roman" w:cs="Times New Roman"/>
          <w:sz w:val="24"/>
          <w:szCs w:val="24"/>
        </w:rPr>
        <w:t xml:space="preserve">-adrenergic receptors in osteoblasts leading to signaling through cyclic AMP and protein kinase A, resulting in the activation of </w:t>
      </w:r>
      <w:r w:rsidR="003D3506" w:rsidRPr="00BC23F1">
        <w:rPr>
          <w:rFonts w:ascii="Times New Roman" w:hAnsi="Times New Roman" w:cs="Times New Roman"/>
          <w:iCs/>
          <w:sz w:val="24"/>
          <w:szCs w:val="24"/>
        </w:rPr>
        <w:t>ATF4</w:t>
      </w:r>
      <w:r w:rsidR="003D3506">
        <w:rPr>
          <w:rFonts w:ascii="Times New Roman" w:hAnsi="Times New Roman" w:cs="Times New Roman"/>
          <w:sz w:val="24"/>
          <w:szCs w:val="24"/>
        </w:rPr>
        <w:t xml:space="preserve">. ATF4 is </w:t>
      </w:r>
      <w:r w:rsidR="003D3506" w:rsidRPr="00757919">
        <w:rPr>
          <w:rFonts w:ascii="Times New Roman" w:hAnsi="Times New Roman" w:cs="Times New Roman"/>
          <w:sz w:val="24"/>
          <w:szCs w:val="24"/>
        </w:rPr>
        <w:t xml:space="preserve">a transcription factor that induces transcription of </w:t>
      </w:r>
      <w:r w:rsidR="003D3506" w:rsidRPr="00BC23F1">
        <w:rPr>
          <w:rFonts w:ascii="Times New Roman" w:hAnsi="Times New Roman" w:cs="Times New Roman"/>
          <w:sz w:val="24"/>
          <w:szCs w:val="24"/>
        </w:rPr>
        <w:t>TNFSF1</w:t>
      </w:r>
      <w:r w:rsidR="003D3506">
        <w:rPr>
          <w:rFonts w:ascii="Times New Roman" w:hAnsi="Times New Roman" w:cs="Times New Roman"/>
          <w:sz w:val="24"/>
          <w:szCs w:val="24"/>
        </w:rPr>
        <w:t>1</w:t>
      </w:r>
      <w:r w:rsidR="003D3506" w:rsidRPr="00BC23F1">
        <w:rPr>
          <w:rFonts w:ascii="Times New Roman" w:hAnsi="Times New Roman" w:cs="Times New Roman"/>
          <w:sz w:val="24"/>
          <w:szCs w:val="24"/>
        </w:rPr>
        <w:t xml:space="preserve"> (RANKL)</w:t>
      </w:r>
      <w:r w:rsidR="003D3506" w:rsidRPr="00253A0E">
        <w:rPr>
          <w:rFonts w:ascii="Times New Roman" w:hAnsi="Times New Roman" w:cs="Times New Roman"/>
          <w:sz w:val="24"/>
          <w:szCs w:val="24"/>
        </w:rPr>
        <w:t>.</w:t>
      </w:r>
      <w:r w:rsidR="003D3506" w:rsidRPr="00757919">
        <w:rPr>
          <w:rFonts w:ascii="Times New Roman" w:hAnsi="Times New Roman" w:cs="Times New Roman"/>
          <w:sz w:val="24"/>
          <w:szCs w:val="24"/>
        </w:rPr>
        <w:t xml:space="preserve"> </w:t>
      </w:r>
      <w:r w:rsidR="003D3506">
        <w:rPr>
          <w:rFonts w:ascii="Times New Roman" w:hAnsi="Times New Roman" w:cs="Times New Roman"/>
          <w:iCs/>
          <w:sz w:val="24"/>
          <w:szCs w:val="24"/>
        </w:rPr>
        <w:t>TNFSF11 (RANKL)</w:t>
      </w:r>
      <w:r w:rsidR="003D3506" w:rsidRPr="00757919">
        <w:rPr>
          <w:rFonts w:ascii="Times New Roman" w:hAnsi="Times New Roman" w:cs="Times New Roman"/>
          <w:sz w:val="24"/>
          <w:szCs w:val="24"/>
        </w:rPr>
        <w:t xml:space="preserve"> is secreted from osteoblasts and binds to either </w:t>
      </w:r>
      <w:r w:rsidR="003D3506">
        <w:rPr>
          <w:rFonts w:ascii="Times New Roman" w:hAnsi="Times New Roman" w:cs="Times New Roman"/>
          <w:iCs/>
          <w:sz w:val="24"/>
          <w:szCs w:val="24"/>
        </w:rPr>
        <w:t>TNFRSF11A (RANK)</w:t>
      </w:r>
      <w:r w:rsidR="003D3506" w:rsidRPr="00757919">
        <w:rPr>
          <w:rFonts w:ascii="Times New Roman" w:hAnsi="Times New Roman" w:cs="Times New Roman"/>
          <w:sz w:val="24"/>
          <w:szCs w:val="24"/>
        </w:rPr>
        <w:t xml:space="preserve">, a receptor on the surface of osteoclasts, or </w:t>
      </w:r>
      <w:proofErr w:type="spellStart"/>
      <w:r w:rsidR="003D3506" w:rsidRPr="00757919">
        <w:rPr>
          <w:rFonts w:ascii="Times New Roman" w:hAnsi="Times New Roman" w:cs="Times New Roman"/>
          <w:sz w:val="24"/>
          <w:szCs w:val="24"/>
        </w:rPr>
        <w:t>osteoprotegerin</w:t>
      </w:r>
      <w:proofErr w:type="spellEnd"/>
      <w:r w:rsidR="003D3506" w:rsidRPr="00757919">
        <w:rPr>
          <w:rFonts w:ascii="Times New Roman" w:hAnsi="Times New Roman" w:cs="Times New Roman"/>
          <w:sz w:val="24"/>
          <w:szCs w:val="24"/>
        </w:rPr>
        <w:t xml:space="preserve"> (</w:t>
      </w:r>
      <w:r w:rsidR="003D3506" w:rsidRPr="00BC23F1">
        <w:rPr>
          <w:rFonts w:ascii="Times New Roman" w:hAnsi="Times New Roman" w:cs="Times New Roman"/>
          <w:iCs/>
          <w:sz w:val="24"/>
          <w:szCs w:val="24"/>
        </w:rPr>
        <w:t>OPG</w:t>
      </w:r>
      <w:r w:rsidR="003D3506" w:rsidRPr="00757919">
        <w:rPr>
          <w:rFonts w:ascii="Times New Roman" w:hAnsi="Times New Roman" w:cs="Times New Roman"/>
          <w:sz w:val="24"/>
          <w:szCs w:val="24"/>
        </w:rPr>
        <w:t xml:space="preserve">), a soluble decoy receptor produced by osteoblasts. </w:t>
      </w:r>
      <w:r w:rsidR="003D3506">
        <w:rPr>
          <w:rFonts w:ascii="Times New Roman" w:hAnsi="Times New Roman" w:cs="Times New Roman"/>
          <w:iCs/>
          <w:sz w:val="24"/>
          <w:szCs w:val="24"/>
        </w:rPr>
        <w:t>TNFSF11 (RANKL)</w:t>
      </w:r>
      <w:r w:rsidR="003D3506" w:rsidRPr="001266A5">
        <w:rPr>
          <w:rFonts w:ascii="Times New Roman" w:hAnsi="Times New Roman" w:cs="Times New Roman"/>
          <w:iCs/>
          <w:sz w:val="24"/>
          <w:szCs w:val="24"/>
        </w:rPr>
        <w:t xml:space="preserve"> </w:t>
      </w:r>
      <w:r w:rsidR="003D3506" w:rsidRPr="00757919">
        <w:rPr>
          <w:rFonts w:ascii="Times New Roman" w:hAnsi="Times New Roman" w:cs="Times New Roman"/>
          <w:sz w:val="24"/>
          <w:szCs w:val="24"/>
        </w:rPr>
        <w:t>signaling</w:t>
      </w:r>
      <w:r w:rsidR="003D3506">
        <w:rPr>
          <w:rFonts w:ascii="Times New Roman" w:hAnsi="Times New Roman" w:cs="Times New Roman"/>
          <w:sz w:val="24"/>
          <w:szCs w:val="24"/>
        </w:rPr>
        <w:t xml:space="preserve"> through </w:t>
      </w:r>
      <w:r w:rsidR="003D3506">
        <w:rPr>
          <w:rFonts w:ascii="Times New Roman" w:hAnsi="Times New Roman" w:cs="Times New Roman"/>
          <w:iCs/>
          <w:sz w:val="24"/>
          <w:szCs w:val="24"/>
        </w:rPr>
        <w:t xml:space="preserve">TNFRSF11A (RANK) </w:t>
      </w:r>
      <w:r w:rsidR="003D3506" w:rsidRPr="00757919">
        <w:rPr>
          <w:rFonts w:ascii="Times New Roman" w:hAnsi="Times New Roman" w:cs="Times New Roman"/>
          <w:sz w:val="24"/>
          <w:szCs w:val="24"/>
        </w:rPr>
        <w:t>leads to increased bone resorption due to increased osteoclast activity and differentiation.</w:t>
      </w:r>
    </w:p>
    <w:p w14:paraId="50A80791" w14:textId="3F2AEDAA" w:rsidR="0035008A" w:rsidRPr="00757919" w:rsidRDefault="00483CF7" w:rsidP="0017023E">
      <w:pPr>
        <w:spacing w:line="480" w:lineRule="auto"/>
        <w:rPr>
          <w:rFonts w:ascii="Times New Roman" w:eastAsia="Arial" w:hAnsi="Times New Roman" w:cs="Times New Roman"/>
          <w:sz w:val="24"/>
          <w:szCs w:val="24"/>
        </w:rPr>
      </w:pPr>
      <w:r>
        <w:rPr>
          <w:rFonts w:ascii="Times New Roman" w:hAnsi="Times New Roman" w:cs="Times New Roman"/>
          <w:sz w:val="24"/>
          <w:szCs w:val="24"/>
        </w:rPr>
        <w:t xml:space="preserve">While many studies have found an association between BB use and bone outcomes, </w:t>
      </w:r>
      <w:r w:rsidR="000A05EF" w:rsidRPr="00757919">
        <w:rPr>
          <w:rFonts w:ascii="Times New Roman" w:hAnsi="Times New Roman" w:cs="Times New Roman"/>
          <w:sz w:val="24"/>
          <w:szCs w:val="24"/>
        </w:rPr>
        <w:t xml:space="preserve">there is variability in </w:t>
      </w:r>
      <w:r w:rsidR="00757919" w:rsidRPr="00757919">
        <w:rPr>
          <w:rFonts w:ascii="Times New Roman" w:hAnsi="Times New Roman" w:cs="Times New Roman"/>
          <w:sz w:val="24"/>
          <w:szCs w:val="24"/>
        </w:rPr>
        <w:t xml:space="preserve">the </w:t>
      </w:r>
      <w:r w:rsidR="000A05EF" w:rsidRPr="00757919">
        <w:rPr>
          <w:rFonts w:ascii="Times New Roman" w:hAnsi="Times New Roman" w:cs="Times New Roman"/>
          <w:sz w:val="24"/>
          <w:szCs w:val="24"/>
        </w:rPr>
        <w:t>effect size</w:t>
      </w:r>
      <w:r w:rsidR="00586577" w:rsidRPr="00757919">
        <w:rPr>
          <w:rFonts w:ascii="Times New Roman" w:hAnsi="Times New Roman" w:cs="Times New Roman"/>
          <w:sz w:val="24"/>
          <w:szCs w:val="24"/>
        </w:rPr>
        <w:fldChar w:fldCharType="begin"/>
      </w:r>
      <w:r w:rsidR="00260B6D" w:rsidRPr="00757919">
        <w:rPr>
          <w:rFonts w:ascii="Times New Roman" w:hAnsi="Times New Roman" w:cs="Times New Roman"/>
          <w:sz w:val="24"/>
          <w:szCs w:val="24"/>
        </w:rPr>
        <w:instrText xml:space="preserve"> ADDIN ZOTERO_ITEM CSL_CITATION {"citationID":"0WPSS28V","properties":{"formattedCitation":"\\super 5\\uc0\\u8211{}7\\nosupersub{}","plainCitation":"5–7","noteIndex":0},"citationItems":[{"id":360,"uris":["http://zotero.org/users/3223062/items/5NVH4MYJ"],"uri":["http://zotero.org/users/3223062/items/5NVH4MYJ"],"itemData":{"id":360,"type":"article-journal","abstract":"Background\nThe association between beta-blockers (BB) and fracture risk is controversial, due largely to conflicting findings from previous studies. The present study sought to evaluate the effect of BB on fracture risk by using a Bayesian meta-analysis approach.\nMethods and results\nWe systematically retrieved 13 observational studies on the association between BB use and fracture risk. This meta-analysis involved more than 907,000 men and women with mean/median age of individual studies ranging from 43 to 81years. We used a hierarchical Bayesian random effects model to synthesize the results. BB use was associated with an average 17% reduction in the risk of any fracture (risk ratio [RR] 0.83; 95% credible interval [CrI]: 0.71–0.93), hip fracture (RR 0.83; 95% CrI: 0.70–0.92) and vertebral fracture (RR 0.81; 95% CrI: 0.61–0.99). The probability that BB use reduces fracture risk by at least 10% was 0.91.\nConclusions\nBeta-blockers are associated with reduced risk of fracture in older adults, but the effect size is likely to be modest.","container-title":"Bone","DOI":"10.1016/j.bone.2012.07.013","ISSN":"8756-3282","issue":"5","journalAbbreviation":"Bone","language":"en","page":"969-974","source":"ScienceDirect","title":"Association between beta-blockers and fracture risk: A Bayesian meta-analysis","title-short":"Association between beta-blockers and fracture risk","volume":"51","author":[{"family":"Yang","given":"Shuman"},{"family":"Nguyen","given":"Nguyen D."},{"family":"Eisman","given":"John A."},{"family":"Nguyen","given":"Tuan V."}],"issued":{"date-parts":[["2012",11,1]]}}},{"id":482,"uris":["http://zotero.org/users/3223062/items/PDYDDRRQ"],"uri":["http://zotero.org/users/3223062/items/PDYDDRRQ"],"itemData":{"id":482,"type":"article-journal","abstract":"This population-based study documented β-blocker use in 59/569 cases with incident fracture and 112/775 controls. OR for fracture associated with β-blocker use was 0.68 (95%CI, 0.49–0.96). β-Blockers were associated with higher BMD at the total hip (2.5%) and UD forearm (3.6%) after adjusting for age, anthropometry, and thiazide use. β-Blocker use is associated with reduced fracture risk and higher BMD. Introduction: Animal data suggests that bone formation is under β-adrenergic control and that β-blockers stimulate bone formation and/or inhibit bone resorption. Materials and Methods: We evaluated the association between β-blocker use, bone mineral density (BMD), and fracture risk in a population-based study in Geelong, a southeastern Australian city with a single teaching hospital and two radiological centers providing complete fracture ascertainment for the region. β-Blocker use was documented for 569 women with radiologically confirmed incident fractures and 775 controls without incident fracture. Medication use and lifestyle factors were documented by questionnaire. Results: Odds ratio for fracture associated with β-blocker use was 0.68 (95% CI, 0.49–0.96) for any fracture. Adjusting for age, weight, medications, and lifestyle factors had little effect on the odds ratio. β-Blocker use was associated with a higher BMD at the total hip (2.5%, p = 0.03) and ultradistal forearm (3.6%, p = 0.04) after adjustment for age, anthropometry, and thiazide use. Conclusion: β-Blockers are associated with a reduction in fracture risk and higher BMD.","container-title":"Journal of Bone and Mineral Research","DOI":"10.1359/jbmr.0301214","ISSN":"1523-4681","issue":"1","language":"en","page":"19-24","source":"Wiley Online Library","title":"β-Adrenergic Blockers Reduce the Risk of Fracture Partly by Increasing Bone Mineral Density: Geelong Osteoporosis Study","title-short":"β-Adrenergic Blockers Reduce the Risk of Fracture Partly by Increasing Bone Mineral Density","volume":"19","author":[{"family":"Pasco","given":"Julie A."},{"family":"Henry","given":"Margaret J."},{"family":"Sanders","given":"Kerrie M."},{"family":"Kotowicz","given":"Mark A."},{"family":"Seeman","given":"Ego"},{"family":"Nicholson","given":"Geoffrey C."}],"issued":{"date-parts":[["2004"]]}}},{"id":409,"uris":["http://zotero.org/users/3223062/items/2P4Q3ZBJ"],"uri":["http://zotero.org/users/3223062/items/2P4Q3ZBJ"],"itemData":{"id":409,"type":"article-journal","abstract":"Introduction:\nAnimal studies suggest that bone remodeling is under β-adrenergic control via the sympathetic nervous system. β blockers have been suggested to stimulate bone formation and/or inhibit bone resorption in animals as well as to reduce the risk of fracture in humans. The purpose of this study was to examine if these agents can have a preventive or therapeutic effect in osteoporosis.\nMaterials and methods:\nWe have studied the association of β blockers use with BMD, bone geometry, microarchitecture and fractures rates in postmenopausal women referred for bone density testing. From a total sample of 944 women, we identified 158 women who were taking β blockers and 341 age-matched women as controls. Bone geometry was investigated at the femoral neck on DXA images. Microarchitecture was evaluated by the H mean fractal parameter at the calcaneus.\nResults:\nThe odds ratio for fracture (at all sites) in the β blocker users was 0.56 (95% CI, 0.30–0.99). β blocker use was associated with a higher BMD at the femoral neck (+4.2%, p&lt;0.05) and L1–L4 (+3.2%, p&lt;0.05). Proximal femur scans revealed significantly higher cortical width (+3.6%, p&lt;0.05) at the femoral neck under β blockers. Femoral shaft measurement did not significantly differ under β blockers. Medication use and lifestyle factors indicated no association between β blockers and smoking, alcohol use, physical activity, corticosteroids and estrogen therapies. The H mean parameter was significantly higher in the β blockers group (0.619±0.029 vs. 0.607±0.023 in controls, p&lt;0.05), suggesting a better trabecular microarchitectural organization.\nConclusion:\nOur data suggest that the association of current use of β blockers with low fracture risk is mediated, at least in part, by effects on BMD, cortical bone geometry and trabecular bone microarchitecture.","container-title":"Bone","DOI":"10.1016/j.bone.2007.01.006","ISSN":"8756-3282","issue":"5","journalAbbreviation":"Bone","language":"en","page":"1209-1216","source":"ScienceDirect","title":"Protective effect of β blockers in postmenopausal women: Influence on fractures, bone density, micro and macroarchitecture","title-short":"Protective effect of β blockers in postmenopausal women","volume":"40","author":[{"family":"Bonnet","given":"N."},{"family":"Gadois","given":"C."},{"family":"McCloskey","given":"E."},{"family":"Lemineur","given":"G."},{"family":"Lespessailles","given":"E."},{"family":"Courteix","given":"D."},{"family":"Benhamou","given":"C. L"}],"issued":{"date-parts":[["2007",5,1]]}}}],"schema":"https://github.com/citation-style-language/schema/raw/master/csl-citation.json"} </w:instrText>
      </w:r>
      <w:r w:rsidR="00586577" w:rsidRPr="00757919">
        <w:rPr>
          <w:rFonts w:ascii="Times New Roman" w:hAnsi="Times New Roman" w:cs="Times New Roman"/>
          <w:sz w:val="24"/>
          <w:szCs w:val="24"/>
        </w:rPr>
        <w:fldChar w:fldCharType="separate"/>
      </w:r>
      <w:r w:rsidR="00586577" w:rsidRPr="00757919">
        <w:rPr>
          <w:rFonts w:ascii="Times New Roman" w:hAnsi="Times New Roman" w:cs="Times New Roman"/>
          <w:sz w:val="24"/>
          <w:szCs w:val="24"/>
          <w:vertAlign w:val="superscript"/>
        </w:rPr>
        <w:t>5–7</w:t>
      </w:r>
      <w:r w:rsidR="00586577" w:rsidRPr="00757919">
        <w:rPr>
          <w:rFonts w:ascii="Times New Roman" w:hAnsi="Times New Roman" w:cs="Times New Roman"/>
          <w:sz w:val="24"/>
          <w:szCs w:val="24"/>
        </w:rPr>
        <w:fldChar w:fldCharType="end"/>
      </w:r>
      <w:r w:rsidR="000A05EF" w:rsidRPr="00757919">
        <w:rPr>
          <w:rFonts w:ascii="Times New Roman" w:hAnsi="Times New Roman" w:cs="Times New Roman"/>
          <w:sz w:val="24"/>
          <w:szCs w:val="24"/>
        </w:rPr>
        <w:t xml:space="preserve">, </w:t>
      </w:r>
      <w:r w:rsidR="007056E1">
        <w:rPr>
          <w:rFonts w:ascii="Times New Roman" w:hAnsi="Times New Roman" w:cs="Times New Roman"/>
          <w:sz w:val="24"/>
          <w:szCs w:val="24"/>
        </w:rPr>
        <w:t>and some negative studies</w:t>
      </w:r>
      <w:r w:rsidR="00586577"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{"citationID":"9ARIisSP","properties":{"formattedCitation":"\\super 14\\uc0\\u8211{}16\\nosupersub{}","plainCitation":"14–16","noteIndex":0},"citationItems":[{"id":397,"uris":["http://zotero.org/users/3223062/items/GAQ9F84Z"],"uri":["http://zotero.org/users/3223062/items/GAQ9F84Z"],"itemData":{"id":397,"type":"article-journal","abstract":"A role for osteoblastic β-adrenoreceptors in bone regulation is suggested by the finding that β-blockers increase bone mass in mice. We studied the association of β-blocker use with BMD and fractures in the Study of Osteoporotic Fractures. β-blocker use and BMD are unrelated in this cohort, and associations with fracture risk are inconsistent. Introduction: The central nervous system has been shown to regulate bone mass in mice, possibly by way of the β2-adrenoreceptors on osteoblasts. β-blockers have been shown to increase bone mass in mice. Because these agents are widely used therapeutically, it is possible that they may influence fracture epidemiology in humans, and they are a potential therapy for osteoporosis. Materials and Methods: We have studied the association of β-blocker use with BMD and fracture rates in the Study of Osteoporotic Fractures. β-blocker use was recorded at the fourth visit, in 8412 women, of whom 1099 were users, and these women were followed for 7 years. Results: Users had significantly higher weight, more thiazide use, more estrogen use, less glucocorticoid use, more statin use, and more hypertension than nonusers, and they smoked less. Total hip BMD at the fourth visit was higher in the β-blocker users (0.746 versus 0.735 g/cm2, p = 0.02), but adjustment for weight alone, or together with these other variables, eliminated this difference (p = 0.62). There was no effect of β-blocker use on loss of hip BMD over a mean follow-up of 4 years (p = 0.48). Os calcis BMD at visit 4 was also higher in those taking β-blockers (0.385 versus 0.375 g/cm2, p = 0.005), but weight adjustment eliminated this difference (p = 0.14). The frequencies of hip or any fracture (since age 50) were similar in users and nonusers (p = 0.80 and p = 0.51, respectively). Over a mean follow-up of 7 years, there were 2167 total fractures, including 431 at the wrist and 585 at the hip. Among β-blocker users, hazards ratios were 0.92 (0.81, 1.05) for any fracture, 0.74 (0.54, 1.01) for wrist fracture, and 0.76 (0.58, 0.99) for hip fracture. Adjustment for weight and other factors previously shown to influence hip fracture incidence in this cohort made little difference to the outcome. When fracture data were analyzed for nonselective and β1-selective agents separately, trends toward fewer fractures were confined to the users of selective β1-blockers. Conclusions: β-blocker use and BMD are unrelated in this cohort, and associations with fracture risk are inconsistent. Therefore, a history of use of these drugs is not useful in assessing fracture risk, nor do they have a role in osteoporosis management at this time. The relationship between β-blocker use and hip fracture deserves further study.","container-title":"Journal of Bone and Mineral Research","DOI":"10.1359/JBMR.041202","ISSN":"1523-4681","issue":"4","language":"en","note":"_eprint: https://onlinelibrary.wiley.com/doi/pdf/10.1359/JBMR.041202","page":"613-618","source":"Wiley Online Library","title":"β-Blocker Use, BMD, and Fractures in the Study of Osteoporotic Fractures","volume":"20","author":[{"family":"Reid","given":"Ian R."},{"family":"Gamble","given":"Gregory D."},{"family":"Grey","given":"Andrew B."},{"family":"Black","given":"Dennis M."},{"family":"Ensrud","given":"Kristine E."},{"family":"Browner","given":"Warren S."},{"family":"Bauer","given":"Douglas C."}],"issued":{"date-parts":[["2005"]]}}},{"id":396,"uris":["http://zotero.org/users/3223062/items/X8FG2CEM"],"uri":["http://zotero.org/users/3223062/items/X8FG2CEM"],"itemData":{"id":396,"type":"article-journal","abstract":"Î22-adrenergic receptors have been identified on human osteoblastic and osteoclastic cells, raising the question of a sympathetic regulation of bone metabolism. We investigated effects of treatment with Î2-adrenergic receptor antagonists (Î2-blockers) on bone turnover, bone mineral density (BMD), and fracture risk. Within the Danish Osteoporosis Prevention Study (DOPS) a population based, comprehensive cohort study of 2016 perimenopausal women, associations between treatment with Î2-blockers and bone turnover and BMD were assessed in a cross-sectional design at the start of study. Moreover, in a nested case-control design, fracture risk during the subsequent 5 years was assessed in relation to treatment with Î2-blockers at baseline. Multiple regression- and logistic regression-analyses were performed. Treatment with Î2-blockers was associated with a threefold increased fracture risk (ORadj 3.3; 95% CI: 1.1–9.4). Analyses on duration of treatment showed that women who had been treated for more than 8 years had a higher fracture risk (ORadj 5.3; 95% CI: 1.1–26.3) than those treated for less than 8 years (ORadj 2.4; 95% CI: 0.6–9.5). In addition, cross-sectional data showed 20% lower serum osteocalcin levels (an osteoblastic marker of bone formation) in women treated with Î2-blockers compared to untreated women (P &lt; 0.001), whereas BMD at the lumbar spine and femoral neck did not differ between groups. Î2-blockers may decrease the activity of bone-forming cells and thereby increase fracture risk. However, confirmative studies and studies exploring mechanisms of action are needed.","container-title":"Calcified Tissue International","DOI":"10.1007/s00223-004-0222-x","ISSN":"1432-0827","issue":"5","journalAbbreviation":"Calcif Tissue Int","language":"en","page":"365-372","source":"Springer Link","title":"Fracture Risk in Perimenopausal Women Treated with Beta-Blockers","volume":"75","author":[{"family":"Rejnmark","given":"Lars"},{"family":"Vestergaard","given":"Peter"},{"family":"Kassem","given":"Moustapha"},{"family":"Christoffersen","given":"Bo Rud"},{"family":"Kolthoff","given":"Niels"},{"family":"Brixen","given":"Kim"},{"family":"Mosekilde","given":"Leif"}],"issued":{"date-parts":[["2004",11,1]]}}},{"id":395,"uris":["http://zotero.org/users/3223062/items/8QGATI4I"],"uri":["http://zotero.org/users/3223062/items/8QGATI4I"],"itemData":{"id":395,"type":"article-journal","abstract":"Purpose\nSeveral blood pressure lowering drugs may affect bone mineral density (BMD), leading to altered fracture risk. We examined the effect of blood pressure lowering drugs on BMD using data from the Study of Women’s Health Across the Nation.\n\nMethods\nWe conducted a propensity score matched cohort study. Women were initiators of ACE inhibitors (ACEi), beta-blockers (BB), or thiazide diuretics (THZD). Their annualized BMD changes during the 14-years of observation were compared with non-users.\n\nResults\nAmong the 2312 eligible women, we found 69 ACEi, 71 BB, and 74 THZD users who were matched by a propensity score with the same number of non-users. THZD users had a slower annual percent decline in BMD compared to nonusers at the femoral neck (FN) (−0.28% vs −0.88%; p = 0.008) and the spine (−0.74% vs −1.0%; p = 0.34), albeit not statistically significant. Annual percent changes in BMD among ACEi and BB users were similar to rates in non-users. In comparison with BB, THZD use was associated with a trend toward less annualized BMD loss at the spine (−0.35% vs −0.60%; p = 0.08) and a similar trend at the FN (−0.39% vs −0.64%; p = 0.08); in comparisons with ACEi, THZD was also associated with less loss at the FN (−0.48% vs −0.82%; p = 0.02), but not at the spine (−0.40% vs −0.56%; p = 0.23).\n\nConclusions\nNeither ACEi nor BB were associated with improvements in BMD. THZD use was associated with less annualized loss of BMD compared with non-users, as well as compared with ACEi and BB.","container-title":"Osteoporosis international : a journal established as result of cooperation between the European Foundation for Osteoporosis and the National Osteoporosis Foundation of the USA","DOI":"10.1007/s00198-015-3332-6","ISSN":"0937-941X","issue":"3","journalAbbreviation":"Osteoporos Int","note":"PMID: 26449354\nPMCID: PMC4813302","page":"1181-1189","source":"PubMed Central","title":"Bone Mineral Density Changes Among Women Initiating Blood Pressure Lowering Drugs: A SWAN Cohort Study","title-short":"Bone Mineral Density Changes Among Women Initiating Blood Pressure Lowering Drugs","volume":"27","author":[{"family":"Solomon","given":"Daniel H."},{"family":"Ruppert","given":"Kristine"},{"family":"Zhao","given":"Zhenping"},{"family":"Lian","given":"YinJuan"},{"family":"Kuo","given":"I-Hsin"},{"family":"Greendale","given":"Gail A."},{"family":"Finkelstein","given":"Joel S."}],"issued":{"date-parts":[["2016",3]]}}}],"schema":"https://github.com/citation-style-language/schema/raw/master/csl-citation.json"} </w:instrText>
      </w:r>
      <w:r w:rsidR="00586577"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14–16</w:t>
      </w:r>
      <w:r w:rsidR="00586577" w:rsidRPr="00757919">
        <w:rPr>
          <w:rFonts w:ascii="Times New Roman" w:hAnsi="Times New Roman" w:cs="Times New Roman"/>
          <w:sz w:val="24"/>
          <w:szCs w:val="24"/>
        </w:rPr>
        <w:fldChar w:fldCharType="end"/>
      </w:r>
      <w:r w:rsidR="000A05EF" w:rsidRPr="00757919">
        <w:rPr>
          <w:rFonts w:ascii="Times New Roman" w:hAnsi="Times New Roman" w:cs="Times New Roman"/>
          <w:sz w:val="24"/>
          <w:szCs w:val="24"/>
        </w:rPr>
        <w:t>.</w:t>
      </w:r>
      <w:r w:rsidR="00656938" w:rsidRPr="00757919">
        <w:rPr>
          <w:rFonts w:ascii="Times New Roman" w:hAnsi="Times New Roman" w:cs="Times New Roman"/>
          <w:sz w:val="24"/>
          <w:szCs w:val="24"/>
        </w:rPr>
        <w:t xml:space="preserve"> W</w:t>
      </w:r>
      <w:r w:rsidR="007056E1">
        <w:rPr>
          <w:rFonts w:ascii="Times New Roman" w:hAnsi="Times New Roman" w:cs="Times New Roman"/>
          <w:sz w:val="24"/>
          <w:szCs w:val="24"/>
        </w:rPr>
        <w:t xml:space="preserve">e hypothesize that </w:t>
      </w:r>
      <w:r w:rsidR="00656938" w:rsidRPr="00757919">
        <w:rPr>
          <w:rFonts w:ascii="Times New Roman" w:hAnsi="Times New Roman" w:cs="Times New Roman"/>
          <w:sz w:val="24"/>
          <w:szCs w:val="24"/>
        </w:rPr>
        <w:t>genetic</w:t>
      </w:r>
      <w:r w:rsidR="00A568A5">
        <w:rPr>
          <w:rFonts w:ascii="Times New Roman" w:hAnsi="Times New Roman" w:cs="Times New Roman"/>
          <w:sz w:val="24"/>
          <w:szCs w:val="24"/>
        </w:rPr>
        <w:t xml:space="preserve"> </w:t>
      </w:r>
      <w:r w:rsidR="007056E1">
        <w:rPr>
          <w:rFonts w:ascii="Times New Roman" w:hAnsi="Times New Roman" w:cs="Times New Roman"/>
          <w:sz w:val="24"/>
          <w:szCs w:val="24"/>
        </w:rPr>
        <w:t>variation</w:t>
      </w:r>
      <w:r w:rsidR="00656938" w:rsidRPr="00757919">
        <w:rPr>
          <w:rFonts w:ascii="Times New Roman" w:hAnsi="Times New Roman" w:cs="Times New Roman"/>
          <w:sz w:val="24"/>
          <w:szCs w:val="24"/>
        </w:rPr>
        <w:t xml:space="preserve"> may </w:t>
      </w:r>
      <w:r w:rsidR="007056E1">
        <w:rPr>
          <w:rFonts w:ascii="Times New Roman" w:hAnsi="Times New Roman" w:cs="Times New Roman"/>
          <w:sz w:val="24"/>
          <w:szCs w:val="24"/>
        </w:rPr>
        <w:t>contribute to this variability</w:t>
      </w:r>
      <w:r w:rsidR="00656938" w:rsidRPr="00757919">
        <w:rPr>
          <w:rFonts w:ascii="Times New Roman" w:hAnsi="Times New Roman" w:cs="Times New Roman"/>
          <w:sz w:val="24"/>
          <w:szCs w:val="24"/>
        </w:rPr>
        <w:t xml:space="preserve"> given the large genetic component of </w:t>
      </w:r>
      <w:r w:rsidR="00725270">
        <w:rPr>
          <w:rFonts w:ascii="Times New Roman" w:hAnsi="Times New Roman" w:cs="Times New Roman"/>
          <w:sz w:val="24"/>
          <w:szCs w:val="24"/>
        </w:rPr>
        <w:t>BMD</w:t>
      </w:r>
      <w:r w:rsidR="00656938" w:rsidRPr="00757919">
        <w:rPr>
          <w:rFonts w:ascii="Times New Roman" w:hAnsi="Times New Roman" w:cs="Times New Roman"/>
          <w:sz w:val="24"/>
          <w:szCs w:val="24"/>
        </w:rPr>
        <w:t xml:space="preserve"> itself</w:t>
      </w:r>
      <w:r w:rsidR="00BC435C"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{"citationID":"P6C2eCPn","properties":{"formattedCitation":"\\super 17\\nosupersub{}","plainCitation":"17","noteIndex":0},"citationItems":[{"id":276,"uris":["http://zotero.org/users/3223062/items/5SF47QZK"],"uri":["http://zotero.org/users/3223062/items/5SF47QZK"],"itemData":{"id":276,"type":"article-journal","abstract":"Osteoporosis is a common disease with a strong genetic component characterised by low bone mass, microarchitectural deterioration of bone tissue and an increased risk of fracture. Twin and family studies have shown that genetic factors play an important role in regulating bone mineral density and other determinants of osteoporotic fracture risk, such as ultrasound properties of bone, skeletal geometry and bone turnover. Osteoporosis is a polygenic disorder, determined by the effects of several genes, each with relatively modest effects on bone mass and other determinants of fracture risk. It is only on rare occasions that osteoporosis occurs as the result of mutations in a single gene. Linkage studies in man and experimental animals have defined multiple loci which regulate bone mass but the genes responsible for these effects remain to be defined. Population-based studies and case-control studies have similarly identified polymorphisms in several candidate genes that have been associated with bone mass or osteoporotic fracture, including the vitamin D receptor, oestrogen receptor and collagen type IalphaI gene. The individual contribution of these genes to the pathogenesis of osteoporosis is small however, reflected by the fact that the relationship between individual candidate genes and osteoporosis has been inconsistent in different studies. An important aim of future work will be to define how the genes which regulate bone mass, bone turnover and other aspects of bone metabolism interact with each other and with environmental variables to cause osteoporosis in individual patients. If that aim can be achieved then there is every prospect that preventative therapy could be targeted to those at greatest risk of the osteoporosis, before fractures have occurred.","container-title":"The Journal of Endocrinology","DOI":"10.1677/joe.0.1660235","ISSN":"0022-0795","issue":"2","journalAbbreviation":"J. Endocrinol.","language":"eng","note":"PMID: 10927613","page":"235-245","source":"PubMed","title":"Role of genetic factors in the pathogenesis of osteoporosis","volume":"166","author":[{"family":"Stewart","given":"T. L."},{"family":"Ralston","given":"S. H."}],"issued":{"date-parts":[["2000",8]]}}}],"schema":"https://github.com/citation-style-language/schema/raw/master/csl-citation.json"} </w:instrText>
      </w:r>
      <w:r w:rsidR="00BC435C"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17</w:t>
      </w:r>
      <w:r w:rsidR="00BC435C" w:rsidRPr="00757919">
        <w:rPr>
          <w:rFonts w:ascii="Times New Roman" w:hAnsi="Times New Roman" w:cs="Times New Roman"/>
          <w:sz w:val="24"/>
          <w:szCs w:val="24"/>
        </w:rPr>
        <w:fldChar w:fldCharType="end"/>
      </w:r>
      <w:r w:rsidR="007056E1">
        <w:rPr>
          <w:rFonts w:ascii="Times New Roman" w:hAnsi="Times New Roman" w:cs="Times New Roman"/>
          <w:sz w:val="24"/>
          <w:szCs w:val="24"/>
        </w:rPr>
        <w:t>, and given the pharmacogenetic effects found for cardiovascular outcomes</w:t>
      </w:r>
      <w:r w:rsidR="00A264E5">
        <w:rPr>
          <w:rFonts w:ascii="Times New Roman" w:hAnsi="Times New Roman" w:cs="Times New Roman"/>
          <w:sz w:val="24"/>
          <w:szCs w:val="24"/>
        </w:rPr>
        <w:t xml:space="preserve"> </w:t>
      </w:r>
      <w:r w:rsidR="00586577"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{"citationID":"PwjwNtPs","properties":{"formattedCitation":"\\super 18\\uc0\\u8211{}21\\nosupersub{}","plainCitation":"18–21","noteIndex":0},"citationItems":[{"id":479,"uris":["http://zotero.org/users/3223062/items/FJXYTLQN"],"uri":["http://zotero.org/users/3223062/items/FJXYTLQN"],"itemData":{"id":479,"type":"article-journal","abstract":"β-Blockers are an important cardiovascular drug class, recommended as first-line treatment of numerous diseases such as heart failure, hypertension, and angina, as well as treatment after myocardial infarction. However, responses to a β-blocker are variable among patients. Results of numerous studies now suggest that genetic polymorphisms may contribute to variability in responses to β-blockers. This review summarizes the pharmacogenetic data for β-blockers in patients with various diseases and discusses the potential implications of β-blocker pharmacogenetics in clinical practice.","container-title":"Pharmacotherapy: The Journal of Human Pharmacology and Drug Therapy","DOI":"10.1592/phco.27.6.874","ISSN":"1875-9114","issue":"6","language":"en","page":"874-887","source":"Wiley Online Library","title":"Pharmacogenetics of β-Blockers","volume":"27","author":[{"family":"Shin","given":"Jaekyu"},{"family":"Johnson","given":"Julie A."}],"issued":{"date-parts":[["2007"]]}}},{"id":350,"uris":["http://zotero.org/users/3223062/items/BLQSZN92"],"uri":["http://zotero.org/users/3223062/items/BLQSZN92"],"itemData":{"id":350,"type":"article-journal","container-title":"Pharmacogenomics","DOI":"10.2217/pgs-2018-0191","ISSN":"1462-2416","issue":"3","journalAbbreviation":"Pharmacogenomics","note":"publisher: Future Medicine","page":"129-132","source":"futuremedicine.com (Atypon)","title":"The future of pharmacogenetics in the treatment of hypertension","volume":"20","author":[{"family":"Cunningham","given":"Patrick N"},{"family":"Chapman","given":"Arlene B"}],"issued":{"date-parts":[["2019",2,1]]}}},{"id":432,"uris":["http://zotero.org/users/3223062/items/M6V37EKC"],"uri":["http://zotero.org/users/3223062/items/M6V37EKC"],"itemData":{"id":432,"type":"article-journal","abstract":"African Americans suffer a higher prevalence of hypertension compared to other racial/ethnic groups. In this study, we performed a pharmacogenomics genome-wide association study of blood pressure response to β-blockers in African Americans with uncomplicated hypertension. Genome-wide meta-analysis was performed in 318 African American hypertensive participants in the two Pharmacogenomic Evaluation of Antihypertensive Responses studies: 150 treated with atenolol monotherapy and 168 treated with metoprolol monotherapy. The analysis adjusted for age, gender, baseline BP and principal components for ancestry. Genome-wide significant variants with p &lt; 5*10−8 and suggestive variants with p &lt; 5*10−7 were evaluated in an additional cohort of 141 African Americans treated with the addition of atenolol to hydrochlorothiazide treatment. The validated variants were then meta-analyzed in these 3 groups of African Americans. Two variants discovered in the monotherapy meta-analysis were validated in the add-on therapy. African American participants heterozygous for SLC25A31 rs201279313 deletion vs wild-type genotype had better diastolic blood pressure response to atenolol monotherapy, metoprolol monotherapy and atenolol add-on therapy: −9.3 vs. −4.6, −9.6 vs. −4.8 and −9.7 vs. −6.4 mmHg, respectively (3-group meta-analysis p= 2.5*10−8, beta = −4.42 mmHg per variant allele). Similarly, LRRC15 rs11313667 was validated for systolic blood pressure response to β-blocker therapy with 3-group meta-analysis p = 7.2 *10−8 and beta = −3.65 mmHg per variant allele. In this first pharmacogenomics genome-wide meta-analysis of BP response to β-blockers in African Americans, we identified novel variants that may provide valuable information for personalized antihypertensive treatment in this group.","container-title":"Hypertension","DOI":"10.1161/HYPERTENSIONAHA.115.06345","ISSN":"0194-911X","issue":"3","journalAbbreviation":"Hypertension","note":"PMID: 26729753\nPMCID: PMC4752391","page":"556-563","source":"PubMed Central","title":"PHARMACOGENOMIC GENOME-WIDE META-ANALYSIS OF BLOOD PRESSURE RESPONSE TO BETA-BLOCKERS IN HYPERTENSIVE AFRICAN AMERICANS","volume":"67","author":[{"family":"Gong","given":"Yan"},{"family":"Wang","given":"Zhiying"},{"family":"Beitelshees","given":"Amber L"},{"family":"McDonough","given":"Caitrin W"},{"family":"Langaee","given":"Taimour Y"},{"family":"Hall","given":"Karen"},{"family":"Schmidt","given":"Siegfried O.F."},{"family":"Curry","given":"Robert W"},{"family":"Gums","given":"John G"},{"family":"Bailey","given":"Kent R"},{"family":"Boerwinkle","given":"Eric"},{"family":"Chapman","given":"Arlene B"},{"family":"Turner","given":"Stephen T"},{"family":"Cooper-DeHoff","given":"Rhonda M"},{"family":"Johnson","given":"Julie A"}],"issued":{"date-parts":[["2016",3]]}}},{"id":431,"uris":["http://zotero.org/users/3223062/items/NZWJT8YP"],"uri":["http://zotero.org/users/3223062/items/NZWJT8YP"],"itemData":{"id":431,"type":"article-journal","abstract":"BackgroundFor many indications, the negative chronotropic effect of β‐blockers is important to their efficacy, yet the heart rate (HR) response to β‐blockers varies. Herein, we sought to use a genome‐wide association approach to identify novel single nucleotide polymorphisms (SNPs) associated with HR response to β‐blockers.Methods and ResultsWe first performed 4 genome‐wide association analyses for HR response to atenolol (a β1‐adrenergic receptor blocker) as: (1) monotherapy or (2) add‐on therapy, in 426 whites and 273 blacks separately from the PEAR (Pharmacogenomic Evaluation of Antihypertensive Responses) study. A meta‐analysis was then performed between the genome‐wide association analysis performed in PEAR atenolol monotherapy and add‐on therapy, in each race separately, using the inverse variance method assuming fixed effects. From this analysis, SNPs associated with HR response to atenolol at a P&lt;1E‐05 were tested for replication in whites (n=200) and blacks (n=168) treated with metoprolol (a β1‐adrenergic receptor blocker). From the genome‐wide association meta‐analyses, SNP rs17117817 near olfactory receptor family10 subfamily‐p‐member1 (OR10P1), and SNP rs2364349 in sorting nexin‐9 (SNX9) replicated in blacks. The combined studies meta‐analysis P values for the rs17117817 and rs2364349 reached genome‐wide significance (rs17117817G‐allele; Meta‐β=5.53 beats per minute, Meta‐P=2E‐09 and rs2364349 A‐allele; Meta‐β=3.5 beats per minute, Meta‐P=1E‐08). Additionally, SNPs in the OR10P1 and SNX9 gene regions were also associated with HR response in whites.ConclusionsThis study highlights OR10P1 and SNX9 as novel genes associated with changes in HR in response to β‐blockers.Clinical Trial RegistrationURL: http://www.clinicaltrials.gov. Unique identifier: NCT00246519.","container-title":"Journal of the American Heart Association","DOI":"10.1161/JAHA.117.006463","issue":"5","journalAbbreviation":"Journal of the American Heart Association","page":"e006463","source":"ahajournals.org (Atypon)","title":"Genome‐Wide Association Approach Identified Novel Genetic Predictors of Heart Rate Response to β‐Blockers","volume":"7","author":[{"literal":"Shahin Mohamed H."},{"literal":"Conrado Daniela J."},{"literal":"Gonzalez Daniel"},{"literal":"Gong Yan"},{"literal":"Lobmeyer Maximilian T."},{"literal":"Beitelshees Amber L."},{"literal":"Boerwinkle Eric"},{"literal":"Gums John G."},{"literal":"Chapman Arlene"},{"literal":"Turner Stephen T."},{"literal":"Cooper‐DeHoff Rhonda M."},{"literal":"Johnson Julie A."}]}}],"schema":"https://github.com/citation-style-language/schema/raw/master/csl-citation.json"} </w:instrText>
      </w:r>
      <w:r w:rsidR="00586577"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18–21</w:t>
      </w:r>
      <w:r w:rsidR="00586577" w:rsidRPr="00757919">
        <w:rPr>
          <w:rFonts w:ascii="Times New Roman" w:hAnsi="Times New Roman" w:cs="Times New Roman"/>
          <w:sz w:val="24"/>
          <w:szCs w:val="24"/>
        </w:rPr>
        <w:fldChar w:fldCharType="end"/>
      </w:r>
      <w:r w:rsidR="007056E1">
        <w:rPr>
          <w:rFonts w:ascii="Times New Roman" w:hAnsi="Times New Roman" w:cs="Times New Roman"/>
          <w:sz w:val="24"/>
          <w:szCs w:val="24"/>
        </w:rPr>
        <w:t>, with demonstrated associations in the beta</w:t>
      </w:r>
      <w:r w:rsidR="0089314D">
        <w:rPr>
          <w:rFonts w:ascii="Times New Roman" w:hAnsi="Times New Roman" w:cs="Times New Roman"/>
          <w:sz w:val="24"/>
          <w:szCs w:val="24"/>
        </w:rPr>
        <w:t>-</w:t>
      </w:r>
      <w:r w:rsidR="007056E1">
        <w:rPr>
          <w:rFonts w:ascii="Times New Roman" w:hAnsi="Times New Roman" w:cs="Times New Roman"/>
          <w:sz w:val="24"/>
          <w:szCs w:val="24"/>
        </w:rPr>
        <w:t>adrenergic receptor genes</w:t>
      </w:r>
      <w:r w:rsidR="00DA08FA">
        <w:rPr>
          <w:rFonts w:ascii="Times New Roman" w:hAnsi="Times New Roman" w:cs="Times New Roman"/>
          <w:sz w:val="24"/>
          <w:szCs w:val="24"/>
        </w:rPr>
        <w:t xml:space="preserve"> </w:t>
      </w:r>
      <w:r w:rsidR="00377EA3" w:rsidRPr="00757919">
        <w:rPr>
          <w:rFonts w:ascii="Times New Roman" w:eastAsia="Arial" w:hAnsi="Times New Roman" w:cs="Times New Roman"/>
          <w:sz w:val="24"/>
          <w:szCs w:val="24"/>
        </w:rPr>
        <w:fldChar w:fldCharType="begin"/>
      </w:r>
      <w:r w:rsidR="00A568A5">
        <w:rPr>
          <w:rFonts w:ascii="Times New Roman" w:eastAsia="Arial" w:hAnsi="Times New Roman" w:cs="Times New Roman"/>
          <w:sz w:val="24"/>
          <w:szCs w:val="24"/>
        </w:rPr>
        <w:instrText xml:space="preserve"> ADDIN ZOTERO_ITEM CSL_CITATION {"citationID":"lt71zT2V","properties":{"formattedCitation":"\\super 12,18,22\\uc0\\u8211{}25\\nosupersub{}","plainCitation":"12,18,22–25","noteIndex":0},"citationItems":[{"id":479,"uris":["http://zotero.org/users/3223062/items/FJXYTLQN"],"uri":["http://zotero.org/users/3223062/items/FJXYTLQN"],"itemData":{"id":479,"type":"article-journal","abstract":"β-Blockers are an important cardiovascular drug class, recommended as first-line treatment of numerous diseases such as heart failure, hypertension, and angina, as well as treatment after myocardial infarction. However, responses to a β-blocker are variable among patients. Results of numerous studies now suggest that genetic polymorphisms may contribute to variability in responses to β-blockers. This review summarizes the pharmacogenetic data for β-blockers in patients with various diseases and discusses the potential implications of β-blocker pharmacogenetics in clinical practice.","container-title":"Pharmacotherapy: The Journal of Human Pharmacology and Drug Therapy","DOI":"10.1592/phco.27.6.874","ISSN":"1875-9114","issue":"6","language":"en","page":"874-887","source":"Wiley Online Library","title":"Pharmacogenetics of β-Blockers","volume":"27","author":[{"family":"Shin","given":"Jaekyu"},{"family":"Johnson","given":"Julie A."}],"issued":{"date-parts":[["2007"]]}}},{"id":476,"uris":["http://zotero.org/users/3223062/items/J8S2CANN"],"uri":["http://zotero.org/users/3223062/items/J8S2CANN"],"itemData":{"id":476,"type":"article-journal","abstract":"Bone structure and function are maintained by bone remodelling, a balance of bone resorption by osteoclasts and bone formation by osteoblasts. New work in mice suggests that leptin, best known as a hormone regulating body weight, may play a major role in striking this balance. In one pathway, leptin stimulation of sympathetic neurons promotes differentiation of osteoclasts (and resorption) and in the other, a neuropeptide called CART inhibits osteoclast differentiation. Blockade of the leptin-regulated neural pathway might help prevent bone loss in osteoporosis.","container-title":"Nature","DOI":"10.1038/nature03398","ISSN":"1476-4687","issue":"7032","journalAbbreviation":"Nature","language":"en","page":"514-520","source":"www-nature-com.ezproxy.library.tufts.edu","title":"Leptin regulation of bone resorption by the sympathetic nervous system and CART","volume":"434","author":[{"family":"Elefteriou","given":"Florent"},{"family":"Ahn","given":"Jong Deok"},{"family":"Takeda","given":"Shu"},{"family":"Starbuck","given":"Michael"},{"family":"Yang","given":"Xiangli"},{"family":"Liu","given":"Xiuyun"},{"family":"Kondo","given":"Hisataka"},{"family":"Richards","given":"William G."},{"family":"Bannon","given":"Tony W."},{"family":"Noda","given":"Masaki"},{"family":"Clement","given":"Karine"},{"family":"Vaisse","given":"Christian"},{"family":"Karsenty","given":"Gerard"}],"issued":{"date-parts":[["2005",3]]}}},{"id":520,"uris":["http://zotero.org/users/3223062/items/6ZKIIKYP"],"uri":["http://zotero.org/users/3223062/items/6ZKIIKYP"],"itemData":{"id":520,"type":"article-journal","abstract":"Objectives Marked interpatient variability exists in blood pressure response to β-blocker monotherapy. We tested the hypothesis that 2 common polymorphisms in the gene for β1-adrenergic receptor are associated with antihypertensive response to metoprolol in patients with uncomplicated hypertension. Methods Forty hypertensive men and women aged 35 to 65 years were studied. Baseline studies included 24-hour ambulatory blood pressure monitoring. Patients took 50 mg metoprolol twice daily with weekly titration to response or 200 mg twice daily. After a minimum of 4 weeks at stable dose, treatment phase 24-hour ambulatory blood pressure monitoring was repeated. The codon 49 and 389 genotypes for β1-adrenergic receptor were determined by polymerase chain reaction with restriction fragment length polymorphism. Multilinear regression was performed to determine the impact of genotype and other variables on blood pressure response to metoprolol. Results Patients homozygous for Arg at codon 389 had a nearly 3-fold greater reduction in daytime diastolic blood pressure (−13.3% ± 8.4% versus −4.5% ± 8.2%, P = .0018) compared with those who carried the variant allele. The haplotype pair (diplotype) for β1-adrenergic receptor was also a significant predictor of response, with patients having the Ser49Arg389/Ser49Arg389 diplotype demonstrating a decline in blood pressure of 14.7 mm Hg versus 0.5 mm Hg in patients with the Gly49Arg389/Ser49Gly389 diplotype. In multiregression analysis, baseline daytime diastolic blood pressure, codon 389 genotype, and codon 49 genotype were significant predictors of blood pressure after treatment. Conclusions Our data suggest that β1-adrenergic receptor polymorphisms are important determinants of antihypertensive response to metoprolol. In the future, codon 49 and 389 genotypes or β1-adrenergic receptor haplotypes might be used to predict the diastolic blood pressure response to metoprolol in patients with hypertension. Clinical Pharmacology &amp; Therapeutics (2003) 74, 44–52; doi: 10.1016/S0009-9236(03)00068-7","container-title":"Clinical Pharmacology &amp; Therapeutics","DOI":"10.1016/S0009-9236(03)00068-7","ISSN":"1532-6535","issue":"1","language":"en","page":"44-52","source":"Wiley Online Library","title":"β1-Adrenergic Receptor Polymorphisms and Antihypertensive Response to Metoprolol","volume":"74","author":[{"family":"Johnson","given":"Julie A."},{"family":"Zineh","given":"Issam"},{"family":"Puckett","given":"Brian J."},{"family":"McGorray","given":"Susan P."},{"family":"Yarandi","given":"Hossein N."},{"family":"Pauly","given":"Daniel F."}],"issued":{"date-parts":[["2003"]]}}},{"id":524,"uris":["http://zotero.org/users/3223062/items/7AMW687S"],"uri":["http://zotero.org/users/3223062/items/7AMW687S"],"itemData":{"id":524,"type":"article-journal","abstract":"Numerous studies have demonstrated that β1- and β2-adrenergic receptor gene (ADRB1 and ADRB2) variants influence cardiovascular risk and β-blocker responses in hypertension and heart failure. We evaluated the relationship between ADRB1 and ADRB2 haplotypes, cardiovascular risk (death, nonfatal myocardial infarction (MI ), and nonfatal stroke), and atenolol-based vs. verapamil sustained-release (SR )-based antihypertensive therapy in 5,895 coronary artery disease (CAD) patients. After an average of 2.8 years, death rates were higher in patients carrying the ADRB1 Ser49-Arg389 haplotype (hazard ratio (HR ) 3.66, 95% confidence interval (95% CI) 1.68–7.99). This mortality risk was significant in patients randomly assigned to verapamil SR (HR 8.58, 95% CI 2.06–35.8) but not atenolol (HR 2.31, 95% CI 0.82–6.55), suggesting a protective role for the β-blocker. ADRB2 haplotype associations were divergent within the treatment groups but did not remain significant after adjustment for multiple comparisons. ADRB1 haplotype variation is associated with mortality risk, and β-blockers may be preferred in subgroups of patients defined by ADRB1 or ADRB2 polymorphisms.","container-title":"Clinical pharmacology and therapeutics","DOI":"10.1038/clpt.2008.139","ISSN":"0009-9236","issue":"6","journalAbbreviation":"Clin Pharmacol Ther","note":"PMID: 18615004\nPMCID: PMC2675574","page":"715-721","source":"PubMed Central","title":"β-Adrenergic Receptor Gene Polymorphisms and β-Blocker Treatment Outcomes in Hypertension","volume":"84","author":[{"family":"Pacanowski","given":"MA"},{"family":"Gong","given":"Y"},{"family":"Cooper-DeHoff","given":"RM"},{"family":"Schork","given":"NJ"},{"family":"Shriver","given":"MD"},{"family":"Langaee","given":"TY"},{"family":"Pepine","given":"CJ"},{"family":"Johnson","given":"JA"}],"issued":{"date-parts":[["2008",12]]}}},{"id":467,"uris":["http://zotero.org/users/3223062/items/HF63BZM9"],"uri":["http://zotero.org/users/3223062/items/HF63BZM9"],"itemData":{"id":467,"type":"article-journal","abstract":"BACKGROUND: With continuous exposure to beta2-adrenergic agonists, vascular tissue becomes desensitized to agonist-mediated vasodilatation. We studied the effects of two common polymorphisms of the beta2-adrenergic receptor, one at codon 16 and one at codon 27, on agonist-mediated vasodilatation and desensitization in the vascular bed.\nMETHODS: We studied 26 healthy subjects who were selected to represent three genotypes: 7 were homozygous for the alleles encoding Arg16 and Gln27, 8 were homozygous for the alleles encoding Gly16 and Gln27, and 11 were homozygous for the alleles encoding Gly16 and Glu27. Vascular responses were assessed by measuring changes in the diameter of a dorsal hand vein. A dose-response curve of the effect of the beta2-adrenergic-receptor agonist isoproterenol was constructed (dose range, 4 to 480 ng per minute). Desensitization was then induced by a 2-hour continuous infusion of isoproterenol, and venodilatation was measured 30, 60, 90, and 120 minutes after the start of the infusion.\nRESULTS: Subjects who were homozygous for Arg16 had almost complete desensitization; venodilatation in response to isoproterenol in this group decreased from a mean (+/-SE) of 44+/-11 percent to 8+/-4 percent (P=0.006). In contrast, subjects who were homozygous for Gly16 did not have significant desensitization, irrespective of the amino acid encoded by codon 27. Subjects who were homozygous for Glu27 had higher maximal venodilatation in response to isoproterenol than those who were homozygous for Gln27 (86+/-13 percent vs. 54+/-8 percent, P=0.03).\nCONCLUSIONS: The Arg16 polymorphism of the beta2-adrenergic receptor is associated with enhanced agonist-mediated desensitization in the vasculature, and the Glu27 polymorphism is associated with increased agonist-mediated responsiveness. Therefore, polymorphisms of the beta2-adrenergic receptor are potentially important determinants of the vascular response to stress.","container-title":"The New England Journal of Medicine","DOI":"10.1056/NEJMoa010819","ISSN":"0028-4793","issue":"14","journalAbbreviation":"N. Engl. J. Med.","language":"eng","note":"PMID: 11586955","page":"1030-1035","source":"PubMed","title":"The effect of common polymorphisms of the beta2-adrenergic receptor on agonist-mediated vascular desensitization","volume":"345","author":[{"family":"Dishy","given":"V."},{"family":"Sofowora","given":"G. G."},{"family":"Xie","given":"H. G."},{"family":"Kim","given":"R. B."},{"family":"Byrne","given":"D. W."},{"family":"Stein","given":"C. M."},{"family":"Wood","given":"A. J."}],"issued":{"date-parts":[["2001",10,4]]}}},{"id":521,"uris":["http://zotero.org/users/3223062/items/5G5889UV"],"uri":["http://zotero.org/users/3223062/items/5G5889UV"],"itemData":{"id":521,"type":"article-journal","abstract":"Background— Genetic polymorphisms at codons 16 and 27 of the β2-adrenergic receptor have been associated with altered response to sympathetic stimulation. We examined these polymorphisms in relation to cardiovascular event risk in the Cardiovascular Health Study.Methods and Results— A total of 808 black and 4441 white participants (mean age, 73 years) were genotyped for the Arg16Gly and Gln27Glu polymorphisms of the β2-adrenergic receptor. There were 702 incident coronary events, 438 ischemic strokes, and 1136 combined cardiovascular events during 7 to 10 years of follow-up. Allele frequencies differed by race but not by age or hypertension status. Glu27 carriers had a lower risk of coronary events than Gln27 homozygotes (hazard ratio, 0.82; 95% CI, 0.70 to 0.95), and there was a suggestion of decreased risk among Gly16 carriers compared with Arg16 homozygotes (hazard ratio, 0.88; 95% CI, 0.72 to 1.07). There was no association of β2-adrenergic receptor genotype with ischemic stroke or combined cardiovascular events.Conclusions— The Glu27 allele of the β2-adrenergic receptor was associated with a lower risk of incident coronary events in this elderly population.","container-title":"Circulation","DOI":"10.1161/01.CIR.0000065231.07729.92","issue":"15","journalAbbreviation":"Circulation","page":"2021-2024","source":"ahajournals.org (Atypon)","title":"β2-Adrenergic Receptor Polymorphisms and Risk of Incident Cardiovascular Events in the Elderly","volume":"107","author":[{"literal":"Heckbert Susan R."},{"literal":"Hindorff Lucia A."},{"literal":"Edwards Karen L."},{"literal":"Psaty Bruce M."},{"literal":"Lumley Thomas"},{"literal":"Siscovick David S."},{"literal":"Tang Zhonghua"},{"literal":"Durda J. Peter"},{"literal":"Kronmal Richard A."},{"literal":"Tracy Russell P."}],"issued":{"date-parts":[["2003",4,22]]}}}],"schema":"https://github.com/citation-style-language/schema/raw/master/csl-citation.json"} </w:instrText>
      </w:r>
      <w:r w:rsidR="00377EA3" w:rsidRPr="00757919">
        <w:rPr>
          <w:rFonts w:ascii="Times New Roman" w:eastAsia="Arial" w:hAnsi="Times New Roman" w:cs="Times New Roman"/>
          <w:sz w:val="24"/>
          <w:szCs w:val="24"/>
        </w:rPr>
        <w:fldChar w:fldCharType="separate"/>
      </w:r>
      <w:r w:rsidR="00A568A5" w:rsidRPr="00A568A5">
        <w:rPr>
          <w:rFonts w:ascii="Times New Roman" w:hAnsi="Times New Roman" w:cs="Times New Roman"/>
          <w:sz w:val="24"/>
          <w:szCs w:val="24"/>
          <w:vertAlign w:val="superscript"/>
        </w:rPr>
        <w:t>12,18,22–25</w:t>
      </w:r>
      <w:r w:rsidR="00377EA3" w:rsidRPr="00757919">
        <w:rPr>
          <w:rFonts w:ascii="Times New Roman" w:eastAsia="Arial" w:hAnsi="Times New Roman" w:cs="Times New Roman"/>
          <w:sz w:val="24"/>
          <w:szCs w:val="24"/>
        </w:rPr>
        <w:fldChar w:fldCharType="end"/>
      </w:r>
      <w:r w:rsidR="00377EA3" w:rsidRPr="00757919">
        <w:rPr>
          <w:rFonts w:ascii="Times New Roman" w:eastAsia="Arial" w:hAnsi="Times New Roman" w:cs="Times New Roman"/>
          <w:sz w:val="24"/>
          <w:szCs w:val="24"/>
        </w:rPr>
        <w:t xml:space="preserve">. </w:t>
      </w:r>
      <w:r w:rsidR="0089314D">
        <w:rPr>
          <w:rFonts w:ascii="Times New Roman" w:eastAsia="Arial" w:hAnsi="Times New Roman" w:cs="Times New Roman"/>
          <w:sz w:val="24"/>
          <w:szCs w:val="24"/>
        </w:rPr>
        <w:t>However, a</w:t>
      </w:r>
      <w:r w:rsidR="00377EA3" w:rsidRPr="00757919">
        <w:rPr>
          <w:rFonts w:ascii="Times New Roman" w:eastAsia="Arial" w:hAnsi="Times New Roman" w:cs="Times New Roman"/>
          <w:sz w:val="24"/>
          <w:szCs w:val="24"/>
        </w:rPr>
        <w:t>ssociation</w:t>
      </w:r>
      <w:r w:rsidR="0089314D">
        <w:rPr>
          <w:rFonts w:ascii="Times New Roman" w:eastAsia="Arial" w:hAnsi="Times New Roman" w:cs="Times New Roman"/>
          <w:sz w:val="24"/>
          <w:szCs w:val="24"/>
        </w:rPr>
        <w:t>s</w:t>
      </w:r>
      <w:r w:rsidR="00377EA3" w:rsidRPr="00757919">
        <w:rPr>
          <w:rFonts w:ascii="Times New Roman" w:eastAsia="Arial" w:hAnsi="Times New Roman" w:cs="Times New Roman"/>
          <w:sz w:val="24"/>
          <w:szCs w:val="24"/>
        </w:rPr>
        <w:t xml:space="preserve"> between these SNPs and BMD ha</w:t>
      </w:r>
      <w:r w:rsidR="0089314D">
        <w:rPr>
          <w:rFonts w:ascii="Times New Roman" w:eastAsia="Arial" w:hAnsi="Times New Roman" w:cs="Times New Roman"/>
          <w:sz w:val="24"/>
          <w:szCs w:val="24"/>
        </w:rPr>
        <w:t>ve</w:t>
      </w:r>
      <w:r w:rsidR="00377EA3" w:rsidRPr="00757919">
        <w:rPr>
          <w:rFonts w:ascii="Times New Roman" w:eastAsia="Arial" w:hAnsi="Times New Roman" w:cs="Times New Roman"/>
          <w:sz w:val="24"/>
          <w:szCs w:val="24"/>
        </w:rPr>
        <w:t xml:space="preserve"> not been </w:t>
      </w:r>
      <w:r w:rsidR="00CE7371">
        <w:rPr>
          <w:rFonts w:ascii="Times New Roman" w:eastAsia="Arial" w:hAnsi="Times New Roman" w:cs="Times New Roman"/>
          <w:sz w:val="24"/>
          <w:szCs w:val="24"/>
        </w:rPr>
        <w:t>demonstrated</w:t>
      </w:r>
      <w:r w:rsidR="00377EA3" w:rsidRPr="00757919">
        <w:rPr>
          <w:rFonts w:ascii="Times New Roman" w:eastAsia="Arial" w:hAnsi="Times New Roman" w:cs="Times New Roman"/>
          <w:sz w:val="24"/>
          <w:szCs w:val="24"/>
        </w:rPr>
        <w:t>,</w:t>
      </w:r>
      <w:r w:rsidR="009C58D4">
        <w:rPr>
          <w:rFonts w:ascii="Times New Roman" w:eastAsia="Arial" w:hAnsi="Times New Roman" w:cs="Times New Roman"/>
          <w:sz w:val="24"/>
          <w:szCs w:val="24"/>
        </w:rPr>
        <w:t xml:space="preserve"> </w:t>
      </w:r>
      <w:r w:rsidR="00377EA3" w:rsidRPr="00757919">
        <w:rPr>
          <w:rFonts w:ascii="Times New Roman" w:eastAsia="Arial" w:hAnsi="Times New Roman" w:cs="Times New Roman"/>
          <w:sz w:val="24"/>
          <w:szCs w:val="24"/>
        </w:rPr>
        <w:t>as a recent analysis by Veldhuis-</w:t>
      </w:r>
      <w:proofErr w:type="spellStart"/>
      <w:r w:rsidR="00377EA3" w:rsidRPr="00757919">
        <w:rPr>
          <w:rFonts w:ascii="Times New Roman" w:eastAsia="Arial" w:hAnsi="Times New Roman" w:cs="Times New Roman"/>
          <w:sz w:val="24"/>
          <w:szCs w:val="24"/>
        </w:rPr>
        <w:t>Vlug</w:t>
      </w:r>
      <w:proofErr w:type="spellEnd"/>
      <w:r w:rsidR="00377EA3" w:rsidRPr="00757919">
        <w:rPr>
          <w:rFonts w:ascii="Times New Roman" w:eastAsia="Arial" w:hAnsi="Times New Roman" w:cs="Times New Roman"/>
          <w:sz w:val="24"/>
          <w:szCs w:val="24"/>
        </w:rPr>
        <w:t xml:space="preserve"> et al. showed that non-synonymous SNPs in </w:t>
      </w:r>
      <w:r w:rsidR="00377EA3" w:rsidRPr="00BC23F1">
        <w:rPr>
          <w:rFonts w:ascii="Times New Roman" w:eastAsia="Arial" w:hAnsi="Times New Roman" w:cs="Times New Roman"/>
          <w:i/>
          <w:iCs/>
          <w:sz w:val="24"/>
          <w:szCs w:val="24"/>
        </w:rPr>
        <w:t xml:space="preserve">ADRB2 </w:t>
      </w:r>
      <w:r w:rsidR="00377EA3" w:rsidRPr="00757919">
        <w:rPr>
          <w:rFonts w:ascii="Times New Roman" w:eastAsia="Arial" w:hAnsi="Times New Roman" w:cs="Times New Roman"/>
          <w:sz w:val="24"/>
          <w:szCs w:val="24"/>
        </w:rPr>
        <w:t>were not significantly associated with BMD or fracture risk</w:t>
      </w:r>
      <w:r w:rsidR="00377EA3" w:rsidRPr="00757919">
        <w:rPr>
          <w:rFonts w:ascii="Times New Roman" w:eastAsia="Arial" w:hAnsi="Times New Roman" w:cs="Times New Roman"/>
          <w:sz w:val="24"/>
          <w:szCs w:val="24"/>
        </w:rPr>
        <w:fldChar w:fldCharType="begin"/>
      </w:r>
      <w:r w:rsidR="00A568A5">
        <w:rPr>
          <w:rFonts w:ascii="Times New Roman" w:eastAsia="Arial" w:hAnsi="Times New Roman" w:cs="Times New Roman"/>
          <w:sz w:val="24"/>
          <w:szCs w:val="24"/>
        </w:rPr>
        <w:instrText xml:space="preserve"> ADDIN ZOTERO_ITEM CSL_CITATION {"citationID":"5cmGdyXt","properties":{"formattedCitation":"\\super 26\\nosupersub{}","plainCitation":"26","noteIndex":0},"citationItems":[{"id":435,"uris":["http://zotero.org/users/3223062/items/KVSMGTRN"],"uri":["http://zotero.org/users/3223062/items/KVSMGTRN"],"itemData":{"id":435,"type":"article-journal","abstract":"SummarySignaling through the beta-2 adrenergic receptor (B2AR) on the osteoblast influences bone remodeling in rodents. In the B2AR gene, three polymorphisms influence receptor function. We show that these polymorphisms are not associated with fracture risk or bone mineral density in the UCP, Rotterdam Study, and GEFOS cohorts.IntroductionSignaling through the beta-2 adrenergic receptor (B2AR) on the osteoblast influences bone remodeling in rodents. In the B2AR gene, three polymorphisms are known to influence receptor function in vitro and in vivo (rs1042713, rs1042714, and rs1800888). We examined the role of these polymorphisms in the B2AR gene on human bone metabolism.MethodsWe performed nested case–control studies to determine the association of these polymorphisms with fracture risk in the Utrecht Cardiovascular Pharmacogenetics (UCP) cohort and in three cohorts of the Rotterdam Study. We also determined the association of these polymorphisms with bone mineral density (BMD) in the GEFOS Consortium. UCP contains drug-dispensing histories from community pharmacies linked to national registrations of hospital discharges in the Netherlands. The Rotterdam Study is a prospective cohort study investigating demographics and risk factors of chronic diseases. GEFOS is a large international collaboration studying the genetics of osteoporosis. Fractures were defined by ICD-9 codes 800–829 in the UCP cohort (158 cases and 2617 unmatched controls) and by regular X-ray examinations, general practitioner, and hospital records in the Rotterdam Study (2209 cases and 8559 unmatched controls). BMD was measured at the femoral neck and lumbar spine using dual-energy X-ray absorptiometry in GEFOS (N = 32,961).ResultsMeta-analysis of the two nested case–control studies showed pooled odds ratios of 0.98 (0.91–1.05, p = 0.52), 1.04 (0.97–1.12, p = 0.28), and 1.16 (0.83–1.62, p = 0.38) for the associations between rs1042713, rs1042714, and rs1800888 per minor allele and fractures, respectively. There were no significant associations of the polymorphisms and BMD in GEFOS.ConclusionIn conclusion, polymorphisms in the beta-2 adrenergic receptor gene are not associated with fracture risk or BMD.","container-title":"Osteoporosis International","DOI":"10.1007/s00198-015-3087-0","ISSN":"1433-2965","issue":"7","journalAbbreviation":"Osteoporos Int","language":"en","page":"2019-2027","source":"Springer Link","title":"Association of polymorphisms in the beta-2 adrenergic receptor gene with fracture risk and bone mineral density","volume":"26","author":[{"family":"Veldhuis-Vlug","given":"A. G."},{"family":"Oei","given":"L."},{"family":"Souverein","given":"P. C."},{"family":"Tanck","given":"M. W. T."},{"family":"Rivadeneira","given":"F."},{"family":"Zillikens","given":"M. C."},{"family":"Kamphuisen","given":"P. W."},{"family":"Maitland - van der Zee","given":"A.H."},{"family":"Groot","given":"M. C. H.","non-dropping-particle":"de"},{"family":"Hofman","given":"A."},{"family":"Uitterlinden","given":"A. G."},{"family":"Fliers","given":"E."},{"family":"Boer","given":"A.","non-dropping-particle":"de"},{"family":"Bisschop","given":"P. H."}],"issued":{"date-parts":[["2015",7,1]]}}}],"schema":"https://github.com/citation-style-language/schema/raw/master/csl-citation.json"} </w:instrText>
      </w:r>
      <w:r w:rsidR="00377EA3" w:rsidRPr="00757919">
        <w:rPr>
          <w:rFonts w:ascii="Times New Roman" w:eastAsia="Arial" w:hAnsi="Times New Roman" w:cs="Times New Roman"/>
          <w:sz w:val="24"/>
          <w:szCs w:val="24"/>
        </w:rPr>
        <w:fldChar w:fldCharType="separate"/>
      </w:r>
      <w:r w:rsidR="00A568A5" w:rsidRPr="00A568A5">
        <w:rPr>
          <w:rFonts w:ascii="Times New Roman" w:hAnsi="Times New Roman" w:cs="Times New Roman"/>
          <w:sz w:val="24"/>
          <w:szCs w:val="24"/>
          <w:vertAlign w:val="superscript"/>
        </w:rPr>
        <w:t>26</w:t>
      </w:r>
      <w:r w:rsidR="00377EA3" w:rsidRPr="00757919">
        <w:rPr>
          <w:rFonts w:ascii="Times New Roman" w:eastAsia="Arial" w:hAnsi="Times New Roman" w:cs="Times New Roman"/>
          <w:sz w:val="24"/>
          <w:szCs w:val="24"/>
        </w:rPr>
        <w:fldChar w:fldCharType="end"/>
      </w:r>
      <w:r w:rsidR="00CE7371">
        <w:rPr>
          <w:rFonts w:ascii="Times New Roman" w:eastAsia="Arial" w:hAnsi="Times New Roman" w:cs="Times New Roman"/>
          <w:sz w:val="24"/>
          <w:szCs w:val="24"/>
        </w:rPr>
        <w:t>.</w:t>
      </w:r>
      <w:r w:rsidR="0017023E">
        <w:rPr>
          <w:rFonts w:ascii="Times New Roman" w:eastAsia="Arial" w:hAnsi="Times New Roman" w:cs="Times New Roman"/>
          <w:sz w:val="24"/>
          <w:szCs w:val="24"/>
        </w:rPr>
        <w:t xml:space="preserve"> </w:t>
      </w:r>
      <w:r w:rsidR="002A41C4">
        <w:rPr>
          <w:rFonts w:ascii="Times New Roman" w:hAnsi="Times New Roman" w:cs="Times New Roman"/>
          <w:sz w:val="24"/>
          <w:szCs w:val="24"/>
        </w:rPr>
        <w:t>P</w:t>
      </w:r>
      <w:r w:rsidR="00656938" w:rsidRPr="00757919">
        <w:rPr>
          <w:rFonts w:ascii="Times New Roman" w:hAnsi="Times New Roman" w:cs="Times New Roman"/>
          <w:sz w:val="24"/>
          <w:szCs w:val="24"/>
        </w:rPr>
        <w:t xml:space="preserve">revious </w:t>
      </w:r>
      <w:r w:rsidR="00725270">
        <w:rPr>
          <w:rFonts w:ascii="Times New Roman" w:hAnsi="Times New Roman" w:cs="Times New Roman"/>
          <w:sz w:val="24"/>
          <w:szCs w:val="24"/>
        </w:rPr>
        <w:t>genome-wide association studies (</w:t>
      </w:r>
      <w:r w:rsidR="00656938" w:rsidRPr="00757919">
        <w:rPr>
          <w:rFonts w:ascii="Times New Roman" w:hAnsi="Times New Roman" w:cs="Times New Roman"/>
          <w:sz w:val="24"/>
          <w:szCs w:val="24"/>
        </w:rPr>
        <w:t>GWAS</w:t>
      </w:r>
      <w:r w:rsidR="00725270">
        <w:rPr>
          <w:rFonts w:ascii="Times New Roman" w:hAnsi="Times New Roman" w:cs="Times New Roman"/>
          <w:sz w:val="24"/>
          <w:szCs w:val="24"/>
        </w:rPr>
        <w:t>)</w:t>
      </w:r>
      <w:r w:rsidR="00656938" w:rsidRPr="00757919">
        <w:rPr>
          <w:rFonts w:ascii="Times New Roman" w:hAnsi="Times New Roman" w:cs="Times New Roman"/>
          <w:sz w:val="24"/>
          <w:szCs w:val="24"/>
        </w:rPr>
        <w:t xml:space="preserve"> of BMD and osteoporosis</w:t>
      </w:r>
      <w:r w:rsidR="002A41C4">
        <w:rPr>
          <w:rFonts w:ascii="Times New Roman" w:hAnsi="Times New Roman" w:cs="Times New Roman"/>
          <w:sz w:val="24"/>
          <w:szCs w:val="24"/>
        </w:rPr>
        <w:t xml:space="preserve"> have been performed</w:t>
      </w:r>
      <w:r w:rsidR="00313BC2"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{"citationID":"S93XR73O","properties":{"formattedCitation":"\\super 27\\uc0\\u8211{}29\\nosupersub{}","plainCitation":"27–29","noteIndex":0},"citationItems":[{"id":348,"uris":["http://zotero.org/users/3223062/items/QGX83KU4"],"uri":["http://zotero.org/users/3223062/items/QGX83KU4"],"itemData":{"id":348,"type":"article-journal","abstract":"Osteoporosis is a common aging-related disease diagnosed primarily using bone mineral density (BMD). We assessed genetic determinants of BMD as estimated by heel quantitative ultrasound in 426,824 individuals, identifying 518 genome-wide significant loci (301 novel), explaining 20% of its variance. We identified 13 bone fracture loci, all associated with estimated BMD (eBMD), in ~1.2 million individuals. We then identified target genes enriched for genes known to influence bone density and strength (maximum odds ratio (OR) = 58, P = 1 × 10−75) from cell-specific features, including chromatin conformation and accessible chromatin sites. We next performed rapid-throughput skeletal phenotyping of 126 knockout mice with disruptions in predicted target genes and found an increased abnormal skeletal phenotype frequency compared to 526 unselected lines (P &lt; 0.0001). In-depth analysis of one gene, DAAM2, showed a disproportionate decrease in bone strength relative to mineralization. This genetic atlas provides evidence linking associated SNPs to causal genes, offers new insight into osteoporosis pathophysiology, and highlights opportunities for drug development.","container-title":"Nature Genetics","DOI":"10.1038/s41588-018-0302-x","ISSN":"1546-1718","issue":"2","language":"en","note":"number: 2\npublisher: Nature Publishing Group","page":"258-266","source":"www-nature-com.ezproxy.library.tufts.edu","title":"An atlas of genetic influences on osteoporosis in humans and mice","volume":"51","author":[{"family":"Morris","given":"John A."},{"family":"Kemp","given":"John P."},{"family":"Youlten","given":"Scott E."},{"family":"Laurent","given":"Laetitia"},{"family":"Logan","given":"John G."},{"family":"Chai","given":"Ryan C."},{"family":"Vulpescu","given":"Nicholas A."},{"family":"Forgetta","given":"Vincenzo"},{"family":"Kleinman","given":"Aaron"},{"family":"Mohanty","given":"Sindhu T."},{"family":"Sergio","given":"C. Marcelo"},{"family":"Quinn","given":"Julian"},{"family":"Nguyen-Yamamoto","given":"Loan"},{"family":"Luco","given":"Aimee-Lee"},{"family":"Vijay","given":"Jinchu"},{"family":"Simon","given":"Marie-Michelle"},{"family":"Pramatarova","given":"Albena"},{"family":"Medina-Gomez","given":"Carolina"},{"family":"Trajanoska","given":"Katerina"},{"family":"Ghirardello","given":"Elena J."},{"family":"Butterfield","given":"Natalie C."},{"family":"Curry","given":"Katharine F."},{"family":"Leitch","given":"Victoria D."},{"family":"Sparkes","given":"Penny C."},{"family":"Adoum","given":"Anne-Tounsia"},{"family":"Mannan","given":"Naila S."},{"family":"Komla-Ebri","given":"Davide S. K."},{"family":"Pollard","given":"Andrea S."},{"family":"Dewhurst","given":"Hannah F."},{"family":"Hassall","given":"Thomas A. D."},{"family":"Beltejar","given":"Michael-John G."},{"family":"Adams","given":"Douglas J."},{"family":"Vaillancourt","given":"Suzanne M."},{"family":"Kaptoge","given":"Stephen"},{"family":"Baldock","given":"Paul"},{"family":"Cooper","given":"Cyrus"},{"family":"Reeve","given":"Jonathan"},{"family":"Ntzani","given":"Evangelia E."},{"family":"Evangelou","given":"Evangelos"},{"family":"Ohlsson","given":"Claes"},{"family":"Karasik","given":"David"},{"family":"Rivadeneira","given":"Fernando"},{"family":"Kiel","given":"Douglas P."},{"family":"Tobias","given":"Jonathan H."},{"family":"Gregson","given":"Celia L."},{"family":"Harvey","given":"Nicholas C."},{"family":"Grundberg","given":"Elin"},{"family":"Goltzman","given":"David"},{"family":"Adams","given":"David J."},{"family":"Lelliott","given":"Christopher J."},{"family":"Hinds","given":"David A."},{"family":"Ackert-Bicknell","given":"Cheryl L."},{"family":"Hsu","given":"Yi-Hsiang"},{"family":"Maurano","given":"Matthew T."},{"family":"Croucher","given":"Peter I."},{"family":"Williams","given":"Graham R."},{"family":"Bassett","given":"J. H. Duncan"},{"family":"Evans","given":"David M."},{"family":"Richards","given":"J. Brent"}],"issued":{"date-parts":[["2019",2]]}}},{"id":347,"uris":["http://zotero.org/users/3223062/items/D87NV4YP"],"uri":["http://zotero.org/users/3223062/items/D87NV4YP"],"itemData":{"id":347,"type":"article-journal","abstract":"Osteoporosis is a common, increasingly prevalent, global health burden characterized by low bone mineral density (BMD) and increased risk of fracture. Despite its significant impact on human health, there is currently a lack of highly effective treatments free of side effects for osteoporosis. Therefore, a major goal in the field is to identify new drug targets. Genetic discovery has been shown to be effective in the unbiased identification of novel drug targets and genome-wide association studies (GWASs) have begun to provide insight into genetic basis of osteoporosis. Over the last decade, GWASs have led to the identification of </w:instrText>
      </w:r>
      <w:r w:rsidR="00A568A5">
        <w:rPr>
          <w:rFonts w:ascii="Cambria Math" w:hAnsi="Cambria Math" w:cs="Cambria Math"/>
          <w:sz w:val="24"/>
          <w:szCs w:val="24"/>
        </w:rPr>
        <w:instrText>∼</w:instrText>
      </w:r>
      <w:r w:rsidR="00A568A5">
        <w:rPr>
          <w:rFonts w:ascii="Times New Roman" w:hAnsi="Times New Roman" w:cs="Times New Roman"/>
          <w:sz w:val="24"/>
          <w:szCs w:val="24"/>
        </w:rPr>
        <w:instrText xml:space="preserve">100 loci associated with BMD and other bone traits related to risk of fracture. However, there have been limited efforts to identify the causal genes underlying the GWAS loci or the mechanisms by which GWAS loci alter bone physiology. In this review, we summarize the current state of the field and discuss strategies for causal gene discovery and the evidence that the novel genes underlying GWAS loci are likely to be a new source of drug targets.","container-title":"Translational Research","DOI":"10.1016/j.trsl.2016.10.009","ISSN":"1931-5244","journalAbbreviation":"Translational Research","language":"en","page":"15-26","source":"ScienceDirect","title":"Using GWAS to identify novel therapeutic targets for osteoporosis","volume":"181","author":[{"family":"Sabik","given":"Olivia L."},{"family":"Farber","given":"Charles R."}],"issued":{"date-parts":[["2017",3,1]]}}},{"id":434,"uris":["http://zotero.org/users/3223062/items/XH4VJ674"],"uri":["http://zotero.org/users/3223062/items/XH4VJ674"],"itemData":{"id":434,"type":"article-journal","abstract":"Osteoporosis and fracture risk are common complex diseases, caused by an interaction of numerous disease susceptibility genes and environmental factors. With the advances in genomic technologies, large-scale genome-wide association studies (GWAS) have been performed which have broadened our understanding of the genetic architecture and biological mechanisms of complex disease. Currently, more than ~90 loci have been found associated with DXA derived bone mineral density (BMD), over ~500 loci with heel estimated BMD and several others with other less widely available bone parameters such as bone geometry, shape, and microarchitecture. Notably, several of the pathways identified by the GWAS efforts correspond to pathways that are currently targeted for the treatment of osteoporosis. Overall, tremendous progress in the field of the genetics of osteoporosis has been achieved with the discovery of WNT16, EN1, DAAM2, and GPC6 among others. Assessment of the function and biological mechanisms of the remaining genes may further untangle the complex genetic landscape of osteoporosis and fracture risk. With this review we aimed to provide a general overview of the existing GWAS studies on osteoporosis traits and fracture risk.","collection-title":"Skeletal Genomics: State-of-the-Art and Future Directions","container-title":"Bone","DOI":"10.1016/j.bone.2019.04.005","ISSN":"8756-3282","journalAbbreviation":"Bone","language":"en","page":"2-10","source":"ScienceDirect","title":"The genetic architecture of osteoporosis and fracture risk","volume":"126","author":[{"family":"Trajanoska","given":"Katerina"},{"family":"Rivadeneira","given":"Fernando"}],"issued":{"date-parts":[["2019",9,1]]}}}],"schema":"https://github.com/citation-style-language/schema/raw/master/csl-citation.json"} </w:instrText>
      </w:r>
      <w:r w:rsidR="00313BC2"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27–29</w:t>
      </w:r>
      <w:r w:rsidR="00313BC2" w:rsidRPr="00757919">
        <w:rPr>
          <w:rFonts w:ascii="Times New Roman" w:hAnsi="Times New Roman" w:cs="Times New Roman"/>
          <w:sz w:val="24"/>
          <w:szCs w:val="24"/>
        </w:rPr>
        <w:fldChar w:fldCharType="end"/>
      </w:r>
      <w:r w:rsidR="00656938" w:rsidRPr="00757919">
        <w:rPr>
          <w:rFonts w:ascii="Times New Roman" w:hAnsi="Times New Roman" w:cs="Times New Roman"/>
          <w:sz w:val="24"/>
          <w:szCs w:val="24"/>
        </w:rPr>
        <w:t xml:space="preserve">, </w:t>
      </w:r>
      <w:r w:rsidR="00313BC2">
        <w:rPr>
          <w:rFonts w:ascii="Times New Roman" w:hAnsi="Times New Roman" w:cs="Times New Roman"/>
          <w:sz w:val="24"/>
          <w:szCs w:val="24"/>
        </w:rPr>
        <w:t xml:space="preserve">but </w:t>
      </w:r>
      <w:r w:rsidR="00656938" w:rsidRPr="00757919">
        <w:rPr>
          <w:rFonts w:ascii="Times New Roman" w:hAnsi="Times New Roman" w:cs="Times New Roman"/>
          <w:sz w:val="24"/>
          <w:szCs w:val="24"/>
        </w:rPr>
        <w:t xml:space="preserve">there have not been </w:t>
      </w:r>
      <w:r w:rsidR="00377EA3" w:rsidRPr="00757919">
        <w:rPr>
          <w:rFonts w:ascii="Times New Roman" w:hAnsi="Times New Roman" w:cs="Times New Roman"/>
          <w:sz w:val="24"/>
          <w:szCs w:val="24"/>
        </w:rPr>
        <w:t xml:space="preserve">previous pharmacogenomic </w:t>
      </w:r>
      <w:r w:rsidR="00377EA3" w:rsidRPr="00757919">
        <w:rPr>
          <w:rFonts w:ascii="Times New Roman" w:hAnsi="Times New Roman" w:cs="Times New Roman"/>
          <w:sz w:val="24"/>
          <w:szCs w:val="24"/>
        </w:rPr>
        <w:lastRenderedPageBreak/>
        <w:t>studies evaluat</w:t>
      </w:r>
      <w:r w:rsidR="00656938" w:rsidRPr="00757919">
        <w:rPr>
          <w:rFonts w:ascii="Times New Roman" w:hAnsi="Times New Roman" w:cs="Times New Roman"/>
          <w:sz w:val="24"/>
          <w:szCs w:val="24"/>
        </w:rPr>
        <w:t>ing</w:t>
      </w:r>
      <w:r w:rsidR="00377EA3" w:rsidRPr="00757919">
        <w:rPr>
          <w:rFonts w:ascii="Times New Roman" w:hAnsi="Times New Roman" w:cs="Times New Roman"/>
          <w:sz w:val="24"/>
          <w:szCs w:val="24"/>
        </w:rPr>
        <w:t xml:space="preserve"> the effect of BB</w:t>
      </w:r>
      <w:r w:rsidR="00656938" w:rsidRPr="00757919">
        <w:rPr>
          <w:rFonts w:ascii="Times New Roman" w:hAnsi="Times New Roman" w:cs="Times New Roman"/>
          <w:sz w:val="24"/>
          <w:szCs w:val="24"/>
        </w:rPr>
        <w:t xml:space="preserve"> use</w:t>
      </w:r>
      <w:r w:rsidR="00377EA3" w:rsidRPr="00757919">
        <w:rPr>
          <w:rFonts w:ascii="Times New Roman" w:hAnsi="Times New Roman" w:cs="Times New Roman"/>
          <w:sz w:val="24"/>
          <w:szCs w:val="24"/>
        </w:rPr>
        <w:t xml:space="preserve"> on BMD</w:t>
      </w:r>
      <w:r w:rsidR="00313BC2">
        <w:rPr>
          <w:rFonts w:ascii="Times New Roman" w:hAnsi="Times New Roman" w:cs="Times New Roman"/>
          <w:sz w:val="24"/>
          <w:szCs w:val="24"/>
        </w:rPr>
        <w:t xml:space="preserve">, </w:t>
      </w:r>
      <w:r w:rsidR="00377EA3" w:rsidRPr="00757919">
        <w:rPr>
          <w:rFonts w:ascii="Times New Roman" w:hAnsi="Times New Roman" w:cs="Times New Roman"/>
          <w:sz w:val="24"/>
          <w:szCs w:val="24"/>
        </w:rPr>
        <w:t xml:space="preserve"> </w:t>
      </w:r>
      <w:r w:rsidR="00B20D57">
        <w:rPr>
          <w:rFonts w:ascii="Times New Roman" w:hAnsi="Times New Roman" w:cs="Times New Roman"/>
          <w:sz w:val="24"/>
          <w:szCs w:val="24"/>
        </w:rPr>
        <w:t>although other studies have found</w:t>
      </w:r>
      <w:r w:rsidR="00173A82" w:rsidRPr="00757919">
        <w:rPr>
          <w:rFonts w:ascii="Times New Roman" w:hAnsi="Times New Roman" w:cs="Times New Roman"/>
          <w:sz w:val="24"/>
          <w:szCs w:val="24"/>
        </w:rPr>
        <w:t xml:space="preserve"> SNPs associated with BMD and osteoporosis </w:t>
      </w:r>
      <w:r w:rsidR="00B20D57">
        <w:rPr>
          <w:rFonts w:ascii="Times New Roman" w:hAnsi="Times New Roman" w:cs="Times New Roman"/>
          <w:sz w:val="24"/>
          <w:szCs w:val="24"/>
        </w:rPr>
        <w:t xml:space="preserve">to </w:t>
      </w:r>
      <w:r w:rsidR="00A01939" w:rsidRPr="00757919">
        <w:rPr>
          <w:rFonts w:ascii="Times New Roman" w:hAnsi="Times New Roman" w:cs="Times New Roman"/>
          <w:sz w:val="24"/>
          <w:szCs w:val="24"/>
        </w:rPr>
        <w:t>map to or near</w:t>
      </w:r>
      <w:r w:rsidR="00173A82" w:rsidRPr="00757919">
        <w:rPr>
          <w:rFonts w:ascii="Times New Roman" w:hAnsi="Times New Roman" w:cs="Times New Roman"/>
          <w:sz w:val="24"/>
          <w:szCs w:val="24"/>
        </w:rPr>
        <w:t xml:space="preserve"> genes involved in adrenergic signaling</w:t>
      </w:r>
      <w:r w:rsidR="00586577"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{"citationID":"LYBYJEjh","properties":{"formattedCitation":"\\super 10,27,30\\nosupersub{}","plainCitation":"10,27,30","noteIndex":0},"citationItems":[{"id":348,"uris":["http://zotero.org/users/3223062/items/QGX83KU4"],"uri":["http://zotero.org/users/3223062/items/QGX83KU4"],"itemData":{"id":348,"type":"article-journal","abstract":"Osteoporosis is a common aging-related disease diagnosed primarily using bone mineral density (BMD). We assessed genetic determinants of BMD as estimated by heel quantitative ultrasound in 426,824 individuals, identifying 518 genome-wide significant loci (301 novel), explaining 20% of its variance. We identified 13 bone fracture loci, all associated with estimated BMD (eBMD), in ~1.2 million individuals. We then identified target genes enriched for genes known to influence bone density and strength (maximum odds ratio (OR) = 58, P = 1 × 10−75) from cell-specific features, including chromatin conformation and accessible chromatin sites. We next performed rapid-throughput skeletal phenotyping of 126 knockout mice with disruptions in predicted target genes and found an increased abnormal skeletal phenotype frequency compared to 526 unselected lines (P &lt; 0.0001). In-depth analysis of one gene, DAAM2, showed a disproportionate decrease in bone strength relative to mineralization. This genetic atlas provides evidence linking associated SNPs to causal genes, offers new insight into osteoporosis pathophysiology, and highlights opportunities for drug development.","container-title":"Nature Genetics","DOI":"10.1038/s41588-018-0302-x","ISSN":"1546-1718","issue":"2","language":"en","note":"number: 2\npublisher: Nature Publishing Group","page":"258-266","source":"www-nature-com.ezproxy.library.tufts.edu","title":"An atlas of genetic influences on osteoporosis in humans and mice","volume":"51","author":[{"family":"Morris","given":"John A."},{"family":"Kemp","given":"John P."},{"family":"Youlten","given":"Scott E."},{"family":"Laurent","given":"Laetitia"},{"family":"Logan","given":"John G."},{"family":"Chai","given":"Ryan C."},{"family":"Vulpescu","given":"Nicholas A."},{"family":"Forgetta","given":"Vincenzo"},{"family":"Kleinman","given":"Aaron"},{"family":"Mohanty","given":"Sindhu T."},{"family":"Sergio","given":"C. Marcelo"},{"family":"Quinn","given":"Julian"},{"family":"Nguyen-Yamamoto","given":"Loan"},{"family":"Luco","given":"Aimee-Lee"},{"family":"Vijay","given":"Jinchu"},{"family":"Simon","given":"Marie-Michelle"},{"family":"Pramatarova","given":"Albena"},{"family":"Medina-Gomez","given":"Carolina"},{"family":"Trajanoska","given":"Katerina"},{"family":"Ghirardello","given":"Elena J."},{"family":"Butterfield","given":"Natalie C."},{"family":"Curry","given":"Katharine F."},{"family":"Leitch","given":"Victoria D."},{"family":"Sparkes","given":"Penny C."},{"family":"Adoum","given":"Anne-Tounsia"},{"family":"Mannan","given":"Naila S."},{"family":"Komla-Ebri","given":"Davide S. K."},{"family":"Pollard","given":"Andrea S."},{"family":"Dewhurst","given":"Hannah F."},{"family":"Hassall","given":"Thomas A. D."},{"family":"Beltejar","given":"Michael-John G."},{"family":"Adams","given":"Douglas J."},{"family":"Vaillancourt","given":"Suzanne M."},{"family":"Kaptoge","given":"Stephen"},{"family":"Baldock","given":"Paul"},{"family":"Cooper","given":"Cyrus"},{"family":"Reeve","given":"Jonathan"},{"family":"Ntzani","given":"Evangelia E."},{"family":"Evangelou","given":"Evangelos"},{"family":"Ohlsson","given":"Claes"},{"family":"Karasik","given":"David"},{"family":"Rivadeneira","given":"Fernando"},{"family":"Kiel","given":"Douglas P."},{"family":"Tobias","given":"Jonathan H."},{"family":"Gregson","given":"Celia L."},{"family":"Harvey","given":"Nicholas C."},{"family":"Grundberg","given":"Elin"},{"family":"Goltzman","given":"David"},{"family":"Adams","given":"David J."},{"family":"Lelliott","given":"Christopher J."},{"family":"Hinds","given":"David A."},{"family":"Ackert-Bicknell","given":"Cheryl L."},{"family":"Hsu","given":"Yi-Hsiang"},{"family":"Maurano","given":"Matthew T."},{"family":"Croucher","given":"Peter I."},{"family":"Williams","given":"Graham R."},{"family":"Bassett","given":"J. H. Duncan"},{"family":"Evans","given":"David M."},{"family":"Richards","given":"J. Brent"}],"issued":{"date-parts":[["2019",2]]}}},{"id":443,"uris":["http://zotero.org/users/3223062/items/MZ7UDQD8"],"uri":["http://zotero.org/users/3223062/items/MZ7UDQD8"],"itemData":{"id":443,"type":"article-journal","abstract":"It is from the discovery of leptin and the central nervous system as a regulator of bone remodeling that the presence of autonomic nerves within the skeleton transitioned from a mere histological observation to the mechanism whereby neurons of the central nervous system communicate with cells of the bone microenvironment and regulate bone homeostasis. This shift in paradigm sparked new preclinical and clinical investigations aimed at defining the contribution of sympathetic, parasympathetic, and sensory nerves to the process of bone development, bone mass accrual, bone remodeling, and cancer metastasis. The aim of this article is to review the data that led to the current understanding of the interactions between the autonomic and skeletal systems and to present a critical appraisal of the literature, bringing forth a schema that can put into physiological and clinical context the main genetic and pharmacological observations pointing to the existence of an autonomic control of skeletal homeostasis. The different types of nerves found in the skeleton, their functional interactions with bone cells, their impact on bone development, bone mass accrual and remodeling, and the possible clinical or pathophysiological relevance of these findings are discussed.","container-title":"Physiological Reviews","DOI":"10.1152/physrev.00014.2017","ISSN":"0031-9333","issue":"3","journalAbbreviation":"Physiological Reviews","page":"1083-1112","source":"www-physiology-org.ezproxy.library.tufts.edu (Atypon)","title":"Impact of the Autonomic Nervous System on the Skeleton","volume":"98","author":[{"family":"Elefteriou","given":"Florent"}],"issued":{"date-parts":[["2018",5,2]]}}},{"id":362,"uris":["http://zotero.org/users/3223062/items/35GPS4EN"],"uri":["http://zotero.org/users/3223062/items/35GPS4EN"],"itemData":{"id":362,"type":"webpage","title":"Musculoskeletal KP","URL":"http://mskkp.org/","accessed":{"date-parts":[["2020",5,14]]}}}],"schema":"https://github.com/citation-style-language/schema/raw/master/csl-citation.json"} </w:instrText>
      </w:r>
      <w:r w:rsidR="00586577"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10,27,30</w:t>
      </w:r>
      <w:r w:rsidR="00586577" w:rsidRPr="00757919">
        <w:rPr>
          <w:rFonts w:ascii="Times New Roman" w:hAnsi="Times New Roman" w:cs="Times New Roman"/>
          <w:sz w:val="24"/>
          <w:szCs w:val="24"/>
        </w:rPr>
        <w:fldChar w:fldCharType="end"/>
      </w:r>
      <w:r w:rsidR="007C17AE" w:rsidRPr="00757919">
        <w:rPr>
          <w:rFonts w:ascii="Times New Roman" w:hAnsi="Times New Roman" w:cs="Times New Roman"/>
          <w:sz w:val="24"/>
          <w:szCs w:val="24"/>
        </w:rPr>
        <w:t>.</w:t>
      </w:r>
      <w:r w:rsidR="00173A82" w:rsidRPr="00757919">
        <w:rPr>
          <w:rFonts w:ascii="Times New Roman" w:hAnsi="Times New Roman" w:cs="Times New Roman"/>
          <w:sz w:val="24"/>
          <w:szCs w:val="24"/>
        </w:rPr>
        <w:t xml:space="preserve"> </w:t>
      </w:r>
    </w:p>
    <w:p w14:paraId="5937170C" w14:textId="4EFFD76C" w:rsidR="005B6B70" w:rsidRPr="00757919" w:rsidRDefault="00377EA3" w:rsidP="00864F3F">
      <w:pPr>
        <w:spacing w:line="480" w:lineRule="auto"/>
        <w:rPr>
          <w:rFonts w:ascii="Times New Roman" w:hAnsi="Times New Roman" w:cs="Times New Roman"/>
          <w:sz w:val="24"/>
          <w:szCs w:val="24"/>
        </w:rPr>
      </w:pPr>
      <w:r w:rsidRPr="00757919">
        <w:rPr>
          <w:rFonts w:ascii="Times New Roman" w:hAnsi="Times New Roman" w:cs="Times New Roman"/>
          <w:sz w:val="24"/>
          <w:szCs w:val="24"/>
        </w:rPr>
        <w:t xml:space="preserve">In addition to genetic </w:t>
      </w:r>
      <w:r w:rsidR="00CE7371">
        <w:rPr>
          <w:rFonts w:ascii="Times New Roman" w:hAnsi="Times New Roman" w:cs="Times New Roman"/>
          <w:sz w:val="24"/>
          <w:szCs w:val="24"/>
        </w:rPr>
        <w:t>polymorphism</w:t>
      </w:r>
      <w:r w:rsidRPr="00757919">
        <w:rPr>
          <w:rFonts w:ascii="Times New Roman" w:hAnsi="Times New Roman" w:cs="Times New Roman"/>
          <w:sz w:val="24"/>
          <w:szCs w:val="24"/>
        </w:rPr>
        <w:t xml:space="preserve">s, we have previously found circulating </w:t>
      </w:r>
      <w:r w:rsidR="001266A5" w:rsidRPr="00757919">
        <w:rPr>
          <w:rFonts w:ascii="Times New Roman" w:hAnsi="Times New Roman" w:cs="Times New Roman"/>
          <w:sz w:val="24"/>
          <w:szCs w:val="24"/>
        </w:rPr>
        <w:t xml:space="preserve">microRNAs </w:t>
      </w:r>
      <w:r w:rsidR="001266A5">
        <w:rPr>
          <w:rFonts w:ascii="Times New Roman" w:hAnsi="Times New Roman" w:cs="Times New Roman"/>
          <w:sz w:val="24"/>
          <w:szCs w:val="24"/>
        </w:rPr>
        <w:t>(</w:t>
      </w:r>
      <w:r w:rsidRPr="00757919">
        <w:rPr>
          <w:rFonts w:ascii="Times New Roman" w:hAnsi="Times New Roman" w:cs="Times New Roman"/>
          <w:sz w:val="24"/>
          <w:szCs w:val="24"/>
        </w:rPr>
        <w:t>miRNAs</w:t>
      </w:r>
      <w:r w:rsidR="001266A5">
        <w:rPr>
          <w:rFonts w:ascii="Times New Roman" w:hAnsi="Times New Roman" w:cs="Times New Roman"/>
          <w:sz w:val="24"/>
          <w:szCs w:val="24"/>
        </w:rPr>
        <w:t>)</w:t>
      </w:r>
      <w:r w:rsidRPr="00757919">
        <w:rPr>
          <w:rFonts w:ascii="Times New Roman" w:hAnsi="Times New Roman" w:cs="Times New Roman"/>
          <w:sz w:val="24"/>
          <w:szCs w:val="24"/>
        </w:rPr>
        <w:t xml:space="preserve"> </w:t>
      </w:r>
      <w:r w:rsidR="00347939" w:rsidRPr="00757919">
        <w:rPr>
          <w:rFonts w:ascii="Times New Roman" w:hAnsi="Times New Roman" w:cs="Times New Roman"/>
          <w:sz w:val="24"/>
          <w:szCs w:val="24"/>
        </w:rPr>
        <w:t xml:space="preserve">to be </w:t>
      </w:r>
      <w:r w:rsidR="00745871" w:rsidRPr="00757919">
        <w:rPr>
          <w:rFonts w:ascii="Times New Roman" w:hAnsi="Times New Roman" w:cs="Times New Roman"/>
          <w:sz w:val="24"/>
          <w:szCs w:val="24"/>
        </w:rPr>
        <w:t>associated with</w:t>
      </w:r>
      <w:r w:rsidRPr="00757919">
        <w:rPr>
          <w:rFonts w:ascii="Times New Roman" w:hAnsi="Times New Roman" w:cs="Times New Roman"/>
          <w:sz w:val="24"/>
          <w:szCs w:val="24"/>
        </w:rPr>
        <w:t xml:space="preserve"> BB use and BMD</w:t>
      </w:r>
      <w:r w:rsidR="00745871" w:rsidRPr="00757919">
        <w:rPr>
          <w:rFonts w:ascii="Times New Roman" w:hAnsi="Times New Roman" w:cs="Times New Roman"/>
          <w:sz w:val="24"/>
          <w:szCs w:val="24"/>
        </w:rPr>
        <w:t xml:space="preserve"> and</w:t>
      </w:r>
      <w:r w:rsidRPr="00757919">
        <w:rPr>
          <w:rFonts w:ascii="Times New Roman" w:hAnsi="Times New Roman" w:cs="Times New Roman"/>
          <w:sz w:val="24"/>
          <w:szCs w:val="24"/>
        </w:rPr>
        <w:t xml:space="preserve"> revealed potential miRNA-mediated mechanisms by which BB use influences BMD</w:t>
      </w:r>
      <w:r w:rsidR="00745871" w:rsidRPr="00757919">
        <w:rPr>
          <w:rFonts w:ascii="Times New Roman" w:hAnsi="Times New Roman" w:cs="Times New Roman"/>
          <w:sz w:val="24"/>
          <w:szCs w:val="24"/>
        </w:rPr>
        <w:t>, including</w:t>
      </w:r>
      <w:r w:rsidRPr="00757919">
        <w:rPr>
          <w:rFonts w:ascii="Times New Roman" w:hAnsi="Times New Roman" w:cs="Times New Roman"/>
          <w:sz w:val="24"/>
          <w:szCs w:val="24"/>
        </w:rPr>
        <w:t xml:space="preserve"> attenuati</w:t>
      </w:r>
      <w:r w:rsidR="00745871" w:rsidRPr="00757919">
        <w:rPr>
          <w:rFonts w:ascii="Times New Roman" w:hAnsi="Times New Roman" w:cs="Times New Roman"/>
          <w:sz w:val="24"/>
          <w:szCs w:val="24"/>
        </w:rPr>
        <w:t>on of</w:t>
      </w:r>
      <w:r w:rsidRPr="00757919">
        <w:rPr>
          <w:rFonts w:ascii="Times New Roman" w:hAnsi="Times New Roman" w:cs="Times New Roman"/>
          <w:sz w:val="24"/>
          <w:szCs w:val="24"/>
        </w:rPr>
        <w:t xml:space="preserve"> adrenergic signaling in osteoblasts</w:t>
      </w:r>
      <w:r w:rsidR="00112351"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{"citationID":"sWPDyCrQ","properties":{"formattedCitation":"\\super 31\\nosupersub{}","plainCitation":"31","noteIndex":0},"citationItems":[{"id":277,"uris":["http://zotero.org/users/3223062/items/64VSFIH9"],"uri":["http://zotero.org/users/3223062/items/64VSFIH9"],"itemData":{"id":277,"type":"article-journal","abstract":"Osteoporosis is a debilitating and costly disease that causes fractures in 33% of women and 20% of men over the age of 50 years. Recent studies have shown that beta blocker (BB) users have higher bone mineral density (BMD) and decreased risk of fracture compared to non-users. The mechanism underlying this association is thought to be due to suppression of adrenergic signaling in osteoblasts, which leads to increased BMD in rodent models; however the mechanism in humans is unknown. Also, several miRNAs are associated with adrenergic signaling and BMD in separate studies. To investigate potential miRNA mechanisms, we performed a cross-sectional analysis using clinical data, dual-energy X-ray absorptiometry (DXA) scans, and miRNA and mRNA profiling of whole blood from the Framingham Study's Offspring Cohort. We found nine miRNAs associated with BB use and increased BMD. In parallel network analyses we discovered a sub-network associated with BMD and BB use containing two of these nine miRNAs, miR-19a-3p and miR-186-5p. To strengthen this finding, we showed that these two miRNAs had significantly higher expression in individuals without incident fracture compared to those with fracture in an external data set. We also noted a similar trend in association between these miRNA and Z-score as calculated from heel ultrasound measures in two external cohorts (SOS-Hip and SHIP-TREND). Since miR-19a directly targets the ADRB1 mRNA transcript, we propose BB use may downregulate ADRB1 expression in osteoblasts through increased miR-19a-3p expression. We used enrichment analysis of miRNA targets to find potential indirect effects through insulin and parathyroid hormone signaling. This analysis provides a starting point for delineating the role of miRNA on the association between BB use and BMD. This article is protected by copyright. All rights reserved.","container-title":"Journal of Bone and Mineral Research","DOI":"10.1002/jbmr.4160","ISSN":"1523-4681","journalAbbreviation":"JBMR","note":"_eprint: https://asbmr.onlinelibrary.wiley.com/doi/pdf/10.1002/jbmr.4160","source":"Wiley Online Library","title":"miRNA Mechanisms Underlying the Association of Beta Blocker Use and Bone Mineral Density","URL":"https://asbmr.onlinelibrary.wiley.com/doi/abs/10.1002/jbmr.4160","author":[{"family":"Nevola","given":"Kathleen T."},{"family":"Kiel","given":"Douglas P."},{"family":"Zullo","given":"Andrew R."},{"family":"Weiss","given":"Stefan"},{"family":"Homuth","given":"Georg"},{"family":"Foessl","given":"Ines"},{"family":"Obermayer-Pietsch","given":"Barbara"},{"family":"Motyl","given":"Katherine J."},{"family":"Lary","given":"Christine W."}],"accessed":{"date-parts":[["2020",9,3]]},"issued":{"date-parts":[["2020",8]]}}}],"schema":"https://github.com/citation-style-language/schema/raw/master/csl-citation.json"} </w:instrText>
      </w:r>
      <w:r w:rsidR="00112351"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31</w:t>
      </w:r>
      <w:r w:rsidR="00112351" w:rsidRPr="00757919">
        <w:rPr>
          <w:rFonts w:ascii="Times New Roman" w:hAnsi="Times New Roman" w:cs="Times New Roman"/>
          <w:sz w:val="24"/>
          <w:szCs w:val="24"/>
        </w:rPr>
        <w:fldChar w:fldCharType="end"/>
      </w:r>
      <w:r w:rsidRPr="00757919">
        <w:rPr>
          <w:rFonts w:ascii="Times New Roman" w:hAnsi="Times New Roman" w:cs="Times New Roman"/>
          <w:sz w:val="24"/>
          <w:szCs w:val="24"/>
        </w:rPr>
        <w:t xml:space="preserve">. </w:t>
      </w:r>
      <w:r w:rsidR="001066DB" w:rsidRPr="00757919">
        <w:rPr>
          <w:rFonts w:ascii="Times New Roman" w:hAnsi="Times New Roman" w:cs="Times New Roman"/>
          <w:sz w:val="24"/>
          <w:szCs w:val="24"/>
        </w:rPr>
        <w:t>miRNAs are small (~22 nucleotides), non-coding RNAs that act on target mRNAs to inhibit protein expression through mRNA degradation and translational inhibition</w:t>
      </w:r>
      <w:r w:rsidR="006073A0"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{"citationID":"sxlVyeMZ","properties":{"formattedCitation":"\\super 32\\nosupersub{}","plainCitation":"32","noteIndex":0},"citationItems":[{"id":511,"uris":["http://zotero.org/users/3223062/items/8ZG9SJNP"],"uri":["http://zotero.org/users/3223062/items/8ZG9SJNP"],"itemData":{"id":511,"type":"article-journal","abstract":"Much evidence has documented that microRNAs (miRNAs) play an important role in the modulation of interindividual variability in the production of drug metabolizing enzymes and transporters (DMETs) and nuclear receptors (NRs) through multidirectional interactions involving environmental stimuli/stressors, the expression of miRNA molecules and genetic polymorphisms. MiRNA expression has been reported to be affected by drugs and miRNAs themselves may affect drug metabolism and toxicity. In cancer research, miRNA biomarkers have been identified to mediate intrinsic and acquired resistance to cancer therapies. In drug safety assessment, miRNAs have been found associated with cardiotoxicity, hepatotoxicity and nephrotoxicity. This review article summarizes published studies to show that miRNAs can serve as early biomarkers for the evaluation of drug efficacy and drug safety.","container-title":"Biomarkers in medicine","DOI":"10.2217/bmm.15.89","ISSN":"1752-0363","issue":"11","journalAbbreviation":"Biomark Med","note":"PMID: 26501795\nPMCID: PMC5712454","page":"1153-1176","source":"PubMed Central","title":"microRNAs as pharmacogenomic biomarkers for drug efficacy and drug safety assessment","volume":"9","author":[{"family":"Koturbash","given":"Igor"},{"family":"Tolleson","given":"William H"},{"family":"Guo","given":"Lei"},{"family":"Yu","given":"Dianke"},{"family":"Chen","given":"Si"},{"family":"Hong","given":"Huixiao"},{"family":"Mattes","given":"William"},{"family":"Ning","given":"Baitang"}],"issued":{"date-parts":[["2015"]]}}}],"schema":"https://github.com/citation-style-language/schema/raw/master/csl-citation.json"} </w:instrText>
      </w:r>
      <w:r w:rsidR="006073A0"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32</w:t>
      </w:r>
      <w:r w:rsidR="006073A0" w:rsidRPr="00757919">
        <w:rPr>
          <w:rFonts w:ascii="Times New Roman" w:hAnsi="Times New Roman" w:cs="Times New Roman"/>
          <w:sz w:val="24"/>
          <w:szCs w:val="24"/>
        </w:rPr>
        <w:fldChar w:fldCharType="end"/>
      </w:r>
      <w:r w:rsidR="001066DB" w:rsidRPr="00757919">
        <w:rPr>
          <w:rFonts w:ascii="Times New Roman" w:hAnsi="Times New Roman" w:cs="Times New Roman"/>
          <w:sz w:val="24"/>
          <w:szCs w:val="24"/>
        </w:rPr>
        <w:t xml:space="preserve">. </w:t>
      </w:r>
      <w:r w:rsidR="00A01939" w:rsidRPr="00757919">
        <w:rPr>
          <w:rFonts w:ascii="Times New Roman" w:hAnsi="Times New Roman" w:cs="Times New Roman"/>
          <w:sz w:val="24"/>
          <w:szCs w:val="24"/>
        </w:rPr>
        <w:t>Circulating miRNAs have been</w:t>
      </w:r>
      <w:r w:rsidR="00CB2357">
        <w:rPr>
          <w:rFonts w:ascii="Times New Roman" w:hAnsi="Times New Roman" w:cs="Times New Roman"/>
          <w:sz w:val="24"/>
          <w:szCs w:val="24"/>
        </w:rPr>
        <w:t xml:space="preserve"> </w:t>
      </w:r>
      <w:r w:rsidR="00A01939" w:rsidRPr="00757919">
        <w:rPr>
          <w:rFonts w:ascii="Times New Roman" w:hAnsi="Times New Roman" w:cs="Times New Roman"/>
          <w:sz w:val="24"/>
          <w:szCs w:val="24"/>
        </w:rPr>
        <w:t xml:space="preserve">used to develop hypotheses regarding underlying mechanisms </w:t>
      </w:r>
      <w:r w:rsidR="00CB2357">
        <w:rPr>
          <w:rFonts w:ascii="Times New Roman" w:hAnsi="Times New Roman" w:cs="Times New Roman"/>
          <w:sz w:val="24"/>
          <w:szCs w:val="24"/>
        </w:rPr>
        <w:t>in many applications</w:t>
      </w:r>
      <w:r w:rsidR="00A01939" w:rsidRPr="00757919">
        <w:rPr>
          <w:rFonts w:ascii="Times New Roman" w:hAnsi="Times New Roman" w:cs="Times New Roman"/>
          <w:sz w:val="24"/>
          <w:szCs w:val="24"/>
        </w:rPr>
        <w:t xml:space="preserve"> </w:t>
      </w:r>
      <w:r w:rsidR="00CB2357">
        <w:rPr>
          <w:rFonts w:ascii="Times New Roman" w:hAnsi="Times New Roman" w:cs="Times New Roman"/>
          <w:sz w:val="24"/>
          <w:szCs w:val="24"/>
        </w:rPr>
        <w:t xml:space="preserve">including </w:t>
      </w:r>
      <w:r w:rsidR="00A01939" w:rsidRPr="00757919">
        <w:rPr>
          <w:rFonts w:ascii="Times New Roman" w:hAnsi="Times New Roman" w:cs="Times New Roman"/>
          <w:sz w:val="24"/>
          <w:szCs w:val="24"/>
        </w:rPr>
        <w:t>cardiovascular disease</w:t>
      </w:r>
      <w:r w:rsidR="00CB2357">
        <w:rPr>
          <w:rFonts w:ascii="Times New Roman" w:hAnsi="Times New Roman" w:cs="Times New Roman"/>
          <w:sz w:val="24"/>
          <w:szCs w:val="24"/>
        </w:rPr>
        <w:t xml:space="preserve"> and</w:t>
      </w:r>
      <w:r w:rsidR="00A01939" w:rsidRPr="00757919">
        <w:rPr>
          <w:rFonts w:ascii="Times New Roman" w:hAnsi="Times New Roman" w:cs="Times New Roman"/>
          <w:sz w:val="24"/>
          <w:szCs w:val="24"/>
        </w:rPr>
        <w:t xml:space="preserve"> cancer</w:t>
      </w:r>
      <w:r w:rsidR="00CB2357">
        <w:rPr>
          <w:rFonts w:ascii="Times New Roman" w:hAnsi="Times New Roman" w:cs="Times New Roman"/>
          <w:sz w:val="24"/>
          <w:szCs w:val="24"/>
        </w:rPr>
        <w:t xml:space="preserve"> etiology</w:t>
      </w:r>
      <w:r w:rsidR="00A01939" w:rsidRPr="00757919">
        <w:rPr>
          <w:rFonts w:ascii="Times New Roman" w:hAnsi="Times New Roman" w:cs="Times New Roman"/>
          <w:sz w:val="24"/>
          <w:szCs w:val="24"/>
        </w:rPr>
        <w:t xml:space="preserve">, </w:t>
      </w:r>
      <w:r w:rsidR="00CB2357">
        <w:rPr>
          <w:rFonts w:ascii="Times New Roman" w:hAnsi="Times New Roman" w:cs="Times New Roman"/>
          <w:sz w:val="24"/>
          <w:szCs w:val="24"/>
        </w:rPr>
        <w:t xml:space="preserve">variation in </w:t>
      </w:r>
      <w:r w:rsidR="00A01939" w:rsidRPr="00757919">
        <w:rPr>
          <w:rFonts w:ascii="Times New Roman" w:hAnsi="Times New Roman" w:cs="Times New Roman"/>
          <w:sz w:val="24"/>
          <w:szCs w:val="24"/>
        </w:rPr>
        <w:t xml:space="preserve">handgrip strength, and </w:t>
      </w:r>
      <w:r w:rsidR="00CB2357">
        <w:rPr>
          <w:rFonts w:ascii="Times New Roman" w:hAnsi="Times New Roman" w:cs="Times New Roman"/>
          <w:sz w:val="24"/>
          <w:szCs w:val="24"/>
        </w:rPr>
        <w:t xml:space="preserve">response to </w:t>
      </w:r>
      <w:r w:rsidR="00A01939" w:rsidRPr="00757919">
        <w:rPr>
          <w:rFonts w:ascii="Times New Roman" w:hAnsi="Times New Roman" w:cs="Times New Roman"/>
          <w:sz w:val="24"/>
          <w:szCs w:val="24"/>
        </w:rPr>
        <w:t>antidepressant treatment</w:t>
      </w:r>
      <w:r w:rsidR="00A01939"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{"citationID":"L4lPpjNv","properties":{"formattedCitation":"\\super 33\\uc0\\u8211{}35\\nosupersub{}","plainCitation":"33–35","noteIndex":0},"citationItems":[{"id":447,"uris":["http://zotero.org/users/3223062/items/WSTG6MDA"],"uri":["http://zotero.org/users/3223062/items/WSTG6MDA"],"itemData":{"id":447,"type":"article-journal","abstract":"MicroRNAs (miRNAs) are potent modulators of protein expression that play key roles in brain pathways regulating neurogenesis and synaptic plasticity. These small RNAs may be critical for the pathophysiology of mental disorders and may influence the effectiveness of psychotropic drugs. To investigate the possible involvement of miRNAs in the mechanism of action of antidepressants (AD), we conducted a whole-miRNome quantitative analysis with qRT-PCR of the changes in the blood of 10 depressed subjects after 12 weeks of treatment with escitalopram. Thirty miRNAs were differentially expressed after the AD treatment: 28 miRNAs were up-regulated, and 2 miRNAs were strongly down-regulated. miRNA target gene prediction and functional annotation analysis showed that there was a significant enrichment in several pathways associated with neuronal brain function (such as neuroactive ligand–receptor interaction, axon guidance, long-term potentiation and depression), supporting the hypothesis that the differentially regulated miRNAs may be involved in the AD mechanism.","container-title":"European Neuropsychopharmacology","DOI":"10.1016/j.euroneuro.2012.06.013","ISSN":"0924-977X","issue":"7","journalAbbreviation":"European Neuropsychopharmacology","page":"602-611","source":"ScienceDirect","title":"Blood microRNA changes in depressed patients during antidepressant treatment","volume":"23","author":[{"family":"Bocchio-Chiavetto","given":"Luisella"},{"family":"Maffioletti","given":"Elisabetta"},{"family":"Bettinsoli","given":"Paola"},{"family":"Giovannini","given":"Caterina"},{"family":"Bignotti","given":"Stefano"},{"family":"Tardito","given":"Daniela"},{"family":"Corrada","given":"Dario"},{"family":"Milanesi","given":"Luciano"},{"family":"Gennarelli","given":"Massimo"}],"issued":{"date-parts":[["2013",7,1]]}}},{"id":448,"uris":["http://zotero.org/users/3223062/items/834FMWUT"],"uri":["http://zotero.org/users/3223062/items/834FMWUT"],"itemData":{"id":448,"type":"article-journal","abstract":"Background: MicroRNAs (miRNAs) are small RNAs that regulate gene expression by suppressing protein translation and may influence RNA expression. MicroRNAs are detected in extracellular locations such as plasma; however, the extent of miRNA expression in plasma its relation to cardiovascular disease is not clear and many clinical studies have utilized array-based platforms with poor reproducibility., \nMethods and Results: Initially, to define distribution of miRNA in human blood; whole blood, platelets, mononuclear cells, plasma, and serum from 5 normal individuals were screened for 852 miRNAs using high-throughput micro-fluidic quantitative RT-PCR (qRT-PCR). In total; 609, 448, 658, 147, and 178 miRNAs were found to be expressed in moderate to high levels in whole blood, platelets, mononuclear cells, plasma, and serum, respectively, with some miRNAs uniquely expressed. To determine the cardiovascular relevance of blood miRNA expression, plasma miRNA (n=852) levels were measured in 83 patients presenting for cardiac catheterization. Eight plasma miRNAs were found to have over 2-fold increased expression in patients with significant coronary disease (≥70% stenosis) as compared to those with minimal coronary disease (less than 70% stenosis) or normal coronary arteries. Expression of miR-494, miR-490-3p, and miR-769-3p were found to have significantly different levels of expression. Using a multivariable regression model including cardiovascular risk factors and medications, hsa-miR-769-3p was found to be significantly correlated with the presence of significant coronary atherosclerosis., \nConclusions: This study utilized a superior high-throughput qRT-PCR based method and found that miRNAs are found to be widely expressed in human blood with differences expressed between cellular and extracellular fractions. Importantly, specific miRNAs from circulating plasma are associated with the presence of significant coronary disease.","container-title":"F1000Research","DOI":"10.12688/f1000research.1-50.v1","ISSN":"2046-1402","journalAbbreviation":"F1000Res","note":"PMID: 24358814\nPMCID: PMC3752638","source":"PubMed Central","title":"The distribution of circulating microRNA and their relation to coronary disease","URL":"https://www.ncbi.nlm.nih.gov/pmc/articles/PMC3752638/","volume":"1","author":[{"family":"Freedman","given":"Jane E"},{"family":"Ercan","given":"Bahadir"},{"family":"Morin","given":"Kristine M"},{"family":"Liu","given":"Ching-Ti"},{"family":"Tamer","given":"Lulufer"},{"family":"Ayaz","given":"Lokman"},{"family":"Kanadasi","given":"Mehmet"},{"family":"Cicek","given":"Dilek"},{"family":"Seyhan","given":"Ali Ihsan"},{"family":"Akilli","given":"Rabia Eker"},{"family":"Camci","given":"Celalettin"},{"family":"Cengiz","given":"Beyhan"},{"family":"Oztuzcu","given":"Serdar"},{"family":"Tanriverdi","given":"Kahraman"}],"accessed":{"date-parts":[["2019",8,28]]},"issued":{"date-parts":[["2012",11,19]]}}},{"id":525,"uris":["http://zotero.org/users/3223062/items/VMSL9RRW"],"uri":["http://zotero.org/users/3223062/items/VMSL9RRW"],"itemData":{"id":525,"type":"article-journal","abstract":"MicroRNAs (miRNAs) regulate gene expression with emerging data suggesting miRNAs play a role in skeletal muscle biology. We sought to examine the association of miRNAs with grip strength in a community-based sample. Framingham Heart Study Offspring and Generation 3 participants (n = 5668 54% women, mean age 55 years, range 24, 90 years) underwent grip strength measurement and miRNA profiling using whole blood from fasting morning samples. Linear mixed-effects regression modeling of grip strength (kg) versus continuous miRNA ‘Cq’ values and versus binary miRNA expression was performed. We conducted an integrative miRNA–mRNA coexpression analysis and examined the enrichment of biologic pathways for the top miRNAs associated with grip strength. Grip strength was lower in women than in men and declined with age with a mean 44.7 (10.0) kg in men and 26.5 (6.3) kg in women. Among 299 miRNAs interrogated for association with grip strength, 93 (31%) had FDR q value &lt; 0.05, 54 (18%) had an FDR q value &lt; 0.01, and 15 (5%) had FDR q value &lt; 0.001. For almost all miRNA–grip strength associations, increasing miRNA concentration is associated with increasing grip strength. miR-20a-5p (FDR q 1.8 × 10−6) had the most significant association and several among the top 15 miRNAs had links to skeletal muscle including miR-126-3p, miR-30a-5p, and miR-30d-5p. The top associated biologic pathways included metabolism, chemokine signaling, and ubiquitin-mediated proteolysis. Our comprehensive assessment in a community-based sample of miRNAs in blood associated with grip strength provides a framework to further our understanding of the biology of muscle strength.","container-title":"Aging Cell","DOI":"10.1111/acel.12622","ISSN":"1474-9726","issue":"4","language":"en","page":"888-894","source":"Wiley Online Library","title":"Cross-sectional relations of whole-blood miRNA expression levels and hand grip strength in a community sample","volume":"16","author":[{"family":"Murabito","given":"Joanne M."},{"family":"Rong","given":"Jian"},{"family":"Lunetta","given":"Kathryn L."},{"family":"Huan","given":"Tianxiao"},{"family":"Lin","given":"Honghuang"},{"family":"Zhao","given":"Qiang"},{"family":"Freedman","given":"Jane E."},{"family":"Tanriverdi","given":"Kahraman"},{"family":"Levy","given":"Daniel"},{"family":"Larson","given":"Martin G."}],"issued":{"date-parts":[["2017"]]}}}],"schema":"https://github.com/citation-style-language/schema/raw/master/csl-citation.json"} </w:instrText>
      </w:r>
      <w:r w:rsidR="00A01939"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33–35</w:t>
      </w:r>
      <w:r w:rsidR="00A01939" w:rsidRPr="00757919">
        <w:rPr>
          <w:rFonts w:ascii="Times New Roman" w:hAnsi="Times New Roman" w:cs="Times New Roman"/>
          <w:sz w:val="24"/>
          <w:szCs w:val="24"/>
        </w:rPr>
        <w:fldChar w:fldCharType="end"/>
      </w:r>
      <w:r w:rsidR="00A01939" w:rsidRPr="00757919">
        <w:rPr>
          <w:rFonts w:ascii="Times New Roman" w:hAnsi="Times New Roman" w:cs="Times New Roman"/>
          <w:sz w:val="24"/>
          <w:szCs w:val="24"/>
        </w:rPr>
        <w:t xml:space="preserve">. Several circulating miRNA have been implicated as potential biomarkers of osteoporosis and BB </w:t>
      </w:r>
      <w:r w:rsidR="00CB2357">
        <w:rPr>
          <w:rFonts w:ascii="Times New Roman" w:hAnsi="Times New Roman" w:cs="Times New Roman"/>
          <w:sz w:val="24"/>
          <w:szCs w:val="24"/>
        </w:rPr>
        <w:t xml:space="preserve">treatment </w:t>
      </w:r>
      <w:r w:rsidR="00A01939" w:rsidRPr="00757919">
        <w:rPr>
          <w:rFonts w:ascii="Times New Roman" w:hAnsi="Times New Roman" w:cs="Times New Roman"/>
          <w:sz w:val="24"/>
          <w:szCs w:val="24"/>
        </w:rPr>
        <w:t>response</w:t>
      </w:r>
      <w:r w:rsidR="00A01939"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{"citationID":"WSOMX2Mf","properties":{"formattedCitation":"\\super 36\\uc0\\u8211{}40\\nosupersub{}","plainCitation":"36–40","noteIndex":0},"citationItems":[{"id":533,"uris":["http://zotero.org/users/3223062/items/D2L7MJ94"],"uri":["http://zotero.org/users/3223062/items/D2L7MJ94"],"itemData":{"id":533,"type":"article-journal","abstract":"In our study, we detect the levels of three micro-RNAs (miRNAs; miR-21, miR-133a and miR-146a) in the plasma of 120 Chinese postmenopausal women who were divided into three groups (normal, osteopenia and osteoporosis) according to the T-scores. Downregulation of miR-21, as well as upregulation of miR-133a, was validated in the plasma of osteoporosis and osteopenia patients versus the normal group. The difference in expression regarding the miR-146a level in plasma among the three groups was not significant (p &gt; 0.01). The circulating miRNA expression levels and bone mineral density (BMD) were examined during a multiple correlation analysis as a dependent variable after adjusting for age, weight and height. We have demonstrated that specific miRNAs species are significantly changed in the plasma of osteoporosis and osteopenia patients and correlated with the BMD. Our study suggested a potential use of miR-21 and miR-133a as sensitive and plasma biomarkers for postmenopausal osteoporosis.","container-title":"Biomarkers","DOI":"10.3109/1354750X.2014.935957","ISSN":"1354-750X","issue":"7","note":"PMID: 25231354","page":"553-556","source":"Taylor and Francis+NEJM","title":"Plasma miRNA levels correlate with sensitivity to bone mineral density in postmenopausal osteoporosis patients","volume":"19","author":[{"family":"Li","given":"Hongqiu"},{"family":"Wang","given":"Zhe"},{"family":"Fu","given":"Qin"},{"family":"Zhang","given":"Jing"}],"issued":{"date-parts":[["2014",11,1]]}}},{"id":534,"uris":["http://zotero.org/users/3223062/items/65F9TGPV"],"uri":["http://zotero.org/users/3223062/items/65F9TGPV"],"itemData":{"id":534,"type":"article-journal","abstract":"Osteoporosis is a common skeletal disorder characterized by increased risk of bone fracture (BF) due to fragility. BFs, particularly hip fracture, are a major concern in health care because of the associated morbidity and mortality, mainly in the elderly. Lately the involvement of epigenetic mechanisms in the pathophysiology of many diseases has been recognized. In this context, the identification of microRNAs (miRNAs) specific to BF should represent a substantial step forward in diagnostics and therapeutics. The present study aimed to identify specific miRNAs in osteoporotic BF patients compared to those in osteoarthritic controls. In the profiling stage, total RNA was extracted from serum, two pools were prepared, and then retro-transcribed in triplicate. Levels of 179 serum miRNAs were analyzed by real-time PCR, and 42 of them showed significance (P &lt; 0.05), and 12 passed the false discovery rate test for multiple comparisons. Six miRNAs were selected for the replication stage and individually analyzed in sera from 15 BF patients and 12 controls. Results showed that 3 miRNAs (miR-122-5p, miR-125b-5p, and miR-21-5p) were valuable upregulated biomarkers in BF with respect to controls and, significantly, their levels were not affected by hemolysis. For miR-21-5p, the difference detected between groups was independent of age (P = 0.005) and its levels correlated to those of CTx (r = 0.76; P &lt; 0.00001), a marker of bone resorption. In conclusion, several miRNAs may be biomarkers of BF, particularly miR-21-5p. Further studies are needed in order to better characterize the levels of these miRNAs in other bone diseases and to elucidate the mechanism involved in the association of these three miRNAs with osteoporotic BF.","container-title":"Calcified Tissue International","DOI":"10.1007/s00223-015-0036-z","ISSN":"1432-0827","issue":"5","journalAbbreviation":"Calcif Tissue Int","language":"en","page":"495-505","source":"Springer Link","title":"Serum Circulating MicroRNAs as Biomarkers of Osteoporotic Fracture","volume":"97","author":[{"family":"Panach","given":"Layla"},{"family":"Mifsut","given":"Damián"},{"family":"Tarín","given":"Juan J."},{"family":"Cano","given":"Antonio"},{"family":"García-Pérez","given":"Miguel Ángel"}],"issued":{"date-parts":[["2015",11,1]]}}},{"id":543,"uris":["http://zotero.org/users/3223062/items/ICCLAB36"],"uri":["http://zotero.org/users/3223062/items/ICCLAB36"],"itemData":{"id":543,"type":"article-journal","abstract":"Osteoporosis as a systemic skeletal disorder is characterized by increased bone fragility and the risk of fractures. According to the World Health Organization, osteoporosis is one of the 10 most common diseases and affects approximately 75 million people in Europe, the United States, and Japan. In this context, the identification of specific microRNA (miRNA) signatures is an important step for new diagnostic and therapeutic approaches. The focus of interest on miRNAs as biomarkers came with new publications identifying free circulating extracellular miRNAs associated with various types of cancer. This study aimed to identify specific miRNAs in patients with osteoporotic fractures compared with nonosteoporotic fractures. For the array analysis, miRNAs were isolated from the serum of 20 patients with hip fractures, transcribed, and the samples were pooled into 10 osteoporotic and 10 nonosteoporotic specimens. With each pool of samples, human serum and plasma miRNA PCR arrays were performed, which are able to identify 83 different miRNAs. Subsequently, a separate validation analysis of each miRNA found to be regulated in the array followed with miRNA samples isolated from the serum of 30 osteoporotic and 30 nonosteoporotic patients and miRNA samples isolated from the bone tissue of 20 osteoporotic and 20 nonosteoporotic patients. With the validation analysis of the regulated miRNAs, we identified 9 miRNAs, namely miR-21, miR-23a, miR-24, miR-93, miR-100, miR-122a, miR-124a, miR-125b, and miR-148a, that were significantly upregulated in the serum of patients with osteoporosis. In the bone tissue of osteoporotic patients, we identified that miR-21, miR-23a, miR-24, miR-25, miR-100, and miR-125b displayed a significantly higher expression. A total of 5 miRNAs display an upregulation both in serum and bone tissue. This study reveals an important role for several miRNAs in osteoporotic patients and suggested that they may be used as biomarkers for diagnostic purposes and may be a target for treating bone loss and optimizing fracture healing in osteoporotic patients. © 2014 American Society for Bone and Mineral Research.","container-title":"Journal of Bone and Mineral Research","DOI":"10.1002/jbmr.2175","ISSN":"1523-4681","issue":"8","language":"en","page":"1718-1728","source":"Wiley Online Library","title":"Five Freely Circulating miRNAs and Bone Tissue miRNAs Are Associated With Osteoporotic Fractures","volume":"29","author":[{"family":"Seeliger","given":"Claudine"},{"family":"Karpinski","given":"Katrin"},{"family":"Haug","given":"Alexander T."},{"family":"Vester","given":"Helen"},{"family":"Schmitt","given":"Andreas"},{"family":"Bauer","given":"Jan S."},{"family":"Griensven","given":"Martijn","dropping-particle":"van"}],"issued":{"date-parts":[["2014",8,1]]}}},{"id":493,"uris":["http://zotero.org/users/3223062/items/CHFLJI43"],"uri":["http://zotero.org/users/3223062/items/CHFLJI43"],"itemData":{"id":493,"type":"article-journal","abstract":"β-blockers show variable efficacy as antihypertensives. Herein, we evaluated plasma miRNAs as biomarkers for defining antihypertensive response to β-blockers. Expression of 22 β-blocker pharmacodynamics-related miRNAs was assessed in baseline plasma samples from 30 responders and 30 non-responders to metoprolol from the PEAR-2 study (Discovery). Logistic regression was performed to identify miRNAs significantly associated with metoprolol response. Those miRNAs were profiled in baseline plasma samples from 25 responders and 25 non-responders to atenolol from the PEAR study (validation). In discovery, miR-101, miR-27a, miR-22, miR-19a, and let-7e were significantly associated with metoprolol response (P = 0.01, 0.017, 0.025, 0.025, and 0.04, respectively). In validation, miR-19a was significantly associated with atenolol response (P = 0.038). Meta-analysis between PEAR-2 and PEAR revealed significant association between miR-19a (P = 0.004), miR-101 (P = 0.006), and let-7e (P = 0.012) and β-blocker response. Hence, miR-19a, miR-101, and let-7e, which regulate β1-adrenergic receptor and other β-blocker pharmacodynamics-related genes, may be biomarkers for antihypertensive response to β-blockers.","container-title":"European Journal of Pharmaceutical Sciences","DOI":"10.1016/j.ejps.2019.02.013","ISSN":"0928-0987","journalAbbreviation":"European Journal of Pharmaceutical Sciences","page":"93-98","source":"ScienceDirect","title":"Effect of plasma MicroRNA on antihypertensive response to beta blockers in the Pharmacogenomic Evaluation of Antihypertensive Responses (PEAR) studies","volume":"131","author":[{"family":"Solayman","given":"Mohamed H."},{"family":"Langaee","given":"Taimour Y."},{"family":"Gong","given":"Yan"},{"family":"Shahin","given":"Mohamed H."},{"family":"Turner","given":"Stephen T."},{"family":"Chapman","given":"Arlene B."},{"family":"Gums","given":"John G."},{"family":"Boerwinkle","given":"Eric"},{"family":"Beitelshees","given":"Amber L."},{"family":"El-Hamamsy","given":"Manal"},{"family":"El-Wakeel","given":"Lamia"},{"family":"Cooper-DeHoff","given":"Rhonda M."},{"family":"Badary","given":"Osama A."},{"family":"Johnson","given":"Julie A."}],"issued":{"date-parts":[["2019",4,1]]}}},{"id":518,"uris":["http://zotero.org/users/3223062/items/UPNT29AE"],"uri":["http://zotero.org/users/3223062/items/UPNT29AE"],"itemData":{"id":518,"type":"article-journal","abstract":"Rationale:The sympathetic nervous system plays a fundamental role in the regulation of myocardial function. During chronic pressure overload, overactivation of the sympathetic nervous system induces the release of catecholamines, which activate β-adrenergic receptors in cardiomyocytes and lead to increased heart rate and cardiac contractility. However, chronic stimulation of β-adrenergic receptors leads to impaired cardiac function, and β-blockers are widely used as therapeutic agents for the treatment of cardiac disease. MicroRNA-133 (miR-133) is highly expressed in the myocardium and is involved in controlling cardiac function through regulation of messenger RNA translation/stability.Objective:To determine whether miR-133 affects β-adrenergic receptor signaling during progression to heart failure.Methods and Results:Based on bioinformatic analysis, β1-adrenergic receptor (β1AR) and other components of the β1AR signal transduction cascade, including adenylate cyclase VI and the catalytic subunit of the cAMP-dependent protein kinase A, were predicted as direct targets of miR-133 and subsequently validated by experimental studies. Consistently, cAMP accumulation and activation of downstream targets were repressed by miR-133 overexpression in both neonatal and adult cardiomyocytes following selective β1AR stimulation. Furthermore, gain-of-function and loss-of-function studies of miR-133 revealed its role in counteracting the deleterious apoptotic effects caused by chronic β1AR stimulation. This was confirmed in vivo using a novel cardiac-specific TetON-miR-133 inducible transgenic mouse model. When subjected to transaortic constriction, TetON-miR-133 inducible transgenic mice maintained cardiac performance and showed attenuated apoptosis and reduced fibrosis compared with control mice.Conclusions:miR-133 controls multiple components of the β1AR transduction cascade and is cardioprotective during heart failure.","container-title":"Circulation Research","DOI":"10.1161/CIRCRESAHA.115.303252","issue":"2","journalAbbreviation":"Circulation Research","page":"273-283","source":"ahajournals.org (Atypon)","title":"MicroRNA-133 Modulates the β1-Adrenergic Receptor Transduction Cascade","volume":"115","author":[{"literal":"Castaldi Alessandra"},{"literal":"Zaglia Tania"},{"literal":"Di Mauro Vittoria"},{"literal":"Carullo Pierluigi"},{"literal":"Viggiani Giacomo"},{"literal":"Borile Giulia"},{"literal":"Di Stefano Barbara"},{"literal":"Schiattarella Gabriele Giacomo"},{"literal":"Gualazzi Maria Giovanna"},{"literal":"Elia Leonardo"},{"literal":"Stirparo Giuliano Giuseppe"},{"literal":"Colorito Maria Luisa"},{"literal":"Pironti Gianluigi"},{"literal":"Kunderfranco Paolo"},{"literal":"Esposito Giovanni"},{"literal":"Bang Marie-Louise"},{"literal":"Mongillo Marco"},{"literal":"Condorelli Gianluigi"},{"literal":"Catalucci Daniele"}],"issued":{"date-parts":[["2014",7,7]]}}}],"schema":"https://github.com/citation-style-language/schema/raw/master/csl-citation.json"} </w:instrText>
      </w:r>
      <w:r w:rsidR="00A01939"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36–40</w:t>
      </w:r>
      <w:r w:rsidR="00A01939" w:rsidRPr="00757919">
        <w:rPr>
          <w:rFonts w:ascii="Times New Roman" w:hAnsi="Times New Roman" w:cs="Times New Roman"/>
          <w:sz w:val="24"/>
          <w:szCs w:val="24"/>
        </w:rPr>
        <w:fldChar w:fldCharType="end"/>
      </w:r>
      <w:r w:rsidR="00B20D57">
        <w:rPr>
          <w:rFonts w:ascii="Times New Roman" w:hAnsi="Times New Roman" w:cs="Times New Roman"/>
          <w:sz w:val="24"/>
          <w:szCs w:val="24"/>
        </w:rPr>
        <w:t>, and</w:t>
      </w:r>
      <w:r w:rsidR="00A01939" w:rsidRPr="00757919">
        <w:rPr>
          <w:rFonts w:ascii="Times New Roman" w:hAnsi="Times New Roman" w:cs="Times New Roman"/>
          <w:sz w:val="24"/>
          <w:szCs w:val="24"/>
        </w:rPr>
        <w:t xml:space="preserve"> miRNAs have also been assessed in association with GWAS signals using expression quantitative loci (</w:t>
      </w:r>
      <w:proofErr w:type="spellStart"/>
      <w:r w:rsidR="00A01939" w:rsidRPr="00757919">
        <w:rPr>
          <w:rFonts w:ascii="Times New Roman" w:hAnsi="Times New Roman" w:cs="Times New Roman"/>
          <w:sz w:val="24"/>
          <w:szCs w:val="24"/>
        </w:rPr>
        <w:t>eQTL</w:t>
      </w:r>
      <w:proofErr w:type="spellEnd"/>
      <w:r w:rsidR="00A01939" w:rsidRPr="00757919">
        <w:rPr>
          <w:rFonts w:ascii="Times New Roman" w:hAnsi="Times New Roman" w:cs="Times New Roman"/>
          <w:sz w:val="24"/>
          <w:szCs w:val="24"/>
        </w:rPr>
        <w:t xml:space="preserve">) analysis in </w:t>
      </w:r>
      <w:r w:rsidR="00B20D57">
        <w:rPr>
          <w:rFonts w:ascii="Times New Roman" w:hAnsi="Times New Roman" w:cs="Times New Roman"/>
          <w:sz w:val="24"/>
          <w:szCs w:val="24"/>
        </w:rPr>
        <w:t>many outcomes</w:t>
      </w:r>
      <w:r w:rsidR="00A01939" w:rsidRPr="00757919">
        <w:rPr>
          <w:rFonts w:ascii="Times New Roman" w:hAnsi="Times New Roman" w:cs="Times New Roman"/>
          <w:sz w:val="24"/>
          <w:szCs w:val="24"/>
        </w:rPr>
        <w:t xml:space="preserve"> to </w:t>
      </w:r>
      <w:r w:rsidR="00B20D57">
        <w:rPr>
          <w:rFonts w:ascii="Times New Roman" w:hAnsi="Times New Roman" w:cs="Times New Roman"/>
          <w:sz w:val="24"/>
          <w:szCs w:val="24"/>
        </w:rPr>
        <w:t xml:space="preserve">discover </w:t>
      </w:r>
      <w:r w:rsidR="00A01939" w:rsidRPr="00757919">
        <w:rPr>
          <w:rFonts w:ascii="Times New Roman" w:hAnsi="Times New Roman" w:cs="Times New Roman"/>
          <w:sz w:val="24"/>
          <w:szCs w:val="24"/>
        </w:rPr>
        <w:t>potential mechanism</w:t>
      </w:r>
      <w:r w:rsidR="00643A1E">
        <w:rPr>
          <w:rFonts w:ascii="Times New Roman" w:hAnsi="Times New Roman" w:cs="Times New Roman"/>
          <w:sz w:val="24"/>
          <w:szCs w:val="24"/>
        </w:rPr>
        <w:t>s</w:t>
      </w:r>
      <w:r w:rsidR="00A01939" w:rsidRPr="00757919">
        <w:rPr>
          <w:rFonts w:ascii="Times New Roman" w:hAnsi="Times New Roman" w:cs="Times New Roman"/>
          <w:sz w:val="24"/>
          <w:szCs w:val="24"/>
        </w:rPr>
        <w:t xml:space="preserve"> and biomarkers of these conditions</w:t>
      </w:r>
      <w:r w:rsidR="00A01939"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{"citationID":"ioT4GLiK","properties":{"formattedCitation":"\\super 41\\uc0\\u8211{}43\\nosupersub{}","plainCitation":"41–43","noteIndex":0},"citationItems":[{"id":341,"uris":["http://zotero.org/users/3223062/items/NAQFF3R7"],"uri":["http://zotero.org/users/3223062/items/NAQFF3R7"],"itemData":{"id":341,"type":"article-journal","abstract":"micro RNA (miRNA) are important regulators of gene expression and may influence phenotypes and disease traits. The connection between genetics and miRNA expression can be determined through expression quantitative loci (eQTL) analysis, which has been extensively used in a variety of tissues, and in both human and model organisms. miRNA play an important role in brain-related diseases, but eQTL studies of miRNA in brain tissue are limited. We aim to catalog miRNA eQTL in brain tissue using miRNA expression measured on a recombinant inbred mouse panel. Because samples were collected without any intervention or treatment (naïve), the panel allows characterization of genetic influences on miRNAs’ expression levels. We used brain RNA expression levels of 881 miRNA and 1416 genomic locations to identify miRNA eQTL. To address multiple testing, we employed permutation p-values and subsequent zero permutation p-value correction. We also investigated the underlying biology of miRNA regulation using additional analyses, including hotspot analysis to search for regions controlling multiple miRNAs, and Bayesian network analysis to identify scenarios where a miRNA mediates the association between genotype and mRNA expression. We used addiction related phenotypes to illustrate the utility of our results. Thirty-eight miRNA eQTL were identified after appropriate multiple testing corrections. Ten of these miRNAs had target genes enriched for brain-related pathways and mapped to four miRNA eQTL hotspots. Bayesian network analysis revealed four biological networks relating genetic variation, miRNA expression and gene expression. Our extensive evaluation of miRNA eQTL provides valuable insight into the role of miRNA regulation in brain tissue. Our miRNA eQTL analysis and extended statistical exploration identifies miRNA candidates in brain for future study.","container-title":"BMC Genomics","DOI":"10.1186/s12864-019-6110-6","ISSN":"1471-2164","issue":"1","journalAbbreviation":"BMC Genomics","language":"en","note":"number: 1\npublisher: BioMed Central","page":"1-14","source":"bmcgenomics-biomedcentral-com.ezproxy.library.tufts.edu","title":"Insight into genetic regulation of miRNA in mouse brain","volume":"20","author":[{"family":"Kordas","given":"Gordon"},{"family":"Rudra","given":"Pratyaydipta"},{"family":"Hendricks","given":"Audrey"},{"family":"Saba","given":"Laura"},{"family":"Kechris","given":"Katerina"}],"issued":{"date-parts":[["2019",12]]}}},{"id":340,"uris":["http://zotero.org/users/3223062/items/46Z5QSEQ"],"uri":["http://zotero.org/users/3223062/items/46Z5QSEQ"],"itemData":{"id":340,"type":"article-journal","abstract":"Despite sex being an important epidemiological and physiological factor, not much is known about how sex works to interact with genotypes to result in different phenotypes. Both messenger RNA (mRNA) and microRNA (miRNA) may be differentially expressed between the sexes in different physiological conditions, and both may be differentially regulated between males and females. Using whole transcriptome data on lymphoblastoid cell lines from 338 samples of European origin, we tried to uncover genes differentially expressed between the two sexes and sex-interacting expression quantitative trait loci (ss-eQTLs). Two miRNAs were found to be differentially expressed between the two sexes, both of which were found to be functionally implicated in breast cancer. Using two stage linear regression analysis, 21 mRNA ss-eQTL and 3 miRNA ss-eQTLs were discovered. We replicated two of the mRNA ss-eQTLs (p &lt; 0.1) using a separate dataset of gene expression data derived from monocytes. Three mRNA ss-eQTLs are in high linkage disequilibrium with variants also found to be associated with sexually dimorphic traits. Taken together, we believe the ss-eQTLs presented will assist researchers in uncovering the basis of sex-biased gene expression regulation, and ultimately help us understand the genetic basis of differences in phenotypes between sexes.","container-title":"Frontiers in Genetics","DOI":"10.3389/fgene.2019.00313","ISSN":"1664-8021","journalAbbreviation":"Front Genet","note":"PMID: 31024623\nPMCID: PMC6465513","source":"PubMed Central","title":"Sex-Interacting mRNA- and miRNA-eQTLs and Their Implications in Gene Expression Regulation and Disease","URL":"https://www.ncbi.nlm.nih.gov/pmc/articles/PMC6465513/","volume":"10","author":[{"family":"Shen","given":"Jiangshan J."},{"family":"Wang","given":"Yong-Fei"},{"family":"Yang","given":"Wanling"}],"accessed":{"date-parts":[["2020",6,15]]},"issued":{"date-parts":[["2019",4,9]]}}},{"id":339,"uris":["http://zotero.org/users/3223062/items/WFES9C2W"],"uri":["http://zotero.org/users/3223062/items/WFES9C2W"],"itemData":{"id":339,"type":"article-journal","abstract":"AbstractAims.  To identify genetic variants that have a regulatory impact on circulating microRNAs (miRNAs) and to connect genetic risk to blood traits/biomarke","container-title":"Cardiovascular Research","DOI":"10.1093/cvr/cvz030","ISSN":"0008-6363","issue":"11","journalAbbreviation":"Cardiovasc Res","language":"en","note":"publisher: Oxford Academic","page":"1629-1645","source":"academic-oup-com.ezproxy.library.tufts.edu","title":"Genome-wide identification of circulating-miRNA expression quantitative trait loci reveals the role of several miRNAs in the regulation of cardiometabolic phenotypes","volume":"115","author":[{"family":"Nikpay","given":"Majid"},{"family":"Beehler","given":"Kaitlyn"},{"family":"Valsesia","given":"Armand"},{"family":"Hager","given":"Jorg"},{"family":"Harper","given":"Mary-Ellen"},{"family":"Dent","given":"Robert"},{"family":"McPherson","given":"Ruth"}],"issued":{"date-parts":[["2019",9,1]]}}}],"schema":"https://github.com/citation-style-language/schema/raw/master/csl-citation.json"} </w:instrText>
      </w:r>
      <w:r w:rsidR="00A01939"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41–43</w:t>
      </w:r>
      <w:r w:rsidR="00A01939" w:rsidRPr="00757919">
        <w:rPr>
          <w:rFonts w:ascii="Times New Roman" w:hAnsi="Times New Roman" w:cs="Times New Roman"/>
          <w:sz w:val="24"/>
          <w:szCs w:val="24"/>
        </w:rPr>
        <w:fldChar w:fldCharType="end"/>
      </w:r>
      <w:r w:rsidR="00A01939" w:rsidRPr="00757919">
        <w:rPr>
          <w:rFonts w:ascii="Times New Roman" w:hAnsi="Times New Roman" w:cs="Times New Roman"/>
          <w:sz w:val="24"/>
          <w:szCs w:val="24"/>
        </w:rPr>
        <w:t xml:space="preserve">. </w:t>
      </w:r>
    </w:p>
    <w:p w14:paraId="3F4D2984" w14:textId="2946E5A9" w:rsidR="00A90C91" w:rsidRDefault="0035008A" w:rsidP="00A90C91">
      <w:pPr>
        <w:spacing w:line="480" w:lineRule="auto"/>
        <w:rPr>
          <w:rFonts w:ascii="Times New Roman" w:hAnsi="Times New Roman" w:cs="Times New Roman"/>
          <w:sz w:val="24"/>
          <w:szCs w:val="24"/>
        </w:rPr>
      </w:pPr>
      <w:r w:rsidRPr="00757919">
        <w:rPr>
          <w:rFonts w:ascii="Times New Roman" w:hAnsi="Times New Roman" w:cs="Times New Roman"/>
          <w:sz w:val="24"/>
          <w:szCs w:val="24"/>
        </w:rPr>
        <w:t xml:space="preserve">To </w:t>
      </w:r>
      <w:r w:rsidR="00FB6F06">
        <w:rPr>
          <w:rFonts w:ascii="Times New Roman" w:hAnsi="Times New Roman" w:cs="Times New Roman"/>
          <w:sz w:val="24"/>
          <w:szCs w:val="24"/>
        </w:rPr>
        <w:t>discover</w:t>
      </w:r>
      <w:r w:rsidR="00FB6F06" w:rsidRPr="00757919">
        <w:rPr>
          <w:rFonts w:ascii="Times New Roman" w:hAnsi="Times New Roman" w:cs="Times New Roman"/>
          <w:sz w:val="24"/>
          <w:szCs w:val="24"/>
        </w:rPr>
        <w:t xml:space="preserve"> </w:t>
      </w:r>
      <w:r w:rsidRPr="00757919">
        <w:rPr>
          <w:rFonts w:ascii="Times New Roman" w:hAnsi="Times New Roman" w:cs="Times New Roman"/>
          <w:sz w:val="24"/>
          <w:szCs w:val="24"/>
        </w:rPr>
        <w:t xml:space="preserve">genetic </w:t>
      </w:r>
      <w:r w:rsidR="00CE7371">
        <w:rPr>
          <w:rFonts w:ascii="Times New Roman" w:hAnsi="Times New Roman" w:cs="Times New Roman"/>
          <w:sz w:val="24"/>
          <w:szCs w:val="24"/>
        </w:rPr>
        <w:t>polymorphism</w:t>
      </w:r>
      <w:r w:rsidRPr="00757919">
        <w:rPr>
          <w:rFonts w:ascii="Times New Roman" w:hAnsi="Times New Roman" w:cs="Times New Roman"/>
          <w:sz w:val="24"/>
          <w:szCs w:val="24"/>
        </w:rPr>
        <w:t xml:space="preserve">s associated with the effect of BB use on </w:t>
      </w:r>
      <w:r w:rsidR="00850BC4">
        <w:rPr>
          <w:rFonts w:ascii="Times New Roman" w:hAnsi="Times New Roman" w:cs="Times New Roman"/>
          <w:sz w:val="24"/>
          <w:szCs w:val="24"/>
        </w:rPr>
        <w:t>femoral neck (</w:t>
      </w:r>
      <w:r w:rsidR="00194B1C">
        <w:rPr>
          <w:rFonts w:ascii="Times New Roman" w:hAnsi="Times New Roman" w:cs="Times New Roman"/>
          <w:sz w:val="24"/>
          <w:szCs w:val="24"/>
        </w:rPr>
        <w:t>FN</w:t>
      </w:r>
      <w:r w:rsidR="00850BC4">
        <w:rPr>
          <w:rFonts w:ascii="Times New Roman" w:hAnsi="Times New Roman" w:cs="Times New Roman"/>
          <w:sz w:val="24"/>
          <w:szCs w:val="24"/>
        </w:rPr>
        <w:t>)</w:t>
      </w:r>
      <w:r w:rsidR="00194B1C">
        <w:rPr>
          <w:rFonts w:ascii="Times New Roman" w:hAnsi="Times New Roman" w:cs="Times New Roman"/>
          <w:sz w:val="24"/>
          <w:szCs w:val="24"/>
        </w:rPr>
        <w:t xml:space="preserve"> </w:t>
      </w:r>
      <w:r w:rsidRPr="00757919">
        <w:rPr>
          <w:rFonts w:ascii="Times New Roman" w:hAnsi="Times New Roman" w:cs="Times New Roman"/>
          <w:sz w:val="24"/>
          <w:szCs w:val="24"/>
        </w:rPr>
        <w:t xml:space="preserve">BMD, we </w:t>
      </w:r>
      <w:r w:rsidR="00A90C91" w:rsidRPr="00757919">
        <w:rPr>
          <w:rFonts w:ascii="Times New Roman" w:hAnsi="Times New Roman" w:cs="Times New Roman"/>
          <w:sz w:val="24"/>
          <w:szCs w:val="24"/>
        </w:rPr>
        <w:t xml:space="preserve">sought to evaluate genetic </w:t>
      </w:r>
      <w:r w:rsidR="00A90C91">
        <w:rPr>
          <w:rFonts w:ascii="Times New Roman" w:hAnsi="Times New Roman" w:cs="Times New Roman"/>
          <w:sz w:val="24"/>
          <w:szCs w:val="24"/>
        </w:rPr>
        <w:t>polymorphism</w:t>
      </w:r>
      <w:r w:rsidR="00A90C91" w:rsidRPr="00757919">
        <w:rPr>
          <w:rFonts w:ascii="Times New Roman" w:hAnsi="Times New Roman" w:cs="Times New Roman"/>
          <w:sz w:val="24"/>
          <w:szCs w:val="24"/>
        </w:rPr>
        <w:t>s that map to or near genes involved in adrenergic signaling in bone</w:t>
      </w:r>
      <w:r w:rsidR="00A90C91">
        <w:rPr>
          <w:rFonts w:ascii="Times New Roman" w:hAnsi="Times New Roman" w:cs="Times New Roman"/>
          <w:sz w:val="24"/>
          <w:szCs w:val="24"/>
        </w:rPr>
        <w:t xml:space="preserve"> and</w:t>
      </w:r>
      <w:r w:rsidR="00A90C91" w:rsidRPr="00757919">
        <w:rPr>
          <w:rFonts w:ascii="Times New Roman" w:hAnsi="Times New Roman" w:cs="Times New Roman"/>
          <w:sz w:val="24"/>
          <w:szCs w:val="24"/>
        </w:rPr>
        <w:t xml:space="preserve"> that i</w:t>
      </w:r>
      <w:r w:rsidR="00A90C91">
        <w:rPr>
          <w:rFonts w:ascii="Times New Roman" w:hAnsi="Times New Roman" w:cs="Times New Roman"/>
          <w:sz w:val="24"/>
          <w:szCs w:val="24"/>
        </w:rPr>
        <w:t xml:space="preserve">nteract with </w:t>
      </w:r>
      <w:r w:rsidR="00A90C91" w:rsidRPr="00757919">
        <w:rPr>
          <w:rFonts w:ascii="Times New Roman" w:hAnsi="Times New Roman" w:cs="Times New Roman"/>
          <w:sz w:val="24"/>
          <w:szCs w:val="24"/>
        </w:rPr>
        <w:t xml:space="preserve">BB use in their association with </w:t>
      </w:r>
      <w:r w:rsidR="00A90C91">
        <w:rPr>
          <w:rFonts w:ascii="Times New Roman" w:hAnsi="Times New Roman" w:cs="Times New Roman"/>
          <w:sz w:val="24"/>
          <w:szCs w:val="24"/>
        </w:rPr>
        <w:t xml:space="preserve">FN </w:t>
      </w:r>
      <w:r w:rsidR="00A90C91" w:rsidRPr="00757919">
        <w:rPr>
          <w:rFonts w:ascii="Times New Roman" w:hAnsi="Times New Roman" w:cs="Times New Roman"/>
          <w:sz w:val="24"/>
          <w:szCs w:val="24"/>
        </w:rPr>
        <w:t xml:space="preserve">BMD. </w:t>
      </w:r>
      <w:r w:rsidR="00FB6F06">
        <w:rPr>
          <w:rFonts w:ascii="Times New Roman" w:hAnsi="Times New Roman" w:cs="Times New Roman"/>
          <w:sz w:val="24"/>
          <w:szCs w:val="24"/>
        </w:rPr>
        <w:t>These c</w:t>
      </w:r>
      <w:r w:rsidR="00A90C91">
        <w:rPr>
          <w:rFonts w:ascii="Times New Roman" w:hAnsi="Times New Roman" w:cs="Times New Roman"/>
          <w:sz w:val="24"/>
          <w:szCs w:val="24"/>
        </w:rPr>
        <w:t>andidate genes were chosen based on what is currently known about the effect of adrenergic signaling on osteoblasts in bone</w:t>
      </w:r>
      <w:r w:rsidR="00A90C91" w:rsidRPr="00757919">
        <w:rPr>
          <w:rFonts w:ascii="Times New Roman" w:hAnsi="Times New Roman" w:cs="Times New Roman"/>
          <w:sz w:val="24"/>
          <w:szCs w:val="24"/>
        </w:rPr>
        <w:t xml:space="preserve"> </w:t>
      </w:r>
      <w:r w:rsidR="00A90C91">
        <w:rPr>
          <w:rFonts w:ascii="Times New Roman" w:hAnsi="Times New Roman" w:cs="Times New Roman"/>
          <w:sz w:val="24"/>
          <w:szCs w:val="24"/>
        </w:rPr>
        <w:t>as has been previously described (Figure 1)</w:t>
      </w:r>
      <w:r w:rsidR="00A90C91"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{"citationID":"Z1C7HleH","properties":{"formattedCitation":"\\super 10\\uc0\\u8211{}13\\nosupersub{}","plainCitation":"10–13","noteIndex":0},"citationItems":[{"id":443,"uris":["http://zotero.org/users/3223062/items/MZ7UDQD8"],"uri":["http://zotero.org/users/3223062/items/MZ7UDQD8"],"itemData":{"id":443,"type":"article-journal","abstract":"It is from the discovery of leptin and the central nervous system as a regulator of bone remodeling that the presence of autonomic nerves within the skeleton transitioned from a mere histological observation to the mechanism whereby neurons of the central nervous system communicate with cells of the bone microenvironment and regulate bone homeostasis. This shift in paradigm sparked new preclinical and clinical investigations aimed at defining the contribution of sympathetic, parasympathetic, and sensory nerves to the process of bone development, bone mass accrual, bone remodeling, and cancer metastasis. The aim of this article is to review the data that led to the current understanding of the interactions between the autonomic and skeletal systems and to present a critical appraisal of the literature, bringing forth a schema that can put into physiological and clinical context the main genetic and pharmacological observations pointing to the existence of an autonomic control of skeletal homeostasis. The different types of nerves found in the skeleton, their functional interactions with bone cells, their impact on bone development, bone mass accrual and remodeling, and the possible clinical or pathophysiological relevance of these findings are discussed.","container-title":"Physiological Reviews","DOI":"10.1152/physrev.00014.2017","ISSN":"0031-9333","issue":"3","journalAbbreviation":"Physiological Reviews","page":"1083-1112","source":"www-physiology-org.ezproxy.library.tufts.edu (Atypon)","title":"Impact of the Autonomic Nervous System on the Skeleton","volume":"98","author":[{"family":"Elefteriou","given":"Florent"}],"issued":{"date-parts":[["2018",5,2]]}}},{"id":515,"uris":["http://zotero.org/users/3223062/items/CFMS6K6K"],"uri":["http://zotero.org/users/3223062/items/CFMS6K6K"],"itemData":{"id":515,"type":"article-journal","abstract":".An increasing number of studies suggest that nerve-derived signals play an important role in the regulation of bone remodeling. Neuropeptides and receptors/transporters of adrenergic, glutaminergic, serotoninergic, dopaminergic and sensory nature have been described in osteoblasts in vitro. Downstream signaling pathways and targets genes have been identified, but the in vivo relevance of these findings remained controversial until more recent gene gain and loss of function studies confirmed the role of CGRP and β2-adrenergic receptor signaling in osteoblasts. Tissue and time-conditional mutant mice originally generated for studies unrelated to bone are now available tools to determine the role of neuronal signaling in bone and to dissociate the central and peripheral role of these signals. Lastly, understanding how the central nervous system integrates homeostatic signals with the regulation of bone homeostasis will be the next exciting subject of research in the field.","container-title":"Cellular and Molecular Life Sciences CMLS","DOI":"10.1007/s00018-005-5175-3","ISSN":"1420-9071","issue":"19","journalAbbreviation":"Cell. Mol. Life Sci.","language":"en","page":"2339-2349","source":"Springer Link","title":"Neuronal signaling and the regulation of bone remodeling","volume":"62","author":[{"family":"Elefteriou","given":"F."}],"issued":{"date-parts":[["2005",10,1]]}}},{"id":476,"uris":["http://zotero.org/users/3223062/items/J8S2CANN"],"uri":["http://zotero.org/users/3223062/items/J8S2CANN"],"itemData":{"id":476,"type":"article-journal","abstract":"Bone structure and function are maintained by bone remodelling, a balance of bone resorption by osteoclasts and bone formation by osteoblasts. New work in mice suggests that leptin, best known as a hormone regulating body weight, may play a major role in striking this balance. In one pathway, leptin stimulation of sympathetic neurons promotes differentiation of osteoclasts (and resorption) and in the other, a neuropeptide called CART inhibits osteoclast differentiation. Blockade of the leptin-regulated neural pathway might help prevent bone loss in osteoporosis.","container-title":"Nature","DOI":"10.1038/nature03398","ISSN":"1476-4687","issue":"7032","journalAbbreviation":"Nature","language":"en","page":"514-520","source":"www-nature-com.ezproxy.library.tufts.edu","title":"Leptin regulation of bone resorption by the sympathetic nervous system and CART","volume":"434","author":[{"family":"Elefteriou","given":"Florent"},{"family":"Ahn","given":"Jong Deok"},{"family":"Takeda","given":"Shu"},{"family":"Starbuck","given":"Michael"},{"family":"Yang","given":"Xiangli"},{"family":"Liu","given":"Xiuyun"},{"family":"Kondo","given":"Hisataka"},{"family":"Richards","given":"William G."},{"family":"Bannon","given":"Tony W."},{"family":"Noda","given":"Masaki"},{"family":"Clement","given":"Karine"},{"family":"Vaisse","given":"Christian"},{"family":"Karsenty","given":"Gerard"}],"issued":{"date-parts":[["2005",3]]}}},{"id":92,"uris":["http://zotero.org/users/3223062/items/6HHTGN2R"],"uri":["http://zotero.org/users/3223062/items/6HHTGN2R"],"itemData":{"id":92,"type":"article-journal","abstract":"Copyright © 2012 by The Endocrine SocietyIn this edition of the JCEM, Farr et al. (1) explore the role of the sympathetic nervous system (SNS) in the pathophysiology of osteoporosis. They hypothesized that sympathetic tone would be increased in postmenopausal women and that this rise would be associated with a lower trabecular bone volume fraction in the radius, as well as decreased serum amino-terminal propeptide of type I procollagen (PINP), a marker of bone formation and osteopontin (1). To test their hypothesis, the investigators employed a well-recognized, albeit invasive method to measure sympathetic tone, i.e. intraarterial catheterization and microneurography of the peroneal nerve (2). Quantification of sympathetic activity was regressed against parameters of skeletal microarchitecture measured by high-resolution peripheral quantitative computed tomography (HRpQCT) as well as by indices of bone turnover; the results were then adjusted for age because both pre- and...","container-title":"The Journal of Clinical Endocrinology &amp; Metabolism","DOI":"10.1210/jc.2012-3205","ISSN":"0021-972X","issue":"11","journalAbbreviation":"J Clin Endocrinol Metab","page":"3908-3911","source":"academic-oup-com.ezproxy.library.tufts.edu","title":"The Skeleton and the Sympathetic Nervous System: It's about Time!","title-short":"The Skeleton and the Sympathetic Nervous System","volume":"97","author":[{"family":"Motyl","given":"Katherine J."},{"family":"Rosen","given":"Clifford J."}],"issued":{"date-parts":[["2012",11,1]]}}}],"schema":"https://github.com/citation-style-language/schema/raw/master/csl-citation.json"} </w:instrText>
      </w:r>
      <w:r w:rsidR="00A90C91"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10–13</w:t>
      </w:r>
      <w:r w:rsidR="00A90C91" w:rsidRPr="00757919">
        <w:rPr>
          <w:rFonts w:ascii="Times New Roman" w:hAnsi="Times New Roman" w:cs="Times New Roman"/>
          <w:sz w:val="24"/>
          <w:szCs w:val="24"/>
        </w:rPr>
        <w:fldChar w:fldCharType="end"/>
      </w:r>
      <w:r w:rsidR="00A90C91">
        <w:rPr>
          <w:rFonts w:ascii="Times New Roman" w:hAnsi="Times New Roman" w:cs="Times New Roman"/>
          <w:sz w:val="24"/>
          <w:szCs w:val="24"/>
        </w:rPr>
        <w:t>. FN BMD was chosen as an outcome variable due to its clinical importance and its use to evaluate fracture risk of patients using the FRAX tool</w:t>
      </w:r>
      <w:r w:rsidR="00A90C91">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{"citationID":"RAZnSS38","properties":{"formattedCitation":"\\super 44\\nosupersub{}","plainCitation":"44","noteIndex":0},"citationItems":[{"id":1567,"uris":["http://zotero.org/users/3223062/items/YJPKMVP4"],"uri":["http://zotero.org/users/3223062/items/YJPKMVP4"],"itemData":{"id":1567,"type":"article-journal","abstract":"There are occasional marked discordances in BMD T-scores at the lumbar spine (LS) and femoral neck (FN). We investigated whether such discordances could contribute independently to fracture prediction using FRAX., We studied 21,158 women, average age 63 years, from 10 prospective cohorts with baseline FRAX variables as well as FN and LS BMD. Incident fractures were collected by self-report and/or radiographic reports. Extended Poisson regression examined the relationship between differences in LS and FN T-scores (ΔLS-FN) and fracture risk, adjusted for age, time since baseline and other factors including FRAX 10-year probability for major osteoporotic fracture calculated using FN BMD. To examine the effect of an adjustment for ΔLS-FN on reclassification, women were separated into risk categories by their FRAX major fracture probability. High risk was classified using two approaches: being above the National Osteoporosis Guideline Group intervention threshold or, separately, being in the highest third of each cohort., The absolute ΔLS-FN was greater than 2 SD for 2.5% of women and between 1 and 2 SD for 21%. ΔLS-FN was associated with a significant risk of fracture adjusted for baseline FRAX (HR per SD change = 1.09; 95% CI = 1.04–1.15). In reclassification analyses, only 2.3–3.2% of the women moved to a higher or lower risk category when using FRAX with ΔLS-FN compared with FN-derived FRAX alone., Adjustment of estimated fracture risk for a large LS/FN discrepancy (&gt;2SD) impacts to a large extent on only a relatively small number of individuals. More moderate (1-2SD) discordances in FN and LS T-scores have a small impact on FRAX probabilities. This might still improve clinical decision-making, particularly in women with probabilities close to an intervention threshold.","container-title":"Calcified tissue international","DOI":"10.1007/s00223-014-9911-2","ISSN":"0171-967X","issue":"5","journalAbbreviation":"Calcif Tissue Int","note":"PMID: 25187239\nPMCID: PMC4361897","page":"428-435","source":"PubMed Central","title":"Impact of femoral neck and lumbar spine BMD discordances on FRAX probabilities in women; a meta-analysis of international cohorts","volume":"95","author":[{"family":"Johansson","given":"H"},{"family":"Kanis","given":"JA"},{"family":"Odén","given":"A"},{"family":"Leslie","given":"WD"},{"family":"Fujiwara","given":"S"},{"family":"Glüer","given":"CC"},{"family":"Kroger","given":"H"},{"family":"LaCroix","given":"AZ"},{"family":"Lau","given":"E"},{"family":"Melton","given":"LJ"},{"family":"Eisman","given":"J"},{"family":"O’Neill","given":"TW"},{"family":"Goltzman","given":"D"},{"family":"Reid","given":"DM"},{"family":"McCloskey","given":"E"}],"issued":{"date-parts":[["2014",11]]}}}],"schema":"https://github.com/citation-style-language/schema/raw/master/csl-citation.json"} </w:instrText>
      </w:r>
      <w:r w:rsidR="00A90C91">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44</w:t>
      </w:r>
      <w:r w:rsidR="00A90C91">
        <w:rPr>
          <w:rFonts w:ascii="Times New Roman" w:hAnsi="Times New Roman" w:cs="Times New Roman"/>
          <w:sz w:val="24"/>
          <w:szCs w:val="24"/>
        </w:rPr>
        <w:fldChar w:fldCharType="end"/>
      </w:r>
      <w:r w:rsidR="00A90C91">
        <w:rPr>
          <w:rFonts w:ascii="Times New Roman" w:hAnsi="Times New Roman" w:cs="Times New Roman"/>
          <w:sz w:val="24"/>
          <w:szCs w:val="24"/>
        </w:rPr>
        <w:t xml:space="preserve">. </w:t>
      </w:r>
      <w:r w:rsidR="00A90C91" w:rsidRPr="00757919">
        <w:rPr>
          <w:rFonts w:ascii="Times New Roman" w:hAnsi="Times New Roman" w:cs="Times New Roman"/>
          <w:sz w:val="24"/>
          <w:szCs w:val="24"/>
        </w:rPr>
        <w:t>We also sought to determine putative underlying miRNA-mediated pathways involved in this association.</w:t>
      </w:r>
      <w:r w:rsidR="00A90C91">
        <w:rPr>
          <w:rFonts w:ascii="Times New Roman" w:hAnsi="Times New Roman" w:cs="Times New Roman"/>
          <w:sz w:val="24"/>
          <w:szCs w:val="24"/>
        </w:rPr>
        <w:t xml:space="preserve"> </w:t>
      </w:r>
    </w:p>
    <w:p w14:paraId="317C0B3D" w14:textId="7E86A343" w:rsidR="00BD409F" w:rsidRPr="00757919" w:rsidRDefault="0035008A" w:rsidP="00864F3F">
      <w:pPr>
        <w:spacing w:line="480" w:lineRule="auto"/>
        <w:rPr>
          <w:rFonts w:ascii="Times New Roman" w:hAnsi="Times New Roman" w:cs="Times New Roman"/>
          <w:sz w:val="24"/>
          <w:szCs w:val="24"/>
        </w:rPr>
      </w:pPr>
      <w:r w:rsidRPr="00757919">
        <w:rPr>
          <w:rFonts w:ascii="Times New Roman" w:hAnsi="Times New Roman" w:cs="Times New Roman"/>
          <w:sz w:val="24"/>
          <w:szCs w:val="24"/>
        </w:rPr>
        <w:lastRenderedPageBreak/>
        <w:t xml:space="preserve">We hypothesize that genetic </w:t>
      </w:r>
      <w:r w:rsidR="00CE7371">
        <w:rPr>
          <w:rFonts w:ascii="Times New Roman" w:hAnsi="Times New Roman" w:cs="Times New Roman"/>
          <w:sz w:val="24"/>
          <w:szCs w:val="24"/>
        </w:rPr>
        <w:t>polymorphism</w:t>
      </w:r>
      <w:r w:rsidRPr="00757919">
        <w:rPr>
          <w:rFonts w:ascii="Times New Roman" w:hAnsi="Times New Roman" w:cs="Times New Roman"/>
          <w:sz w:val="24"/>
          <w:szCs w:val="24"/>
        </w:rPr>
        <w:t xml:space="preserve">s in these candidate genes can </w:t>
      </w:r>
      <w:r w:rsidR="00CE7371">
        <w:rPr>
          <w:rFonts w:ascii="Times New Roman" w:hAnsi="Times New Roman" w:cs="Times New Roman"/>
          <w:sz w:val="24"/>
          <w:szCs w:val="24"/>
        </w:rPr>
        <w:t xml:space="preserve">partly </w:t>
      </w:r>
      <w:r w:rsidRPr="00757919">
        <w:rPr>
          <w:rFonts w:ascii="Times New Roman" w:hAnsi="Times New Roman" w:cs="Times New Roman"/>
          <w:sz w:val="24"/>
          <w:szCs w:val="24"/>
        </w:rPr>
        <w:t>explain</w:t>
      </w:r>
      <w:r w:rsidR="003B66E8" w:rsidRPr="00757919">
        <w:rPr>
          <w:rFonts w:ascii="Times New Roman" w:hAnsi="Times New Roman" w:cs="Times New Roman"/>
          <w:sz w:val="24"/>
          <w:szCs w:val="24"/>
        </w:rPr>
        <w:t xml:space="preserve"> </w:t>
      </w:r>
      <w:r w:rsidRPr="00757919">
        <w:rPr>
          <w:rFonts w:ascii="Times New Roman" w:hAnsi="Times New Roman" w:cs="Times New Roman"/>
          <w:sz w:val="24"/>
          <w:szCs w:val="24"/>
        </w:rPr>
        <w:t xml:space="preserve">the variation </w:t>
      </w:r>
      <w:r w:rsidR="003B66E8" w:rsidRPr="00757919">
        <w:rPr>
          <w:rFonts w:ascii="Times New Roman" w:hAnsi="Times New Roman" w:cs="Times New Roman"/>
          <w:sz w:val="24"/>
          <w:szCs w:val="24"/>
        </w:rPr>
        <w:t xml:space="preserve">in </w:t>
      </w:r>
      <w:r w:rsidR="001C3722">
        <w:rPr>
          <w:rFonts w:ascii="Times New Roman" w:hAnsi="Times New Roman" w:cs="Times New Roman"/>
          <w:sz w:val="24"/>
          <w:szCs w:val="24"/>
        </w:rPr>
        <w:t xml:space="preserve">FN </w:t>
      </w:r>
      <w:r w:rsidR="005D18DA" w:rsidRPr="00757919">
        <w:rPr>
          <w:rFonts w:ascii="Times New Roman" w:hAnsi="Times New Roman" w:cs="Times New Roman"/>
          <w:sz w:val="24"/>
          <w:szCs w:val="24"/>
        </w:rPr>
        <w:t xml:space="preserve">BMD among </w:t>
      </w:r>
      <w:r w:rsidRPr="00757919">
        <w:rPr>
          <w:rFonts w:ascii="Times New Roman" w:hAnsi="Times New Roman" w:cs="Times New Roman"/>
          <w:sz w:val="24"/>
          <w:szCs w:val="24"/>
        </w:rPr>
        <w:t>BB us</w:t>
      </w:r>
      <w:r w:rsidR="005D18DA" w:rsidRPr="00757919">
        <w:rPr>
          <w:rFonts w:ascii="Times New Roman" w:hAnsi="Times New Roman" w:cs="Times New Roman"/>
          <w:sz w:val="24"/>
          <w:szCs w:val="24"/>
        </w:rPr>
        <w:t>ers</w:t>
      </w:r>
      <w:r w:rsidRPr="00757919">
        <w:rPr>
          <w:rFonts w:ascii="Times New Roman" w:hAnsi="Times New Roman" w:cs="Times New Roman"/>
          <w:sz w:val="24"/>
          <w:szCs w:val="24"/>
        </w:rPr>
        <w:t>. Furthermore, we hypothesize th</w:t>
      </w:r>
      <w:r w:rsidR="00977E93" w:rsidRPr="00757919">
        <w:rPr>
          <w:rFonts w:ascii="Times New Roman" w:hAnsi="Times New Roman" w:cs="Times New Roman"/>
          <w:sz w:val="24"/>
          <w:szCs w:val="24"/>
        </w:rPr>
        <w:t>at</w:t>
      </w:r>
      <w:r w:rsidRPr="00757919">
        <w:rPr>
          <w:rFonts w:ascii="Times New Roman" w:hAnsi="Times New Roman" w:cs="Times New Roman"/>
          <w:sz w:val="24"/>
          <w:szCs w:val="24"/>
        </w:rPr>
        <w:t xml:space="preserve"> genetic </w:t>
      </w:r>
      <w:r w:rsidR="00CE7371">
        <w:rPr>
          <w:rFonts w:ascii="Times New Roman" w:hAnsi="Times New Roman" w:cs="Times New Roman"/>
          <w:sz w:val="24"/>
          <w:szCs w:val="24"/>
        </w:rPr>
        <w:t>polymorphism</w:t>
      </w:r>
      <w:r w:rsidRPr="00757919">
        <w:rPr>
          <w:rFonts w:ascii="Times New Roman" w:hAnsi="Times New Roman" w:cs="Times New Roman"/>
          <w:sz w:val="24"/>
          <w:szCs w:val="24"/>
        </w:rPr>
        <w:t xml:space="preserve">s may impact miRNA-mediated mechanisms underlying the association between BB use and </w:t>
      </w:r>
      <w:r w:rsidR="001C3722">
        <w:rPr>
          <w:rFonts w:ascii="Times New Roman" w:hAnsi="Times New Roman" w:cs="Times New Roman"/>
          <w:sz w:val="24"/>
          <w:szCs w:val="24"/>
        </w:rPr>
        <w:t xml:space="preserve">FN </w:t>
      </w:r>
      <w:r w:rsidRPr="00757919">
        <w:rPr>
          <w:rFonts w:ascii="Times New Roman" w:hAnsi="Times New Roman" w:cs="Times New Roman"/>
          <w:sz w:val="24"/>
          <w:szCs w:val="24"/>
        </w:rPr>
        <w:t>BMD.</w:t>
      </w:r>
      <w:r w:rsidR="00C82A24" w:rsidRPr="00757919">
        <w:rPr>
          <w:rFonts w:ascii="Times New Roman" w:hAnsi="Times New Roman" w:cs="Times New Roman"/>
          <w:sz w:val="24"/>
          <w:szCs w:val="24"/>
        </w:rPr>
        <w:t xml:space="preserve"> To test these hypotheses, we followed the analytic plan </w:t>
      </w:r>
      <w:r w:rsidR="00CE7371">
        <w:rPr>
          <w:rFonts w:ascii="Times New Roman" w:hAnsi="Times New Roman" w:cs="Times New Roman"/>
          <w:sz w:val="24"/>
          <w:szCs w:val="24"/>
        </w:rPr>
        <w:t>shown in</w:t>
      </w:r>
      <w:r w:rsidR="00C82A24" w:rsidRPr="00757919">
        <w:rPr>
          <w:rFonts w:ascii="Times New Roman" w:hAnsi="Times New Roman" w:cs="Times New Roman"/>
          <w:sz w:val="24"/>
          <w:szCs w:val="24"/>
        </w:rPr>
        <w:t xml:space="preserve"> Figure S1</w:t>
      </w:r>
      <w:r w:rsidR="00C25329">
        <w:rPr>
          <w:rFonts w:ascii="Times New Roman" w:hAnsi="Times New Roman" w:cs="Times New Roman"/>
          <w:sz w:val="24"/>
          <w:szCs w:val="24"/>
          <w:vertAlign w:val="superscript"/>
        </w:rPr>
        <w:t>116</w:t>
      </w:r>
      <w:r w:rsidR="00C82A24" w:rsidRPr="00757919">
        <w:rPr>
          <w:rFonts w:ascii="Times New Roman" w:hAnsi="Times New Roman" w:cs="Times New Roman"/>
          <w:sz w:val="24"/>
          <w:szCs w:val="24"/>
        </w:rPr>
        <w:t>.</w:t>
      </w:r>
      <w:r w:rsidRPr="00757919">
        <w:rPr>
          <w:rFonts w:ascii="Times New Roman" w:hAnsi="Times New Roman" w:cs="Times New Roman"/>
          <w:sz w:val="24"/>
          <w:szCs w:val="24"/>
        </w:rPr>
        <w:t xml:space="preserve"> We used </w:t>
      </w:r>
      <w:r w:rsidR="007E15C8">
        <w:rPr>
          <w:rFonts w:ascii="Times New Roman" w:hAnsi="Times New Roman" w:cs="Times New Roman"/>
          <w:sz w:val="24"/>
          <w:szCs w:val="24"/>
        </w:rPr>
        <w:t>linear mixed</w:t>
      </w:r>
      <w:r w:rsidRPr="00757919">
        <w:rPr>
          <w:rFonts w:ascii="Times New Roman" w:hAnsi="Times New Roman" w:cs="Times New Roman"/>
          <w:sz w:val="24"/>
          <w:szCs w:val="24"/>
        </w:rPr>
        <w:t xml:space="preserve"> model</w:t>
      </w:r>
      <w:r w:rsidR="005D18DA" w:rsidRPr="00757919">
        <w:rPr>
          <w:rFonts w:ascii="Times New Roman" w:hAnsi="Times New Roman" w:cs="Times New Roman"/>
          <w:sz w:val="24"/>
          <w:szCs w:val="24"/>
        </w:rPr>
        <w:t>ing</w:t>
      </w:r>
      <w:r w:rsidR="00643A1E">
        <w:rPr>
          <w:rFonts w:ascii="Times New Roman" w:hAnsi="Times New Roman" w:cs="Times New Roman"/>
          <w:sz w:val="24"/>
          <w:szCs w:val="24"/>
        </w:rPr>
        <w:t xml:space="preserve"> followed by conditional joint analysis</w:t>
      </w:r>
      <w:r w:rsidRPr="00757919">
        <w:rPr>
          <w:rFonts w:ascii="Times New Roman" w:hAnsi="Times New Roman" w:cs="Times New Roman"/>
          <w:sz w:val="24"/>
          <w:szCs w:val="24"/>
        </w:rPr>
        <w:t xml:space="preserve"> to analyze this genetic association </w:t>
      </w:r>
      <w:r w:rsidR="000A1276">
        <w:rPr>
          <w:rFonts w:ascii="Times New Roman" w:hAnsi="Times New Roman" w:cs="Times New Roman"/>
          <w:sz w:val="24"/>
          <w:szCs w:val="24"/>
        </w:rPr>
        <w:t xml:space="preserve">in these candidate genes </w:t>
      </w:r>
      <w:r w:rsidRPr="00757919">
        <w:rPr>
          <w:rFonts w:ascii="Times New Roman" w:hAnsi="Times New Roman" w:cs="Times New Roman"/>
          <w:sz w:val="24"/>
          <w:szCs w:val="24"/>
        </w:rPr>
        <w:t>using clinical data from the Framingham Heart Study.</w:t>
      </w:r>
      <w:r w:rsidR="00801079">
        <w:rPr>
          <w:rFonts w:ascii="Times New Roman" w:hAnsi="Times New Roman" w:cs="Times New Roman"/>
          <w:sz w:val="24"/>
          <w:szCs w:val="24"/>
        </w:rPr>
        <w:t xml:space="preserve"> Since </w:t>
      </w:r>
      <w:r w:rsidR="00A84F33">
        <w:rPr>
          <w:rFonts w:ascii="Times New Roman" w:hAnsi="Times New Roman" w:cs="Times New Roman"/>
          <w:sz w:val="24"/>
          <w:szCs w:val="24"/>
        </w:rPr>
        <w:t>β</w:t>
      </w:r>
      <w:r w:rsidR="00801079" w:rsidRPr="00801079">
        <w:rPr>
          <w:rFonts w:ascii="Times New Roman" w:hAnsi="Times New Roman" w:cs="Times New Roman"/>
          <w:sz w:val="24"/>
          <w:szCs w:val="24"/>
        </w:rPr>
        <w:t>-adrenergic signaling</w:t>
      </w:r>
      <w:r w:rsidR="00801079">
        <w:rPr>
          <w:rFonts w:ascii="Times New Roman" w:hAnsi="Times New Roman" w:cs="Times New Roman"/>
          <w:sz w:val="24"/>
          <w:szCs w:val="24"/>
        </w:rPr>
        <w:t xml:space="preserve"> and </w:t>
      </w:r>
      <w:r w:rsidR="00C0019F">
        <w:rPr>
          <w:rFonts w:ascii="Times New Roman" w:hAnsi="Times New Roman" w:cs="Times New Roman"/>
          <w:sz w:val="24"/>
          <w:szCs w:val="24"/>
        </w:rPr>
        <w:t xml:space="preserve">the effect of </w:t>
      </w:r>
      <w:r w:rsidR="00801079">
        <w:rPr>
          <w:rFonts w:ascii="Times New Roman" w:hAnsi="Times New Roman" w:cs="Times New Roman"/>
          <w:sz w:val="24"/>
          <w:szCs w:val="24"/>
        </w:rPr>
        <w:t>BB use</w:t>
      </w:r>
      <w:r w:rsidR="00801079" w:rsidRPr="00801079">
        <w:rPr>
          <w:rFonts w:ascii="Times New Roman" w:hAnsi="Times New Roman" w:cs="Times New Roman"/>
          <w:sz w:val="24"/>
          <w:szCs w:val="24"/>
        </w:rPr>
        <w:t xml:space="preserve"> has previously been shown to have sex-specific effects</w:t>
      </w:r>
      <w:r w:rsidR="00801079">
        <w:rPr>
          <w:rFonts w:ascii="Times New Roman" w:hAnsi="Times New Roman" w:cs="Times New Roman"/>
          <w:sz w:val="24"/>
          <w:szCs w:val="24"/>
        </w:rPr>
        <w:fldChar w:fldCharType="begin"/>
      </w:r>
      <w:r w:rsidR="00853AC3">
        <w:rPr>
          <w:rFonts w:ascii="Times New Roman" w:hAnsi="Times New Roman" w:cs="Times New Roman"/>
          <w:sz w:val="24"/>
          <w:szCs w:val="24"/>
        </w:rPr>
        <w:instrText xml:space="preserve"> ADDIN ZOTERO_ITEM CSL_CITATION {"citationID":"5UmF1VaG","properties":{"formattedCitation":"\\super 45\\uc0\\u8211{}49\\nosupersub{}","plainCitation":"45–49","noteIndex":0},"citationItems":[{"id":1617,"uris":["http://zotero.org/users/3223062/items/C72VAIGE"],"uri":["http://zotero.org/users/3223062/items/C72VAIGE"],"itemData":{"id":1617,"type":"article-journal","abstract":"The presence of sex differences in myocardial β-adrenergic responsiveness is controversial, and limited studies have addressed the mechanism underlying these differences. Studies were performed using isolated perfused hearts from male, intact female and ovariectomized female mice to investigate sex differences and the effects of ovarian hormone withdrawal on β-adrenergic receptor function. Female hearts exhibited blunted contractile responses to the β-adrenergic receptor agonist isoproterenol (ISO) compared with males but not ovariectomized females. There were no sex differences in β1-adrenergic receptor gene or protein expression. To investigate the role of adenylyl cyclase, phosphodiesterase, and the cAMP-signaling cascade in generating sex differences in the β-adrenergic contractile response, dose-response studies were performed in isolated perfused male and female hearts using forskolin, 3-isobutyl-1-methylxanthine (IBMX), and 8-(4-chlorophenylthio)adenosine 3′,5′-cyclic monophosphate (CPT-cAMP). Males showed a modestly enhanced contractile response to forskolin at 300 nM and 5 μM compared with females, but there were no sex differences in the response to IBMX or CPT-cAMP. The role of the A1 adenosine receptor (A1AR) in antagonizing the β-adrenergic contractile response was investigated using both the A1AR agonist 2-chloro-N6-cyclopentyl-adenosine and A1AR knockout (KO) mice. Intact females showed an enhanced A1AR anti-adrenergic effect compared with males and ovariectomized females. The β-adrenergic contractile response was potentiated in both male and female A1ARKO hearts, with sex differences no longer present above 1 nM ISO. The β-adrenergic contractile response is greater in male hearts than females, and minor differences in the action of adenylyl cyclase or the A1AR may contribute to these sex differences.","container-title":"American Journal of Physiology - Heart and Circulatory Physiology","DOI":"10.1152/ajpheart.00711.2010","ISSN":"0363-6135","issue":"3","journalAbbreviation":"Am J Physiol Heart Circ Physiol","note":"PMID: 21685268\nPMCID: PMC3191079","page":"H1127-H1134","source":"PubMed Central","title":"Sex differences and the effects of ovariectomy on the β-adrenergic contractile response","volume":"301","author":[{"family":"McIntosh","given":"Victoria J."},{"family":"Chandrasekera","given":"P. Charukeshi"},{"family":"Lasley","given":"Robert D."}],"issued":{"date-parts":[["2011",9]]}}},{"id":1629,"uris":["http://zotero.org/users/3223062/items/9EFA83SL"],"uri":["http://zotero.org/users/3223062/items/9EFA83SL"],"itemData":{"id":1629,"type":"article-journal","abstract":"Cardioprotection in females, as observed in the setting of heart failure, has been attributed to sex differences in intracellular calcium handling and its modulation by β-adrenergic signaling. However, further studies examining sex differences in β-adrenergic responsiveness have yielded inconsistent results and have mostly been limited to studies of contractility, ion channel function, or calcium handling alone. Given the close interaction of the action potential (AP) and intracellular calcium transient (CaT) through the process of excitation-contraction coupling, the need for studies exploring the relationship between agonist-induced AP and calcium handling changes in female and male hearts is evident. Thus, the aim of this study was to use optical mapping to examine sex differences in ventricular APs and CaTs measured simultaneously from Langendorff-perfused hearts isolated from naïve adult rabbits during β-adrenergic stimulation. The non-selective β-agonist isoproterenol (Iso) decreased AP duration (APD90), CaT duration (CaD80), and the decay constant of the CaT (τ) in a dose-dependent manner (1–316.2 nM), with a plateau at doses ≥31.6 nM. The Iso-induced changes in APD90 and τ (but not CaD80) were significantly smaller in female than male hearts. These sex differences were more significant at faster (5.5 Hz) than resting rates (3 Hz). Treatment with Iso led to the development of spontaneous calcium release (SCR) with a dose threshold of 31.6 nM. While SCR occurrence was similar in female (49%) and male (53%) hearts, the associated ectopic beats had a lower frequency of occurrence (16% versus 40%) and higher threshold (100 nM versus 31.6 nM) in female than male hearts (p&lt;0.05). In conclusion, female hearts had a decreased capacity to respond to β-adrenergic stimulation, particularly under conditions of increased demand (i.e. faster pacing rates and “maximal” levels of Iso effects), however this reduced β-adrenergic responsiveness of female hearts was associated with reduced arrhythmic activity.","container-title":"PLoS ONE","DOI":"10.1371/journal.pone.0111411","ISSN":"1932-6203","issue":"10","journalAbbreviation":"PLoS One","note":"PMID: 25340795\nPMCID: PMC4207827","source":"PubMed Central","title":"Sex Differences in β-Adrenergic Responsiveness of Action Potentials and Intracellular Calcium Handling in Isolated Rabbit Hearts","URL":"https://www.ncbi.nlm.nih.gov/pmc/articles/PMC4207827/","volume":"9","author":[{"family":"Hoeker","given":"Gregory S."},{"family":"Hood","given":"Ashleigh R."},{"family":"Katra","given":"Rodolphe P."},{"family":"Poelzing","given":"Steven"},{"family":"Pogwizd","given":"Steven M."}],"accessed":{"date-parts":[["2020",9,17]]},"issued":{"date-parts":[["2014",10,23]]}}},{"id":1632,"uris":["http://zotero.org/users/3223062/items/MAUTF5IV"],"uri":["http://zotero.org/users/3223062/items/MAUTF5IV"],"itemData":{"id":1632,"type":"article-journal","abstract":"Download figureDownload PowerPoint","container-title":"Hypertension","DOI":"10.1161/HYPERTENSIONAHA.120.15323","issue":"3","journalAbbreviation":"Hypertension","note":"publisher: American Heart Association","page":"819-826","source":"ahajournals.org (Atypon)","title":"Prior Beta-Blocker Therapy for Hypertension and Sex-Based Differences in Heart Failure Among Patients With Incident Coronary Heart Disease","volume":"76","author":[{"literal":"Bugiardini Raffaele"},{"literal":"Yoon Jinsung"},{"literal":"Kedev Sasko"},{"literal":"Stankovic Goran"},{"literal":"Vasiljevic Zorana"},{"literal":"Miličić Davor"},{"literal":"Manfrini Olivia"},{"literal":"van der Schaar Mihaela"},{"literal":"Gale Chris P."},{"literal":"Badimon Lina"},{"literal":"Cenko Edina"}],"issued":{"date-parts":[["2020",9,1]]}}},{"id":1634,"uris":["http://zotero.org/users/3223062/items/TPQMKD85"],"uri":["http://zotero.org/users/3223062/items/TPQMKD85"],"itemData":{"id":1634,"type":"article-journal","abstract":"Estrogen modulates adrenergic reactivity of macrovessels, resulting in weaker α-adrenergic vasoconstriction in females than males. However, the mechanisms governing this important sex-specific difference are not well understood. We hypothesized that vessels of females express more dilatory β-adrenoceptors, which counteract constrictive effects of α-adrenoceptors. This hypothesis was tested using aortas of normotensive (WKY) and hypertensive rats (SHR), along with human mammary artery. Selective blockade of β1 (CGP20712) or β3 (SR59230A), but not β2 (ICI118,551) adrenoceptors, greatly increased α-adrenergic constriction (norepinephrine) of aorta in female SHRs, but not in male SHRs at 12 weeks of age. Consistently, the selective β1/β2 (isoproterenol) and β3-adrenergic (BRL37344) relaxation was stronger in female SHRs than in males. Removal of endothelium and use of L-NMMA abolished sex-difference in α-adrenergic constriction and β-adrenergic relaxation. Immunostainings revealed endothelial localization of β1- and β3-adrenoceptors. mRNA levels of aortic β1- and β3-, but not β2-adrenoceptors were markedly higher in female than in male SHRs. The sex-specific differences in α-adrenergic constriction and β-adrenoceptor mRNA levels were age-dependent, predominantly present up to 29 weeks and disappeared at 36 weeks of age. The sex-specific difference was not strain-dependent and was similarly present in normotensive WKY rats. Human mammary artery of women showed a weaker α-adrenergic constriction than arteries of men. This sex-specific difference was prominent at 45–65 years and disappeared with aging. Our results convincingly demonstrate that female macrovessels express more dilatory β1- and β3-adrenoreceptors than male vessels with a predominant endothelial localization. This sex-specific difference is functionally relevant in young adults and is attenuated with aging.","container-title":"Basic Research in Cardiology","DOI":"10.1007/s00395-017-0617-2","ISSN":"1435-1803","issue":"3","journalAbbreviation":"Basic Res Cardiol","language":"en","page":"29","source":"Springer Link","title":"Sex-difference in expression and function of beta-adrenoceptors in macrovessels: role of the endothelium","title-short":"Sex-difference in expression and function of beta-adrenoceptors in macrovessels","volume":"112","author":[{"family":"Al-Gburi","given":"Suzan"},{"family":"Deussen","given":"Andreas"},{"family":"Zatschler","given":"Birgit"},{"family":"Weber","given":"Silvio"},{"family":"Künzel","given":"Stephan"},{"family":"El-Armouche","given":"Ali"},{"family":"Lorenz","given":"Kristina"},{"family":"Cybularz","given":"Maria"},{"family":"Morawietz","given":"Henning"},{"family":"Kopaliani","given":"Irakli"}],"issued":{"date-parts":[["2017",4,7]]}}},{"id":1635,"uris":["http://zotero.org/users/3223062/items/MCNW35WT"],"uri":["http://zotero.org/users/3223062/items/MCNW35WT"],"itemData":{"id":1635,"type":"article-journal","abstract":"There is a sexual dimorphism in blood pressure: men tend to have higher blood pressures than women with functional ovaries, whereas ovariectomy or menopause tends to abolish the sexual dimorphism and cause women to develop a \"male\" pattern of blood pressure. Synthetic estrogens and progestins, found in oral contraceptives, tend to elevate blood pressure, whereas naturally occurring estrogens, used in postmenopausal hormone replacement therapy, lower it or have no effect. Women are more likely than men to be aware of their hypertension, to be treated with antihypertensive drugs, and to have their blood pressure controlled. Antihypertensive therapy induces similar blood pressure reductions in men and women. However, men experience larger reductions in total cardiovascular risk with successful treatment of high blood pressure, because their absolute risk of coronary events at baseline is so much higher. Special considerations that can dictate antihypertensive treatment choices for women include increased vulnerability to the adverse effects of some drugs, including angiotensin-converting enzyme inhibitor-induced cough, calcium channel blocker-induced edema, and minoxidil-induced hirsutism. Beta-adrenergic blockers tend to be less effective in women than in men, and diuretics are particularly useful in women because they protect against hip fracture. Angiotensin-converting enzyme inhibitors and angiotensin II receptor blockers are contraindicated during pregnancy or if pregnancy is planned because of the risk of fetal developmental abnormalities.","container-title":"Cardiology in Review","DOI":"10.1097/00045415-199811000-00012","ISSN":"1538-4683","issue":"6","journalAbbreviation":"Cardiol Rev","language":"eng","note":"PMID: 10348960","page":"356-363","source":"PubMed","title":"The Sexual Dimorphism of High Blood Pressure","volume":"6","author":[{"family":"Calhoun","given":"DA."},{"family":"Oparil","given":"S."}],"issued":{"date-parts":[["1998",11]]}}}],"schema":"https://github.com/citation-style-language/schema/raw/master/csl-citation.json"} </w:instrText>
      </w:r>
      <w:r w:rsidR="0080107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45–49</w:t>
      </w:r>
      <w:r w:rsidR="00801079">
        <w:rPr>
          <w:rFonts w:ascii="Times New Roman" w:hAnsi="Times New Roman" w:cs="Times New Roman"/>
          <w:sz w:val="24"/>
          <w:szCs w:val="24"/>
        </w:rPr>
        <w:fldChar w:fldCharType="end"/>
      </w:r>
      <w:r w:rsidR="002D31A1">
        <w:rPr>
          <w:rFonts w:ascii="Times New Roman" w:hAnsi="Times New Roman" w:cs="Times New Roman"/>
          <w:sz w:val="24"/>
          <w:szCs w:val="24"/>
        </w:rPr>
        <w:t xml:space="preserve">, </w:t>
      </w:r>
      <w:r w:rsidR="00801079">
        <w:rPr>
          <w:rFonts w:ascii="Times New Roman" w:hAnsi="Times New Roman" w:cs="Times New Roman"/>
          <w:sz w:val="24"/>
          <w:szCs w:val="24"/>
        </w:rPr>
        <w:t xml:space="preserve">and </w:t>
      </w:r>
      <w:r w:rsidR="00CA1DEB">
        <w:rPr>
          <w:rFonts w:ascii="Times New Roman" w:hAnsi="Times New Roman" w:cs="Times New Roman"/>
          <w:sz w:val="24"/>
          <w:szCs w:val="24"/>
        </w:rPr>
        <w:t>also BMD</w:t>
      </w:r>
      <w:r w:rsidR="007448DA">
        <w:rPr>
          <w:rFonts w:ascii="Times New Roman" w:hAnsi="Times New Roman" w:cs="Times New Roman"/>
          <w:sz w:val="24"/>
          <w:szCs w:val="24"/>
        </w:rPr>
        <w:t xml:space="preserve"> </w:t>
      </w:r>
      <w:r w:rsidR="00CA1DEB">
        <w:rPr>
          <w:rFonts w:ascii="Times New Roman" w:hAnsi="Times New Roman" w:cs="Times New Roman"/>
          <w:sz w:val="24"/>
          <w:szCs w:val="24"/>
        </w:rPr>
        <w:t xml:space="preserve">and </w:t>
      </w:r>
      <w:r w:rsidR="007448DA">
        <w:rPr>
          <w:rFonts w:ascii="Times New Roman" w:hAnsi="Times New Roman" w:cs="Times New Roman"/>
          <w:sz w:val="24"/>
          <w:szCs w:val="24"/>
        </w:rPr>
        <w:t>osteoporosis</w:t>
      </w:r>
      <w:r w:rsidR="002D31A1">
        <w:rPr>
          <w:rFonts w:ascii="Times New Roman" w:hAnsi="Times New Roman" w:cs="Times New Roman"/>
          <w:sz w:val="24"/>
          <w:szCs w:val="24"/>
        </w:rPr>
        <w:t xml:space="preserve"> prevalence vary by sex</w:t>
      </w:r>
      <w:r w:rsidR="007448DA">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{"citationID":"AW7YSL2Q","properties":{"formattedCitation":"\\super 50\\uc0\\u8211{}53\\nosupersub{}","plainCitation":"50–53","noteIndex":0},"citationItems":[{"id":1626,"uris":["http://zotero.org/users/3223062/items/R342NL5F"],"uri":["http://zotero.org/users/3223062/items/R342NL5F"],"itemData":{"id":1626,"type":"article-journal","abstract":"Where is the wisdom we have lost in knowledge?Where is the knowledge we have lost in information?","container-title":"The Journal of Clinical Endocrinology &amp; Metabolism","DOI":"10.1210/jcem.86.10.7960","ISSN":"0021-972X","issue":"10","journalAbbreviation":"J Clin Endocrinol Metab","language":"en","note":"publisher: Oxford Academic","page":"4576-4584","source":"academic.oup.com","title":"Sexual Dimorphism in Skeletal Size, Density, and Strength","volume":"86","author":[{"family":"Seeman","given":"Ego"}],"issued":{"date-parts":[["2001",10,1]]}}},{"id":1639,"uris":["http://zotero.org/users/3223062/items/7RJZ8L97"],"uri":["http://zotero.org/users/3223062/items/7RJZ8L97"],"itemData":{"id":1639,"type":"article-journal","abstract":"Sexual dimorphism in the manifestation of coronary artery disease (CAD) has unleashed a call to reconsider cardiovascular risk assessment. Alterations of bone mineral density (BMD) have been associated with congestive heart failure and appear to be modified by sex. However, the sex-specific association between BMD, myocardial perfusion, and cardiovascular outcomes is currently unknown.","container-title":"Journal of Nuclear Cardiology","DOI":"10.1007/s12350-019-01802-z","ISSN":"1532-6551","issue":"3","journalAbbreviation":"J. Nucl. Cardiol.","language":"en","page":"726-736","source":"Springer Link","title":"Association between vertebral bone mineral density, myocardial perfusion, and long-term cardiovascular outcomes: A sex-specific analysis","title-short":"Association between vertebral bone mineral density, myocardial perfusion, and long-term cardiovascular outcomes","volume":"27","author":[{"family":"Fiechter","given":"Michael"},{"family":"Bengs","given":"Susan"},{"family":"Roggo","given":"Andrea"},{"family":"Haider","given":"Ahmed"},{"family":"Marędziak","given":"Monika"},{"family":"Portmann","given":"Angela"},{"family":"Treyer","given":"Valerie"},{"family":"Burger","given":"Irene A."},{"family":"Messerli","given":"Michael"},{"family":"Patriki","given":"Dimitri"},{"family":"Felten","given":"Elia","non-dropping-particle":"von"},{"family":"Benz","given":"Dominik C."},{"family":"Fuchs","given":"Tobias A."},{"family":"Gräni","given":"Christoph"},{"family":"Pazhenkottil","given":"Aju P."},{"family":"Buechel","given":"Ronny R."},{"family":"Kaufmann","given":"Philipp A."},{"family":"Gebhard","given":"Catherine"}],"issued":{"date-parts":[["2020",6,1]]}}},{"id":1641,"uris":["http://zotero.org/users/3223062/items/7A4BQNIH"],"uri":["http://zotero.org/users/3223062/items/7A4BQNIH"],"itemData":{"id":1641,"type":"article-journal","abstract":"The incidence of hip fractures in Turkey increased markedly from that reported in 1988/1989 so that FRAX® models for Turkey should be revised.","container-title":"Osteoporosis International","DOI":"10.1007/s00198-011-1655-5","ISSN":"1433-2965","issue":"3","journalAbbreviation":"Osteoporos Int","language":"en","page":"949-955","source":"Springer Link","title":"Incidence of hip fracture and prevalence of osteoporosis in Turkey: the FRACTURK study","title-short":"Incidence of hip fracture and prevalence of osteoporosis in Turkey","volume":"23","author":[{"family":"Tuzun","given":"S."},{"family":"Eskiyurt","given":"N."},{"family":"Akarirmak","given":"U."},{"family":"Saridogan","given":"M."},{"family":"Senocak","given":"M."},{"family":"Johansson","given":"H."},{"family":"Kanis","given":"J. A."},{"literal":"Turkish Osteoporosis Society"}],"issued":{"date-parts":[["2012",3,1]]}}},{"id":1652,"uris":["http://zotero.org/users/3223062/items/Q8KBJ2VA"],"uri":["http://zotero.org/users/3223062/items/Q8KBJ2VA"],"itemData":{"id":1652,"type":"article-journal","abstract":"Osteoporosis is a growing health concern worldwide and its complications are as prevalent as other common chronic disease complications such as hypertension and diabetes. In this review, we will discuss the role of gender in osteoporosis, especially related to peak bone mass and maturation, rate of annual bone loss, screening, prevalence of osteoporosis and its related fractures, mortality after osteoporosis-related fracture, fracture risk predication using different technologies and the impact of gender on osteoporosis management.","container-title":"Journal of Clinical Medicine Research","DOI":"10.14740/jocmr2970w","ISSN":"1918-3003","issue":"5","journalAbbreviation":"J Clin Med Res","note":"PMID: 28392857\nPMCID: PMC5380170","page":"382-387","source":"PubMed Central","title":"Gender Disparities in Osteoporosis","volume":"9","author":[{"family":"Alswat","given":"Khaled A."}],"issued":{"date-parts":[["2017",5]]}}}],"schema":"https://github.com/citation-style-language/schema/raw/master/csl-citation.json"} </w:instrText>
      </w:r>
      <w:r w:rsidR="007448DA">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50–53</w:t>
      </w:r>
      <w:r w:rsidR="007448DA">
        <w:rPr>
          <w:rFonts w:ascii="Times New Roman" w:hAnsi="Times New Roman" w:cs="Times New Roman"/>
          <w:sz w:val="24"/>
          <w:szCs w:val="24"/>
        </w:rPr>
        <w:fldChar w:fldCharType="end"/>
      </w:r>
      <w:r w:rsidR="002D31A1">
        <w:rPr>
          <w:rFonts w:ascii="Times New Roman" w:hAnsi="Times New Roman" w:cs="Times New Roman"/>
          <w:sz w:val="24"/>
          <w:szCs w:val="24"/>
        </w:rPr>
        <w:t>,</w:t>
      </w:r>
      <w:r w:rsidR="00801079">
        <w:rPr>
          <w:rFonts w:ascii="Times New Roman" w:hAnsi="Times New Roman" w:cs="Times New Roman"/>
          <w:sz w:val="24"/>
          <w:szCs w:val="24"/>
        </w:rPr>
        <w:t xml:space="preserve"> we </w:t>
      </w:r>
      <w:r w:rsidR="00643A1E">
        <w:rPr>
          <w:rFonts w:ascii="Times New Roman" w:hAnsi="Times New Roman" w:cs="Times New Roman"/>
          <w:sz w:val="24"/>
          <w:szCs w:val="24"/>
        </w:rPr>
        <w:t>used</w:t>
      </w:r>
      <w:r w:rsidR="00801079">
        <w:rPr>
          <w:rFonts w:ascii="Times New Roman" w:hAnsi="Times New Roman" w:cs="Times New Roman"/>
          <w:sz w:val="24"/>
          <w:szCs w:val="24"/>
        </w:rPr>
        <w:t xml:space="preserve"> a sex-stratified model for </w:t>
      </w:r>
      <w:r w:rsidR="00643A1E">
        <w:rPr>
          <w:rFonts w:ascii="Times New Roman" w:hAnsi="Times New Roman" w:cs="Times New Roman"/>
          <w:sz w:val="24"/>
          <w:szCs w:val="24"/>
        </w:rPr>
        <w:t xml:space="preserve">our </w:t>
      </w:r>
      <w:r w:rsidR="00801079">
        <w:rPr>
          <w:rFonts w:ascii="Times New Roman" w:hAnsi="Times New Roman" w:cs="Times New Roman"/>
          <w:sz w:val="24"/>
          <w:szCs w:val="24"/>
        </w:rPr>
        <w:t>genetic association studies.</w:t>
      </w:r>
      <w:r w:rsidRPr="00757919">
        <w:rPr>
          <w:rFonts w:ascii="Times New Roman" w:hAnsi="Times New Roman" w:cs="Times New Roman"/>
          <w:sz w:val="24"/>
          <w:szCs w:val="24"/>
        </w:rPr>
        <w:t xml:space="preserve"> </w:t>
      </w:r>
      <w:r w:rsidR="00433F6A">
        <w:rPr>
          <w:rFonts w:ascii="Times New Roman" w:hAnsi="Times New Roman" w:cs="Times New Roman"/>
          <w:sz w:val="24"/>
          <w:szCs w:val="24"/>
        </w:rPr>
        <w:t xml:space="preserve">We submitted four SNPs for validation and </w:t>
      </w:r>
      <w:r w:rsidR="000A1276">
        <w:rPr>
          <w:rFonts w:ascii="Times New Roman" w:hAnsi="Times New Roman" w:cs="Times New Roman"/>
          <w:sz w:val="24"/>
          <w:szCs w:val="24"/>
        </w:rPr>
        <w:t>obtained validation</w:t>
      </w:r>
      <w:r w:rsidR="00954837" w:rsidRPr="00757919">
        <w:rPr>
          <w:rFonts w:ascii="Times New Roman" w:hAnsi="Times New Roman" w:cs="Times New Roman"/>
          <w:sz w:val="24"/>
          <w:szCs w:val="24"/>
        </w:rPr>
        <w:t xml:space="preserve"> </w:t>
      </w:r>
      <w:r w:rsidR="000A1276">
        <w:rPr>
          <w:rFonts w:ascii="Times New Roman" w:hAnsi="Times New Roman" w:cs="Times New Roman"/>
          <w:sz w:val="24"/>
          <w:szCs w:val="24"/>
        </w:rPr>
        <w:t>for</w:t>
      </w:r>
      <w:r w:rsidR="000A1276" w:rsidRPr="00757919">
        <w:rPr>
          <w:rFonts w:ascii="Times New Roman" w:hAnsi="Times New Roman" w:cs="Times New Roman"/>
          <w:sz w:val="24"/>
          <w:szCs w:val="24"/>
        </w:rPr>
        <w:t xml:space="preserve"> </w:t>
      </w:r>
      <w:r w:rsidR="00954837" w:rsidRPr="00757919">
        <w:rPr>
          <w:rFonts w:ascii="Times New Roman" w:hAnsi="Times New Roman" w:cs="Times New Roman"/>
          <w:sz w:val="24"/>
          <w:szCs w:val="24"/>
        </w:rPr>
        <w:t>two in independent studies</w:t>
      </w:r>
      <w:r w:rsidR="00954837">
        <w:rPr>
          <w:rFonts w:ascii="Times New Roman" w:hAnsi="Times New Roman" w:cs="Times New Roman"/>
          <w:sz w:val="24"/>
          <w:szCs w:val="24"/>
        </w:rPr>
        <w:t>,</w:t>
      </w:r>
      <w:r w:rsidR="00954837" w:rsidRPr="00757919">
        <w:rPr>
          <w:rFonts w:ascii="Times New Roman" w:hAnsi="Times New Roman" w:cs="Times New Roman"/>
          <w:sz w:val="24"/>
          <w:szCs w:val="24"/>
        </w:rPr>
        <w:t xml:space="preserve"> and </w:t>
      </w:r>
      <w:r w:rsidR="00954837">
        <w:rPr>
          <w:rFonts w:ascii="Times New Roman" w:hAnsi="Times New Roman" w:cs="Times New Roman"/>
          <w:sz w:val="24"/>
          <w:szCs w:val="24"/>
        </w:rPr>
        <w:t>additionally performed</w:t>
      </w:r>
      <w:r w:rsidR="00954837" w:rsidRPr="00757919">
        <w:rPr>
          <w:rFonts w:ascii="Times New Roman" w:hAnsi="Times New Roman" w:cs="Times New Roman"/>
          <w:sz w:val="24"/>
          <w:szCs w:val="24"/>
        </w:rPr>
        <w:t xml:space="preserve"> exploratory meta-analyses across cohorts.</w:t>
      </w:r>
      <w:r w:rsidR="00954837">
        <w:rPr>
          <w:rFonts w:ascii="Times New Roman" w:hAnsi="Times New Roman" w:cs="Times New Roman"/>
          <w:sz w:val="24"/>
          <w:szCs w:val="24"/>
        </w:rPr>
        <w:t xml:space="preserve"> </w:t>
      </w:r>
      <w:r w:rsidR="00474062">
        <w:rPr>
          <w:rFonts w:ascii="Times New Roman" w:hAnsi="Times New Roman" w:cs="Times New Roman"/>
          <w:sz w:val="24"/>
          <w:szCs w:val="24"/>
        </w:rPr>
        <w:t>To</w:t>
      </w:r>
      <w:r w:rsidRPr="00757919">
        <w:rPr>
          <w:rFonts w:ascii="Times New Roman" w:hAnsi="Times New Roman" w:cs="Times New Roman"/>
          <w:sz w:val="24"/>
          <w:szCs w:val="24"/>
        </w:rPr>
        <w:t xml:space="preserve"> </w:t>
      </w:r>
      <w:r w:rsidR="003C3DA4">
        <w:rPr>
          <w:rFonts w:ascii="Times New Roman" w:hAnsi="Times New Roman" w:cs="Times New Roman"/>
          <w:sz w:val="24"/>
          <w:szCs w:val="24"/>
        </w:rPr>
        <w:t xml:space="preserve">generate functional hypotheses, we </w:t>
      </w:r>
      <w:r w:rsidRPr="00757919">
        <w:rPr>
          <w:rFonts w:ascii="Times New Roman" w:hAnsi="Times New Roman" w:cs="Times New Roman"/>
          <w:sz w:val="24"/>
          <w:szCs w:val="24"/>
        </w:rPr>
        <w:t xml:space="preserve">analyzed individual miRNAs that were associated with these </w:t>
      </w:r>
      <w:r w:rsidR="00CE7371">
        <w:rPr>
          <w:rFonts w:ascii="Times New Roman" w:hAnsi="Times New Roman" w:cs="Times New Roman"/>
          <w:sz w:val="24"/>
          <w:szCs w:val="24"/>
        </w:rPr>
        <w:t>polymorphism</w:t>
      </w:r>
      <w:r w:rsidRPr="00757919">
        <w:rPr>
          <w:rFonts w:ascii="Times New Roman" w:hAnsi="Times New Roman" w:cs="Times New Roman"/>
          <w:sz w:val="24"/>
          <w:szCs w:val="24"/>
        </w:rPr>
        <w:t>s and BB use to identify candidate mechanism</w:t>
      </w:r>
      <w:r w:rsidR="00817C8A" w:rsidRPr="00757919">
        <w:rPr>
          <w:rFonts w:ascii="Times New Roman" w:hAnsi="Times New Roman" w:cs="Times New Roman"/>
          <w:sz w:val="24"/>
          <w:szCs w:val="24"/>
        </w:rPr>
        <w:t>s</w:t>
      </w:r>
      <w:r w:rsidRPr="00757919">
        <w:rPr>
          <w:rFonts w:ascii="Times New Roman" w:hAnsi="Times New Roman" w:cs="Times New Roman"/>
          <w:sz w:val="24"/>
          <w:szCs w:val="24"/>
        </w:rPr>
        <w:t xml:space="preserve"> that were altered in the presence of </w:t>
      </w:r>
      <w:r w:rsidR="00CE7371">
        <w:rPr>
          <w:rFonts w:ascii="Times New Roman" w:hAnsi="Times New Roman" w:cs="Times New Roman"/>
          <w:sz w:val="24"/>
          <w:szCs w:val="24"/>
        </w:rPr>
        <w:t>the</w:t>
      </w:r>
      <w:r w:rsidR="00977E93" w:rsidRPr="00757919">
        <w:rPr>
          <w:rFonts w:ascii="Times New Roman" w:hAnsi="Times New Roman" w:cs="Times New Roman"/>
          <w:sz w:val="24"/>
          <w:szCs w:val="24"/>
        </w:rPr>
        <w:t xml:space="preserve"> alternative alleles</w:t>
      </w:r>
      <w:r w:rsidRPr="00757919">
        <w:rPr>
          <w:rFonts w:ascii="Times New Roman" w:hAnsi="Times New Roman" w:cs="Times New Roman"/>
          <w:sz w:val="24"/>
          <w:szCs w:val="24"/>
        </w:rPr>
        <w:t xml:space="preserve">. </w:t>
      </w:r>
    </w:p>
    <w:p w14:paraId="7EC801DE" w14:textId="5579526E" w:rsidR="00491E2C" w:rsidRPr="00757919" w:rsidRDefault="00DC47C9" w:rsidP="00864F3F">
      <w:pPr>
        <w:spacing w:line="480" w:lineRule="auto"/>
        <w:rPr>
          <w:rFonts w:ascii="Times New Roman" w:hAnsi="Times New Roman" w:cs="Times New Roman"/>
          <w:b/>
          <w:sz w:val="24"/>
          <w:szCs w:val="24"/>
        </w:rPr>
      </w:pPr>
      <w:r w:rsidRPr="00757919">
        <w:rPr>
          <w:rFonts w:ascii="Times New Roman" w:hAnsi="Times New Roman" w:cs="Times New Roman"/>
          <w:b/>
          <w:sz w:val="24"/>
          <w:szCs w:val="24"/>
        </w:rPr>
        <w:t xml:space="preserve">Materials and </w:t>
      </w:r>
      <w:r w:rsidR="002F586B" w:rsidRPr="00757919">
        <w:rPr>
          <w:rFonts w:ascii="Times New Roman" w:hAnsi="Times New Roman" w:cs="Times New Roman"/>
          <w:b/>
          <w:sz w:val="24"/>
          <w:szCs w:val="24"/>
        </w:rPr>
        <w:t>Methods</w:t>
      </w:r>
    </w:p>
    <w:p w14:paraId="59FC9244" w14:textId="77777777" w:rsidR="002F586B" w:rsidRPr="00757919" w:rsidRDefault="002F586B" w:rsidP="00864F3F">
      <w:pPr>
        <w:spacing w:line="480" w:lineRule="auto"/>
        <w:rPr>
          <w:rFonts w:ascii="Times New Roman" w:hAnsi="Times New Roman" w:cs="Times New Roman"/>
          <w:bCs/>
          <w:i/>
          <w:sz w:val="24"/>
          <w:szCs w:val="24"/>
        </w:rPr>
      </w:pPr>
      <w:r w:rsidRPr="00757919">
        <w:rPr>
          <w:rFonts w:ascii="Times New Roman" w:hAnsi="Times New Roman" w:cs="Times New Roman"/>
          <w:bCs/>
          <w:i/>
          <w:sz w:val="24"/>
          <w:szCs w:val="24"/>
        </w:rPr>
        <w:t>Study sample</w:t>
      </w:r>
    </w:p>
    <w:p w14:paraId="5A83DEAD" w14:textId="3984DDC2" w:rsidR="006E15E8" w:rsidRDefault="008F760C" w:rsidP="006E15E8">
      <w:pPr>
        <w:pStyle w:val="ColorfulShading-Accent31"/>
        <w:spacing w:after="0" w:line="480" w:lineRule="auto"/>
        <w:ind w:left="0" w:firstLine="720"/>
        <w:contextualSpacing w:val="0"/>
        <w:rPr>
          <w:rFonts w:ascii="Times New Roman" w:eastAsia="Arial" w:hAnsi="Times New Roman"/>
          <w:sz w:val="24"/>
          <w:szCs w:val="24"/>
        </w:rPr>
      </w:pPr>
      <w:r w:rsidRPr="00757919">
        <w:rPr>
          <w:rFonts w:ascii="Times New Roman" w:hAnsi="Times New Roman"/>
          <w:sz w:val="24"/>
          <w:szCs w:val="24"/>
        </w:rPr>
        <w:t xml:space="preserve">Data for this </w:t>
      </w:r>
      <w:r w:rsidR="00A62299" w:rsidRPr="00757919">
        <w:rPr>
          <w:rFonts w:ascii="Times New Roman" w:hAnsi="Times New Roman"/>
          <w:sz w:val="24"/>
          <w:szCs w:val="24"/>
        </w:rPr>
        <w:t xml:space="preserve">cross-sectional </w:t>
      </w:r>
      <w:r w:rsidR="00725270">
        <w:rPr>
          <w:rFonts w:ascii="Times New Roman" w:hAnsi="Times New Roman"/>
          <w:sz w:val="24"/>
          <w:szCs w:val="24"/>
        </w:rPr>
        <w:t>analysis</w:t>
      </w:r>
      <w:r w:rsidR="00725270" w:rsidRPr="00757919">
        <w:rPr>
          <w:rFonts w:ascii="Times New Roman" w:hAnsi="Times New Roman"/>
          <w:sz w:val="24"/>
          <w:szCs w:val="24"/>
        </w:rPr>
        <w:t xml:space="preserve"> </w:t>
      </w:r>
      <w:r w:rsidRPr="00757919">
        <w:rPr>
          <w:rFonts w:ascii="Times New Roman" w:hAnsi="Times New Roman"/>
          <w:sz w:val="24"/>
          <w:szCs w:val="24"/>
        </w:rPr>
        <w:t xml:space="preserve">was made available from </w:t>
      </w:r>
      <w:proofErr w:type="spellStart"/>
      <w:r w:rsidRPr="00757919">
        <w:rPr>
          <w:rFonts w:ascii="Times New Roman" w:hAnsi="Times New Roman"/>
          <w:sz w:val="24"/>
          <w:szCs w:val="24"/>
        </w:rPr>
        <w:t>dbG</w:t>
      </w:r>
      <w:r w:rsidR="009360BD" w:rsidRPr="00757919">
        <w:rPr>
          <w:rFonts w:ascii="Times New Roman" w:hAnsi="Times New Roman"/>
          <w:sz w:val="24"/>
          <w:szCs w:val="24"/>
        </w:rPr>
        <w:t>a</w:t>
      </w:r>
      <w:r w:rsidRPr="00757919">
        <w:rPr>
          <w:rFonts w:ascii="Times New Roman" w:hAnsi="Times New Roman"/>
          <w:sz w:val="24"/>
          <w:szCs w:val="24"/>
        </w:rPr>
        <w:t>P</w:t>
      </w:r>
      <w:proofErr w:type="spellEnd"/>
      <w:r w:rsidRPr="00757919">
        <w:rPr>
          <w:rFonts w:ascii="Times New Roman" w:hAnsi="Times New Roman"/>
          <w:sz w:val="24"/>
          <w:szCs w:val="24"/>
        </w:rPr>
        <w:t xml:space="preserve"> through approved request number 1302685-1</w:t>
      </w:r>
      <w:r w:rsidR="00E33248">
        <w:rPr>
          <w:rFonts w:ascii="Times New Roman" w:hAnsi="Times New Roman"/>
          <w:sz w:val="24"/>
          <w:szCs w:val="24"/>
        </w:rPr>
        <w:fldChar w:fldCharType="begin"/>
      </w:r>
      <w:r w:rsidR="00A568A5">
        <w:rPr>
          <w:rFonts w:ascii="Times New Roman" w:hAnsi="Times New Roman"/>
          <w:sz w:val="24"/>
          <w:szCs w:val="24"/>
        </w:rPr>
        <w:instrText xml:space="preserve"> ADDIN ZOTERO_ITEM CSL_CITATION {"citationID":"zz5776L2","properties":{"formattedCitation":"\\super 54\\nosupersub{}","plainCitation":"54","noteIndex":0},"citationItems":[{"id":1675,"uris":["http://zotero.org/users/3223062/items/2EHUJ27J"],"uri":["http://zotero.org/users/3223062/items/2EHUJ27J"],"itemData":{"id":1675,"type":"webpage","title":"dbGaP Study","URL":"https://www.ncbi.nlm.nih.gov/projects/gap/cgi-bin/study.cgi?study_id=phs000007.v31.p12","accessed":{"date-parts":[["2020",9,24]]}}}],"schema":"https://github.com/citation-style-language/schema/raw/master/csl-citation.json"} </w:instrText>
      </w:r>
      <w:r w:rsidR="00E33248">
        <w:rPr>
          <w:rFonts w:ascii="Times New Roman" w:hAnsi="Times New Roman"/>
          <w:sz w:val="24"/>
          <w:szCs w:val="24"/>
        </w:rPr>
        <w:fldChar w:fldCharType="separate"/>
      </w:r>
      <w:r w:rsidR="00A568A5" w:rsidRPr="00A568A5">
        <w:rPr>
          <w:rFonts w:ascii="Times New Roman" w:hAnsi="Times New Roman"/>
          <w:sz w:val="24"/>
          <w:szCs w:val="24"/>
          <w:vertAlign w:val="superscript"/>
        </w:rPr>
        <w:t>54</w:t>
      </w:r>
      <w:r w:rsidR="00E33248">
        <w:rPr>
          <w:rFonts w:ascii="Times New Roman" w:hAnsi="Times New Roman"/>
          <w:sz w:val="24"/>
          <w:szCs w:val="24"/>
        </w:rPr>
        <w:fldChar w:fldCharType="end"/>
      </w:r>
      <w:r w:rsidRPr="00757919">
        <w:rPr>
          <w:rFonts w:ascii="Times New Roman" w:hAnsi="Times New Roman"/>
          <w:sz w:val="24"/>
          <w:szCs w:val="24"/>
        </w:rPr>
        <w:t xml:space="preserve">. The Framingham Heart Study (FHS) is an ongoing </w:t>
      </w:r>
      <w:r w:rsidR="0089314D">
        <w:rPr>
          <w:rFonts w:ascii="Times New Roman" w:hAnsi="Times New Roman"/>
          <w:sz w:val="24"/>
          <w:szCs w:val="24"/>
        </w:rPr>
        <w:t>three-</w:t>
      </w:r>
      <w:r w:rsidR="00253A0E">
        <w:rPr>
          <w:rFonts w:ascii="Times New Roman" w:hAnsi="Times New Roman"/>
          <w:sz w:val="24"/>
          <w:szCs w:val="24"/>
        </w:rPr>
        <w:t>generation</w:t>
      </w:r>
      <w:r w:rsidR="00253A0E" w:rsidRPr="00757919">
        <w:rPr>
          <w:rFonts w:ascii="Times New Roman" w:hAnsi="Times New Roman"/>
          <w:sz w:val="24"/>
          <w:szCs w:val="24"/>
        </w:rPr>
        <w:t xml:space="preserve"> </w:t>
      </w:r>
      <w:r w:rsidRPr="00757919">
        <w:rPr>
          <w:rFonts w:ascii="Times New Roman" w:hAnsi="Times New Roman"/>
          <w:sz w:val="24"/>
          <w:szCs w:val="24"/>
        </w:rPr>
        <w:t>community-based study. For this study</w:t>
      </w:r>
      <w:r w:rsidR="00817C8A" w:rsidRPr="00757919">
        <w:rPr>
          <w:rFonts w:ascii="Times New Roman" w:hAnsi="Times New Roman"/>
          <w:sz w:val="24"/>
          <w:szCs w:val="24"/>
        </w:rPr>
        <w:t>,</w:t>
      </w:r>
      <w:r w:rsidRPr="00757919">
        <w:rPr>
          <w:rFonts w:ascii="Times New Roman" w:hAnsi="Times New Roman"/>
          <w:sz w:val="24"/>
          <w:szCs w:val="24"/>
        </w:rPr>
        <w:t xml:space="preserve"> we focused on members of the Offspring Cohort, which includes the children of the original cohort and their spouses. At each FHS examination, age, height, BMI</w:t>
      </w:r>
      <w:r w:rsidR="00817C8A" w:rsidRPr="00757919">
        <w:rPr>
          <w:rFonts w:ascii="Times New Roman" w:hAnsi="Times New Roman"/>
          <w:sz w:val="24"/>
          <w:szCs w:val="24"/>
        </w:rPr>
        <w:t>,</w:t>
      </w:r>
      <w:r w:rsidRPr="00757919">
        <w:rPr>
          <w:rFonts w:ascii="Times New Roman" w:hAnsi="Times New Roman"/>
          <w:sz w:val="24"/>
          <w:szCs w:val="24"/>
        </w:rPr>
        <w:t xml:space="preserve"> and extensive questionnaires were obtained according to standardized protocols. </w:t>
      </w:r>
      <w:r w:rsidR="005D18DA" w:rsidRPr="00757919">
        <w:rPr>
          <w:rFonts w:ascii="Times New Roman" w:hAnsi="Times New Roman"/>
          <w:sz w:val="24"/>
          <w:szCs w:val="24"/>
        </w:rPr>
        <w:t>Most of the</w:t>
      </w:r>
      <w:r w:rsidRPr="00757919">
        <w:rPr>
          <w:rFonts w:ascii="Times New Roman" w:hAnsi="Times New Roman"/>
          <w:sz w:val="24"/>
          <w:szCs w:val="24"/>
        </w:rPr>
        <w:t xml:space="preserve"> members of the Offspring cohort were enrolled in the ancillary Framingham Osteoporosis Study in 2002</w:t>
      </w:r>
      <w:r w:rsidR="00A568A5">
        <w:rPr>
          <w:rFonts w:ascii="Times New Roman" w:hAnsi="Times New Roman"/>
          <w:sz w:val="24"/>
          <w:szCs w:val="24"/>
        </w:rPr>
        <w:fldChar w:fldCharType="begin"/>
      </w:r>
      <w:r w:rsidR="00A568A5">
        <w:rPr>
          <w:rFonts w:ascii="Times New Roman" w:hAnsi="Times New Roman"/>
          <w:sz w:val="24"/>
          <w:szCs w:val="24"/>
        </w:rPr>
        <w:instrText xml:space="preserve"> ADDIN ZOTERO_ITEM CSL_CITATION {"citationID":"AVssV1Um","properties":{"formattedCitation":"\\super 55\\nosupersub{}","plainCitation":"55","noteIndex":0},"citationItems":[{"id":1701,"uris":["http://zotero.org/users/3223062/items/F969IZL9"],"uri":["http://zotero.org/users/3223062/items/F969IZL9"],"itemData":{"id":1701,"type":"article-journal","abstract":"Few studies have evaluated risk factors for bone loss in elderly women and men. Thus, we examined risk factors for 4-year longitudinal change in bone mineral density (BMD) at the hip, radius, and spine in elders. Eight hundred elderly women and men from the population-based Framingham Osteoporosis Study had BMD assessed in 1988-1989 and again in 1992-1993. BMD was measured at femoral neck, trochanter, Ward's area, radial shaft, ultradistal radius, and lumbar spine using Lunar densitometers. We examined the relation of the following factors at baseline to percent BMD loss: age, weight, change in weight, height, smoking, caffeine, alcohol use, physical activity, serum 25-OH vitamin D, calcium intake, and current estrogen replacement in women. Multivariate regression analyses were conducted with simultaneous adjustment for all variables. Mean age at baseline was 74 years ± 4.5 years (range, 67-90 years). Average 4-year BMD loss for women (range, 3.4-4.8%) was greater than the loss for men (range, 0.2-3.6%) at all sites; however, BMD fell with age in both elderly women and elderly men. For women, lower baseline weight, weight loss in interim, and greater alcohol use were associated with BMD loss. Women who gained weight during the interim gained BMD or had little change in BMD. For women, current estrogen users had less bone loss than nonusers; at the femoral neck, nonusers lost up to 2.7% more BMD. For men, lower baseline weight and weight loss also were associated with BMD loss. Men who smoked cigarettes at baseline lost more BMD at the trochanter site. Surprisingly, bone loss was not affected by caffeine, physical activity, serum 25-OH vitamin D, or calcium intake. Risk factors consistently associated with bone loss in elders include female sex, thinness, and weight loss, while weight gain appears to protect against bone loss for both men and women. This population-based study suggests that current estrogen use may help to maintain bone in women, whereas current smoking was associated with bone loss in men. Even in the elderly years, potentially modifiable risk factors, such as weight, estrogen use, and cigarette smoking are important components of bone health.","container-title":"Journal of Bone and Mineral Research","DOI":"https://doi.org/10.1359/jbmr.2000.15.4.710","ISSN":"1523-4681","issue":"4","language":"en","note":"_eprint: https://asbmr.onlinelibrary.wiley.com/doi/pdf/10.1359/jbmr.2000.15.4.710","page":"710-720","source":"Wiley Online Library","title":"Risk Factors for Longitudinal Bone Loss in Elderly Men and Women: The Framingham Osteoporosis Study","title-short":"Risk Factors for Longitudinal Bone Loss in Elderly Men and Women","volume":"15","author":[{"family":"Hannan","given":"Marian T."},{"family":"Felson","given":"David T."},{"family":"Dawson‐Hughes","given":"Bess"},{"family":"Tucker","given":"Katherine L."},{"family":"Cupples","given":"L. Adrienne"},{"family":"Wilson","given":"Peter W. F."},{"family":"Kiel","given":"Douglas P."}],"issued":{"date-parts":[["2000"]]}}}],"schema":"https://github.com/citation-style-language/schema/raw/master/csl-citation.json"} </w:instrText>
      </w:r>
      <w:r w:rsidR="00A568A5">
        <w:rPr>
          <w:rFonts w:ascii="Times New Roman" w:hAnsi="Times New Roman"/>
          <w:sz w:val="24"/>
          <w:szCs w:val="24"/>
        </w:rPr>
        <w:fldChar w:fldCharType="separate"/>
      </w:r>
      <w:r w:rsidR="00A568A5" w:rsidRPr="00A568A5">
        <w:rPr>
          <w:rFonts w:ascii="Times New Roman" w:hAnsi="Times New Roman"/>
          <w:sz w:val="24"/>
          <w:szCs w:val="24"/>
          <w:vertAlign w:val="superscript"/>
        </w:rPr>
        <w:t>55</w:t>
      </w:r>
      <w:r w:rsidR="00A568A5">
        <w:rPr>
          <w:rFonts w:ascii="Times New Roman" w:hAnsi="Times New Roman"/>
          <w:sz w:val="24"/>
          <w:szCs w:val="24"/>
        </w:rPr>
        <w:fldChar w:fldCharType="end"/>
      </w:r>
      <w:r w:rsidRPr="00757919">
        <w:rPr>
          <w:rFonts w:ascii="Times New Roman" w:hAnsi="Times New Roman"/>
          <w:sz w:val="24"/>
          <w:szCs w:val="24"/>
        </w:rPr>
        <w:t>. BMD was measured at the hip (femoral neck, trochanter, and total femur) and lumbar spine (average BMD of L2-L4) in g/cm</w:t>
      </w:r>
      <w:r w:rsidRPr="00757919">
        <w:rPr>
          <w:rFonts w:ascii="Times New Roman" w:hAnsi="Times New Roman"/>
          <w:sz w:val="24"/>
          <w:szCs w:val="24"/>
          <w:vertAlign w:val="superscript"/>
        </w:rPr>
        <w:t>2</w:t>
      </w:r>
      <w:r w:rsidRPr="00757919">
        <w:rPr>
          <w:rFonts w:ascii="Times New Roman" w:hAnsi="Times New Roman"/>
          <w:sz w:val="24"/>
          <w:szCs w:val="24"/>
        </w:rPr>
        <w:t xml:space="preserve"> using a </w:t>
      </w:r>
      <w:r w:rsidRPr="00757919">
        <w:rPr>
          <w:rFonts w:ascii="Times New Roman" w:hAnsi="Times New Roman"/>
          <w:sz w:val="24"/>
          <w:szCs w:val="24"/>
        </w:rPr>
        <w:lastRenderedPageBreak/>
        <w:t>GE Lunar Prodigy du</w:t>
      </w:r>
      <w:r w:rsidR="00817C8A" w:rsidRPr="00757919">
        <w:rPr>
          <w:rFonts w:ascii="Times New Roman" w:hAnsi="Times New Roman"/>
          <w:sz w:val="24"/>
          <w:szCs w:val="24"/>
        </w:rPr>
        <w:t>a</w:t>
      </w:r>
      <w:r w:rsidRPr="00757919">
        <w:rPr>
          <w:rFonts w:ascii="Times New Roman" w:hAnsi="Times New Roman"/>
          <w:sz w:val="24"/>
          <w:szCs w:val="24"/>
        </w:rPr>
        <w:t>l</w:t>
      </w:r>
      <w:r w:rsidR="00817C8A" w:rsidRPr="00757919">
        <w:rPr>
          <w:rFonts w:ascii="Times New Roman" w:hAnsi="Times New Roman"/>
          <w:sz w:val="24"/>
          <w:szCs w:val="24"/>
        </w:rPr>
        <w:t>-</w:t>
      </w:r>
      <w:r w:rsidRPr="00757919">
        <w:rPr>
          <w:rFonts w:ascii="Times New Roman" w:hAnsi="Times New Roman"/>
          <w:sz w:val="24"/>
          <w:szCs w:val="24"/>
        </w:rPr>
        <w:t>energy X-ray (DXA) absorptiometer. For this analysis,</w:t>
      </w:r>
      <w:r w:rsidR="009360BD" w:rsidRPr="00757919">
        <w:rPr>
          <w:rFonts w:ascii="Times New Roman" w:hAnsi="Times New Roman"/>
          <w:sz w:val="24"/>
          <w:szCs w:val="24"/>
        </w:rPr>
        <w:t xml:space="preserve"> </w:t>
      </w:r>
      <w:r w:rsidRPr="00757919">
        <w:rPr>
          <w:rFonts w:ascii="Times New Roman" w:eastAsia="Arial" w:hAnsi="Times New Roman"/>
          <w:sz w:val="24"/>
          <w:szCs w:val="24"/>
        </w:rPr>
        <w:t>1</w:t>
      </w:r>
      <w:r w:rsidR="0054033C">
        <w:rPr>
          <w:rFonts w:ascii="Times New Roman" w:eastAsia="Arial" w:hAnsi="Times New Roman"/>
          <w:sz w:val="24"/>
          <w:szCs w:val="24"/>
        </w:rPr>
        <w:t>,</w:t>
      </w:r>
      <w:r w:rsidRPr="00757919">
        <w:rPr>
          <w:rFonts w:ascii="Times New Roman" w:eastAsia="Arial" w:hAnsi="Times New Roman"/>
          <w:sz w:val="24"/>
          <w:szCs w:val="24"/>
        </w:rPr>
        <w:t xml:space="preserve">527 individuals were included based on being a member of the Framingham Offspring Cohort who attended examination cycle 8 </w:t>
      </w:r>
      <w:r w:rsidRPr="00757919">
        <w:rPr>
          <w:rFonts w:ascii="Times New Roman" w:hAnsi="Times New Roman"/>
          <w:sz w:val="24"/>
          <w:szCs w:val="24"/>
        </w:rPr>
        <w:t>(2005-2008, n = 3,021)</w:t>
      </w:r>
      <w:r w:rsidRPr="00757919">
        <w:rPr>
          <w:rFonts w:ascii="Times New Roman" w:eastAsia="Arial" w:hAnsi="Times New Roman"/>
          <w:sz w:val="24"/>
          <w:szCs w:val="24"/>
        </w:rPr>
        <w:t>, having BMD data that was assessed after the exam 8 date when BB use was assessed, and having genetic data available</w:t>
      </w:r>
      <w:r w:rsidR="0079744D" w:rsidRPr="00757919">
        <w:rPr>
          <w:rFonts w:ascii="Times New Roman" w:eastAsia="Arial" w:hAnsi="Times New Roman"/>
          <w:sz w:val="24"/>
          <w:szCs w:val="24"/>
        </w:rPr>
        <w:t>.</w:t>
      </w:r>
      <w:r w:rsidR="00356F92" w:rsidRPr="00757919">
        <w:rPr>
          <w:rFonts w:ascii="Times New Roman" w:eastAsia="Arial" w:hAnsi="Times New Roman"/>
          <w:sz w:val="24"/>
          <w:szCs w:val="24"/>
        </w:rPr>
        <w:t xml:space="preserve"> </w:t>
      </w:r>
      <w:r w:rsidR="00791A20" w:rsidRPr="00757919">
        <w:rPr>
          <w:rFonts w:ascii="Times New Roman" w:eastAsia="Arial" w:hAnsi="Times New Roman"/>
          <w:sz w:val="24"/>
          <w:szCs w:val="24"/>
        </w:rPr>
        <w:t>Genetic data was collected and imputed as previously described</w:t>
      </w:r>
      <w:r w:rsidR="0079744D" w:rsidRPr="00757919">
        <w:rPr>
          <w:rFonts w:ascii="Times New Roman" w:eastAsia="Arial" w:hAnsi="Times New Roman"/>
          <w:sz w:val="24"/>
          <w:szCs w:val="24"/>
        </w:rPr>
        <w:fldChar w:fldCharType="begin"/>
      </w:r>
      <w:r w:rsidR="00A568A5">
        <w:rPr>
          <w:rFonts w:ascii="Times New Roman" w:eastAsia="Arial" w:hAnsi="Times New Roman"/>
          <w:sz w:val="24"/>
          <w:szCs w:val="24"/>
        </w:rPr>
        <w:instrText xml:space="preserve"> ADDIN ZOTERO_ITEM CSL_CITATION {"citationID":"yYtEzYTu","properties":{"formattedCitation":"\\super 56,57\\nosupersub{}","plainCitation":"56,57","noteIndex":0},"citationItems":[{"id":334,"uris":["http://zotero.org/users/3223062/items/JUH829CT"],"uri":["http://zotero.org/users/3223062/items/JUH829CT"],"itemData":{"id":334,"type":"article-journal","abstract":"Recent analyses have suggested a strong heritable component to circulating fatty acid (FA) levels; however, only a limited number of genes have been identified which associate with FA levels. In order to expand upon a previous genome wide association study done on participants in the Framingham Heart Study Offspring Cohort and FA levels, we used data from 2,400 of these individuals for whom red blood cell FA profiles, dietary information and genotypes are available, and then conducted a genome-wide evaluation of potential genetic variants associated with 22 FAs and 15 FA ratios, after adjusting for relevant dietary covariates. Our analysis found nine previously identified loci associated with FA levels (FADS, ELOVL2, PCOLCE2, LPCAT3, AGPAT4, NTAN1/PDXDC1, PKD2L1, HBS1L/MYB and RAB3GAP1/MCM6), while identifying four novel loci. The latter include an association between variants in CALN1 (Chromosome 7) and eicosapentaenoic acid (EPA), DHRS4L2 (Chromosome 14) and a FA ratio measuring delta-9-desaturase activity, as well as two loci associated with less well understood proteins. Thus, the inclusion of dietary covariates had a modest impact, helping to uncover four additional loci. While genome-wide association studies continue to uncover additional genes associated with circulating FA levels, much of the heritable risk is yet to be explained, suggesting the potential role of rare genetic variation, epistasis and gene-environment interactions on FA levels as well. Further studies are needed to continue to understand the complex genetic picture of FA metabolism and synthesis.","container-title":"PLOS ONE","DOI":"10.1371/journal.pone.0194882","ISSN":"1932-6203","issue":"4","journalAbbreviation":"PLOS ONE","language":"en","note":"publisher: Public Library of Science","page":"e0194882","source":"PLoS Journals","title":"A genome-wide association study of red-blood cell fatty acids and ratios incorporating dietary covariates: Framingham Heart Study Offspring Cohort","title-short":"A genome-wide association study of red-blood cell fatty acids and ratios incorporating dietary covariates","volume":"13","author":[{"family":"Kalsbeek","given":"Anya"},{"family":"Veenstra","given":"Jenna"},{"family":"Westra","given":"Jason"},{"family":"Disselkoen","given":"Craig"},{"family":"Koch","given":"Kristin"},{"family":"McKenzie","given":"Katelyn A."},{"family":"O’Bott","given":"Jacob"},{"family":"Woude","given":"Jason Vander"},{"family":"Fischer","given":"Karen"},{"family":"Shearer","given":"Greg C."},{"family":"Harris","given":"William S."},{"family":"Tintle","given":"Nathan L."}],"issued":{"date-parts":[["2018",4,13]]}}},{"id":335,"uris":["http://zotero.org/users/3223062/items/E64H5P8I"],"uri":["http://zotero.org/users/3223062/items/E64H5P8I"],"itemData":{"id":335,"type":"article-journal","container-title":"Circulation. Cardiovascular genetics","DOI":"10.1161/CIRCGENETICS.108.829747","ISSN":"1942-325X","issue":"1","journalAbbreviation":"Circ Cardiovasc Genet","note":"PMID: 20031568\nPMCID: PMC2875693","page":"73-80","source":"PubMed Central","title":"Cohorts for Heart and Aging Research in Genomic Epidemiology (CHARGE) Consortium: Design of prospective meta-analyses of genome-wide association studies from five cohorts","title-short":"Cohorts for Heart and Aging Research in Genomic Epidemiology (CHARGE) Consortium","volume":"2","author":[{"family":"Psaty","given":"Bruce M."},{"family":"O’Donnell","given":"Christopher J."},{"family":"Gudnason","given":"Vilmundur"},{"family":"Lunetta","given":"Kathryn L."},{"family":"Folsom","given":"Aaron R."},{"family":"Rotter","given":"Jerome I."},{"family":"Uitterlinden","given":"André G."},{"family":"Harris","given":"Tamara B."},{"family":"Witteman","given":"Jacqueline C.M."},{"family":"Boerwinkle","given":"Eric"}],"issued":{"date-parts":[["2009",2]]}}}],"schema":"https://github.com/citation-style-language/schema/raw/master/csl-citation.json"} </w:instrText>
      </w:r>
      <w:r w:rsidR="0079744D" w:rsidRPr="00757919">
        <w:rPr>
          <w:rFonts w:ascii="Times New Roman" w:eastAsia="Arial" w:hAnsi="Times New Roman"/>
          <w:sz w:val="24"/>
          <w:szCs w:val="24"/>
        </w:rPr>
        <w:fldChar w:fldCharType="separate"/>
      </w:r>
      <w:r w:rsidR="00A568A5" w:rsidRPr="00A568A5">
        <w:rPr>
          <w:rFonts w:ascii="Times New Roman" w:hAnsi="Times New Roman"/>
          <w:sz w:val="24"/>
          <w:szCs w:val="24"/>
          <w:vertAlign w:val="superscript"/>
        </w:rPr>
        <w:t>56,57</w:t>
      </w:r>
      <w:r w:rsidR="0079744D" w:rsidRPr="00757919">
        <w:rPr>
          <w:rFonts w:ascii="Times New Roman" w:eastAsia="Arial" w:hAnsi="Times New Roman"/>
          <w:sz w:val="24"/>
          <w:szCs w:val="24"/>
        </w:rPr>
        <w:fldChar w:fldCharType="end"/>
      </w:r>
      <w:r w:rsidR="00791A20" w:rsidRPr="00757919">
        <w:rPr>
          <w:rFonts w:ascii="Times New Roman" w:eastAsia="Arial" w:hAnsi="Times New Roman"/>
          <w:sz w:val="24"/>
          <w:szCs w:val="24"/>
        </w:rPr>
        <w:t>. In brief, geno</w:t>
      </w:r>
      <w:r w:rsidR="00D100CD" w:rsidRPr="00757919">
        <w:rPr>
          <w:rFonts w:ascii="Times New Roman" w:eastAsia="Arial" w:hAnsi="Times New Roman"/>
          <w:sz w:val="24"/>
          <w:szCs w:val="24"/>
        </w:rPr>
        <w:t xml:space="preserve">types were </w:t>
      </w:r>
      <w:r w:rsidR="00791A20" w:rsidRPr="00757919">
        <w:rPr>
          <w:rFonts w:ascii="Times New Roman" w:eastAsia="Arial" w:hAnsi="Times New Roman"/>
          <w:sz w:val="24"/>
          <w:szCs w:val="24"/>
        </w:rPr>
        <w:t xml:space="preserve">measured using </w:t>
      </w:r>
      <w:r w:rsidR="008D3C60" w:rsidRPr="00757919">
        <w:rPr>
          <w:rFonts w:ascii="Times New Roman" w:eastAsia="Arial" w:hAnsi="Times New Roman"/>
          <w:sz w:val="24"/>
          <w:szCs w:val="24"/>
        </w:rPr>
        <w:t xml:space="preserve">the </w:t>
      </w:r>
      <w:r w:rsidR="00791A20" w:rsidRPr="00757919">
        <w:rPr>
          <w:rFonts w:ascii="Times New Roman" w:eastAsia="Arial" w:hAnsi="Times New Roman"/>
          <w:sz w:val="24"/>
          <w:szCs w:val="24"/>
        </w:rPr>
        <w:t>Affymetrix 500K and 50K Human Gene Focused Panel</w:t>
      </w:r>
      <w:r w:rsidR="008D3C60" w:rsidRPr="00757919">
        <w:rPr>
          <w:rFonts w:ascii="Times New Roman" w:eastAsia="Arial" w:hAnsi="Times New Roman"/>
          <w:sz w:val="24"/>
          <w:szCs w:val="24"/>
        </w:rPr>
        <w:t>s</w:t>
      </w:r>
      <w:r w:rsidR="00791A20" w:rsidRPr="00757919">
        <w:rPr>
          <w:rFonts w:ascii="Times New Roman" w:eastAsia="Arial" w:hAnsi="Times New Roman"/>
          <w:sz w:val="24"/>
          <w:szCs w:val="24"/>
        </w:rPr>
        <w:t>.</w:t>
      </w:r>
      <w:r w:rsidRPr="00757919">
        <w:rPr>
          <w:rFonts w:ascii="Times New Roman" w:eastAsia="Arial" w:hAnsi="Times New Roman"/>
          <w:sz w:val="24"/>
          <w:szCs w:val="24"/>
        </w:rPr>
        <w:t xml:space="preserve"> </w:t>
      </w:r>
      <w:r w:rsidR="00F940B8" w:rsidRPr="00757919">
        <w:rPr>
          <w:rFonts w:ascii="Times New Roman" w:eastAsia="Arial" w:hAnsi="Times New Roman"/>
          <w:sz w:val="24"/>
          <w:szCs w:val="24"/>
        </w:rPr>
        <w:t xml:space="preserve">Genetic </w:t>
      </w:r>
      <w:r w:rsidR="00CE7371">
        <w:rPr>
          <w:rFonts w:ascii="Times New Roman" w:eastAsia="Arial" w:hAnsi="Times New Roman"/>
          <w:sz w:val="24"/>
          <w:szCs w:val="24"/>
        </w:rPr>
        <w:t>polymorphism</w:t>
      </w:r>
      <w:r w:rsidR="00F940B8" w:rsidRPr="00757919">
        <w:rPr>
          <w:rFonts w:ascii="Times New Roman" w:eastAsia="Arial" w:hAnsi="Times New Roman"/>
          <w:sz w:val="24"/>
          <w:szCs w:val="24"/>
        </w:rPr>
        <w:t>s</w:t>
      </w:r>
      <w:r w:rsidR="00817C8A" w:rsidRPr="00757919">
        <w:rPr>
          <w:rFonts w:ascii="Times New Roman" w:eastAsia="Arial" w:hAnsi="Times New Roman"/>
          <w:sz w:val="24"/>
          <w:szCs w:val="24"/>
        </w:rPr>
        <w:t>’</w:t>
      </w:r>
      <w:r w:rsidR="000F4021" w:rsidRPr="00757919">
        <w:rPr>
          <w:rFonts w:ascii="Times New Roman" w:eastAsia="Arial" w:hAnsi="Times New Roman"/>
          <w:sz w:val="24"/>
          <w:szCs w:val="24"/>
        </w:rPr>
        <w:t xml:space="preserve"> positions </w:t>
      </w:r>
      <w:r w:rsidR="00791A20" w:rsidRPr="00757919">
        <w:rPr>
          <w:rFonts w:ascii="Times New Roman" w:eastAsia="Arial" w:hAnsi="Times New Roman"/>
          <w:sz w:val="24"/>
          <w:szCs w:val="24"/>
        </w:rPr>
        <w:t>we</w:t>
      </w:r>
      <w:r w:rsidR="000F4021" w:rsidRPr="00757919">
        <w:rPr>
          <w:rFonts w:ascii="Times New Roman" w:eastAsia="Arial" w:hAnsi="Times New Roman"/>
          <w:sz w:val="24"/>
          <w:szCs w:val="24"/>
        </w:rPr>
        <w:t>re based on the GRCh3</w:t>
      </w:r>
      <w:r w:rsidR="00842590" w:rsidRPr="00757919">
        <w:rPr>
          <w:rFonts w:ascii="Times New Roman" w:eastAsia="Arial" w:hAnsi="Times New Roman"/>
          <w:sz w:val="24"/>
          <w:szCs w:val="24"/>
        </w:rPr>
        <w:t>7</w:t>
      </w:r>
      <w:r w:rsidR="000F4021" w:rsidRPr="00757919">
        <w:rPr>
          <w:rFonts w:ascii="Times New Roman" w:eastAsia="Arial" w:hAnsi="Times New Roman"/>
          <w:sz w:val="24"/>
          <w:szCs w:val="24"/>
        </w:rPr>
        <w:t>/hg19 assembly from February 2009. Impu</w:t>
      </w:r>
      <w:r w:rsidR="00791A20" w:rsidRPr="00757919">
        <w:rPr>
          <w:rFonts w:ascii="Times New Roman" w:eastAsia="Arial" w:hAnsi="Times New Roman"/>
          <w:sz w:val="24"/>
          <w:szCs w:val="24"/>
        </w:rPr>
        <w:t>tation wa</w:t>
      </w:r>
      <w:r w:rsidR="000F4021" w:rsidRPr="00757919">
        <w:rPr>
          <w:rFonts w:ascii="Times New Roman" w:eastAsia="Arial" w:hAnsi="Times New Roman"/>
          <w:sz w:val="24"/>
          <w:szCs w:val="24"/>
        </w:rPr>
        <w:t xml:space="preserve">s based on the Haplotype Reference Consortium </w:t>
      </w:r>
      <w:r w:rsidR="00354AA5" w:rsidRPr="00757919">
        <w:rPr>
          <w:rFonts w:ascii="Times New Roman" w:eastAsia="Arial" w:hAnsi="Times New Roman"/>
          <w:sz w:val="24"/>
          <w:szCs w:val="24"/>
        </w:rPr>
        <w:t xml:space="preserve">(HRC) </w:t>
      </w:r>
      <w:r w:rsidR="000F4021" w:rsidRPr="00757919">
        <w:rPr>
          <w:rFonts w:ascii="Times New Roman" w:eastAsia="Arial" w:hAnsi="Times New Roman"/>
          <w:sz w:val="24"/>
          <w:szCs w:val="24"/>
        </w:rPr>
        <w:t>reference panel rele</w:t>
      </w:r>
      <w:r w:rsidR="00791A20" w:rsidRPr="00757919">
        <w:rPr>
          <w:rFonts w:ascii="Times New Roman" w:eastAsia="Arial" w:hAnsi="Times New Roman"/>
          <w:sz w:val="24"/>
          <w:szCs w:val="24"/>
        </w:rPr>
        <w:t>ase 1. The panel included</w:t>
      </w:r>
      <w:r w:rsidR="000F4021" w:rsidRPr="00757919">
        <w:rPr>
          <w:rFonts w:ascii="Times New Roman" w:eastAsia="Arial" w:hAnsi="Times New Roman"/>
          <w:sz w:val="24"/>
          <w:szCs w:val="24"/>
        </w:rPr>
        <w:t xml:space="preserve"> </w:t>
      </w:r>
      <w:r w:rsidR="008D3C60" w:rsidRPr="00757919">
        <w:rPr>
          <w:rFonts w:ascii="Times New Roman" w:eastAsia="Arial" w:hAnsi="Times New Roman"/>
          <w:sz w:val="24"/>
          <w:szCs w:val="24"/>
        </w:rPr>
        <w:t xml:space="preserve">only autosomes with </w:t>
      </w:r>
      <w:r w:rsidR="000F4021" w:rsidRPr="00757919">
        <w:rPr>
          <w:rFonts w:ascii="Times New Roman" w:eastAsia="Arial" w:hAnsi="Times New Roman"/>
          <w:sz w:val="24"/>
          <w:szCs w:val="24"/>
        </w:rPr>
        <w:t>39,235,157 sites</w:t>
      </w:r>
      <w:r w:rsidR="00354AA5" w:rsidRPr="00757919">
        <w:rPr>
          <w:rFonts w:ascii="Times New Roman" w:eastAsia="Arial" w:hAnsi="Times New Roman"/>
          <w:sz w:val="24"/>
          <w:szCs w:val="24"/>
        </w:rPr>
        <w:t xml:space="preserve"> of which 39,210,718 sites were included in the dataset returned by the </w:t>
      </w:r>
      <w:r w:rsidR="00725270">
        <w:rPr>
          <w:rFonts w:ascii="Times New Roman" w:eastAsia="Arial" w:hAnsi="Times New Roman"/>
          <w:sz w:val="24"/>
          <w:szCs w:val="24"/>
        </w:rPr>
        <w:t>Michigan Impu</w:t>
      </w:r>
      <w:r w:rsidR="001062DC">
        <w:rPr>
          <w:rFonts w:ascii="Times New Roman" w:eastAsia="Arial" w:hAnsi="Times New Roman"/>
          <w:sz w:val="24"/>
          <w:szCs w:val="24"/>
        </w:rPr>
        <w:t>tation</w:t>
      </w:r>
      <w:r w:rsidR="00725270" w:rsidRPr="00757919">
        <w:rPr>
          <w:rFonts w:ascii="Times New Roman" w:eastAsia="Arial" w:hAnsi="Times New Roman"/>
          <w:sz w:val="24"/>
          <w:szCs w:val="24"/>
        </w:rPr>
        <w:t xml:space="preserve"> </w:t>
      </w:r>
      <w:r w:rsidR="001062DC">
        <w:rPr>
          <w:rFonts w:ascii="Times New Roman" w:eastAsia="Arial" w:hAnsi="Times New Roman"/>
          <w:sz w:val="24"/>
          <w:szCs w:val="24"/>
        </w:rPr>
        <w:t>S</w:t>
      </w:r>
      <w:r w:rsidR="00354AA5" w:rsidRPr="00757919">
        <w:rPr>
          <w:rFonts w:ascii="Times New Roman" w:eastAsia="Arial" w:hAnsi="Times New Roman"/>
          <w:sz w:val="24"/>
          <w:szCs w:val="24"/>
        </w:rPr>
        <w:t>erver</w:t>
      </w:r>
      <w:r w:rsidR="00E87A1B">
        <w:rPr>
          <w:rFonts w:ascii="Times New Roman" w:eastAsia="Arial" w:hAnsi="Times New Roman"/>
          <w:sz w:val="24"/>
          <w:szCs w:val="24"/>
        </w:rPr>
        <w:t xml:space="preserve"> with </w:t>
      </w:r>
      <w:r w:rsidR="0089314D">
        <w:rPr>
          <w:rFonts w:ascii="Times New Roman" w:eastAsia="Arial" w:hAnsi="Times New Roman"/>
          <w:sz w:val="24"/>
          <w:szCs w:val="24"/>
        </w:rPr>
        <w:t>high-</w:t>
      </w:r>
      <w:r w:rsidR="00354AA5" w:rsidRPr="00757919">
        <w:rPr>
          <w:rFonts w:ascii="Times New Roman" w:eastAsia="Arial" w:hAnsi="Times New Roman"/>
          <w:sz w:val="24"/>
          <w:szCs w:val="24"/>
        </w:rPr>
        <w:t xml:space="preserve">quality </w:t>
      </w:r>
      <w:r w:rsidR="00253A0E" w:rsidRPr="00757919">
        <w:rPr>
          <w:rFonts w:ascii="Times New Roman" w:eastAsia="Arial" w:hAnsi="Times New Roman"/>
          <w:sz w:val="24"/>
          <w:szCs w:val="24"/>
        </w:rPr>
        <w:t>imputation</w:t>
      </w:r>
      <w:r w:rsidR="00354AA5" w:rsidRPr="00757919">
        <w:rPr>
          <w:rFonts w:ascii="Times New Roman" w:eastAsia="Arial" w:hAnsi="Times New Roman"/>
          <w:sz w:val="24"/>
          <w:szCs w:val="24"/>
        </w:rPr>
        <w:t xml:space="preserve">. Multi-allelic sites </w:t>
      </w:r>
      <w:r w:rsidR="005A1D6E" w:rsidRPr="00757919">
        <w:rPr>
          <w:rFonts w:ascii="Times New Roman" w:eastAsia="Arial" w:hAnsi="Times New Roman"/>
          <w:sz w:val="24"/>
          <w:szCs w:val="24"/>
        </w:rPr>
        <w:t>were excluded from our analysis</w:t>
      </w:r>
      <w:r w:rsidR="00354AA5" w:rsidRPr="00757919">
        <w:rPr>
          <w:rFonts w:ascii="Times New Roman" w:eastAsia="Arial" w:hAnsi="Times New Roman"/>
          <w:sz w:val="24"/>
          <w:szCs w:val="24"/>
        </w:rPr>
        <w:t xml:space="preserve">. </w:t>
      </w:r>
      <w:r w:rsidR="00791A20" w:rsidRPr="00757919">
        <w:rPr>
          <w:rFonts w:ascii="Times New Roman" w:eastAsia="Arial" w:hAnsi="Times New Roman"/>
          <w:sz w:val="24"/>
          <w:szCs w:val="24"/>
        </w:rPr>
        <w:t>The imputed SNPs</w:t>
      </w:r>
      <w:r w:rsidR="00FC16B7" w:rsidRPr="00757919">
        <w:rPr>
          <w:rFonts w:ascii="Times New Roman" w:eastAsia="Arial" w:hAnsi="Times New Roman"/>
          <w:sz w:val="24"/>
          <w:szCs w:val="24"/>
        </w:rPr>
        <w:t>’</w:t>
      </w:r>
      <w:r w:rsidR="00791A20" w:rsidRPr="00757919">
        <w:rPr>
          <w:rFonts w:ascii="Times New Roman" w:eastAsia="Arial" w:hAnsi="Times New Roman"/>
          <w:sz w:val="24"/>
          <w:szCs w:val="24"/>
        </w:rPr>
        <w:t xml:space="preserve"> </w:t>
      </w:r>
      <w:r w:rsidR="00FC16B7" w:rsidRPr="00757919">
        <w:rPr>
          <w:rFonts w:ascii="Times New Roman" w:eastAsia="Arial" w:hAnsi="Times New Roman"/>
          <w:sz w:val="24"/>
          <w:szCs w:val="24"/>
        </w:rPr>
        <w:t xml:space="preserve">value </w:t>
      </w:r>
      <w:r w:rsidR="00791A20" w:rsidRPr="00757919">
        <w:rPr>
          <w:rFonts w:ascii="Times New Roman" w:eastAsia="Arial" w:hAnsi="Times New Roman"/>
          <w:sz w:val="24"/>
          <w:szCs w:val="24"/>
        </w:rPr>
        <w:t>ranged from 0 to 2</w:t>
      </w:r>
      <w:r w:rsidR="00FC16B7" w:rsidRPr="00757919">
        <w:rPr>
          <w:rFonts w:ascii="Times New Roman" w:eastAsia="Arial" w:hAnsi="Times New Roman"/>
          <w:sz w:val="24"/>
          <w:szCs w:val="24"/>
        </w:rPr>
        <w:t xml:space="preserve">, </w:t>
      </w:r>
      <w:r w:rsidR="00791A20" w:rsidRPr="00757919">
        <w:rPr>
          <w:rFonts w:ascii="Times New Roman" w:eastAsia="Arial" w:hAnsi="Times New Roman"/>
          <w:sz w:val="24"/>
          <w:szCs w:val="24"/>
        </w:rPr>
        <w:t xml:space="preserve">referring to </w:t>
      </w:r>
      <w:r w:rsidR="008D3C60" w:rsidRPr="00757919">
        <w:rPr>
          <w:rFonts w:ascii="Times New Roman" w:eastAsia="Arial" w:hAnsi="Times New Roman"/>
          <w:sz w:val="24"/>
          <w:szCs w:val="24"/>
        </w:rPr>
        <w:t xml:space="preserve">the </w:t>
      </w:r>
      <w:r w:rsidR="00725270">
        <w:rPr>
          <w:rFonts w:ascii="Times New Roman" w:eastAsia="Arial" w:hAnsi="Times New Roman"/>
          <w:sz w:val="24"/>
          <w:szCs w:val="24"/>
        </w:rPr>
        <w:t>predicted dosage</w:t>
      </w:r>
      <w:r w:rsidR="00791A20" w:rsidRPr="00757919">
        <w:rPr>
          <w:rFonts w:ascii="Times New Roman" w:eastAsia="Arial" w:hAnsi="Times New Roman"/>
          <w:sz w:val="24"/>
          <w:szCs w:val="24"/>
        </w:rPr>
        <w:t xml:space="preserve"> of the alternat</w:t>
      </w:r>
      <w:r w:rsidR="00BF721E">
        <w:rPr>
          <w:rFonts w:ascii="Times New Roman" w:eastAsia="Arial" w:hAnsi="Times New Roman"/>
          <w:sz w:val="24"/>
          <w:szCs w:val="24"/>
        </w:rPr>
        <w:t>ive</w:t>
      </w:r>
      <w:r w:rsidR="00791A20" w:rsidRPr="00757919">
        <w:rPr>
          <w:rFonts w:ascii="Times New Roman" w:eastAsia="Arial" w:hAnsi="Times New Roman"/>
          <w:sz w:val="24"/>
          <w:szCs w:val="24"/>
        </w:rPr>
        <w:t xml:space="preserve"> allele</w:t>
      </w:r>
      <w:r w:rsidR="008D3C60" w:rsidRPr="00757919">
        <w:rPr>
          <w:rFonts w:ascii="Times New Roman" w:eastAsia="Arial" w:hAnsi="Times New Roman"/>
          <w:sz w:val="24"/>
          <w:szCs w:val="24"/>
        </w:rPr>
        <w:t xml:space="preserve">. </w:t>
      </w:r>
    </w:p>
    <w:p w14:paraId="72FB4E29" w14:textId="606755E9" w:rsidR="006E15E8" w:rsidRPr="002C2316" w:rsidRDefault="006E15E8" w:rsidP="002C2316">
      <w:pPr>
        <w:pStyle w:val="ColorfulShading-Accent31"/>
        <w:spacing w:after="0" w:line="480" w:lineRule="auto"/>
        <w:ind w:left="0"/>
        <w:contextualSpacing w:val="0"/>
        <w:rPr>
          <w:rFonts w:ascii="Times New Roman" w:eastAsia="Arial" w:hAnsi="Times New Roman"/>
          <w:i/>
          <w:sz w:val="24"/>
          <w:szCs w:val="24"/>
        </w:rPr>
      </w:pPr>
      <w:r w:rsidRPr="002C2316">
        <w:rPr>
          <w:rFonts w:ascii="Times New Roman" w:eastAsia="Arial" w:hAnsi="Times New Roman"/>
          <w:i/>
          <w:sz w:val="24"/>
          <w:szCs w:val="24"/>
        </w:rPr>
        <w:t>Medication assessment</w:t>
      </w:r>
    </w:p>
    <w:p w14:paraId="749EAB6E" w14:textId="056C4C1B" w:rsidR="00B9622D" w:rsidRDefault="006E15E8" w:rsidP="002C2316">
      <w:pPr>
        <w:pStyle w:val="ColorfulShading-Accent31"/>
        <w:spacing w:after="0" w:line="480" w:lineRule="auto"/>
        <w:ind w:left="0" w:firstLine="720"/>
        <w:contextualSpacing w:val="0"/>
        <w:rPr>
          <w:rFonts w:ascii="Times New Roman" w:eastAsia="Times New Roman" w:hAnsi="Times New Roman"/>
          <w:color w:val="1C1D1E"/>
          <w:sz w:val="24"/>
          <w:szCs w:val="24"/>
          <w:lang w:val="en"/>
        </w:rPr>
      </w:pPr>
      <w:r>
        <w:rPr>
          <w:rFonts w:ascii="Times New Roman" w:hAnsi="Times New Roman"/>
          <w:sz w:val="24"/>
          <w:szCs w:val="24"/>
        </w:rPr>
        <w:t xml:space="preserve">Medication </w:t>
      </w:r>
      <w:r w:rsidR="008F760C" w:rsidRPr="00757919">
        <w:rPr>
          <w:rFonts w:ascii="Times New Roman" w:hAnsi="Times New Roman"/>
          <w:sz w:val="24"/>
          <w:szCs w:val="24"/>
        </w:rPr>
        <w:t>usage</w:t>
      </w:r>
      <w:r w:rsidR="00F36ABE">
        <w:rPr>
          <w:rFonts w:ascii="Times New Roman" w:hAnsi="Times New Roman"/>
          <w:sz w:val="24"/>
          <w:szCs w:val="24"/>
        </w:rPr>
        <w:t>,</w:t>
      </w:r>
      <w:r w:rsidR="008F760C" w:rsidRPr="00757919">
        <w:rPr>
          <w:rFonts w:ascii="Times New Roman" w:hAnsi="Times New Roman"/>
          <w:sz w:val="24"/>
          <w:szCs w:val="24"/>
        </w:rPr>
        <w:t xml:space="preserve"> </w:t>
      </w:r>
      <w:r w:rsidR="00F36ABE">
        <w:rPr>
          <w:rFonts w:ascii="Times New Roman" w:hAnsi="Times New Roman"/>
          <w:sz w:val="24"/>
          <w:szCs w:val="24"/>
        </w:rPr>
        <w:t xml:space="preserve">including </w:t>
      </w:r>
      <w:r w:rsidR="00F36ABE">
        <w:rPr>
          <w:rFonts w:ascii="Times New Roman" w:eastAsia="Arial" w:hAnsi="Times New Roman"/>
          <w:sz w:val="24"/>
          <w:szCs w:val="24"/>
        </w:rPr>
        <w:t xml:space="preserve">oral </w:t>
      </w:r>
      <w:r w:rsidR="00F36ABE" w:rsidRPr="00757919">
        <w:rPr>
          <w:rFonts w:ascii="Times New Roman" w:hAnsi="Times New Roman"/>
          <w:sz w:val="24"/>
          <w:szCs w:val="24"/>
        </w:rPr>
        <w:t xml:space="preserve">BB </w:t>
      </w:r>
      <w:r w:rsidR="00F36ABE">
        <w:rPr>
          <w:rFonts w:ascii="Times New Roman" w:hAnsi="Times New Roman"/>
          <w:sz w:val="24"/>
          <w:szCs w:val="24"/>
        </w:rPr>
        <w:t xml:space="preserve">use as the primary exposure and other medications related to bone in sensitivity analyses, </w:t>
      </w:r>
      <w:r w:rsidR="008F760C" w:rsidRPr="00757919">
        <w:rPr>
          <w:rFonts w:ascii="Times New Roman" w:hAnsi="Times New Roman"/>
          <w:sz w:val="24"/>
          <w:szCs w:val="24"/>
        </w:rPr>
        <w:t>was measured using a medication questionnaire in which the medication name, strength, route, and frequency (day/week/month/year) were recorded by directly viewing the medication bottle during the exam 8 (2005-2008) visit</w:t>
      </w:r>
      <w:r>
        <w:rPr>
          <w:rFonts w:ascii="Times New Roman" w:hAnsi="Times New Roman"/>
          <w:sz w:val="24"/>
          <w:szCs w:val="24"/>
        </w:rPr>
        <w:t>,</w:t>
      </w:r>
      <w:r w:rsidR="00F36ABE">
        <w:rPr>
          <w:rFonts w:ascii="Times New Roman" w:hAnsi="Times New Roman"/>
          <w:sz w:val="24"/>
          <w:szCs w:val="24"/>
        </w:rPr>
        <w:t xml:space="preserve"> </w:t>
      </w:r>
      <w:r>
        <w:rPr>
          <w:rFonts w:ascii="Times New Roman" w:hAnsi="Times New Roman"/>
          <w:sz w:val="24"/>
          <w:szCs w:val="24"/>
        </w:rPr>
        <w:t>excluding PRN use</w:t>
      </w:r>
      <w:r w:rsidR="00B9622D">
        <w:rPr>
          <w:rFonts w:ascii="Times New Roman" w:hAnsi="Times New Roman"/>
          <w:sz w:val="24"/>
          <w:szCs w:val="24"/>
        </w:rPr>
        <w:t>.</w:t>
      </w:r>
      <w:r w:rsidR="008F760C" w:rsidRPr="00757919">
        <w:rPr>
          <w:rFonts w:ascii="Times New Roman" w:hAnsi="Times New Roman"/>
          <w:sz w:val="24"/>
          <w:szCs w:val="24"/>
        </w:rPr>
        <w:t xml:space="preserve"> </w:t>
      </w:r>
      <w:r>
        <w:rPr>
          <w:rFonts w:ascii="Times New Roman" w:hAnsi="Times New Roman"/>
          <w:color w:val="000000"/>
          <w:sz w:val="24"/>
          <w:szCs w:val="24"/>
        </w:rPr>
        <w:t>We categorized BB users as</w:t>
      </w:r>
      <w:r w:rsidRPr="002C2316">
        <w:rPr>
          <w:rFonts w:ascii="Symbol" w:hAnsi="Symbol"/>
          <w:color w:val="000000"/>
          <w:sz w:val="24"/>
          <w:szCs w:val="24"/>
        </w:rPr>
        <w:t></w:t>
      </w:r>
      <w:r w:rsidR="00E206A6" w:rsidRPr="002C2316">
        <w:rPr>
          <w:rFonts w:ascii="Symbol" w:hAnsi="Symbol"/>
          <w:color w:val="000000"/>
          <w:sz w:val="24"/>
          <w:szCs w:val="24"/>
        </w:rPr>
        <w:t></w:t>
      </w:r>
      <w:r w:rsidRPr="002C2316">
        <w:rPr>
          <w:rFonts w:ascii="Symbol" w:hAnsi="Symbol"/>
          <w:color w:val="000000"/>
          <w:sz w:val="24"/>
          <w:szCs w:val="24"/>
        </w:rPr>
        <w:t></w:t>
      </w:r>
      <w:r w:rsidR="00E206A6">
        <w:rPr>
          <w:rFonts w:ascii="Times New Roman" w:hAnsi="Times New Roman"/>
          <w:color w:val="000000"/>
          <w:sz w:val="24"/>
          <w:szCs w:val="24"/>
        </w:rPr>
        <w:t>-</w:t>
      </w:r>
      <w:r>
        <w:rPr>
          <w:rFonts w:ascii="Times New Roman" w:hAnsi="Times New Roman"/>
          <w:color w:val="000000"/>
          <w:sz w:val="24"/>
          <w:szCs w:val="24"/>
        </w:rPr>
        <w:t xml:space="preserve">selective for the </w:t>
      </w:r>
      <w:r w:rsidRPr="00F17DB2">
        <w:rPr>
          <w:rFonts w:ascii="Times New Roman" w:hAnsi="Times New Roman"/>
          <w:color w:val="000000"/>
          <w:sz w:val="24"/>
          <w:szCs w:val="24"/>
        </w:rPr>
        <w:t>chemical group “</w:t>
      </w:r>
      <w:r w:rsidRPr="00F17DB2">
        <w:rPr>
          <w:rFonts w:ascii="Times New Roman" w:hAnsi="Times New Roman"/>
          <w:color w:val="000000"/>
          <w:sz w:val="24"/>
          <w:szCs w:val="24"/>
          <w:bdr w:val="none" w:sz="0" w:space="0" w:color="auto" w:frame="1"/>
        </w:rPr>
        <w:t xml:space="preserve">Beta blocking agents, selective” and </w:t>
      </w:r>
      <w:r>
        <w:rPr>
          <w:rFonts w:ascii="Times New Roman" w:hAnsi="Times New Roman"/>
          <w:color w:val="000000"/>
          <w:sz w:val="24"/>
          <w:szCs w:val="24"/>
          <w:bdr w:val="none" w:sz="0" w:space="0" w:color="auto" w:frame="1"/>
        </w:rPr>
        <w:t>as “</w:t>
      </w:r>
      <w:r w:rsidRPr="00F17DB2">
        <w:rPr>
          <w:rFonts w:ascii="Times New Roman" w:hAnsi="Times New Roman"/>
          <w:color w:val="000000"/>
          <w:sz w:val="24"/>
          <w:szCs w:val="24"/>
          <w:bdr w:val="none" w:sz="0" w:space="0" w:color="auto" w:frame="1"/>
        </w:rPr>
        <w:t>non-selective</w:t>
      </w:r>
      <w:r>
        <w:rPr>
          <w:rFonts w:ascii="Times New Roman" w:hAnsi="Times New Roman"/>
          <w:color w:val="000000"/>
          <w:sz w:val="24"/>
          <w:szCs w:val="24"/>
          <w:bdr w:val="none" w:sz="0" w:space="0" w:color="auto" w:frame="1"/>
        </w:rPr>
        <w:t>”</w:t>
      </w:r>
      <w:r w:rsidRPr="00F17DB2">
        <w:rPr>
          <w:rFonts w:ascii="Times New Roman" w:hAnsi="Times New Roman"/>
          <w:color w:val="000000"/>
          <w:sz w:val="24"/>
          <w:szCs w:val="24"/>
          <w:bdr w:val="none" w:sz="0" w:space="0" w:color="auto" w:frame="1"/>
        </w:rPr>
        <w:t xml:space="preserve"> </w:t>
      </w:r>
      <w:r>
        <w:rPr>
          <w:rFonts w:ascii="Times New Roman" w:hAnsi="Times New Roman"/>
          <w:color w:val="000000"/>
          <w:sz w:val="24"/>
          <w:szCs w:val="24"/>
          <w:bdr w:val="none" w:sz="0" w:space="0" w:color="auto" w:frame="1"/>
        </w:rPr>
        <w:t xml:space="preserve">for the chemical groups </w:t>
      </w:r>
      <w:r w:rsidRPr="00F17DB2">
        <w:rPr>
          <w:rFonts w:ascii="Times New Roman" w:hAnsi="Times New Roman"/>
          <w:color w:val="000000"/>
          <w:sz w:val="24"/>
          <w:szCs w:val="24"/>
          <w:bdr w:val="none" w:sz="0" w:space="0" w:color="auto" w:frame="1"/>
        </w:rPr>
        <w:t>“</w:t>
      </w:r>
      <w:r>
        <w:rPr>
          <w:rFonts w:ascii="Times New Roman" w:hAnsi="Times New Roman"/>
          <w:color w:val="000000"/>
          <w:sz w:val="24"/>
          <w:szCs w:val="24"/>
          <w:bdr w:val="none" w:sz="0" w:space="0" w:color="auto" w:frame="1"/>
        </w:rPr>
        <w:t>Beta blocking agents, non</w:t>
      </w:r>
      <w:r w:rsidRPr="00F17DB2">
        <w:rPr>
          <w:rFonts w:ascii="Times New Roman" w:hAnsi="Times New Roman"/>
          <w:color w:val="000000"/>
          <w:sz w:val="24"/>
          <w:szCs w:val="24"/>
          <w:bdr w:val="none" w:sz="0" w:space="0" w:color="auto" w:frame="1"/>
        </w:rPr>
        <w:t>-selective” or “Alpha and beta blocking agents</w:t>
      </w:r>
      <w:r w:rsidR="00B9622D">
        <w:rPr>
          <w:rFonts w:ascii="Times New Roman" w:hAnsi="Times New Roman"/>
          <w:color w:val="000000"/>
          <w:sz w:val="24"/>
          <w:szCs w:val="24"/>
          <w:bdr w:val="none" w:sz="0" w:space="0" w:color="auto" w:frame="1"/>
        </w:rPr>
        <w:t xml:space="preserve">”. </w:t>
      </w:r>
      <w:r>
        <w:rPr>
          <w:rFonts w:ascii="Times New Roman" w:hAnsi="Times New Roman"/>
          <w:color w:val="000000"/>
          <w:sz w:val="24"/>
          <w:szCs w:val="24"/>
          <w:bdr w:val="none" w:sz="0" w:space="0" w:color="auto" w:frame="1"/>
        </w:rPr>
        <w:t xml:space="preserve">We computed </w:t>
      </w:r>
      <w:r w:rsidR="00B9622D">
        <w:rPr>
          <w:rFonts w:ascii="Times New Roman" w:hAnsi="Times New Roman"/>
          <w:color w:val="000000"/>
          <w:sz w:val="24"/>
          <w:szCs w:val="24"/>
          <w:bdr w:val="none" w:sz="0" w:space="0" w:color="auto" w:frame="1"/>
        </w:rPr>
        <w:t xml:space="preserve">BB </w:t>
      </w:r>
      <w:r>
        <w:rPr>
          <w:rFonts w:ascii="Times New Roman" w:hAnsi="Times New Roman"/>
          <w:color w:val="000000"/>
          <w:sz w:val="24"/>
          <w:szCs w:val="24"/>
          <w:bdr w:val="none" w:sz="0" w:space="0" w:color="auto" w:frame="1"/>
        </w:rPr>
        <w:t xml:space="preserve">daily dose for each patient and for each drug by converting the strength and frequency to a daily dose. </w:t>
      </w:r>
      <w:r>
        <w:rPr>
          <w:rFonts w:ascii="Times New Roman" w:eastAsia="Times New Roman" w:hAnsi="Times New Roman"/>
          <w:color w:val="1C1D1E"/>
          <w:sz w:val="24"/>
          <w:szCs w:val="24"/>
          <w:lang w:val="en"/>
        </w:rPr>
        <w:t>We divided this calculated daily dose by the WHO-determined</w:t>
      </w:r>
      <w:r w:rsidR="00D07DD5">
        <w:rPr>
          <w:rFonts w:ascii="Times New Roman" w:eastAsia="Times New Roman" w:hAnsi="Times New Roman"/>
          <w:color w:val="1C1D1E"/>
          <w:sz w:val="24"/>
          <w:szCs w:val="24"/>
          <w:lang w:val="en"/>
        </w:rPr>
        <w:t xml:space="preserve"> defined daily dose (</w:t>
      </w:r>
      <w:r>
        <w:rPr>
          <w:rFonts w:ascii="Times New Roman" w:eastAsia="Times New Roman" w:hAnsi="Times New Roman"/>
          <w:color w:val="1C1D1E"/>
          <w:sz w:val="24"/>
          <w:szCs w:val="24"/>
          <w:lang w:val="en"/>
        </w:rPr>
        <w:t>DDD</w:t>
      </w:r>
      <w:r w:rsidR="00D07DD5">
        <w:rPr>
          <w:rFonts w:ascii="Times New Roman" w:eastAsia="Times New Roman" w:hAnsi="Times New Roman"/>
          <w:color w:val="1C1D1E"/>
          <w:sz w:val="24"/>
          <w:szCs w:val="24"/>
          <w:lang w:val="en"/>
        </w:rPr>
        <w:t>)</w:t>
      </w:r>
      <w:r w:rsidR="00292686">
        <w:rPr>
          <w:rFonts w:ascii="Times New Roman" w:eastAsia="Times New Roman" w:hAnsi="Times New Roman"/>
          <w:color w:val="1C1D1E"/>
          <w:sz w:val="24"/>
          <w:szCs w:val="24"/>
          <w:lang w:val="en"/>
        </w:rPr>
        <w:fldChar w:fldCharType="begin"/>
      </w:r>
      <w:r w:rsidR="00A568A5">
        <w:rPr>
          <w:rFonts w:ascii="Times New Roman" w:eastAsia="Times New Roman" w:hAnsi="Times New Roman"/>
          <w:color w:val="1C1D1E"/>
          <w:sz w:val="24"/>
          <w:szCs w:val="24"/>
          <w:lang w:val="en"/>
        </w:rPr>
        <w:instrText xml:space="preserve"> ADDIN ZOTERO_ITEM CSL_CITATION {"citationID":"J3DZe54s","properties":{"formattedCitation":"\\super 58\\nosupersub{}","plainCitation":"58","noteIndex":0},"citationItems":[{"id":1689,"uris":["http://zotero.org/users/3223062/items/UGPXPBVE"],"uri":["http://zotero.org/users/3223062/items/UGPXPBVE"],"itemData":{"id":1689,"type":"article-journal","title":"WHO Collaborating Centre for Drug Statistics Methodology ATC/DDD Index. Norwegian Institute of Public Health. 2018."}}],"schema":"https://github.com/citation-style-language/schema/raw/master/csl-citation.json"} </w:instrText>
      </w:r>
      <w:r w:rsidR="00292686">
        <w:rPr>
          <w:rFonts w:ascii="Times New Roman" w:eastAsia="Times New Roman" w:hAnsi="Times New Roman"/>
          <w:color w:val="1C1D1E"/>
          <w:sz w:val="24"/>
          <w:szCs w:val="24"/>
          <w:lang w:val="en"/>
        </w:rPr>
        <w:fldChar w:fldCharType="separate"/>
      </w:r>
      <w:r w:rsidR="00A568A5" w:rsidRPr="00A568A5">
        <w:rPr>
          <w:rFonts w:ascii="Times New Roman" w:hAnsi="Times New Roman"/>
          <w:sz w:val="24"/>
          <w:szCs w:val="24"/>
          <w:vertAlign w:val="superscript"/>
        </w:rPr>
        <w:t>58</w:t>
      </w:r>
      <w:r w:rsidR="00292686">
        <w:rPr>
          <w:rFonts w:ascii="Times New Roman" w:eastAsia="Times New Roman" w:hAnsi="Times New Roman"/>
          <w:color w:val="1C1D1E"/>
          <w:sz w:val="24"/>
          <w:szCs w:val="24"/>
          <w:lang w:val="en"/>
        </w:rPr>
        <w:fldChar w:fldCharType="end"/>
      </w:r>
      <w:r>
        <w:rPr>
          <w:rFonts w:ascii="Times New Roman" w:eastAsia="Times New Roman" w:hAnsi="Times New Roman"/>
          <w:color w:val="1C1D1E"/>
          <w:sz w:val="24"/>
          <w:szCs w:val="24"/>
          <w:lang w:val="en"/>
        </w:rPr>
        <w:t xml:space="preserve"> to get a standardized dose in units of DDD for that drug. </w:t>
      </w:r>
    </w:p>
    <w:p w14:paraId="2B885EDB" w14:textId="393C2B0D" w:rsidR="00766A2C" w:rsidRPr="002C2316" w:rsidRDefault="00766A2C" w:rsidP="002C2316">
      <w:pPr>
        <w:spacing w:line="48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We additionally recorded use of other bone-related medications for sensitivity analyses examining confounding by these variables. </w:t>
      </w:r>
      <w:r w:rsidRPr="000F7F86">
        <w:rPr>
          <w:rFonts w:ascii="Times New Roman" w:eastAsia="Arial" w:hAnsi="Times New Roman" w:cs="Times New Roman"/>
          <w:sz w:val="24"/>
          <w:szCs w:val="24"/>
        </w:rPr>
        <w:t>Medications for therapy group “bone diseases” or with chemical name “raloxifene” were considered bone disease drugs.</w:t>
      </w:r>
      <w:r w:rsidR="003F2218">
        <w:rPr>
          <w:rFonts w:ascii="Times New Roman" w:eastAsia="Arial" w:hAnsi="Times New Roman" w:cs="Times New Roman"/>
          <w:sz w:val="24"/>
          <w:szCs w:val="24"/>
        </w:rPr>
        <w:t xml:space="preserve"> The </w:t>
      </w:r>
      <w:r w:rsidR="00FE7FC8">
        <w:rPr>
          <w:rFonts w:ascii="Times New Roman" w:eastAsia="Arial" w:hAnsi="Times New Roman" w:cs="Times New Roman"/>
          <w:sz w:val="24"/>
          <w:szCs w:val="24"/>
        </w:rPr>
        <w:t>chemical names for the therapy group bone disease</w:t>
      </w:r>
      <w:r w:rsidR="003C0D31">
        <w:rPr>
          <w:rFonts w:ascii="Times New Roman" w:eastAsia="Arial" w:hAnsi="Times New Roman" w:cs="Times New Roman"/>
          <w:sz w:val="24"/>
          <w:szCs w:val="24"/>
        </w:rPr>
        <w:t>s</w:t>
      </w:r>
      <w:r w:rsidR="00FE7FC8">
        <w:rPr>
          <w:rFonts w:ascii="Times New Roman" w:eastAsia="Arial" w:hAnsi="Times New Roman" w:cs="Times New Roman"/>
          <w:sz w:val="24"/>
          <w:szCs w:val="24"/>
        </w:rPr>
        <w:t xml:space="preserve"> consisted mostly of </w:t>
      </w:r>
      <w:proofErr w:type="spellStart"/>
      <w:r w:rsidR="00FE7FC8">
        <w:rPr>
          <w:rFonts w:ascii="Times New Roman" w:eastAsia="Arial" w:hAnsi="Times New Roman" w:cs="Times New Roman"/>
          <w:sz w:val="24"/>
          <w:szCs w:val="24"/>
        </w:rPr>
        <w:t>alendronic</w:t>
      </w:r>
      <w:proofErr w:type="spellEnd"/>
      <w:r w:rsidR="00FE7FC8">
        <w:rPr>
          <w:rFonts w:ascii="Times New Roman" w:eastAsia="Arial" w:hAnsi="Times New Roman" w:cs="Times New Roman"/>
          <w:sz w:val="24"/>
          <w:szCs w:val="24"/>
        </w:rPr>
        <w:t xml:space="preserve"> acid and </w:t>
      </w:r>
      <w:proofErr w:type="spellStart"/>
      <w:r w:rsidR="00FE7FC8">
        <w:rPr>
          <w:rFonts w:ascii="Times New Roman" w:eastAsia="Arial" w:hAnsi="Times New Roman" w:cs="Times New Roman"/>
          <w:sz w:val="24"/>
          <w:szCs w:val="24"/>
        </w:rPr>
        <w:t>risedronic</w:t>
      </w:r>
      <w:proofErr w:type="spellEnd"/>
      <w:r w:rsidR="00FE7FC8">
        <w:rPr>
          <w:rFonts w:ascii="Times New Roman" w:eastAsia="Arial" w:hAnsi="Times New Roman" w:cs="Times New Roman"/>
          <w:sz w:val="24"/>
          <w:szCs w:val="24"/>
        </w:rPr>
        <w:t xml:space="preserve"> acid with </w:t>
      </w:r>
      <w:proofErr w:type="spellStart"/>
      <w:r w:rsidR="00FE7FC8">
        <w:rPr>
          <w:rFonts w:ascii="Times New Roman" w:eastAsia="Arial" w:hAnsi="Times New Roman" w:cs="Times New Roman"/>
          <w:sz w:val="24"/>
          <w:szCs w:val="24"/>
        </w:rPr>
        <w:t>etidronic</w:t>
      </w:r>
      <w:proofErr w:type="spellEnd"/>
      <w:r w:rsidR="00FE7FC8">
        <w:rPr>
          <w:rFonts w:ascii="Times New Roman" w:eastAsia="Arial" w:hAnsi="Times New Roman" w:cs="Times New Roman"/>
          <w:sz w:val="24"/>
          <w:szCs w:val="24"/>
        </w:rPr>
        <w:t xml:space="preserve"> acid, </w:t>
      </w:r>
      <w:proofErr w:type="spellStart"/>
      <w:r w:rsidR="00FE7FC8">
        <w:rPr>
          <w:rFonts w:ascii="Times New Roman" w:eastAsia="Arial" w:hAnsi="Times New Roman" w:cs="Times New Roman"/>
          <w:sz w:val="24"/>
          <w:szCs w:val="24"/>
        </w:rPr>
        <w:t>ibandronic</w:t>
      </w:r>
      <w:proofErr w:type="spellEnd"/>
      <w:r w:rsidR="00FE7FC8">
        <w:rPr>
          <w:rFonts w:ascii="Times New Roman" w:eastAsia="Arial" w:hAnsi="Times New Roman" w:cs="Times New Roman"/>
          <w:sz w:val="24"/>
          <w:szCs w:val="24"/>
        </w:rPr>
        <w:t xml:space="preserve"> acid, </w:t>
      </w:r>
      <w:proofErr w:type="spellStart"/>
      <w:r w:rsidR="00C357E5">
        <w:rPr>
          <w:rFonts w:ascii="Times New Roman" w:eastAsia="Arial" w:hAnsi="Times New Roman" w:cs="Times New Roman"/>
          <w:sz w:val="24"/>
          <w:szCs w:val="24"/>
        </w:rPr>
        <w:t>ipriflavone</w:t>
      </w:r>
      <w:proofErr w:type="spellEnd"/>
      <w:r w:rsidR="00C357E5">
        <w:rPr>
          <w:rFonts w:ascii="Times New Roman" w:eastAsia="Arial" w:hAnsi="Times New Roman" w:cs="Times New Roman"/>
          <w:sz w:val="24"/>
          <w:szCs w:val="24"/>
        </w:rPr>
        <w:t xml:space="preserve">, </w:t>
      </w:r>
      <w:proofErr w:type="spellStart"/>
      <w:r w:rsidR="00FE7FC8">
        <w:rPr>
          <w:rFonts w:ascii="Times New Roman" w:eastAsia="Arial" w:hAnsi="Times New Roman" w:cs="Times New Roman"/>
          <w:sz w:val="24"/>
          <w:szCs w:val="24"/>
        </w:rPr>
        <w:t>pamidronic</w:t>
      </w:r>
      <w:proofErr w:type="spellEnd"/>
      <w:r w:rsidR="00FE7FC8">
        <w:rPr>
          <w:rFonts w:ascii="Times New Roman" w:eastAsia="Arial" w:hAnsi="Times New Roman" w:cs="Times New Roman"/>
          <w:sz w:val="24"/>
          <w:szCs w:val="24"/>
        </w:rPr>
        <w:t xml:space="preserve"> acid, and zoledronic acid also included. </w:t>
      </w:r>
      <w:r w:rsidR="001E5E95">
        <w:rPr>
          <w:rFonts w:ascii="Times New Roman" w:eastAsia="Arial" w:hAnsi="Times New Roman" w:cs="Times New Roman"/>
          <w:sz w:val="24"/>
          <w:szCs w:val="24"/>
        </w:rPr>
        <w:t>We also noted oral steroid use</w:t>
      </w:r>
      <w:r w:rsidRPr="00687778">
        <w:rPr>
          <w:rFonts w:ascii="Times New Roman" w:eastAsia="Arial" w:hAnsi="Times New Roman" w:cs="Times New Roman"/>
          <w:sz w:val="24"/>
          <w:szCs w:val="24"/>
        </w:rPr>
        <w:t xml:space="preserve"> </w:t>
      </w:r>
      <w:r>
        <w:rPr>
          <w:rFonts w:ascii="Times New Roman" w:eastAsia="Arial" w:hAnsi="Times New Roman" w:cs="Times New Roman"/>
          <w:sz w:val="24"/>
          <w:szCs w:val="24"/>
        </w:rPr>
        <w:t>(including c</w:t>
      </w:r>
      <w:r w:rsidRPr="000F7F86">
        <w:rPr>
          <w:rFonts w:ascii="Times New Roman" w:eastAsia="Arial" w:hAnsi="Times New Roman" w:cs="Times New Roman"/>
          <w:sz w:val="24"/>
          <w:szCs w:val="24"/>
        </w:rPr>
        <w:t>hemical group</w:t>
      </w:r>
      <w:r w:rsidR="001E5E95">
        <w:rPr>
          <w:rFonts w:ascii="Times New Roman" w:eastAsia="Arial" w:hAnsi="Times New Roman" w:cs="Times New Roman"/>
          <w:sz w:val="24"/>
          <w:szCs w:val="24"/>
        </w:rPr>
        <w:t>s</w:t>
      </w:r>
      <w:r w:rsidRPr="000F7F86">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0F7F86">
        <w:rPr>
          <w:rFonts w:ascii="Times New Roman" w:eastAsia="Arial" w:hAnsi="Times New Roman" w:cs="Times New Roman"/>
          <w:sz w:val="24"/>
          <w:szCs w:val="24"/>
        </w:rPr>
        <w:t>corticosteroids</w:t>
      </w:r>
      <w:r>
        <w:rPr>
          <w:rFonts w:ascii="Times New Roman" w:eastAsia="Arial" w:hAnsi="Times New Roman" w:cs="Times New Roman"/>
          <w:sz w:val="24"/>
          <w:szCs w:val="24"/>
        </w:rPr>
        <w:t>”</w:t>
      </w:r>
      <w:r w:rsidRPr="000F7F86">
        <w:rPr>
          <w:rFonts w:ascii="Times New Roman" w:eastAsia="Arial" w:hAnsi="Times New Roman" w:cs="Times New Roman"/>
          <w:sz w:val="24"/>
          <w:szCs w:val="24"/>
        </w:rPr>
        <w:t xml:space="preserve"> and </w:t>
      </w:r>
      <w:r>
        <w:rPr>
          <w:rFonts w:ascii="Times New Roman" w:eastAsia="Arial" w:hAnsi="Times New Roman" w:cs="Times New Roman"/>
          <w:sz w:val="24"/>
          <w:szCs w:val="24"/>
        </w:rPr>
        <w:t>“</w:t>
      </w:r>
      <w:r w:rsidRPr="000F7F86">
        <w:rPr>
          <w:rFonts w:ascii="Times New Roman" w:eastAsia="Arial" w:hAnsi="Times New Roman" w:cs="Times New Roman"/>
          <w:sz w:val="24"/>
          <w:szCs w:val="24"/>
        </w:rPr>
        <w:t>glucocorticoids</w:t>
      </w:r>
      <w:r w:rsidR="001E5E95">
        <w:rPr>
          <w:rFonts w:ascii="Times New Roman" w:eastAsia="Arial" w:hAnsi="Times New Roman" w:cs="Times New Roman"/>
          <w:sz w:val="24"/>
          <w:szCs w:val="24"/>
        </w:rPr>
        <w:t>”).</w:t>
      </w:r>
      <w:r>
        <w:rPr>
          <w:rFonts w:ascii="Times New Roman" w:eastAsia="Arial" w:hAnsi="Times New Roman" w:cs="Times New Roman"/>
          <w:sz w:val="24"/>
          <w:szCs w:val="24"/>
        </w:rPr>
        <w:t xml:space="preserve"> Treatment for hypertension, lipids, or diabetes was recorded as part of the exam 8 visit. Prior cardiovascular disease (CVD) was determined from </w:t>
      </w:r>
      <w:r w:rsidR="001E5E95">
        <w:rPr>
          <w:rFonts w:ascii="Times New Roman" w:eastAsia="Arial" w:hAnsi="Times New Roman" w:cs="Times New Roman"/>
          <w:sz w:val="24"/>
          <w:szCs w:val="24"/>
        </w:rPr>
        <w:t>an adjudicated file of cardiovascular events</w:t>
      </w:r>
      <w:r>
        <w:rPr>
          <w:rFonts w:ascii="Times New Roman" w:eastAsia="Arial" w:hAnsi="Times New Roman" w:cs="Times New Roman"/>
          <w:sz w:val="24"/>
          <w:szCs w:val="24"/>
        </w:rPr>
        <w:t xml:space="preserve"> recorded prior to exam 8.</w:t>
      </w:r>
    </w:p>
    <w:p w14:paraId="498414D7" w14:textId="2873916C" w:rsidR="008F760C" w:rsidRPr="002C2316" w:rsidRDefault="008F760C" w:rsidP="002C2316">
      <w:pPr>
        <w:pStyle w:val="ColorfulShading-Accent31"/>
        <w:spacing w:after="0" w:line="480" w:lineRule="auto"/>
        <w:ind w:left="0" w:firstLine="720"/>
        <w:contextualSpacing w:val="0"/>
        <w:rPr>
          <w:rFonts w:ascii="Times New Roman" w:hAnsi="Times New Roman"/>
          <w:color w:val="000000"/>
          <w:sz w:val="24"/>
          <w:szCs w:val="24"/>
          <w:bdr w:val="none" w:sz="0" w:space="0" w:color="auto" w:frame="1"/>
        </w:rPr>
      </w:pPr>
      <w:r w:rsidRPr="00757919">
        <w:rPr>
          <w:rFonts w:ascii="Times New Roman" w:hAnsi="Times New Roman"/>
          <w:sz w:val="24"/>
          <w:szCs w:val="24"/>
        </w:rPr>
        <w:t xml:space="preserve">All participants provided informed consent, and the examination protocols were approved by the Boston University Medical Center Institutional Review Board and the Hebrew </w:t>
      </w:r>
      <w:proofErr w:type="spellStart"/>
      <w:r w:rsidRPr="00757919">
        <w:rPr>
          <w:rFonts w:ascii="Times New Roman" w:hAnsi="Times New Roman"/>
          <w:sz w:val="24"/>
          <w:szCs w:val="24"/>
        </w:rPr>
        <w:t>SeniorLife</w:t>
      </w:r>
      <w:proofErr w:type="spellEnd"/>
      <w:r w:rsidRPr="00757919">
        <w:rPr>
          <w:rFonts w:ascii="Times New Roman" w:hAnsi="Times New Roman"/>
          <w:sz w:val="24"/>
          <w:szCs w:val="24"/>
        </w:rPr>
        <w:t xml:space="preserve"> Institutional Review Board. </w:t>
      </w:r>
    </w:p>
    <w:p w14:paraId="6B2069A6" w14:textId="77777777" w:rsidR="002F586B" w:rsidRPr="00757919" w:rsidRDefault="002F586B" w:rsidP="00864F3F">
      <w:pPr>
        <w:spacing w:line="480" w:lineRule="auto"/>
        <w:rPr>
          <w:rFonts w:ascii="Times New Roman" w:hAnsi="Times New Roman" w:cs="Times New Roman"/>
          <w:i/>
          <w:sz w:val="24"/>
          <w:szCs w:val="24"/>
        </w:rPr>
      </w:pPr>
      <w:r w:rsidRPr="00757919">
        <w:rPr>
          <w:rFonts w:ascii="Times New Roman" w:hAnsi="Times New Roman" w:cs="Times New Roman"/>
          <w:i/>
          <w:sz w:val="24"/>
          <w:szCs w:val="24"/>
        </w:rPr>
        <w:t>miRNA expression profiling</w:t>
      </w:r>
    </w:p>
    <w:p w14:paraId="5581F492" w14:textId="4B80518E" w:rsidR="00FC4182" w:rsidRPr="00757919" w:rsidRDefault="004E02E8" w:rsidP="00864F3F">
      <w:pPr>
        <w:spacing w:line="480" w:lineRule="auto"/>
        <w:rPr>
          <w:rFonts w:ascii="Times New Roman" w:hAnsi="Times New Roman" w:cs="Times New Roman"/>
          <w:sz w:val="24"/>
          <w:szCs w:val="24"/>
        </w:rPr>
      </w:pPr>
      <w:r w:rsidRPr="00757919">
        <w:rPr>
          <w:rFonts w:ascii="Times New Roman" w:hAnsi="Times New Roman" w:cs="Times New Roman"/>
          <w:sz w:val="24"/>
          <w:szCs w:val="24"/>
        </w:rPr>
        <w:t xml:space="preserve">Whole blood from fasting morning samples was used for miRNA </w:t>
      </w:r>
      <w:proofErr w:type="gramStart"/>
      <w:r w:rsidRPr="00757919">
        <w:rPr>
          <w:rFonts w:ascii="Times New Roman" w:hAnsi="Times New Roman" w:cs="Times New Roman"/>
          <w:sz w:val="24"/>
          <w:szCs w:val="24"/>
        </w:rPr>
        <w:t>profiling</w:t>
      </w:r>
      <w:proofErr w:type="gramEnd"/>
      <w:r w:rsidRPr="00757919">
        <w:rPr>
          <w:rFonts w:ascii="Times New Roman" w:hAnsi="Times New Roman" w:cs="Times New Roman"/>
          <w:sz w:val="24"/>
          <w:szCs w:val="24"/>
        </w:rPr>
        <w:t xml:space="preserve"> which was obtained at exam 8, coincident with the BB use ascertainment</w:t>
      </w:r>
      <w:r w:rsidR="00817C8A" w:rsidRPr="00757919">
        <w:rPr>
          <w:rFonts w:ascii="Times New Roman" w:hAnsi="Times New Roman" w:cs="Times New Roman"/>
          <w:sz w:val="24"/>
          <w:szCs w:val="24"/>
        </w:rPr>
        <w:t>,</w:t>
      </w:r>
      <w:r w:rsidRPr="00757919">
        <w:rPr>
          <w:rFonts w:ascii="Times New Roman" w:hAnsi="Times New Roman" w:cs="Times New Roman"/>
          <w:sz w:val="24"/>
          <w:szCs w:val="24"/>
        </w:rPr>
        <w:t xml:space="preserve"> and just </w:t>
      </w:r>
      <w:r w:rsidR="00817C8A" w:rsidRPr="00757919">
        <w:rPr>
          <w:rFonts w:ascii="Times New Roman" w:hAnsi="Times New Roman" w:cs="Times New Roman"/>
          <w:sz w:val="24"/>
          <w:szCs w:val="24"/>
        </w:rPr>
        <w:t>before</w:t>
      </w:r>
      <w:r w:rsidRPr="00757919">
        <w:rPr>
          <w:rFonts w:ascii="Times New Roman" w:hAnsi="Times New Roman" w:cs="Times New Roman"/>
          <w:sz w:val="24"/>
          <w:szCs w:val="24"/>
        </w:rPr>
        <w:t xml:space="preserve"> BMD measurement and stored at -80</w:t>
      </w:r>
      <w:r w:rsidRPr="00757919">
        <w:rPr>
          <w:rFonts w:ascii="Times New Roman" w:hAnsi="Times New Roman" w:cs="Times New Roman"/>
          <w:sz w:val="24"/>
          <w:szCs w:val="24"/>
          <w:rtl/>
          <w:lang w:bidi="he-IL"/>
        </w:rPr>
        <w:t>°</w:t>
      </w:r>
      <w:r w:rsidRPr="00757919">
        <w:rPr>
          <w:rFonts w:ascii="Times New Roman" w:hAnsi="Times New Roman" w:cs="Times New Roman"/>
          <w:color w:val="131413"/>
          <w:sz w:val="24"/>
          <w:szCs w:val="24"/>
        </w:rPr>
        <w:t>C</w:t>
      </w:r>
      <w:r w:rsidRPr="00757919">
        <w:rPr>
          <w:rFonts w:ascii="Times New Roman" w:hAnsi="Times New Roman" w:cs="Times New Roman"/>
          <w:sz w:val="24"/>
          <w:szCs w:val="24"/>
        </w:rPr>
        <w:t>. Several studies have used this miRNA data in association with BMD, BB use, and other phenotypes</w:t>
      </w:r>
      <w:r w:rsidR="0079744D"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{"citationID":"NMUBXrSb","properties":{"formattedCitation":"\\super 31,35,59,60\\nosupersub{}","plainCitation":"31,35,59,60","noteIndex":0},"citationItems":[{"id":277,"uris":["http://zotero.org/users/3223062/items/64VSFIH9"],"uri":["http://zotero.org/users/3223062/items/64VSFIH9"],"itemData":{"id":277,"type":"article-journal","abstract":"Osteoporosis is a debilitating and costly disease that causes fractures in 33% of women and 20% of men over the age of 50 years. Recent studies have shown that beta blocker (BB) users have higher bone mineral density (BMD) and decreased risk of fracture compared to non-users. The mechanism underlying this association is thought to be due to suppression of adrenergic signaling in osteoblasts, which leads to increased BMD in rodent models; however the mechanism in humans is unknown. Also, several miRNAs are associated with adrenergic signaling and BMD in separate studies. To investigate potential miRNA mechanisms, we performed a cross-sectional analysis using clinical data, dual-energy X-ray absorptiometry (DXA) scans, and miRNA and mRNA profiling of whole blood from the Framingham Study's Offspring Cohort. We found nine miRNAs associated with BB use and increased BMD. In parallel network analyses we discovered a sub-network associated with BMD and BB use containing two of these nine miRNAs, miR-19a-3p and miR-186-5p. To strengthen this finding, we showed that these two miRNAs had significantly higher expression in individuals without incident fracture compared to those with fracture in an external data set. We also noted a similar trend in association between these miRNA and Z-score as calculated from heel ultrasound measures in two external cohorts (SOS-Hip and SHIP-TREND). Since miR-19a directly targets the ADRB1 mRNA transcript, we propose BB use may downregulate ADRB1 expression in osteoblasts through increased miR-19a-3p expression. We used enrichment analysis of miRNA targets to find potential indirect effects through insulin and parathyroid hormone signaling. This analysis provides a starting point for delineating the role of miRNA on the association between BB use and BMD. This article is protected by copyright. All rights reserved.","container-title":"Journal of Bone and Mineral Research","DOI":"10.1002/jbmr.4160","ISSN":"1523-4681","journalAbbreviation":"JBMR","note":"_eprint: https://asbmr.onlinelibrary.wiley.com/doi/pdf/10.1002/jbmr.4160","source":"Wiley Online Library","title":"miRNA Mechanisms Underlying the Association of Beta Blocker Use and Bone Mineral Density","URL":"https://asbmr.onlinelibrary.wiley.com/doi/abs/10.1002/jbmr.4160","author":[{"family":"Nevola","given":"Kathleen T."},{"family":"Kiel","given":"Douglas P."},{"family":"Zullo","given":"Andrew R."},{"family":"Weiss","given":"Stefan"},{"family":"Homuth","given":"Georg"},{"family":"Foessl","given":"Ines"},{"family":"Obermayer-Pietsch","given":"Barbara"},{"family":"Motyl","given":"Katherine J."},{"family":"Lary","given":"Christine W."}],"accessed":{"date-parts":[["2020",9,3]]},"issued":{"date-parts":[["2020",8]]}}},{"id":525,"uris":["http://zotero.org/users/3223062/items/VMSL9RRW"],"uri":["http://zotero.org/users/3223062/items/VMSL9RRW"],"itemData":{"id":525,"type":"article-journal","abstract":"MicroRNAs (miRNAs) regulate gene expression with emerging data suggesting miRNAs play a role in skeletal muscle biology. We sought to examine the association of miRNAs with grip strength in a community-based sample. Framingham Heart Study Offspring and Generation 3 participants (n = 5668 54% women, mean age 55 years, range 24, 90 years) underwent grip strength measurement and miRNA profiling using whole blood from fasting morning samples. Linear mixed-effects regression modeling of grip strength (kg) versus continuous miRNA ‘Cq’ values and versus binary miRNA expression was performed. We conducted an integrative miRNA–mRNA coexpression analysis and examined the enrichment of biologic pathways for the top miRNAs associated with grip strength. Grip strength was lower in women than in men and declined with age with a mean 44.7 (10.0) kg in men and 26.5 (6.3) kg in women. Among 299 miRNAs interrogated for association with grip strength, 93 (31%) had FDR q value &lt; 0.05, 54 (18%) had an FDR q value &lt; 0.01, and 15 (5%) had FDR q value &lt; 0.001. For almost all miRNA–grip strength associations, increasing miRNA concentration is associated with increasing grip strength. miR-20a-5p (FDR q 1.8 × 10−6) had the most significant association and several among the top 15 miRNAs had links to skeletal muscle including miR-126-3p, miR-30a-5p, and miR-30d-5p. The top associated biologic pathways included metabolism, chemokine signaling, and ubiquitin-mediated proteolysis. Our comprehensive assessment in a community-based sample of miRNAs in blood associated with grip strength provides a framework to further our understanding of the biology of muscle strength.","container-title":"Aging Cell","DOI":"10.1111/acel.12622","ISSN":"1474-9726","issue":"4","language":"en","page":"888-894","source":"Wiley Online Library","title":"Cross-sectional relations of whole-blood miRNA expression levels and hand grip strength in a community sample","volume":"16","author":[{"family":"Murabito","given":"Joanne M."},{"family":"Rong","given":"Jian"},{"family":"Lunetta","given":"Kathryn L."},{"family":"Huan","given":"Tianxiao"},{"family":"Lin","given":"Honghuang"},{"family":"Zhao","given":"Qiang"},{"family":"Freedman","given":"Jane E."},{"family":"Tanriverdi","given":"Kahraman"},{"family":"Levy","given":"Daniel"},{"family":"Larson","given":"Martin G."}],"issued":{"date-parts":[["2017"]]}}},{"id":514,"uris":["http://zotero.org/users/3223062/items/R7944YZJ"],"uri":["http://zotero.org/users/3223062/items/R7944YZJ"],"itemData":{"id":514,"type":"article-journal","abstract":"Cardiometabolic (CM) risk factors are heritable and cluster in individuals. We hypothesized that CM risk factors are associated with multiple shared and unique mRNA and microRNA (miRNA) signatures. We examined associations of mRNA and miRNA levels with 6 CM traits: body mass index, HDL-cholesterol and triglycerides, fasting glucose, and systolic and diastolic blood pressures through cross-sectional analysis of 2812 Framingham Heart Study who had whole blood collection for RNA isolation for mRNA and miRNA expression studies and who consented to genetic research. We excluded participants taking medication for hypertension, dyslipidemia, or diabetes. We measured mRNA (n = 17,318; using the Affymetrix GeneChip Human Exon 1.0 ST Array) and miRNA (n = 315; using qRT-PCR) expression in whole blood. We used linear regression for mRNA analyses and a combination of linear and logistic regression for miRNA analyses. We conducted miRNA-mRNA coexpression and gene ontology enrichment analyses to explore relations between pleiotropic miRNAs, mRNA expression, and CM trait clustering. We identified hundreds of significant associations between mRNAs, miRNAs, and individual CM traits. Four mRNAs (FAM13A, CSF2RB, HIST1H2AC, WNK1) were associated with all 6 CM traits (FDR &lt; 0.001) and four miRNAs (miR-197-3p, miR-328, miR-505-5p, miR-145-5p) were associated with four CM traits (FDR &lt; 0.05). Twelve mRNAs, including WNK1, that were coexpressed with the four most pleiotropic miRNAs, were also miRNA targets. mRNAs coexpressed with pleiotropic miRNAs were enriched for RNA metabolism (miR-505-5p), ubiquitin-dependent protein catabolism (miR-197-3p, miR-328) and chromatin assembly (miR-328). We identified mRNA and miRNA signatures of individual CM traits and their clustering. Implicated transcripts may play causal roles in CM risk or be downstream consequences of CM risk factors on the transcriptome. Studies are needed to establish whether or not pleiotropic circulating transcripts illuminate causal pathways for CM risk.","container-title":"BMC Genomics","DOI":"10.1186/s12864-017-3533-9","ISSN":"1471-2164","issue":"1","language":"En","page":"139","source":"bmcgenomics-biomedcentral-com.ezproxy.library.tufts.edu","title":"Messenger RNA and MicroRNA transcriptomic signatures of cardiometabolic risk factors","volume":"18","author":[{"family":"McManus","given":"David D."},{"family":"Rong","given":"Jian"},{"family":"Huan","given":"Tianxiao"},{"family":"Lacey","given":"Sean"},{"family":"Tanriverdi","given":"Kahraman"},{"family":"Munson","given":"Peter J."},{"family":"Larson","given":"Martin G."},{"family":"Joehanes","given":"Roby"},{"family":"Murthy","given":"Venkatesh"},{"family":"Shah","given":"Ravi"},{"family":"Freedman","given":"Jane E."},{"family":"Levy","given":"Daniel"}],"issued":{"date-parts":[["2017",12]]}}},{"id":403,"uris":["http://zotero.org/users/3223062/items/TVAJ2Q76"],"uri":["http://zotero.org/users/3223062/items/TVAJ2Q76"],"itemData":{"id":403,"type":"article-journal","abstract":"Background\nMicroRNA (miRNA) expression in atrial tissue has been implicated in pathologic susceptibility to atrial fibrillation (AF). Nevertheless, data are limited on how circulating levels relate to AF.\n\nObjective\nTo test the hypothesis that circulating miRNAs would be associated with AF.\n\nMethods\nAmong 2445 Framingham Heart Study Offspring participants, we measured the expression of 385 circulating whole blood miRNAs by high-throughput quantitative reverse-transcriptase polymerase chain reaction (qRT-PCR). We related miRNA levels with prevalent and new-onset AF.\n\nResults\nThe mean age in the cohort was 66.3 ± 8.9 years and 56% were women; 153 participants had clinically apparent AF at baseline and 107 developed AF during a median of 5.4 years of follow-up. miRNA-328 (miR-328) expression was lower among participants with prevalent AF [8.76 cycle threshold (Ct)] compared to individuals with no AF (7.75 Ct, p &lt;0.001). The association between miR-328 and prevalent AF persisted after adjustment for age, sex, and technical covariates (OR=1.21, P = 1.8 × 10−4) but was attenuated in analyses adjusting for clinical AF risk factors (OR=1.14, P = 0.017). In contrast to the associations between miR-328 and prevalent AF, none of the circulating miRNAs were associated with incident AF.\n\nConclusions\nCirculating levels of miR-328, a miRNA known to promote atrial electrical remodeling by reducing L-type Ca2+ channel density, were associated with prevalent AF. Adjustment for risk factors that promote atrial remodeling, including hypertension, attenuated the association between miR-328 and AF, potentially implicating miR-328 as a potential mediator of atrial remodeling and AF vulnerability.","container-title":"Heart rhythm : the official journal of the Heart Rhythm Society","DOI":"10.1016/j.hrthm.2014.01.018","ISSN":"1547-5271","issue":"4","journalAbbreviation":"Heart Rhythm","note":"PMID: 24444445\nPMCID: PMC4219255","page":"663-669","source":"PubMed Central","title":"Relations between circulating microRNAs and atrial fibrillation: data from the Framingham Offspring Study","title-short":"Relations between circulating microRNAs and atrial fibrillation","volume":"11","author":[{"family":"McManus","given":"David D."},{"family":"Lin","given":"Honghuang"},{"family":"Tanriverdi","given":"Kahraman"},{"family":"Quercio","given":"Michael"},{"family":"Yin","given":"Xiaoyan"},{"family":"Larson","given":"Martin G."},{"family":"Ellinor","given":"Patrick T."},{"family":"Levy","given":"Daniel"},{"family":"Freedman","given":"Jane E."},{"family":"Benjamin","given":"Emelia J."}],"issued":{"date-parts":[["2014",4]]}}}],"schema":"https://github.com/citation-style-language/schema/raw/master/csl-citation.json"} </w:instrText>
      </w:r>
      <w:r w:rsidR="0079744D"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31,35,59,60</w:t>
      </w:r>
      <w:r w:rsidR="0079744D" w:rsidRPr="00757919">
        <w:rPr>
          <w:rFonts w:ascii="Times New Roman" w:hAnsi="Times New Roman" w:cs="Times New Roman"/>
          <w:sz w:val="24"/>
          <w:szCs w:val="24"/>
        </w:rPr>
        <w:fldChar w:fldCharType="end"/>
      </w:r>
      <w:r w:rsidR="00112351" w:rsidRPr="00757919">
        <w:rPr>
          <w:rFonts w:ascii="Times New Roman" w:hAnsi="Times New Roman" w:cs="Times New Roman"/>
          <w:sz w:val="24"/>
          <w:szCs w:val="24"/>
        </w:rPr>
        <w:t>.</w:t>
      </w:r>
      <w:r w:rsidR="00D27E22" w:rsidRPr="00757919">
        <w:rPr>
          <w:rFonts w:ascii="Times New Roman" w:hAnsi="Times New Roman" w:cs="Times New Roman"/>
          <w:sz w:val="24"/>
          <w:szCs w:val="24"/>
        </w:rPr>
        <w:t xml:space="preserve"> </w:t>
      </w:r>
      <w:r w:rsidRPr="00757919">
        <w:rPr>
          <w:rFonts w:ascii="Times New Roman" w:eastAsia="Arial" w:hAnsi="Times New Roman" w:cs="Times New Roman"/>
          <w:sz w:val="24"/>
          <w:szCs w:val="24"/>
        </w:rPr>
        <w:t>In brief, the high-throughput Gene Expression Core Laboratory at the University of Massachusetts Medical School profile</w:t>
      </w:r>
      <w:r w:rsidR="00D27E22" w:rsidRPr="00757919">
        <w:rPr>
          <w:rFonts w:ascii="Times New Roman" w:eastAsia="Arial" w:hAnsi="Times New Roman" w:cs="Times New Roman"/>
          <w:sz w:val="24"/>
          <w:szCs w:val="24"/>
        </w:rPr>
        <w:t>d</w:t>
      </w:r>
      <w:r w:rsidRPr="00757919">
        <w:rPr>
          <w:rFonts w:ascii="Times New Roman" w:eastAsia="Arial" w:hAnsi="Times New Roman" w:cs="Times New Roman"/>
          <w:sz w:val="24"/>
          <w:szCs w:val="24"/>
        </w:rPr>
        <w:t xml:space="preserve"> commercially available TaqMan miRNA assays</w:t>
      </w:r>
      <w:r w:rsidR="0079744D"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{"citationID":"iyjisP1Q","properties":{"formattedCitation":"\\super 35,59,60\\nosupersub{}","plainCitation":"35,59,60","noteIndex":0},"citationItems":[{"id":525,"uris":["http://zotero.org/users/3223062/items/VMSL9RRW"],"uri":["http://zotero.org/users/3223062/items/VMSL9RRW"],"itemData":{"id":525,"type":"article-journal","abstract":"MicroRNAs (miRNAs) regulate gene expression with emerging data suggesting miRNAs play a role in skeletal muscle biology. We sought to examine the association of miRNAs with grip strength in a community-based sample. Framingham Heart Study Offspring and Generation 3 participants (n = 5668 54% women, mean age 55 years, range 24, 90 years) underwent grip strength measurement and miRNA profiling using whole blood from fasting morning samples. Linear mixed-effects regression modeling of grip strength (kg) versus continuous miRNA ‘Cq’ values and versus binary miRNA expression was performed. We conducted an integrative miRNA–mRNA coexpression analysis and examined the enrichment of biologic pathways for the top miRNAs associated with grip strength. Grip strength was lower in women than in men and declined with age with a mean 44.7 (10.0) kg in men and 26.5 (6.3) kg in women. Among 299 miRNAs interrogated for association with grip strength, 93 (31%) had FDR q value &lt; 0.05, 54 (18%) had an FDR q value &lt; 0.01, and 15 (5%) had FDR q value &lt; 0.001. For almost all miRNA–grip strength associations, increasing miRNA concentration is associated with increasing grip strength. miR-20a-5p (FDR q 1.8 × 10−6) had the most significant association and several among the top 15 miRNAs had links to skeletal muscle including miR-126-3p, miR-30a-5p, and miR-30d-5p. The top associated biologic pathways included metabolism, chemokine signaling, and ubiquitin-mediated proteolysis. Our comprehensive assessment in a community-based sample of miRNAs in blood associated with grip strength provides a framework to further our understanding of the biology of muscle strength.","container-title":"Aging Cell","DOI":"10.1111/acel.12622","ISSN":"1474-9726","issue":"4","language":"en","page":"888-894","source":"Wiley Online Library","title":"Cross-sectional relations of whole-blood miRNA expression levels and hand grip strength in a community sample","volume":"16","author":[{"family":"Murabito","given":"Joanne M."},{"family":"Rong","given":"Jian"},{"family":"Lunetta","given":"Kathryn L."},{"family":"Huan","given":"Tianxiao"},{"family":"Lin","given":"Honghuang"},{"family":"Zhao","given":"Qiang"},{"family":"Freedman","given":"Jane E."},{"family":"Tanriverdi","given":"Kahraman"},{"family":"Levy","given":"Daniel"},{"family":"Larson","given":"Martin G."}],"issued":{"date-parts":[["2017"]]}}},{"id":514,"uris":["http://zotero.org/users/3223062/items/R7944YZJ"],"uri":["http://zotero.org/users/3223062/items/R7944YZJ"],"itemData":{"id":514,"type":"article-journal","abstract":"Cardiometabolic (CM) risk factors are heritable and cluster in individuals. We hypothesized that CM risk factors are associated with multiple shared and unique mRNA and microRNA (miRNA) signatures. We examined associations of mRNA and miRNA levels with 6 CM traits: body mass index, HDL-cholesterol and triglycerides, fasting glucose, and systolic and diastolic blood pressures through cross-sectional analysis of 2812 Framingham Heart Study who had whole blood collection for RNA isolation for mRNA and miRNA expression studies and who consented to genetic research. We excluded participants taking medication for hypertension, dyslipidemia, or diabetes. We measured mRNA (n = 17,318; using the Affymetrix GeneChip Human Exon 1.0 ST Array) and miRNA (n = 315; using qRT-PCR) expression in whole blood. We used linear regression for mRNA analyses and a combination of linear and logistic regression for miRNA analyses. We conducted miRNA-mRNA coexpression and gene ontology enrichment analyses to explore relations between pleiotropic miRNAs, mRNA expression, and CM trait clustering. We identified hundreds of significant associations between mRNAs, miRNAs, and individual CM traits. Four mRNAs (FAM13A, CSF2RB, HIST1H2AC, WNK1) were associated with all 6 CM traits (FDR &lt; 0.001) and four miRNAs (miR-197-3p, miR-328, miR-505-5p, miR-145-5p) were associated with four CM traits (FDR &lt; 0.05). Twelve mRNAs, including WNK1, that were coexpressed with the four most pleiotropic miRNAs, were also miRNA targets. mRNAs coexpressed with pleiotropic miRNAs were enriched for RNA metabolism (miR-505-5p), ubiquitin-dependent protein catabolism (miR-197-3p, miR-328) and chromatin assembly (miR-328). We identified mRNA and miRNA signatures of individual CM traits and their clustering. Implicated transcripts may play causal roles in CM risk or be downstream consequences of CM risk factors on the transcriptome. Studies are needed to establish whether or not pleiotropic circulating transcripts illuminate causal pathways for CM risk.","container-title":"BMC Genomics","DOI":"10.1186/s12864-017-3533-9","ISSN":"1471-2164","issue":"1","language":"En","page":"139","source":"bmcgenomics-biomedcentral-com.ezproxy.library.tufts.edu","title":"Messenger RNA and MicroRNA transcriptomic signatures of cardiometabolic risk factors","volume":"18","author":[{"family":"McManus","given":"David D."},{"family":"Rong","given":"Jian"},{"family":"Huan","given":"Tianxiao"},{"family":"Lacey","given":"Sean"},{"family":"Tanriverdi","given":"Kahraman"},{"family":"Munson","given":"Peter J."},{"family":"Larson","given":"Martin G."},{"family":"Joehanes","given":"Roby"},{"family":"Murthy","given":"Venkatesh"},{"family":"Shah","given":"Ravi"},{"family":"Freedman","given":"Jane E."},{"family":"Levy","given":"Daniel"}],"issued":{"date-parts":[["2017",12]]}}},{"id":403,"uris":["http://zotero.org/users/3223062/items/TVAJ2Q76"],"uri":["http://zotero.org/users/3223062/items/TVAJ2Q76"],"itemData":{"id":403,"type":"article-journal","abstract":"Background\nMicroRNA (miRNA) expression in atrial tissue has been implicated in pathologic susceptibility to atrial fibrillation (AF). Nevertheless, data are limited on how circulating levels relate to AF.\n\nObjective\nTo test the hypothesis that circulating miRNAs would be associated with AF.\n\nMethods\nAmong 2445 Framingham Heart Study Offspring participants, we measured the expression of 385 circulating whole blood miRNAs by high-throughput quantitative reverse-transcriptase polymerase chain reaction (qRT-PCR). We related miRNA levels with prevalent and new-onset AF.\n\nResults\nThe mean age in the cohort was 66.3 ± 8.9 years and 56% were women; 153 participants had clinically apparent AF at baseline and 107 developed AF during a median of 5.4 years of follow-up. miRNA-328 (miR-328) expression was lower among participants with prevalent AF [8.76 cycle threshold (Ct)] compared to individuals with no AF (7.75 Ct, p &lt;0.001). The association between miR-328 and prevalent AF persisted after adjustment for age, sex, and technical covariates (OR=1.21, P = 1.8 × 10−4) but was attenuated in analyses adjusting for clinical AF risk factors (OR=1.14, P = 0.017). In contrast to the associations between miR-328 and prevalent AF, none of the circulating miRNAs were associated with incident AF.\n\nConclusions\nCirculating levels of miR-328, a miRNA known to promote atrial electrical remodeling by reducing L-type Ca2+ channel density, were associated with prevalent AF. Adjustment for risk factors that promote atrial remodeling, including hypertension, attenuated the association between miR-328 and AF, potentially implicating miR-328 as a potential mediator of atrial remodeling and AF vulnerability.","container-title":"Heart rhythm : the official journal of the Heart Rhythm Society","DOI":"10.1016/j.hrthm.2014.01.018","ISSN":"1547-5271","issue":"4","journalAbbreviation":"Heart Rhythm","note":"PMID: 24444445\nPMCID: PMC4219255","page":"663-669","source":"PubMed Central","title":"Relations between circulating microRNAs and atrial fibrillation: data from the Framingham Offspring Study","title-short":"Relations between circulating microRNAs and atrial fibrillation","volume":"11","author":[{"family":"McManus","given":"David D."},{"family":"Lin","given":"Honghuang"},{"family":"Tanriverdi","given":"Kahraman"},{"family":"Quercio","given":"Michael"},{"family":"Yin","given":"Xiaoyan"},{"family":"Larson","given":"Martin G."},{"family":"Ellinor","given":"Patrick T."},{"family":"Levy","given":"Daniel"},{"family":"Freedman","given":"Jane E."},{"family":"Benjamin","given":"Emelia J."}],"issued":{"date-parts":[["2014",4]]}}}],"schema":"https://github.com/citation-style-language/schema/raw/master/csl-citation.json"} </w:instrText>
      </w:r>
      <w:r w:rsidR="0079744D"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35,59,60</w:t>
      </w:r>
      <w:r w:rsidR="0079744D" w:rsidRPr="00757919">
        <w:rPr>
          <w:rFonts w:ascii="Times New Roman" w:hAnsi="Times New Roman" w:cs="Times New Roman"/>
          <w:sz w:val="24"/>
          <w:szCs w:val="24"/>
        </w:rPr>
        <w:fldChar w:fldCharType="end"/>
      </w:r>
      <w:r w:rsidR="00FC4182" w:rsidRPr="00757919">
        <w:rPr>
          <w:rFonts w:ascii="Times New Roman" w:eastAsia="Arial" w:hAnsi="Times New Roman" w:cs="Times New Roman"/>
          <w:sz w:val="24"/>
          <w:szCs w:val="24"/>
        </w:rPr>
        <w:t xml:space="preserve">. A subset of the 754 miRNAs profiled in 600 FHS participants </w:t>
      </w:r>
      <w:r w:rsidR="00817C8A" w:rsidRPr="00757919">
        <w:rPr>
          <w:rFonts w:ascii="Times New Roman" w:eastAsia="Arial" w:hAnsi="Times New Roman" w:cs="Times New Roman"/>
          <w:sz w:val="24"/>
          <w:szCs w:val="24"/>
        </w:rPr>
        <w:t xml:space="preserve">was </w:t>
      </w:r>
      <w:r w:rsidR="00FC4182" w:rsidRPr="00757919">
        <w:rPr>
          <w:rFonts w:ascii="Times New Roman" w:eastAsia="Arial" w:hAnsi="Times New Roman" w:cs="Times New Roman"/>
          <w:sz w:val="24"/>
          <w:szCs w:val="24"/>
        </w:rPr>
        <w:t xml:space="preserve">further profiled in additional FHS Offspring Cohort members using quantitative real-time polymerase chain reaction (RT-qPCR). 333 miRNAs had a </w:t>
      </w:r>
      <w:r w:rsidR="00A62299" w:rsidRPr="00757919">
        <w:rPr>
          <w:rFonts w:ascii="Times New Roman" w:eastAsia="Arial" w:hAnsi="Times New Roman" w:cs="Times New Roman"/>
          <w:sz w:val="24"/>
          <w:szCs w:val="24"/>
        </w:rPr>
        <w:t>measurable</w:t>
      </w:r>
      <w:r w:rsidR="00FC4182" w:rsidRPr="00757919">
        <w:rPr>
          <w:rFonts w:ascii="Times New Roman" w:eastAsia="Arial" w:hAnsi="Times New Roman" w:cs="Times New Roman"/>
          <w:sz w:val="24"/>
          <w:szCs w:val="24"/>
        </w:rPr>
        <w:t xml:space="preserve"> cycle threshold (Ct) value in at least 5% of participants. A higher Ct value reflects a lower miRNA expression value. </w:t>
      </w:r>
      <w:r w:rsidR="00FC4182" w:rsidRPr="00757919">
        <w:rPr>
          <w:rFonts w:ascii="Times New Roman" w:hAnsi="Times New Roman" w:cs="Times New Roman"/>
          <w:sz w:val="24"/>
          <w:szCs w:val="24"/>
        </w:rPr>
        <w:t xml:space="preserve">The FHS Systems Approach to Biomarker Research in Cardiovascular Disease Initiative Steering </w:t>
      </w:r>
      <w:r w:rsidR="00FC4182" w:rsidRPr="00757919">
        <w:rPr>
          <w:rFonts w:ascii="Times New Roman" w:hAnsi="Times New Roman" w:cs="Times New Roman"/>
          <w:sz w:val="24"/>
          <w:szCs w:val="24"/>
        </w:rPr>
        <w:lastRenderedPageBreak/>
        <w:t>Committee previously reviewed all quality control measures and noted that &gt; 95% of the data points had coefficients of variation &lt;10% (mean ~4%)</w:t>
      </w:r>
      <w:r w:rsidR="0079744D"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{"citationID":"lmtnXocI","properties":{"formattedCitation":"\\super 60\\nosupersub{}","plainCitation":"60","noteIndex":0},"citationItems":[{"id":403,"uris":["http://zotero.org/users/3223062/items/TVAJ2Q76"],"uri":["http://zotero.org/users/3223062/items/TVAJ2Q76"],"itemData":{"id":403,"type":"article-journal","abstract":"Background\nMicroRNA (miRNA) expression in atrial tissue has been implicated in pathologic susceptibility to atrial fibrillation (AF). Nevertheless, data are limited on how circulating levels relate to AF.\n\nObjective\nTo test the hypothesis that circulating miRNAs would be associated with AF.\n\nMethods\nAmong 2445 Framingham Heart Study Offspring participants, we measured the expression of 385 circulating whole blood miRNAs by high-throughput quantitative reverse-transcriptase polymerase chain reaction (qRT-PCR). We related miRNA levels with prevalent and new-onset AF.\n\nResults\nThe mean age in the cohort was 66.3 ± 8.9 years and 56% were women; 153 participants had clinically apparent AF at baseline and 107 developed AF during a median of 5.4 years of follow-up. miRNA-328 (miR-328) expression was lower among participants with prevalent AF [8.76 cycle threshold (Ct)] compared to individuals with no AF (7.75 Ct, p &lt;0.001). The association between miR-328 and prevalent AF persisted after adjustment for age, sex, and technical covariates (OR=1.21, P = 1.8 × 10−4) but was attenuated in analyses adjusting for clinical AF risk factors (OR=1.14, P = 0.017). In contrast to the associations between miR-328 and prevalent AF, none of the circulating miRNAs were associated with incident AF.\n\nConclusions\nCirculating levels of miR-328, a miRNA known to promote atrial electrical remodeling by reducing L-type Ca2+ channel density, were associated with prevalent AF. Adjustment for risk factors that promote atrial remodeling, including hypertension, attenuated the association between miR-328 and AF, potentially implicating miR-328 as a potential mediator of atrial remodeling and AF vulnerability.","container-title":"Heart rhythm : the official journal of the Heart Rhythm Society","DOI":"10.1016/j.hrthm.2014.01.018","ISSN":"1547-5271","issue":"4","journalAbbreviation":"Heart Rhythm","note":"PMID: 24444445\nPMCID: PMC4219255","page":"663-669","source":"PubMed Central","title":"Relations between circulating microRNAs and atrial fibrillation: data from the Framingham Offspring Study","title-short":"Relations between circulating microRNAs and atrial fibrillation","volume":"11","author":[{"family":"McManus","given":"David D."},{"family":"Lin","given":"Honghuang"},{"family":"Tanriverdi","given":"Kahraman"},{"family":"Quercio","given":"Michael"},{"family":"Yin","given":"Xiaoyan"},{"family":"Larson","given":"Martin G."},{"family":"Ellinor","given":"Patrick T."},{"family":"Levy","given":"Daniel"},{"family":"Freedman","given":"Jane E."},{"family":"Benjamin","given":"Emelia J."}],"issued":{"date-parts":[["2014",4]]}}}],"schema":"https://github.com/citation-style-language/schema/raw/master/csl-citation.json"} </w:instrText>
      </w:r>
      <w:r w:rsidR="0079744D"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60</w:t>
      </w:r>
      <w:r w:rsidR="0079744D" w:rsidRPr="00757919">
        <w:rPr>
          <w:rFonts w:ascii="Times New Roman" w:hAnsi="Times New Roman" w:cs="Times New Roman"/>
          <w:sz w:val="24"/>
          <w:szCs w:val="24"/>
        </w:rPr>
        <w:fldChar w:fldCharType="end"/>
      </w:r>
      <w:r w:rsidR="00FC4182" w:rsidRPr="00757919">
        <w:rPr>
          <w:rFonts w:ascii="Times New Roman" w:hAnsi="Times New Roman" w:cs="Times New Roman"/>
          <w:sz w:val="24"/>
          <w:szCs w:val="24"/>
        </w:rPr>
        <w:t xml:space="preserve">. </w:t>
      </w:r>
      <w:r w:rsidR="00FC4182" w:rsidRPr="00757919">
        <w:rPr>
          <w:rFonts w:ascii="Times New Roman" w:eastAsia="Arial" w:hAnsi="Times New Roman" w:cs="Times New Roman"/>
          <w:sz w:val="24"/>
          <w:szCs w:val="24"/>
        </w:rPr>
        <w:t>Of the 1527 individuals who were included in the genetic association study, 1304 had miRNA data available for miRNA association analysis.</w:t>
      </w:r>
      <w:r w:rsidR="00FC4182" w:rsidRPr="00757919">
        <w:rPr>
          <w:rFonts w:ascii="Times New Roman" w:hAnsi="Times New Roman" w:cs="Times New Roman"/>
          <w:sz w:val="24"/>
          <w:szCs w:val="24"/>
        </w:rPr>
        <w:t xml:space="preserve"> We modeled technical sources of variation in miRNA concentration (crossing threshold, Ct) values including RNA quality, RNA concentration, and 260/280 ratio (ratio of absorbance at 260 and 280</w:t>
      </w:r>
      <w:r w:rsidR="00D27E22" w:rsidRPr="00757919">
        <w:rPr>
          <w:rFonts w:ascii="Times New Roman" w:hAnsi="Times New Roman" w:cs="Times New Roman"/>
          <w:sz w:val="24"/>
          <w:szCs w:val="24"/>
        </w:rPr>
        <w:t xml:space="preserve"> </w:t>
      </w:r>
      <w:r w:rsidR="00FC4182" w:rsidRPr="00757919">
        <w:rPr>
          <w:rFonts w:ascii="Times New Roman" w:hAnsi="Times New Roman" w:cs="Times New Roman"/>
          <w:sz w:val="24"/>
          <w:szCs w:val="24"/>
        </w:rPr>
        <w:t>nm using a spectrophotometer) as previously described</w:t>
      </w:r>
      <w:r w:rsidR="0079744D"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{"citationID":"Tj1V6U3s","properties":{"formattedCitation":"\\super 35\\nosupersub{}","plainCitation":"35","noteIndex":0},"citationItems":[{"id":525,"uris":["http://zotero.org/users/3223062/items/VMSL9RRW"],"uri":["http://zotero.org/users/3223062/items/VMSL9RRW"],"itemData":{"id":525,"type":"article-journal","abstract":"MicroRNAs (miRNAs) regulate gene expression with emerging data suggesting miRNAs play a role in skeletal muscle biology. We sought to examine the association of miRNAs with grip strength in a community-based sample. Framingham Heart Study Offspring and Generation 3 participants (n = 5668 54% women, mean age 55 years, range 24, 90 years) underwent grip strength measurement and miRNA profiling using whole blood from fasting morning samples. Linear mixed-effects regression modeling of grip strength (kg) versus continuous miRNA ‘Cq’ values and versus binary miRNA expression was performed. We conducted an integrative miRNA–mRNA coexpression analysis and examined the enrichment of biologic pathways for the top miRNAs associated with grip strength. Grip strength was lower in women than in men and declined with age with a mean 44.7 (10.0) kg in men and 26.5 (6.3) kg in women. Among 299 miRNAs interrogated for association with grip strength, 93 (31%) had FDR q value &lt; 0.05, 54 (18%) had an FDR q value &lt; 0.01, and 15 (5%) had FDR q value &lt; 0.001. For almost all miRNA–grip strength associations, increasing miRNA concentration is associated with increasing grip strength. miR-20a-5p (FDR q 1.8 × 10−6) had the most significant association and several among the top 15 miRNAs had links to skeletal muscle including miR-126-3p, miR-30a-5p, and miR-30d-5p. The top associated biologic pathways included metabolism, chemokine signaling, and ubiquitin-mediated proteolysis. Our comprehensive assessment in a community-based sample of miRNAs in blood associated with grip strength provides a framework to further our understanding of the biology of muscle strength.","container-title":"Aging Cell","DOI":"10.1111/acel.12622","ISSN":"1474-9726","issue":"4","language":"en","page":"888-894","source":"Wiley Online Library","title":"Cross-sectional relations of whole-blood miRNA expression levels and hand grip strength in a community sample","volume":"16","author":[{"family":"Murabito","given":"Joanne M."},{"family":"Rong","given":"Jian"},{"family":"Lunetta","given":"Kathryn L."},{"family":"Huan","given":"Tianxiao"},{"family":"Lin","given":"Honghuang"},{"family":"Zhao","given":"Qiang"},{"family":"Freedman","given":"Jane E."},{"family":"Tanriverdi","given":"Kahraman"},{"family":"Levy","given":"Daniel"},{"family":"Larson","given":"Martin G."}],"issued":{"date-parts":[["2017"]]}}}],"schema":"https://github.com/citation-style-language/schema/raw/master/csl-citation.json"} </w:instrText>
      </w:r>
      <w:r w:rsidR="0079744D"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35</w:t>
      </w:r>
      <w:r w:rsidR="0079744D" w:rsidRPr="00757919">
        <w:rPr>
          <w:rFonts w:ascii="Times New Roman" w:hAnsi="Times New Roman" w:cs="Times New Roman"/>
          <w:sz w:val="24"/>
          <w:szCs w:val="24"/>
        </w:rPr>
        <w:fldChar w:fldCharType="end"/>
      </w:r>
      <w:r w:rsidR="00776882" w:rsidRPr="00757919">
        <w:rPr>
          <w:rFonts w:ascii="Times New Roman" w:hAnsi="Times New Roman" w:cs="Times New Roman"/>
          <w:sz w:val="24"/>
          <w:szCs w:val="24"/>
        </w:rPr>
        <w:t>.</w:t>
      </w:r>
      <w:r w:rsidR="00FC4182" w:rsidRPr="00757919">
        <w:rPr>
          <w:rFonts w:ascii="Times New Roman" w:hAnsi="Times New Roman" w:cs="Times New Roman"/>
          <w:sz w:val="24"/>
          <w:szCs w:val="24"/>
        </w:rPr>
        <w:t xml:space="preserve">  Briefly, we categorized each technical variable by decile and included </w:t>
      </w:r>
      <w:r w:rsidR="00864F3F" w:rsidRPr="00757919">
        <w:rPr>
          <w:rFonts w:ascii="Times New Roman" w:hAnsi="Times New Roman" w:cs="Times New Roman"/>
          <w:sz w:val="24"/>
          <w:szCs w:val="24"/>
        </w:rPr>
        <w:t>them</w:t>
      </w:r>
      <w:r w:rsidR="00817C8A" w:rsidRPr="00757919">
        <w:rPr>
          <w:rFonts w:ascii="Times New Roman" w:hAnsi="Times New Roman" w:cs="Times New Roman"/>
          <w:sz w:val="24"/>
          <w:szCs w:val="24"/>
        </w:rPr>
        <w:t xml:space="preserve"> </w:t>
      </w:r>
      <w:r w:rsidR="00FC4182" w:rsidRPr="00757919">
        <w:rPr>
          <w:rFonts w:ascii="Times New Roman" w:hAnsi="Times New Roman" w:cs="Times New Roman"/>
          <w:sz w:val="24"/>
          <w:szCs w:val="24"/>
        </w:rPr>
        <w:t xml:space="preserve">as </w:t>
      </w:r>
      <w:r w:rsidR="00864F3F" w:rsidRPr="00757919">
        <w:rPr>
          <w:rFonts w:ascii="Times New Roman" w:hAnsi="Times New Roman" w:cs="Times New Roman"/>
          <w:sz w:val="24"/>
          <w:szCs w:val="24"/>
        </w:rPr>
        <w:t>factor variables</w:t>
      </w:r>
      <w:r w:rsidR="00FC4182" w:rsidRPr="00757919">
        <w:rPr>
          <w:rFonts w:ascii="Times New Roman" w:hAnsi="Times New Roman" w:cs="Times New Roman"/>
          <w:sz w:val="24"/>
          <w:szCs w:val="24"/>
        </w:rPr>
        <w:t xml:space="preserve"> in our model</w:t>
      </w:r>
      <w:r w:rsidR="00864F3F" w:rsidRPr="00757919">
        <w:rPr>
          <w:rFonts w:ascii="Times New Roman" w:hAnsi="Times New Roman" w:cs="Times New Roman"/>
          <w:sz w:val="24"/>
          <w:szCs w:val="24"/>
        </w:rPr>
        <w:t>s</w:t>
      </w:r>
      <w:r w:rsidR="00FC4182" w:rsidRPr="00757919">
        <w:rPr>
          <w:rFonts w:ascii="Times New Roman" w:hAnsi="Times New Roman" w:cs="Times New Roman"/>
          <w:sz w:val="24"/>
          <w:szCs w:val="24"/>
        </w:rPr>
        <w:t xml:space="preserve"> to account for nonlinear effects.</w:t>
      </w:r>
    </w:p>
    <w:p w14:paraId="75907B33" w14:textId="77777777" w:rsidR="00491E2C" w:rsidRPr="00757919" w:rsidRDefault="00491E2C" w:rsidP="00864F3F">
      <w:pPr>
        <w:spacing w:line="480" w:lineRule="auto"/>
        <w:rPr>
          <w:rFonts w:ascii="Times New Roman" w:hAnsi="Times New Roman" w:cs="Times New Roman"/>
          <w:i/>
          <w:sz w:val="24"/>
          <w:szCs w:val="24"/>
        </w:rPr>
      </w:pPr>
      <w:r w:rsidRPr="00757919">
        <w:rPr>
          <w:rFonts w:ascii="Times New Roman" w:hAnsi="Times New Roman" w:cs="Times New Roman"/>
          <w:i/>
          <w:sz w:val="24"/>
          <w:szCs w:val="24"/>
        </w:rPr>
        <w:t>Identifying Genes of Interest</w:t>
      </w:r>
    </w:p>
    <w:p w14:paraId="42D33E86" w14:textId="0BED8E4E" w:rsidR="00491E2C" w:rsidRPr="00757919" w:rsidRDefault="00491E2C" w:rsidP="00864F3F">
      <w:pPr>
        <w:spacing w:line="480" w:lineRule="auto"/>
        <w:rPr>
          <w:rFonts w:ascii="Times New Roman" w:hAnsi="Times New Roman" w:cs="Times New Roman"/>
          <w:sz w:val="24"/>
          <w:szCs w:val="24"/>
        </w:rPr>
      </w:pPr>
      <w:r w:rsidRPr="00757919">
        <w:rPr>
          <w:rFonts w:ascii="Times New Roman" w:hAnsi="Times New Roman" w:cs="Times New Roman"/>
          <w:sz w:val="24"/>
          <w:szCs w:val="24"/>
        </w:rPr>
        <w:t xml:space="preserve">For our candidate gene list, we selected genes involved in adrenergic signaling in </w:t>
      </w:r>
      <w:r w:rsidR="00DB747E" w:rsidRPr="00757919">
        <w:rPr>
          <w:rFonts w:ascii="Times New Roman" w:hAnsi="Times New Roman" w:cs="Times New Roman"/>
          <w:sz w:val="24"/>
          <w:szCs w:val="24"/>
        </w:rPr>
        <w:t xml:space="preserve">osteoblasts </w:t>
      </w:r>
      <w:r w:rsidRPr="00757919">
        <w:rPr>
          <w:rFonts w:ascii="Times New Roman" w:hAnsi="Times New Roman" w:cs="Times New Roman"/>
          <w:sz w:val="24"/>
          <w:szCs w:val="24"/>
        </w:rPr>
        <w:t xml:space="preserve">as detailed by </w:t>
      </w:r>
      <w:proofErr w:type="spellStart"/>
      <w:r w:rsidRPr="00757919">
        <w:rPr>
          <w:rFonts w:ascii="Times New Roman" w:hAnsi="Times New Roman" w:cs="Times New Roman"/>
          <w:sz w:val="24"/>
          <w:szCs w:val="24"/>
        </w:rPr>
        <w:t>Elefteriou</w:t>
      </w:r>
      <w:proofErr w:type="spellEnd"/>
      <w:r w:rsidRPr="00757919">
        <w:rPr>
          <w:rFonts w:ascii="Times New Roman" w:hAnsi="Times New Roman" w:cs="Times New Roman"/>
          <w:sz w:val="24"/>
          <w:szCs w:val="24"/>
        </w:rPr>
        <w:t xml:space="preserve"> et al.</w:t>
      </w:r>
      <w:r w:rsidR="00173A82" w:rsidRPr="00757919">
        <w:rPr>
          <w:rFonts w:ascii="Times New Roman" w:hAnsi="Times New Roman" w:cs="Times New Roman"/>
          <w:sz w:val="24"/>
          <w:szCs w:val="24"/>
          <w:vertAlign w:val="superscript"/>
        </w:rPr>
        <w:t>18</w:t>
      </w:r>
      <w:r w:rsidRPr="00757919">
        <w:rPr>
          <w:rFonts w:ascii="Times New Roman" w:hAnsi="Times New Roman" w:cs="Times New Roman"/>
          <w:sz w:val="24"/>
          <w:szCs w:val="24"/>
        </w:rPr>
        <w:t xml:space="preserve">. We added </w:t>
      </w:r>
      <w:r w:rsidR="001964C1">
        <w:rPr>
          <w:rFonts w:ascii="Times New Roman" w:hAnsi="Times New Roman" w:cs="Times New Roman"/>
          <w:i/>
          <w:iCs/>
          <w:sz w:val="24"/>
          <w:szCs w:val="24"/>
        </w:rPr>
        <w:t>TNFRSF11A (RANK)</w:t>
      </w:r>
      <w:r w:rsidRPr="00757919">
        <w:rPr>
          <w:rFonts w:ascii="Times New Roman" w:hAnsi="Times New Roman" w:cs="Times New Roman"/>
          <w:sz w:val="24"/>
          <w:szCs w:val="24"/>
        </w:rPr>
        <w:t xml:space="preserve"> and </w:t>
      </w:r>
      <w:r w:rsidRPr="00757919">
        <w:rPr>
          <w:rFonts w:ascii="Times New Roman" w:hAnsi="Times New Roman" w:cs="Times New Roman"/>
          <w:i/>
          <w:iCs/>
          <w:sz w:val="24"/>
          <w:szCs w:val="24"/>
        </w:rPr>
        <w:t>OPG</w:t>
      </w:r>
      <w:r w:rsidRPr="00757919">
        <w:rPr>
          <w:rFonts w:ascii="Times New Roman" w:hAnsi="Times New Roman" w:cs="Times New Roman"/>
          <w:sz w:val="24"/>
          <w:szCs w:val="24"/>
        </w:rPr>
        <w:t xml:space="preserve"> to this list of genes as </w:t>
      </w:r>
      <w:r w:rsidR="001964C1">
        <w:rPr>
          <w:rFonts w:ascii="Times New Roman" w:hAnsi="Times New Roman" w:cs="Times New Roman"/>
          <w:iCs/>
          <w:sz w:val="24"/>
          <w:szCs w:val="24"/>
        </w:rPr>
        <w:t>TNFSF11 (RANKL)</w:t>
      </w:r>
      <w:r w:rsidRPr="00757919">
        <w:rPr>
          <w:rFonts w:ascii="Times New Roman" w:hAnsi="Times New Roman" w:cs="Times New Roman"/>
          <w:sz w:val="24"/>
          <w:szCs w:val="24"/>
        </w:rPr>
        <w:t xml:space="preserve"> binds to the receptors</w:t>
      </w:r>
      <w:r w:rsidR="001266A5">
        <w:rPr>
          <w:rFonts w:ascii="Times New Roman" w:hAnsi="Times New Roman" w:cs="Times New Roman"/>
          <w:sz w:val="24"/>
          <w:szCs w:val="24"/>
        </w:rPr>
        <w:t xml:space="preserve"> encoded by these genes</w:t>
      </w:r>
      <w:r w:rsidRPr="00757919">
        <w:rPr>
          <w:rFonts w:ascii="Times New Roman" w:hAnsi="Times New Roman" w:cs="Times New Roman"/>
          <w:sz w:val="24"/>
          <w:szCs w:val="24"/>
        </w:rPr>
        <w:t>. Our pathway</w:t>
      </w:r>
      <w:r w:rsidR="00817C8A" w:rsidRPr="00757919">
        <w:rPr>
          <w:rFonts w:ascii="Times New Roman" w:hAnsi="Times New Roman" w:cs="Times New Roman"/>
          <w:sz w:val="24"/>
          <w:szCs w:val="24"/>
        </w:rPr>
        <w:t>, therefore,</w:t>
      </w:r>
      <w:r w:rsidRPr="00757919">
        <w:rPr>
          <w:rFonts w:ascii="Times New Roman" w:hAnsi="Times New Roman" w:cs="Times New Roman"/>
          <w:sz w:val="24"/>
          <w:szCs w:val="24"/>
        </w:rPr>
        <w:t xml:space="preserve"> starts at </w:t>
      </w:r>
      <w:r w:rsidR="00A84F33">
        <w:rPr>
          <w:rFonts w:ascii="Times New Roman" w:hAnsi="Times New Roman" w:cs="Times New Roman"/>
          <w:sz w:val="24"/>
          <w:szCs w:val="24"/>
        </w:rPr>
        <w:t>β</w:t>
      </w:r>
      <w:r w:rsidR="00817C8A" w:rsidRPr="00757919">
        <w:rPr>
          <w:rFonts w:ascii="Times New Roman" w:hAnsi="Times New Roman" w:cs="Times New Roman"/>
          <w:sz w:val="24"/>
          <w:szCs w:val="24"/>
        </w:rPr>
        <w:t>-</w:t>
      </w:r>
      <w:r w:rsidRPr="00757919">
        <w:rPr>
          <w:rFonts w:ascii="Times New Roman" w:hAnsi="Times New Roman" w:cs="Times New Roman"/>
          <w:sz w:val="24"/>
          <w:szCs w:val="24"/>
        </w:rPr>
        <w:t>adrenergic receptors and ends at</w:t>
      </w:r>
      <w:r w:rsidR="00C2466E" w:rsidRPr="00757919">
        <w:rPr>
          <w:rFonts w:ascii="Times New Roman" w:hAnsi="Times New Roman" w:cs="Times New Roman"/>
          <w:sz w:val="24"/>
          <w:szCs w:val="24"/>
        </w:rPr>
        <w:t xml:space="preserve"> </w:t>
      </w:r>
      <w:r w:rsidR="001964C1">
        <w:rPr>
          <w:rFonts w:ascii="Times New Roman" w:hAnsi="Times New Roman" w:cs="Times New Roman"/>
          <w:iCs/>
          <w:sz w:val="24"/>
          <w:szCs w:val="24"/>
        </w:rPr>
        <w:t>TNFSF11 (RANKL)</w:t>
      </w:r>
      <w:r w:rsidR="00C2466E" w:rsidRPr="001266A5">
        <w:rPr>
          <w:rFonts w:ascii="Times New Roman" w:hAnsi="Times New Roman" w:cs="Times New Roman"/>
          <w:iCs/>
          <w:sz w:val="24"/>
          <w:szCs w:val="24"/>
        </w:rPr>
        <w:t xml:space="preserve"> </w:t>
      </w:r>
      <w:r w:rsidR="00A93446">
        <w:rPr>
          <w:rFonts w:ascii="Times New Roman" w:hAnsi="Times New Roman" w:cs="Times New Roman"/>
          <w:sz w:val="24"/>
          <w:szCs w:val="24"/>
        </w:rPr>
        <w:t>receptors</w:t>
      </w:r>
      <w:r w:rsidR="006938A8">
        <w:rPr>
          <w:rFonts w:ascii="Times New Roman" w:hAnsi="Times New Roman" w:cs="Times New Roman"/>
          <w:sz w:val="24"/>
          <w:szCs w:val="24"/>
        </w:rPr>
        <w:t xml:space="preserve"> </w:t>
      </w:r>
      <w:r w:rsidR="001964C1">
        <w:rPr>
          <w:rFonts w:ascii="Times New Roman" w:hAnsi="Times New Roman" w:cs="Times New Roman"/>
          <w:sz w:val="24"/>
          <w:szCs w:val="24"/>
        </w:rPr>
        <w:t>TNFRSF11A (RANK)</w:t>
      </w:r>
      <w:r w:rsidRPr="001266A5">
        <w:rPr>
          <w:rFonts w:ascii="Times New Roman" w:hAnsi="Times New Roman" w:cs="Times New Roman"/>
          <w:sz w:val="24"/>
          <w:szCs w:val="24"/>
        </w:rPr>
        <w:t xml:space="preserve"> and </w:t>
      </w:r>
      <w:r w:rsidRPr="00BC23F1">
        <w:rPr>
          <w:rFonts w:ascii="Times New Roman" w:hAnsi="Times New Roman" w:cs="Times New Roman"/>
          <w:sz w:val="24"/>
          <w:szCs w:val="24"/>
        </w:rPr>
        <w:t>OPG</w:t>
      </w:r>
      <w:r w:rsidR="006938A8">
        <w:rPr>
          <w:rFonts w:ascii="Times New Roman" w:hAnsi="Times New Roman" w:cs="Times New Roman"/>
          <w:sz w:val="24"/>
          <w:szCs w:val="24"/>
        </w:rPr>
        <w:t xml:space="preserve"> </w:t>
      </w:r>
      <w:r w:rsidRPr="00757919">
        <w:rPr>
          <w:rFonts w:ascii="Times New Roman" w:hAnsi="Times New Roman" w:cs="Times New Roman"/>
          <w:sz w:val="24"/>
          <w:szCs w:val="24"/>
        </w:rPr>
        <w:t>(Figure 1). To further filter our list, we also required that a</w:t>
      </w:r>
      <w:r w:rsidR="00740CAC" w:rsidRPr="00757919">
        <w:rPr>
          <w:rFonts w:ascii="Times New Roman" w:hAnsi="Times New Roman" w:cs="Times New Roman"/>
          <w:sz w:val="24"/>
          <w:szCs w:val="24"/>
        </w:rPr>
        <w:t>t least one</w:t>
      </w:r>
      <w:r w:rsidRPr="00757919">
        <w:rPr>
          <w:rFonts w:ascii="Times New Roman" w:hAnsi="Times New Roman" w:cs="Times New Roman"/>
          <w:sz w:val="24"/>
          <w:szCs w:val="24"/>
        </w:rPr>
        <w:t xml:space="preserve"> SNP </w:t>
      </w:r>
      <w:r w:rsidR="001062DC">
        <w:rPr>
          <w:rFonts w:ascii="Times New Roman" w:hAnsi="Times New Roman" w:cs="Times New Roman"/>
          <w:sz w:val="24"/>
          <w:szCs w:val="24"/>
        </w:rPr>
        <w:t>that mapped to or near each gene</w:t>
      </w:r>
      <w:r w:rsidRPr="00757919">
        <w:rPr>
          <w:rFonts w:ascii="Times New Roman" w:hAnsi="Times New Roman" w:cs="Times New Roman"/>
          <w:sz w:val="24"/>
          <w:szCs w:val="24"/>
        </w:rPr>
        <w:t xml:space="preserve"> ha</w:t>
      </w:r>
      <w:r w:rsidR="000A6F63" w:rsidRPr="00757919">
        <w:rPr>
          <w:rFonts w:ascii="Times New Roman" w:hAnsi="Times New Roman" w:cs="Times New Roman"/>
          <w:sz w:val="24"/>
          <w:szCs w:val="24"/>
        </w:rPr>
        <w:t>ve</w:t>
      </w:r>
      <w:r w:rsidRPr="00757919">
        <w:rPr>
          <w:rFonts w:ascii="Times New Roman" w:hAnsi="Times New Roman" w:cs="Times New Roman"/>
          <w:sz w:val="24"/>
          <w:szCs w:val="24"/>
        </w:rPr>
        <w:t xml:space="preserve"> a suggestive association with </w:t>
      </w:r>
      <w:proofErr w:type="spellStart"/>
      <w:r w:rsidRPr="00757919">
        <w:rPr>
          <w:rFonts w:ascii="Times New Roman" w:hAnsi="Times New Roman" w:cs="Times New Roman"/>
          <w:sz w:val="24"/>
          <w:szCs w:val="24"/>
        </w:rPr>
        <w:t>eBMD</w:t>
      </w:r>
      <w:proofErr w:type="spellEnd"/>
      <w:r w:rsidR="00E44D46">
        <w:rPr>
          <w:rFonts w:ascii="Times New Roman" w:hAnsi="Times New Roman" w:cs="Times New Roman"/>
          <w:sz w:val="24"/>
          <w:szCs w:val="24"/>
        </w:rPr>
        <w:t xml:space="preserve"> (BMD estimated by quantitative ultrasound of the heel)</w:t>
      </w:r>
      <w:r w:rsidRPr="00757919">
        <w:rPr>
          <w:rFonts w:ascii="Times New Roman" w:hAnsi="Times New Roman" w:cs="Times New Roman"/>
          <w:sz w:val="24"/>
          <w:szCs w:val="24"/>
        </w:rPr>
        <w:t xml:space="preserve">, </w:t>
      </w:r>
      <w:r w:rsidR="00757919" w:rsidRPr="00757919">
        <w:rPr>
          <w:rFonts w:ascii="Times New Roman" w:hAnsi="Times New Roman" w:cs="Times New Roman"/>
          <w:sz w:val="24"/>
          <w:szCs w:val="24"/>
        </w:rPr>
        <w:t>FN</w:t>
      </w:r>
      <w:r w:rsidRPr="00757919">
        <w:rPr>
          <w:rFonts w:ascii="Times New Roman" w:hAnsi="Times New Roman" w:cs="Times New Roman"/>
          <w:sz w:val="24"/>
          <w:szCs w:val="24"/>
        </w:rPr>
        <w:t xml:space="preserve"> BMD, or lumbar spine BMD in a previous GWAS stud</w:t>
      </w:r>
      <w:r w:rsidR="001062DC">
        <w:rPr>
          <w:rFonts w:ascii="Times New Roman" w:hAnsi="Times New Roman" w:cs="Times New Roman"/>
          <w:sz w:val="24"/>
          <w:szCs w:val="24"/>
        </w:rPr>
        <w:t>ies</w:t>
      </w:r>
      <w:r w:rsidRPr="00757919">
        <w:rPr>
          <w:rFonts w:ascii="Times New Roman" w:hAnsi="Times New Roman" w:cs="Times New Roman"/>
          <w:sz w:val="24"/>
          <w:szCs w:val="24"/>
        </w:rPr>
        <w:t xml:space="preserve"> as </w:t>
      </w:r>
      <w:r w:rsidR="001062DC" w:rsidRPr="00757919">
        <w:rPr>
          <w:rFonts w:ascii="Times New Roman" w:hAnsi="Times New Roman" w:cs="Times New Roman"/>
          <w:sz w:val="24"/>
          <w:szCs w:val="24"/>
        </w:rPr>
        <w:t>re</w:t>
      </w:r>
      <w:r w:rsidR="001062DC">
        <w:rPr>
          <w:rFonts w:ascii="Times New Roman" w:hAnsi="Times New Roman" w:cs="Times New Roman"/>
          <w:sz w:val="24"/>
          <w:szCs w:val="24"/>
        </w:rPr>
        <w:t>ported</w:t>
      </w:r>
      <w:r w:rsidR="001062DC" w:rsidRPr="00757919">
        <w:rPr>
          <w:rFonts w:ascii="Times New Roman" w:hAnsi="Times New Roman" w:cs="Times New Roman"/>
          <w:sz w:val="24"/>
          <w:szCs w:val="24"/>
        </w:rPr>
        <w:t xml:space="preserve"> </w:t>
      </w:r>
      <w:r w:rsidRPr="00757919">
        <w:rPr>
          <w:rFonts w:ascii="Times New Roman" w:hAnsi="Times New Roman" w:cs="Times New Roman"/>
          <w:sz w:val="24"/>
          <w:szCs w:val="24"/>
        </w:rPr>
        <w:t>in the Musculoskeletal Genomics Knowledge Portal</w:t>
      </w:r>
      <w:r w:rsidR="003237BF" w:rsidRPr="0075791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{"citationID":"hDBj9ItB","properties":{"formattedCitation":"\\super 30\\nosupersub{}","plainCitation":"30","noteIndex":0},"citationItems":[{"id":362,"uris":["http://zotero.org/users/3223062/items/35GPS4EN"],"uri":["http://zotero.org/users/3223062/items/35GPS4EN"],"itemData":{"id":362,"type":"webpage","title":"Musculoskeletal KP","URL":"http://mskkp.org/","accessed":{"date-parts":[["2020",5,14]]}}}],"schema":"https://github.com/citation-style-language/schema/raw/master/csl-citation.json"} </w:instrText>
      </w:r>
      <w:r w:rsidR="003237BF" w:rsidRPr="0075791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30</w:t>
      </w:r>
      <w:r w:rsidR="003237BF" w:rsidRPr="00757919">
        <w:rPr>
          <w:rFonts w:ascii="Times New Roman" w:hAnsi="Times New Roman" w:cs="Times New Roman"/>
          <w:sz w:val="24"/>
          <w:szCs w:val="24"/>
        </w:rPr>
        <w:fldChar w:fldCharType="end"/>
      </w:r>
      <w:r w:rsidRPr="00757919">
        <w:rPr>
          <w:rFonts w:ascii="Times New Roman" w:hAnsi="Times New Roman" w:cs="Times New Roman"/>
          <w:sz w:val="24"/>
          <w:szCs w:val="24"/>
        </w:rPr>
        <w:t xml:space="preserve">. </w:t>
      </w:r>
      <w:r w:rsidR="003237BF" w:rsidRPr="00757919">
        <w:rPr>
          <w:rFonts w:ascii="Times New Roman" w:hAnsi="Times New Roman" w:cs="Times New Roman"/>
          <w:sz w:val="24"/>
          <w:szCs w:val="24"/>
        </w:rPr>
        <w:t xml:space="preserve">A suggestive association </w:t>
      </w:r>
      <w:r w:rsidR="00231E1A" w:rsidRPr="00757919">
        <w:rPr>
          <w:rFonts w:ascii="Times New Roman" w:hAnsi="Times New Roman" w:cs="Times New Roman"/>
          <w:sz w:val="24"/>
          <w:szCs w:val="24"/>
        </w:rPr>
        <w:t>was</w:t>
      </w:r>
      <w:r w:rsidR="003237BF" w:rsidRPr="00757919">
        <w:rPr>
          <w:rFonts w:ascii="Times New Roman" w:hAnsi="Times New Roman" w:cs="Times New Roman"/>
          <w:sz w:val="24"/>
          <w:szCs w:val="24"/>
        </w:rPr>
        <w:t xml:space="preserve"> defined</w:t>
      </w:r>
      <w:r w:rsidR="00842590" w:rsidRPr="00757919">
        <w:rPr>
          <w:rFonts w:ascii="Times New Roman" w:hAnsi="Times New Roman" w:cs="Times New Roman"/>
          <w:sz w:val="24"/>
          <w:szCs w:val="24"/>
        </w:rPr>
        <w:t xml:space="preserve"> </w:t>
      </w:r>
      <w:r w:rsidR="003237BF" w:rsidRPr="00757919">
        <w:rPr>
          <w:rFonts w:ascii="Times New Roman" w:hAnsi="Times New Roman" w:cs="Times New Roman"/>
          <w:sz w:val="24"/>
          <w:szCs w:val="24"/>
        </w:rPr>
        <w:t>as having at least 1 SNP within the coding region ±100 kb that is associated with the phenotype with a p-value &lt; 5 x 10</w:t>
      </w:r>
      <w:r w:rsidR="003237BF" w:rsidRPr="00757919">
        <w:rPr>
          <w:rFonts w:ascii="Times New Roman" w:hAnsi="Times New Roman" w:cs="Times New Roman"/>
          <w:sz w:val="24"/>
          <w:szCs w:val="24"/>
          <w:vertAlign w:val="superscript"/>
        </w:rPr>
        <w:t>-4</w:t>
      </w:r>
      <w:r w:rsidR="00231E1A" w:rsidRPr="00757919">
        <w:rPr>
          <w:rFonts w:ascii="Times New Roman" w:hAnsi="Times New Roman" w:cs="Times New Roman"/>
          <w:sz w:val="24"/>
          <w:szCs w:val="24"/>
        </w:rPr>
        <w:t>, parameters which have been set by the Musculoskeletal Genomics Knowledge Portal</w:t>
      </w:r>
      <w:r w:rsidR="003237BF" w:rsidRPr="00757919">
        <w:rPr>
          <w:rFonts w:ascii="Times New Roman" w:hAnsi="Times New Roman" w:cs="Times New Roman"/>
          <w:sz w:val="24"/>
          <w:szCs w:val="24"/>
        </w:rPr>
        <w:t>.</w:t>
      </w:r>
      <w:r w:rsidR="005A1D6E" w:rsidRPr="00757919">
        <w:rPr>
          <w:rFonts w:ascii="Times New Roman" w:hAnsi="Times New Roman" w:cs="Times New Roman"/>
          <w:sz w:val="24"/>
          <w:szCs w:val="24"/>
        </w:rPr>
        <w:t xml:space="preserve"> Similar parameters have been used as suggestive p-values in previous studies</w:t>
      </w:r>
      <w:r w:rsidR="0090395A" w:rsidRPr="00757919">
        <w:rPr>
          <w:rFonts w:ascii="Times New Roman" w:hAnsi="Times New Roman" w:cs="Times New Roman"/>
          <w:sz w:val="24"/>
          <w:szCs w:val="24"/>
        </w:rPr>
        <w:t>, ranging from 1 x 10</w:t>
      </w:r>
      <w:r w:rsidR="0090395A" w:rsidRPr="00757919">
        <w:rPr>
          <w:rFonts w:ascii="Times New Roman" w:hAnsi="Times New Roman" w:cs="Times New Roman"/>
          <w:sz w:val="24"/>
          <w:szCs w:val="24"/>
          <w:vertAlign w:val="superscript"/>
        </w:rPr>
        <w:t xml:space="preserve">-4 </w:t>
      </w:r>
      <w:r w:rsidR="0090395A" w:rsidRPr="00757919">
        <w:rPr>
          <w:rFonts w:ascii="Times New Roman" w:hAnsi="Times New Roman" w:cs="Times New Roman"/>
          <w:sz w:val="24"/>
          <w:szCs w:val="24"/>
        </w:rPr>
        <w:t>to 1 x 10</w:t>
      </w:r>
      <w:r w:rsidR="0090395A" w:rsidRPr="00757919">
        <w:rPr>
          <w:rFonts w:ascii="Times New Roman" w:hAnsi="Times New Roman" w:cs="Times New Roman"/>
          <w:sz w:val="24"/>
          <w:szCs w:val="24"/>
          <w:vertAlign w:val="superscript"/>
        </w:rPr>
        <w:t xml:space="preserve">-6 </w:t>
      </w:r>
      <w:r w:rsidR="0090395A" w:rsidRPr="00757919">
        <w:rPr>
          <w:rFonts w:ascii="Times New Roman" w:hAnsi="Times New Roman" w:cs="Times New Roman"/>
          <w:sz w:val="24"/>
          <w:szCs w:val="24"/>
          <w:vertAlign w:val="superscript"/>
        </w:rPr>
        <w:fldChar w:fldCharType="begin"/>
      </w:r>
      <w:r w:rsidR="00A568A5">
        <w:rPr>
          <w:rFonts w:ascii="Times New Roman" w:hAnsi="Times New Roman" w:cs="Times New Roman"/>
          <w:sz w:val="24"/>
          <w:szCs w:val="24"/>
          <w:vertAlign w:val="superscript"/>
        </w:rPr>
        <w:instrText xml:space="preserve"> ADDIN ZOTERO_ITEM CSL_CITATION {"citationID":"9seRG8jC","properties":{"formattedCitation":"\\super 61,62\\nosupersub{}","plainCitation":"61,62","noteIndex":0},"citationItems":[{"id":1580,"uris":["http://zotero.org/users/3223062/items/RIVPB4KR"],"uri":["http://zotero.org/users/3223062/items/RIVPB4KR"],"itemData":{"id":1580,"type":"article-journal","abstract":"BackgroundThere exists a wide interindividual variability in blood pressure (BP) response to β1‐blockers. To identify the genetic determinants of this variability, we performed a pharmacogenomic genome‐wide meta‐analysis of genetic variants influencing β1‐blocker BP response.Methods and ResultsGenome‐wide association analysis for systolic BP and diastolic BP response to β1‐blockers from 5 randomized clinical trials consisting of 1254 patients with hypertension of European ancestry were combined in meta‐analysis and single nucleotide polymorphisms (SNPs) with P&lt;10−4 were tested for replication in 2 independent randomized clinical trials of β1‐blocker–treated patients of European ancestry (n=1552). Regions harboring the replicated SNPs were validated in a β1‐blocker–treated black cohort from 2 randomized clinical trials (n=315). A missense SNP rs28404156 in BST1 was associated with systolic BP response to β1‐blockers in the discovery meta‐analysis (P=9.33×10−5, β=−3.21 mm Hg) and replicated at Bonferroni significance (P=1.85×10−4, β=−4.86 mm Hg) in the replication meta‐analysis with combined meta‐analysis approaching genome‐wide significance (P=2.18×10−7). This SNP in BST1 is in linkage disequilibrium with several SNPs with putative regulatory functions in nearby genes, including CD38,FBXL5, and FGFBP1, all of which have been implicated in BP regulation. SNPs in this genetic region were also associated with BP response in the black cohort.ConclusionsData from randomized clinical trials of 8 European ancestry and 2 black cohorts support the assumption that BST1 containing locus on chromosome 4 is associated with β1‐blocker BP response. Given the previous associations of this region with BP, this is a strong candidate region for future functional studies and potential use in precision medicine approaches for BP management and risk prediction.","container-title":"Journal of the American Heart Association","DOI":"10.1161/JAHA.119.013115","issue":"16","journalAbbreviation":"Journal of the American Heart Association","note":"publisher: American Heart Association","page":"e013115","source":"ahajournals.org (Atypon)","title":"Genome‐Wide Meta‐Analysis of Blood Pressure Response to β1‐Blockers: Results From ICAPS (International Consortium of Antihypertensive Pharmacogenomics Studies)","title-short":"Genome‐Wide Meta‐Analysis of Blood Pressure Response to β1‐Blockers","volume":"8","author":[{"literal":"Singh Sonal"},{"literal":"Warren Helen R."},{"literal":"Hiltunen Timo P."},{"literal":"McDonough Caitrin W."},{"literal":"El Rouby Nihal"},{"literal":"Salvi Erika"},{"literal":"Wang Zhiying"},{"literal":"Garofalidou Tatiana"},{"literal":"Fyhrquist Frej"},{"literal":"Kontula Kimmo K."},{"literal":"Glorioso Valeria"},{"literal":"Zaninello Roberta"},{"literal":"Glorioso Nicola"},{"literal":"Pepine Carl J."},{"literal":"Munroe Patricia B."},{"literal":"Turner Stephan T."},{"literal":"Chapman Arlene B."},{"literal":"Boerwinkle Eric"},{"literal":"Johnson Julie A."},{"literal":"Gong Yan"},{"literal":"Cooper‐DeHoff Rhonda M."}],"issued":{"date-parts":[["2019",8,20]]}}},{"id":1577,"uris":["http://zotero.org/users/3223062/items/KQQ6Y6LQ"],"uri":["http://zotero.org/users/3223062/items/KQQ6Y6LQ"],"itemData":{"id":1577,"type":"article-journal","abstract":"Background\nBy assaying hundreds of thousands of single nucleotide polymorphisms, genome wide association studies (GWAS) allow for a powerful, unbiased review of the entire genome to localize common genetic variants that influence health and disease. Although it is widely recognized that some correction for multiple testing is necessary, in order to control the family-wide Type 1 Error in genetic association studies, it is not clear which method to utilize. One simple approach is to perform a Bonferroni correction using all n single nucleotide polymorphisms (SNPs) across the genome; however this approach is highly conservative and would \"overcorrect\" for SNPs that are not truly independent. Many SNPs fall within regions of strong linkage disequilibrium (LD) (\"blocks\") and should not be considered \"independent\".\n\nResults\nWe proposed to approximate the number of \"independent\" SNPs by counting 1 SNP per LD block, plus all SNPs outside of blocks (interblock SNPs). We examined the effective number of independent SNPs for Genome Wide Association Study (GWAS) panels. In the CEPH Utah (CEU) population, by considering the interdependence of SNPs, we could reduce the total number of effective tests within the Affymetrix and Illumina SNP panels from 500,000 and 317,000 to 67,000 and 82,000 \"independent\" SNPs, respectively. For the Affymetrix 500 K and Illumina 317 K GWAS SNP panels we recommend using 10-5, 10-7 and 10-8 and for the Phase II HapMap CEPH Utah and Yoruba populations we recommend using 10-6, 10-7 and 10-9 as \"suggestive\", \"significant\" and \"highly significant\" p-value thresholds to properly control the family-wide Type 1 error.\n\nConclusion\nBy approximating the effective number of independent SNPs across the genome we are able to 'correct' for a more accurate number of tests and therefore develop 'LD adjusted' Bonferroni corrected p-value thresholds that account for the interdepdendence of SNPs on well-utilized commercially available SNP \"chips\". These thresholds will serve as guides to researchers trying to decide which regions of the genome should be studied further.","container-title":"BMC Genomics","DOI":"10.1186/1471-2164-9-516","ISSN":"1471-2164","journalAbbreviation":"BMC Genomics","note":"PMID: 18976480\nPMCID: PMC2621212","page":"516","source":"PubMed Central","title":"Establishing an adjusted p-value threshold to control the family-wide type 1 error in genome wide association studies","volume":"9","author":[{"family":"Duggal","given":"Priya"},{"family":"Gillanders","given":"Elizabeth M"},{"family":"Holmes","given":"Taura N"},{"family":"Bailey-Wilson","given":"Joan E"}],"issued":{"date-parts":[["2008",10,31]]}}}],"schema":"https://github.com/citation-style-language/schema/raw/master/csl-citation.json"} </w:instrText>
      </w:r>
      <w:r w:rsidR="0090395A" w:rsidRPr="00757919">
        <w:rPr>
          <w:rFonts w:ascii="Times New Roman" w:hAnsi="Times New Roman" w:cs="Times New Roman"/>
          <w:sz w:val="24"/>
          <w:szCs w:val="24"/>
          <w:vertAlign w:val="superscript"/>
        </w:rPr>
        <w:fldChar w:fldCharType="separate"/>
      </w:r>
      <w:r w:rsidR="00A568A5" w:rsidRPr="00A568A5">
        <w:rPr>
          <w:rFonts w:ascii="Times New Roman" w:hAnsi="Times New Roman" w:cs="Times New Roman"/>
          <w:sz w:val="24"/>
          <w:szCs w:val="24"/>
          <w:vertAlign w:val="superscript"/>
        </w:rPr>
        <w:t>61,62</w:t>
      </w:r>
      <w:r w:rsidR="0090395A" w:rsidRPr="00757919">
        <w:rPr>
          <w:rFonts w:ascii="Times New Roman" w:hAnsi="Times New Roman" w:cs="Times New Roman"/>
          <w:sz w:val="24"/>
          <w:szCs w:val="24"/>
          <w:vertAlign w:val="superscript"/>
        </w:rPr>
        <w:fldChar w:fldCharType="end"/>
      </w:r>
      <w:r w:rsidR="005A1D6E" w:rsidRPr="00757919">
        <w:rPr>
          <w:rFonts w:ascii="Times New Roman" w:hAnsi="Times New Roman" w:cs="Times New Roman"/>
          <w:sz w:val="24"/>
          <w:szCs w:val="24"/>
        </w:rPr>
        <w:t>.</w:t>
      </w:r>
      <w:r w:rsidR="003237BF" w:rsidRPr="00757919">
        <w:rPr>
          <w:rFonts w:ascii="Times New Roman" w:hAnsi="Times New Roman" w:cs="Times New Roman"/>
          <w:sz w:val="24"/>
          <w:szCs w:val="24"/>
        </w:rPr>
        <w:t xml:space="preserve"> </w:t>
      </w:r>
      <w:r w:rsidRPr="00757919">
        <w:rPr>
          <w:rFonts w:ascii="Times New Roman" w:hAnsi="Times New Roman" w:cs="Times New Roman"/>
          <w:sz w:val="24"/>
          <w:szCs w:val="24"/>
        </w:rPr>
        <w:t>Our final gene list contained 13 genes:</w:t>
      </w:r>
      <w:r w:rsidR="00842590" w:rsidRPr="00757919">
        <w:rPr>
          <w:rFonts w:ascii="Times New Roman" w:hAnsi="Times New Roman" w:cs="Times New Roman"/>
          <w:sz w:val="24"/>
          <w:szCs w:val="24"/>
        </w:rPr>
        <w:t xml:space="preserve"> 3</w:t>
      </w:r>
      <w:r w:rsidRPr="00757919">
        <w:rPr>
          <w:rFonts w:ascii="Times New Roman" w:hAnsi="Times New Roman" w:cs="Times New Roman"/>
          <w:sz w:val="24"/>
          <w:szCs w:val="24"/>
        </w:rPr>
        <w:t xml:space="preserve"> </w:t>
      </w:r>
      <w:r w:rsidR="00A84F33">
        <w:rPr>
          <w:rFonts w:ascii="Times New Roman" w:hAnsi="Times New Roman" w:cs="Times New Roman"/>
          <w:sz w:val="24"/>
          <w:szCs w:val="24"/>
        </w:rPr>
        <w:t>β</w:t>
      </w:r>
      <w:r w:rsidR="00842590" w:rsidRPr="00757919">
        <w:rPr>
          <w:rFonts w:ascii="Times New Roman" w:hAnsi="Times New Roman" w:cs="Times New Roman"/>
          <w:sz w:val="24"/>
          <w:szCs w:val="24"/>
        </w:rPr>
        <w:t>-adrenergic receptor genes (</w:t>
      </w:r>
      <w:r w:rsidRPr="00757919">
        <w:rPr>
          <w:rFonts w:ascii="Times New Roman" w:hAnsi="Times New Roman" w:cs="Times New Roman"/>
          <w:i/>
          <w:iCs/>
          <w:sz w:val="24"/>
          <w:szCs w:val="24"/>
        </w:rPr>
        <w:t>ADRB1</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A</w:t>
      </w:r>
      <w:r w:rsidR="004D544C" w:rsidRPr="00757919">
        <w:rPr>
          <w:rFonts w:ascii="Times New Roman" w:hAnsi="Times New Roman" w:cs="Times New Roman"/>
          <w:i/>
          <w:iCs/>
          <w:sz w:val="24"/>
          <w:szCs w:val="24"/>
        </w:rPr>
        <w:t>D</w:t>
      </w:r>
      <w:r w:rsidRPr="00757919">
        <w:rPr>
          <w:rFonts w:ascii="Times New Roman" w:hAnsi="Times New Roman" w:cs="Times New Roman"/>
          <w:i/>
          <w:iCs/>
          <w:sz w:val="24"/>
          <w:szCs w:val="24"/>
        </w:rPr>
        <w:t>RB2</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ADRB3</w:t>
      </w:r>
      <w:r w:rsidR="00842590" w:rsidRPr="00757919">
        <w:rPr>
          <w:rFonts w:ascii="Times New Roman" w:hAnsi="Times New Roman" w:cs="Times New Roman"/>
          <w:i/>
          <w:iCs/>
          <w:sz w:val="24"/>
          <w:szCs w:val="24"/>
        </w:rPr>
        <w:t>)</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w:t>
      </w:r>
      <w:r w:rsidR="00842590" w:rsidRPr="00757919">
        <w:rPr>
          <w:rFonts w:ascii="Times New Roman" w:hAnsi="Times New Roman" w:cs="Times New Roman"/>
          <w:sz w:val="24"/>
          <w:szCs w:val="24"/>
        </w:rPr>
        <w:t>5 PKA subunits</w:t>
      </w:r>
      <w:r w:rsidR="00FA7E76" w:rsidRPr="00757919">
        <w:rPr>
          <w:rFonts w:ascii="Times New Roman" w:hAnsi="Times New Roman" w:cs="Times New Roman"/>
          <w:sz w:val="24"/>
          <w:szCs w:val="24"/>
        </w:rPr>
        <w:t xml:space="preserve"> </w:t>
      </w:r>
      <w:r w:rsidR="00842590" w:rsidRPr="00757919">
        <w:rPr>
          <w:rFonts w:ascii="Times New Roman" w:hAnsi="Times New Roman" w:cs="Times New Roman"/>
          <w:i/>
          <w:iCs/>
          <w:sz w:val="24"/>
          <w:szCs w:val="24"/>
        </w:rPr>
        <w:t>(</w:t>
      </w:r>
      <w:r w:rsidRPr="00757919">
        <w:rPr>
          <w:rFonts w:ascii="Times New Roman" w:hAnsi="Times New Roman" w:cs="Times New Roman"/>
          <w:i/>
          <w:iCs/>
          <w:sz w:val="24"/>
          <w:szCs w:val="24"/>
        </w:rPr>
        <w:t>PRKACB</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PRKAR1A</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PRKAR1B</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PRKAR2A</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PRKAR2B</w:t>
      </w:r>
      <w:r w:rsidR="00842590" w:rsidRPr="00757919">
        <w:rPr>
          <w:rFonts w:ascii="Times New Roman" w:hAnsi="Times New Roman" w:cs="Times New Roman"/>
          <w:i/>
          <w:iCs/>
          <w:sz w:val="24"/>
          <w:szCs w:val="24"/>
        </w:rPr>
        <w:t>)</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HDAC4</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ATF4</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w:t>
      </w:r>
      <w:r w:rsidR="001964C1">
        <w:rPr>
          <w:rFonts w:ascii="Times New Roman" w:hAnsi="Times New Roman" w:cs="Times New Roman"/>
          <w:i/>
          <w:iCs/>
          <w:sz w:val="24"/>
          <w:szCs w:val="24"/>
        </w:rPr>
        <w:t>TNFSF11 (RANKL)</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w:t>
      </w:r>
      <w:r w:rsidR="001964C1">
        <w:rPr>
          <w:rFonts w:ascii="Times New Roman" w:hAnsi="Times New Roman" w:cs="Times New Roman"/>
          <w:i/>
          <w:iCs/>
          <w:sz w:val="24"/>
          <w:szCs w:val="24"/>
        </w:rPr>
        <w:t>TNFRSF11A (RANK)</w:t>
      </w:r>
      <w:r w:rsidRPr="00757919">
        <w:rPr>
          <w:rFonts w:ascii="Times New Roman" w:hAnsi="Times New Roman" w:cs="Times New Roman"/>
          <w:sz w:val="24"/>
          <w:szCs w:val="24"/>
        </w:rPr>
        <w:t>,</w:t>
      </w:r>
      <w:r w:rsidRPr="00757919">
        <w:rPr>
          <w:rFonts w:ascii="Times New Roman" w:hAnsi="Times New Roman" w:cs="Times New Roman"/>
          <w:i/>
          <w:iCs/>
          <w:sz w:val="24"/>
          <w:szCs w:val="24"/>
        </w:rPr>
        <w:t xml:space="preserve"> </w:t>
      </w:r>
      <w:r w:rsidRPr="00757919">
        <w:rPr>
          <w:rFonts w:ascii="Times New Roman" w:hAnsi="Times New Roman" w:cs="Times New Roman"/>
          <w:sz w:val="24"/>
          <w:szCs w:val="24"/>
        </w:rPr>
        <w:t xml:space="preserve">and </w:t>
      </w:r>
      <w:r w:rsidRPr="00757919">
        <w:rPr>
          <w:rFonts w:ascii="Times New Roman" w:hAnsi="Times New Roman" w:cs="Times New Roman"/>
          <w:i/>
          <w:iCs/>
          <w:sz w:val="24"/>
          <w:szCs w:val="24"/>
        </w:rPr>
        <w:t>OPG</w:t>
      </w:r>
      <w:r w:rsidRPr="00757919">
        <w:rPr>
          <w:rFonts w:ascii="Times New Roman" w:hAnsi="Times New Roman" w:cs="Times New Roman"/>
          <w:sz w:val="24"/>
          <w:szCs w:val="24"/>
        </w:rPr>
        <w:t>.</w:t>
      </w:r>
    </w:p>
    <w:p w14:paraId="3D128335" w14:textId="1ECD5B01" w:rsidR="00491E2C" w:rsidRPr="00757919" w:rsidRDefault="00491E2C" w:rsidP="00864F3F">
      <w:pPr>
        <w:spacing w:line="480" w:lineRule="auto"/>
        <w:rPr>
          <w:rFonts w:ascii="Times New Roman" w:hAnsi="Times New Roman" w:cs="Times New Roman"/>
          <w:i/>
          <w:sz w:val="24"/>
          <w:szCs w:val="24"/>
        </w:rPr>
      </w:pPr>
      <w:r w:rsidRPr="00757919">
        <w:rPr>
          <w:rFonts w:ascii="Times New Roman" w:hAnsi="Times New Roman" w:cs="Times New Roman"/>
          <w:i/>
          <w:sz w:val="24"/>
          <w:szCs w:val="24"/>
        </w:rPr>
        <w:lastRenderedPageBreak/>
        <w:t xml:space="preserve">Identifying SNPs of </w:t>
      </w:r>
      <w:r w:rsidR="009C5EBA">
        <w:rPr>
          <w:rFonts w:ascii="Times New Roman" w:hAnsi="Times New Roman" w:cs="Times New Roman"/>
          <w:i/>
          <w:sz w:val="24"/>
          <w:szCs w:val="24"/>
        </w:rPr>
        <w:t>I</w:t>
      </w:r>
      <w:r w:rsidRPr="00757919">
        <w:rPr>
          <w:rFonts w:ascii="Times New Roman" w:hAnsi="Times New Roman" w:cs="Times New Roman"/>
          <w:i/>
          <w:sz w:val="24"/>
          <w:szCs w:val="24"/>
        </w:rPr>
        <w:t>nterest</w:t>
      </w:r>
    </w:p>
    <w:p w14:paraId="0A404AA5" w14:textId="2094FEF6" w:rsidR="00491E2C" w:rsidRPr="00757919" w:rsidRDefault="0054033C" w:rsidP="00864F3F">
      <w:pPr>
        <w:spacing w:line="480" w:lineRule="auto"/>
        <w:rPr>
          <w:rFonts w:ascii="Times New Roman" w:hAnsi="Times New Roman" w:cs="Times New Roman"/>
          <w:sz w:val="24"/>
          <w:szCs w:val="24"/>
        </w:rPr>
      </w:pPr>
      <w:r>
        <w:rPr>
          <w:rFonts w:ascii="Times New Roman" w:hAnsi="Times New Roman" w:cs="Times New Roman"/>
          <w:sz w:val="24"/>
          <w:szCs w:val="24"/>
        </w:rPr>
        <w:t xml:space="preserve">We performed our analysis in a </w:t>
      </w:r>
      <w:proofErr w:type="gramStart"/>
      <w:r>
        <w:rPr>
          <w:rFonts w:ascii="Times New Roman" w:hAnsi="Times New Roman" w:cs="Times New Roman"/>
          <w:sz w:val="24"/>
          <w:szCs w:val="24"/>
        </w:rPr>
        <w:t>two stage</w:t>
      </w:r>
      <w:proofErr w:type="gramEnd"/>
      <w:r>
        <w:rPr>
          <w:rFonts w:ascii="Times New Roman" w:hAnsi="Times New Roman" w:cs="Times New Roman"/>
          <w:sz w:val="24"/>
          <w:szCs w:val="24"/>
        </w:rPr>
        <w:t xml:space="preserve"> design, in which we used Framingham as the discovery cohort and then sought to validate our top SNPs in replications cohorts. This strategy has been used in previous pharmacogenetic studies</w:t>
      </w:r>
      <w:r w:rsidR="000E575F">
        <w:rPr>
          <w:rFonts w:ascii="Times New Roman" w:hAnsi="Times New Roman" w:cs="Times New Roman"/>
          <w:sz w:val="24"/>
          <w:szCs w:val="24"/>
        </w:rPr>
        <w:fldChar w:fldCharType="begin"/>
      </w:r>
      <w:r w:rsidR="000E575F">
        <w:rPr>
          <w:rFonts w:ascii="Times New Roman" w:hAnsi="Times New Roman" w:cs="Times New Roman"/>
          <w:sz w:val="24"/>
          <w:szCs w:val="24"/>
        </w:rPr>
        <w:instrText xml:space="preserve"> ADDIN ZOTERO_ITEM CSL_CITATION {"citationID":"qR5hRMwR","properties":{"formattedCitation":"\\super 63\\nosupersub{}","plainCitation":"63","noteIndex":0},"citationItems":[{"id":1704,"uris":["http://zotero.org/users/3223062/items/2PT9G7IB"],"uri":["http://zotero.org/users/3223062/items/2PT9G7IB"],"itemData":{"id":1704,"type":"article-journal","abstract":"BACKGROUND: Thiazide and thiazide-like diuretics are first-line medications for treating uncomplicated hypertension. However, their use has been associated with adverse metabolic events, including hyperglycemia and incident diabetes mellitus, with incompletely understood mechanisms. Our goal was to identify genomic variants associated with thiazide-like diuretic/chlorthalidone-induced glucose change.\nMETHODS AND RESULTS: Genome-wide analysis of glucose change after treatment with chlorthalidone was performed by race among the white (n=175) and black (n=135) participants from the PEAR-2 (Pharmacogenomic Evaluation of Antihypertensive Responses-2). Single-nucleotide polymorphisms with P&lt;5×10-8 were further prioritized using in silico analysis based on their expression quantitative trait loci function. Among blacks, an intronic single-nucleotide polymorphism (rs9943291) in the HMGCS2 was associated with increase in glucose levels following chlorthalidone treatment (ß=12.5; P=4.17×10-8). G-allele carriers of HMGCS2 had higher glucose levels (glucose change=+16.29 mg/dL) post chlorthalidone treatment compared with noncarriers of G allele (glucose change=+2.80 mg/dL). This association was successfully replicated in an independent replication cohort of hydrochlorothiazide-treated participants from the PEAR study (ß=5.54; P=0.023). A meta-analysis of the 2 studies was performed by race in Meta-Analysis Helper, where this single-nucleotide polymorphism, rs9943291, was genome-wide significant with a meta-analysis P value of 3.71×10-8. HMGCS2, a part of the HMG-CoA synthase family, is important for ketogenesis and cholesterol synthesis pathways that are essential in glucose homeostasis.\nCONCLUSIONS: These results suggest that HMGCS2 is a promising candidate gene involved in chlorthalidone and Hydrochlorothiazide (HCTZ)-induced glucose change. This may provide insights into the mechanisms involved in thiazide-induced hyperglycemia that may ultimately facilitate personalized approaches to antihypertensive selection for hypertension treatment.\nCLINICAL TRIAL REGISTRATION: URL: http://www.clinicaltrials.gov. Unique identifiers: NCT00246519 and NCT01203852.","container-title":"Journal of the American Heart Association","DOI":"10.1161/JAHA.117.007339","ISSN":"2047-9980","issue":"6","journalAbbreviation":"J Am Heart Assoc","language":"eng","note":"PMID: 29523524\nPMCID: PMC5907544","source":"PubMed","title":"Genome Wide Association Study Identifies the HMGCS2 Locus to be Associated With Chlorthalidone Induced Glucose Increase in Hypertensive Patients","volume":"7","author":[{"family":"Singh","given":"Sonal"},{"family":"McDonough","given":"Caitrin W."},{"family":"Gong","given":"Yan"},{"family":"Alghamdi","given":"Wael A."},{"family":"Arwood","given":"Meghan J."},{"family":"Bargal","given":"Salma A."},{"family":"Dumeny","given":"Leanne"},{"family":"Li","given":"Wen-Yi"},{"family":"Mehanna","given":"Mai"},{"family":"Stockard","given":"Bradley"},{"family":"Yang","given":"Guang"},{"family":"Oliveira","given":"Felipe A.","non-dropping-particle":"de"},{"family":"Fredette","given":"Natalie C."},{"family":"Shahin","given":"Mohamed H."},{"family":"Bailey","given":"Kent R."},{"family":"Beitelshees","given":"Amber L."},{"family":"Boerwinkle","given":"Eric"},{"family":"Chapman","given":"Arlene B."},{"family":"Gums","given":"John G."},{"family":"Turner","given":"Stephen T."},{"family":"Cooper-DeHoff","given":"Rhonda M."},{"family":"Johnson","given":"Julie A."}],"issued":{"date-parts":[["2018",3,9]]}}}],"schema":"https://github.com/citation-style-language/schema/raw/master/csl-citation.json"} </w:instrText>
      </w:r>
      <w:r w:rsidR="000E575F">
        <w:rPr>
          <w:rFonts w:ascii="Times New Roman" w:hAnsi="Times New Roman" w:cs="Times New Roman"/>
          <w:sz w:val="24"/>
          <w:szCs w:val="24"/>
        </w:rPr>
        <w:fldChar w:fldCharType="separate"/>
      </w:r>
      <w:r w:rsidR="000E575F" w:rsidRPr="000E575F">
        <w:rPr>
          <w:rFonts w:ascii="Times New Roman" w:hAnsi="Times New Roman" w:cs="Times New Roman"/>
          <w:sz w:val="24"/>
          <w:szCs w:val="24"/>
          <w:vertAlign w:val="superscript"/>
        </w:rPr>
        <w:t>63</w:t>
      </w:r>
      <w:r w:rsidR="000E575F">
        <w:rPr>
          <w:rFonts w:ascii="Times New Roman" w:hAnsi="Times New Roman" w:cs="Times New Roman"/>
          <w:sz w:val="24"/>
          <w:szCs w:val="24"/>
        </w:rPr>
        <w:fldChar w:fldCharType="end"/>
      </w:r>
      <w:r w:rsidR="000E575F">
        <w:rPr>
          <w:rFonts w:ascii="Times New Roman" w:hAnsi="Times New Roman" w:cs="Times New Roman"/>
          <w:sz w:val="24"/>
          <w:szCs w:val="24"/>
        </w:rPr>
        <w:t>.</w:t>
      </w:r>
      <w:r>
        <w:rPr>
          <w:rFonts w:ascii="Times New Roman" w:hAnsi="Times New Roman" w:cs="Times New Roman"/>
          <w:sz w:val="24"/>
          <w:szCs w:val="24"/>
        </w:rPr>
        <w:t xml:space="preserve"> </w:t>
      </w:r>
      <w:r w:rsidR="00CE7371">
        <w:rPr>
          <w:rFonts w:ascii="Times New Roman" w:hAnsi="Times New Roman" w:cs="Times New Roman"/>
          <w:sz w:val="24"/>
          <w:szCs w:val="24"/>
        </w:rPr>
        <w:t>Polymorphism</w:t>
      </w:r>
      <w:r w:rsidR="00464B11" w:rsidRPr="00757919">
        <w:rPr>
          <w:rFonts w:ascii="Times New Roman" w:hAnsi="Times New Roman" w:cs="Times New Roman"/>
          <w:sz w:val="24"/>
          <w:szCs w:val="24"/>
        </w:rPr>
        <w:t xml:space="preserve">s had previously been </w:t>
      </w:r>
      <w:r w:rsidR="00FA7E76" w:rsidRPr="00757919">
        <w:rPr>
          <w:rFonts w:ascii="Times New Roman" w:hAnsi="Times New Roman" w:cs="Times New Roman"/>
          <w:sz w:val="24"/>
          <w:szCs w:val="24"/>
        </w:rPr>
        <w:t xml:space="preserve">excluded </w:t>
      </w:r>
      <w:r w:rsidR="00464B11" w:rsidRPr="00757919">
        <w:rPr>
          <w:rFonts w:ascii="Times New Roman" w:hAnsi="Times New Roman" w:cs="Times New Roman"/>
          <w:sz w:val="24"/>
          <w:szCs w:val="24"/>
        </w:rPr>
        <w:t xml:space="preserve">if they satisfied any of the following criteria: </w:t>
      </w:r>
      <w:r w:rsidR="00464B11" w:rsidRPr="00757919">
        <w:rPr>
          <w:rFonts w:ascii="Times New Roman" w:hAnsi="Times New Roman" w:cs="Times New Roman"/>
          <w:iCs/>
          <w:sz w:val="24"/>
          <w:szCs w:val="24"/>
          <w:lang w:val="en"/>
        </w:rPr>
        <w:t xml:space="preserve">Hardy-Weinberg equilibrium value p-value less than </w:t>
      </w:r>
      <w:r w:rsidR="001062DC">
        <w:rPr>
          <w:rFonts w:ascii="Times New Roman" w:hAnsi="Times New Roman" w:cs="Times New Roman"/>
          <w:iCs/>
          <w:sz w:val="24"/>
          <w:szCs w:val="24"/>
          <w:lang w:val="en"/>
        </w:rPr>
        <w:t xml:space="preserve">1 x </w:t>
      </w:r>
      <w:r w:rsidR="00464B11" w:rsidRPr="00757919">
        <w:rPr>
          <w:rFonts w:ascii="Times New Roman" w:hAnsi="Times New Roman" w:cs="Times New Roman"/>
          <w:iCs/>
          <w:sz w:val="24"/>
          <w:szCs w:val="24"/>
          <w:lang w:val="en"/>
        </w:rPr>
        <w:t>10</w:t>
      </w:r>
      <w:r w:rsidR="00464B11" w:rsidRPr="00757919">
        <w:rPr>
          <w:rFonts w:ascii="Times New Roman" w:hAnsi="Times New Roman" w:cs="Times New Roman"/>
          <w:iCs/>
          <w:sz w:val="24"/>
          <w:szCs w:val="24"/>
          <w:vertAlign w:val="superscript"/>
          <w:lang w:val="en"/>
        </w:rPr>
        <w:t>-6</w:t>
      </w:r>
      <w:r w:rsidR="00464B11" w:rsidRPr="00757919">
        <w:rPr>
          <w:rFonts w:ascii="Times New Roman" w:hAnsi="Times New Roman" w:cs="Times New Roman"/>
          <w:iCs/>
          <w:sz w:val="24"/>
          <w:szCs w:val="24"/>
          <w:lang w:val="en"/>
        </w:rPr>
        <w:t>, call rate less than 96.9%, minor allele frequency less than 0.01, number of Mendelian errors greater or equal to 1000, or at locations that did not map to GRCh37</w:t>
      </w:r>
      <w:r w:rsidR="00AE6797" w:rsidRPr="00757919">
        <w:rPr>
          <w:rFonts w:ascii="Times New Roman" w:hAnsi="Times New Roman" w:cs="Times New Roman"/>
          <w:iCs/>
          <w:sz w:val="24"/>
          <w:szCs w:val="24"/>
          <w:lang w:val="en"/>
        </w:rPr>
        <w:fldChar w:fldCharType="begin"/>
      </w:r>
      <w:r w:rsidR="00A568A5">
        <w:rPr>
          <w:rFonts w:ascii="Times New Roman" w:hAnsi="Times New Roman" w:cs="Times New Roman"/>
          <w:iCs/>
          <w:sz w:val="24"/>
          <w:szCs w:val="24"/>
          <w:lang w:val="en"/>
        </w:rPr>
        <w:instrText xml:space="preserve"> ADDIN ZOTERO_ITEM CSL_CITATION {"citationID":"JIKjYwYt","properties":{"formattedCitation":"\\super 56,57\\nosupersub{}","plainCitation":"56,57","noteIndex":0},"citationItems":[{"id":334,"uris":["http://zotero.org/users/3223062/items/JUH829CT"],"uri":["http://zotero.org/users/3223062/items/JUH829CT"],"itemData":{"id":334,"type":"article-journal","abstract":"Recent analyses have suggested a strong heritable component to circulating fatty acid (FA) levels; however, only a limited number of genes have been identified which associate with FA levels. In order to expand upon a previous genome wide association study done on participants in the Framingham Heart Study Offspring Cohort and FA levels, we used data from 2,400 of these individuals for whom red blood cell FA profiles, dietary information and genotypes are available, and then conducted a genome-wide evaluation of potential genetic variants associated with 22 FAs and 15 FA ratios, after adjusting for relevant dietary covariates. Our analysis found nine previously identified loci associated with FA levels (FADS, ELOVL2, PCOLCE2, LPCAT3, AGPAT4, NTAN1/PDXDC1, PKD2L1, HBS1L/MYB and RAB3GAP1/MCM6), while identifying four novel loci. The latter include an association between variants in CALN1 (Chromosome 7) and eicosapentaenoic acid (EPA), DHRS4L2 (Chromosome 14) and a FA ratio measuring delta-9-desaturase activity, as well as two loci associated with less well understood proteins. Thus, the inclusion of dietary covariates had a modest impact, helping to uncover four additional loci. While genome-wide association studies continue to uncover additional genes associated with circulating FA levels, much of the heritable risk is yet to be explained, suggesting the potential role of rare genetic variation, epistasis and gene-environment interactions on FA levels as well. Further studies are needed to continue to understand the complex genetic picture of FA metabolism and synthesis.","container-title":"PLOS ONE","DOI":"10.1371/journal.pone.0194882","ISSN":"1932-6203","issue":"4","journalAbbreviation":"PLOS ONE","language":"en","note":"publisher: Public Library of Science","page":"e0194882","source":"PLoS Journals","title":"A genome-wide association study of red-blood cell fatty acids and ratios incorporating dietary covariates: Framingham Heart Study Offspring Cohort","title-short":"A genome-wide association study of red-blood cell fatty acids and ratios incorporating dietary covariates","volume":"13","author":[{"family":"Kalsbeek","given":"Anya"},{"family":"Veenstra","given":"Jenna"},{"family":"Westra","given":"Jason"},{"family":"Disselkoen","given":"Craig"},{"family":"Koch","given":"Kristin"},{"family":"McKenzie","given":"Katelyn A."},{"family":"O’Bott","given":"Jacob"},{"family":"Woude","given":"Jason Vander"},{"family":"Fischer","given":"Karen"},{"family":"Shearer","given":"Greg C."},{"family":"Harris","given":"William S."},{"family":"Tintle","given":"Nathan L."}],"issued":{"date-parts":[["2018",4,13]]}}},{"id":335,"uris":["http://zotero.org/users/3223062/items/E64H5P8I"],"uri":["http://zotero.org/users/3223062/items/E64H5P8I"],"itemData":{"id":335,"type":"article-journal","container-title":"Circulation. Cardiovascular genetics","DOI":"10.1161/CIRCGENETICS.108.829747","ISSN":"1942-325X","issue":"1","journalAbbreviation":"Circ Cardiovasc Genet","note":"PMID: 20031568\nPMCID: PMC2875693","page":"73-80","source":"PubMed Central","title":"Cohorts for Heart and Aging Research in Genomic Epidemiology (CHARGE) Consortium: Design of prospective meta-analyses of genome-wide association studies from five cohorts","title-short":"Cohorts for Heart and Aging Research in Genomic Epidemiology (CHARGE) Consortium","volume":"2","author":[{"family":"Psaty","given":"Bruce M."},{"family":"O’Donnell","given":"Christopher J."},{"family":"Gudnason","given":"Vilmundur"},{"family":"Lunetta","given":"Kathryn L."},{"family":"Folsom","given":"Aaron R."},{"family":"Rotter","given":"Jerome I."},{"family":"Uitterlinden","given":"André G."},{"family":"Harris","given":"Tamara B."},{"family":"Witteman","given":"Jacqueline C.M."},{"family":"Boerwinkle","given":"Eric"}],"issued":{"date-parts":[["2009",2]]}}}],"schema":"https://github.com/citation-style-language/schema/raw/master/csl-citation.json"} </w:instrText>
      </w:r>
      <w:r w:rsidR="00AE6797" w:rsidRPr="00757919">
        <w:rPr>
          <w:rFonts w:ascii="Times New Roman" w:hAnsi="Times New Roman" w:cs="Times New Roman"/>
          <w:iCs/>
          <w:sz w:val="24"/>
          <w:szCs w:val="24"/>
          <w:lang w:val="en"/>
        </w:rPr>
        <w:fldChar w:fldCharType="separate"/>
      </w:r>
      <w:r w:rsidR="00A568A5" w:rsidRPr="00A568A5">
        <w:rPr>
          <w:rFonts w:ascii="Times New Roman" w:hAnsi="Times New Roman" w:cs="Times New Roman"/>
          <w:sz w:val="24"/>
          <w:szCs w:val="24"/>
          <w:vertAlign w:val="superscript"/>
        </w:rPr>
        <w:t>56,57</w:t>
      </w:r>
      <w:r w:rsidR="00AE6797" w:rsidRPr="00757919">
        <w:rPr>
          <w:rFonts w:ascii="Times New Roman" w:hAnsi="Times New Roman" w:cs="Times New Roman"/>
          <w:iCs/>
          <w:sz w:val="24"/>
          <w:szCs w:val="24"/>
          <w:lang w:val="en"/>
        </w:rPr>
        <w:fldChar w:fldCharType="end"/>
      </w:r>
      <w:r w:rsidR="00464B11" w:rsidRPr="00757919">
        <w:rPr>
          <w:rFonts w:ascii="Times New Roman" w:hAnsi="Times New Roman" w:cs="Times New Roman"/>
          <w:iCs/>
          <w:sz w:val="24"/>
          <w:szCs w:val="24"/>
          <w:lang w:val="en"/>
        </w:rPr>
        <w:t>.</w:t>
      </w:r>
      <w:r w:rsidR="00464B11" w:rsidRPr="00757919">
        <w:rPr>
          <w:rFonts w:ascii="Times New Roman" w:hAnsi="Times New Roman" w:cs="Times New Roman"/>
          <w:sz w:val="24"/>
          <w:szCs w:val="24"/>
        </w:rPr>
        <w:t xml:space="preserve"> W</w:t>
      </w:r>
      <w:r w:rsidR="00491E2C" w:rsidRPr="00757919">
        <w:rPr>
          <w:rFonts w:ascii="Times New Roman" w:hAnsi="Times New Roman" w:cs="Times New Roman"/>
          <w:sz w:val="24"/>
          <w:szCs w:val="24"/>
        </w:rPr>
        <w:t>ell-imputed SNPs were determined across the genome by filtering for an R</w:t>
      </w:r>
      <w:r w:rsidR="00491E2C" w:rsidRPr="00757919">
        <w:rPr>
          <w:rFonts w:ascii="Times New Roman" w:hAnsi="Times New Roman" w:cs="Times New Roman"/>
          <w:sz w:val="24"/>
          <w:szCs w:val="24"/>
          <w:vertAlign w:val="superscript"/>
        </w:rPr>
        <w:t>2</w:t>
      </w:r>
      <w:r w:rsidR="00491E2C" w:rsidRPr="00757919">
        <w:rPr>
          <w:rFonts w:ascii="Times New Roman" w:hAnsi="Times New Roman" w:cs="Times New Roman"/>
          <w:sz w:val="24"/>
          <w:szCs w:val="24"/>
        </w:rPr>
        <w:t xml:space="preserve"> value greater than 0.8 as provided by </w:t>
      </w:r>
      <w:r w:rsidR="00891C62">
        <w:rPr>
          <w:rFonts w:ascii="Times New Roman" w:hAnsi="Times New Roman" w:cs="Times New Roman"/>
          <w:sz w:val="24"/>
          <w:szCs w:val="24"/>
        </w:rPr>
        <w:t xml:space="preserve">the </w:t>
      </w:r>
      <w:r w:rsidR="001062DC">
        <w:rPr>
          <w:rFonts w:ascii="Times New Roman" w:hAnsi="Times New Roman" w:cs="Times New Roman"/>
          <w:sz w:val="24"/>
          <w:szCs w:val="24"/>
        </w:rPr>
        <w:t>HRC</w:t>
      </w:r>
      <w:r w:rsidR="00491E2C" w:rsidRPr="00757919">
        <w:rPr>
          <w:rFonts w:ascii="Times New Roman" w:hAnsi="Times New Roman" w:cs="Times New Roman"/>
          <w:sz w:val="24"/>
          <w:szCs w:val="24"/>
        </w:rPr>
        <w:t xml:space="preserve"> after imputation. Then SNPs from 2 kB upstream of the gene region to 0.5 kB downstream of the gene region were extracted for further analysis</w:t>
      </w:r>
      <w:r w:rsidR="00E72B04" w:rsidRPr="00757919">
        <w:rPr>
          <w:rFonts w:ascii="Times New Roman" w:hAnsi="Times New Roman" w:cs="Times New Roman"/>
          <w:sz w:val="24"/>
          <w:szCs w:val="24"/>
        </w:rPr>
        <w:t xml:space="preserve"> according to RefSeq</w:t>
      </w:r>
      <w:r w:rsidR="00E72B04" w:rsidRPr="00757919">
        <w:rPr>
          <w:rFonts w:ascii="Times New Roman" w:hAnsi="Times New Roman" w:cs="Times New Roman"/>
          <w:sz w:val="24"/>
          <w:szCs w:val="24"/>
        </w:rPr>
        <w:fldChar w:fldCharType="begin"/>
      </w:r>
      <w:r w:rsidR="000E575F">
        <w:rPr>
          <w:rFonts w:ascii="Times New Roman" w:hAnsi="Times New Roman" w:cs="Times New Roman"/>
          <w:sz w:val="24"/>
          <w:szCs w:val="24"/>
        </w:rPr>
        <w:instrText xml:space="preserve"> ADDIN ZOTERO_ITEM CSL_CITATION {"citationID":"KqYK2bjQ","properties":{"formattedCitation":"\\super 64\\uc0\\u8211{}67\\nosupersub{}","plainCitation":"64–67","noteIndex":0},"citationItems":[{"id":278,"uris":["http://zotero.org/users/3223062/items/HLKXL73F"],"uri":["http://zotero.org/users/3223062/items/HLKXL73F"],"itemData":{"id":278,"type":"article-journal","abstract":"Abstract.  NCBI's reference sequence (RefSeq) database () is a curated non-redundant collection of sequences representing genomes, transcripts and proteins. The","container-title":"Nucleic Acids Research","DOI":"10.1093/nar/gkl842","ISSN":"0305-1048","issue":"suppl_1","journalAbbreviation":"Nucleic Acids Res","language":"en","note":"publisher: Oxford Academic","page":"D61-D65","source":"academic.oup.com","title":"NCBI reference sequences (RefSeq): a curated non-redundant sequence database of genomes, transcripts and proteins","title-short":"NCBI reference sequences (RefSeq)","volume":"35","author":[{"family":"Pruitt","given":"Kim D."},{"family":"Tatusova","given":"Tatiana"},{"family":"Maglott","given":"Donna R."}],"issued":{"date-parts":[["2007",1,1]]}}},{"id":279,"uris":["http://zotero.org/users/3223062/items/CSPQQ7GQ"],"uri":["http://zotero.org/users/3223062/items/CSPQQ7GQ"],"itemData":{"id":279,"type":"article-journal","abstract":"Understanding genetic variation might reveal the cause of individual susceptibility to a variety of complex diseases such as asthma, diabetes, and cancer. Current efforts to identify functional DNA variants have essentially been oriented toward single nucleotide polymorphisms (SNPs) found in coding regions of candidate genes since they have direct impact on the structure and function of the affected proteins. Abnormal expression of finely regulated genes could also lead to disequilibria in different metabolic pathways and/or biological processes. Thus investigation of SNPs in the promoter regions (pSNPs) of genes should improve our knowledge of the etiology of complex diseases. Unfortunately, little is known about the nature and the prevalence of pSNPs. We have analyzed 197 genes targeting the promoter region, arbitrarily defined as a 2-kb genomic segment upstream of the transcription initiation site, by screening by dHPLC for the presence of SNPs in a worldwide panel of 40 individuals. As a result 1838 pSNPs were detected, 75% of which modify (by either gain or loss) putative binding sites of known transcription factors. We also examined the distribution of these pSNPs among features such as conserved regions, repeats, and dinucleotides as well as Gene Ontology terms. This report supports the functional relevance of several of the pSNPs investigated and suggests a putative impact on disease susceptibility.","container-title":"Genomics","DOI":"10.1016/j.ygeno.2006.01.001","ISSN":"0888-7543","issue":"6","journalAbbreviation":"Genomics","language":"en","page":"704-710","source":"ScienceDirect","title":"Detection and characterization of DNA variants in the promoter regions of hundreds of human disease candidate genes","volume":"87","author":[{"family":"Sinnett","given":"Daniel"},{"family":"Beaulieu","given":"Patrick"},{"family":"Bélanger","given":"Hélène"},{"family":"Lefebvre","given":"Jean-François"},{"family":"Langlois","given":"Sylvie"},{"family":"Théberge","given":"Marie-Christine"},{"family":"Drouin","given":"Simon"},{"family":"Zotti","given":"Corinne"},{"family":"Hudson","given":"Thomas J."},{"family":"Labuda","given":"Damian"}],"issued":{"date-parts":[["2006",6,1]]}}},{"id":280,"uris":["http://zotero.org/users/3223062/items/68XVDY48"],"uri":["http://zotero.org/users/3223062/items/68XVDY48"],"itemData":{"id":280,"type":"article-journal","abstract":"We previously reported that the ILVBL gene on chromosome 19p13.1 was associated with the risk for aspirin-exacerbated respiratory disease (AERD) and the percent decline of forced expired volume in one second (FEV1) after an oral aspirin challenge test. In this study, we confirmed the association between polymorphisms and haplotypes of the ILVBL gene and the risk for AERD and its phenotype.","container-title":"BMC Pulmonary Medicine","DOI":"10.1186/s12890-017-0556-6","ISSN":"1471-2466","issue":"1","journalAbbreviation":"BMC Pulmonary Medicine","page":"210","source":"BioMed Central","title":"Association analysis of ILVBL gene polymorphisms with aspirin-exacerbated respiratory disease in asthma","volume":"17","author":[{"family":"Chang","given":"Hun Soo"},{"family":"Park","given":"Jong Sook"},{"family":"Lee","given":"Ho Sung"},{"family":"Lyu","given":"Jiwon"},{"family":"Son","given":"Ji-Hye"},{"family":"Choi","given":"Inseon S."},{"family":"Shin","given":"Hyoung Doo"},{"family":"Park","given":"Choon-Sik"}],"issued":{"date-parts":[["2017",12,16]]}}},{"id":281,"uris":["http://zotero.org/users/3223062/items/GVP78RTB"],"uri":["http://zotero.org/users/3223062/items/GVP78RTB"],"itemData":{"id":281,"type":"article-journal","abstract":"Functionally altered biological mechanisms arising from disease-associated polymorphisms, remain difficult to characterise when those variants are intergenic, or, fall between genes. We sought to identify shared downstream mechanisms by which inter- and intragenic single-nucleotide polymorphisms (SNPs) contribute to a specific physiopathology. Using computational modelling of 2 million pairs of disease-associated SNPs drawn from genome-wide association studies (GWAS), integrated with expression Quantitative Trait Loci (eQTL) and Gene Ontology functional annotations, we predicted 3,870 inter–intra and inter–intra SNP pairs with convergent biological mechanisms (FDR&lt;0.05). These prioritised SNP pairs with overlapping messenger RNA targets or similar functional annotations were more likely to be associated with the same disease than unrelated pathologies (OR&gt;12). We additionally confirmed synergistic and antagonistic genetic interactions for a subset of prioritised SNP pairs in independent studies of Alzheimer’s disease (entropy P=0.046), bladder cancer (entropy P=0.039), and rheumatoid arthritis (PheWAS case–control P&lt;10−4). Using ENCODE data sets, we further statistically validated that the biological mechanisms shared within prioritised SNP pairs are frequently governed by matching transcription factor binding sites and long-range chromatin interactions. These results provide a ‘roadmap’ of disease mechanisms emerging from GWAS and further identify candidate therapeutic targets among downstream effectors of intergenic SNPs.","container-title":"npj Genomic Medicine","DOI":"10.1038/npjgenmed.2016.6","ISSN":"2056-7944","issue":"1","language":"en","note":"number: 1\npublisher: Nature Publishing Group","page":"1-12","source":"www.nature.com","title":"Integrative genomics analyses unveil downstream biological effectors of disease-specific polymorphisms buried in intergenic regions","volume":"1","author":[{"family":"Li","given":"Haiquan"},{"family":"Achour","given":"Ikbel"},{"family":"Bastarache","given":"Lisa"},{"family":"Berghout","given":"Joanne"},{"family":"Gardeux","given":"Vincent"},{"family":"Li","given":"Jianrong"},{"family":"Lee","given":"Younghee"},{"family":"Pesce","given":"Lorenzo"},{"family":"Yang","given":"Xinan"},{"family":"Ramos","given":"Kenneth S."},{"family":"Foster","given":"Ian"},{"family":"Denny","given":"Joshua C."},{"family":"Moore","given":"Jason H."},{"family":"Lussier","given":"Yves A."}],"issued":{"date-parts":[["2016",4,27]]}}}],"schema":"https://github.com/citation-style-language/schema/raw/master/csl-citation.json"} </w:instrText>
      </w:r>
      <w:r w:rsidR="00E72B04" w:rsidRPr="00757919">
        <w:rPr>
          <w:rFonts w:ascii="Times New Roman" w:hAnsi="Times New Roman" w:cs="Times New Roman"/>
          <w:sz w:val="24"/>
          <w:szCs w:val="24"/>
        </w:rPr>
        <w:fldChar w:fldCharType="separate"/>
      </w:r>
      <w:r w:rsidR="000E575F" w:rsidRPr="000E575F">
        <w:rPr>
          <w:rFonts w:ascii="Times New Roman" w:hAnsi="Times New Roman" w:cs="Times New Roman"/>
          <w:sz w:val="24"/>
          <w:szCs w:val="24"/>
          <w:vertAlign w:val="superscript"/>
        </w:rPr>
        <w:t>64–67</w:t>
      </w:r>
      <w:r w:rsidR="00E72B04" w:rsidRPr="00757919">
        <w:rPr>
          <w:rFonts w:ascii="Times New Roman" w:hAnsi="Times New Roman" w:cs="Times New Roman"/>
          <w:sz w:val="24"/>
          <w:szCs w:val="24"/>
        </w:rPr>
        <w:fldChar w:fldCharType="end"/>
      </w:r>
      <w:r w:rsidR="00491E2C" w:rsidRPr="00757919">
        <w:rPr>
          <w:rFonts w:ascii="Times New Roman" w:hAnsi="Times New Roman" w:cs="Times New Roman"/>
          <w:sz w:val="24"/>
          <w:szCs w:val="24"/>
        </w:rPr>
        <w:t xml:space="preserve">, filtering out poly-allelic SNPs. These SNPs were then filtered for having a minor allele frequency &gt; 0.05 in our population of 1527 individuals. This resulted in 1482 </w:t>
      </w:r>
      <w:r w:rsidR="00253A0E">
        <w:rPr>
          <w:rFonts w:ascii="Times New Roman" w:hAnsi="Times New Roman" w:cs="Times New Roman"/>
          <w:sz w:val="24"/>
          <w:szCs w:val="24"/>
        </w:rPr>
        <w:t>SNPs</w:t>
      </w:r>
      <w:r w:rsidR="00491E2C" w:rsidRPr="00757919">
        <w:rPr>
          <w:rFonts w:ascii="Times New Roman" w:hAnsi="Times New Roman" w:cs="Times New Roman"/>
          <w:sz w:val="24"/>
          <w:szCs w:val="24"/>
        </w:rPr>
        <w:t xml:space="preserve"> across 11 genes. </w:t>
      </w:r>
      <w:r w:rsidR="00491E2C" w:rsidRPr="00757919">
        <w:rPr>
          <w:rFonts w:ascii="Times New Roman" w:hAnsi="Times New Roman" w:cs="Times New Roman"/>
          <w:i/>
          <w:sz w:val="24"/>
          <w:szCs w:val="24"/>
        </w:rPr>
        <w:t>ADRB3</w:t>
      </w:r>
      <w:r w:rsidR="00491E2C" w:rsidRPr="00757919">
        <w:rPr>
          <w:rFonts w:ascii="Times New Roman" w:hAnsi="Times New Roman" w:cs="Times New Roman"/>
          <w:sz w:val="24"/>
          <w:szCs w:val="24"/>
        </w:rPr>
        <w:t xml:space="preserve"> and </w:t>
      </w:r>
      <w:r w:rsidR="00491E2C" w:rsidRPr="00757919">
        <w:rPr>
          <w:rFonts w:ascii="Times New Roman" w:hAnsi="Times New Roman" w:cs="Times New Roman"/>
          <w:i/>
          <w:sz w:val="24"/>
          <w:szCs w:val="24"/>
        </w:rPr>
        <w:t>PRKAR1B</w:t>
      </w:r>
      <w:r w:rsidR="00491E2C" w:rsidRPr="00757919">
        <w:rPr>
          <w:rFonts w:ascii="Times New Roman" w:hAnsi="Times New Roman" w:cs="Times New Roman"/>
          <w:sz w:val="24"/>
          <w:szCs w:val="24"/>
        </w:rPr>
        <w:t xml:space="preserve"> did not have any SNPs that met our filtering criteria.</w:t>
      </w:r>
    </w:p>
    <w:p w14:paraId="5F7C4CDE" w14:textId="2A27D58C" w:rsidR="00491E2C" w:rsidRPr="00757919" w:rsidRDefault="00491E2C" w:rsidP="00864F3F">
      <w:pPr>
        <w:spacing w:line="480" w:lineRule="auto"/>
        <w:rPr>
          <w:rFonts w:ascii="Times New Roman" w:eastAsia="Arial" w:hAnsi="Times New Roman" w:cs="Times New Roman"/>
          <w:i/>
          <w:sz w:val="24"/>
          <w:szCs w:val="24"/>
        </w:rPr>
      </w:pPr>
      <w:r w:rsidRPr="00757919">
        <w:rPr>
          <w:rFonts w:ascii="Times New Roman" w:eastAsia="Arial" w:hAnsi="Times New Roman" w:cs="Times New Roman"/>
          <w:i/>
          <w:sz w:val="24"/>
          <w:szCs w:val="24"/>
        </w:rPr>
        <w:t xml:space="preserve">Modeling Interaction Effect between Genotype and BB use on </w:t>
      </w:r>
      <w:r w:rsidR="00F30013">
        <w:rPr>
          <w:rFonts w:ascii="Times New Roman" w:eastAsia="Arial" w:hAnsi="Times New Roman" w:cs="Times New Roman"/>
          <w:i/>
          <w:sz w:val="24"/>
          <w:szCs w:val="24"/>
        </w:rPr>
        <w:t xml:space="preserve">FN </w:t>
      </w:r>
      <w:r w:rsidRPr="00757919">
        <w:rPr>
          <w:rFonts w:ascii="Times New Roman" w:eastAsia="Arial" w:hAnsi="Times New Roman" w:cs="Times New Roman"/>
          <w:i/>
          <w:sz w:val="24"/>
          <w:szCs w:val="24"/>
        </w:rPr>
        <w:t xml:space="preserve">BMD </w:t>
      </w:r>
    </w:p>
    <w:p w14:paraId="3E9DD1F1" w14:textId="7300B53C" w:rsidR="00491E2C" w:rsidRPr="00757919" w:rsidRDefault="00491E2C"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t>The 1</w:t>
      </w:r>
      <w:r w:rsidR="00F16DFB">
        <w:rPr>
          <w:rFonts w:ascii="Times New Roman" w:eastAsia="Arial" w:hAnsi="Times New Roman" w:cs="Times New Roman"/>
          <w:sz w:val="24"/>
          <w:szCs w:val="24"/>
        </w:rPr>
        <w:t>,</w:t>
      </w:r>
      <w:r w:rsidRPr="00757919">
        <w:rPr>
          <w:rFonts w:ascii="Times New Roman" w:eastAsia="Arial" w:hAnsi="Times New Roman" w:cs="Times New Roman"/>
          <w:sz w:val="24"/>
          <w:szCs w:val="24"/>
        </w:rPr>
        <w:t xml:space="preserve">482 </w:t>
      </w:r>
      <w:r w:rsidR="00CE7371">
        <w:rPr>
          <w:rFonts w:ascii="Times New Roman" w:eastAsia="Arial" w:hAnsi="Times New Roman" w:cs="Times New Roman"/>
          <w:sz w:val="24"/>
          <w:szCs w:val="24"/>
        </w:rPr>
        <w:t>polymorphism</w:t>
      </w:r>
      <w:r w:rsidRPr="00757919">
        <w:rPr>
          <w:rFonts w:ascii="Times New Roman" w:eastAsia="Arial" w:hAnsi="Times New Roman" w:cs="Times New Roman"/>
          <w:sz w:val="24"/>
          <w:szCs w:val="24"/>
        </w:rPr>
        <w:t>s were analyzed in 1</w:t>
      </w:r>
      <w:r w:rsidR="00F16DFB">
        <w:rPr>
          <w:rFonts w:ascii="Times New Roman" w:eastAsia="Arial" w:hAnsi="Times New Roman" w:cs="Times New Roman"/>
          <w:sz w:val="24"/>
          <w:szCs w:val="24"/>
        </w:rPr>
        <w:t>,</w:t>
      </w:r>
      <w:r w:rsidRPr="00757919">
        <w:rPr>
          <w:rFonts w:ascii="Times New Roman" w:eastAsia="Arial" w:hAnsi="Times New Roman" w:cs="Times New Roman"/>
          <w:sz w:val="24"/>
          <w:szCs w:val="24"/>
        </w:rPr>
        <w:t xml:space="preserve">527 individuals for </w:t>
      </w:r>
      <w:r w:rsidR="00C2466E" w:rsidRPr="00757919">
        <w:rPr>
          <w:rFonts w:ascii="Times New Roman" w:eastAsia="Arial" w:hAnsi="Times New Roman" w:cs="Times New Roman"/>
          <w:sz w:val="24"/>
          <w:szCs w:val="24"/>
        </w:rPr>
        <w:t xml:space="preserve">an association </w:t>
      </w:r>
      <w:r w:rsidRPr="00757919">
        <w:rPr>
          <w:rFonts w:ascii="Times New Roman" w:eastAsia="Arial" w:hAnsi="Times New Roman" w:cs="Times New Roman"/>
          <w:sz w:val="24"/>
          <w:szCs w:val="24"/>
        </w:rPr>
        <w:t xml:space="preserve">with FN BMD </w:t>
      </w:r>
      <w:r w:rsidR="00C2466E" w:rsidRPr="00757919">
        <w:rPr>
          <w:rFonts w:ascii="Times New Roman" w:eastAsia="Arial" w:hAnsi="Times New Roman" w:cs="Times New Roman"/>
          <w:sz w:val="24"/>
          <w:szCs w:val="24"/>
        </w:rPr>
        <w:t xml:space="preserve">that was modified by BB use </w:t>
      </w:r>
      <w:r w:rsidRPr="00757919">
        <w:rPr>
          <w:rFonts w:ascii="Times New Roman" w:eastAsia="Arial" w:hAnsi="Times New Roman" w:cs="Times New Roman"/>
          <w:sz w:val="24"/>
          <w:szCs w:val="24"/>
        </w:rPr>
        <w:t xml:space="preserve">using a </w:t>
      </w:r>
      <w:r w:rsidR="007E15C8">
        <w:rPr>
          <w:rFonts w:ascii="Times New Roman" w:eastAsia="Arial" w:hAnsi="Times New Roman" w:cs="Times New Roman"/>
          <w:sz w:val="24"/>
          <w:szCs w:val="24"/>
        </w:rPr>
        <w:t>linear mixed</w:t>
      </w:r>
      <w:r w:rsidR="00D317AC"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model, stratifying based on sex, and adjusting for interrelatedness between individuals by modeling a kinship matrix as a random effect (</w:t>
      </w:r>
      <w:proofErr w:type="spellStart"/>
      <w:r w:rsidRPr="00757919">
        <w:rPr>
          <w:rFonts w:ascii="Times New Roman" w:eastAsia="Arial" w:hAnsi="Times New Roman" w:cs="Times New Roman"/>
          <w:sz w:val="24"/>
          <w:szCs w:val="24"/>
        </w:rPr>
        <w:t>lmekin</w:t>
      </w:r>
      <w:proofErr w:type="spellEnd"/>
      <w:r w:rsidRPr="00757919">
        <w:rPr>
          <w:rFonts w:ascii="Times New Roman" w:eastAsia="Arial" w:hAnsi="Times New Roman" w:cs="Times New Roman"/>
          <w:sz w:val="24"/>
          <w:szCs w:val="24"/>
        </w:rPr>
        <w:t xml:space="preserve"> function in </w:t>
      </w:r>
      <w:proofErr w:type="spellStart"/>
      <w:r w:rsidRPr="00757919">
        <w:rPr>
          <w:rFonts w:ascii="Times New Roman" w:eastAsia="Arial" w:hAnsi="Times New Roman" w:cs="Times New Roman"/>
          <w:sz w:val="24"/>
          <w:szCs w:val="24"/>
        </w:rPr>
        <w:t>coxme</w:t>
      </w:r>
      <w:proofErr w:type="spellEnd"/>
      <w:r w:rsidRPr="00757919">
        <w:rPr>
          <w:rFonts w:ascii="Times New Roman" w:eastAsia="Arial" w:hAnsi="Times New Roman" w:cs="Times New Roman"/>
          <w:sz w:val="24"/>
          <w:szCs w:val="24"/>
        </w:rPr>
        <w:t xml:space="preserve"> package in R). </w:t>
      </w:r>
      <w:r w:rsidR="001062DC">
        <w:rPr>
          <w:rFonts w:ascii="Times New Roman" w:eastAsia="Arial" w:hAnsi="Times New Roman" w:cs="Times New Roman"/>
          <w:sz w:val="24"/>
          <w:szCs w:val="24"/>
        </w:rPr>
        <w:t xml:space="preserve">We performed a sex-stratified analysis </w:t>
      </w:r>
      <w:r w:rsidR="00FF35E9">
        <w:rPr>
          <w:rFonts w:ascii="Times New Roman" w:hAnsi="Times New Roman" w:cs="Times New Roman"/>
          <w:sz w:val="24"/>
          <w:szCs w:val="24"/>
        </w:rPr>
        <w:t>since β</w:t>
      </w:r>
      <w:r w:rsidR="00FF35E9" w:rsidRPr="00801079">
        <w:rPr>
          <w:rFonts w:ascii="Times New Roman" w:hAnsi="Times New Roman" w:cs="Times New Roman"/>
          <w:sz w:val="24"/>
          <w:szCs w:val="24"/>
        </w:rPr>
        <w:t>-adrenergic signaling</w:t>
      </w:r>
      <w:r w:rsidR="00FF35E9">
        <w:rPr>
          <w:rFonts w:ascii="Times New Roman" w:hAnsi="Times New Roman" w:cs="Times New Roman"/>
          <w:sz w:val="24"/>
          <w:szCs w:val="24"/>
        </w:rPr>
        <w:t xml:space="preserve"> and the effect of BB use</w:t>
      </w:r>
      <w:r w:rsidR="00FF35E9" w:rsidRPr="00801079">
        <w:rPr>
          <w:rFonts w:ascii="Times New Roman" w:hAnsi="Times New Roman" w:cs="Times New Roman"/>
          <w:sz w:val="24"/>
          <w:szCs w:val="24"/>
        </w:rPr>
        <w:t xml:space="preserve"> has previously been shown to have sex-specific effects</w:t>
      </w:r>
      <w:r w:rsidR="00FF35E9">
        <w:rPr>
          <w:rFonts w:ascii="Times New Roman" w:hAnsi="Times New Roman" w:cs="Times New Roman"/>
          <w:sz w:val="24"/>
          <w:szCs w:val="24"/>
        </w:rPr>
        <w:fldChar w:fldCharType="begin"/>
      </w:r>
      <w:r w:rsidR="00853AC3">
        <w:rPr>
          <w:rFonts w:ascii="Times New Roman" w:hAnsi="Times New Roman" w:cs="Times New Roman"/>
          <w:sz w:val="24"/>
          <w:szCs w:val="24"/>
        </w:rPr>
        <w:instrText xml:space="preserve"> ADDIN ZOTERO_ITEM CSL_CITATION {"citationID":"I6oAdKZH","properties":{"formattedCitation":"\\super 45\\uc0\\u8211{}49\\nosupersub{}","plainCitation":"45–49","noteIndex":0},"citationItems":[{"id":1617,"uris":["http://zotero.org/users/3223062/items/C72VAIGE"],"uri":["http://zotero.org/users/3223062/items/C72VAIGE"],"itemData":{"id":1617,"type":"article-journal","abstract":"The presence of sex differences in myocardial β-adrenergic responsiveness is controversial, and limited studies have addressed the mechanism underlying these differences. Studies were performed using isolated perfused hearts from male, intact female and ovariectomized female mice to investigate sex differences and the effects of ovarian hormone withdrawal on β-adrenergic receptor function. Female hearts exhibited blunted contractile responses to the β-adrenergic receptor agonist isoproterenol (ISO) compared with males but not ovariectomized females. There were no sex differences in β1-adrenergic receptor gene or protein expression. To investigate the role of adenylyl cyclase, phosphodiesterase, and the cAMP-signaling cascade in generating sex differences in the β-adrenergic contractile response, dose-response studies were performed in isolated perfused male and female hearts using forskolin, 3-isobutyl-1-methylxanthine (IBMX), and 8-(4-chlorophenylthio)adenosine 3′,5′-cyclic monophosphate (CPT-cAMP). Males showed a modestly enhanced contractile response to forskolin at 300 nM and 5 μM compared with females, but there were no sex differences in the response to IBMX or CPT-cAMP. The role of the A1 adenosine receptor (A1AR) in antagonizing the β-adrenergic contractile response was investigated using both the A1AR agonist 2-chloro-N6-cyclopentyl-adenosine and A1AR knockout (KO) mice. Intact females showed an enhanced A1AR anti-adrenergic effect compared with males and ovariectomized females. The β-adrenergic contractile response was potentiated in both male and female A1ARKO hearts, with sex differences no longer present above 1 nM ISO. The β-adrenergic contractile response is greater in male hearts than females, and minor differences in the action of adenylyl cyclase or the A1AR may contribute to these sex differences.","container-title":"American Journal of Physiology - Heart and Circulatory Physiology","DOI":"10.1152/ajpheart.00711.2010","ISSN":"0363-6135","issue":"3","journalAbbreviation":"Am J Physiol Heart Circ Physiol","note":"PMID: 21685268\nPMCID: PMC3191079","page":"H1127-H1134","source":"PubMed Central","title":"Sex differences and the effects of ovariectomy on the β-adrenergic contractile response","volume":"301","author":[{"family":"McIntosh","given":"Victoria J."},{"family":"Chandrasekera","given":"P. Charukeshi"},{"family":"Lasley","given":"Robert D."}],"issued":{"date-parts":[["2011",9]]}}},{"id":1629,"uris":["http://zotero.org/users/3223062/items/9EFA83SL"],"uri":["http://zotero.org/users/3223062/items/9EFA83SL"],"itemData":{"id":1629,"type":"article-journal","abstract":"Cardioprotection in females, as observed in the setting of heart failure, has been attributed to sex differences in intracellular calcium handling and its modulation by β-adrenergic signaling. However, further studies examining sex differences in β-adrenergic responsiveness have yielded inconsistent results and have mostly been limited to studies of contractility, ion channel function, or calcium handling alone. Given the close interaction of the action potential (AP) and intracellular calcium transient (CaT) through the process of excitation-contraction coupling, the need for studies exploring the relationship between agonist-induced AP and calcium handling changes in female and male hearts is evident. Thus, the aim of this study was to use optical mapping to examine sex differences in ventricular APs and CaTs measured simultaneously from Langendorff-perfused hearts isolated from naïve adult rabbits during β-adrenergic stimulation. The non-selective β-agonist isoproterenol (Iso) decreased AP duration (APD90), CaT duration (CaD80), and the decay constant of the CaT (τ) in a dose-dependent manner (1–316.2 nM), with a plateau at doses ≥31.6 nM. The Iso-induced changes in APD90 and τ (but not CaD80) were significantly smaller in female than male hearts. These sex differences were more significant at faster (5.5 Hz) than resting rates (3 Hz). Treatment with Iso led to the development of spontaneous calcium release (SCR) with a dose threshold of 31.6 nM. While SCR occurrence was similar in female (49%) and male (53%) hearts, the associated ectopic beats had a lower frequency of occurrence (16% versus 40%) and higher threshold (100 nM versus 31.6 nM) in female than male hearts (p&lt;0.05). In conclusion, female hearts had a decreased capacity to respond to β-adrenergic stimulation, particularly under conditions of increased demand (i.e. faster pacing rates and “maximal” levels of Iso effects), however this reduced β-adrenergic responsiveness of female hearts was associated with reduced arrhythmic activity.","container-title":"PLoS ONE","DOI":"10.1371/journal.pone.0111411","ISSN":"1932-6203","issue":"10","journalAbbreviation":"PLoS One","note":"PMID: 25340795\nPMCID: PMC4207827","source":"PubMed Central","title":"Sex Differences in β-Adrenergic Responsiveness of Action Potentials and Intracellular Calcium Handling in Isolated Rabbit Hearts","URL":"https://www.ncbi.nlm.nih.gov/pmc/articles/PMC4207827/","volume":"9","author":[{"family":"Hoeker","given":"Gregory S."},{"family":"Hood","given":"Ashleigh R."},{"family":"Katra","given":"Rodolphe P."},{"family":"Poelzing","given":"Steven"},{"family":"Pogwizd","given":"Steven M."}],"accessed":{"date-parts":[["2020",9,17]]},"issued":{"date-parts":[["2014",10,23]]}}},{"id":1632,"uris":["http://zotero.org/users/3223062/items/MAUTF5IV"],"uri":["http://zotero.org/users/3223062/items/MAUTF5IV"],"itemData":{"id":1632,"type":"article-journal","abstract":"Download figureDownload PowerPoint","container-title":"Hypertension","DOI":"10.1161/HYPERTENSIONAHA.120.15323","issue":"3","journalAbbreviation":"Hypertension","note":"publisher: American Heart Association","page":"819-826","source":"ahajournals.org (Atypon)","title":"Prior Beta-Blocker Therapy for Hypertension and Sex-Based Differences in Heart Failure Among Patients With Incident Coronary Heart Disease","volume":"76","author":[{"literal":"Bugiardini Raffaele"},{"literal":"Yoon Jinsung"},{"literal":"Kedev Sasko"},{"literal":"Stankovic Goran"},{"literal":"Vasiljevic Zorana"},{"literal":"Miličić Davor"},{"literal":"Manfrini Olivia"},{"literal":"van der Schaar Mihaela"},{"literal":"Gale Chris P."},{"literal":"Badimon Lina"},{"literal":"Cenko Edina"}],"issued":{"date-parts":[["2020",9,1]]}}},{"id":1634,"uris":["http://zotero.org/users/3223062/items/TPQMKD85"],"uri":["http://zotero.org/users/3223062/items/TPQMKD85"],"itemData":{"id":1634,"type":"article-journal","abstract":"Estrogen modulates adrenergic reactivity of macrovessels, resulting in weaker α-adrenergic vasoconstriction in females than males. However, the mechanisms governing this important sex-specific difference are not well understood. We hypothesized that vessels of females express more dilatory β-adrenoceptors, which counteract constrictive effects of α-adrenoceptors. This hypothesis was tested using aortas of normotensive (WKY) and hypertensive rats (SHR), along with human mammary artery. Selective blockade of β1 (CGP20712) or β3 (SR59230A), but not β2 (ICI118,551) adrenoceptors, greatly increased α-adrenergic constriction (norepinephrine) of aorta in female SHRs, but not in male SHRs at 12 weeks of age. Consistently, the selective β1/β2 (isoproterenol) and β3-adrenergic (BRL37344) relaxation was stronger in female SHRs than in males. Removal of endothelium and use of L-NMMA abolished sex-difference in α-adrenergic constriction and β-adrenergic relaxation. Immunostainings revealed endothelial localization of β1- and β3-adrenoceptors. mRNA levels of aortic β1- and β3-, but not β2-adrenoceptors were markedly higher in female than in male SHRs. The sex-specific differences in α-adrenergic constriction and β-adrenoceptor mRNA levels were age-dependent, predominantly present up to 29 weeks and disappeared at 36 weeks of age. The sex-specific difference was not strain-dependent and was similarly present in normotensive WKY rats. Human mammary artery of women showed a weaker α-adrenergic constriction than arteries of men. This sex-specific difference was prominent at 45–65 years and disappeared with aging. Our results convincingly demonstrate that female macrovessels express more dilatory β1- and β3-adrenoreceptors than male vessels with a predominant endothelial localization. This sex-specific difference is functionally relevant in young adults and is attenuated with aging.","container-title":"Basic Research in Cardiology","DOI":"10.1007/s00395-017-0617-2","ISSN":"1435-1803","issue":"3","journalAbbreviation":"Basic Res Cardiol","language":"en","page":"29","source":"Springer Link","title":"Sex-difference in expression and function of beta-adrenoceptors in macrovessels: role of the endothelium","title-short":"Sex-difference in expression and function of beta-adrenoceptors in macrovessels","volume":"112","author":[{"family":"Al-Gburi","given":"Suzan"},{"family":"Deussen","given":"Andreas"},{"family":"Zatschler","given":"Birgit"},{"family":"Weber","given":"Silvio"},{"family":"Künzel","given":"Stephan"},{"family":"El-Armouche","given":"Ali"},{"family":"Lorenz","given":"Kristina"},{"family":"Cybularz","given":"Maria"},{"family":"Morawietz","given":"Henning"},{"family":"Kopaliani","given":"Irakli"}],"issued":{"date-parts":[["2017",4,7]]}}},{"id":1635,"uris":["http://zotero.org/users/3223062/items/MCNW35WT"],"uri":["http://zotero.org/users/3223062/items/MCNW35WT"],"itemData":{"id":1635,"type":"article-journal","abstract":"There is a sexual dimorphism in blood pressure: men tend to have higher blood pressures than women with functional ovaries, whereas ovariectomy or menopause tends to abolish the sexual dimorphism and cause women to develop a \"male\" pattern of blood pressure. Synthetic estrogens and progestins, found in oral contraceptives, tend to elevate blood pressure, whereas naturally occurring estrogens, used in postmenopausal hormone replacement therapy, lower it or have no effect. Women are more likely than men to be aware of their hypertension, to be treated with antihypertensive drugs, and to have their blood pressure controlled. Antihypertensive therapy induces similar blood pressure reductions in men and women. However, men experience larger reductions in total cardiovascular risk with successful treatment of high blood pressure, because their absolute risk of coronary events at baseline is so much higher. Special considerations that can dictate antihypertensive treatment choices for women include increased vulnerability to the adverse effects of some drugs, including angiotensin-converting enzyme inhibitor-induced cough, calcium channel blocker-induced edema, and minoxidil-induced hirsutism. Beta-adrenergic blockers tend to be less effective in women than in men, and diuretics are particularly useful in women because they protect against hip fracture. Angiotensin-converting enzyme inhibitors and angiotensin II receptor blockers are contraindicated during pregnancy or if pregnancy is planned because of the risk of fetal developmental abnormalities.","container-title":"Cardiology in Review","DOI":"10.1097/00045415-199811000-00012","ISSN":"1538-4683","issue":"6","journalAbbreviation":"Cardiol Rev","language":"eng","note":"PMID: 10348960","page":"356-363","source":"PubMed","title":"The Sexual Dimorphism of High Blood Pressure","volume":"6","author":[{"family":"Calhoun","given":"DA."},{"family":"Oparil","given":"S."}],"issued":{"date-parts":[["1998",11]]}}}],"schema":"https://github.com/citation-style-language/schema/raw/master/csl-citation.json"} </w:instrText>
      </w:r>
      <w:r w:rsidR="00FF35E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45–49</w:t>
      </w:r>
      <w:r w:rsidR="00FF35E9">
        <w:rPr>
          <w:rFonts w:ascii="Times New Roman" w:hAnsi="Times New Roman" w:cs="Times New Roman"/>
          <w:sz w:val="24"/>
          <w:szCs w:val="24"/>
        </w:rPr>
        <w:fldChar w:fldCharType="end"/>
      </w:r>
      <w:r w:rsidR="00E67E45">
        <w:rPr>
          <w:rFonts w:ascii="Times New Roman" w:hAnsi="Times New Roman" w:cs="Times New Roman"/>
          <w:sz w:val="24"/>
          <w:szCs w:val="24"/>
        </w:rPr>
        <w:t xml:space="preserve">, </w:t>
      </w:r>
      <w:r w:rsidR="00FF35E9">
        <w:rPr>
          <w:rFonts w:ascii="Times New Roman" w:hAnsi="Times New Roman" w:cs="Times New Roman"/>
          <w:sz w:val="24"/>
          <w:szCs w:val="24"/>
        </w:rPr>
        <w:t>and also BMD and osteoporosis prevalence vary by sex</w:t>
      </w:r>
      <w:r w:rsidR="00FF35E9">
        <w:rPr>
          <w:rFonts w:ascii="Times New Roman" w:hAnsi="Times New Roman" w:cs="Times New Roman"/>
          <w:sz w:val="24"/>
          <w:szCs w:val="24"/>
        </w:rPr>
        <w:fldChar w:fldCharType="begin"/>
      </w:r>
      <w:r w:rsidR="00A568A5">
        <w:rPr>
          <w:rFonts w:ascii="Times New Roman" w:hAnsi="Times New Roman" w:cs="Times New Roman"/>
          <w:sz w:val="24"/>
          <w:szCs w:val="24"/>
        </w:rPr>
        <w:instrText xml:space="preserve"> ADDIN ZOTERO_ITEM CSL_CITATION {"citationID":"YkeKcW7J","properties":{"formattedCitation":"\\super 50\\uc0\\u8211{}53\\nosupersub{}","plainCitation":"50–53","noteIndex":0},"citationItems":[{"id":1626,"uris":["http://zotero.org/users/3223062/items/R342NL5F"],"uri":["http://zotero.org/users/3223062/items/R342NL5F"],"itemData":{"id":1626,"type":"article-journal","abstract":"Where is the wisdom we have lost in knowledge?Where is the knowledge we have lost in information?","container-title":"The Journal of Clinical Endocrinology &amp; Metabolism","DOI":"10.1210/jcem.86.10.7960","ISSN":"0021-972X","issue":"10","journalAbbreviation":"J Clin Endocrinol Metab","language":"en","note":"publisher: Oxford Academic","page":"4576-4584","source":"academic.oup.com","title":"Sexual Dimorphism in Skeletal Size, Density, and Strength","volume":"86","author":[{"family":"Seeman","given":"Ego"}],"issued":{"date-parts":[["2001",10,1]]}}},{"id":1639,"uris":["http://zotero.org/users/3223062/items/7RJZ8L97"],"uri":["http://zotero.org/users/3223062/items/7RJZ8L97"],"itemData":{"id":1639,"type":"article-journal","abstract":"Sexual dimorphism in the manifestation of coronary artery disease (CAD) has unleashed a call to reconsider cardiovascular risk assessment. Alterations of bone mineral density (BMD) have been associated with congestive heart failure and appear to be modified by sex. However, the sex-specific association between BMD, myocardial perfusion, and cardiovascular outcomes is currently unknown.","container-title":"Journal of Nuclear Cardiology","DOI":"10.1007/s12350-019-01802-z","ISSN":"1532-6551","issue":"3","journalAbbreviation":"J. Nucl. Cardiol.","language":"en","page":"726-736","source":"Springer Link","title":"Association between vertebral bone mineral density, myocardial perfusion, and long-term cardiovascular outcomes: A sex-specific analysis","title-short":"Association between vertebral bone mineral density, myocardial perfusion, and long-term cardiovascular outcomes","volume":"27","author":[{"family":"Fiechter","given":"Michael"},{"family":"Bengs","given":"Susan"},{"family":"Roggo","given":"Andrea"},{"family":"Haider","given":"Ahmed"},{"family":"Marędziak","given":"Monika"},{"family":"Portmann","given":"Angela"},{"family":"Treyer","given":"Valerie"},{"family":"Burger","given":"Irene A."},{"family":"Messerli","given":"Michael"},{"family":"Patriki","given":"Dimitri"},{"family":"Felten","given":"Elia","non-dropping-particle":"von"},{"family":"Benz","given":"Dominik C."},{"family":"Fuchs","given":"Tobias A."},{"family":"Gräni","given":"Christoph"},{"family":"Pazhenkottil","given":"Aju P."},{"family":"Buechel","given":"Ronny R."},{"family":"Kaufmann","given":"Philipp A."},{"family":"Gebhard","given":"Catherine"}],"issued":{"date-parts":[["2020",6,1]]}}},{"id":1641,"uris":["http://zotero.org/users/3223062/items/7A4BQNIH"],"uri":["http://zotero.org/users/3223062/items/7A4BQNIH"],"itemData":{"id":1641,"type":"article-journal","abstract":"The incidence of hip fractures in Turkey increased markedly from that reported in 1988/1989 so that FRAX® models for Turkey should be revised.","container-title":"Osteoporosis International","DOI":"10.1007/s00198-011-1655-5","ISSN":"1433-2965","issue":"3","journalAbbreviation":"Osteoporos Int","language":"en","page":"949-955","source":"Springer Link","title":"Incidence of hip fracture and prevalence of osteoporosis in Turkey: the FRACTURK study","title-short":"Incidence of hip fracture and prevalence of osteoporosis in Turkey","volume":"23","author":[{"family":"Tuzun","given":"S."},{"family":"Eskiyurt","given":"N."},{"family":"Akarirmak","given":"U."},{"family":"Saridogan","given":"M."},{"family":"Senocak","given":"M."},{"family":"Johansson","given":"H."},{"family":"Kanis","given":"J. A."},{"literal":"Turkish Osteoporosis Society"}],"issued":{"date-parts":[["2012",3,1]]}}},{"id":1652,"uris":["http://zotero.org/users/3223062/items/Q8KBJ2VA"],"uri":["http://zotero.org/users/3223062/items/Q8KBJ2VA"],"itemData":{"id":1652,"type":"article-journal","abstract":"Osteoporosis is a growing health concern worldwide and its complications are as prevalent as other common chronic disease complications such as hypertension and diabetes. In this review, we will discuss the role of gender in osteoporosis, especially related to peak bone mass and maturation, rate of annual bone loss, screening, prevalence of osteoporosis and its related fractures, mortality after osteoporosis-related fracture, fracture risk predication using different technologies and the impact of gender on osteoporosis management.","container-title":"Journal of Clinical Medicine Research","DOI":"10.14740/jocmr2970w","ISSN":"1918-3003","issue":"5","journalAbbreviation":"J Clin Med Res","note":"PMID: 28392857\nPMCID: PMC5380170","page":"382-387","source":"PubMed Central","title":"Gender Disparities in Osteoporosis","volume":"9","author":[{"family":"Alswat","given":"Khaled A."}],"issued":{"date-parts":[["2017",5]]}}}],"schema":"https://github.com/citation-style-language/schema/raw/master/csl-citation.json"} </w:instrText>
      </w:r>
      <w:r w:rsidR="00FF35E9">
        <w:rPr>
          <w:rFonts w:ascii="Times New Roman" w:hAnsi="Times New Roman" w:cs="Times New Roman"/>
          <w:sz w:val="24"/>
          <w:szCs w:val="24"/>
        </w:rPr>
        <w:fldChar w:fldCharType="separate"/>
      </w:r>
      <w:r w:rsidR="00A568A5" w:rsidRPr="00A568A5">
        <w:rPr>
          <w:rFonts w:ascii="Times New Roman" w:hAnsi="Times New Roman" w:cs="Times New Roman"/>
          <w:sz w:val="24"/>
          <w:szCs w:val="24"/>
          <w:vertAlign w:val="superscript"/>
        </w:rPr>
        <w:t>50–53</w:t>
      </w:r>
      <w:r w:rsidR="00FF35E9">
        <w:rPr>
          <w:rFonts w:ascii="Times New Roman" w:hAnsi="Times New Roman" w:cs="Times New Roman"/>
          <w:sz w:val="24"/>
          <w:szCs w:val="24"/>
        </w:rPr>
        <w:fldChar w:fldCharType="end"/>
      </w:r>
      <w:r w:rsidR="008E7D2A">
        <w:rPr>
          <w:rFonts w:ascii="Times New Roman" w:eastAsia="Arial" w:hAnsi="Times New Roman" w:cs="Times New Roman"/>
          <w:sz w:val="24"/>
          <w:szCs w:val="24"/>
        </w:rPr>
        <w:t>.</w:t>
      </w:r>
      <w:r w:rsidR="001062DC">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 xml:space="preserve">The female-only model </w:t>
      </w:r>
      <w:r w:rsidR="00EA6EE4" w:rsidRPr="00757919">
        <w:rPr>
          <w:rFonts w:ascii="Times New Roman" w:eastAsia="Arial" w:hAnsi="Times New Roman" w:cs="Times New Roman"/>
          <w:sz w:val="24"/>
          <w:szCs w:val="24"/>
        </w:rPr>
        <w:t xml:space="preserve">adjusted </w:t>
      </w:r>
      <w:r w:rsidRPr="00757919">
        <w:rPr>
          <w:rFonts w:ascii="Times New Roman" w:eastAsia="Arial" w:hAnsi="Times New Roman" w:cs="Times New Roman"/>
          <w:sz w:val="24"/>
          <w:szCs w:val="24"/>
        </w:rPr>
        <w:t xml:space="preserve">for age, height, BMI, and </w:t>
      </w:r>
      <w:r w:rsidR="00EC3DD4">
        <w:rPr>
          <w:rFonts w:ascii="Times New Roman" w:eastAsia="Arial" w:hAnsi="Times New Roman" w:cs="Times New Roman"/>
          <w:sz w:val="24"/>
          <w:szCs w:val="24"/>
        </w:rPr>
        <w:t xml:space="preserve">current </w:t>
      </w:r>
      <w:r w:rsidRPr="00757919">
        <w:rPr>
          <w:rFonts w:ascii="Times New Roman" w:eastAsia="Arial" w:hAnsi="Times New Roman" w:cs="Times New Roman"/>
          <w:sz w:val="24"/>
          <w:szCs w:val="24"/>
        </w:rPr>
        <w:t xml:space="preserve">estrogen </w:t>
      </w:r>
      <w:r w:rsidR="00EA6EE4" w:rsidRPr="00757919">
        <w:rPr>
          <w:rFonts w:ascii="Times New Roman" w:eastAsia="Arial" w:hAnsi="Times New Roman" w:cs="Times New Roman"/>
          <w:sz w:val="24"/>
          <w:szCs w:val="24"/>
        </w:rPr>
        <w:t>use</w:t>
      </w:r>
      <w:r w:rsidR="00817C8A" w:rsidRPr="00757919">
        <w:rPr>
          <w:rFonts w:ascii="Times New Roman" w:eastAsia="Arial" w:hAnsi="Times New Roman" w:cs="Times New Roman"/>
          <w:sz w:val="24"/>
          <w:szCs w:val="24"/>
        </w:rPr>
        <w:t>,</w:t>
      </w:r>
      <w:r w:rsidR="00EA6EE4"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 xml:space="preserve">and </w:t>
      </w:r>
      <w:r w:rsidR="00EA6EE4" w:rsidRPr="00757919">
        <w:rPr>
          <w:rFonts w:ascii="Times New Roman" w:eastAsia="Arial" w:hAnsi="Times New Roman" w:cs="Times New Roman"/>
          <w:sz w:val="24"/>
          <w:szCs w:val="24"/>
        </w:rPr>
        <w:t xml:space="preserve">the </w:t>
      </w:r>
      <w:r w:rsidRPr="00757919">
        <w:rPr>
          <w:rFonts w:ascii="Times New Roman" w:eastAsia="Arial" w:hAnsi="Times New Roman" w:cs="Times New Roman"/>
          <w:sz w:val="24"/>
          <w:szCs w:val="24"/>
        </w:rPr>
        <w:t xml:space="preserve">male-only regression model </w:t>
      </w:r>
      <w:r w:rsidR="00EA6EE4" w:rsidRPr="00757919">
        <w:rPr>
          <w:rFonts w:ascii="Times New Roman" w:eastAsia="Arial" w:hAnsi="Times New Roman" w:cs="Times New Roman"/>
          <w:sz w:val="24"/>
          <w:szCs w:val="24"/>
        </w:rPr>
        <w:t xml:space="preserve">adjusted </w:t>
      </w:r>
      <w:r w:rsidRPr="00757919">
        <w:rPr>
          <w:rFonts w:ascii="Times New Roman" w:eastAsia="Arial" w:hAnsi="Times New Roman" w:cs="Times New Roman"/>
          <w:sz w:val="24"/>
          <w:szCs w:val="24"/>
        </w:rPr>
        <w:t xml:space="preserve">for age, height, and BMI. </w:t>
      </w:r>
      <w:r w:rsidR="00A016FB" w:rsidRPr="00757919">
        <w:rPr>
          <w:rFonts w:ascii="Times New Roman" w:eastAsia="Arial" w:hAnsi="Times New Roman" w:cs="Times New Roman"/>
          <w:sz w:val="24"/>
          <w:szCs w:val="24"/>
        </w:rPr>
        <w:t xml:space="preserve">Menopausal status was not adjusted for </w:t>
      </w:r>
      <w:r w:rsidR="00272144">
        <w:rPr>
          <w:rFonts w:ascii="Times New Roman" w:eastAsia="Arial" w:hAnsi="Times New Roman" w:cs="Times New Roman"/>
          <w:sz w:val="24"/>
          <w:szCs w:val="24"/>
        </w:rPr>
        <w:t>because</w:t>
      </w:r>
      <w:r w:rsidR="00272144" w:rsidRPr="00757919">
        <w:rPr>
          <w:rFonts w:ascii="Times New Roman" w:eastAsia="Arial" w:hAnsi="Times New Roman" w:cs="Times New Roman"/>
          <w:sz w:val="24"/>
          <w:szCs w:val="24"/>
        </w:rPr>
        <w:t xml:space="preserve"> </w:t>
      </w:r>
      <w:r w:rsidR="00A016FB" w:rsidRPr="00757919">
        <w:rPr>
          <w:rFonts w:ascii="Times New Roman" w:eastAsia="Arial" w:hAnsi="Times New Roman" w:cs="Times New Roman"/>
          <w:sz w:val="24"/>
          <w:szCs w:val="24"/>
        </w:rPr>
        <w:t>over 99.</w:t>
      </w:r>
      <w:r w:rsidR="00EF3F63">
        <w:rPr>
          <w:rFonts w:ascii="Times New Roman" w:eastAsia="Arial" w:hAnsi="Times New Roman" w:cs="Times New Roman"/>
          <w:sz w:val="24"/>
          <w:szCs w:val="24"/>
        </w:rPr>
        <w:t>6</w:t>
      </w:r>
      <w:r w:rsidR="00A016FB" w:rsidRPr="00757919">
        <w:rPr>
          <w:rFonts w:ascii="Times New Roman" w:eastAsia="Arial" w:hAnsi="Times New Roman" w:cs="Times New Roman"/>
          <w:sz w:val="24"/>
          <w:szCs w:val="24"/>
        </w:rPr>
        <w:t>% of our female cohort were post-menopausal</w:t>
      </w:r>
      <w:r w:rsidR="00435758" w:rsidRPr="00757919">
        <w:rPr>
          <w:rFonts w:ascii="Times New Roman" w:eastAsia="Arial" w:hAnsi="Times New Roman" w:cs="Times New Roman"/>
          <w:sz w:val="24"/>
          <w:szCs w:val="24"/>
        </w:rPr>
        <w:t>; only 3 women were premenopausal (0.37%)</w:t>
      </w:r>
      <w:r w:rsidR="00A016FB"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 xml:space="preserve">FN BMD </w:t>
      </w:r>
      <w:r w:rsidRPr="00757919">
        <w:rPr>
          <w:rFonts w:ascii="Times New Roman" w:eastAsia="Arial" w:hAnsi="Times New Roman" w:cs="Times New Roman"/>
          <w:sz w:val="24"/>
          <w:szCs w:val="24"/>
        </w:rPr>
        <w:lastRenderedPageBreak/>
        <w:t>measurement was used as the dependent variable, while allele dosage</w:t>
      </w:r>
      <w:r w:rsidR="00723523" w:rsidRPr="00757919">
        <w:rPr>
          <w:rFonts w:ascii="Times New Roman" w:eastAsia="Arial" w:hAnsi="Times New Roman" w:cs="Times New Roman"/>
          <w:sz w:val="24"/>
          <w:szCs w:val="24"/>
        </w:rPr>
        <w:t>, BB use, and the</w:t>
      </w:r>
      <w:r w:rsidR="00EA6EE4" w:rsidRPr="00757919">
        <w:rPr>
          <w:rFonts w:ascii="Times New Roman" w:eastAsia="Arial" w:hAnsi="Times New Roman" w:cs="Times New Roman"/>
          <w:sz w:val="24"/>
          <w:szCs w:val="24"/>
        </w:rPr>
        <w:t>ir</w:t>
      </w:r>
      <w:r w:rsidR="00723523" w:rsidRPr="00757919">
        <w:rPr>
          <w:rFonts w:ascii="Times New Roman" w:eastAsia="Arial" w:hAnsi="Times New Roman" w:cs="Times New Roman"/>
          <w:sz w:val="24"/>
          <w:szCs w:val="24"/>
        </w:rPr>
        <w:t xml:space="preserve"> interaction</w:t>
      </w:r>
      <w:r w:rsidRPr="00757919">
        <w:rPr>
          <w:rFonts w:ascii="Times New Roman" w:eastAsia="Arial" w:hAnsi="Times New Roman" w:cs="Times New Roman"/>
          <w:sz w:val="24"/>
          <w:szCs w:val="24"/>
        </w:rPr>
        <w:t xml:space="preserve"> </w:t>
      </w:r>
      <w:r w:rsidR="00EA6EE4" w:rsidRPr="00757919">
        <w:rPr>
          <w:rFonts w:ascii="Times New Roman" w:eastAsia="Arial" w:hAnsi="Times New Roman" w:cs="Times New Roman"/>
          <w:sz w:val="24"/>
          <w:szCs w:val="24"/>
        </w:rPr>
        <w:t>for</w:t>
      </w:r>
      <w:r w:rsidRPr="00757919">
        <w:rPr>
          <w:rFonts w:ascii="Times New Roman" w:eastAsia="Arial" w:hAnsi="Times New Roman" w:cs="Times New Roman"/>
          <w:sz w:val="24"/>
          <w:szCs w:val="24"/>
        </w:rPr>
        <w:t xml:space="preserve"> each SNP </w:t>
      </w:r>
      <w:r w:rsidR="00817C8A" w:rsidRPr="00757919">
        <w:rPr>
          <w:rFonts w:ascii="Times New Roman" w:eastAsia="Arial" w:hAnsi="Times New Roman" w:cs="Times New Roman"/>
          <w:sz w:val="24"/>
          <w:szCs w:val="24"/>
        </w:rPr>
        <w:t xml:space="preserve">were </w:t>
      </w:r>
      <w:r w:rsidRPr="00757919">
        <w:rPr>
          <w:rFonts w:ascii="Times New Roman" w:eastAsia="Arial" w:hAnsi="Times New Roman" w:cs="Times New Roman"/>
          <w:sz w:val="24"/>
          <w:szCs w:val="24"/>
        </w:rPr>
        <w:t>modeled</w:t>
      </w:r>
      <w:r w:rsidR="00CB7C7B">
        <w:rPr>
          <w:rFonts w:ascii="Times New Roman" w:eastAsia="Arial" w:hAnsi="Times New Roman" w:cs="Times New Roman"/>
          <w:sz w:val="24"/>
          <w:szCs w:val="24"/>
        </w:rPr>
        <w:t xml:space="preserve">, and the interaction effect </w:t>
      </w:r>
      <w:proofErr w:type="gramStart"/>
      <w:r w:rsidR="00CB7C7B">
        <w:rPr>
          <w:rFonts w:ascii="Times New Roman" w:eastAsia="Arial" w:hAnsi="Times New Roman" w:cs="Times New Roman"/>
          <w:sz w:val="24"/>
          <w:szCs w:val="24"/>
        </w:rPr>
        <w:t>estimate</w:t>
      </w:r>
      <w:proofErr w:type="gramEnd"/>
      <w:r w:rsidR="00CB7C7B">
        <w:rPr>
          <w:rFonts w:ascii="Times New Roman" w:eastAsia="Arial" w:hAnsi="Times New Roman" w:cs="Times New Roman"/>
          <w:sz w:val="24"/>
          <w:szCs w:val="24"/>
        </w:rPr>
        <w:t xml:space="preserve"> and p-value w</w:t>
      </w:r>
      <w:r w:rsidR="0089314D">
        <w:rPr>
          <w:rFonts w:ascii="Times New Roman" w:eastAsia="Arial" w:hAnsi="Times New Roman" w:cs="Times New Roman"/>
          <w:sz w:val="24"/>
          <w:szCs w:val="24"/>
        </w:rPr>
        <w:t>ere</w:t>
      </w:r>
      <w:r w:rsidR="00CB7C7B">
        <w:rPr>
          <w:rFonts w:ascii="Times New Roman" w:eastAsia="Arial" w:hAnsi="Times New Roman" w:cs="Times New Roman"/>
          <w:sz w:val="24"/>
          <w:szCs w:val="24"/>
        </w:rPr>
        <w:t xml:space="preserve"> used as the parameter</w:t>
      </w:r>
      <w:r w:rsidR="0089314D">
        <w:rPr>
          <w:rFonts w:ascii="Times New Roman" w:eastAsia="Arial" w:hAnsi="Times New Roman" w:cs="Times New Roman"/>
          <w:sz w:val="24"/>
          <w:szCs w:val="24"/>
        </w:rPr>
        <w:t>s</w:t>
      </w:r>
      <w:r w:rsidR="00CB7C7B">
        <w:rPr>
          <w:rFonts w:ascii="Times New Roman" w:eastAsia="Arial" w:hAnsi="Times New Roman" w:cs="Times New Roman"/>
          <w:sz w:val="24"/>
          <w:szCs w:val="24"/>
        </w:rPr>
        <w:t xml:space="preserve"> of interest</w:t>
      </w:r>
      <w:r w:rsidRPr="00757919">
        <w:rPr>
          <w:rFonts w:ascii="Times New Roman" w:eastAsia="Arial" w:hAnsi="Times New Roman" w:cs="Times New Roman"/>
          <w:sz w:val="24"/>
          <w:szCs w:val="24"/>
        </w:rPr>
        <w:t xml:space="preserve">. </w:t>
      </w:r>
      <w:r w:rsidR="00A016FB" w:rsidRPr="00757919">
        <w:rPr>
          <w:rFonts w:ascii="Times New Roman" w:eastAsia="Arial" w:hAnsi="Times New Roman" w:cs="Times New Roman"/>
          <w:sz w:val="24"/>
          <w:szCs w:val="24"/>
        </w:rPr>
        <w:t xml:space="preserve">FN BMD was chosen as the dependent variable because </w:t>
      </w:r>
      <w:r w:rsidR="00756724" w:rsidRPr="00757919">
        <w:rPr>
          <w:rFonts w:ascii="Times New Roman" w:eastAsia="Arial" w:hAnsi="Times New Roman" w:cs="Times New Roman"/>
          <w:sz w:val="24"/>
          <w:szCs w:val="24"/>
        </w:rPr>
        <w:t xml:space="preserve">of </w:t>
      </w:r>
      <w:r w:rsidR="00F37070" w:rsidRPr="00757919">
        <w:rPr>
          <w:rFonts w:ascii="Times New Roman" w:eastAsia="Arial" w:hAnsi="Times New Roman" w:cs="Times New Roman"/>
          <w:sz w:val="24"/>
          <w:szCs w:val="24"/>
        </w:rPr>
        <w:t>its</w:t>
      </w:r>
      <w:r w:rsidR="00A016FB" w:rsidRPr="00757919">
        <w:rPr>
          <w:rFonts w:ascii="Times New Roman" w:eastAsia="Arial" w:hAnsi="Times New Roman" w:cs="Times New Roman"/>
          <w:sz w:val="24"/>
          <w:szCs w:val="24"/>
        </w:rPr>
        <w:t xml:space="preserve"> clinical </w:t>
      </w:r>
      <w:r w:rsidR="00AB1215">
        <w:rPr>
          <w:rFonts w:ascii="Times New Roman" w:eastAsia="Arial" w:hAnsi="Times New Roman" w:cs="Times New Roman"/>
          <w:sz w:val="24"/>
          <w:szCs w:val="24"/>
        </w:rPr>
        <w:t>importance</w:t>
      </w:r>
      <w:r w:rsidR="00A016FB" w:rsidRPr="00757919">
        <w:rPr>
          <w:rFonts w:ascii="Times New Roman" w:eastAsia="Arial" w:hAnsi="Times New Roman" w:cs="Times New Roman"/>
          <w:sz w:val="24"/>
          <w:szCs w:val="24"/>
        </w:rPr>
        <w:t>, especially</w:t>
      </w:r>
      <w:r w:rsidR="00253A0E">
        <w:rPr>
          <w:rFonts w:ascii="Times New Roman" w:eastAsia="Arial" w:hAnsi="Times New Roman" w:cs="Times New Roman"/>
          <w:sz w:val="24"/>
          <w:szCs w:val="24"/>
        </w:rPr>
        <w:t xml:space="preserve"> </w:t>
      </w:r>
      <w:r w:rsidR="00A016FB" w:rsidRPr="00757919">
        <w:rPr>
          <w:rFonts w:ascii="Times New Roman" w:eastAsia="Arial" w:hAnsi="Times New Roman" w:cs="Times New Roman"/>
          <w:sz w:val="24"/>
          <w:szCs w:val="24"/>
        </w:rPr>
        <w:t>in</w:t>
      </w:r>
      <w:r w:rsidR="00253A0E">
        <w:rPr>
          <w:rFonts w:ascii="Times New Roman" w:eastAsia="Arial" w:hAnsi="Times New Roman" w:cs="Times New Roman"/>
          <w:sz w:val="24"/>
          <w:szCs w:val="24"/>
        </w:rPr>
        <w:t xml:space="preserve"> the calculation of the</w:t>
      </w:r>
      <w:r w:rsidR="00A016FB" w:rsidRPr="00757919">
        <w:rPr>
          <w:rFonts w:ascii="Times New Roman" w:eastAsia="Arial" w:hAnsi="Times New Roman" w:cs="Times New Roman"/>
          <w:sz w:val="24"/>
          <w:szCs w:val="24"/>
        </w:rPr>
        <w:t xml:space="preserve"> FRAX score</w:t>
      </w:r>
      <w:r w:rsidR="00313EE5">
        <w:rPr>
          <w:rFonts w:ascii="Times New Roman" w:eastAsia="Arial" w:hAnsi="Times New Roman" w:cs="Times New Roman"/>
          <w:sz w:val="24"/>
          <w:szCs w:val="24"/>
        </w:rPr>
        <w:t>, and FN BMD was available in more subjects than other BMD sites, such as lumbar spine BMD</w:t>
      </w:r>
      <w:r w:rsidR="00A016FB" w:rsidRPr="00757919">
        <w:rPr>
          <w:rFonts w:ascii="Times New Roman" w:eastAsia="Arial" w:hAnsi="Times New Roman" w:cs="Times New Roman"/>
          <w:sz w:val="24"/>
          <w:szCs w:val="24"/>
        </w:rPr>
        <w:fldChar w:fldCharType="begin"/>
      </w:r>
      <w:r w:rsidR="00A568A5">
        <w:rPr>
          <w:rFonts w:ascii="Times New Roman" w:eastAsia="Arial" w:hAnsi="Times New Roman" w:cs="Times New Roman"/>
          <w:sz w:val="24"/>
          <w:szCs w:val="24"/>
        </w:rPr>
        <w:instrText xml:space="preserve"> ADDIN ZOTERO_ITEM CSL_CITATION {"citationID":"wxcMHR4Y","properties":{"formattedCitation":"\\super 44\\nosupersub{}","plainCitation":"44","noteIndex":0},"citationItems":[{"id":1567,"uris":["http://zotero.org/users/3223062/items/YJPKMVP4"],"uri":["http://zotero.org/users/3223062/items/YJPKMVP4"],"itemData":{"id":1567,"type":"article-journal","abstract":"There are occasional marked discordances in BMD T-scores at the lumbar spine (LS) and femoral neck (FN). We investigated whether such discordances could contribute independently to fracture prediction using FRAX., We studied 21,158 women, average age 63 years, from 10 prospective cohorts with baseline FRAX variables as well as FN and LS BMD. Incident fractures were collected by self-report and/or radiographic reports. Extended Poisson regression examined the relationship between differences in LS and FN T-scores (ΔLS-FN) and fracture risk, adjusted for age, time since baseline and other factors including FRAX 10-year probability for major osteoporotic fracture calculated using FN BMD. To examine the effect of an adjustment for ΔLS-FN on reclassification, women were separated into risk categories by their FRAX major fracture probability. High risk was classified using two approaches: being above the National Osteoporosis Guideline Group intervention threshold or, separately, being in the highest third of each cohort., The absolute ΔLS-FN was greater than 2 SD for 2.5% of women and between 1 and 2 SD for 21%. ΔLS-FN was associated with a significant risk of fracture adjusted for baseline FRAX (HR per SD change = 1.09; 95% CI = 1.04–1.15). In reclassification analyses, only 2.3–3.2% of the women moved to a higher or lower risk category when using FRAX with ΔLS-FN compared with FN-derived FRAX alone., Adjustment of estimated fracture risk for a large LS/FN discrepancy (&gt;2SD) impacts to a large extent on only a relatively small number of individuals. More moderate (1-2SD) discordances in FN and LS T-scores have a small impact on FRAX probabilities. This might still improve clinical decision-making, particularly in women with probabilities close to an intervention threshold.","container-title":"Calcified tissue international","DOI":"10.1007/s00223-014-9911-2","ISSN":"0171-967X","issue":"5","journalAbbreviation":"Calcif Tissue Int","note":"PMID: 25187239\nPMCID: PMC4361897","page":"428-435","source":"PubMed Central","title":"Impact of femoral neck and lumbar spine BMD discordances on FRAX probabilities in women; a meta-analysis of international cohorts","volume":"95","author":[{"family":"Johansson","given":"H"},{"family":"Kanis","given":"JA"},{"family":"Odén","given":"A"},{"family":"Leslie","given":"WD"},{"family":"Fujiwara","given":"S"},{"family":"Glüer","given":"CC"},{"family":"Kroger","given":"H"},{"family":"LaCroix","given":"AZ"},{"family":"Lau","given":"E"},{"family":"Melton","given":"LJ"},{"family":"Eisman","given":"J"},{"family":"O’Neill","given":"TW"},{"family":"Goltzman","given":"D"},{"family":"Reid","given":"DM"},{"family":"McCloskey","given":"E"}],"issued":{"date-parts":[["2014",11]]}}}],"schema":"https://github.com/citation-style-language/schema/raw/master/csl-citation.json"} </w:instrText>
      </w:r>
      <w:r w:rsidR="00A016FB" w:rsidRPr="00757919">
        <w:rPr>
          <w:rFonts w:ascii="Times New Roman" w:eastAsia="Arial" w:hAnsi="Times New Roman" w:cs="Times New Roman"/>
          <w:sz w:val="24"/>
          <w:szCs w:val="24"/>
        </w:rPr>
        <w:fldChar w:fldCharType="separate"/>
      </w:r>
      <w:r w:rsidR="00A568A5" w:rsidRPr="00A568A5">
        <w:rPr>
          <w:rFonts w:ascii="Times New Roman" w:hAnsi="Times New Roman" w:cs="Times New Roman"/>
          <w:sz w:val="24"/>
          <w:szCs w:val="24"/>
          <w:vertAlign w:val="superscript"/>
        </w:rPr>
        <w:t>44</w:t>
      </w:r>
      <w:r w:rsidR="00A016FB" w:rsidRPr="00757919">
        <w:rPr>
          <w:rFonts w:ascii="Times New Roman" w:eastAsia="Arial" w:hAnsi="Times New Roman" w:cs="Times New Roman"/>
          <w:sz w:val="24"/>
          <w:szCs w:val="24"/>
        </w:rPr>
        <w:fldChar w:fldCharType="end"/>
      </w:r>
      <w:r w:rsidR="00BF427E" w:rsidRPr="00757919">
        <w:rPr>
          <w:rFonts w:ascii="Times New Roman" w:eastAsia="Arial" w:hAnsi="Times New Roman" w:cs="Times New Roman"/>
          <w:sz w:val="24"/>
          <w:szCs w:val="24"/>
        </w:rPr>
        <w:t>.</w:t>
      </w:r>
      <w:r w:rsidR="00435758" w:rsidRPr="00757919">
        <w:rPr>
          <w:rFonts w:ascii="Times New Roman" w:eastAsia="Arial" w:hAnsi="Times New Roman" w:cs="Times New Roman"/>
          <w:sz w:val="24"/>
          <w:szCs w:val="24"/>
        </w:rPr>
        <w:t xml:space="preserve"> </w:t>
      </w:r>
      <w:r w:rsidR="00253A0E">
        <w:rPr>
          <w:rFonts w:ascii="Times New Roman" w:eastAsia="Arial" w:hAnsi="Times New Roman" w:cs="Times New Roman"/>
          <w:sz w:val="24"/>
          <w:szCs w:val="24"/>
        </w:rPr>
        <w:t>We also focused on a single skeletal site due</w:t>
      </w:r>
      <w:r w:rsidR="00253A0E" w:rsidRPr="00757919">
        <w:rPr>
          <w:rFonts w:ascii="Times New Roman" w:eastAsia="Arial" w:hAnsi="Times New Roman" w:cs="Times New Roman"/>
          <w:sz w:val="24"/>
          <w:szCs w:val="24"/>
        </w:rPr>
        <w:t xml:space="preserve"> </w:t>
      </w:r>
      <w:r w:rsidR="00756724" w:rsidRPr="00757919">
        <w:rPr>
          <w:rFonts w:ascii="Times New Roman" w:eastAsia="Arial" w:hAnsi="Times New Roman" w:cs="Times New Roman"/>
          <w:sz w:val="24"/>
          <w:szCs w:val="24"/>
        </w:rPr>
        <w:t>to the limited power</w:t>
      </w:r>
      <w:r w:rsidR="00253A0E">
        <w:rPr>
          <w:rFonts w:ascii="Times New Roman" w:eastAsia="Arial" w:hAnsi="Times New Roman" w:cs="Times New Roman"/>
          <w:sz w:val="24"/>
          <w:szCs w:val="24"/>
        </w:rPr>
        <w:t xml:space="preserve"> for detecting interaction in</w:t>
      </w:r>
      <w:r w:rsidR="00756724" w:rsidRPr="00757919">
        <w:rPr>
          <w:rFonts w:ascii="Times New Roman" w:eastAsia="Arial" w:hAnsi="Times New Roman" w:cs="Times New Roman"/>
          <w:sz w:val="24"/>
          <w:szCs w:val="24"/>
        </w:rPr>
        <w:t xml:space="preserve"> a pharmacogenetic study</w:t>
      </w:r>
      <w:r w:rsidR="00253A0E">
        <w:rPr>
          <w:rFonts w:ascii="Times New Roman" w:eastAsia="Arial" w:hAnsi="Times New Roman" w:cs="Times New Roman"/>
          <w:sz w:val="24"/>
          <w:szCs w:val="24"/>
        </w:rPr>
        <w:t>, and the multiple testing penalty that would ensue with multiple phenotypes.</w:t>
      </w:r>
      <w:r w:rsidR="00756724" w:rsidRPr="00757919">
        <w:rPr>
          <w:rFonts w:ascii="Times New Roman" w:eastAsia="Arial" w:hAnsi="Times New Roman" w:cs="Times New Roman"/>
          <w:sz w:val="24"/>
          <w:szCs w:val="24"/>
        </w:rPr>
        <w:t xml:space="preserve"> </w:t>
      </w:r>
    </w:p>
    <w:p w14:paraId="478BD69A" w14:textId="25054571" w:rsidR="00491E2C" w:rsidRPr="00757919" w:rsidRDefault="004C0B36"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t>To account for linkage disequilibrium</w:t>
      </w:r>
      <w:r w:rsidR="001062DC">
        <w:rPr>
          <w:rFonts w:ascii="Times New Roman" w:eastAsia="Arial" w:hAnsi="Times New Roman" w:cs="Times New Roman"/>
          <w:sz w:val="24"/>
          <w:szCs w:val="24"/>
        </w:rPr>
        <w:t xml:space="preserve"> (LD)</w:t>
      </w:r>
      <w:r w:rsidRPr="00757919">
        <w:rPr>
          <w:rFonts w:ascii="Times New Roman" w:eastAsia="Arial" w:hAnsi="Times New Roman" w:cs="Times New Roman"/>
          <w:sz w:val="24"/>
          <w:szCs w:val="24"/>
        </w:rPr>
        <w:t xml:space="preserve"> between SNPs,</w:t>
      </w:r>
      <w:r w:rsidR="00491E2C" w:rsidRPr="00757919">
        <w:rPr>
          <w:rFonts w:ascii="Times New Roman" w:eastAsia="Arial" w:hAnsi="Times New Roman" w:cs="Times New Roman"/>
          <w:sz w:val="24"/>
          <w:szCs w:val="24"/>
        </w:rPr>
        <w:t xml:space="preserve"> we performed a conditional joint analysis using GCTA (GCTA-COJO)</w:t>
      </w:r>
      <w:r w:rsidR="00AE6797" w:rsidRPr="00757919">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{"citationID":"Kg6zLCsV","properties":{"formattedCitation":"\\super 68,69\\nosupersub{}","plainCitation":"68,69","noteIndex":0},"citationItems":[{"id":386,"uris":["http://zotero.org/users/3223062/items/TZ2SGLVC"],"uri":["http://zotero.org/users/3223062/items/TZ2SGLVC"],"itemData":{"id":386,"type":"article-journal","container-title":"The American Journal of Human Genetics","DOI":"10.1016/j.ajhg.2010.11.011","ISSN":"0002-9297, 1537-6605","issue":"1","journalAbbreviation":"The American Journal of Human Genetics","language":"English","note":"publisher: Elsevier\nPMID: 21167468","page":"76-82","source":"www.cell.com","title":"GCTA: A Tool for Genome-wide Complex Trait Analysis","title-short":"GCTA","volume":"88","author":[{"family":"Yang","given":"Jian"},{"family":"Lee","given":"S. Hong"},{"family":"Goddard","given":"Michael E."},{"family":"Visscher","given":"Peter M."}],"issued":{"date-parts":[["2011",1,7]]}}},{"id":387,"uris":["http://zotero.org/users/3223062/items/ZPLR3ZNI"],"uri":["http://zotero.org/users/3223062/items/ZPLR3ZNI"],"itemData":{"id":387,"type":"article-journal","abstract":"Peter Visscher and colleagues report a new method for approximate conditional and joint association analysis that makes use of summary statistics from meta-analysis of GWAS. They apply this to meta-analysis summary data for height, body mass index and type 2 diabetes.","container-title":"Nature Genetics","DOI":"10.1038/ng.2213","ISSN":"1546-1718","issue":"4","language":"en","note":"number: 4\npublisher: Nature Publishing Group","page":"369-375","source":"www.nature.com","title":"Conditional and joint multiple-SNP analysis of GWAS summary statistics identifies additional variants influencing complex traits","volume":"44","author":[{"family":"Yang","given":"Jian"},{"family":"Ferreira","given":"Teresa"},{"family":"Morris","given":"Andrew P."},{"family":"Medland","given":"Sarah E."},{"family":"Madden","given":"Pamela A. F."},{"family":"Heath","given":"Andrew C."},{"family":"Martin","given":"Nicholas G."},{"family":"Montgomery","given":"Grant W."},{"family":"Weedon","given":"Michael N."},{"family":"Loos","given":"Ruth J."},{"family":"Frayling","given":"Timothy M."},{"family":"McCarthy","given":"Mark I."},{"family":"Hirschhorn","given":"Joel N."},{"family":"Goddard","given":"Michael E."},{"family":"Visscher","given":"Peter M."}],"issued":{"date-parts":[["2012",4]]}}}],"schema":"https://github.com/citation-style-language/schema/raw/master/csl-citation.json"} </w:instrText>
      </w:r>
      <w:r w:rsidR="00AE6797" w:rsidRPr="00757919">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68,69</w:t>
      </w:r>
      <w:r w:rsidR="00AE6797" w:rsidRPr="00757919">
        <w:rPr>
          <w:rFonts w:ascii="Times New Roman" w:eastAsia="Arial" w:hAnsi="Times New Roman" w:cs="Times New Roman"/>
          <w:sz w:val="24"/>
          <w:szCs w:val="24"/>
        </w:rPr>
        <w:fldChar w:fldCharType="end"/>
      </w:r>
      <w:r w:rsidR="00491E2C" w:rsidRPr="00757919">
        <w:rPr>
          <w:rFonts w:ascii="Times New Roman" w:eastAsia="Arial" w:hAnsi="Times New Roman" w:cs="Times New Roman"/>
          <w:sz w:val="24"/>
          <w:szCs w:val="24"/>
        </w:rPr>
        <w:t xml:space="preserve">, and filtered for a p-value of &lt; 0.05 </w:t>
      </w:r>
      <w:r w:rsidR="00FA7E76" w:rsidRPr="00757919">
        <w:rPr>
          <w:rFonts w:ascii="Times New Roman" w:eastAsia="Arial" w:hAnsi="Times New Roman" w:cs="Times New Roman"/>
          <w:sz w:val="24"/>
          <w:szCs w:val="24"/>
        </w:rPr>
        <w:t>after t</w:t>
      </w:r>
      <w:r w:rsidR="00491E2C" w:rsidRPr="00757919">
        <w:rPr>
          <w:rFonts w:ascii="Times New Roman" w:eastAsia="Arial" w:hAnsi="Times New Roman" w:cs="Times New Roman"/>
          <w:sz w:val="24"/>
          <w:szCs w:val="24"/>
        </w:rPr>
        <w:t xml:space="preserve">he conditional joint analysis. </w:t>
      </w:r>
      <w:r w:rsidR="00977F6F" w:rsidRPr="00757919">
        <w:rPr>
          <w:rFonts w:ascii="Times New Roman" w:eastAsia="Arial" w:hAnsi="Times New Roman" w:cs="Times New Roman"/>
          <w:sz w:val="24"/>
          <w:szCs w:val="24"/>
        </w:rPr>
        <w:t xml:space="preserve">GCTA-COJO </w:t>
      </w:r>
      <w:r w:rsidR="000A2D1A">
        <w:rPr>
          <w:rFonts w:ascii="Times New Roman" w:eastAsia="Arial" w:hAnsi="Times New Roman" w:cs="Times New Roman"/>
          <w:sz w:val="24"/>
          <w:szCs w:val="24"/>
        </w:rPr>
        <w:t>was used to perform</w:t>
      </w:r>
      <w:r w:rsidR="000A2D1A" w:rsidRPr="00757919">
        <w:rPr>
          <w:rFonts w:ascii="Times New Roman" w:eastAsia="Arial" w:hAnsi="Times New Roman" w:cs="Times New Roman"/>
          <w:sz w:val="24"/>
          <w:szCs w:val="24"/>
        </w:rPr>
        <w:t xml:space="preserve"> </w:t>
      </w:r>
      <w:r w:rsidR="00817C8A" w:rsidRPr="00757919">
        <w:rPr>
          <w:rFonts w:ascii="Times New Roman" w:eastAsia="Arial" w:hAnsi="Times New Roman" w:cs="Times New Roman"/>
          <w:sz w:val="24"/>
          <w:szCs w:val="24"/>
        </w:rPr>
        <w:t xml:space="preserve">a </w:t>
      </w:r>
      <w:r w:rsidR="00977F6F" w:rsidRPr="00757919">
        <w:rPr>
          <w:rFonts w:ascii="Times New Roman" w:eastAsia="Arial" w:hAnsi="Times New Roman" w:cs="Times New Roman"/>
          <w:sz w:val="24"/>
          <w:szCs w:val="24"/>
        </w:rPr>
        <w:t xml:space="preserve">stepwise model selection procedure to select independently associated SNPs. </w:t>
      </w:r>
      <w:r w:rsidR="000A2D1A">
        <w:rPr>
          <w:rFonts w:ascii="Times New Roman" w:eastAsia="Arial" w:hAnsi="Times New Roman" w:cs="Times New Roman"/>
          <w:sz w:val="24"/>
          <w:szCs w:val="24"/>
        </w:rPr>
        <w:t xml:space="preserve">Default parameters were used </w:t>
      </w:r>
      <w:proofErr w:type="gramStart"/>
      <w:r w:rsidR="000A2D1A">
        <w:rPr>
          <w:rFonts w:ascii="Times New Roman" w:eastAsia="Arial" w:hAnsi="Times New Roman" w:cs="Times New Roman"/>
          <w:sz w:val="24"/>
          <w:szCs w:val="24"/>
        </w:rPr>
        <w:t>with the exception of</w:t>
      </w:r>
      <w:proofErr w:type="gramEnd"/>
      <w:r w:rsidR="000A2D1A">
        <w:rPr>
          <w:rFonts w:ascii="Times New Roman" w:eastAsia="Arial" w:hAnsi="Times New Roman" w:cs="Times New Roman"/>
          <w:sz w:val="24"/>
          <w:szCs w:val="24"/>
        </w:rPr>
        <w:t xml:space="preserve"> threshold p-value, which was set to 0.05, and difference in allele frequency between summary statistics and LD reference sample which was set to 1. </w:t>
      </w:r>
      <w:r w:rsidR="00977F6F" w:rsidRPr="00757919">
        <w:rPr>
          <w:rFonts w:ascii="Times New Roman" w:eastAsia="Arial" w:hAnsi="Times New Roman" w:cs="Times New Roman"/>
          <w:sz w:val="24"/>
          <w:szCs w:val="24"/>
        </w:rPr>
        <w:t>Genetic data from the FHS (n=1527) was used as</w:t>
      </w:r>
      <w:r w:rsidR="000A2D1A">
        <w:rPr>
          <w:rFonts w:ascii="Times New Roman" w:eastAsia="Arial" w:hAnsi="Times New Roman" w:cs="Times New Roman"/>
          <w:sz w:val="24"/>
          <w:szCs w:val="24"/>
        </w:rPr>
        <w:t xml:space="preserve"> both</w:t>
      </w:r>
      <w:r w:rsidR="00977F6F" w:rsidRPr="00757919">
        <w:rPr>
          <w:rFonts w:ascii="Times New Roman" w:eastAsia="Arial" w:hAnsi="Times New Roman" w:cs="Times New Roman"/>
          <w:sz w:val="24"/>
          <w:szCs w:val="24"/>
        </w:rPr>
        <w:t xml:space="preserve"> </w:t>
      </w:r>
      <w:r w:rsidR="000A2D1A">
        <w:rPr>
          <w:rFonts w:ascii="Times New Roman" w:eastAsia="Arial" w:hAnsi="Times New Roman" w:cs="Times New Roman"/>
          <w:sz w:val="24"/>
          <w:szCs w:val="24"/>
        </w:rPr>
        <w:t>the</w:t>
      </w:r>
      <w:r w:rsidR="00977F6F" w:rsidRPr="00757919">
        <w:rPr>
          <w:rFonts w:ascii="Times New Roman" w:eastAsia="Arial" w:hAnsi="Times New Roman" w:cs="Times New Roman"/>
          <w:sz w:val="24"/>
          <w:szCs w:val="24"/>
        </w:rPr>
        <w:t xml:space="preserve"> reference sample to estimate linkage disequilibrium</w:t>
      </w:r>
      <w:r w:rsidR="000A2D1A">
        <w:rPr>
          <w:rFonts w:ascii="Times New Roman" w:eastAsia="Arial" w:hAnsi="Times New Roman" w:cs="Times New Roman"/>
          <w:sz w:val="24"/>
          <w:szCs w:val="24"/>
        </w:rPr>
        <w:t xml:space="preserve"> as well as the dataset to create the summary statistics file</w:t>
      </w:r>
      <w:r w:rsidR="00977F6F" w:rsidRPr="00757919">
        <w:rPr>
          <w:rFonts w:ascii="Times New Roman" w:eastAsia="Arial" w:hAnsi="Times New Roman" w:cs="Times New Roman"/>
          <w:sz w:val="24"/>
          <w:szCs w:val="24"/>
        </w:rPr>
        <w:t>.</w:t>
      </w:r>
      <w:r w:rsidR="00A016FB" w:rsidRPr="00757919">
        <w:rPr>
          <w:rFonts w:ascii="Times New Roman" w:eastAsia="Arial" w:hAnsi="Times New Roman" w:cs="Times New Roman"/>
          <w:sz w:val="24"/>
          <w:szCs w:val="24"/>
        </w:rPr>
        <w:t xml:space="preserve"> </w:t>
      </w:r>
      <w:r w:rsidR="00312514" w:rsidRPr="00757919">
        <w:rPr>
          <w:rFonts w:ascii="Times New Roman" w:eastAsia="Arial" w:hAnsi="Times New Roman" w:cs="Times New Roman"/>
          <w:sz w:val="24"/>
          <w:szCs w:val="24"/>
        </w:rPr>
        <w:t xml:space="preserve">We did not perform additional multiple testing adjustment </w:t>
      </w:r>
      <w:r w:rsidR="00606415">
        <w:rPr>
          <w:rFonts w:ascii="Times New Roman" w:eastAsia="Arial" w:hAnsi="Times New Roman" w:cs="Times New Roman"/>
          <w:sz w:val="24"/>
          <w:szCs w:val="24"/>
        </w:rPr>
        <w:t>in the discovery</w:t>
      </w:r>
      <w:r w:rsidR="00472720">
        <w:rPr>
          <w:rFonts w:ascii="Times New Roman" w:eastAsia="Arial" w:hAnsi="Times New Roman" w:cs="Times New Roman"/>
          <w:sz w:val="24"/>
          <w:szCs w:val="24"/>
        </w:rPr>
        <w:t xml:space="preserve"> phase</w:t>
      </w:r>
      <w:r w:rsidR="00AB1215">
        <w:rPr>
          <w:rFonts w:ascii="Times New Roman" w:eastAsia="Arial" w:hAnsi="Times New Roman" w:cs="Times New Roman"/>
          <w:sz w:val="24"/>
          <w:szCs w:val="24"/>
        </w:rPr>
        <w:t xml:space="preserve">, </w:t>
      </w:r>
      <w:r w:rsidR="00606415">
        <w:rPr>
          <w:rFonts w:ascii="Times New Roman" w:eastAsia="Arial" w:hAnsi="Times New Roman" w:cs="Times New Roman"/>
          <w:sz w:val="24"/>
          <w:szCs w:val="24"/>
        </w:rPr>
        <w:t xml:space="preserve">and instead </w:t>
      </w:r>
      <w:r w:rsidR="00AB1215">
        <w:rPr>
          <w:rFonts w:ascii="Times New Roman" w:eastAsia="Arial" w:hAnsi="Times New Roman" w:cs="Times New Roman"/>
          <w:sz w:val="24"/>
          <w:szCs w:val="24"/>
        </w:rPr>
        <w:t xml:space="preserve">performed </w:t>
      </w:r>
      <w:r w:rsidR="00606415">
        <w:rPr>
          <w:rFonts w:ascii="Times New Roman" w:eastAsia="Arial" w:hAnsi="Times New Roman" w:cs="Times New Roman"/>
          <w:sz w:val="24"/>
          <w:szCs w:val="24"/>
        </w:rPr>
        <w:t>a Bonferroni correction for the number of SNPs in the validation phase</w:t>
      </w:r>
      <w:r w:rsidR="00C74BA9">
        <w:rPr>
          <w:rFonts w:ascii="Times New Roman" w:eastAsia="Arial" w:hAnsi="Times New Roman" w:cs="Times New Roman"/>
          <w:sz w:val="24"/>
          <w:szCs w:val="24"/>
        </w:rPr>
        <w:t xml:space="preserve">, as in </w:t>
      </w:r>
      <w:r w:rsidR="000E575F">
        <w:rPr>
          <w:rFonts w:ascii="Times New Roman" w:eastAsia="Arial" w:hAnsi="Times New Roman" w:cs="Times New Roman"/>
          <w:sz w:val="24"/>
          <w:szCs w:val="24"/>
        </w:rPr>
        <w:t>Singh et al.</w:t>
      </w:r>
      <w:r w:rsidR="000E575F">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{"citationID":"6wTPjJzT","properties":{"formattedCitation":"\\super 63\\nosupersub{}","plainCitation":"63","noteIndex":0},"citationItems":[{"id":1704,"uris":["http://zotero.org/users/3223062/items/2PT9G7IB"],"uri":["http://zotero.org/users/3223062/items/2PT9G7IB"],"itemData":{"id":1704,"type":"article-journal","abstract":"BACKGROUND: Thiazide and thiazide-like diuretics are first-line medications for treating uncomplicated hypertension. However, their use has been associated with adverse metabolic events, including hyperglycemia and incident diabetes mellitus, with incompletely understood mechanisms. Our goal was to identify genomic variants associated with thiazide-like diuretic/chlorthalidone-induced glucose change.\nMETHODS AND RESULTS: Genome-wide analysis of glucose change after treatment with chlorthalidone was performed by race among the white (n=175) and black (n=135) participants from the PEAR-2 (Pharmacogenomic Evaluation of Antihypertensive Responses-2). Single-nucleotide polymorphisms with P&lt;5×10-8 were further prioritized using in silico analysis based on their expression quantitative trait loci function. Among blacks, an intronic single-nucleotide polymorphism (rs9943291) in the HMGCS2 was associated with increase in glucose levels following chlorthalidone treatment (ß=12.5; P=4.17×10-8). G-allele carriers of HMGCS2 had higher glucose levels (glucose change=+16.29 mg/dL) post chlorthalidone treatment compared with noncarriers of G allele (glucose change=+2.80 mg/dL). This association was successfully replicated in an independent replication cohort of hydrochlorothiazide-treated participants from the PEAR study (ß=5.54; P=0.023). A meta-analysis of the 2 studies was performed by race in Meta-Analysis Helper, where this single-nucleotide polymorphism, rs9943291, was genome-wide significant with a meta-analysis P value of 3.71×10-8. HMGCS2, a part of the HMG-CoA synthase family, is important for ketogenesis and cholesterol synthesis pathways that are essential in glucose homeostasis.\nCONCLUSIONS: These results suggest that HMGCS2 is a promising candidate gene involved in chlorthalidone and Hydrochlorothiazide (HCTZ)-induced glucose change. This may provide insights into the mechanisms involved in thiazide-induced hyperglycemia that may ultimately facilitate personalized approaches to antihypertensive selection for hypertension treatment.\nCLINICAL TRIAL REGISTRATION: URL: http://www.clinicaltrials.gov. Unique identifiers: NCT00246519 and NCT01203852.","container-title":"Journal of the American Heart Association","DOI":"10.1161/JAHA.117.007339","ISSN":"2047-9980","issue":"6","journalAbbreviation":"J Am Heart Assoc","language":"eng","note":"PMID: 29523524\nPMCID: PMC5907544","source":"PubMed","title":"Genome Wide Association Study Identifies the HMGCS2 Locus to be Associated With Chlorthalidone Induced Glucose Increase in Hypertensive Patients","volume":"7","author":[{"family":"Singh","given":"Sonal"},{"family":"McDonough","given":"Caitrin W."},{"family":"Gong","given":"Yan"},{"family":"Alghamdi","given":"Wael A."},{"family":"Arwood","given":"Meghan J."},{"family":"Bargal","given":"Salma A."},{"family":"Dumeny","given":"Leanne"},{"family":"Li","given":"Wen-Yi"},{"family":"Mehanna","given":"Mai"},{"family":"Stockard","given":"Bradley"},{"family":"Yang","given":"Guang"},{"family":"Oliveira","given":"Felipe A.","non-dropping-particle":"de"},{"family":"Fredette","given":"Natalie C."},{"family":"Shahin","given":"Mohamed H."},{"family":"Bailey","given":"Kent R."},{"family":"Beitelshees","given":"Amber L."},{"family":"Boerwinkle","given":"Eric"},{"family":"Chapman","given":"Arlene B."},{"family":"Gums","given":"John G."},{"family":"Turner","given":"Stephen T."},{"family":"Cooper-DeHoff","given":"Rhonda M."},{"family":"Johnson","given":"Julie A."}],"issued":{"date-parts":[["2018",3,9]]}}}],"schema":"https://github.com/citation-style-language/schema/raw/master/csl-citation.json"} </w:instrText>
      </w:r>
      <w:r w:rsidR="000E575F">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63</w:t>
      </w:r>
      <w:r w:rsidR="000E575F">
        <w:rPr>
          <w:rFonts w:ascii="Times New Roman" w:eastAsia="Arial" w:hAnsi="Times New Roman" w:cs="Times New Roman"/>
          <w:sz w:val="24"/>
          <w:szCs w:val="24"/>
        </w:rPr>
        <w:fldChar w:fldCharType="end"/>
      </w:r>
      <w:r w:rsidR="000E575F">
        <w:rPr>
          <w:rFonts w:ascii="Times New Roman" w:eastAsia="Arial" w:hAnsi="Times New Roman" w:cs="Times New Roman"/>
          <w:sz w:val="24"/>
          <w:szCs w:val="24"/>
        </w:rPr>
        <w:t>.</w:t>
      </w:r>
      <w:r w:rsidR="00EB7373">
        <w:rPr>
          <w:rFonts w:ascii="Times New Roman" w:eastAsia="Arial" w:hAnsi="Times New Roman" w:cs="Times New Roman"/>
          <w:sz w:val="24"/>
          <w:szCs w:val="24"/>
        </w:rPr>
        <w:t>Since</w:t>
      </w:r>
      <w:r w:rsidR="00EB7373"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 xml:space="preserve">we adjusted for covariates in our models </w:t>
      </w:r>
      <w:r w:rsidR="00EB7373">
        <w:rPr>
          <w:rFonts w:ascii="Times New Roman" w:eastAsia="Arial" w:hAnsi="Times New Roman" w:cs="Times New Roman"/>
          <w:sz w:val="24"/>
          <w:szCs w:val="24"/>
        </w:rPr>
        <w:t>that</w:t>
      </w:r>
      <w:r w:rsidR="00EB7373"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may have genetic components (height, BMI), w</w:t>
      </w:r>
      <w:r w:rsidR="00A016FB" w:rsidRPr="00757919">
        <w:rPr>
          <w:rFonts w:ascii="Times New Roman" w:eastAsia="Arial" w:hAnsi="Times New Roman" w:cs="Times New Roman"/>
          <w:sz w:val="24"/>
          <w:szCs w:val="24"/>
        </w:rPr>
        <w:t xml:space="preserve">e examined previous </w:t>
      </w:r>
      <w:r w:rsidRPr="00757919">
        <w:rPr>
          <w:rFonts w:ascii="Times New Roman" w:eastAsia="Arial" w:hAnsi="Times New Roman" w:cs="Times New Roman"/>
          <w:sz w:val="24"/>
          <w:szCs w:val="24"/>
        </w:rPr>
        <w:t xml:space="preserve">SNP associations with these covariates in prior GWAS studies </w:t>
      </w:r>
      <w:r w:rsidR="004E61F9" w:rsidRPr="00757919">
        <w:rPr>
          <w:rFonts w:ascii="Times New Roman" w:eastAsia="Arial" w:hAnsi="Times New Roman" w:cs="Times New Roman"/>
          <w:sz w:val="24"/>
          <w:szCs w:val="24"/>
        </w:rPr>
        <w:t xml:space="preserve">to </w:t>
      </w:r>
      <w:r w:rsidRPr="00757919">
        <w:rPr>
          <w:rFonts w:ascii="Times New Roman" w:eastAsia="Arial" w:hAnsi="Times New Roman" w:cs="Times New Roman"/>
          <w:sz w:val="24"/>
          <w:szCs w:val="24"/>
        </w:rPr>
        <w:t xml:space="preserve">identify potential </w:t>
      </w:r>
      <w:r w:rsidR="004E61F9" w:rsidRPr="00757919">
        <w:rPr>
          <w:rFonts w:ascii="Times New Roman" w:eastAsia="Arial" w:hAnsi="Times New Roman" w:cs="Times New Roman"/>
          <w:sz w:val="24"/>
          <w:szCs w:val="24"/>
        </w:rPr>
        <w:t>collider bias</w:t>
      </w:r>
      <w:r w:rsidRPr="00757919">
        <w:rPr>
          <w:rFonts w:ascii="Times New Roman" w:eastAsia="Arial" w:hAnsi="Times New Roman" w:cs="Times New Roman"/>
          <w:sz w:val="24"/>
          <w:szCs w:val="24"/>
        </w:rPr>
        <w:t>.</w:t>
      </w:r>
    </w:p>
    <w:p w14:paraId="0F02CAE6" w14:textId="77777777" w:rsidR="004A0274" w:rsidRPr="00757919" w:rsidRDefault="004A0274" w:rsidP="004A0274">
      <w:pPr>
        <w:spacing w:line="480" w:lineRule="auto"/>
        <w:rPr>
          <w:rFonts w:ascii="Times New Roman" w:eastAsia="Arial" w:hAnsi="Times New Roman" w:cs="Times New Roman"/>
          <w:i/>
          <w:sz w:val="24"/>
          <w:szCs w:val="24"/>
        </w:rPr>
      </w:pPr>
      <w:r w:rsidRPr="00757919">
        <w:rPr>
          <w:rFonts w:ascii="Times New Roman" w:eastAsia="Arial" w:hAnsi="Times New Roman" w:cs="Times New Roman"/>
          <w:i/>
          <w:sz w:val="24"/>
          <w:szCs w:val="24"/>
        </w:rPr>
        <w:t>Determining SNPs in High LD</w:t>
      </w:r>
    </w:p>
    <w:p w14:paraId="62489781" w14:textId="5645D026" w:rsidR="00491E2C" w:rsidRPr="00757919" w:rsidRDefault="00740CAC"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t xml:space="preserve">We used </w:t>
      </w:r>
      <w:r w:rsidR="00491E2C" w:rsidRPr="00757919">
        <w:rPr>
          <w:rFonts w:ascii="Times New Roman" w:eastAsia="Arial" w:hAnsi="Times New Roman" w:cs="Times New Roman"/>
          <w:sz w:val="24"/>
          <w:szCs w:val="24"/>
        </w:rPr>
        <w:t>HaploReg</w:t>
      </w:r>
      <w:r w:rsidR="007E15C8">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{"citationID":"NudmxX8n","properties":{"formattedCitation":"\\super 70\\nosupersub{}","plainCitation":"70","noteIndex":0},"citationItems":[{"id":388,"uris":["http://zotero.org/users/3223062/items/MC9HGSXK"],"uri":["http://zotero.org/users/3223062/items/MC9HGSXK"],"itemData":{"id":388,"type":"article-journal","abstract":"Abstract.  The resolution of genome-wide association studies (GWAS) is limited by the linkage disequilibrium (LD) structure of the population being studied. Sel","container-title":"Nucleic Acids Research","DOI":"10.1093/nar/gkr917","ISSN":"0305-1048","issue":"D1","journalAbbreviation":"Nucleic Acids Res","language":"en","note":"publisher: Oxford Academic","page":"D930-D934","source":"academic.oup.com","title":"HaploReg: a resource for exploring chromatin states, conservation, and regulatory motif alterations within sets of genetically linked variants","title-short":"HaploReg","volume":"40","author":[{"family":"Ward","given":"Lucas D."},{"family":"Kellis","given":"Manolis"}],"issued":{"date-parts":[["2012",1,1]]}}}],"schema":"https://github.com/citation-style-language/schema/raw/master/csl-citation.json"} </w:instrText>
      </w:r>
      <w:r w:rsidR="007E15C8">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70</w:t>
      </w:r>
      <w:r w:rsidR="007E15C8">
        <w:rPr>
          <w:rFonts w:ascii="Times New Roman" w:eastAsia="Arial" w:hAnsi="Times New Roman" w:cs="Times New Roman"/>
          <w:sz w:val="24"/>
          <w:szCs w:val="24"/>
        </w:rPr>
        <w:fldChar w:fldCharType="end"/>
      </w:r>
      <w:r w:rsidR="00AB1215">
        <w:rPr>
          <w:rFonts w:ascii="Times New Roman" w:eastAsia="Arial" w:hAnsi="Times New Roman" w:cs="Times New Roman"/>
          <w:sz w:val="24"/>
          <w:szCs w:val="24"/>
        </w:rPr>
        <w:t xml:space="preserve">, </w:t>
      </w:r>
      <w:r w:rsidR="00F500CD" w:rsidRPr="00757919">
        <w:rPr>
          <w:rFonts w:ascii="Times New Roman" w:eastAsia="Arial" w:hAnsi="Times New Roman" w:cs="Times New Roman"/>
          <w:bCs/>
          <w:sz w:val="24"/>
          <w:szCs w:val="24"/>
        </w:rPr>
        <w:t>Search Candidate cis-Regulatory Elements by ENCODE (SCREEN)</w:t>
      </w:r>
      <w:r w:rsidR="007E15C8">
        <w:rPr>
          <w:rFonts w:ascii="Times New Roman" w:eastAsia="Arial" w:hAnsi="Times New Roman" w:cs="Times New Roman"/>
          <w:bCs/>
          <w:sz w:val="24"/>
          <w:szCs w:val="24"/>
        </w:rPr>
        <w:fldChar w:fldCharType="begin"/>
      </w:r>
      <w:r w:rsidR="000E575F">
        <w:rPr>
          <w:rFonts w:ascii="Times New Roman" w:eastAsia="Arial" w:hAnsi="Times New Roman" w:cs="Times New Roman"/>
          <w:bCs/>
          <w:sz w:val="24"/>
          <w:szCs w:val="24"/>
        </w:rPr>
        <w:instrText xml:space="preserve"> ADDIN ZOTERO_ITEM CSL_CITATION {"citationID":"zBENo9JO","properties":{"formattedCitation":"\\super 71\\nosupersub{}","plainCitation":"71","noteIndex":0},"citationItems":[{"id":1572,"uris":["http://zotero.org/users/3223062/items/TV2IDN7X"],"uri":["http://zotero.org/users/3223062/items/TV2IDN7X"],"itemData":{"id":1572,"type":"article-journal","abstract":"The human and mouse genomes contain instructions that specify RNAs and proteins and govern the timing, magnitude, and cellular context of their production. To better delineate these elements, phase III of the Encyclopedia of DNA Elements (ENCODE) Project has expanded analysis of the cell and tissue repertoires of RNA transcription, chromatin structure and modification, DNA methylation, chromatin looping, and occupancy by transcription factors and RNA-binding proteins. Here we summarize these efforts, which have produced 5,992 new experimental datasets, including systematic determinations across mouse fetal development. All data are available through the ENCODE data portal (https://www.encodeproject.org), including phase II ENCODE1 and Roadmap Epigenomics2 data. We have developed a registry of 926,535 human and 339,815 mouse candidate cis-regulatory elements, covering 7.9 and 3.4% of their respective genomes, by integrating selected datatypes associated with gene regulation, and constructed a web-based server (SCREEN; http://screen.encodeproject.org) to provide flexible, user-defined access to this resource. Collectively, the ENCODE data and registry provide an expansive resource for the scientific community to build a better understanding of the organization and function of the human and mouse genomes.","container-title":"Nature","DOI":"10.1038/s41586-020-2493-4","ISSN":"1476-4687","issue":"7818","language":"en","note":"number: 7818\npublisher: Nature Publishing Group","page":"699-710","source":"www.nature.com","title":"Expanded encyclopaedias of DNA elements in the human and mouse genomes","volume":"583","author":[{"family":"Moore","given":"Jill E."},{"family":"Purcaro","given":"Michael J."},{"family":"Pratt","given":"Henry E."},{"family":"Epstein","given":"Charles B."},{"family":"Shoresh","given":"Noam"},{"family":"Adrian","given":"Jessika"},{"family":"Kawli","given":"Trupti"},{"family":"Davis","given":"Carrie A."},{"family":"Dobin","given":"Alexander"},{"family":"Kaul","given":"Rajinder"},{"family":"Halow","given":"Jessica"},{"family":"Van Nostrand","given":"Eric L."},{"family":"Freese","given":"Peter"},{"family":"Gorkin","given":"David U."},{"family":"Shen","given":"Yin"},{"family":"He","given":"Yupeng"},{"family":"Mackiewicz","given":"Mark"},{"family":"Pauli-Behn","given":"Florencia"},{"family":"Williams","given":"Brian A."},{"family":"Mortazavi","given":"Ali"},{"family":"Keller","given":"Cheryl A."},{"family":"Zhang","given":"Xiao-Ou"},{"family":"Elhajjajy","given":"Shaimae I."},{"family":"Huey","given":"Jack"},{"family":"Dickel","given":"Diane E."},{"family":"Snetkova","given":"Valentina"},{"family":"Wei","given":"Xintao"},{"family":"Wang","given":"Xiaofeng"},{"family":"Rivera-Mulia","given":"Juan Carlos"},{"family":"Rozowsky","given":"Joel"},{"family":"Zhang","given":"Jing"},{"family":"Chhetri","given":"Surya B."},{"family":"Zhang","given":"Jialing"},{"family":"Victorsen","given":"Alec"},{"family":"White","given":"Kevin P."},{"family":"Visel","given":"Axel"},{"family":"Yeo","given":"Gene W."},{"family":"Burge","given":"Christopher B."},{"family":"Lécuyer","given":"Eric"},{"family":"Gilbert","given":"David M."},{"family":"Dekker","given":"Job"},{"family":"Rinn","given":"John"},{"family":"Mendenhall","given":"Eric M."},{"family":"Ecker","given":"Joseph R."},{"family":"Kellis","given":"Manolis"},{"family":"Klein","given":"Robert J."},{"family":"Noble","given":"William S."},{"family":"Kundaje","given":"Anshul"},{"family":"Guigó","given":"Roderic"},{"family":"Farnham","given":"Peggy J."},{"family":"Cherry","given":"J. Michael"},{"family":"Myers","given":"Richard M."},{"family":"Ren","given":"Bing"},{"family":"Graveley","given":"Brenton R."},{"family":"Gerstein","given":"Mark B."},{"family":"Pennacchio","given":"Len A."},{"family":"Snyder","given":"Michael P."},{"family":"Bernstein","given":"Bradley E."},{"family":"Wold","given":"Barbara"},{"family":"Hardison","given":"Ross C."},{"family":"Gingeras","given":"Thomas R."},{"family":"Stamatoyannopoulos","given":"John A."},{"family":"Weng","given":"Zhiping"}],"issued":{"date-parts":[["2020",7]]}}}],"schema":"https://github.com/citation-style-language/schema/raw/master/csl-citation.json"} </w:instrText>
      </w:r>
      <w:r w:rsidR="007E15C8">
        <w:rPr>
          <w:rFonts w:ascii="Times New Roman" w:eastAsia="Arial" w:hAnsi="Times New Roman" w:cs="Times New Roman"/>
          <w:bCs/>
          <w:sz w:val="24"/>
          <w:szCs w:val="24"/>
        </w:rPr>
        <w:fldChar w:fldCharType="separate"/>
      </w:r>
      <w:r w:rsidR="000E575F" w:rsidRPr="000E575F">
        <w:rPr>
          <w:rFonts w:ascii="Times New Roman" w:hAnsi="Times New Roman" w:cs="Times New Roman"/>
          <w:sz w:val="24"/>
          <w:szCs w:val="24"/>
          <w:vertAlign w:val="superscript"/>
        </w:rPr>
        <w:t>71</w:t>
      </w:r>
      <w:r w:rsidR="007E15C8">
        <w:rPr>
          <w:rFonts w:ascii="Times New Roman" w:eastAsia="Arial" w:hAnsi="Times New Roman" w:cs="Times New Roman"/>
          <w:bCs/>
          <w:sz w:val="24"/>
          <w:szCs w:val="24"/>
        </w:rPr>
        <w:fldChar w:fldCharType="end"/>
      </w:r>
      <w:r w:rsidR="00AA1181">
        <w:rPr>
          <w:rFonts w:ascii="Times New Roman" w:eastAsia="Arial" w:hAnsi="Times New Roman" w:cs="Times New Roman"/>
          <w:sz w:val="24"/>
          <w:szCs w:val="24"/>
        </w:rPr>
        <w:t>, and LDl</w:t>
      </w:r>
      <w:r w:rsidR="00AB1215">
        <w:rPr>
          <w:rFonts w:ascii="Times New Roman" w:eastAsia="Arial" w:hAnsi="Times New Roman" w:cs="Times New Roman"/>
          <w:sz w:val="24"/>
          <w:szCs w:val="24"/>
        </w:rPr>
        <w:t>ink</w:t>
      </w:r>
      <w:r w:rsidR="00F72E65">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{"citationID":"Xp7u63El","properties":{"formattedCitation":"\\super 72\\nosupersub{}","plainCitation":"72","noteIndex":0},"citationItems":[{"id":1672,"uris":["http://zotero.org/users/3223062/items/AHJY93HI"],"uri":["http://zotero.org/users/3223062/items/AHJY93HI"],"itemData":{"id":1672,"type":"article-journal","abstract":"Assessing linkage disequilibrium (LD) across ancestral populations is a powerful approach for investigating population-specific genetic structure as well as functionally mapping regions of disease susceptibility. Here, we present LDlink, a web-based collection of bioinformatic modules that query single nucleotide polymorphisms (SNPs) in population groups of interest to generate haplotype tables and interactive plots. Modules are designed with an emphasis on ease of use, query flexibility, and interactive visualization of results. Phase 3 haplotype data from the 1000 Genomes Project are referenced for calculating pairwise metrics of LD, searching for proxies in high LD, and enumerating all observed haplotypes. LDlink is tailored for investigators interested in mapping common and uncommon disease susceptibility loci by focusing on output linking correlated alleles and highlighting putative functional variants.\nAVAILABILITY AND IMPLEMENTATION: LDlink is a free and publically available web tool which can be accessed at http://analysistools.nci.nih.gov/LDlink/.\nCONTACT: mitchell.machiela@nih.gov.","container-title":"Bioinformatics (Oxford, England)","DOI":"10.1093/bioinformatics/btv402","ISSN":"1367-4811","issue":"21","journalAbbreviation":"Bioinformatics","language":"eng","note":"PMID: 26139635\nPMCID: PMC4626747","page":"3555-3557","source":"PubMed","title":"LDlink: a web-based application for exploring population-specific haplotype structure and linking correlated alleles of possible functional variants","title-short":"LDlink","volume":"31","author":[{"family":"Machiela","given":"Mitchell J."},{"family":"Chanock","given":"Stephen J."}],"issued":{"date-parts":[["2015",11,1]]}}}],"schema":"https://github.com/citation-style-language/schema/raw/master/csl-citation.json"} </w:instrText>
      </w:r>
      <w:r w:rsidR="00F72E65">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72</w:t>
      </w:r>
      <w:r w:rsidR="00F72E65">
        <w:rPr>
          <w:rFonts w:ascii="Times New Roman" w:eastAsia="Arial" w:hAnsi="Times New Roman" w:cs="Times New Roman"/>
          <w:sz w:val="24"/>
          <w:szCs w:val="24"/>
        </w:rPr>
        <w:fldChar w:fldCharType="end"/>
      </w:r>
      <w:r w:rsidR="00AB1215">
        <w:rPr>
          <w:rFonts w:ascii="Times New Roman" w:eastAsia="Arial" w:hAnsi="Times New Roman" w:cs="Times New Roman"/>
          <w:sz w:val="24"/>
          <w:szCs w:val="24"/>
        </w:rPr>
        <w:t xml:space="preserve"> </w:t>
      </w:r>
      <w:r w:rsidR="00491E2C" w:rsidRPr="00757919">
        <w:rPr>
          <w:rFonts w:ascii="Times New Roman" w:eastAsia="Arial" w:hAnsi="Times New Roman" w:cs="Times New Roman"/>
          <w:sz w:val="24"/>
          <w:szCs w:val="24"/>
        </w:rPr>
        <w:t xml:space="preserve">to explore </w:t>
      </w:r>
      <w:r w:rsidR="008C7ED4">
        <w:rPr>
          <w:rFonts w:ascii="Times New Roman" w:eastAsia="Arial" w:hAnsi="Times New Roman" w:cs="Times New Roman"/>
          <w:sz w:val="24"/>
          <w:szCs w:val="24"/>
        </w:rPr>
        <w:t>LD among SNPs and a</w:t>
      </w:r>
      <w:r w:rsidR="00491E2C" w:rsidRPr="00757919">
        <w:rPr>
          <w:rFonts w:ascii="Times New Roman" w:eastAsia="Arial" w:hAnsi="Times New Roman" w:cs="Times New Roman"/>
          <w:sz w:val="24"/>
          <w:szCs w:val="24"/>
        </w:rPr>
        <w:t xml:space="preserve">nnotations </w:t>
      </w:r>
      <w:r w:rsidR="00231E1A" w:rsidRPr="00757919">
        <w:rPr>
          <w:rFonts w:ascii="Times New Roman" w:eastAsia="Arial" w:hAnsi="Times New Roman" w:cs="Times New Roman"/>
          <w:sz w:val="24"/>
          <w:szCs w:val="24"/>
        </w:rPr>
        <w:t xml:space="preserve">including chromatin state, previous </w:t>
      </w:r>
      <w:proofErr w:type="spellStart"/>
      <w:r w:rsidR="00231E1A" w:rsidRPr="00757919">
        <w:rPr>
          <w:rFonts w:ascii="Times New Roman" w:eastAsia="Arial" w:hAnsi="Times New Roman" w:cs="Times New Roman"/>
          <w:sz w:val="24"/>
          <w:szCs w:val="24"/>
        </w:rPr>
        <w:t>eQTL</w:t>
      </w:r>
      <w:proofErr w:type="spellEnd"/>
      <w:r w:rsidR="00231E1A" w:rsidRPr="00757919">
        <w:rPr>
          <w:rFonts w:ascii="Times New Roman" w:eastAsia="Arial" w:hAnsi="Times New Roman" w:cs="Times New Roman"/>
          <w:sz w:val="24"/>
          <w:szCs w:val="24"/>
        </w:rPr>
        <w:t xml:space="preserve"> </w:t>
      </w:r>
      <w:r w:rsidR="005A1D6E" w:rsidRPr="00757919">
        <w:rPr>
          <w:rFonts w:ascii="Times New Roman" w:eastAsia="Arial" w:hAnsi="Times New Roman" w:cs="Times New Roman"/>
          <w:sz w:val="24"/>
          <w:szCs w:val="24"/>
        </w:rPr>
        <w:t>signals</w:t>
      </w:r>
      <w:r w:rsidR="00231E1A" w:rsidRPr="00757919">
        <w:rPr>
          <w:rFonts w:ascii="Times New Roman" w:eastAsia="Arial" w:hAnsi="Times New Roman" w:cs="Times New Roman"/>
          <w:sz w:val="24"/>
          <w:szCs w:val="24"/>
        </w:rPr>
        <w:t xml:space="preserve">, and proteins bound in </w:t>
      </w:r>
      <w:proofErr w:type="spellStart"/>
      <w:r w:rsidR="00231E1A" w:rsidRPr="00757919">
        <w:rPr>
          <w:rFonts w:ascii="Times New Roman" w:eastAsia="Arial" w:hAnsi="Times New Roman" w:cs="Times New Roman"/>
          <w:sz w:val="24"/>
          <w:szCs w:val="24"/>
        </w:rPr>
        <w:t>ChIP</w:t>
      </w:r>
      <w:proofErr w:type="spellEnd"/>
      <w:r w:rsidR="00231E1A" w:rsidRPr="00757919">
        <w:rPr>
          <w:rFonts w:ascii="Times New Roman" w:eastAsia="Arial" w:hAnsi="Times New Roman" w:cs="Times New Roman"/>
          <w:sz w:val="24"/>
          <w:szCs w:val="24"/>
        </w:rPr>
        <w:t xml:space="preserve">-Seq experiments </w:t>
      </w:r>
      <w:r w:rsidR="00491E2C" w:rsidRPr="00757919">
        <w:rPr>
          <w:rFonts w:ascii="Times New Roman" w:eastAsia="Arial" w:hAnsi="Times New Roman" w:cs="Times New Roman"/>
          <w:sz w:val="24"/>
          <w:szCs w:val="24"/>
        </w:rPr>
        <w:t xml:space="preserve">for </w:t>
      </w:r>
      <w:r w:rsidRPr="00757919">
        <w:rPr>
          <w:rFonts w:ascii="Times New Roman" w:eastAsia="Arial" w:hAnsi="Times New Roman" w:cs="Times New Roman"/>
          <w:sz w:val="24"/>
          <w:szCs w:val="24"/>
        </w:rPr>
        <w:t>our top 11</w:t>
      </w:r>
      <w:r w:rsidR="00491E2C" w:rsidRPr="00757919">
        <w:rPr>
          <w:rFonts w:ascii="Times New Roman" w:eastAsia="Arial" w:hAnsi="Times New Roman" w:cs="Times New Roman"/>
          <w:sz w:val="24"/>
          <w:szCs w:val="24"/>
        </w:rPr>
        <w:t xml:space="preserve"> SNPs and SNPs in high LD</w:t>
      </w:r>
      <w:r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lastRenderedPageBreak/>
        <w:t>with those SNPs</w:t>
      </w:r>
      <w:r w:rsidR="00491E2C" w:rsidRPr="00757919">
        <w:rPr>
          <w:rFonts w:ascii="Times New Roman" w:eastAsia="Arial" w:hAnsi="Times New Roman" w:cs="Times New Roman"/>
          <w:sz w:val="24"/>
          <w:szCs w:val="24"/>
        </w:rPr>
        <w:t xml:space="preserve"> (r</w:t>
      </w:r>
      <w:r w:rsidR="00491E2C" w:rsidRPr="00757919">
        <w:rPr>
          <w:rFonts w:ascii="Times New Roman" w:eastAsia="Arial" w:hAnsi="Times New Roman" w:cs="Times New Roman"/>
          <w:sz w:val="24"/>
          <w:szCs w:val="24"/>
          <w:vertAlign w:val="superscript"/>
        </w:rPr>
        <w:t>2</w:t>
      </w:r>
      <w:r w:rsidR="00491E2C" w:rsidRPr="00757919">
        <w:rPr>
          <w:rFonts w:ascii="Times New Roman" w:eastAsia="Arial" w:hAnsi="Times New Roman" w:cs="Times New Roman"/>
          <w:sz w:val="24"/>
          <w:szCs w:val="24"/>
        </w:rPr>
        <w:t xml:space="preserve"> = 0.</w:t>
      </w:r>
      <w:r w:rsidR="000E4962" w:rsidRPr="00757919">
        <w:rPr>
          <w:rFonts w:ascii="Times New Roman" w:eastAsia="Arial" w:hAnsi="Times New Roman" w:cs="Times New Roman"/>
          <w:sz w:val="24"/>
          <w:szCs w:val="24"/>
        </w:rPr>
        <w:t>8</w:t>
      </w:r>
      <w:r w:rsidR="00491E2C" w:rsidRPr="00757919">
        <w:rPr>
          <w:rFonts w:ascii="Times New Roman" w:eastAsia="Arial" w:hAnsi="Times New Roman" w:cs="Times New Roman"/>
          <w:sz w:val="24"/>
          <w:szCs w:val="24"/>
        </w:rPr>
        <w:t>) as calculated using the European populati</w:t>
      </w:r>
      <w:r w:rsidR="008C7ED4">
        <w:rPr>
          <w:rFonts w:ascii="Times New Roman" w:eastAsia="Arial" w:hAnsi="Times New Roman" w:cs="Times New Roman"/>
          <w:sz w:val="24"/>
          <w:szCs w:val="24"/>
        </w:rPr>
        <w:t>on of the 1000 Genomes Project</w:t>
      </w:r>
      <w:r w:rsidR="004A1ACD">
        <w:rPr>
          <w:rFonts w:ascii="Times New Roman" w:eastAsia="Arial" w:hAnsi="Times New Roman" w:cs="Times New Roman"/>
          <w:sz w:val="24"/>
          <w:szCs w:val="24"/>
        </w:rPr>
        <w:t xml:space="preserve"> </w:t>
      </w:r>
      <w:r w:rsidR="008C7ED4">
        <w:rPr>
          <w:rFonts w:ascii="Times New Roman" w:eastAsia="Arial" w:hAnsi="Times New Roman" w:cs="Times New Roman"/>
          <w:sz w:val="24"/>
          <w:szCs w:val="24"/>
        </w:rPr>
        <w:t xml:space="preserve">using </w:t>
      </w:r>
      <w:proofErr w:type="spellStart"/>
      <w:r w:rsidR="004A1ACD">
        <w:rPr>
          <w:rFonts w:ascii="Times New Roman" w:eastAsia="Arial" w:hAnsi="Times New Roman" w:cs="Times New Roman"/>
          <w:sz w:val="24"/>
          <w:szCs w:val="24"/>
        </w:rPr>
        <w:t>HaploReg</w:t>
      </w:r>
      <w:proofErr w:type="spellEnd"/>
      <w:r w:rsidR="004A1ACD">
        <w:rPr>
          <w:rFonts w:ascii="Times New Roman" w:eastAsia="Arial" w:hAnsi="Times New Roman" w:cs="Times New Roman"/>
          <w:sz w:val="24"/>
          <w:szCs w:val="24"/>
        </w:rPr>
        <w:t xml:space="preserve"> or </w:t>
      </w:r>
      <w:proofErr w:type="spellStart"/>
      <w:r w:rsidR="008C7ED4">
        <w:rPr>
          <w:rFonts w:ascii="Times New Roman" w:eastAsia="Arial" w:hAnsi="Times New Roman" w:cs="Times New Roman"/>
          <w:sz w:val="24"/>
          <w:szCs w:val="24"/>
        </w:rPr>
        <w:t>LDLink</w:t>
      </w:r>
      <w:proofErr w:type="spellEnd"/>
      <w:r w:rsidR="008C7ED4">
        <w:rPr>
          <w:rFonts w:ascii="Times New Roman" w:eastAsia="Arial" w:hAnsi="Times New Roman" w:cs="Times New Roman"/>
          <w:sz w:val="24"/>
          <w:szCs w:val="24"/>
        </w:rPr>
        <w:t xml:space="preserve">. </w:t>
      </w:r>
      <w:r w:rsidR="00491E2C" w:rsidRPr="00757919">
        <w:rPr>
          <w:rFonts w:ascii="Times New Roman" w:eastAsia="Arial" w:hAnsi="Times New Roman" w:cs="Times New Roman"/>
          <w:sz w:val="24"/>
          <w:szCs w:val="24"/>
        </w:rPr>
        <w:t>Correlation between SNPs was also calculated within our cohort using the R function cor.</w:t>
      </w:r>
    </w:p>
    <w:p w14:paraId="15E92C3F" w14:textId="77777777" w:rsidR="00491E2C" w:rsidRPr="00757919" w:rsidRDefault="00491E2C" w:rsidP="00864F3F">
      <w:pPr>
        <w:spacing w:line="480" w:lineRule="auto"/>
        <w:rPr>
          <w:rFonts w:ascii="Times New Roman" w:eastAsia="Arial" w:hAnsi="Times New Roman" w:cs="Times New Roman"/>
          <w:i/>
          <w:sz w:val="24"/>
          <w:szCs w:val="24"/>
        </w:rPr>
      </w:pPr>
      <w:r w:rsidRPr="00757919">
        <w:rPr>
          <w:rFonts w:ascii="Times New Roman" w:eastAsia="Arial" w:hAnsi="Times New Roman" w:cs="Times New Roman"/>
          <w:i/>
          <w:sz w:val="24"/>
          <w:szCs w:val="24"/>
        </w:rPr>
        <w:t>miRNA Association Analysis</w:t>
      </w:r>
    </w:p>
    <w:p w14:paraId="2D533472" w14:textId="4F4F2250" w:rsidR="00491E2C" w:rsidRPr="00757919" w:rsidRDefault="004E61F9"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t xml:space="preserve">The </w:t>
      </w:r>
      <w:r w:rsidR="00491E2C" w:rsidRPr="00757919">
        <w:rPr>
          <w:rFonts w:ascii="Times New Roman" w:eastAsia="Arial" w:hAnsi="Times New Roman" w:cs="Times New Roman"/>
          <w:sz w:val="24"/>
          <w:szCs w:val="24"/>
        </w:rPr>
        <w:t xml:space="preserve">11 </w:t>
      </w:r>
      <w:r w:rsidR="00B6706A" w:rsidRPr="00757919">
        <w:rPr>
          <w:rFonts w:ascii="Times New Roman" w:eastAsia="Arial" w:hAnsi="Times New Roman" w:cs="Times New Roman"/>
          <w:sz w:val="24"/>
          <w:szCs w:val="24"/>
        </w:rPr>
        <w:t xml:space="preserve">genetic </w:t>
      </w:r>
      <w:r w:rsidR="00CE7371">
        <w:rPr>
          <w:rFonts w:ascii="Times New Roman" w:eastAsia="Arial" w:hAnsi="Times New Roman" w:cs="Times New Roman"/>
          <w:sz w:val="24"/>
          <w:szCs w:val="24"/>
        </w:rPr>
        <w:t>polymorphism</w:t>
      </w:r>
      <w:r w:rsidR="00491E2C" w:rsidRPr="00757919">
        <w:rPr>
          <w:rFonts w:ascii="Times New Roman" w:eastAsia="Arial" w:hAnsi="Times New Roman" w:cs="Times New Roman"/>
          <w:sz w:val="24"/>
          <w:szCs w:val="24"/>
        </w:rPr>
        <w:t>s</w:t>
      </w:r>
      <w:r w:rsidRPr="00757919">
        <w:rPr>
          <w:rFonts w:ascii="Times New Roman" w:eastAsia="Arial" w:hAnsi="Times New Roman" w:cs="Times New Roman"/>
          <w:sz w:val="24"/>
          <w:szCs w:val="24"/>
        </w:rPr>
        <w:t xml:space="preserve"> that were</w:t>
      </w:r>
      <w:r w:rsidR="00491E2C" w:rsidRPr="00757919">
        <w:rPr>
          <w:rFonts w:ascii="Times New Roman" w:eastAsia="Arial" w:hAnsi="Times New Roman" w:cs="Times New Roman"/>
          <w:sz w:val="24"/>
          <w:szCs w:val="24"/>
        </w:rPr>
        <w:t xml:space="preserve"> </w:t>
      </w:r>
      <w:r w:rsidR="00EA6EE4" w:rsidRPr="00757919">
        <w:rPr>
          <w:rFonts w:ascii="Times New Roman" w:eastAsia="Arial" w:hAnsi="Times New Roman" w:cs="Times New Roman"/>
          <w:sz w:val="24"/>
          <w:szCs w:val="24"/>
        </w:rPr>
        <w:t xml:space="preserve">found to be significant in our pharmacogenomic association model </w:t>
      </w:r>
      <w:r w:rsidR="00491E2C" w:rsidRPr="00757919">
        <w:rPr>
          <w:rFonts w:ascii="Times New Roman" w:eastAsia="Arial" w:hAnsi="Times New Roman" w:cs="Times New Roman"/>
          <w:sz w:val="24"/>
          <w:szCs w:val="24"/>
        </w:rPr>
        <w:t>were analyzed in 1</w:t>
      </w:r>
      <w:r w:rsidR="005E2ACA">
        <w:rPr>
          <w:rFonts w:ascii="Times New Roman" w:eastAsia="Arial" w:hAnsi="Times New Roman" w:cs="Times New Roman"/>
          <w:sz w:val="24"/>
          <w:szCs w:val="24"/>
        </w:rPr>
        <w:t>,</w:t>
      </w:r>
      <w:r w:rsidR="00491E2C" w:rsidRPr="00757919">
        <w:rPr>
          <w:rFonts w:ascii="Times New Roman" w:eastAsia="Arial" w:hAnsi="Times New Roman" w:cs="Times New Roman"/>
          <w:sz w:val="24"/>
          <w:szCs w:val="24"/>
        </w:rPr>
        <w:t>304 of the 1</w:t>
      </w:r>
      <w:r w:rsidR="005E2ACA">
        <w:rPr>
          <w:rFonts w:ascii="Times New Roman" w:eastAsia="Arial" w:hAnsi="Times New Roman" w:cs="Times New Roman"/>
          <w:sz w:val="24"/>
          <w:szCs w:val="24"/>
        </w:rPr>
        <w:t>,</w:t>
      </w:r>
      <w:r w:rsidR="00491E2C" w:rsidRPr="00757919">
        <w:rPr>
          <w:rFonts w:ascii="Times New Roman" w:eastAsia="Arial" w:hAnsi="Times New Roman" w:cs="Times New Roman"/>
          <w:sz w:val="24"/>
          <w:szCs w:val="24"/>
        </w:rPr>
        <w:t xml:space="preserve">527 individuals </w:t>
      </w:r>
      <w:r w:rsidR="00253A0E">
        <w:rPr>
          <w:rFonts w:ascii="Times New Roman" w:eastAsia="Arial" w:hAnsi="Times New Roman" w:cs="Times New Roman"/>
          <w:sz w:val="24"/>
          <w:szCs w:val="24"/>
        </w:rPr>
        <w:t xml:space="preserve">who had available miRNA data. We determined association between SNPs and 333 miRNAs </w:t>
      </w:r>
      <w:r w:rsidR="00491E2C" w:rsidRPr="00757919">
        <w:rPr>
          <w:rFonts w:ascii="Times New Roman" w:eastAsia="Arial" w:hAnsi="Times New Roman" w:cs="Times New Roman"/>
          <w:sz w:val="24"/>
          <w:szCs w:val="24"/>
        </w:rPr>
        <w:t>assayed using qPCR data. Associated miRNA</w:t>
      </w:r>
      <w:r w:rsidR="00817C8A" w:rsidRPr="00757919">
        <w:rPr>
          <w:rFonts w:ascii="Times New Roman" w:eastAsia="Arial" w:hAnsi="Times New Roman" w:cs="Times New Roman"/>
          <w:sz w:val="24"/>
          <w:szCs w:val="24"/>
        </w:rPr>
        <w:t>s</w:t>
      </w:r>
      <w:r w:rsidR="00491E2C" w:rsidRPr="00757919">
        <w:rPr>
          <w:rFonts w:ascii="Times New Roman" w:eastAsia="Arial" w:hAnsi="Times New Roman" w:cs="Times New Roman"/>
          <w:sz w:val="24"/>
          <w:szCs w:val="24"/>
        </w:rPr>
        <w:t xml:space="preserve"> were determined using </w:t>
      </w:r>
      <w:r w:rsidR="00EA6EE4" w:rsidRPr="00757919">
        <w:rPr>
          <w:rFonts w:ascii="Times New Roman" w:eastAsia="Arial" w:hAnsi="Times New Roman" w:cs="Times New Roman"/>
          <w:sz w:val="24"/>
          <w:szCs w:val="24"/>
        </w:rPr>
        <w:t xml:space="preserve">a </w:t>
      </w:r>
      <w:r w:rsidR="00491E2C" w:rsidRPr="00757919">
        <w:rPr>
          <w:rFonts w:ascii="Times New Roman" w:eastAsia="Arial" w:hAnsi="Times New Roman" w:cs="Times New Roman"/>
          <w:sz w:val="24"/>
          <w:szCs w:val="24"/>
        </w:rPr>
        <w:t>linear mixed model, stratifying based on sex and adjusting for interrelatedness between individuals by modeling a kinship matrix as a random effect (</w:t>
      </w:r>
      <w:proofErr w:type="spellStart"/>
      <w:r w:rsidR="00491E2C" w:rsidRPr="00757919">
        <w:rPr>
          <w:rFonts w:ascii="Times New Roman" w:eastAsia="Arial" w:hAnsi="Times New Roman" w:cs="Times New Roman"/>
          <w:sz w:val="24"/>
          <w:szCs w:val="24"/>
        </w:rPr>
        <w:t>lmekin</w:t>
      </w:r>
      <w:proofErr w:type="spellEnd"/>
      <w:r w:rsidR="00491E2C" w:rsidRPr="00757919">
        <w:rPr>
          <w:rFonts w:ascii="Times New Roman" w:eastAsia="Arial" w:hAnsi="Times New Roman" w:cs="Times New Roman"/>
          <w:sz w:val="24"/>
          <w:szCs w:val="24"/>
        </w:rPr>
        <w:t xml:space="preserve"> function in </w:t>
      </w:r>
      <w:proofErr w:type="spellStart"/>
      <w:r w:rsidR="00491E2C" w:rsidRPr="00757919">
        <w:rPr>
          <w:rFonts w:ascii="Times New Roman" w:eastAsia="Arial" w:hAnsi="Times New Roman" w:cs="Times New Roman"/>
          <w:sz w:val="24"/>
          <w:szCs w:val="24"/>
        </w:rPr>
        <w:t>coxme</w:t>
      </w:r>
      <w:proofErr w:type="spellEnd"/>
      <w:r w:rsidR="00491E2C" w:rsidRPr="00757919">
        <w:rPr>
          <w:rFonts w:ascii="Times New Roman" w:eastAsia="Arial" w:hAnsi="Times New Roman" w:cs="Times New Roman"/>
          <w:sz w:val="24"/>
          <w:szCs w:val="24"/>
        </w:rPr>
        <w:t xml:space="preserve"> package in R</w:t>
      </w:r>
      <w:r w:rsidR="00155318">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{"citationID":"AIOM7mum","properties":{"formattedCitation":"\\super 73\\nosupersub{}","plainCitation":"73","noteIndex":0},"citationItems":[{"id":1655,"uris":["http://zotero.org/users/3223062/items/JESEEICI"],"uri":["http://zotero.org/users/3223062/items/JESEEICI"],"itemData":{"id":1655,"type":"book","abstract":"Fit Cox proportional hazards models containing both fixed and random effects. The random effects can have a general form, of which familial interactions (a \"kinship\" matrix) is a particular special case. Note that the simplest case of a mixed effects Cox model, i.e. a single random per-group intercept, is also called a \"frailty\" model. The approach is based on Ripatti and Palmgren, Biometrics 2002.","source":"R-Packages","title":"coxme: Mixed Effects Cox Models","title-short":"coxme","URL":"https://CRAN.R-project.org/package=coxme","version":"2.2-16","author":[{"family":"Therneau","given":"Terry M."}],"accessed":{"date-parts":[["2020",9,22]]},"issued":{"date-parts":[["2020",1,14]]}}}],"schema":"https://github.com/citation-style-language/schema/raw/master/csl-citation.json"} </w:instrText>
      </w:r>
      <w:r w:rsidR="00155318">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73</w:t>
      </w:r>
      <w:r w:rsidR="00155318">
        <w:rPr>
          <w:rFonts w:ascii="Times New Roman" w:eastAsia="Arial" w:hAnsi="Times New Roman" w:cs="Times New Roman"/>
          <w:sz w:val="24"/>
          <w:szCs w:val="24"/>
        </w:rPr>
        <w:fldChar w:fldCharType="end"/>
      </w:r>
      <w:r w:rsidR="00491E2C" w:rsidRPr="00757919">
        <w:rPr>
          <w:rFonts w:ascii="Times New Roman" w:eastAsia="Arial" w:hAnsi="Times New Roman" w:cs="Times New Roman"/>
          <w:sz w:val="24"/>
          <w:szCs w:val="24"/>
        </w:rPr>
        <w:t>). The female-only model adjust</w:t>
      </w:r>
      <w:r w:rsidR="00EA6EE4" w:rsidRPr="00757919">
        <w:rPr>
          <w:rFonts w:ascii="Times New Roman" w:eastAsia="Arial" w:hAnsi="Times New Roman" w:cs="Times New Roman"/>
          <w:sz w:val="24"/>
          <w:szCs w:val="24"/>
        </w:rPr>
        <w:t>ed</w:t>
      </w:r>
      <w:r w:rsidR="00491E2C" w:rsidRPr="00757919">
        <w:rPr>
          <w:rFonts w:ascii="Times New Roman" w:eastAsia="Arial" w:hAnsi="Times New Roman" w:cs="Times New Roman"/>
          <w:sz w:val="24"/>
          <w:szCs w:val="24"/>
        </w:rPr>
        <w:t xml:space="preserve"> for age, height, BMI, </w:t>
      </w:r>
      <w:r w:rsidR="00EC3DD4">
        <w:rPr>
          <w:rFonts w:ascii="Times New Roman" w:eastAsia="Arial" w:hAnsi="Times New Roman" w:cs="Times New Roman"/>
          <w:sz w:val="24"/>
          <w:szCs w:val="24"/>
        </w:rPr>
        <w:t xml:space="preserve">current </w:t>
      </w:r>
      <w:r w:rsidR="00491E2C" w:rsidRPr="00757919">
        <w:rPr>
          <w:rFonts w:ascii="Times New Roman" w:eastAsia="Arial" w:hAnsi="Times New Roman" w:cs="Times New Roman"/>
          <w:sz w:val="24"/>
          <w:szCs w:val="24"/>
        </w:rPr>
        <w:t>estrogen</w:t>
      </w:r>
      <w:r w:rsidR="00253A0E">
        <w:rPr>
          <w:rFonts w:ascii="Times New Roman" w:eastAsia="Arial" w:hAnsi="Times New Roman" w:cs="Times New Roman"/>
          <w:sz w:val="24"/>
          <w:szCs w:val="24"/>
        </w:rPr>
        <w:t xml:space="preserve"> use</w:t>
      </w:r>
      <w:r w:rsidR="00817C8A" w:rsidRPr="00757919">
        <w:rPr>
          <w:rFonts w:ascii="Times New Roman" w:eastAsia="Arial" w:hAnsi="Times New Roman" w:cs="Times New Roman"/>
          <w:sz w:val="24"/>
          <w:szCs w:val="24"/>
        </w:rPr>
        <w:t>,</w:t>
      </w:r>
      <w:r w:rsidR="00491E2C" w:rsidRPr="00757919">
        <w:rPr>
          <w:rFonts w:ascii="Times New Roman" w:eastAsia="Arial" w:hAnsi="Times New Roman" w:cs="Times New Roman"/>
          <w:sz w:val="24"/>
          <w:szCs w:val="24"/>
        </w:rPr>
        <w:t xml:space="preserve"> and miRNA technical variables</w:t>
      </w:r>
      <w:r w:rsidR="002206DF">
        <w:rPr>
          <w:rFonts w:ascii="Times New Roman" w:eastAsia="Arial" w:hAnsi="Times New Roman" w:cs="Times New Roman"/>
          <w:sz w:val="24"/>
          <w:szCs w:val="24"/>
        </w:rPr>
        <w:t xml:space="preserve"> </w:t>
      </w:r>
      <w:r w:rsidR="002206DF" w:rsidRPr="00AA1181">
        <w:rPr>
          <w:rFonts w:ascii="Times New Roman" w:hAnsi="Times New Roman" w:cs="Times New Roman"/>
          <w:sz w:val="24"/>
          <w:szCs w:val="24"/>
        </w:rPr>
        <w:t>(RNA concentration, RNA quality, and RNA 260/280 ratio, a measure of purity of the RNA)</w:t>
      </w:r>
      <w:r w:rsidR="00817C8A" w:rsidRPr="00AA1181">
        <w:rPr>
          <w:rFonts w:ascii="Times New Roman" w:eastAsia="Arial" w:hAnsi="Times New Roman" w:cs="Times New Roman"/>
          <w:sz w:val="24"/>
          <w:szCs w:val="24"/>
        </w:rPr>
        <w:t>,</w:t>
      </w:r>
      <w:r w:rsidR="00491E2C" w:rsidRPr="00AA1181">
        <w:rPr>
          <w:rFonts w:ascii="Times New Roman" w:eastAsia="Arial" w:hAnsi="Times New Roman" w:cs="Times New Roman"/>
          <w:sz w:val="24"/>
          <w:szCs w:val="24"/>
        </w:rPr>
        <w:t xml:space="preserve"> </w:t>
      </w:r>
      <w:r w:rsidR="00491E2C" w:rsidRPr="00757919">
        <w:rPr>
          <w:rFonts w:ascii="Times New Roman" w:eastAsia="Arial" w:hAnsi="Times New Roman" w:cs="Times New Roman"/>
          <w:sz w:val="24"/>
          <w:szCs w:val="24"/>
        </w:rPr>
        <w:t xml:space="preserve">and </w:t>
      </w:r>
      <w:r w:rsidR="00EA6EE4" w:rsidRPr="00757919">
        <w:rPr>
          <w:rFonts w:ascii="Times New Roman" w:eastAsia="Arial" w:hAnsi="Times New Roman" w:cs="Times New Roman"/>
          <w:sz w:val="24"/>
          <w:szCs w:val="24"/>
        </w:rPr>
        <w:t>the</w:t>
      </w:r>
      <w:r w:rsidR="00491E2C" w:rsidRPr="00757919">
        <w:rPr>
          <w:rFonts w:ascii="Times New Roman" w:eastAsia="Arial" w:hAnsi="Times New Roman" w:cs="Times New Roman"/>
          <w:sz w:val="24"/>
          <w:szCs w:val="24"/>
        </w:rPr>
        <w:t xml:space="preserve"> male-only regression model adjust</w:t>
      </w:r>
      <w:r w:rsidR="00EA6EE4" w:rsidRPr="00757919">
        <w:rPr>
          <w:rFonts w:ascii="Times New Roman" w:eastAsia="Arial" w:hAnsi="Times New Roman" w:cs="Times New Roman"/>
          <w:sz w:val="24"/>
          <w:szCs w:val="24"/>
        </w:rPr>
        <w:t>ed</w:t>
      </w:r>
      <w:r w:rsidR="00491E2C" w:rsidRPr="00757919">
        <w:rPr>
          <w:rFonts w:ascii="Times New Roman" w:eastAsia="Arial" w:hAnsi="Times New Roman" w:cs="Times New Roman"/>
          <w:sz w:val="24"/>
          <w:szCs w:val="24"/>
        </w:rPr>
        <w:t xml:space="preserve"> for age, height, BMI</w:t>
      </w:r>
      <w:r w:rsidR="00817C8A" w:rsidRPr="00757919">
        <w:rPr>
          <w:rFonts w:ascii="Times New Roman" w:eastAsia="Arial" w:hAnsi="Times New Roman" w:cs="Times New Roman"/>
          <w:sz w:val="24"/>
          <w:szCs w:val="24"/>
        </w:rPr>
        <w:t>,</w:t>
      </w:r>
      <w:r w:rsidR="00491E2C" w:rsidRPr="00757919">
        <w:rPr>
          <w:rFonts w:ascii="Times New Roman" w:eastAsia="Arial" w:hAnsi="Times New Roman" w:cs="Times New Roman"/>
          <w:sz w:val="24"/>
          <w:szCs w:val="24"/>
        </w:rPr>
        <w:t xml:space="preserve"> and </w:t>
      </w:r>
      <w:r w:rsidR="00AA1181">
        <w:rPr>
          <w:rFonts w:ascii="Times New Roman" w:eastAsia="Arial" w:hAnsi="Times New Roman" w:cs="Times New Roman"/>
          <w:sz w:val="24"/>
          <w:szCs w:val="24"/>
        </w:rPr>
        <w:t xml:space="preserve">the same </w:t>
      </w:r>
      <w:r w:rsidR="00491E2C" w:rsidRPr="00757919">
        <w:rPr>
          <w:rFonts w:ascii="Times New Roman" w:eastAsia="Arial" w:hAnsi="Times New Roman" w:cs="Times New Roman"/>
          <w:sz w:val="24"/>
          <w:szCs w:val="24"/>
        </w:rPr>
        <w:t>miRNA technical variables</w:t>
      </w:r>
      <w:r w:rsidR="00AA1181">
        <w:rPr>
          <w:rFonts w:ascii="Times New Roman" w:hAnsi="Times New Roman" w:cs="Times New Roman"/>
          <w:sz w:val="24"/>
          <w:szCs w:val="24"/>
        </w:rPr>
        <w:t xml:space="preserve">. </w:t>
      </w:r>
      <w:r w:rsidR="002206DF">
        <w:rPr>
          <w:rFonts w:ascii="Times New Roman" w:eastAsia="Arial" w:hAnsi="Times New Roman" w:cs="Times New Roman"/>
          <w:sz w:val="24"/>
          <w:szCs w:val="24"/>
        </w:rPr>
        <w:t>Isolation batch effect was not included as a covariate due to power restraints.</w:t>
      </w:r>
      <w:r w:rsidR="00491E2C" w:rsidRPr="00757919">
        <w:rPr>
          <w:rFonts w:ascii="Times New Roman" w:eastAsia="Arial" w:hAnsi="Times New Roman" w:cs="Times New Roman"/>
          <w:sz w:val="24"/>
          <w:szCs w:val="24"/>
        </w:rPr>
        <w:t xml:space="preserve"> miRNA expression level as measured by q-PCR was used as the dependent variable, while allele dosage</w:t>
      </w:r>
      <w:r w:rsidR="00B6706A" w:rsidRPr="00757919">
        <w:rPr>
          <w:rFonts w:ascii="Times New Roman" w:eastAsia="Arial" w:hAnsi="Times New Roman" w:cs="Times New Roman"/>
          <w:sz w:val="24"/>
          <w:szCs w:val="24"/>
        </w:rPr>
        <w:t>, BB use, and the</w:t>
      </w:r>
      <w:r w:rsidR="00281F30" w:rsidRPr="00757919">
        <w:rPr>
          <w:rFonts w:ascii="Times New Roman" w:eastAsia="Arial" w:hAnsi="Times New Roman" w:cs="Times New Roman"/>
          <w:sz w:val="24"/>
          <w:szCs w:val="24"/>
        </w:rPr>
        <w:t>ir</w:t>
      </w:r>
      <w:r w:rsidR="00B6706A" w:rsidRPr="00757919">
        <w:rPr>
          <w:rFonts w:ascii="Times New Roman" w:eastAsia="Arial" w:hAnsi="Times New Roman" w:cs="Times New Roman"/>
          <w:sz w:val="24"/>
          <w:szCs w:val="24"/>
        </w:rPr>
        <w:t xml:space="preserve"> interaction </w:t>
      </w:r>
      <w:r w:rsidR="00817C8A" w:rsidRPr="00757919">
        <w:rPr>
          <w:rFonts w:ascii="Times New Roman" w:eastAsia="Arial" w:hAnsi="Times New Roman" w:cs="Times New Roman"/>
          <w:sz w:val="24"/>
          <w:szCs w:val="24"/>
        </w:rPr>
        <w:t xml:space="preserve">were </w:t>
      </w:r>
      <w:r w:rsidR="00491E2C" w:rsidRPr="00757919">
        <w:rPr>
          <w:rFonts w:ascii="Times New Roman" w:eastAsia="Arial" w:hAnsi="Times New Roman" w:cs="Times New Roman"/>
          <w:sz w:val="24"/>
          <w:szCs w:val="24"/>
        </w:rPr>
        <w:t>modeled</w:t>
      </w:r>
      <w:r w:rsidR="00281F30" w:rsidRPr="00757919">
        <w:rPr>
          <w:rFonts w:ascii="Times New Roman" w:eastAsia="Arial" w:hAnsi="Times New Roman" w:cs="Times New Roman"/>
          <w:sz w:val="24"/>
          <w:szCs w:val="24"/>
        </w:rPr>
        <w:t xml:space="preserve"> for each SNP</w:t>
      </w:r>
      <w:r w:rsidR="00491E2C" w:rsidRPr="00757919">
        <w:rPr>
          <w:rFonts w:ascii="Times New Roman" w:eastAsia="Arial" w:hAnsi="Times New Roman" w:cs="Times New Roman"/>
          <w:sz w:val="24"/>
          <w:szCs w:val="24"/>
        </w:rPr>
        <w:t xml:space="preserve">. </w:t>
      </w:r>
    </w:p>
    <w:p w14:paraId="6C0FBECC" w14:textId="121F3A51" w:rsidR="00491E2C" w:rsidRPr="00757919" w:rsidRDefault="00491E2C"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t xml:space="preserve">For many participants, </w:t>
      </w:r>
      <w:r w:rsidR="00817C8A" w:rsidRPr="00757919">
        <w:rPr>
          <w:rFonts w:ascii="Times New Roman" w:eastAsia="Arial" w:hAnsi="Times New Roman" w:cs="Times New Roman"/>
          <w:sz w:val="24"/>
          <w:szCs w:val="24"/>
        </w:rPr>
        <w:t>some miRNAs</w:t>
      </w:r>
      <w:r w:rsidRPr="00757919">
        <w:rPr>
          <w:rFonts w:ascii="Times New Roman" w:eastAsia="Arial" w:hAnsi="Times New Roman" w:cs="Times New Roman"/>
          <w:sz w:val="24"/>
          <w:szCs w:val="24"/>
        </w:rPr>
        <w:t xml:space="preserve"> were not expressed at a detectable level. Therefore, for each miRNA in each participant, the expression level was redefined as a discrete variable, X =1 if undetectable and X = 0 if detectable. For miRNA expressed in more than 5% but less than 10% of samples, we modeled the discrete expression value</w:t>
      </w:r>
      <w:r w:rsidR="00240086" w:rsidRPr="00757919">
        <w:rPr>
          <w:rFonts w:ascii="Times New Roman" w:eastAsia="Arial" w:hAnsi="Times New Roman" w:cs="Times New Roman"/>
          <w:sz w:val="24"/>
          <w:szCs w:val="24"/>
        </w:rPr>
        <w:t>, and f</w:t>
      </w:r>
      <w:r w:rsidRPr="00757919">
        <w:rPr>
          <w:rFonts w:ascii="Times New Roman" w:eastAsia="Arial" w:hAnsi="Times New Roman" w:cs="Times New Roman"/>
          <w:sz w:val="24"/>
          <w:szCs w:val="24"/>
        </w:rPr>
        <w:t xml:space="preserve">or miRNA expressed in more than 90% of samples, we modeled the continuous expression value. For miRNA expressed in 10% to 90% of samples, both the discrete model and continuous expression model were computed with the final p-value determined using Fisher’s method. </w:t>
      </w:r>
    </w:p>
    <w:p w14:paraId="26A07BD6" w14:textId="77777777" w:rsidR="00491E2C" w:rsidRPr="00757919" w:rsidRDefault="00491E2C" w:rsidP="00864F3F">
      <w:pPr>
        <w:spacing w:line="480" w:lineRule="auto"/>
        <w:rPr>
          <w:rFonts w:ascii="Times New Roman" w:eastAsia="Arial" w:hAnsi="Times New Roman" w:cs="Times New Roman"/>
          <w:i/>
          <w:sz w:val="24"/>
          <w:szCs w:val="24"/>
        </w:rPr>
      </w:pPr>
      <w:r w:rsidRPr="00757919">
        <w:rPr>
          <w:rFonts w:ascii="Times New Roman" w:eastAsia="Arial" w:hAnsi="Times New Roman" w:cs="Times New Roman"/>
          <w:i/>
          <w:sz w:val="24"/>
          <w:szCs w:val="24"/>
        </w:rPr>
        <w:lastRenderedPageBreak/>
        <w:t>miRNA Target Determination</w:t>
      </w:r>
    </w:p>
    <w:p w14:paraId="75BB7C62" w14:textId="29E42F1B" w:rsidR="00246876" w:rsidRPr="00757919" w:rsidRDefault="00491E2C"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t xml:space="preserve">mRNA targets of significant miRNA were determined using the </w:t>
      </w:r>
      <w:proofErr w:type="spellStart"/>
      <w:r w:rsidRPr="00757919">
        <w:rPr>
          <w:rFonts w:ascii="Times New Roman" w:eastAsia="Arial" w:hAnsi="Times New Roman" w:cs="Times New Roman"/>
          <w:sz w:val="24"/>
          <w:szCs w:val="24"/>
        </w:rPr>
        <w:t>get_multimiR</w:t>
      </w:r>
      <w:proofErr w:type="spellEnd"/>
      <w:r w:rsidRPr="00757919">
        <w:rPr>
          <w:rFonts w:ascii="Times New Roman" w:eastAsia="Arial" w:hAnsi="Times New Roman" w:cs="Times New Roman"/>
          <w:sz w:val="24"/>
          <w:szCs w:val="24"/>
        </w:rPr>
        <w:t xml:space="preserve"> function in the </w:t>
      </w:r>
      <w:proofErr w:type="spellStart"/>
      <w:r w:rsidRPr="00757919">
        <w:rPr>
          <w:rFonts w:ascii="Times New Roman" w:eastAsia="Arial" w:hAnsi="Times New Roman" w:cs="Times New Roman"/>
          <w:sz w:val="24"/>
          <w:szCs w:val="24"/>
        </w:rPr>
        <w:t>multimiR</w:t>
      </w:r>
      <w:proofErr w:type="spellEnd"/>
      <w:r w:rsidRPr="00757919">
        <w:rPr>
          <w:rFonts w:ascii="Times New Roman" w:eastAsia="Arial" w:hAnsi="Times New Roman" w:cs="Times New Roman"/>
          <w:sz w:val="24"/>
          <w:szCs w:val="24"/>
        </w:rPr>
        <w:t xml:space="preserve"> R Package</w:t>
      </w:r>
      <w:r w:rsidR="0042720C">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{"citationID":"CwYxHyTc","properties":{"formattedCitation":"\\super 74\\nosupersub{}","plainCitation":"74","noteIndex":0},"citationItems":[{"id":358,"uris":["http://zotero.org/users/3223062/items/SNAJ4Y9P"],"uri":["http://zotero.org/users/3223062/items/SNAJ4Y9P"],"itemData":{"id":358,"type":"article-journal","abstract":"Abstract.  microRNAs (miRNAs) regulate expression by promoting degradation or repressing translation of target transcripts. miRNA target sites have been catalog","container-title":"Nucleic Acids Research","DOI":"10.1093/nar/gku631","ISSN":"0305-1048","issue":"17","journalAbbreviation":"Nucleic Acids Res","language":"en","note":"publisher: Oxford Academic","page":"e133-e133","source":"academic.oup.com","title":"The multiMiR R package and database: integration of microRNA–target interactions along with their disease and drug associations","title-short":"The multiMiR R package and database","volume":"42","author":[{"family":"Ru","given":"Yuanbin"},{"family":"Kechris","given":"Katerina J."},{"family":"Tabakoff","given":"Boris"},{"family":"Hoffman","given":"Paula"},{"family":"Radcliffe","given":"Richard A."},{"family":"Bowler","given":"Russell"},{"family":"Mahaffey","given":"Spencer"},{"family":"Rossi","given":"Simona"},{"family":"Calin","given":"George A."},{"family":"Bemis","given":"Lynne"},{"family":"Theodorescu","given":"Dan"}],"issued":{"date-parts":[["2014",9,29]]}}}],"schema":"https://github.com/citation-style-language/schema/raw/master/csl-citation.json"} </w:instrText>
      </w:r>
      <w:r w:rsidR="0042720C">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74</w:t>
      </w:r>
      <w:r w:rsidR="0042720C">
        <w:rPr>
          <w:rFonts w:ascii="Times New Roman" w:eastAsia="Arial" w:hAnsi="Times New Roman" w:cs="Times New Roman"/>
          <w:sz w:val="24"/>
          <w:szCs w:val="24"/>
        </w:rPr>
        <w:fldChar w:fldCharType="end"/>
      </w:r>
      <w:r w:rsidRPr="00757919">
        <w:rPr>
          <w:rFonts w:ascii="Times New Roman" w:eastAsia="Arial" w:hAnsi="Times New Roman" w:cs="Times New Roman"/>
          <w:sz w:val="24"/>
          <w:szCs w:val="24"/>
        </w:rPr>
        <w:t>, which queried miRNA-target databases to determine validated targets of each miRNA (</w:t>
      </w:r>
      <w:proofErr w:type="spellStart"/>
      <w:r w:rsidRPr="00757919">
        <w:rPr>
          <w:rFonts w:ascii="Times New Roman" w:eastAsia="Arial" w:hAnsi="Times New Roman" w:cs="Times New Roman"/>
          <w:sz w:val="24"/>
          <w:szCs w:val="24"/>
        </w:rPr>
        <w:t>miRecord</w:t>
      </w:r>
      <w:proofErr w:type="spellEnd"/>
      <w:r w:rsidRPr="00757919">
        <w:rPr>
          <w:rFonts w:ascii="Times New Roman" w:eastAsia="Arial" w:hAnsi="Times New Roman" w:cs="Times New Roman"/>
          <w:sz w:val="24"/>
          <w:szCs w:val="24"/>
        </w:rPr>
        <w:t xml:space="preserve">, </w:t>
      </w:r>
      <w:proofErr w:type="spellStart"/>
      <w:r w:rsidRPr="00757919">
        <w:rPr>
          <w:rFonts w:ascii="Times New Roman" w:eastAsia="Arial" w:hAnsi="Times New Roman" w:cs="Times New Roman"/>
          <w:sz w:val="24"/>
          <w:szCs w:val="24"/>
        </w:rPr>
        <w:t>miRTarBase</w:t>
      </w:r>
      <w:proofErr w:type="spellEnd"/>
      <w:r w:rsidRPr="00757919">
        <w:rPr>
          <w:rFonts w:ascii="Times New Roman" w:eastAsia="Arial" w:hAnsi="Times New Roman" w:cs="Times New Roman"/>
          <w:sz w:val="24"/>
          <w:szCs w:val="24"/>
        </w:rPr>
        <w:t xml:space="preserve">, </w:t>
      </w:r>
      <w:proofErr w:type="spellStart"/>
      <w:r w:rsidRPr="00757919">
        <w:rPr>
          <w:rFonts w:ascii="Times New Roman" w:eastAsia="Arial" w:hAnsi="Times New Roman" w:cs="Times New Roman"/>
          <w:sz w:val="24"/>
          <w:szCs w:val="24"/>
        </w:rPr>
        <w:t>TarBase</w:t>
      </w:r>
      <w:proofErr w:type="spellEnd"/>
      <w:r w:rsidRPr="00757919">
        <w:rPr>
          <w:rFonts w:ascii="Times New Roman" w:eastAsia="Arial" w:hAnsi="Times New Roman" w:cs="Times New Roman"/>
          <w:sz w:val="24"/>
          <w:szCs w:val="24"/>
        </w:rPr>
        <w:t>).</w:t>
      </w:r>
    </w:p>
    <w:p w14:paraId="349FABEC" w14:textId="1FCA4BF3" w:rsidR="00491E2C" w:rsidRPr="00757919" w:rsidRDefault="00246876" w:rsidP="00864F3F">
      <w:pPr>
        <w:spacing w:line="480" w:lineRule="auto"/>
        <w:rPr>
          <w:rFonts w:ascii="Times New Roman" w:eastAsia="Arial" w:hAnsi="Times New Roman" w:cs="Times New Roman"/>
          <w:bCs/>
          <w:i/>
          <w:sz w:val="24"/>
          <w:szCs w:val="24"/>
        </w:rPr>
      </w:pPr>
      <w:r w:rsidRPr="00757919">
        <w:rPr>
          <w:rFonts w:ascii="Times New Roman" w:eastAsia="Arial" w:hAnsi="Times New Roman" w:cs="Times New Roman"/>
          <w:bCs/>
          <w:i/>
          <w:sz w:val="24"/>
          <w:szCs w:val="24"/>
        </w:rPr>
        <w:t xml:space="preserve">Validation </w:t>
      </w:r>
      <w:r w:rsidR="005C7A73" w:rsidRPr="00757919">
        <w:rPr>
          <w:rFonts w:ascii="Times New Roman" w:eastAsia="Arial" w:hAnsi="Times New Roman" w:cs="Times New Roman"/>
          <w:bCs/>
          <w:i/>
          <w:sz w:val="24"/>
          <w:szCs w:val="24"/>
        </w:rPr>
        <w:t>Analysis</w:t>
      </w:r>
    </w:p>
    <w:p w14:paraId="2F5B7D9F" w14:textId="1EC4057E" w:rsidR="00766788" w:rsidRPr="00757919" w:rsidRDefault="00840814" w:rsidP="00864F3F">
      <w:pPr>
        <w:spacing w:line="480" w:lineRule="auto"/>
        <w:rPr>
          <w:rFonts w:ascii="Times New Roman" w:eastAsia="Arial" w:hAnsi="Times New Roman" w:cs="Times New Roman"/>
          <w:bCs/>
          <w:iCs/>
          <w:sz w:val="24"/>
          <w:szCs w:val="24"/>
        </w:rPr>
      </w:pPr>
      <w:r>
        <w:rPr>
          <w:rFonts w:ascii="Times New Roman" w:eastAsia="Arial" w:hAnsi="Times New Roman" w:cs="Times New Roman"/>
          <w:bCs/>
          <w:iCs/>
          <w:sz w:val="24"/>
          <w:szCs w:val="24"/>
        </w:rPr>
        <w:t xml:space="preserve">Our top </w:t>
      </w:r>
      <w:r w:rsidR="00EE1485">
        <w:rPr>
          <w:rFonts w:ascii="Times New Roman" w:eastAsia="Arial" w:hAnsi="Times New Roman" w:cs="Times New Roman"/>
          <w:bCs/>
          <w:iCs/>
          <w:sz w:val="24"/>
          <w:szCs w:val="24"/>
        </w:rPr>
        <w:t xml:space="preserve">four </w:t>
      </w:r>
      <w:r>
        <w:rPr>
          <w:rFonts w:ascii="Times New Roman" w:eastAsia="Arial" w:hAnsi="Times New Roman" w:cs="Times New Roman"/>
          <w:bCs/>
          <w:iCs/>
          <w:sz w:val="24"/>
          <w:szCs w:val="24"/>
        </w:rPr>
        <w:t>SNPs</w:t>
      </w:r>
      <w:r w:rsidR="00EE1485">
        <w:rPr>
          <w:rFonts w:ascii="Times New Roman" w:eastAsia="Arial" w:hAnsi="Times New Roman" w:cs="Times New Roman"/>
          <w:bCs/>
          <w:iCs/>
          <w:sz w:val="24"/>
          <w:szCs w:val="24"/>
        </w:rPr>
        <w:t>, two in each sex,</w:t>
      </w:r>
      <w:r>
        <w:rPr>
          <w:rFonts w:ascii="Times New Roman" w:eastAsia="Arial" w:hAnsi="Times New Roman" w:cs="Times New Roman"/>
          <w:bCs/>
          <w:iCs/>
          <w:sz w:val="24"/>
          <w:szCs w:val="24"/>
        </w:rPr>
        <w:t xml:space="preserve"> </w:t>
      </w:r>
      <w:r w:rsidR="004939DD" w:rsidRPr="00757919">
        <w:rPr>
          <w:rFonts w:ascii="Times New Roman" w:eastAsia="Arial" w:hAnsi="Times New Roman" w:cs="Times New Roman"/>
          <w:bCs/>
          <w:iCs/>
          <w:sz w:val="24"/>
          <w:szCs w:val="24"/>
        </w:rPr>
        <w:t xml:space="preserve">were </w:t>
      </w:r>
      <w:r w:rsidR="009F66AC" w:rsidRPr="00757919">
        <w:rPr>
          <w:rFonts w:ascii="Times New Roman" w:eastAsia="Arial" w:hAnsi="Times New Roman" w:cs="Times New Roman"/>
          <w:bCs/>
          <w:iCs/>
          <w:sz w:val="24"/>
          <w:szCs w:val="24"/>
        </w:rPr>
        <w:t xml:space="preserve">submitted </w:t>
      </w:r>
      <w:r w:rsidR="00B80104" w:rsidRPr="00757919">
        <w:rPr>
          <w:rFonts w:ascii="Times New Roman" w:eastAsia="Arial" w:hAnsi="Times New Roman" w:cs="Times New Roman"/>
          <w:bCs/>
          <w:iCs/>
          <w:sz w:val="24"/>
          <w:szCs w:val="24"/>
        </w:rPr>
        <w:t xml:space="preserve">for validation </w:t>
      </w:r>
      <w:r w:rsidR="004939DD" w:rsidRPr="00757919">
        <w:rPr>
          <w:rFonts w:ascii="Times New Roman" w:eastAsia="Arial" w:hAnsi="Times New Roman" w:cs="Times New Roman"/>
          <w:bCs/>
          <w:iCs/>
          <w:sz w:val="24"/>
          <w:szCs w:val="24"/>
        </w:rPr>
        <w:t xml:space="preserve">in </w:t>
      </w:r>
      <w:r w:rsidR="00766788" w:rsidRPr="00757919">
        <w:rPr>
          <w:rFonts w:ascii="Times New Roman" w:eastAsia="Arial" w:hAnsi="Times New Roman" w:cs="Times New Roman"/>
          <w:bCs/>
          <w:iCs/>
          <w:sz w:val="24"/>
          <w:szCs w:val="24"/>
        </w:rPr>
        <w:t xml:space="preserve">four </w:t>
      </w:r>
      <w:r w:rsidR="00EB7373">
        <w:rPr>
          <w:rFonts w:ascii="Times New Roman" w:eastAsia="Arial" w:hAnsi="Times New Roman" w:cs="Times New Roman"/>
          <w:bCs/>
          <w:iCs/>
          <w:sz w:val="24"/>
          <w:szCs w:val="24"/>
        </w:rPr>
        <w:t xml:space="preserve">independent </w:t>
      </w:r>
      <w:r w:rsidR="00B80104" w:rsidRPr="00757919">
        <w:rPr>
          <w:rFonts w:ascii="Times New Roman" w:eastAsia="Arial" w:hAnsi="Times New Roman" w:cs="Times New Roman"/>
          <w:bCs/>
          <w:iCs/>
          <w:sz w:val="24"/>
          <w:szCs w:val="24"/>
        </w:rPr>
        <w:t xml:space="preserve">population-based cohorts: the </w:t>
      </w:r>
      <w:r w:rsidR="004939DD" w:rsidRPr="00757919">
        <w:rPr>
          <w:rFonts w:ascii="Times New Roman" w:eastAsia="Arial" w:hAnsi="Times New Roman" w:cs="Times New Roman"/>
          <w:bCs/>
          <w:iCs/>
          <w:sz w:val="24"/>
          <w:szCs w:val="24"/>
        </w:rPr>
        <w:t>Rotterdam Study</w:t>
      </w:r>
      <w:r w:rsidR="00C8644A" w:rsidRPr="00757919">
        <w:rPr>
          <w:rFonts w:ascii="Times New Roman" w:eastAsia="Arial" w:hAnsi="Times New Roman" w:cs="Times New Roman"/>
          <w:bCs/>
          <w:iCs/>
          <w:sz w:val="24"/>
          <w:szCs w:val="24"/>
        </w:rPr>
        <w:t xml:space="preserve">, </w:t>
      </w:r>
      <w:r w:rsidR="00BD3ABE" w:rsidRPr="00757919">
        <w:rPr>
          <w:rFonts w:ascii="Times New Roman" w:eastAsia="Arial" w:hAnsi="Times New Roman" w:cs="Times New Roman"/>
          <w:bCs/>
          <w:iCs/>
          <w:sz w:val="24"/>
          <w:szCs w:val="24"/>
        </w:rPr>
        <w:t xml:space="preserve">the </w:t>
      </w:r>
      <w:r w:rsidR="00491BEE" w:rsidRPr="00757919">
        <w:rPr>
          <w:rFonts w:ascii="Times New Roman" w:hAnsi="Times New Roman" w:cs="Times New Roman"/>
          <w:sz w:val="24"/>
          <w:szCs w:val="24"/>
        </w:rPr>
        <w:t>BPROOF study</w:t>
      </w:r>
      <w:r w:rsidR="00B80104" w:rsidRPr="00757919">
        <w:rPr>
          <w:rFonts w:ascii="Times New Roman" w:hAnsi="Times New Roman" w:cs="Times New Roman"/>
          <w:sz w:val="24"/>
          <w:szCs w:val="24"/>
        </w:rPr>
        <w:t xml:space="preserve">, the </w:t>
      </w:r>
      <w:r w:rsidR="007E15C8">
        <w:rPr>
          <w:rFonts w:ascii="Times New Roman" w:hAnsi="Times New Roman" w:cs="Times New Roman"/>
          <w:sz w:val="24"/>
          <w:szCs w:val="24"/>
        </w:rPr>
        <w:t>Malta Osteoporosis Fracture Study (</w:t>
      </w:r>
      <w:r w:rsidR="00A20FB8">
        <w:rPr>
          <w:rFonts w:ascii="Times New Roman" w:hAnsi="Times New Roman" w:cs="Times New Roman"/>
          <w:sz w:val="24"/>
          <w:szCs w:val="24"/>
        </w:rPr>
        <w:t>MOFS</w:t>
      </w:r>
      <w:r w:rsidR="007E15C8">
        <w:rPr>
          <w:rFonts w:ascii="Times New Roman" w:hAnsi="Times New Roman" w:cs="Times New Roman"/>
          <w:sz w:val="24"/>
          <w:szCs w:val="24"/>
        </w:rPr>
        <w:t>)</w:t>
      </w:r>
      <w:r w:rsidR="00766788" w:rsidRPr="00757919">
        <w:rPr>
          <w:rFonts w:ascii="Times New Roman" w:hAnsi="Times New Roman" w:cs="Times New Roman"/>
          <w:sz w:val="24"/>
          <w:szCs w:val="24"/>
        </w:rPr>
        <w:t>, and the Hertfordshire Cohort Study</w:t>
      </w:r>
      <w:r w:rsidR="00231E1A" w:rsidRPr="00757919">
        <w:rPr>
          <w:rFonts w:ascii="Times New Roman" w:hAnsi="Times New Roman" w:cs="Times New Roman"/>
          <w:sz w:val="24"/>
          <w:szCs w:val="24"/>
        </w:rPr>
        <w:t>.</w:t>
      </w:r>
      <w:r w:rsidR="00B80104" w:rsidRPr="00757919" w:rsidDel="00B80104">
        <w:rPr>
          <w:rFonts w:ascii="Times New Roman" w:hAnsi="Times New Roman" w:cs="Times New Roman"/>
          <w:sz w:val="24"/>
          <w:szCs w:val="24"/>
        </w:rPr>
        <w:t xml:space="preserve"> </w:t>
      </w:r>
      <w:r w:rsidR="00231E1A" w:rsidRPr="00757919">
        <w:rPr>
          <w:rFonts w:ascii="Times New Roman" w:eastAsia="Arial" w:hAnsi="Times New Roman" w:cs="Times New Roman"/>
          <w:sz w:val="24"/>
          <w:szCs w:val="24"/>
        </w:rPr>
        <w:t xml:space="preserve">The </w:t>
      </w:r>
      <w:r w:rsidR="00CE7371">
        <w:rPr>
          <w:rFonts w:ascii="Times New Roman" w:eastAsia="Arial" w:hAnsi="Times New Roman" w:cs="Times New Roman"/>
          <w:sz w:val="24"/>
          <w:szCs w:val="24"/>
        </w:rPr>
        <w:t>polymorphism</w:t>
      </w:r>
      <w:r w:rsidR="00231E1A" w:rsidRPr="00757919">
        <w:rPr>
          <w:rFonts w:ascii="Times New Roman" w:eastAsia="Arial" w:hAnsi="Times New Roman" w:cs="Times New Roman"/>
          <w:sz w:val="24"/>
          <w:szCs w:val="24"/>
        </w:rPr>
        <w:t xml:space="preserve">s were </w:t>
      </w:r>
      <w:r w:rsidR="00BD3ABE" w:rsidRPr="00757919">
        <w:rPr>
          <w:rFonts w:ascii="Times New Roman" w:eastAsia="Arial" w:hAnsi="Times New Roman" w:cs="Times New Roman"/>
          <w:sz w:val="24"/>
          <w:szCs w:val="24"/>
        </w:rPr>
        <w:t xml:space="preserve">assessed for </w:t>
      </w:r>
      <w:r w:rsidR="0027575C" w:rsidRPr="00757919">
        <w:rPr>
          <w:rFonts w:ascii="Times New Roman" w:eastAsia="Arial" w:hAnsi="Times New Roman" w:cs="Times New Roman"/>
          <w:sz w:val="24"/>
          <w:szCs w:val="24"/>
        </w:rPr>
        <w:t>a significant interaction effect with BB use</w:t>
      </w:r>
      <w:r>
        <w:rPr>
          <w:rFonts w:ascii="Times New Roman" w:eastAsia="Arial" w:hAnsi="Times New Roman" w:cs="Times New Roman"/>
          <w:sz w:val="24"/>
          <w:szCs w:val="24"/>
        </w:rPr>
        <w:t>, adjusting for multiple testing</w:t>
      </w:r>
      <w:r w:rsidR="00EE1485">
        <w:rPr>
          <w:rFonts w:ascii="Times New Roman" w:eastAsia="Arial" w:hAnsi="Times New Roman" w:cs="Times New Roman"/>
          <w:sz w:val="24"/>
          <w:szCs w:val="24"/>
        </w:rPr>
        <w:t xml:space="preserve"> using pre-specified thresholds</w:t>
      </w:r>
      <w:r>
        <w:rPr>
          <w:rFonts w:ascii="Times New Roman" w:eastAsia="Arial" w:hAnsi="Times New Roman" w:cs="Times New Roman"/>
          <w:sz w:val="24"/>
          <w:szCs w:val="24"/>
        </w:rPr>
        <w:t>,</w:t>
      </w:r>
      <w:r w:rsidR="0027575C" w:rsidRPr="00757919">
        <w:rPr>
          <w:rFonts w:ascii="Times New Roman" w:eastAsia="Arial" w:hAnsi="Times New Roman" w:cs="Times New Roman"/>
          <w:sz w:val="24"/>
          <w:szCs w:val="24"/>
        </w:rPr>
        <w:t xml:space="preserve"> </w:t>
      </w:r>
      <w:r w:rsidR="00231E1A" w:rsidRPr="00757919">
        <w:rPr>
          <w:rFonts w:ascii="Times New Roman" w:eastAsia="Arial" w:hAnsi="Times New Roman" w:cs="Times New Roman"/>
          <w:sz w:val="24"/>
          <w:szCs w:val="24"/>
        </w:rPr>
        <w:t>using linear regression modeling</w:t>
      </w:r>
      <w:r w:rsidR="00EB7373">
        <w:rPr>
          <w:rFonts w:ascii="Times New Roman" w:eastAsia="Arial" w:hAnsi="Times New Roman" w:cs="Times New Roman"/>
          <w:sz w:val="24"/>
          <w:szCs w:val="24"/>
        </w:rPr>
        <w:t xml:space="preserve"> in validation cohorts</w:t>
      </w:r>
      <w:r w:rsidR="00231E1A" w:rsidRPr="00757919">
        <w:rPr>
          <w:rFonts w:ascii="Times New Roman" w:eastAsia="Arial" w:hAnsi="Times New Roman" w:cs="Times New Roman"/>
          <w:sz w:val="24"/>
          <w:szCs w:val="24"/>
        </w:rPr>
        <w:t xml:space="preserve">. The female-only model adjusted for age, height, BMI, and </w:t>
      </w:r>
      <w:r w:rsidR="00EE1485">
        <w:rPr>
          <w:rFonts w:ascii="Times New Roman" w:eastAsia="Arial" w:hAnsi="Times New Roman" w:cs="Times New Roman"/>
          <w:sz w:val="24"/>
          <w:szCs w:val="24"/>
        </w:rPr>
        <w:t xml:space="preserve">current </w:t>
      </w:r>
      <w:r w:rsidR="00231E1A" w:rsidRPr="00757919">
        <w:rPr>
          <w:rFonts w:ascii="Times New Roman" w:eastAsia="Arial" w:hAnsi="Times New Roman" w:cs="Times New Roman"/>
          <w:sz w:val="24"/>
          <w:szCs w:val="24"/>
        </w:rPr>
        <w:t>estrogen</w:t>
      </w:r>
      <w:r w:rsidR="00766788" w:rsidRPr="00757919">
        <w:rPr>
          <w:rFonts w:ascii="Times New Roman" w:eastAsia="Arial" w:hAnsi="Times New Roman" w:cs="Times New Roman"/>
          <w:sz w:val="24"/>
          <w:szCs w:val="24"/>
        </w:rPr>
        <w:t xml:space="preserve"> use</w:t>
      </w:r>
      <w:r w:rsidR="00231E1A" w:rsidRPr="00757919">
        <w:rPr>
          <w:rFonts w:ascii="Times New Roman" w:eastAsia="Arial" w:hAnsi="Times New Roman" w:cs="Times New Roman"/>
          <w:sz w:val="24"/>
          <w:szCs w:val="24"/>
        </w:rPr>
        <w:t xml:space="preserve">, and the male-only regression model adjusted for age, height, and BMI. </w:t>
      </w:r>
      <w:r w:rsidR="00B62652">
        <w:rPr>
          <w:rFonts w:ascii="Times New Roman" w:eastAsia="Arial" w:hAnsi="Times New Roman" w:cs="Times New Roman"/>
          <w:sz w:val="24"/>
          <w:szCs w:val="24"/>
        </w:rPr>
        <w:t>A s</w:t>
      </w:r>
      <w:r w:rsidR="002206DF">
        <w:rPr>
          <w:rFonts w:ascii="Times New Roman" w:eastAsia="Arial" w:hAnsi="Times New Roman" w:cs="Times New Roman"/>
          <w:sz w:val="24"/>
          <w:szCs w:val="24"/>
        </w:rPr>
        <w:t xml:space="preserve">ummary of validation </w:t>
      </w:r>
      <w:r w:rsidR="00C31E85">
        <w:rPr>
          <w:rFonts w:ascii="Times New Roman" w:eastAsia="Arial" w:hAnsi="Times New Roman" w:cs="Times New Roman"/>
          <w:sz w:val="24"/>
          <w:szCs w:val="24"/>
        </w:rPr>
        <w:t>cohorts’</w:t>
      </w:r>
      <w:r w:rsidR="00B62652">
        <w:rPr>
          <w:rFonts w:ascii="Times New Roman" w:eastAsia="Arial" w:hAnsi="Times New Roman" w:cs="Times New Roman"/>
          <w:sz w:val="24"/>
          <w:szCs w:val="24"/>
        </w:rPr>
        <w:t xml:space="preserve"> data and methodology</w:t>
      </w:r>
      <w:r w:rsidR="002206DF">
        <w:rPr>
          <w:rFonts w:ascii="Times New Roman" w:eastAsia="Arial" w:hAnsi="Times New Roman" w:cs="Times New Roman"/>
          <w:sz w:val="24"/>
          <w:szCs w:val="24"/>
        </w:rPr>
        <w:t xml:space="preserve"> can be found in Table S</w:t>
      </w:r>
      <w:r w:rsidR="00942AAF">
        <w:rPr>
          <w:rFonts w:ascii="Times New Roman" w:eastAsia="Arial" w:hAnsi="Times New Roman" w:cs="Times New Roman"/>
          <w:sz w:val="24"/>
          <w:szCs w:val="24"/>
        </w:rPr>
        <w:t>1</w:t>
      </w:r>
      <w:r w:rsidR="007309CD">
        <w:rPr>
          <w:rFonts w:ascii="Times New Roman" w:eastAsia="Arial" w:hAnsi="Times New Roman" w:cs="Times New Roman"/>
          <w:sz w:val="24"/>
          <w:szCs w:val="24"/>
          <w:vertAlign w:val="superscript"/>
        </w:rPr>
        <w:t>116</w:t>
      </w:r>
      <w:r w:rsidR="002206DF">
        <w:rPr>
          <w:rFonts w:ascii="Times New Roman" w:eastAsia="Arial" w:hAnsi="Times New Roman" w:cs="Times New Roman"/>
          <w:sz w:val="24"/>
          <w:szCs w:val="24"/>
        </w:rPr>
        <w:t xml:space="preserve">. </w:t>
      </w:r>
      <w:r w:rsidR="00231E1A" w:rsidRPr="00757919">
        <w:rPr>
          <w:rFonts w:ascii="Times New Roman" w:eastAsia="Arial" w:hAnsi="Times New Roman" w:cs="Times New Roman"/>
          <w:bCs/>
          <w:iCs/>
          <w:sz w:val="24"/>
          <w:szCs w:val="24"/>
        </w:rPr>
        <w:t>Analysis of the Rotterdam study also adjusted for cohort effect in all models.</w:t>
      </w:r>
      <w:r w:rsidR="00E67DAD">
        <w:rPr>
          <w:rFonts w:ascii="Times New Roman" w:eastAsia="Arial" w:hAnsi="Times New Roman" w:cs="Times New Roman"/>
          <w:bCs/>
          <w:iCs/>
          <w:sz w:val="24"/>
          <w:szCs w:val="24"/>
        </w:rPr>
        <w:t xml:space="preserve"> The </w:t>
      </w:r>
      <w:r w:rsidR="00A2691A">
        <w:rPr>
          <w:rFonts w:ascii="Times New Roman" w:eastAsia="Arial" w:hAnsi="Times New Roman" w:cs="Times New Roman"/>
          <w:bCs/>
          <w:iCs/>
          <w:sz w:val="24"/>
          <w:szCs w:val="24"/>
        </w:rPr>
        <w:t xml:space="preserve">pre-specified </w:t>
      </w:r>
      <w:r w:rsidR="00E67DAD">
        <w:rPr>
          <w:rFonts w:ascii="Times New Roman" w:eastAsia="Arial" w:hAnsi="Times New Roman" w:cs="Times New Roman"/>
          <w:bCs/>
          <w:iCs/>
          <w:sz w:val="24"/>
          <w:szCs w:val="24"/>
        </w:rPr>
        <w:t xml:space="preserve">criteria for a SNP to be validated </w:t>
      </w:r>
      <w:r w:rsidR="00EB7373">
        <w:rPr>
          <w:rFonts w:ascii="Times New Roman" w:eastAsia="Arial" w:hAnsi="Times New Roman" w:cs="Times New Roman"/>
          <w:bCs/>
          <w:iCs/>
          <w:sz w:val="24"/>
          <w:szCs w:val="24"/>
        </w:rPr>
        <w:t>wa</w:t>
      </w:r>
      <w:r w:rsidR="00E67DAD">
        <w:rPr>
          <w:rFonts w:ascii="Times New Roman" w:eastAsia="Arial" w:hAnsi="Times New Roman" w:cs="Times New Roman"/>
          <w:bCs/>
          <w:iCs/>
          <w:sz w:val="24"/>
          <w:szCs w:val="24"/>
        </w:rPr>
        <w:t>s p &lt; 0.05/4 (0.0125) in cohorts with both sexes and p &lt; 0.05/2 (0.025) in cohorts with only 1 sex.</w:t>
      </w:r>
    </w:p>
    <w:p w14:paraId="5B624D5E" w14:textId="607AC904" w:rsidR="00721E68" w:rsidRPr="00757919" w:rsidRDefault="00721E68" w:rsidP="00864F3F">
      <w:pPr>
        <w:spacing w:line="480" w:lineRule="auto"/>
        <w:rPr>
          <w:rFonts w:ascii="Times New Roman" w:eastAsia="Arial" w:hAnsi="Times New Roman" w:cs="Times New Roman"/>
          <w:bCs/>
          <w:i/>
          <w:iCs/>
          <w:sz w:val="24"/>
          <w:szCs w:val="24"/>
        </w:rPr>
      </w:pPr>
      <w:r w:rsidRPr="00757919">
        <w:rPr>
          <w:rFonts w:ascii="Times New Roman" w:eastAsia="Arial" w:hAnsi="Times New Roman" w:cs="Times New Roman"/>
          <w:bCs/>
          <w:i/>
          <w:iCs/>
          <w:sz w:val="24"/>
          <w:szCs w:val="24"/>
        </w:rPr>
        <w:t>Meta-Analysis Methods</w:t>
      </w:r>
    </w:p>
    <w:p w14:paraId="617E9942" w14:textId="5AD88FDE" w:rsidR="000D102E" w:rsidRPr="00757919" w:rsidRDefault="000D102E" w:rsidP="00864F3F">
      <w:pPr>
        <w:spacing w:line="480" w:lineRule="auto"/>
        <w:rPr>
          <w:rFonts w:ascii="Times New Roman" w:hAnsi="Times New Roman" w:cs="Times New Roman"/>
          <w:i/>
          <w:sz w:val="24"/>
          <w:szCs w:val="24"/>
        </w:rPr>
      </w:pPr>
      <w:r w:rsidRPr="00757919">
        <w:rPr>
          <w:rFonts w:ascii="Times New Roman" w:hAnsi="Times New Roman" w:cs="Times New Roman"/>
          <w:sz w:val="24"/>
          <w:szCs w:val="24"/>
        </w:rPr>
        <w:t xml:space="preserve">Meta-analysis was performed across the </w:t>
      </w:r>
      <w:r w:rsidR="00EC3DD4">
        <w:rPr>
          <w:rFonts w:ascii="Times New Roman" w:hAnsi="Times New Roman" w:cs="Times New Roman"/>
          <w:sz w:val="24"/>
          <w:szCs w:val="24"/>
        </w:rPr>
        <w:t>five</w:t>
      </w:r>
      <w:r w:rsidRPr="00757919">
        <w:rPr>
          <w:rFonts w:ascii="Times New Roman" w:hAnsi="Times New Roman" w:cs="Times New Roman"/>
          <w:sz w:val="24"/>
          <w:szCs w:val="24"/>
        </w:rPr>
        <w:t xml:space="preserve"> cohorts using the </w:t>
      </w:r>
      <w:proofErr w:type="spellStart"/>
      <w:r w:rsidRPr="00757919">
        <w:rPr>
          <w:rFonts w:ascii="Times New Roman" w:hAnsi="Times New Roman" w:cs="Times New Roman"/>
          <w:sz w:val="24"/>
          <w:szCs w:val="24"/>
        </w:rPr>
        <w:t>metagen</w:t>
      </w:r>
      <w:proofErr w:type="spellEnd"/>
      <w:r w:rsidRPr="00757919">
        <w:rPr>
          <w:rFonts w:ascii="Times New Roman" w:hAnsi="Times New Roman" w:cs="Times New Roman"/>
          <w:sz w:val="24"/>
          <w:szCs w:val="24"/>
        </w:rPr>
        <w:t xml:space="preserve"> function in the meta package</w:t>
      </w:r>
      <w:r w:rsidR="0042720C">
        <w:rPr>
          <w:rFonts w:ascii="Times New Roman" w:hAnsi="Times New Roman" w:cs="Times New Roman"/>
          <w:sz w:val="24"/>
          <w:szCs w:val="24"/>
        </w:rPr>
        <w:fldChar w:fldCharType="begin"/>
      </w:r>
      <w:r w:rsidR="000E575F">
        <w:rPr>
          <w:rFonts w:ascii="Times New Roman" w:hAnsi="Times New Roman" w:cs="Times New Roman"/>
          <w:sz w:val="24"/>
          <w:szCs w:val="24"/>
        </w:rPr>
        <w:instrText xml:space="preserve"> ADDIN ZOTERO_ITEM CSL_CITATION {"citationID":"ISvrrzlX","properties":{"formattedCitation":"\\super 75\\nosupersub{}","plainCitation":"75","noteIndex":0},"citationItems":[{"id":1664,"uris":["http://zotero.org/users/3223062/items/BF8XGRJH"],"uri":["http://zotero.org/users/3223062/items/BF8XGRJH"],"itemData":{"id":1664,"type":"book","abstract":"User-friendly general package providing standard methods for meta-analysis and supporting Schwarzer, Carpenter, and Rücker &lt;doi:10.1007/978-3-319-21416-0&gt;, \"Meta-Analysis with R\" (2015): - fixed effect and random effects meta-analysis; - several plots (forest, funnel, Galbraith / radial, L'Abbe, Baujat, bubble); - statistical tests and trim-and-fill method to evaluate bias in meta-analysis; - import data from 'RevMan 5'; - prediction interval, Hartung-Knapp method for random effects model; - cumulative meta-analysis and leave-one-out meta-analysis; - meta-regression; - generalised linear mixed models; - produce forest plot summarising several (subgroup) meta-analyses.","source":"R-Packages","title":"meta: General Package for Meta-Analysis","title-short":"meta","URL":"https://CRAN.R-project.org/package=meta","version":"4.14-0","author":[{"family":"Schwarzer","given":"Guido"}],"accessed":{"date-parts":[["2020",9,22]]},"issued":{"date-parts":[["2020",9,9]]}}}],"schema":"https://github.com/citation-style-language/schema/raw/master/csl-citation.json"} </w:instrText>
      </w:r>
      <w:r w:rsidR="0042720C">
        <w:rPr>
          <w:rFonts w:ascii="Times New Roman" w:hAnsi="Times New Roman" w:cs="Times New Roman"/>
          <w:sz w:val="24"/>
          <w:szCs w:val="24"/>
        </w:rPr>
        <w:fldChar w:fldCharType="separate"/>
      </w:r>
      <w:r w:rsidR="000E575F" w:rsidRPr="000E575F">
        <w:rPr>
          <w:rFonts w:ascii="Times New Roman" w:hAnsi="Times New Roman" w:cs="Times New Roman"/>
          <w:sz w:val="24"/>
          <w:szCs w:val="24"/>
          <w:vertAlign w:val="superscript"/>
        </w:rPr>
        <w:t>75</w:t>
      </w:r>
      <w:r w:rsidR="0042720C">
        <w:rPr>
          <w:rFonts w:ascii="Times New Roman" w:hAnsi="Times New Roman" w:cs="Times New Roman"/>
          <w:sz w:val="24"/>
          <w:szCs w:val="24"/>
        </w:rPr>
        <w:fldChar w:fldCharType="end"/>
      </w:r>
      <w:r w:rsidRPr="00757919">
        <w:rPr>
          <w:rFonts w:ascii="Times New Roman" w:hAnsi="Times New Roman" w:cs="Times New Roman"/>
          <w:sz w:val="24"/>
          <w:szCs w:val="24"/>
        </w:rPr>
        <w:t xml:space="preserve">. </w:t>
      </w:r>
      <w:r w:rsidR="00817C8A" w:rsidRPr="00757919">
        <w:rPr>
          <w:rFonts w:ascii="Times New Roman" w:hAnsi="Times New Roman" w:cs="Times New Roman"/>
          <w:sz w:val="24"/>
          <w:szCs w:val="24"/>
        </w:rPr>
        <w:t xml:space="preserve">A fixed </w:t>
      </w:r>
      <w:r w:rsidRPr="00757919">
        <w:rPr>
          <w:rFonts w:ascii="Times New Roman" w:hAnsi="Times New Roman" w:cs="Times New Roman"/>
          <w:sz w:val="24"/>
          <w:szCs w:val="24"/>
        </w:rPr>
        <w:t xml:space="preserve">effect and random effect meta-analysis was performed based on the </w:t>
      </w:r>
      <w:r w:rsidR="002E0597" w:rsidRPr="00757919">
        <w:rPr>
          <w:rFonts w:ascii="Times New Roman" w:hAnsi="Times New Roman" w:cs="Times New Roman"/>
          <w:sz w:val="24"/>
          <w:szCs w:val="24"/>
        </w:rPr>
        <w:t xml:space="preserve">effect estimates </w:t>
      </w:r>
      <w:r w:rsidRPr="00757919">
        <w:rPr>
          <w:rFonts w:ascii="Times New Roman" w:hAnsi="Times New Roman" w:cs="Times New Roman"/>
          <w:sz w:val="24"/>
          <w:szCs w:val="24"/>
        </w:rPr>
        <w:t>and their standard errors. The inverse var</w:t>
      </w:r>
      <w:r w:rsidR="00D317AC" w:rsidRPr="00757919">
        <w:rPr>
          <w:rFonts w:ascii="Times New Roman" w:hAnsi="Times New Roman" w:cs="Times New Roman"/>
          <w:sz w:val="24"/>
          <w:szCs w:val="24"/>
        </w:rPr>
        <w:t>iance m</w:t>
      </w:r>
      <w:r w:rsidRPr="00757919">
        <w:rPr>
          <w:rFonts w:ascii="Times New Roman" w:hAnsi="Times New Roman" w:cs="Times New Roman"/>
          <w:sz w:val="24"/>
          <w:szCs w:val="24"/>
        </w:rPr>
        <w:t>ethod was used for pooling. Forest plots were generated using the forest function in the meta package</w:t>
      </w:r>
      <w:r w:rsidR="00545655">
        <w:rPr>
          <w:rFonts w:ascii="Times New Roman" w:hAnsi="Times New Roman" w:cs="Times New Roman"/>
          <w:sz w:val="24"/>
          <w:szCs w:val="24"/>
        </w:rPr>
        <w:fldChar w:fldCharType="begin"/>
      </w:r>
      <w:r w:rsidR="000E575F">
        <w:rPr>
          <w:rFonts w:ascii="Times New Roman" w:hAnsi="Times New Roman" w:cs="Times New Roman"/>
          <w:sz w:val="24"/>
          <w:szCs w:val="24"/>
        </w:rPr>
        <w:instrText xml:space="preserve"> ADDIN ZOTERO_ITEM CSL_CITATION {"citationID":"sBIm4EXb","properties":{"formattedCitation":"\\super 75\\nosupersub{}","plainCitation":"75","noteIndex":0},"citationItems":[{"id":1664,"uris":["http://zotero.org/users/3223062/items/BF8XGRJH"],"uri":["http://zotero.org/users/3223062/items/BF8XGRJH"],"itemData":{"id":1664,"type":"book","abstract":"User-friendly general package providing standard methods for meta-analysis and supporting Schwarzer, Carpenter, and Rücker &lt;doi:10.1007/978-3-319-21416-0&gt;, \"Meta-Analysis with R\" (2015): - fixed effect and random effects meta-analysis; - several plots (forest, funnel, Galbraith / radial, L'Abbe, Baujat, bubble); - statistical tests and trim-and-fill method to evaluate bias in meta-analysis; - import data from 'RevMan 5'; - prediction interval, Hartung-Knapp method for random effects model; - cumulative meta-analysis and leave-one-out meta-analysis; - meta-regression; - generalised linear mixed models; - produce forest plot summarising several (subgroup) meta-analyses.","source":"R-Packages","title":"meta: General Package for Meta-Analysis","title-short":"meta","URL":"https://CRAN.R-project.org/package=meta","version":"4.14-0","author":[{"family":"Schwarzer","given":"Guido"}],"accessed":{"date-parts":[["2020",9,22]]},"issued":{"date-parts":[["2020",9,9]]}}}],"schema":"https://github.com/citation-style-language/schema/raw/master/csl-citation.json"} </w:instrText>
      </w:r>
      <w:r w:rsidR="00545655">
        <w:rPr>
          <w:rFonts w:ascii="Times New Roman" w:hAnsi="Times New Roman" w:cs="Times New Roman"/>
          <w:sz w:val="24"/>
          <w:szCs w:val="24"/>
        </w:rPr>
        <w:fldChar w:fldCharType="separate"/>
      </w:r>
      <w:r w:rsidR="000E575F" w:rsidRPr="000E575F">
        <w:rPr>
          <w:rFonts w:ascii="Times New Roman" w:hAnsi="Times New Roman" w:cs="Times New Roman"/>
          <w:sz w:val="24"/>
          <w:szCs w:val="24"/>
          <w:vertAlign w:val="superscript"/>
        </w:rPr>
        <w:t>75</w:t>
      </w:r>
      <w:r w:rsidR="00545655">
        <w:rPr>
          <w:rFonts w:ascii="Times New Roman" w:hAnsi="Times New Roman" w:cs="Times New Roman"/>
          <w:sz w:val="24"/>
          <w:szCs w:val="24"/>
        </w:rPr>
        <w:fldChar w:fldCharType="end"/>
      </w:r>
      <w:r w:rsidRPr="00757919">
        <w:rPr>
          <w:rFonts w:ascii="Times New Roman" w:hAnsi="Times New Roman" w:cs="Times New Roman"/>
          <w:sz w:val="24"/>
          <w:szCs w:val="24"/>
        </w:rPr>
        <w:t>.</w:t>
      </w:r>
      <w:r w:rsidR="005A14DD" w:rsidRPr="00757919">
        <w:rPr>
          <w:rFonts w:ascii="Times New Roman" w:hAnsi="Times New Roman" w:cs="Times New Roman"/>
          <w:sz w:val="24"/>
          <w:szCs w:val="24"/>
        </w:rPr>
        <w:t xml:space="preserve"> The fixed</w:t>
      </w:r>
      <w:r w:rsidR="00757919" w:rsidRPr="00757919">
        <w:rPr>
          <w:rFonts w:ascii="Times New Roman" w:hAnsi="Times New Roman" w:cs="Times New Roman"/>
          <w:sz w:val="24"/>
          <w:szCs w:val="24"/>
        </w:rPr>
        <w:t>-</w:t>
      </w:r>
      <w:r w:rsidR="005A14DD" w:rsidRPr="00757919">
        <w:rPr>
          <w:rFonts w:ascii="Times New Roman" w:hAnsi="Times New Roman" w:cs="Times New Roman"/>
          <w:sz w:val="24"/>
          <w:szCs w:val="24"/>
        </w:rPr>
        <w:t>effect model estimates were used unless significant heterogeneity</w:t>
      </w:r>
      <w:r w:rsidR="0042720C">
        <w:rPr>
          <w:rFonts w:ascii="Times New Roman" w:hAnsi="Times New Roman" w:cs="Times New Roman"/>
          <w:sz w:val="24"/>
          <w:szCs w:val="24"/>
        </w:rPr>
        <w:t>, as calculated by the I</w:t>
      </w:r>
      <w:r w:rsidR="0042720C">
        <w:rPr>
          <w:rFonts w:ascii="Times New Roman" w:hAnsi="Times New Roman" w:cs="Times New Roman"/>
          <w:sz w:val="24"/>
          <w:szCs w:val="24"/>
          <w:vertAlign w:val="superscript"/>
        </w:rPr>
        <w:t>2</w:t>
      </w:r>
      <w:r w:rsidR="0042720C">
        <w:rPr>
          <w:rFonts w:ascii="Times New Roman" w:hAnsi="Times New Roman" w:cs="Times New Roman"/>
          <w:sz w:val="24"/>
          <w:szCs w:val="24"/>
        </w:rPr>
        <w:t xml:space="preserve"> statistic,</w:t>
      </w:r>
      <w:r w:rsidR="005A14DD" w:rsidRPr="00757919">
        <w:rPr>
          <w:rFonts w:ascii="Times New Roman" w:hAnsi="Times New Roman" w:cs="Times New Roman"/>
          <w:sz w:val="24"/>
          <w:szCs w:val="24"/>
        </w:rPr>
        <w:t xml:space="preserve"> was observed (p</w:t>
      </w:r>
      <w:r w:rsidR="00CF3119">
        <w:rPr>
          <w:rFonts w:ascii="Times New Roman" w:hAnsi="Times New Roman" w:cs="Times New Roman"/>
          <w:sz w:val="24"/>
          <w:szCs w:val="24"/>
        </w:rPr>
        <w:t>-value</w:t>
      </w:r>
      <w:r w:rsidR="0042720C">
        <w:rPr>
          <w:rFonts w:ascii="Times New Roman" w:hAnsi="Times New Roman" w:cs="Times New Roman"/>
          <w:sz w:val="24"/>
          <w:szCs w:val="24"/>
        </w:rPr>
        <w:t xml:space="preserve"> of I</w:t>
      </w:r>
      <w:r w:rsidR="0042720C">
        <w:rPr>
          <w:rFonts w:ascii="Times New Roman" w:hAnsi="Times New Roman" w:cs="Times New Roman"/>
          <w:sz w:val="24"/>
          <w:szCs w:val="24"/>
          <w:vertAlign w:val="superscript"/>
        </w:rPr>
        <w:t>2</w:t>
      </w:r>
      <w:r w:rsidR="0042720C">
        <w:rPr>
          <w:rFonts w:ascii="Times New Roman" w:hAnsi="Times New Roman" w:cs="Times New Roman"/>
          <w:sz w:val="24"/>
          <w:szCs w:val="24"/>
        </w:rPr>
        <w:t xml:space="preserve"> statistic </w:t>
      </w:r>
      <w:r w:rsidR="005A14DD" w:rsidRPr="00757919">
        <w:rPr>
          <w:rFonts w:ascii="Times New Roman" w:hAnsi="Times New Roman" w:cs="Times New Roman"/>
          <w:sz w:val="24"/>
          <w:szCs w:val="24"/>
        </w:rPr>
        <w:t xml:space="preserve">&lt;0.05). </w:t>
      </w:r>
    </w:p>
    <w:p w14:paraId="6C933AFF" w14:textId="77777777" w:rsidR="00D57F0F" w:rsidRPr="00757919" w:rsidRDefault="002F586B" w:rsidP="00864F3F">
      <w:pPr>
        <w:spacing w:line="480" w:lineRule="auto"/>
        <w:rPr>
          <w:rFonts w:ascii="Times New Roman" w:hAnsi="Times New Roman" w:cs="Times New Roman"/>
          <w:b/>
          <w:sz w:val="24"/>
          <w:szCs w:val="24"/>
        </w:rPr>
      </w:pPr>
      <w:r w:rsidRPr="00757919">
        <w:rPr>
          <w:rFonts w:ascii="Times New Roman" w:hAnsi="Times New Roman" w:cs="Times New Roman"/>
          <w:b/>
          <w:sz w:val="24"/>
          <w:szCs w:val="24"/>
        </w:rPr>
        <w:lastRenderedPageBreak/>
        <w:t>Results</w:t>
      </w:r>
    </w:p>
    <w:p w14:paraId="674B46AA" w14:textId="08933115" w:rsidR="002F586B" w:rsidRPr="00757919" w:rsidRDefault="00246876" w:rsidP="00864F3F">
      <w:pPr>
        <w:spacing w:line="480" w:lineRule="auto"/>
        <w:rPr>
          <w:rFonts w:ascii="Times New Roman" w:hAnsi="Times New Roman" w:cs="Times New Roman"/>
          <w:i/>
          <w:sz w:val="24"/>
          <w:szCs w:val="24"/>
        </w:rPr>
      </w:pPr>
      <w:r w:rsidRPr="00757919">
        <w:rPr>
          <w:rFonts w:ascii="Times New Roman" w:hAnsi="Times New Roman" w:cs="Times New Roman"/>
          <w:i/>
          <w:sz w:val="24"/>
          <w:szCs w:val="24"/>
        </w:rPr>
        <w:t>11 SNPs were found to be significant in 6 genes</w:t>
      </w:r>
      <w:r w:rsidR="000627AA">
        <w:rPr>
          <w:rFonts w:ascii="Times New Roman" w:hAnsi="Times New Roman" w:cs="Times New Roman"/>
          <w:i/>
          <w:sz w:val="24"/>
          <w:szCs w:val="24"/>
        </w:rPr>
        <w:t xml:space="preserve"> in discovery sample</w:t>
      </w:r>
    </w:p>
    <w:p w14:paraId="4DE2D5AD" w14:textId="6E58E4A9" w:rsidR="00246876" w:rsidRPr="00757919" w:rsidRDefault="008B0637" w:rsidP="00864F3F">
      <w:pPr>
        <w:spacing w:line="480" w:lineRule="auto"/>
        <w:rPr>
          <w:rFonts w:ascii="Times New Roman" w:eastAsia="Arial" w:hAnsi="Times New Roman" w:cs="Times New Roman"/>
          <w:sz w:val="24"/>
          <w:szCs w:val="24"/>
        </w:rPr>
      </w:pPr>
      <w:r>
        <w:rPr>
          <w:rFonts w:ascii="Times New Roman" w:eastAsia="Arial" w:hAnsi="Times New Roman"/>
          <w:sz w:val="24"/>
          <w:szCs w:val="24"/>
        </w:rPr>
        <w:t>Characteristics of the study cohort are given in Table S2</w:t>
      </w:r>
      <w:r w:rsidR="00EC3C7C">
        <w:rPr>
          <w:rFonts w:ascii="Times New Roman" w:eastAsia="Arial" w:hAnsi="Times New Roman"/>
          <w:sz w:val="24"/>
          <w:szCs w:val="24"/>
          <w:vertAlign w:val="superscript"/>
        </w:rPr>
        <w:t>116</w:t>
      </w:r>
      <w:r>
        <w:rPr>
          <w:rFonts w:ascii="Times New Roman" w:eastAsia="Arial" w:hAnsi="Times New Roman"/>
          <w:sz w:val="24"/>
          <w:szCs w:val="24"/>
        </w:rPr>
        <w:t>, including estrogen usage rate which was 8.9% in women, and use of medication for bone disease which was 21.3% for women and 2.8% for men.</w:t>
      </w:r>
      <w:r w:rsidRPr="00820596">
        <w:rPr>
          <w:rFonts w:ascii="Times New Roman" w:eastAsia="Arial" w:hAnsi="Times New Roman"/>
          <w:sz w:val="24"/>
          <w:szCs w:val="24"/>
        </w:rPr>
        <w:t xml:space="preserve"> </w:t>
      </w:r>
      <w:r w:rsidR="00E9541A" w:rsidRPr="00757919">
        <w:rPr>
          <w:rFonts w:ascii="Times New Roman" w:eastAsia="Arial" w:hAnsi="Times New Roman" w:cs="Times New Roman"/>
          <w:sz w:val="24"/>
          <w:szCs w:val="24"/>
        </w:rPr>
        <w:t>We analyzed 1</w:t>
      </w:r>
      <w:r w:rsidR="002C40C3" w:rsidRPr="00757919">
        <w:rPr>
          <w:rFonts w:ascii="Times New Roman" w:eastAsia="Arial" w:hAnsi="Times New Roman" w:cs="Times New Roman"/>
          <w:sz w:val="24"/>
          <w:szCs w:val="24"/>
        </w:rPr>
        <w:t>,</w:t>
      </w:r>
      <w:r w:rsidR="00E9541A" w:rsidRPr="00757919">
        <w:rPr>
          <w:rFonts w:ascii="Times New Roman" w:eastAsia="Arial" w:hAnsi="Times New Roman" w:cs="Times New Roman"/>
          <w:sz w:val="24"/>
          <w:szCs w:val="24"/>
        </w:rPr>
        <w:t>482 SNPs across 13 genes related to adrenergic signaling in bone using genetic data from the FHS (Table S</w:t>
      </w:r>
      <w:r w:rsidR="00B62652">
        <w:rPr>
          <w:rFonts w:ascii="Times New Roman" w:eastAsia="Arial" w:hAnsi="Times New Roman" w:cs="Times New Roman"/>
          <w:sz w:val="24"/>
          <w:szCs w:val="24"/>
        </w:rPr>
        <w:t>2</w:t>
      </w:r>
      <w:r w:rsidR="00EC3C7C">
        <w:rPr>
          <w:rFonts w:ascii="Times New Roman" w:eastAsia="Arial" w:hAnsi="Times New Roman" w:cs="Times New Roman"/>
          <w:sz w:val="24"/>
          <w:szCs w:val="24"/>
          <w:vertAlign w:val="superscript"/>
        </w:rPr>
        <w:t>116</w:t>
      </w:r>
      <w:r w:rsidR="00E9541A" w:rsidRPr="00757919">
        <w:rPr>
          <w:rFonts w:ascii="Times New Roman" w:eastAsia="Arial" w:hAnsi="Times New Roman" w:cs="Times New Roman"/>
          <w:sz w:val="24"/>
          <w:szCs w:val="24"/>
        </w:rPr>
        <w:t xml:space="preserve">). </w:t>
      </w:r>
      <w:r w:rsidR="00246876" w:rsidRPr="00757919">
        <w:rPr>
          <w:rFonts w:ascii="Times New Roman" w:eastAsia="Arial" w:hAnsi="Times New Roman" w:cs="Times New Roman"/>
          <w:sz w:val="24"/>
          <w:szCs w:val="24"/>
        </w:rPr>
        <w:t xml:space="preserve">11 SNPs in 6 genes were found to have a significant interaction effect with BB use on FN BMD (p &lt; 0.05) after performing GCTA-COJO analysis (Table 1). 5 SNPs were found to be significant in the female-only model while the other 6 were significant in the </w:t>
      </w:r>
      <w:r w:rsidR="00817C8A" w:rsidRPr="00757919">
        <w:rPr>
          <w:rFonts w:ascii="Times New Roman" w:eastAsia="Arial" w:hAnsi="Times New Roman" w:cs="Times New Roman"/>
          <w:sz w:val="24"/>
          <w:szCs w:val="24"/>
        </w:rPr>
        <w:t>male-</w:t>
      </w:r>
      <w:r w:rsidR="00246876" w:rsidRPr="00757919">
        <w:rPr>
          <w:rFonts w:ascii="Times New Roman" w:eastAsia="Arial" w:hAnsi="Times New Roman" w:cs="Times New Roman"/>
          <w:sz w:val="24"/>
          <w:szCs w:val="24"/>
        </w:rPr>
        <w:t xml:space="preserve">only model. </w:t>
      </w:r>
      <w:r w:rsidR="00747D79" w:rsidRPr="00757919">
        <w:rPr>
          <w:rFonts w:ascii="Times New Roman" w:eastAsia="Arial" w:hAnsi="Times New Roman" w:cs="Times New Roman"/>
          <w:sz w:val="24"/>
          <w:szCs w:val="24"/>
        </w:rPr>
        <w:t>There was no overlap in significant SNPs across sexes. Most of</w:t>
      </w:r>
      <w:r w:rsidR="00246876" w:rsidRPr="00757919">
        <w:rPr>
          <w:rFonts w:ascii="Times New Roman" w:eastAsia="Arial" w:hAnsi="Times New Roman" w:cs="Times New Roman"/>
          <w:sz w:val="24"/>
          <w:szCs w:val="24"/>
        </w:rPr>
        <w:t xml:space="preserve"> these SNPs </w:t>
      </w:r>
      <w:r w:rsidR="00EB7373">
        <w:rPr>
          <w:rFonts w:ascii="Times New Roman" w:eastAsia="Arial" w:hAnsi="Times New Roman" w:cs="Times New Roman"/>
          <w:sz w:val="24"/>
          <w:szCs w:val="24"/>
        </w:rPr>
        <w:t>were</w:t>
      </w:r>
      <w:r w:rsidR="00EB7373" w:rsidRPr="00757919">
        <w:rPr>
          <w:rFonts w:ascii="Times New Roman" w:eastAsia="Arial" w:hAnsi="Times New Roman" w:cs="Times New Roman"/>
          <w:sz w:val="24"/>
          <w:szCs w:val="24"/>
        </w:rPr>
        <w:t xml:space="preserve"> </w:t>
      </w:r>
      <w:r w:rsidR="00246876" w:rsidRPr="00757919">
        <w:rPr>
          <w:rFonts w:ascii="Times New Roman" w:eastAsia="Arial" w:hAnsi="Times New Roman" w:cs="Times New Roman"/>
          <w:sz w:val="24"/>
          <w:szCs w:val="24"/>
        </w:rPr>
        <w:t>intron</w:t>
      </w:r>
      <w:r w:rsidR="00747D79" w:rsidRPr="00757919">
        <w:rPr>
          <w:rFonts w:ascii="Times New Roman" w:eastAsia="Arial" w:hAnsi="Times New Roman" w:cs="Times New Roman"/>
          <w:sz w:val="24"/>
          <w:szCs w:val="24"/>
        </w:rPr>
        <w:t>ic</w:t>
      </w:r>
      <w:r w:rsidR="00246876" w:rsidRPr="00757919">
        <w:rPr>
          <w:rFonts w:ascii="Times New Roman" w:eastAsia="Arial" w:hAnsi="Times New Roman" w:cs="Times New Roman"/>
          <w:sz w:val="24"/>
          <w:szCs w:val="24"/>
        </w:rPr>
        <w:t xml:space="preserve"> </w:t>
      </w:r>
      <w:r w:rsidR="00CE7371">
        <w:rPr>
          <w:rFonts w:ascii="Times New Roman" w:eastAsia="Arial" w:hAnsi="Times New Roman" w:cs="Times New Roman"/>
          <w:sz w:val="24"/>
          <w:szCs w:val="24"/>
        </w:rPr>
        <w:t>polymorphism</w:t>
      </w:r>
      <w:r w:rsidR="00747D79" w:rsidRPr="00757919">
        <w:rPr>
          <w:rFonts w:ascii="Times New Roman" w:eastAsia="Arial" w:hAnsi="Times New Roman" w:cs="Times New Roman"/>
          <w:sz w:val="24"/>
          <w:szCs w:val="24"/>
        </w:rPr>
        <w:t>s</w:t>
      </w:r>
      <w:r w:rsidR="00246876" w:rsidRPr="00757919">
        <w:rPr>
          <w:rFonts w:ascii="Times New Roman" w:eastAsia="Arial" w:hAnsi="Times New Roman" w:cs="Times New Roman"/>
          <w:sz w:val="24"/>
          <w:szCs w:val="24"/>
        </w:rPr>
        <w:t xml:space="preserve">, </w:t>
      </w:r>
      <w:r w:rsidR="00817C8A" w:rsidRPr="00757919">
        <w:rPr>
          <w:rFonts w:ascii="Times New Roman" w:eastAsia="Arial" w:hAnsi="Times New Roman" w:cs="Times New Roman"/>
          <w:sz w:val="24"/>
          <w:szCs w:val="24"/>
        </w:rPr>
        <w:t>except for</w:t>
      </w:r>
      <w:r w:rsidR="00246876" w:rsidRPr="00757919">
        <w:rPr>
          <w:rFonts w:ascii="Times New Roman" w:eastAsia="Arial" w:hAnsi="Times New Roman" w:cs="Times New Roman"/>
          <w:sz w:val="24"/>
          <w:szCs w:val="24"/>
        </w:rPr>
        <w:t xml:space="preserve"> rs12414657 </w:t>
      </w:r>
      <w:r w:rsidR="00C82A24" w:rsidRPr="00757919">
        <w:rPr>
          <w:rFonts w:ascii="Times New Roman" w:eastAsia="Arial" w:hAnsi="Times New Roman" w:cs="Times New Roman"/>
          <w:sz w:val="24"/>
          <w:szCs w:val="24"/>
        </w:rPr>
        <w:t>(</w:t>
      </w:r>
      <w:r w:rsidR="00C82A24" w:rsidRPr="00757919">
        <w:rPr>
          <w:rFonts w:ascii="Times New Roman" w:eastAsia="Arial" w:hAnsi="Times New Roman" w:cs="Times New Roman"/>
          <w:i/>
          <w:iCs/>
          <w:sz w:val="24"/>
          <w:szCs w:val="24"/>
        </w:rPr>
        <w:t>ADRB1</w:t>
      </w:r>
      <w:r w:rsidR="00C82A24" w:rsidRPr="00757919">
        <w:rPr>
          <w:rFonts w:ascii="Times New Roman" w:eastAsia="Arial" w:hAnsi="Times New Roman" w:cs="Times New Roman"/>
          <w:sz w:val="24"/>
          <w:szCs w:val="24"/>
        </w:rPr>
        <w:t xml:space="preserve">) </w:t>
      </w:r>
      <w:r w:rsidR="00246876" w:rsidRPr="00757919">
        <w:rPr>
          <w:rFonts w:ascii="Times New Roman" w:eastAsia="Arial" w:hAnsi="Times New Roman" w:cs="Times New Roman"/>
          <w:sz w:val="24"/>
          <w:szCs w:val="24"/>
        </w:rPr>
        <w:t xml:space="preserve">which is an upstream transcript </w:t>
      </w:r>
      <w:r w:rsidR="00CE7371">
        <w:rPr>
          <w:rFonts w:ascii="Times New Roman" w:eastAsia="Arial" w:hAnsi="Times New Roman" w:cs="Times New Roman"/>
          <w:sz w:val="24"/>
          <w:szCs w:val="24"/>
        </w:rPr>
        <w:t>polymorphism</w:t>
      </w:r>
      <w:r w:rsidR="00757919" w:rsidRPr="00757919">
        <w:rPr>
          <w:rFonts w:ascii="Times New Roman" w:eastAsia="Arial" w:hAnsi="Times New Roman" w:cs="Times New Roman"/>
          <w:sz w:val="24"/>
          <w:szCs w:val="24"/>
        </w:rPr>
        <w:t>,</w:t>
      </w:r>
      <w:r w:rsidR="006D78A2" w:rsidRPr="00757919">
        <w:rPr>
          <w:rFonts w:ascii="Times New Roman" w:eastAsia="Arial" w:hAnsi="Times New Roman" w:cs="Times New Roman"/>
          <w:sz w:val="24"/>
          <w:szCs w:val="24"/>
        </w:rPr>
        <w:t xml:space="preserve"> </w:t>
      </w:r>
      <w:r w:rsidR="00246876" w:rsidRPr="00757919">
        <w:rPr>
          <w:rFonts w:ascii="Times New Roman" w:eastAsia="Arial" w:hAnsi="Times New Roman" w:cs="Times New Roman"/>
          <w:sz w:val="24"/>
          <w:szCs w:val="24"/>
        </w:rPr>
        <w:t xml:space="preserve">and rs13393217 </w:t>
      </w:r>
      <w:r w:rsidR="00C82A24" w:rsidRPr="00757919">
        <w:rPr>
          <w:rFonts w:ascii="Times New Roman" w:eastAsia="Arial" w:hAnsi="Times New Roman" w:cs="Times New Roman"/>
          <w:sz w:val="24"/>
          <w:szCs w:val="24"/>
        </w:rPr>
        <w:t>(</w:t>
      </w:r>
      <w:r w:rsidR="001A2910">
        <w:rPr>
          <w:rFonts w:ascii="Times New Roman" w:eastAsia="Arial" w:hAnsi="Times New Roman" w:cs="Times New Roman"/>
          <w:i/>
          <w:iCs/>
          <w:sz w:val="24"/>
          <w:szCs w:val="24"/>
        </w:rPr>
        <w:t xml:space="preserve">TNFSF11 </w:t>
      </w:r>
      <w:r w:rsidR="001A2910" w:rsidRPr="002C2316">
        <w:rPr>
          <w:rFonts w:ascii="Times New Roman" w:eastAsia="Arial" w:hAnsi="Times New Roman" w:cs="Times New Roman"/>
          <w:sz w:val="24"/>
          <w:szCs w:val="24"/>
        </w:rPr>
        <w:t>or</w:t>
      </w:r>
      <w:r w:rsidR="001A2910">
        <w:rPr>
          <w:rFonts w:ascii="Times New Roman" w:eastAsia="Arial" w:hAnsi="Times New Roman" w:cs="Times New Roman"/>
          <w:i/>
          <w:iCs/>
          <w:sz w:val="24"/>
          <w:szCs w:val="24"/>
        </w:rPr>
        <w:t xml:space="preserve"> RANKL</w:t>
      </w:r>
      <w:r w:rsidR="00C82A24" w:rsidRPr="00757919">
        <w:rPr>
          <w:rFonts w:ascii="Times New Roman" w:eastAsia="Arial" w:hAnsi="Times New Roman" w:cs="Times New Roman"/>
          <w:sz w:val="24"/>
          <w:szCs w:val="24"/>
        </w:rPr>
        <w:t xml:space="preserve">) </w:t>
      </w:r>
      <w:r w:rsidR="00246876" w:rsidRPr="00757919">
        <w:rPr>
          <w:rFonts w:ascii="Times New Roman" w:eastAsia="Arial" w:hAnsi="Times New Roman" w:cs="Times New Roman"/>
          <w:sz w:val="24"/>
          <w:szCs w:val="24"/>
        </w:rPr>
        <w:t xml:space="preserve">which is a 3 prime </w:t>
      </w:r>
      <w:r w:rsidR="00C82A24" w:rsidRPr="00757919">
        <w:rPr>
          <w:rFonts w:ascii="Times New Roman" w:eastAsia="Arial" w:hAnsi="Times New Roman" w:cs="Times New Roman"/>
          <w:sz w:val="24"/>
          <w:szCs w:val="24"/>
        </w:rPr>
        <w:t>untranslated region (UTR)</w:t>
      </w:r>
      <w:r w:rsidR="00246876" w:rsidRPr="00757919">
        <w:rPr>
          <w:rFonts w:ascii="Times New Roman" w:eastAsia="Arial" w:hAnsi="Times New Roman" w:cs="Times New Roman"/>
          <w:sz w:val="24"/>
          <w:szCs w:val="24"/>
        </w:rPr>
        <w:t xml:space="preserve"> </w:t>
      </w:r>
      <w:r w:rsidR="00CE7371">
        <w:rPr>
          <w:rFonts w:ascii="Times New Roman" w:eastAsia="Arial" w:hAnsi="Times New Roman" w:cs="Times New Roman"/>
          <w:sz w:val="24"/>
          <w:szCs w:val="24"/>
        </w:rPr>
        <w:t>polymorphism</w:t>
      </w:r>
      <w:r w:rsidR="00246876" w:rsidRPr="00757919">
        <w:rPr>
          <w:rFonts w:ascii="Times New Roman" w:eastAsia="Arial" w:hAnsi="Times New Roman" w:cs="Times New Roman"/>
          <w:sz w:val="24"/>
          <w:szCs w:val="24"/>
        </w:rPr>
        <w:t xml:space="preserve">. We also looked at the functional annotation of highly correlated SNPs using </w:t>
      </w:r>
      <w:proofErr w:type="spellStart"/>
      <w:r w:rsidR="00246876" w:rsidRPr="00757919">
        <w:rPr>
          <w:rFonts w:ascii="Times New Roman" w:eastAsia="Arial" w:hAnsi="Times New Roman" w:cs="Times New Roman"/>
          <w:sz w:val="24"/>
          <w:szCs w:val="24"/>
        </w:rPr>
        <w:t>HaploReg</w:t>
      </w:r>
      <w:proofErr w:type="spellEnd"/>
      <w:r w:rsidR="00500D31">
        <w:rPr>
          <w:rFonts w:ascii="Times New Roman" w:eastAsia="Arial" w:hAnsi="Times New Roman" w:cs="Times New Roman"/>
          <w:sz w:val="24"/>
          <w:szCs w:val="24"/>
        </w:rPr>
        <w:t>,</w:t>
      </w:r>
      <w:r w:rsidR="00757B71">
        <w:rPr>
          <w:rFonts w:ascii="Times New Roman" w:eastAsia="Arial" w:hAnsi="Times New Roman" w:cs="Times New Roman"/>
          <w:sz w:val="24"/>
          <w:szCs w:val="24"/>
        </w:rPr>
        <w:t xml:space="preserve"> SCREEN</w:t>
      </w:r>
      <w:r w:rsidR="00500D31">
        <w:rPr>
          <w:rFonts w:ascii="Times New Roman" w:eastAsia="Arial" w:hAnsi="Times New Roman" w:cs="Times New Roman"/>
          <w:sz w:val="24"/>
          <w:szCs w:val="24"/>
        </w:rPr>
        <w:t xml:space="preserve">, and </w:t>
      </w:r>
      <w:proofErr w:type="spellStart"/>
      <w:r w:rsidR="00500D31">
        <w:rPr>
          <w:rFonts w:ascii="Times New Roman" w:eastAsia="Arial" w:hAnsi="Times New Roman" w:cs="Times New Roman"/>
          <w:sz w:val="24"/>
          <w:szCs w:val="24"/>
        </w:rPr>
        <w:t>LDlink</w:t>
      </w:r>
      <w:proofErr w:type="spellEnd"/>
      <w:r w:rsidR="00757B71">
        <w:rPr>
          <w:rFonts w:ascii="Times New Roman" w:eastAsia="Arial" w:hAnsi="Times New Roman" w:cs="Times New Roman"/>
          <w:sz w:val="24"/>
          <w:szCs w:val="24"/>
        </w:rPr>
        <w:t xml:space="preserve"> </w:t>
      </w:r>
      <w:r w:rsidR="00246876" w:rsidRPr="00757919">
        <w:rPr>
          <w:rFonts w:ascii="Times New Roman" w:eastAsia="Arial" w:hAnsi="Times New Roman" w:cs="Times New Roman"/>
          <w:sz w:val="24"/>
          <w:szCs w:val="24"/>
        </w:rPr>
        <w:t>and by performing correlation analysis</w:t>
      </w:r>
      <w:r w:rsidR="004A35CD" w:rsidRPr="00757919">
        <w:rPr>
          <w:rFonts w:ascii="Times New Roman" w:eastAsia="Arial" w:hAnsi="Times New Roman" w:cs="Times New Roman"/>
          <w:sz w:val="24"/>
          <w:szCs w:val="24"/>
        </w:rPr>
        <w:t xml:space="preserve"> within the Framingham cohort</w:t>
      </w:r>
      <w:r w:rsidR="00246876" w:rsidRPr="00757919">
        <w:rPr>
          <w:rFonts w:ascii="Times New Roman" w:eastAsia="Arial" w:hAnsi="Times New Roman" w:cs="Times New Roman"/>
          <w:sz w:val="24"/>
          <w:szCs w:val="24"/>
        </w:rPr>
        <w:t xml:space="preserve">. Of these 11 SNPs, only one had a non-synonymous SNP in high LD, rs12414657 </w:t>
      </w:r>
      <w:r w:rsidR="00C82A24" w:rsidRPr="00757919">
        <w:rPr>
          <w:rFonts w:ascii="Times New Roman" w:eastAsia="Arial" w:hAnsi="Times New Roman" w:cs="Times New Roman"/>
          <w:sz w:val="24"/>
          <w:szCs w:val="24"/>
        </w:rPr>
        <w:t>(</w:t>
      </w:r>
      <w:r w:rsidR="00C82A24" w:rsidRPr="00757919">
        <w:rPr>
          <w:rFonts w:ascii="Times New Roman" w:eastAsia="Arial" w:hAnsi="Times New Roman" w:cs="Times New Roman"/>
          <w:i/>
          <w:iCs/>
          <w:sz w:val="24"/>
          <w:szCs w:val="24"/>
        </w:rPr>
        <w:t>ADRB1</w:t>
      </w:r>
      <w:r w:rsidR="00C82A24" w:rsidRPr="00757919">
        <w:rPr>
          <w:rFonts w:ascii="Times New Roman" w:eastAsia="Arial" w:hAnsi="Times New Roman" w:cs="Times New Roman"/>
          <w:sz w:val="24"/>
          <w:szCs w:val="24"/>
        </w:rPr>
        <w:t xml:space="preserve">) </w:t>
      </w:r>
      <w:r w:rsidR="00246876" w:rsidRPr="00757919">
        <w:rPr>
          <w:rFonts w:ascii="Times New Roman" w:eastAsia="Arial" w:hAnsi="Times New Roman" w:cs="Times New Roman"/>
          <w:sz w:val="24"/>
          <w:szCs w:val="24"/>
        </w:rPr>
        <w:t xml:space="preserve">which is highly correlated with rs1801252, a missense SNP that codes for </w:t>
      </w:r>
      <w:r w:rsidR="00C36055" w:rsidRPr="00757919">
        <w:rPr>
          <w:rFonts w:ascii="Times New Roman" w:eastAsia="Arial" w:hAnsi="Times New Roman" w:cs="Times New Roman"/>
          <w:sz w:val="24"/>
          <w:szCs w:val="24"/>
        </w:rPr>
        <w:t>a serine to glycine shift at the 49</w:t>
      </w:r>
      <w:r w:rsidR="00C36055" w:rsidRPr="00757919">
        <w:rPr>
          <w:rFonts w:ascii="Times New Roman" w:eastAsia="Arial" w:hAnsi="Times New Roman" w:cs="Times New Roman"/>
          <w:sz w:val="24"/>
          <w:szCs w:val="24"/>
          <w:vertAlign w:val="superscript"/>
        </w:rPr>
        <w:t>th</w:t>
      </w:r>
      <w:r w:rsidR="00C36055" w:rsidRPr="00757919">
        <w:rPr>
          <w:rFonts w:ascii="Times New Roman" w:eastAsia="Arial" w:hAnsi="Times New Roman" w:cs="Times New Roman"/>
          <w:sz w:val="24"/>
          <w:szCs w:val="24"/>
        </w:rPr>
        <w:t xml:space="preserve"> amino acid</w:t>
      </w:r>
      <w:r w:rsidR="00246876" w:rsidRPr="00757919">
        <w:rPr>
          <w:rFonts w:ascii="Times New Roman" w:eastAsia="Arial" w:hAnsi="Times New Roman" w:cs="Times New Roman"/>
          <w:sz w:val="24"/>
          <w:szCs w:val="24"/>
        </w:rPr>
        <w:t xml:space="preserve"> in ADRB1.</w:t>
      </w:r>
    </w:p>
    <w:p w14:paraId="122C3999" w14:textId="51413838" w:rsidR="00246876" w:rsidRPr="00757919" w:rsidRDefault="00246876" w:rsidP="00864F3F">
      <w:pPr>
        <w:spacing w:line="480" w:lineRule="auto"/>
        <w:rPr>
          <w:rFonts w:ascii="Times New Roman" w:eastAsia="Arial" w:hAnsi="Times New Roman" w:cs="Times New Roman"/>
          <w:bCs/>
          <w:i/>
          <w:sz w:val="24"/>
          <w:szCs w:val="24"/>
        </w:rPr>
      </w:pPr>
      <w:r w:rsidRPr="00757919">
        <w:rPr>
          <w:rFonts w:ascii="Times New Roman" w:eastAsia="Arial" w:hAnsi="Times New Roman" w:cs="Times New Roman"/>
          <w:bCs/>
          <w:i/>
          <w:sz w:val="24"/>
          <w:szCs w:val="24"/>
        </w:rPr>
        <w:t xml:space="preserve">SNPs </w:t>
      </w:r>
      <w:r w:rsidR="00131F08" w:rsidRPr="00757919">
        <w:rPr>
          <w:rFonts w:ascii="Times New Roman" w:eastAsia="Arial" w:hAnsi="Times New Roman" w:cs="Times New Roman"/>
          <w:bCs/>
          <w:i/>
          <w:sz w:val="24"/>
          <w:szCs w:val="24"/>
        </w:rPr>
        <w:t xml:space="preserve">for </w:t>
      </w:r>
      <w:r w:rsidRPr="00757919">
        <w:rPr>
          <w:rFonts w:ascii="Times New Roman" w:eastAsia="Arial" w:hAnsi="Times New Roman" w:cs="Times New Roman"/>
          <w:bCs/>
          <w:i/>
          <w:sz w:val="24"/>
          <w:szCs w:val="24"/>
        </w:rPr>
        <w:t>Validation</w:t>
      </w:r>
    </w:p>
    <w:p w14:paraId="45AA5DB3" w14:textId="6D3A1DB5" w:rsidR="00246876" w:rsidRPr="00757919" w:rsidRDefault="00246876" w:rsidP="00864F3F">
      <w:pPr>
        <w:spacing w:line="480" w:lineRule="auto"/>
        <w:rPr>
          <w:rFonts w:ascii="Times New Roman" w:eastAsia="Arial" w:hAnsi="Times New Roman" w:cs="Times New Roman"/>
          <w:b/>
          <w:sz w:val="24"/>
          <w:szCs w:val="24"/>
        </w:rPr>
      </w:pPr>
      <w:r w:rsidRPr="00757919">
        <w:rPr>
          <w:rFonts w:ascii="Times New Roman" w:eastAsia="Arial" w:hAnsi="Times New Roman" w:cs="Times New Roman"/>
          <w:sz w:val="24"/>
          <w:szCs w:val="24"/>
        </w:rPr>
        <w:t xml:space="preserve">We chose to validate 4 of the 11 SNPs in an external cohort, two in females and two </w:t>
      </w:r>
      <w:r w:rsidR="002A7E3F">
        <w:rPr>
          <w:rFonts w:ascii="Times New Roman" w:eastAsia="Arial" w:hAnsi="Times New Roman" w:cs="Times New Roman"/>
          <w:sz w:val="24"/>
          <w:szCs w:val="24"/>
        </w:rPr>
        <w:t>in males</w:t>
      </w:r>
      <w:r w:rsidRPr="00757919">
        <w:rPr>
          <w:rFonts w:ascii="Times New Roman" w:eastAsia="Arial" w:hAnsi="Times New Roman" w:cs="Times New Roman"/>
          <w:sz w:val="24"/>
          <w:szCs w:val="24"/>
        </w:rPr>
        <w:t xml:space="preserve">, </w:t>
      </w:r>
      <w:r w:rsidR="00545655">
        <w:rPr>
          <w:rFonts w:ascii="Times New Roman" w:eastAsia="Arial" w:hAnsi="Times New Roman" w:cs="Times New Roman"/>
          <w:sz w:val="24"/>
          <w:szCs w:val="24"/>
        </w:rPr>
        <w:t xml:space="preserve">to limit </w:t>
      </w:r>
      <w:r w:rsidR="00942AAF">
        <w:rPr>
          <w:rFonts w:ascii="Times New Roman" w:eastAsia="Arial" w:hAnsi="Times New Roman" w:cs="Times New Roman"/>
          <w:sz w:val="24"/>
          <w:szCs w:val="24"/>
        </w:rPr>
        <w:t>our</w:t>
      </w:r>
      <w:r w:rsidR="00545655">
        <w:rPr>
          <w:rFonts w:ascii="Times New Roman" w:eastAsia="Arial" w:hAnsi="Times New Roman" w:cs="Times New Roman"/>
          <w:sz w:val="24"/>
          <w:szCs w:val="24"/>
        </w:rPr>
        <w:t xml:space="preserve"> multiple testing </w:t>
      </w:r>
      <w:r w:rsidR="00942AAF">
        <w:rPr>
          <w:rFonts w:ascii="Times New Roman" w:eastAsia="Arial" w:hAnsi="Times New Roman" w:cs="Times New Roman"/>
          <w:sz w:val="24"/>
          <w:szCs w:val="24"/>
        </w:rPr>
        <w:t>burden</w:t>
      </w:r>
      <w:r w:rsidR="00545655">
        <w:rPr>
          <w:rFonts w:ascii="Times New Roman" w:eastAsia="Arial" w:hAnsi="Times New Roman" w:cs="Times New Roman"/>
          <w:sz w:val="24"/>
          <w:szCs w:val="24"/>
        </w:rPr>
        <w:t xml:space="preserve"> </w:t>
      </w:r>
      <w:r w:rsidR="002A7E3F">
        <w:rPr>
          <w:rFonts w:ascii="Times New Roman" w:eastAsia="Arial" w:hAnsi="Times New Roman" w:cs="Times New Roman"/>
          <w:sz w:val="24"/>
          <w:szCs w:val="24"/>
        </w:rPr>
        <w:t xml:space="preserve">which was strictly controlled </w:t>
      </w:r>
      <w:r w:rsidR="00545655">
        <w:rPr>
          <w:rFonts w:ascii="Times New Roman" w:eastAsia="Arial" w:hAnsi="Times New Roman" w:cs="Times New Roman"/>
          <w:sz w:val="24"/>
          <w:szCs w:val="24"/>
        </w:rPr>
        <w:t>in our validation cohorts. These SNPs are</w:t>
      </w:r>
      <w:r w:rsidR="00545655"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indicated in bold in Table</w:t>
      </w:r>
      <w:r w:rsidR="00A907D1" w:rsidRPr="00757919">
        <w:rPr>
          <w:rFonts w:ascii="Times New Roman" w:eastAsia="Arial" w:hAnsi="Times New Roman" w:cs="Times New Roman"/>
          <w:sz w:val="24"/>
          <w:szCs w:val="24"/>
        </w:rPr>
        <w:t>s</w:t>
      </w:r>
      <w:r w:rsidRPr="00757919">
        <w:rPr>
          <w:rFonts w:ascii="Times New Roman" w:eastAsia="Arial" w:hAnsi="Times New Roman" w:cs="Times New Roman"/>
          <w:sz w:val="24"/>
          <w:szCs w:val="24"/>
        </w:rPr>
        <w:t xml:space="preserve"> 1 and </w:t>
      </w:r>
      <w:r w:rsidR="00F608D9">
        <w:rPr>
          <w:rFonts w:ascii="Times New Roman" w:eastAsia="Arial" w:hAnsi="Times New Roman" w:cs="Times New Roman"/>
          <w:sz w:val="24"/>
          <w:szCs w:val="24"/>
        </w:rPr>
        <w:t>S3</w:t>
      </w:r>
      <w:r w:rsidR="004B2628" w:rsidRPr="00757919">
        <w:rPr>
          <w:rFonts w:ascii="Times New Roman" w:eastAsia="Arial" w:hAnsi="Times New Roman" w:cs="Times New Roman"/>
          <w:sz w:val="24"/>
          <w:szCs w:val="24"/>
        </w:rPr>
        <w:t xml:space="preserve">. </w:t>
      </w:r>
      <w:r w:rsidR="00E67DAD">
        <w:rPr>
          <w:rFonts w:ascii="Times New Roman" w:eastAsia="Arial" w:hAnsi="Times New Roman" w:cs="Times New Roman"/>
          <w:sz w:val="24"/>
          <w:szCs w:val="24"/>
        </w:rPr>
        <w:t>Our rationale for validation is detailed in Figure S2</w:t>
      </w:r>
      <w:r w:rsidR="00EC3C7C">
        <w:rPr>
          <w:rFonts w:ascii="Times New Roman" w:eastAsia="Arial" w:hAnsi="Times New Roman" w:cs="Times New Roman"/>
          <w:sz w:val="24"/>
          <w:szCs w:val="24"/>
          <w:vertAlign w:val="superscript"/>
        </w:rPr>
        <w:t>116</w:t>
      </w:r>
      <w:r w:rsidR="00E67DAD">
        <w:rPr>
          <w:rFonts w:ascii="Times New Roman" w:eastAsia="Arial" w:hAnsi="Times New Roman" w:cs="Times New Roman"/>
          <w:sz w:val="24"/>
          <w:szCs w:val="24"/>
        </w:rPr>
        <w:t xml:space="preserve">. </w:t>
      </w:r>
      <w:r w:rsidR="00E67DAD">
        <w:rPr>
          <w:rFonts w:ascii="Times New Roman" w:eastAsia="Arial" w:hAnsi="Times New Roman" w:cs="Times New Roman"/>
          <w:bCs/>
          <w:iCs/>
          <w:sz w:val="24"/>
          <w:szCs w:val="24"/>
        </w:rPr>
        <w:t>Of the</w:t>
      </w:r>
      <w:r w:rsidR="00E67DAD">
        <w:rPr>
          <w:rFonts w:ascii="Times New Roman" w:eastAsia="Arial" w:hAnsi="Times New Roman" w:cs="Times New Roman"/>
          <w:bCs/>
          <w:sz w:val="24"/>
          <w:szCs w:val="24"/>
        </w:rPr>
        <w:t xml:space="preserve"> 11 SNPs with a p-value &lt; 0.05 after conditional analysis, none were non-synonymous SNPs, but rs12414657 (</w:t>
      </w:r>
      <w:r w:rsidR="00E67DAD">
        <w:rPr>
          <w:rFonts w:ascii="Times New Roman" w:eastAsia="Arial" w:hAnsi="Times New Roman" w:cs="Times New Roman"/>
          <w:bCs/>
          <w:i/>
          <w:iCs/>
          <w:sz w:val="24"/>
          <w:szCs w:val="24"/>
        </w:rPr>
        <w:t>ADRB1</w:t>
      </w:r>
      <w:r w:rsidR="00E67DAD">
        <w:rPr>
          <w:rFonts w:ascii="Times New Roman" w:eastAsia="Arial" w:hAnsi="Times New Roman" w:cs="Times New Roman"/>
          <w:bCs/>
          <w:sz w:val="24"/>
          <w:szCs w:val="24"/>
        </w:rPr>
        <w:t>) was in high LD with a non-synonymous SNP</w:t>
      </w:r>
      <w:r w:rsidR="00C31E85">
        <w:rPr>
          <w:rFonts w:ascii="Times New Roman" w:eastAsia="Arial" w:hAnsi="Times New Roman" w:cs="Times New Roman"/>
          <w:bCs/>
          <w:sz w:val="24"/>
          <w:szCs w:val="24"/>
        </w:rPr>
        <w:t>,</w:t>
      </w:r>
      <w:r w:rsidR="00E67DAD">
        <w:rPr>
          <w:rFonts w:ascii="Times New Roman" w:eastAsia="Arial" w:hAnsi="Times New Roman" w:cs="Times New Roman"/>
          <w:bCs/>
          <w:sz w:val="24"/>
          <w:szCs w:val="24"/>
        </w:rPr>
        <w:t xml:space="preserve"> so </w:t>
      </w:r>
      <w:r w:rsidR="00E67DAD">
        <w:rPr>
          <w:rFonts w:ascii="Times New Roman" w:eastAsia="Arial" w:hAnsi="Times New Roman" w:cs="Times New Roman"/>
          <w:bCs/>
          <w:sz w:val="24"/>
          <w:szCs w:val="24"/>
        </w:rPr>
        <w:lastRenderedPageBreak/>
        <w:t>this SNP was chose</w:t>
      </w:r>
      <w:r w:rsidR="00677895">
        <w:rPr>
          <w:rFonts w:ascii="Times New Roman" w:eastAsia="Arial" w:hAnsi="Times New Roman" w:cs="Times New Roman"/>
          <w:bCs/>
          <w:sz w:val="24"/>
          <w:szCs w:val="24"/>
        </w:rPr>
        <w:t>n</w:t>
      </w:r>
      <w:r w:rsidR="00E67DAD">
        <w:rPr>
          <w:rFonts w:ascii="Times New Roman" w:eastAsia="Arial" w:hAnsi="Times New Roman" w:cs="Times New Roman"/>
          <w:bCs/>
          <w:sz w:val="24"/>
          <w:szCs w:val="24"/>
        </w:rPr>
        <w:t xml:space="preserve"> for validation in females.</w:t>
      </w:r>
      <w:r w:rsidR="00C31E85">
        <w:rPr>
          <w:rFonts w:ascii="Times New Roman" w:eastAsia="Arial" w:hAnsi="Times New Roman" w:cs="Times New Roman"/>
          <w:bCs/>
          <w:sz w:val="24"/>
          <w:szCs w:val="24"/>
        </w:rPr>
        <w:t xml:space="preserve"> </w:t>
      </w:r>
      <w:r w:rsidR="00E67DAD">
        <w:rPr>
          <w:rFonts w:ascii="Times New Roman" w:eastAsia="Arial" w:hAnsi="Times New Roman" w:cs="Times New Roman"/>
          <w:bCs/>
          <w:sz w:val="24"/>
          <w:szCs w:val="24"/>
        </w:rPr>
        <w:t xml:space="preserve">The SNPs that mapped to or near </w:t>
      </w:r>
      <w:r w:rsidR="00E67DAD" w:rsidRPr="002118AD">
        <w:rPr>
          <w:rFonts w:ascii="Times New Roman" w:eastAsia="Arial" w:hAnsi="Times New Roman" w:cs="Times New Roman"/>
          <w:bCs/>
          <w:sz w:val="24"/>
          <w:szCs w:val="24"/>
        </w:rPr>
        <w:t>PKA</w:t>
      </w:r>
      <w:r w:rsidR="00E67DAD">
        <w:rPr>
          <w:rFonts w:ascii="Times New Roman" w:eastAsia="Arial" w:hAnsi="Times New Roman" w:cs="Times New Roman"/>
          <w:bCs/>
          <w:sz w:val="24"/>
          <w:szCs w:val="24"/>
        </w:rPr>
        <w:t xml:space="preserve"> subunit genes (rs970318 and rs6952920) were excluded from validation because PKA is involved in many different processes and the SNPs could not be mapped to a role in </w:t>
      </w:r>
      <w:r w:rsidR="00A75463">
        <w:rPr>
          <w:rFonts w:ascii="Times New Roman" w:eastAsia="Arial" w:hAnsi="Times New Roman" w:cs="Times New Roman"/>
          <w:bCs/>
          <w:sz w:val="24"/>
          <w:szCs w:val="24"/>
        </w:rPr>
        <w:t>β-</w:t>
      </w:r>
      <w:r w:rsidR="00E67DAD">
        <w:rPr>
          <w:rFonts w:ascii="Times New Roman" w:eastAsia="Arial" w:hAnsi="Times New Roman" w:cs="Times New Roman"/>
          <w:bCs/>
          <w:sz w:val="24"/>
          <w:szCs w:val="24"/>
        </w:rPr>
        <w:t>adrenergic signaling</w:t>
      </w:r>
      <w:r w:rsidR="00A75463">
        <w:rPr>
          <w:rFonts w:ascii="Times New Roman" w:eastAsia="Arial" w:hAnsi="Times New Roman" w:cs="Times New Roman"/>
          <w:bCs/>
          <w:sz w:val="24"/>
          <w:szCs w:val="24"/>
        </w:rPr>
        <w:t xml:space="preserve"> or BMD</w:t>
      </w:r>
      <w:r w:rsidR="00E67DAD">
        <w:rPr>
          <w:rFonts w:ascii="Times New Roman" w:eastAsia="Arial" w:hAnsi="Times New Roman" w:cs="Times New Roman"/>
          <w:bCs/>
          <w:sz w:val="24"/>
          <w:szCs w:val="24"/>
        </w:rPr>
        <w:t>. The most significant SNPs in each sex were then chosen to reach 2 SNPs per sex. These SNPs were rs11124190 (</w:t>
      </w:r>
      <w:r w:rsidR="00E67DAD" w:rsidRPr="00231056">
        <w:rPr>
          <w:rFonts w:ascii="Times New Roman" w:eastAsia="Arial" w:hAnsi="Times New Roman" w:cs="Times New Roman"/>
          <w:bCs/>
          <w:i/>
          <w:iCs/>
          <w:sz w:val="24"/>
          <w:szCs w:val="24"/>
        </w:rPr>
        <w:t>HDAC4</w:t>
      </w:r>
      <w:r w:rsidR="00E67DAD">
        <w:rPr>
          <w:rFonts w:ascii="Times New Roman" w:eastAsia="Arial" w:hAnsi="Times New Roman" w:cs="Times New Roman"/>
          <w:bCs/>
          <w:sz w:val="24"/>
          <w:szCs w:val="24"/>
        </w:rPr>
        <w:t xml:space="preserve">) </w:t>
      </w:r>
      <w:r w:rsidR="00E67DAD" w:rsidRPr="00231056">
        <w:rPr>
          <w:rFonts w:ascii="Times New Roman" w:eastAsia="Arial" w:hAnsi="Times New Roman" w:cs="Times New Roman"/>
          <w:bCs/>
          <w:sz w:val="24"/>
          <w:szCs w:val="24"/>
        </w:rPr>
        <w:t>in</w:t>
      </w:r>
      <w:r w:rsidR="00A453B8">
        <w:rPr>
          <w:rFonts w:ascii="Times New Roman" w:eastAsia="Arial" w:hAnsi="Times New Roman" w:cs="Times New Roman"/>
          <w:bCs/>
          <w:sz w:val="24"/>
          <w:szCs w:val="24"/>
        </w:rPr>
        <w:t xml:space="preserve"> females and rs34170507 </w:t>
      </w:r>
      <w:r w:rsidR="00E67DAD">
        <w:rPr>
          <w:rFonts w:ascii="Times New Roman" w:eastAsia="Arial" w:hAnsi="Times New Roman" w:cs="Times New Roman"/>
          <w:bCs/>
          <w:sz w:val="24"/>
          <w:szCs w:val="24"/>
        </w:rPr>
        <w:t>and rs6567268 (</w:t>
      </w:r>
      <w:r w:rsidR="00A453B8">
        <w:rPr>
          <w:rFonts w:ascii="Times New Roman" w:eastAsia="Arial" w:hAnsi="Times New Roman" w:cs="Times New Roman"/>
          <w:bCs/>
          <w:sz w:val="24"/>
          <w:szCs w:val="24"/>
        </w:rPr>
        <w:t xml:space="preserve">both in </w:t>
      </w:r>
      <w:r w:rsidR="00A453B8">
        <w:rPr>
          <w:rFonts w:ascii="Times New Roman" w:eastAsia="Arial" w:hAnsi="Times New Roman" w:cs="Times New Roman"/>
          <w:bCs/>
          <w:i/>
          <w:iCs/>
          <w:sz w:val="24"/>
          <w:szCs w:val="24"/>
        </w:rPr>
        <w:t>TNFRSF11A or RANK</w:t>
      </w:r>
      <w:r w:rsidR="00E67DAD">
        <w:rPr>
          <w:rFonts w:ascii="Times New Roman" w:eastAsia="Arial" w:hAnsi="Times New Roman" w:cs="Times New Roman"/>
          <w:bCs/>
          <w:sz w:val="24"/>
          <w:szCs w:val="24"/>
        </w:rPr>
        <w:t>) in males.</w:t>
      </w:r>
      <w:r w:rsidR="00E67DAD">
        <w:rPr>
          <w:rFonts w:ascii="Times New Roman" w:eastAsia="Arial" w:hAnsi="Times New Roman" w:cs="Times New Roman"/>
          <w:sz w:val="24"/>
          <w:szCs w:val="24"/>
        </w:rPr>
        <w:t xml:space="preserve"> </w:t>
      </w:r>
      <w:r w:rsidR="00E67DAD">
        <w:rPr>
          <w:rFonts w:ascii="Times New Roman" w:eastAsia="Arial" w:hAnsi="Times New Roman" w:cs="Times New Roman"/>
          <w:bCs/>
          <w:iCs/>
          <w:sz w:val="24"/>
          <w:szCs w:val="24"/>
        </w:rPr>
        <w:t>SNP</w:t>
      </w:r>
      <w:r w:rsidR="007121EF">
        <w:rPr>
          <w:rFonts w:ascii="Times New Roman" w:eastAsia="Arial" w:hAnsi="Times New Roman" w:cs="Times New Roman"/>
          <w:bCs/>
          <w:iCs/>
          <w:sz w:val="24"/>
          <w:szCs w:val="24"/>
        </w:rPr>
        <w:t>s</w:t>
      </w:r>
      <w:r w:rsidR="00E67DAD">
        <w:rPr>
          <w:rFonts w:ascii="Times New Roman" w:eastAsia="Arial" w:hAnsi="Times New Roman" w:cs="Times New Roman"/>
          <w:bCs/>
          <w:iCs/>
          <w:sz w:val="24"/>
          <w:szCs w:val="24"/>
        </w:rPr>
        <w:t xml:space="preserve"> </w:t>
      </w:r>
      <w:r w:rsidR="007121EF">
        <w:rPr>
          <w:rFonts w:ascii="Times New Roman" w:eastAsia="Arial" w:hAnsi="Times New Roman" w:cs="Times New Roman"/>
          <w:bCs/>
          <w:iCs/>
          <w:sz w:val="24"/>
          <w:szCs w:val="24"/>
        </w:rPr>
        <w:t xml:space="preserve">were considered </w:t>
      </w:r>
      <w:r w:rsidR="00E67DAD">
        <w:rPr>
          <w:rFonts w:ascii="Times New Roman" w:eastAsia="Arial" w:hAnsi="Times New Roman" w:cs="Times New Roman"/>
          <w:bCs/>
          <w:iCs/>
          <w:sz w:val="24"/>
          <w:szCs w:val="24"/>
        </w:rPr>
        <w:t>validated</w:t>
      </w:r>
      <w:r w:rsidR="007121EF">
        <w:rPr>
          <w:rFonts w:ascii="Times New Roman" w:eastAsia="Arial" w:hAnsi="Times New Roman" w:cs="Times New Roman"/>
          <w:bCs/>
          <w:iCs/>
          <w:sz w:val="24"/>
          <w:szCs w:val="24"/>
        </w:rPr>
        <w:t xml:space="preserve"> in an external cohort if they met the following </w:t>
      </w:r>
      <w:r w:rsidR="008B61A7">
        <w:rPr>
          <w:rFonts w:ascii="Times New Roman" w:eastAsia="Arial" w:hAnsi="Times New Roman" w:cs="Times New Roman"/>
          <w:bCs/>
          <w:iCs/>
          <w:sz w:val="24"/>
          <w:szCs w:val="24"/>
        </w:rPr>
        <w:t xml:space="preserve">pre-specified </w:t>
      </w:r>
      <w:r w:rsidR="007121EF">
        <w:rPr>
          <w:rFonts w:ascii="Times New Roman" w:eastAsia="Arial" w:hAnsi="Times New Roman" w:cs="Times New Roman"/>
          <w:bCs/>
          <w:iCs/>
          <w:sz w:val="24"/>
          <w:szCs w:val="24"/>
        </w:rPr>
        <w:t>significance thresholds:</w:t>
      </w:r>
      <w:r w:rsidR="00E67DAD">
        <w:rPr>
          <w:rFonts w:ascii="Times New Roman" w:eastAsia="Arial" w:hAnsi="Times New Roman" w:cs="Times New Roman"/>
          <w:bCs/>
          <w:iCs/>
          <w:sz w:val="24"/>
          <w:szCs w:val="24"/>
        </w:rPr>
        <w:t xml:space="preserve"> p &lt; 0.0</w:t>
      </w:r>
      <w:r w:rsidR="007121EF">
        <w:rPr>
          <w:rFonts w:ascii="Times New Roman" w:eastAsia="Arial" w:hAnsi="Times New Roman" w:cs="Times New Roman"/>
          <w:bCs/>
          <w:iCs/>
          <w:sz w:val="24"/>
          <w:szCs w:val="24"/>
        </w:rPr>
        <w:t>125 (0.05/4)</w:t>
      </w:r>
      <w:r w:rsidR="00E67DAD">
        <w:rPr>
          <w:rFonts w:ascii="Times New Roman" w:eastAsia="Arial" w:hAnsi="Times New Roman" w:cs="Times New Roman"/>
          <w:bCs/>
          <w:iCs/>
          <w:sz w:val="24"/>
          <w:szCs w:val="24"/>
        </w:rPr>
        <w:t xml:space="preserve"> in cohorts with both sexes and p &lt; </w:t>
      </w:r>
      <w:r w:rsidR="007121EF">
        <w:rPr>
          <w:rFonts w:ascii="Times New Roman" w:eastAsia="Arial" w:hAnsi="Times New Roman" w:cs="Times New Roman"/>
          <w:bCs/>
          <w:iCs/>
          <w:sz w:val="24"/>
          <w:szCs w:val="24"/>
        </w:rPr>
        <w:t>0.025 (</w:t>
      </w:r>
      <w:r w:rsidR="00E67DAD">
        <w:rPr>
          <w:rFonts w:ascii="Times New Roman" w:eastAsia="Arial" w:hAnsi="Times New Roman" w:cs="Times New Roman"/>
          <w:bCs/>
          <w:iCs/>
          <w:sz w:val="24"/>
          <w:szCs w:val="24"/>
        </w:rPr>
        <w:t>0.05/2</w:t>
      </w:r>
      <w:r w:rsidR="007121EF">
        <w:rPr>
          <w:rFonts w:ascii="Times New Roman" w:eastAsia="Arial" w:hAnsi="Times New Roman" w:cs="Times New Roman"/>
          <w:bCs/>
          <w:iCs/>
          <w:sz w:val="24"/>
          <w:szCs w:val="24"/>
        </w:rPr>
        <w:t>)</w:t>
      </w:r>
      <w:r w:rsidR="00E67DAD">
        <w:rPr>
          <w:rFonts w:ascii="Times New Roman" w:eastAsia="Arial" w:hAnsi="Times New Roman" w:cs="Times New Roman"/>
          <w:bCs/>
          <w:iCs/>
          <w:sz w:val="24"/>
          <w:szCs w:val="24"/>
        </w:rPr>
        <w:t xml:space="preserve"> in cohorts with only 1 sex</w:t>
      </w:r>
      <w:r w:rsidR="007121EF">
        <w:rPr>
          <w:rFonts w:ascii="Times New Roman" w:eastAsia="Arial" w:hAnsi="Times New Roman" w:cs="Times New Roman"/>
          <w:bCs/>
          <w:iCs/>
          <w:sz w:val="24"/>
          <w:szCs w:val="24"/>
        </w:rPr>
        <w:t xml:space="preserve"> to account for multiple testing</w:t>
      </w:r>
      <w:r w:rsidR="00E67DAD">
        <w:rPr>
          <w:rFonts w:ascii="Times New Roman" w:eastAsia="Arial" w:hAnsi="Times New Roman" w:cs="Times New Roman"/>
          <w:bCs/>
          <w:iCs/>
          <w:sz w:val="24"/>
          <w:szCs w:val="24"/>
        </w:rPr>
        <w:t>.</w:t>
      </w:r>
      <w:r w:rsidR="007121EF">
        <w:rPr>
          <w:rFonts w:ascii="Times New Roman" w:eastAsia="Arial" w:hAnsi="Times New Roman" w:cs="Times New Roman"/>
          <w:bCs/>
          <w:iCs/>
          <w:sz w:val="24"/>
          <w:szCs w:val="24"/>
        </w:rPr>
        <w:t xml:space="preserve"> </w:t>
      </w:r>
      <w:r w:rsidR="0057024B" w:rsidRPr="00757919">
        <w:rPr>
          <w:rFonts w:ascii="Times New Roman" w:eastAsia="Arial" w:hAnsi="Times New Roman" w:cs="Times New Roman"/>
          <w:sz w:val="24"/>
          <w:szCs w:val="24"/>
        </w:rPr>
        <w:t>The effect estimate for the interaction effect of the alternative allele was positive for all four SNPs</w:t>
      </w:r>
      <w:r w:rsidR="00A907D1" w:rsidRPr="00757919">
        <w:rPr>
          <w:rFonts w:ascii="Times New Roman" w:eastAsia="Arial" w:hAnsi="Times New Roman" w:cs="Times New Roman"/>
          <w:sz w:val="24"/>
          <w:szCs w:val="24"/>
        </w:rPr>
        <w:t xml:space="preserve"> in the discovery sample (FHS)</w:t>
      </w:r>
      <w:r w:rsidR="00B4126C" w:rsidRPr="00757919">
        <w:rPr>
          <w:rFonts w:ascii="Times New Roman" w:eastAsia="Arial" w:hAnsi="Times New Roman" w:cs="Times New Roman"/>
          <w:sz w:val="24"/>
          <w:szCs w:val="24"/>
        </w:rPr>
        <w:t>, indicating higher BMD in BB users with more copies of the alternat</w:t>
      </w:r>
      <w:r w:rsidR="00BF721E">
        <w:rPr>
          <w:rFonts w:ascii="Times New Roman" w:eastAsia="Arial" w:hAnsi="Times New Roman" w:cs="Times New Roman"/>
          <w:sz w:val="24"/>
          <w:szCs w:val="24"/>
        </w:rPr>
        <w:t>ive</w:t>
      </w:r>
      <w:r w:rsidR="00B4126C" w:rsidRPr="00757919">
        <w:rPr>
          <w:rFonts w:ascii="Times New Roman" w:eastAsia="Arial" w:hAnsi="Times New Roman" w:cs="Times New Roman"/>
          <w:sz w:val="24"/>
          <w:szCs w:val="24"/>
        </w:rPr>
        <w:t xml:space="preserve"> allele</w:t>
      </w:r>
      <w:r w:rsidR="00FB7767">
        <w:rPr>
          <w:rFonts w:ascii="Times New Roman" w:eastAsia="Arial" w:hAnsi="Times New Roman" w:cs="Times New Roman"/>
          <w:sz w:val="24"/>
          <w:szCs w:val="24"/>
        </w:rPr>
        <w:t xml:space="preserve"> compared with non-BB users</w:t>
      </w:r>
      <w:r w:rsidR="00A907D1" w:rsidRPr="00757919">
        <w:rPr>
          <w:rFonts w:ascii="Times New Roman" w:eastAsia="Arial" w:hAnsi="Times New Roman" w:cs="Times New Roman"/>
          <w:sz w:val="24"/>
          <w:szCs w:val="24"/>
        </w:rPr>
        <w:t xml:space="preserve">. </w:t>
      </w:r>
      <w:r w:rsidR="005F635D" w:rsidRPr="00757919">
        <w:rPr>
          <w:rFonts w:ascii="Times New Roman" w:eastAsia="Arial" w:hAnsi="Times New Roman" w:cs="Times New Roman"/>
          <w:bCs/>
          <w:sz w:val="24"/>
          <w:szCs w:val="24"/>
        </w:rPr>
        <w:t xml:space="preserve">Of these four SNPs, </w:t>
      </w:r>
      <w:r w:rsidR="00A9073B" w:rsidRPr="00757919">
        <w:rPr>
          <w:rFonts w:ascii="Times New Roman" w:eastAsia="Arial" w:hAnsi="Times New Roman" w:cs="Times New Roman"/>
          <w:bCs/>
          <w:sz w:val="24"/>
          <w:szCs w:val="24"/>
        </w:rPr>
        <w:t>rs11124190</w:t>
      </w:r>
      <w:r w:rsidR="00C82A24" w:rsidRPr="00757919">
        <w:rPr>
          <w:rFonts w:ascii="Times New Roman" w:eastAsia="Arial" w:hAnsi="Times New Roman" w:cs="Times New Roman"/>
          <w:bCs/>
          <w:sz w:val="24"/>
          <w:szCs w:val="24"/>
        </w:rPr>
        <w:t xml:space="preserve"> (</w:t>
      </w:r>
      <w:r w:rsidR="00C82A24" w:rsidRPr="00757919">
        <w:rPr>
          <w:rFonts w:ascii="Times New Roman" w:eastAsia="Arial" w:hAnsi="Times New Roman" w:cs="Times New Roman"/>
          <w:bCs/>
          <w:i/>
          <w:iCs/>
          <w:sz w:val="24"/>
          <w:szCs w:val="24"/>
        </w:rPr>
        <w:t>HDAC4</w:t>
      </w:r>
      <w:r w:rsidR="00C82A24" w:rsidRPr="00757919">
        <w:rPr>
          <w:rFonts w:ascii="Times New Roman" w:eastAsia="Arial" w:hAnsi="Times New Roman" w:cs="Times New Roman"/>
          <w:bCs/>
          <w:sz w:val="24"/>
          <w:szCs w:val="24"/>
        </w:rPr>
        <w:t>)</w:t>
      </w:r>
      <w:r w:rsidR="005F635D" w:rsidRPr="00757919">
        <w:rPr>
          <w:rFonts w:ascii="Times New Roman" w:eastAsia="Arial" w:hAnsi="Times New Roman" w:cs="Times New Roman"/>
          <w:bCs/>
          <w:sz w:val="24"/>
          <w:szCs w:val="24"/>
        </w:rPr>
        <w:t xml:space="preserve"> </w:t>
      </w:r>
      <w:r w:rsidR="00A9073B" w:rsidRPr="00757919">
        <w:rPr>
          <w:rFonts w:ascii="Times New Roman" w:eastAsia="Arial" w:hAnsi="Times New Roman" w:cs="Times New Roman"/>
          <w:bCs/>
          <w:sz w:val="24"/>
          <w:szCs w:val="24"/>
        </w:rPr>
        <w:t>had a significant interaction effect with BB use on BMD</w:t>
      </w:r>
      <w:r w:rsidR="005F635D" w:rsidRPr="00757919">
        <w:rPr>
          <w:rFonts w:ascii="Times New Roman" w:eastAsia="Arial" w:hAnsi="Times New Roman" w:cs="Times New Roman"/>
          <w:bCs/>
          <w:sz w:val="24"/>
          <w:szCs w:val="24"/>
        </w:rPr>
        <w:t xml:space="preserve"> in</w:t>
      </w:r>
      <w:r w:rsidR="00A9073B" w:rsidRPr="00757919">
        <w:rPr>
          <w:rFonts w:ascii="Times New Roman" w:eastAsia="Arial" w:hAnsi="Times New Roman" w:cs="Times New Roman"/>
          <w:bCs/>
          <w:sz w:val="24"/>
          <w:szCs w:val="24"/>
        </w:rPr>
        <w:t xml:space="preserve"> females from</w:t>
      </w:r>
      <w:r w:rsidR="005F635D" w:rsidRPr="00757919">
        <w:rPr>
          <w:rFonts w:ascii="Times New Roman" w:eastAsia="Arial" w:hAnsi="Times New Roman" w:cs="Times New Roman"/>
          <w:bCs/>
          <w:sz w:val="24"/>
          <w:szCs w:val="24"/>
        </w:rPr>
        <w:t xml:space="preserve"> the Rotterdam </w:t>
      </w:r>
      <w:r w:rsidR="00A9073B" w:rsidRPr="00757919">
        <w:rPr>
          <w:rFonts w:ascii="Times New Roman" w:eastAsia="Arial" w:hAnsi="Times New Roman" w:cs="Times New Roman"/>
          <w:bCs/>
          <w:sz w:val="24"/>
          <w:szCs w:val="24"/>
        </w:rPr>
        <w:t>Study (</w:t>
      </w:r>
      <w:r w:rsidR="00942AAF">
        <w:rPr>
          <w:rFonts w:ascii="Times New Roman" w:eastAsia="Arial" w:hAnsi="Times New Roman" w:cs="Times New Roman"/>
          <w:bCs/>
          <w:sz w:val="24"/>
          <w:szCs w:val="24"/>
        </w:rPr>
        <w:t>Estimate</w:t>
      </w:r>
      <w:r w:rsidR="00A9073B" w:rsidRPr="00757919">
        <w:rPr>
          <w:rFonts w:ascii="Times New Roman" w:eastAsia="Arial" w:hAnsi="Times New Roman" w:cs="Times New Roman"/>
          <w:bCs/>
          <w:sz w:val="24"/>
          <w:szCs w:val="24"/>
        </w:rPr>
        <w:t xml:space="preserve"> = 0.024, SE = 0.009, p = 0.010)</w:t>
      </w:r>
      <w:r w:rsidR="00774255" w:rsidRPr="00757919">
        <w:rPr>
          <w:rFonts w:ascii="Times New Roman" w:eastAsia="Arial" w:hAnsi="Times New Roman" w:cs="Times New Roman"/>
          <w:bCs/>
          <w:sz w:val="24"/>
          <w:szCs w:val="24"/>
        </w:rPr>
        <w:t xml:space="preserve"> (Figure </w:t>
      </w:r>
      <w:r w:rsidR="00AC5AFA" w:rsidRPr="00757919">
        <w:rPr>
          <w:rFonts w:ascii="Times New Roman" w:eastAsia="Arial" w:hAnsi="Times New Roman" w:cs="Times New Roman"/>
          <w:bCs/>
          <w:sz w:val="24"/>
          <w:szCs w:val="24"/>
        </w:rPr>
        <w:t>2</w:t>
      </w:r>
      <w:r w:rsidR="00774255" w:rsidRPr="00757919">
        <w:rPr>
          <w:rFonts w:ascii="Times New Roman" w:eastAsia="Arial" w:hAnsi="Times New Roman" w:cs="Times New Roman"/>
          <w:bCs/>
          <w:sz w:val="24"/>
          <w:szCs w:val="24"/>
        </w:rPr>
        <w:t>, Table S</w:t>
      </w:r>
      <w:r w:rsidR="00B62652">
        <w:rPr>
          <w:rFonts w:ascii="Times New Roman" w:eastAsia="Arial" w:hAnsi="Times New Roman" w:cs="Times New Roman"/>
          <w:bCs/>
          <w:sz w:val="24"/>
          <w:szCs w:val="24"/>
        </w:rPr>
        <w:t>3</w:t>
      </w:r>
      <w:r w:rsidR="00EC3C7C">
        <w:rPr>
          <w:rFonts w:ascii="Times New Roman" w:eastAsia="Arial" w:hAnsi="Times New Roman" w:cs="Times New Roman"/>
          <w:bCs/>
          <w:sz w:val="24"/>
          <w:szCs w:val="24"/>
          <w:vertAlign w:val="superscript"/>
        </w:rPr>
        <w:t>116</w:t>
      </w:r>
      <w:r w:rsidR="00774255" w:rsidRPr="00757919">
        <w:rPr>
          <w:rFonts w:ascii="Times New Roman" w:eastAsia="Arial" w:hAnsi="Times New Roman" w:cs="Times New Roman"/>
          <w:bCs/>
          <w:sz w:val="24"/>
          <w:szCs w:val="24"/>
        </w:rPr>
        <w:t>)</w:t>
      </w:r>
      <w:r w:rsidR="000E186C" w:rsidRPr="00757919">
        <w:rPr>
          <w:rFonts w:ascii="Times New Roman" w:eastAsia="Arial" w:hAnsi="Times New Roman" w:cs="Times New Roman"/>
          <w:bCs/>
          <w:sz w:val="24"/>
          <w:szCs w:val="24"/>
        </w:rPr>
        <w:t xml:space="preserve">, and rs12414657 </w:t>
      </w:r>
      <w:r w:rsidR="00C82A24" w:rsidRPr="00757919">
        <w:rPr>
          <w:rFonts w:ascii="Times New Roman" w:eastAsia="Arial" w:hAnsi="Times New Roman" w:cs="Times New Roman"/>
          <w:bCs/>
          <w:sz w:val="24"/>
          <w:szCs w:val="24"/>
        </w:rPr>
        <w:t>(</w:t>
      </w:r>
      <w:r w:rsidR="00C82A24" w:rsidRPr="00757919">
        <w:rPr>
          <w:rFonts w:ascii="Times New Roman" w:eastAsia="Arial" w:hAnsi="Times New Roman" w:cs="Times New Roman"/>
          <w:bCs/>
          <w:i/>
          <w:iCs/>
          <w:sz w:val="24"/>
          <w:szCs w:val="24"/>
        </w:rPr>
        <w:t>ADRB1</w:t>
      </w:r>
      <w:r w:rsidR="00C82A24" w:rsidRPr="00757919">
        <w:rPr>
          <w:rFonts w:ascii="Times New Roman" w:eastAsia="Arial" w:hAnsi="Times New Roman" w:cs="Times New Roman"/>
          <w:bCs/>
          <w:sz w:val="24"/>
          <w:szCs w:val="24"/>
        </w:rPr>
        <w:t xml:space="preserve">) </w:t>
      </w:r>
      <w:r w:rsidR="000E186C" w:rsidRPr="00757919">
        <w:rPr>
          <w:rFonts w:ascii="Times New Roman" w:eastAsia="Arial" w:hAnsi="Times New Roman" w:cs="Times New Roman"/>
          <w:bCs/>
          <w:sz w:val="24"/>
          <w:szCs w:val="24"/>
        </w:rPr>
        <w:t xml:space="preserve">had a significant </w:t>
      </w:r>
      <w:r w:rsidR="00194D82" w:rsidRPr="00757919">
        <w:rPr>
          <w:rFonts w:ascii="Times New Roman" w:eastAsia="Arial" w:hAnsi="Times New Roman" w:cs="Times New Roman"/>
          <w:bCs/>
          <w:sz w:val="24"/>
          <w:szCs w:val="24"/>
        </w:rPr>
        <w:t>interaction</w:t>
      </w:r>
      <w:r w:rsidR="000E186C" w:rsidRPr="00757919">
        <w:rPr>
          <w:rFonts w:ascii="Times New Roman" w:eastAsia="Arial" w:hAnsi="Times New Roman" w:cs="Times New Roman"/>
          <w:bCs/>
          <w:sz w:val="24"/>
          <w:szCs w:val="24"/>
        </w:rPr>
        <w:t xml:space="preserve"> effect with BB use on BMD in females from the MOFS</w:t>
      </w:r>
      <w:r w:rsidR="003A7EEF" w:rsidRPr="00757919">
        <w:rPr>
          <w:rFonts w:ascii="Times New Roman" w:eastAsia="Arial" w:hAnsi="Times New Roman" w:cs="Times New Roman"/>
          <w:bCs/>
          <w:sz w:val="24"/>
          <w:szCs w:val="24"/>
        </w:rPr>
        <w:t xml:space="preserve"> (</w:t>
      </w:r>
      <w:r w:rsidR="00942AAF">
        <w:rPr>
          <w:rFonts w:ascii="Times New Roman" w:eastAsia="Arial" w:hAnsi="Times New Roman" w:cs="Times New Roman"/>
          <w:bCs/>
          <w:sz w:val="24"/>
          <w:szCs w:val="24"/>
        </w:rPr>
        <w:t>Estimate</w:t>
      </w:r>
      <w:r w:rsidR="00942AAF" w:rsidRPr="00757919">
        <w:rPr>
          <w:rFonts w:ascii="Times New Roman" w:eastAsia="Arial" w:hAnsi="Times New Roman" w:cs="Times New Roman"/>
          <w:bCs/>
          <w:sz w:val="24"/>
          <w:szCs w:val="24"/>
        </w:rPr>
        <w:t xml:space="preserve"> </w:t>
      </w:r>
      <w:r w:rsidR="003A7EEF" w:rsidRPr="00757919">
        <w:rPr>
          <w:rFonts w:ascii="Times New Roman" w:eastAsia="Arial" w:hAnsi="Times New Roman" w:cs="Times New Roman"/>
          <w:bCs/>
          <w:sz w:val="24"/>
          <w:szCs w:val="24"/>
        </w:rPr>
        <w:t xml:space="preserve">= 0.0576, </w:t>
      </w:r>
      <w:r w:rsidR="00AD6095" w:rsidRPr="00757919">
        <w:rPr>
          <w:rFonts w:ascii="Times New Roman" w:eastAsia="Arial" w:hAnsi="Times New Roman" w:cs="Times New Roman"/>
          <w:bCs/>
          <w:sz w:val="24"/>
          <w:szCs w:val="24"/>
        </w:rPr>
        <w:t xml:space="preserve">SE = </w:t>
      </w:r>
      <w:r w:rsidR="003A7EEF" w:rsidRPr="00757919">
        <w:rPr>
          <w:rFonts w:ascii="Times New Roman" w:eastAsia="Arial" w:hAnsi="Times New Roman" w:cs="Times New Roman"/>
          <w:bCs/>
          <w:sz w:val="24"/>
          <w:szCs w:val="24"/>
        </w:rPr>
        <w:t>0.0219</w:t>
      </w:r>
      <w:r w:rsidR="00AD6095" w:rsidRPr="00757919">
        <w:rPr>
          <w:rFonts w:ascii="Times New Roman" w:eastAsia="Arial" w:hAnsi="Times New Roman" w:cs="Times New Roman"/>
          <w:bCs/>
          <w:sz w:val="24"/>
          <w:szCs w:val="24"/>
        </w:rPr>
        <w:t xml:space="preserve">, p = </w:t>
      </w:r>
      <w:r w:rsidR="003A7EEF" w:rsidRPr="00757919">
        <w:rPr>
          <w:rFonts w:ascii="Times New Roman" w:eastAsia="Arial" w:hAnsi="Times New Roman" w:cs="Times New Roman"/>
          <w:bCs/>
          <w:sz w:val="24"/>
          <w:szCs w:val="24"/>
        </w:rPr>
        <w:t>0.0085)</w:t>
      </w:r>
      <w:r w:rsidR="000E186C" w:rsidRPr="00757919">
        <w:rPr>
          <w:rFonts w:ascii="Times New Roman" w:eastAsia="Arial" w:hAnsi="Times New Roman" w:cs="Times New Roman"/>
          <w:bCs/>
          <w:sz w:val="24"/>
          <w:szCs w:val="24"/>
        </w:rPr>
        <w:t xml:space="preserve"> (</w:t>
      </w:r>
      <w:r w:rsidR="00D4458D" w:rsidRPr="00757919">
        <w:rPr>
          <w:rFonts w:ascii="Times New Roman" w:eastAsia="Arial" w:hAnsi="Times New Roman" w:cs="Times New Roman"/>
          <w:bCs/>
          <w:sz w:val="24"/>
          <w:szCs w:val="24"/>
        </w:rPr>
        <w:t>Figure 3, Table S</w:t>
      </w:r>
      <w:r w:rsidR="00B62652">
        <w:rPr>
          <w:rFonts w:ascii="Times New Roman" w:eastAsia="Arial" w:hAnsi="Times New Roman" w:cs="Times New Roman"/>
          <w:bCs/>
          <w:sz w:val="24"/>
          <w:szCs w:val="24"/>
        </w:rPr>
        <w:t>3</w:t>
      </w:r>
      <w:r w:rsidR="007309CD">
        <w:rPr>
          <w:rFonts w:ascii="Times New Roman" w:eastAsia="Arial" w:hAnsi="Times New Roman" w:cs="Times New Roman"/>
          <w:bCs/>
          <w:sz w:val="24"/>
          <w:szCs w:val="24"/>
          <w:vertAlign w:val="superscript"/>
        </w:rPr>
        <w:t>116</w:t>
      </w:r>
      <w:r w:rsidR="00D4458D" w:rsidRPr="00757919">
        <w:rPr>
          <w:rFonts w:ascii="Times New Roman" w:eastAsia="Arial" w:hAnsi="Times New Roman" w:cs="Times New Roman"/>
          <w:bCs/>
          <w:sz w:val="24"/>
          <w:szCs w:val="24"/>
        </w:rPr>
        <w:t>).</w:t>
      </w:r>
      <w:r w:rsidR="00A9073B" w:rsidRPr="00757919">
        <w:rPr>
          <w:rFonts w:ascii="Times New Roman" w:eastAsia="Arial" w:hAnsi="Times New Roman" w:cs="Times New Roman"/>
          <w:bCs/>
          <w:sz w:val="24"/>
          <w:szCs w:val="24"/>
        </w:rPr>
        <w:t xml:space="preserve"> </w:t>
      </w:r>
      <w:r w:rsidR="00774255" w:rsidRPr="00757919">
        <w:rPr>
          <w:rFonts w:ascii="Times New Roman" w:eastAsia="Arial" w:hAnsi="Times New Roman" w:cs="Times New Roman"/>
          <w:bCs/>
          <w:sz w:val="24"/>
          <w:szCs w:val="24"/>
        </w:rPr>
        <w:t xml:space="preserve">The other </w:t>
      </w:r>
      <w:r w:rsidR="00D4458D" w:rsidRPr="00757919">
        <w:rPr>
          <w:rFonts w:ascii="Times New Roman" w:eastAsia="Arial" w:hAnsi="Times New Roman" w:cs="Times New Roman"/>
          <w:bCs/>
          <w:sz w:val="24"/>
          <w:szCs w:val="24"/>
        </w:rPr>
        <w:t>2</w:t>
      </w:r>
      <w:r w:rsidR="00774255" w:rsidRPr="00757919">
        <w:rPr>
          <w:rFonts w:ascii="Times New Roman" w:eastAsia="Arial" w:hAnsi="Times New Roman" w:cs="Times New Roman"/>
          <w:bCs/>
          <w:sz w:val="24"/>
          <w:szCs w:val="24"/>
        </w:rPr>
        <w:t xml:space="preserve"> SNPs were not significant in </w:t>
      </w:r>
      <w:r w:rsidR="00D4458D" w:rsidRPr="00757919">
        <w:rPr>
          <w:rFonts w:ascii="Times New Roman" w:eastAsia="Arial" w:hAnsi="Times New Roman" w:cs="Times New Roman"/>
          <w:bCs/>
          <w:sz w:val="24"/>
          <w:szCs w:val="24"/>
        </w:rPr>
        <w:t xml:space="preserve">males in </w:t>
      </w:r>
      <w:r w:rsidR="00774255" w:rsidRPr="00757919">
        <w:rPr>
          <w:rFonts w:ascii="Times New Roman" w:eastAsia="Arial" w:hAnsi="Times New Roman" w:cs="Times New Roman"/>
          <w:bCs/>
          <w:sz w:val="24"/>
          <w:szCs w:val="24"/>
        </w:rPr>
        <w:t>the Rotterdam</w:t>
      </w:r>
      <w:r w:rsidR="00E6238C" w:rsidRPr="00757919">
        <w:rPr>
          <w:rFonts w:ascii="Times New Roman" w:eastAsia="Arial" w:hAnsi="Times New Roman" w:cs="Times New Roman"/>
          <w:bCs/>
          <w:sz w:val="24"/>
          <w:szCs w:val="24"/>
        </w:rPr>
        <w:t>,</w:t>
      </w:r>
      <w:r w:rsidR="00774255" w:rsidRPr="00757919">
        <w:rPr>
          <w:rFonts w:ascii="Times New Roman" w:eastAsia="Arial" w:hAnsi="Times New Roman" w:cs="Times New Roman"/>
          <w:bCs/>
          <w:sz w:val="24"/>
          <w:szCs w:val="24"/>
        </w:rPr>
        <w:t xml:space="preserve"> BPROOF</w:t>
      </w:r>
      <w:r w:rsidR="00E6238C" w:rsidRPr="00757919">
        <w:rPr>
          <w:rFonts w:ascii="Times New Roman" w:eastAsia="Arial" w:hAnsi="Times New Roman" w:cs="Times New Roman"/>
          <w:bCs/>
          <w:sz w:val="24"/>
          <w:szCs w:val="24"/>
        </w:rPr>
        <w:t>, or Hertfordshire Cohort</w:t>
      </w:r>
      <w:r w:rsidR="00774255" w:rsidRPr="00757919">
        <w:rPr>
          <w:rFonts w:ascii="Times New Roman" w:eastAsia="Arial" w:hAnsi="Times New Roman" w:cs="Times New Roman"/>
          <w:bCs/>
          <w:sz w:val="24"/>
          <w:szCs w:val="24"/>
        </w:rPr>
        <w:t xml:space="preserve"> studies (Table S</w:t>
      </w:r>
      <w:r w:rsidR="00B62652">
        <w:rPr>
          <w:rFonts w:ascii="Times New Roman" w:eastAsia="Arial" w:hAnsi="Times New Roman" w:cs="Times New Roman"/>
          <w:bCs/>
          <w:sz w:val="24"/>
          <w:szCs w:val="24"/>
        </w:rPr>
        <w:t>3</w:t>
      </w:r>
      <w:r w:rsidR="007309CD">
        <w:rPr>
          <w:rFonts w:ascii="Times New Roman" w:eastAsia="Arial" w:hAnsi="Times New Roman" w:cs="Times New Roman"/>
          <w:bCs/>
          <w:sz w:val="24"/>
          <w:szCs w:val="24"/>
          <w:vertAlign w:val="superscript"/>
        </w:rPr>
        <w:t>116</w:t>
      </w:r>
      <w:r w:rsidR="00774255" w:rsidRPr="00757919">
        <w:rPr>
          <w:rFonts w:ascii="Times New Roman" w:eastAsia="Arial" w:hAnsi="Times New Roman" w:cs="Times New Roman"/>
          <w:bCs/>
          <w:sz w:val="24"/>
          <w:szCs w:val="24"/>
        </w:rPr>
        <w:t>).</w:t>
      </w:r>
      <w:r w:rsidR="001148E5" w:rsidRPr="00757919">
        <w:rPr>
          <w:rFonts w:ascii="Times New Roman" w:eastAsia="Arial" w:hAnsi="Times New Roman" w:cs="Times New Roman"/>
          <w:bCs/>
          <w:sz w:val="24"/>
          <w:szCs w:val="24"/>
        </w:rPr>
        <w:t xml:space="preserve"> </w:t>
      </w:r>
      <w:r w:rsidR="00774255" w:rsidRPr="00757919">
        <w:rPr>
          <w:rFonts w:ascii="Times New Roman" w:eastAsia="Arial" w:hAnsi="Times New Roman" w:cs="Times New Roman"/>
          <w:bCs/>
          <w:sz w:val="24"/>
          <w:szCs w:val="24"/>
        </w:rPr>
        <w:t xml:space="preserve"> </w:t>
      </w:r>
      <w:r w:rsidR="006642E4" w:rsidRPr="00757919">
        <w:rPr>
          <w:rFonts w:ascii="Times New Roman" w:eastAsia="Arial" w:hAnsi="Times New Roman" w:cs="Times New Roman"/>
          <w:bCs/>
          <w:sz w:val="24"/>
          <w:szCs w:val="24"/>
        </w:rPr>
        <w:t xml:space="preserve">We </w:t>
      </w:r>
      <w:r w:rsidR="00D4458D" w:rsidRPr="00757919">
        <w:rPr>
          <w:rFonts w:ascii="Times New Roman" w:eastAsia="Arial" w:hAnsi="Times New Roman" w:cs="Times New Roman"/>
          <w:bCs/>
          <w:sz w:val="24"/>
          <w:szCs w:val="24"/>
        </w:rPr>
        <w:t xml:space="preserve">also performed a </w:t>
      </w:r>
      <w:r w:rsidR="006642E4" w:rsidRPr="00757919">
        <w:rPr>
          <w:rFonts w:ascii="Times New Roman" w:eastAsia="Arial" w:hAnsi="Times New Roman" w:cs="Times New Roman"/>
          <w:bCs/>
          <w:sz w:val="24"/>
          <w:szCs w:val="24"/>
        </w:rPr>
        <w:t xml:space="preserve">meta-analysis </w:t>
      </w:r>
      <w:r w:rsidR="00D20C6C" w:rsidRPr="00757919">
        <w:rPr>
          <w:rFonts w:ascii="Times New Roman" w:eastAsia="Arial" w:hAnsi="Times New Roman" w:cs="Times New Roman"/>
          <w:bCs/>
          <w:sz w:val="24"/>
          <w:szCs w:val="24"/>
        </w:rPr>
        <w:t xml:space="preserve">for rs11124190 </w:t>
      </w:r>
      <w:r w:rsidR="00C82A24" w:rsidRPr="00757919">
        <w:rPr>
          <w:rFonts w:ascii="Times New Roman" w:eastAsia="Arial" w:hAnsi="Times New Roman" w:cs="Times New Roman"/>
          <w:bCs/>
          <w:sz w:val="24"/>
          <w:szCs w:val="24"/>
        </w:rPr>
        <w:t>(</w:t>
      </w:r>
      <w:r w:rsidR="00D20C6C" w:rsidRPr="00757919">
        <w:rPr>
          <w:rFonts w:ascii="Times New Roman" w:eastAsia="Arial" w:hAnsi="Times New Roman" w:cs="Times New Roman"/>
          <w:bCs/>
          <w:i/>
          <w:iCs/>
          <w:sz w:val="24"/>
          <w:szCs w:val="24"/>
        </w:rPr>
        <w:t>HDAC4</w:t>
      </w:r>
      <w:r w:rsidR="00C82A24" w:rsidRPr="00757919">
        <w:rPr>
          <w:rFonts w:ascii="Times New Roman" w:eastAsia="Arial" w:hAnsi="Times New Roman" w:cs="Times New Roman"/>
          <w:bCs/>
          <w:sz w:val="24"/>
          <w:szCs w:val="24"/>
        </w:rPr>
        <w:t>)</w:t>
      </w:r>
      <w:r w:rsidR="00D4458D" w:rsidRPr="00757919">
        <w:rPr>
          <w:rFonts w:ascii="Times New Roman" w:eastAsia="Arial" w:hAnsi="Times New Roman" w:cs="Times New Roman"/>
          <w:bCs/>
          <w:sz w:val="24"/>
          <w:szCs w:val="24"/>
        </w:rPr>
        <w:t xml:space="preserve"> and for rs12414657 </w:t>
      </w:r>
      <w:r w:rsidR="00C82A24" w:rsidRPr="00757919">
        <w:rPr>
          <w:rFonts w:ascii="Times New Roman" w:eastAsia="Arial" w:hAnsi="Times New Roman" w:cs="Times New Roman"/>
          <w:bCs/>
          <w:sz w:val="24"/>
          <w:szCs w:val="24"/>
        </w:rPr>
        <w:t>(</w:t>
      </w:r>
      <w:r w:rsidR="00D4458D" w:rsidRPr="00757919">
        <w:rPr>
          <w:rFonts w:ascii="Times New Roman" w:eastAsia="Arial" w:hAnsi="Times New Roman" w:cs="Times New Roman"/>
          <w:bCs/>
          <w:i/>
          <w:iCs/>
          <w:sz w:val="24"/>
          <w:szCs w:val="24"/>
        </w:rPr>
        <w:t>ADRB1</w:t>
      </w:r>
      <w:r w:rsidR="00C82A24" w:rsidRPr="00757919">
        <w:rPr>
          <w:rFonts w:ascii="Times New Roman" w:eastAsia="Arial" w:hAnsi="Times New Roman" w:cs="Times New Roman"/>
          <w:bCs/>
          <w:sz w:val="24"/>
          <w:szCs w:val="24"/>
        </w:rPr>
        <w:t>)</w:t>
      </w:r>
      <w:r w:rsidR="00D20C6C" w:rsidRPr="00757919">
        <w:rPr>
          <w:rFonts w:ascii="Times New Roman" w:eastAsia="Arial" w:hAnsi="Times New Roman" w:cs="Times New Roman"/>
          <w:bCs/>
          <w:sz w:val="24"/>
          <w:szCs w:val="24"/>
        </w:rPr>
        <w:t xml:space="preserve"> </w:t>
      </w:r>
      <w:r w:rsidR="00B4126C" w:rsidRPr="00757919">
        <w:rPr>
          <w:rFonts w:ascii="Times New Roman" w:eastAsia="Arial" w:hAnsi="Times New Roman" w:cs="Times New Roman"/>
          <w:bCs/>
          <w:sz w:val="24"/>
          <w:szCs w:val="24"/>
        </w:rPr>
        <w:t>in</w:t>
      </w:r>
      <w:r w:rsidR="00D20C6C" w:rsidRPr="00757919">
        <w:rPr>
          <w:rFonts w:ascii="Times New Roman" w:eastAsia="Arial" w:hAnsi="Times New Roman" w:cs="Times New Roman"/>
          <w:bCs/>
          <w:sz w:val="24"/>
          <w:szCs w:val="24"/>
        </w:rPr>
        <w:t xml:space="preserve"> all </w:t>
      </w:r>
      <w:r w:rsidR="0036615C">
        <w:rPr>
          <w:rFonts w:ascii="Times New Roman" w:eastAsia="Arial" w:hAnsi="Times New Roman" w:cs="Times New Roman"/>
          <w:bCs/>
          <w:sz w:val="24"/>
          <w:szCs w:val="24"/>
        </w:rPr>
        <w:t>five</w:t>
      </w:r>
      <w:r w:rsidR="00D20C6C" w:rsidRPr="00757919">
        <w:rPr>
          <w:rFonts w:ascii="Times New Roman" w:eastAsia="Arial" w:hAnsi="Times New Roman" w:cs="Times New Roman"/>
          <w:bCs/>
          <w:sz w:val="24"/>
          <w:szCs w:val="24"/>
        </w:rPr>
        <w:t xml:space="preserve"> studies</w:t>
      </w:r>
      <w:r w:rsidR="00D4458D" w:rsidRPr="00757919">
        <w:rPr>
          <w:rFonts w:ascii="Times New Roman" w:eastAsia="Arial" w:hAnsi="Times New Roman" w:cs="Times New Roman"/>
          <w:bCs/>
          <w:sz w:val="24"/>
          <w:szCs w:val="24"/>
        </w:rPr>
        <w:t>,</w:t>
      </w:r>
      <w:r w:rsidR="00D20C6C" w:rsidRPr="00757919">
        <w:rPr>
          <w:rFonts w:ascii="Times New Roman" w:eastAsia="Arial" w:hAnsi="Times New Roman" w:cs="Times New Roman"/>
          <w:bCs/>
          <w:sz w:val="24"/>
          <w:szCs w:val="24"/>
        </w:rPr>
        <w:t xml:space="preserve"> with</w:t>
      </w:r>
      <w:r w:rsidR="0042720C">
        <w:rPr>
          <w:rFonts w:ascii="Times New Roman" w:eastAsia="Arial" w:hAnsi="Times New Roman" w:cs="Times New Roman"/>
          <w:bCs/>
          <w:sz w:val="24"/>
          <w:szCs w:val="24"/>
        </w:rPr>
        <w:t xml:space="preserve"> a</w:t>
      </w:r>
      <w:r w:rsidR="00D20C6C" w:rsidRPr="00757919">
        <w:rPr>
          <w:rFonts w:ascii="Times New Roman" w:eastAsia="Arial" w:hAnsi="Times New Roman" w:cs="Times New Roman"/>
          <w:bCs/>
          <w:sz w:val="24"/>
          <w:szCs w:val="24"/>
        </w:rPr>
        <w:t xml:space="preserve"> </w:t>
      </w:r>
      <w:r w:rsidR="0042720C" w:rsidRPr="00757919">
        <w:rPr>
          <w:rFonts w:ascii="Times New Roman" w:eastAsia="Arial" w:hAnsi="Times New Roman" w:cs="Times New Roman"/>
          <w:bCs/>
          <w:sz w:val="24"/>
          <w:szCs w:val="24"/>
        </w:rPr>
        <w:t>significan</w:t>
      </w:r>
      <w:r w:rsidR="0042720C">
        <w:rPr>
          <w:rFonts w:ascii="Times New Roman" w:eastAsia="Arial" w:hAnsi="Times New Roman" w:cs="Times New Roman"/>
          <w:bCs/>
          <w:sz w:val="24"/>
          <w:szCs w:val="24"/>
        </w:rPr>
        <w:t>t interaction</w:t>
      </w:r>
      <w:r w:rsidR="00D20C6C" w:rsidRPr="00757919">
        <w:rPr>
          <w:rFonts w:ascii="Times New Roman" w:eastAsia="Arial" w:hAnsi="Times New Roman" w:cs="Times New Roman"/>
          <w:bCs/>
          <w:sz w:val="24"/>
          <w:szCs w:val="24"/>
        </w:rPr>
        <w:t xml:space="preserve"> in the fixed</w:t>
      </w:r>
      <w:r w:rsidR="00757919" w:rsidRPr="00757919">
        <w:rPr>
          <w:rFonts w:ascii="Times New Roman" w:eastAsia="Arial" w:hAnsi="Times New Roman" w:cs="Times New Roman"/>
          <w:bCs/>
          <w:sz w:val="24"/>
          <w:szCs w:val="24"/>
        </w:rPr>
        <w:t>-</w:t>
      </w:r>
      <w:r w:rsidR="00B4126C" w:rsidRPr="00757919">
        <w:rPr>
          <w:rFonts w:ascii="Times New Roman" w:eastAsia="Arial" w:hAnsi="Times New Roman" w:cs="Times New Roman"/>
          <w:bCs/>
          <w:sz w:val="24"/>
          <w:szCs w:val="24"/>
        </w:rPr>
        <w:t xml:space="preserve">effect </w:t>
      </w:r>
      <w:r w:rsidR="00D20C6C" w:rsidRPr="00757919">
        <w:rPr>
          <w:rFonts w:ascii="Times New Roman" w:eastAsia="Arial" w:hAnsi="Times New Roman" w:cs="Times New Roman"/>
          <w:bCs/>
          <w:sz w:val="24"/>
          <w:szCs w:val="24"/>
        </w:rPr>
        <w:t xml:space="preserve">model </w:t>
      </w:r>
      <w:r w:rsidR="00D4458D" w:rsidRPr="00757919">
        <w:rPr>
          <w:rFonts w:ascii="Times New Roman" w:eastAsia="Arial" w:hAnsi="Times New Roman" w:cs="Times New Roman"/>
          <w:bCs/>
          <w:sz w:val="24"/>
          <w:szCs w:val="24"/>
        </w:rPr>
        <w:t xml:space="preserve">for both SNPs (Fixed effect model for rs11124190:  </w:t>
      </w:r>
      <w:r w:rsidR="0042720C">
        <w:rPr>
          <w:rFonts w:ascii="Times New Roman" w:eastAsia="Arial" w:hAnsi="Times New Roman" w:cs="Times New Roman"/>
          <w:bCs/>
          <w:sz w:val="24"/>
          <w:szCs w:val="24"/>
        </w:rPr>
        <w:t>Estimate</w:t>
      </w:r>
      <w:r w:rsidR="00D4458D" w:rsidRPr="00757919">
        <w:rPr>
          <w:rFonts w:ascii="Times New Roman" w:eastAsia="Arial" w:hAnsi="Times New Roman" w:cs="Times New Roman"/>
          <w:bCs/>
          <w:sz w:val="24"/>
          <w:szCs w:val="24"/>
        </w:rPr>
        <w:t xml:space="preserve"> = 0.</w:t>
      </w:r>
      <w:r w:rsidR="00E6238C" w:rsidRPr="00757919">
        <w:rPr>
          <w:rFonts w:ascii="Times New Roman" w:eastAsia="Arial" w:hAnsi="Times New Roman" w:cs="Times New Roman"/>
          <w:bCs/>
          <w:sz w:val="24"/>
          <w:szCs w:val="24"/>
        </w:rPr>
        <w:t>0166</w:t>
      </w:r>
      <w:r w:rsidR="00D4458D" w:rsidRPr="00757919">
        <w:rPr>
          <w:rFonts w:ascii="Times New Roman" w:eastAsia="Arial" w:hAnsi="Times New Roman" w:cs="Times New Roman"/>
          <w:bCs/>
          <w:sz w:val="24"/>
          <w:szCs w:val="24"/>
        </w:rPr>
        <w:t>, CI = [0.</w:t>
      </w:r>
      <w:r w:rsidR="00E6238C" w:rsidRPr="00757919">
        <w:rPr>
          <w:rFonts w:ascii="Times New Roman" w:eastAsia="Arial" w:hAnsi="Times New Roman" w:cs="Times New Roman"/>
          <w:bCs/>
          <w:sz w:val="24"/>
          <w:szCs w:val="24"/>
        </w:rPr>
        <w:t>0035</w:t>
      </w:r>
      <w:r w:rsidR="00D4458D" w:rsidRPr="00757919">
        <w:rPr>
          <w:rFonts w:ascii="Times New Roman" w:eastAsia="Arial" w:hAnsi="Times New Roman" w:cs="Times New Roman"/>
          <w:bCs/>
          <w:sz w:val="24"/>
          <w:szCs w:val="24"/>
        </w:rPr>
        <w:t>, 0.</w:t>
      </w:r>
      <w:r w:rsidR="00E6238C" w:rsidRPr="00757919">
        <w:rPr>
          <w:rFonts w:ascii="Times New Roman" w:eastAsia="Arial" w:hAnsi="Times New Roman" w:cs="Times New Roman"/>
          <w:bCs/>
          <w:sz w:val="24"/>
          <w:szCs w:val="24"/>
        </w:rPr>
        <w:t>0296</w:t>
      </w:r>
      <w:r w:rsidR="00D4458D" w:rsidRPr="00757919">
        <w:rPr>
          <w:rFonts w:ascii="Times New Roman" w:eastAsia="Arial" w:hAnsi="Times New Roman" w:cs="Times New Roman"/>
          <w:bCs/>
          <w:sz w:val="24"/>
          <w:szCs w:val="24"/>
        </w:rPr>
        <w:t>], p = 0.</w:t>
      </w:r>
      <w:r w:rsidR="00E6238C" w:rsidRPr="00757919">
        <w:rPr>
          <w:rFonts w:ascii="Times New Roman" w:eastAsia="Arial" w:hAnsi="Times New Roman" w:cs="Times New Roman"/>
          <w:bCs/>
          <w:sz w:val="24"/>
          <w:szCs w:val="24"/>
        </w:rPr>
        <w:t>0128</w:t>
      </w:r>
      <w:r w:rsidR="00D4458D" w:rsidRPr="00757919">
        <w:rPr>
          <w:rFonts w:ascii="Times New Roman" w:eastAsia="Arial" w:hAnsi="Times New Roman" w:cs="Times New Roman"/>
          <w:bCs/>
          <w:sz w:val="24"/>
          <w:szCs w:val="24"/>
        </w:rPr>
        <w:t xml:space="preserve">; Fixed effect model for rs12414657: </w:t>
      </w:r>
      <w:r w:rsidR="0042720C">
        <w:rPr>
          <w:rFonts w:ascii="Times New Roman" w:eastAsia="Arial" w:hAnsi="Times New Roman" w:cs="Times New Roman"/>
          <w:bCs/>
          <w:sz w:val="24"/>
          <w:szCs w:val="24"/>
        </w:rPr>
        <w:t>Estimate</w:t>
      </w:r>
      <w:r w:rsidR="00D4458D" w:rsidRPr="00757919">
        <w:rPr>
          <w:rFonts w:ascii="Times New Roman" w:eastAsia="Arial" w:hAnsi="Times New Roman" w:cs="Times New Roman"/>
          <w:bCs/>
          <w:sz w:val="24"/>
          <w:szCs w:val="24"/>
        </w:rPr>
        <w:t xml:space="preserve"> = 0.016</w:t>
      </w:r>
      <w:r w:rsidR="00E6238C" w:rsidRPr="00757919">
        <w:rPr>
          <w:rFonts w:ascii="Times New Roman" w:eastAsia="Arial" w:hAnsi="Times New Roman" w:cs="Times New Roman"/>
          <w:bCs/>
          <w:sz w:val="24"/>
          <w:szCs w:val="24"/>
        </w:rPr>
        <w:t>8</w:t>
      </w:r>
      <w:r w:rsidR="00D4458D" w:rsidRPr="00757919">
        <w:rPr>
          <w:rFonts w:ascii="Times New Roman" w:eastAsia="Arial" w:hAnsi="Times New Roman" w:cs="Times New Roman"/>
          <w:bCs/>
          <w:sz w:val="24"/>
          <w:szCs w:val="24"/>
        </w:rPr>
        <w:t>, CI = [0.00</w:t>
      </w:r>
      <w:r w:rsidR="00E6238C" w:rsidRPr="00757919">
        <w:rPr>
          <w:rFonts w:ascii="Times New Roman" w:eastAsia="Arial" w:hAnsi="Times New Roman" w:cs="Times New Roman"/>
          <w:bCs/>
          <w:sz w:val="24"/>
          <w:szCs w:val="24"/>
        </w:rPr>
        <w:t>15</w:t>
      </w:r>
      <w:r w:rsidR="00D4458D" w:rsidRPr="00757919">
        <w:rPr>
          <w:rFonts w:ascii="Times New Roman" w:eastAsia="Arial" w:hAnsi="Times New Roman" w:cs="Times New Roman"/>
          <w:bCs/>
          <w:sz w:val="24"/>
          <w:szCs w:val="24"/>
        </w:rPr>
        <w:t>, 0.</w:t>
      </w:r>
      <w:r w:rsidR="00E6238C" w:rsidRPr="00757919">
        <w:rPr>
          <w:rFonts w:ascii="Times New Roman" w:eastAsia="Arial" w:hAnsi="Times New Roman" w:cs="Times New Roman"/>
          <w:bCs/>
          <w:sz w:val="24"/>
          <w:szCs w:val="24"/>
        </w:rPr>
        <w:t>0320</w:t>
      </w:r>
      <w:r w:rsidR="00D4458D" w:rsidRPr="00757919">
        <w:rPr>
          <w:rFonts w:ascii="Times New Roman" w:eastAsia="Arial" w:hAnsi="Times New Roman" w:cs="Times New Roman"/>
          <w:bCs/>
          <w:sz w:val="24"/>
          <w:szCs w:val="24"/>
        </w:rPr>
        <w:t>], p = 0.</w:t>
      </w:r>
      <w:r w:rsidR="00E6238C" w:rsidRPr="00757919">
        <w:rPr>
          <w:rFonts w:ascii="Times New Roman" w:eastAsia="Arial" w:hAnsi="Times New Roman" w:cs="Times New Roman"/>
          <w:bCs/>
          <w:sz w:val="24"/>
          <w:szCs w:val="24"/>
        </w:rPr>
        <w:t>0314</w:t>
      </w:r>
      <w:r w:rsidR="00D4458D" w:rsidRPr="00757919">
        <w:rPr>
          <w:rFonts w:ascii="Times New Roman" w:eastAsia="Arial" w:hAnsi="Times New Roman" w:cs="Times New Roman"/>
          <w:bCs/>
          <w:sz w:val="24"/>
          <w:szCs w:val="24"/>
        </w:rPr>
        <w:t xml:space="preserve">) </w:t>
      </w:r>
      <w:r w:rsidR="00D20C6C" w:rsidRPr="00757919">
        <w:rPr>
          <w:rFonts w:ascii="Times New Roman" w:eastAsia="Arial" w:hAnsi="Times New Roman" w:cs="Times New Roman"/>
          <w:bCs/>
          <w:sz w:val="24"/>
          <w:szCs w:val="24"/>
        </w:rPr>
        <w:t xml:space="preserve">(Figure </w:t>
      </w:r>
      <w:r w:rsidR="00D4458D" w:rsidRPr="00757919">
        <w:rPr>
          <w:rFonts w:ascii="Times New Roman" w:eastAsia="Arial" w:hAnsi="Times New Roman" w:cs="Times New Roman"/>
          <w:bCs/>
          <w:sz w:val="24"/>
          <w:szCs w:val="24"/>
        </w:rPr>
        <w:t>2,</w:t>
      </w:r>
      <w:r w:rsidR="000F7FFA" w:rsidRPr="00757919">
        <w:rPr>
          <w:rFonts w:ascii="Times New Roman" w:eastAsia="Arial" w:hAnsi="Times New Roman" w:cs="Times New Roman"/>
          <w:bCs/>
          <w:sz w:val="24"/>
          <w:szCs w:val="24"/>
        </w:rPr>
        <w:t xml:space="preserve"> </w:t>
      </w:r>
      <w:r w:rsidR="00633FEB" w:rsidRPr="00757919">
        <w:rPr>
          <w:rFonts w:ascii="Times New Roman" w:eastAsia="Arial" w:hAnsi="Times New Roman" w:cs="Times New Roman"/>
          <w:bCs/>
          <w:sz w:val="24"/>
          <w:szCs w:val="24"/>
        </w:rPr>
        <w:t>3</w:t>
      </w:r>
      <w:r w:rsidR="00D20C6C" w:rsidRPr="00757919">
        <w:rPr>
          <w:rFonts w:ascii="Times New Roman" w:eastAsia="Arial" w:hAnsi="Times New Roman" w:cs="Times New Roman"/>
          <w:bCs/>
          <w:sz w:val="24"/>
          <w:szCs w:val="24"/>
        </w:rPr>
        <w:t>)</w:t>
      </w:r>
      <w:r w:rsidR="00374563" w:rsidRPr="00757919">
        <w:rPr>
          <w:rFonts w:ascii="Times New Roman" w:eastAsia="Arial" w:hAnsi="Times New Roman" w:cs="Times New Roman"/>
          <w:bCs/>
          <w:sz w:val="24"/>
          <w:szCs w:val="24"/>
        </w:rPr>
        <w:t xml:space="preserve">. </w:t>
      </w:r>
      <w:r w:rsidR="0042720C">
        <w:rPr>
          <w:rFonts w:ascii="Times New Roman" w:eastAsia="Arial" w:hAnsi="Times New Roman" w:cs="Times New Roman"/>
          <w:bCs/>
          <w:sz w:val="24"/>
          <w:szCs w:val="24"/>
        </w:rPr>
        <w:t>T</w:t>
      </w:r>
      <w:r w:rsidR="00374563" w:rsidRPr="00757919">
        <w:rPr>
          <w:rFonts w:ascii="Times New Roman" w:eastAsia="Arial" w:hAnsi="Times New Roman" w:cs="Times New Roman"/>
          <w:bCs/>
          <w:sz w:val="24"/>
          <w:szCs w:val="24"/>
        </w:rPr>
        <w:t>here was no evidence of</w:t>
      </w:r>
      <w:r w:rsidR="0042720C">
        <w:rPr>
          <w:rFonts w:ascii="Times New Roman" w:eastAsia="Arial" w:hAnsi="Times New Roman" w:cs="Times New Roman"/>
          <w:bCs/>
          <w:sz w:val="24"/>
          <w:szCs w:val="24"/>
        </w:rPr>
        <w:t xml:space="preserve"> significant</w:t>
      </w:r>
      <w:r w:rsidR="00374563" w:rsidRPr="00757919">
        <w:rPr>
          <w:rFonts w:ascii="Times New Roman" w:eastAsia="Arial" w:hAnsi="Times New Roman" w:cs="Times New Roman"/>
          <w:bCs/>
          <w:sz w:val="24"/>
          <w:szCs w:val="24"/>
        </w:rPr>
        <w:t xml:space="preserve"> heterogeneity at either locus across these studies</w:t>
      </w:r>
      <w:r w:rsidR="00757919" w:rsidRPr="00757919">
        <w:rPr>
          <w:rFonts w:ascii="Times New Roman" w:eastAsia="Arial" w:hAnsi="Times New Roman" w:cs="Times New Roman"/>
          <w:bCs/>
          <w:sz w:val="24"/>
          <w:szCs w:val="24"/>
        </w:rPr>
        <w:t>.</w:t>
      </w:r>
    </w:p>
    <w:p w14:paraId="33D981EE" w14:textId="4D885E78" w:rsidR="00246876" w:rsidRPr="00757919" w:rsidRDefault="00246876" w:rsidP="00864F3F">
      <w:pPr>
        <w:spacing w:line="480" w:lineRule="auto"/>
        <w:rPr>
          <w:rFonts w:ascii="Times New Roman" w:eastAsia="Arial" w:hAnsi="Times New Roman" w:cs="Times New Roman"/>
          <w:i/>
          <w:sz w:val="24"/>
          <w:szCs w:val="24"/>
        </w:rPr>
      </w:pPr>
      <w:r w:rsidRPr="00757919">
        <w:rPr>
          <w:rFonts w:ascii="Times New Roman" w:eastAsia="Arial" w:hAnsi="Times New Roman" w:cs="Times New Roman"/>
          <w:i/>
          <w:sz w:val="24"/>
          <w:szCs w:val="24"/>
        </w:rPr>
        <w:t>miRNAs associated with top SNPs</w:t>
      </w:r>
      <w:r w:rsidR="00512451" w:rsidRPr="00757919">
        <w:rPr>
          <w:rFonts w:ascii="Times New Roman" w:eastAsia="Arial" w:hAnsi="Times New Roman" w:cs="Times New Roman"/>
          <w:i/>
          <w:sz w:val="24"/>
          <w:szCs w:val="24"/>
        </w:rPr>
        <w:t xml:space="preserve"> </w:t>
      </w:r>
    </w:p>
    <w:p w14:paraId="4F320333" w14:textId="44F21D05" w:rsidR="002E3D31" w:rsidRPr="00757919" w:rsidRDefault="002E3D31"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lastRenderedPageBreak/>
        <w:t xml:space="preserve">To determine potential </w:t>
      </w:r>
      <w:r w:rsidR="004C5EC8" w:rsidRPr="00757919">
        <w:rPr>
          <w:rFonts w:ascii="Times New Roman" w:eastAsia="Arial" w:hAnsi="Times New Roman" w:cs="Times New Roman"/>
          <w:sz w:val="24"/>
          <w:szCs w:val="24"/>
        </w:rPr>
        <w:t xml:space="preserve">miRNA-related </w:t>
      </w:r>
      <w:r w:rsidRPr="00757919">
        <w:rPr>
          <w:rFonts w:ascii="Times New Roman" w:eastAsia="Arial" w:hAnsi="Times New Roman" w:cs="Times New Roman"/>
          <w:sz w:val="24"/>
          <w:szCs w:val="24"/>
        </w:rPr>
        <w:t xml:space="preserve">mechanisms </w:t>
      </w:r>
      <w:r w:rsidR="004C5EC8" w:rsidRPr="00757919">
        <w:rPr>
          <w:rFonts w:ascii="Times New Roman" w:eastAsia="Arial" w:hAnsi="Times New Roman" w:cs="Times New Roman"/>
          <w:sz w:val="24"/>
          <w:szCs w:val="24"/>
        </w:rPr>
        <w:t>for</w:t>
      </w:r>
      <w:r w:rsidRPr="00757919">
        <w:rPr>
          <w:rFonts w:ascii="Times New Roman" w:eastAsia="Arial" w:hAnsi="Times New Roman" w:cs="Times New Roman"/>
          <w:sz w:val="24"/>
          <w:szCs w:val="24"/>
        </w:rPr>
        <w:t xml:space="preserve"> these SNPs, we determined </w:t>
      </w:r>
      <w:r w:rsidR="004C5EC8" w:rsidRPr="00757919">
        <w:rPr>
          <w:rFonts w:ascii="Times New Roman" w:eastAsia="Arial" w:hAnsi="Times New Roman" w:cs="Times New Roman"/>
          <w:sz w:val="24"/>
          <w:szCs w:val="24"/>
        </w:rPr>
        <w:t xml:space="preserve">significantly associated miRNA (p &lt; 0.05) with </w:t>
      </w:r>
      <w:r w:rsidRPr="00757919">
        <w:rPr>
          <w:rFonts w:ascii="Times New Roman" w:eastAsia="Arial" w:hAnsi="Times New Roman" w:cs="Times New Roman"/>
          <w:sz w:val="24"/>
          <w:szCs w:val="24"/>
        </w:rPr>
        <w:t xml:space="preserve">each of the </w:t>
      </w:r>
      <w:r w:rsidR="004C5EC8" w:rsidRPr="00757919">
        <w:rPr>
          <w:rFonts w:ascii="Times New Roman" w:eastAsia="Arial" w:hAnsi="Times New Roman" w:cs="Times New Roman"/>
          <w:sz w:val="24"/>
          <w:szCs w:val="24"/>
        </w:rPr>
        <w:t xml:space="preserve">top </w:t>
      </w:r>
      <w:r w:rsidRPr="00757919">
        <w:rPr>
          <w:rFonts w:ascii="Times New Roman" w:eastAsia="Arial" w:hAnsi="Times New Roman" w:cs="Times New Roman"/>
          <w:sz w:val="24"/>
          <w:szCs w:val="24"/>
        </w:rPr>
        <w:t>11 SNPs</w:t>
      </w:r>
      <w:r w:rsidR="004C5EC8"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 xml:space="preserve">We then determined if the </w:t>
      </w:r>
      <w:r w:rsidR="00407EA8" w:rsidRPr="00757919">
        <w:rPr>
          <w:rFonts w:ascii="Times New Roman" w:eastAsia="Arial" w:hAnsi="Times New Roman" w:cs="Times New Roman"/>
          <w:sz w:val="24"/>
          <w:szCs w:val="24"/>
        </w:rPr>
        <w:t xml:space="preserve">associated miRNAs </w:t>
      </w:r>
      <w:r w:rsidRPr="00757919">
        <w:rPr>
          <w:rFonts w:ascii="Times New Roman" w:eastAsia="Arial" w:hAnsi="Times New Roman" w:cs="Times New Roman"/>
          <w:sz w:val="24"/>
          <w:szCs w:val="24"/>
        </w:rPr>
        <w:t xml:space="preserve">had been previously associated with osteoporosis or </w:t>
      </w:r>
      <w:r w:rsidR="0042720C">
        <w:rPr>
          <w:rFonts w:ascii="Times New Roman" w:eastAsia="Arial" w:hAnsi="Times New Roman" w:cs="Times New Roman"/>
          <w:sz w:val="24"/>
          <w:szCs w:val="24"/>
        </w:rPr>
        <w:t>BMD</w:t>
      </w:r>
      <w:r w:rsidRPr="00757919">
        <w:rPr>
          <w:rFonts w:ascii="Times New Roman" w:eastAsia="Arial" w:hAnsi="Times New Roman" w:cs="Times New Roman"/>
          <w:sz w:val="24"/>
          <w:szCs w:val="24"/>
        </w:rPr>
        <w:t xml:space="preserve"> measures, which we term “bone-related miRNAs” (Table </w:t>
      </w:r>
      <w:r w:rsidR="006940CA" w:rsidRPr="00757919">
        <w:rPr>
          <w:rFonts w:ascii="Times New Roman" w:eastAsia="Arial" w:hAnsi="Times New Roman" w:cs="Times New Roman"/>
          <w:sz w:val="24"/>
          <w:szCs w:val="24"/>
        </w:rPr>
        <w:t>S</w:t>
      </w:r>
      <w:r w:rsidR="00B62652">
        <w:rPr>
          <w:rFonts w:ascii="Times New Roman" w:eastAsia="Arial" w:hAnsi="Times New Roman" w:cs="Times New Roman"/>
          <w:sz w:val="24"/>
          <w:szCs w:val="24"/>
        </w:rPr>
        <w:t>4</w:t>
      </w:r>
      <w:r w:rsidR="007309CD">
        <w:rPr>
          <w:rFonts w:ascii="Times New Roman" w:eastAsia="Arial" w:hAnsi="Times New Roman" w:cs="Times New Roman"/>
          <w:sz w:val="24"/>
          <w:szCs w:val="24"/>
          <w:vertAlign w:val="superscript"/>
        </w:rPr>
        <w:t>116</w:t>
      </w:r>
      <w:r w:rsidRPr="00757919">
        <w:rPr>
          <w:rFonts w:ascii="Times New Roman" w:eastAsia="Arial" w:hAnsi="Times New Roman" w:cs="Times New Roman"/>
          <w:sz w:val="24"/>
          <w:szCs w:val="24"/>
        </w:rPr>
        <w:t>)</w:t>
      </w:r>
      <w:r w:rsidR="00766BFF" w:rsidRPr="00757919">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{"citationID":"kffPdBK1","properties":{"formattedCitation":"\\super 36\\uc0\\u8211{}38,76\\uc0\\u8211{}93\\nosupersub{}","plainCitation":"36–38,76–93","noteIndex":0},"citationItems":[{"id":533,"uris":["http://zotero.org/users/3223062/items/D2L7MJ94"],"uri":["http://zotero.org/users/3223062/items/D2L7MJ94"],"itemData":{"id":533,"type":"article-journal","abstract":"In our study, we detect the levels of three micro-RNAs (miRNAs; miR-21, miR-133a and miR-146a) in the plasma of 120 Chinese postmenopausal women who were divided into three groups (normal, osteopenia and osteoporosis) according to the T-scores. Downregulation of miR-21, as well as upregulation of miR-133a, was validated in the plasma of osteoporosis and osteopenia patients versus the normal group. The difference in expression regarding the miR-146a level in plasma among the three groups was not significant (p &gt; 0.01). The circulating miRNA expression levels and bone mineral density (BMD) were examined during a multiple correlation analysis as a dependent variable after adjusting for age, weight and height. We have demonstrated that specific miRNAs species are significantly changed in the plasma of osteoporosis and osteopenia patients and correlated with the BMD. Our study suggested a potential use of miR-21 and miR-133a as sensitive and plasma biomarkers for postmenopausal osteoporosis.","container-title":"Biomarkers","DOI":"10.3109/1354750X.2014.935957","ISSN":"1354-750X","issue":"7","note":"PMID: 25231354","page":"553-556","source":"Taylor and Francis+NEJM","title":"Plasma miRNA levels correlate with sensitivity to bone mineral density in postmenopausal osteoporosis patients","volume":"19","author":[{"family":"Li","given":"Hongqiu"},{"family":"Wang","given":"Zhe"},{"family":"Fu","given":"Qin"},{"family":"Zhang","given":"Jing"}],"issued":{"date-parts":[["2014",11,1]]}}},{"id":534,"uris":["http://zotero.org/users/3223062/items/65F9TGPV"],"uri":["http://zotero.org/users/3223062/items/65F9TGPV"],"itemData":{"id":534,"type":"article-journal","abstract":"Osteoporosis is a common skeletal disorder characterized by increased risk of bone fracture (BF) due to fragility. BFs, particularly hip fracture, are a major concern in health care because of the associated morbidity and mortality, mainly in the elderly. Lately the involvement of epigenetic mechanisms in the pathophysiology of many diseases has been recognized. In this context, the identification of microRNAs (miRNAs) specific to BF should represent a substantial step forward in diagnostics and therapeutics. The present study aimed to identify specific miRNAs in osteoporotic BF patients compared to those in osteoarthritic controls. In the profiling stage, total RNA was extracted from serum, two pools were prepared, and then retro-transcribed in triplicate. Levels of 179 serum miRNAs were analyzed by real-time PCR, and 42 of them showed significance (P &lt; 0.05), and 12 passed the false discovery rate test for multiple comparisons. Six miRNAs were selected for the replication stage and individually analyzed in sera from 15 BF patients and 12 controls. Results showed that 3 miRNAs (miR-122-5p, miR-125b-5p, and miR-21-5p) were valuable upregulated biomarkers in BF with respect to controls and, significantly, their levels were not affected by hemolysis. For miR-21-5p, the difference detected between groups was independent of age (P = 0.005) and its levels correlated to those of CTx (r = 0.76; P &lt; 0.00001), a marker of bone resorption. In conclusion, several miRNAs may be biomarkers of BF, particularly miR-21-5p. Further studies are needed in order to better characterize the levels of these miRNAs in other bone diseases and to elucidate the mechanism involved in the association of these three miRNAs with osteoporotic BF.","container-title":"Calcified Tissue International","DOI":"10.1007/s00223-015-0036-z","ISSN":"1432-0827","issue":"5","journalAbbreviation":"Calcif Tissue Int","language":"en","page":"495-505","source":"Springer Link","title":"Serum Circulating MicroRNAs as Biomarkers of Osteoporotic Fracture","volume":"97","author":[{"family":"Panach","given":"Layla"},{"family":"Mifsut","given":"Damián"},{"family":"Tarín","given":"Juan J."},{"family":"Cano","given":"Antonio"},{"family":"García-Pérez","given":"Miguel Ángel"}],"issued":{"date-parts":[["2015",11,1]]}}},{"id":543,"uris":["http://zotero.org/users/3223062/items/ICCLAB36"],"uri":["http://zotero.org/users/3223062/items/ICCLAB36"],"itemData":{"id":543,"type":"article-journal","abstract":"Osteoporosis as a systemic skeletal disorder is characterized by increased bone fragility and the risk of fractures. According to the World Health Organization, osteoporosis is one of the 10 most common diseases and affects approximately 75 million people in Europe, the United States, and Japan. In this context, the identification of specific microRNA (miRNA) signatures is an important step for new diagnostic and therapeutic approaches. The focus of interest on miRNAs as biomarkers came with new publications identifying free circulating extracellular miRNAs associated with various types of cancer. This study aimed to identify specific miRNAs in patients with osteoporotic fractures compared with nonosteoporotic fractures. For the array analysis, miRNAs were isolated from the serum of 20 patients with hip fractures, transcribed, and the samples were pooled into 10 osteoporotic and 10 nonosteoporotic specimens. With each pool of samples, human serum and plasma miRNA PCR arrays were performed, which are able to identify 83 different miRNAs. Subsequently, a separate validation analysis of each miRNA found to be regulated in the array followed with miRNA samples isolated from the serum of 30 osteoporotic and 30 nonosteoporotic patients and miRNA samples isolated from the bone tissue of 20 osteoporotic and 20 nonosteoporotic patients. With the validation analysis of the regulated miRNAs, we identified 9 miRNAs, namely miR-21, miR-23a, miR-24, miR-93, miR-100, miR-122a, miR-124a, miR-125b, and miR-148a, that were significantly upregulated in the serum of patients with osteoporosis. In the bone tissue of osteoporotic patients, we identified that miR-21, miR-23a, miR-24, miR-25, miR-100, and miR-125b displayed a significantly higher expression. A total of 5 miRNAs display an upregulation both in serum and bone tissue. This study reveals an important role for several miRNAs in osteoporotic patients and suggested that they may be used as biomarkers for diagnostic purposes and may be a target for treating bone loss and optimizing fracture healing in osteoporotic patients. © 2014 American Society for Bone and Mineral Research.","container-title":"Journal of Bone and Mineral Research","DOI":"10.1002/jbmr.2175","ISSN":"1523-4681","issue":"8","language":"en","page":"1718-1728","source":"Wiley Online Library","title":"Five Freely Circulating miRNAs and Bone Tissue miRNAs Are Associated With Osteoporotic Fractures","volume":"29","author":[{"family":"Seeliger","given":"Claudine"},{"family":"Karpinski","given":"Katrin"},{"family":"Haug","given":"Alexander T."},{"family":"Vester","given":"Helen"},{"family":"Schmitt","given":"Andreas"},{"family":"Bauer","given":"Jan S."},{"family":"Griensven","given":"Martijn","dropping-particle":"van"}],"issued":{"date-parts":[["2014",8,1]]}}},{"id":371,"uris":["http://zotero.org/users/3223062/items/7JF8DDTP"],"uri":["http://zotero.org/users/3223062/items/7JF8DDTP"],"itemData":{"id":371,"type":"article-journal","abstract":"Osteogenesis is a complex process which relies on the coordination of signals and transcription factors. BMP-2/Smad5 signal transduction pathway plays an important role in the process. Recent evidence indicates that microRNAs (miRNAs) act as important post-transcriptional regulators in a large number of biological processes including osteoblast differentiation. In this study, we investigated the effect of miR-106b-5p and miR-17-5p on osteogenic differentiation. We observed an obvious decreasement in miR-106b-5p and miR-17-5p levels during osteogenic differentiation. By using gain- and loss-of function experiments, we noticed that miR-106b-5p and miR-17-5p could suppress the osteogenic differentiation of C2C12 and MC3T3-E1 cells. In addition, we performed bioinformatic analysis, western blot and luciferase reporter assay to confirm that miR-106b-5p and miR-17-5p could regulate Smad5 expression negatively. When we inhibited Smad5 expression by siRNA, the effects of miR-106b-5p and miR-17-5p inhibition on osteogenesis of C2C12 cells could be significantly reversed by Smad5 RNA interference. Furthermore, silencing of miR-106b-5p and miR-17-5p in sham and ovariectomized (OVX) mice increased bone formation and bone mass, resulting in an improvement of trabecular microarchitecture. Taken together, these data showed that miR-106b-5p and miR-17-5p are novel Smad5 regulators, and they have a crucially physiological function in bone formation and osteoblast differentiation.","container-title":"Experimental Cell Research","DOI":"10.1016/j.yexcr.2016.07.010","ISSN":"0014-4827","issue":"1","journalAbbreviation":"Experimental Cell Research","language":"en","page":"74-82","source":"ScienceDirect","title":"miR-106b-5p and miR-17-5p suppress osteogenic differentiation by targeting Smad5 and inhibit bone formation","volume":"347","author":[{"family":"Fang","given":"Tao"},{"family":"Wu","given":"Qianqian"},{"family":"Zhou","given":"Long"},{"family":"Mu","given":"Shuai"},{"family":"Fu","given":"Qin"}],"issued":{"date-parts":[["2016",9,10]]}}},{"id":458,"uris":["http://zotero.org/users/3223062/items/NASU7ZLZ"],"uri":["http://zotero.org/users/3223062/items/NASU7ZLZ"],"itemData":{"id":458,"type":"article-journal","abstract":"Context:.  Established bone turnover markers do not reflect fracture risk in idiopathic male and premenopausal osteoporosis and the role of microRNAs (miRNAs) i","container-title":"The Journal of Clinical Endocrinology &amp; Metabolism","DOI":"10.1210/jc.2016-2365","ISSN":"0021-972X","issue":"11","journalAbbreviation":"None","language":"en","page":"4125-4134","source":"academic.oup.com","title":"Circulating microRNA Signatures in Patients With Idiopathic and Postmenopausal Osteoporosis and Fragility Fractures","volume":"101","author":[{"family":"Kocijan","given":"Roland"},{"family":"Muschitz","given":"Christian"},{"family":"Geiger","given":"Elisabeth"},{"family":"Skalicky","given":"Susanna"},{"family":"Baierl","given":"Andreas"},{"family":"Dormann","given":"Rainer"},{"family":"Plachel","given":"Fabian"},{"family":"Feichtinger","given":"Xaver"},{"family":"Heimel","given":"Patrick"},{"family":"Fahrleitner-Pammer","given":"Astrid"},{"family":"Grillari","given":"Johannes"},{"family":"Redl","given":"Heinz"},{"family":"Resch","given":"Heinrich"},{"family":"Hackl","given":"Matthias"}],"issued":{"date-parts":[["2016",11]]}}},{"id":451,"uris":["http://zotero.org/users/3223062/items/DB5HRQS9"],"uri":["http://zotero.org/users/3223062/items/DB5HRQS9"],"itemData":{"id":451,"type":"webpage","title":"osteomiRs - novel biomarkers for bone quality - TAmiRNA - stability for life","URL":"http://www.tamirna.com/products/osteomirtm.html?tx_sbtab_pi1%5Btab%5D=54#sbtab","accessed":{"date-parts":[["2019",8,20]]}}},{"id":507,"uris":["http://zotero.org/users/3223062/items/HJ2YV8YH"],"uri":["http://zotero.org/users/3223062/items/HJ2YV8YH"],"itemData":{"id":507,"type":"webpage","abstract":"Human amniotic membrane-derived mesenchymal stem cells (hAM-MSCs) are a potential source of cells for therapeutic applications in bone regeneration. Recent evidence reveals a role for microRNAs (miRNAs) in the fine-tuning regulation of osteogenesis (osteomiRs) suggesting that they can be potential targets for skeleton diseases treatment. However, the functions of osteomiRs during differentiation of hAM-MSCs to osteogenic lineage are poorly understood. In this investigation, we discovered a novel miRNAs expression signature corresponding to the matrix maturation (preosteoblast) and mineralization (mature osteoblast) stages of dexamethasone-induced osteoblastic differentiation of hAM-MSCs. Comprehensive miRNAs profiling using TaqMan Low Density Arrays showed that 18 miRNAs were significantly downregulated, whereas 3 were upregulated in the matrix maturation stage (7 days after osteogenic induction) in comparison to undifferentiated cells used as control. Likewise, 47 miRNAs were suppressed and 25 were overexpressed at mineralization stage (14 days after osteogenic induction) in comparison to osteoprogenitors cells. Five out 93 miRNAs (miR-19b-3p, miR-335-3p, miR-197-3p, miR-34b-39, and miR-576-3p) were regulated at both 7 and 14 days suggesting a role in coordinated guidance of osteoblastic differentiation. Exhaustive bioinformatic predictions showed that the set of modulated miRNAs may target multiple genes involved in regulatory networks driving osteogenesis including key members of BMP, TGF-β, and WNT/β-catenin signaling pathways. Of these miRNAs, we selected miR-204, a noncoding small RNA that was expressed at matrix maturation phase and downregulated at maturation stage, for further functional studies. Interestingly, gain-of-function analysis showed that restoration of miR-204 using RNA mimics at the onset of mineralization stage dramatically inhibited deposition of calcium and osteogenic maturation of hAM-MSCs. Moreover in silico analysis detected a conserved miR-204 binding site at the 3′UTR of TGF-βR2 receptor gene. Using luciferase assays we confirmed that TGF-βR2 is a downstream effector of miR-204. In conclusion, we have identified a miRNAs signature for osteoblast differentiation of hAM-MSCs. The results from this study suggested that these miRNAs may act as potential inhibitors or activators of osteogenesis. Our findings also points towards the idea that miR-204/TGF-βR2 axis has a regulatory role in differentiation of hAM-MSCs committed to osteoblastic lineage.","container-title":"BioMed Research International","genre":"Research article","language":"en","note":"DOI: 10.1155/2019/8987268","title":"A Novel OsteomiRs Expression Signature for Osteoblast Differentiation of Human Amniotic Membrane-Derived Mesenchymal Stem Cells","URL":"https://www.hindawi.com/journals/bmri/2019/8987268/","author":[{"family":"Avendaño-Félix","given":"Mariana"},{"family":"Fuentes-Mera","given":"Lizeth"},{"family":"Ramos-Payan","given":"Rosalío"},{"family":"Aguilar-Medina","given":"Maribel"},{"family":"Pérez-Silos","given":"Vanessa"},{"family":"Moncada-Saucedo","given":"Nidia"},{"family":"Marchat","given":"Laurence A."},{"family":"González-Barrios","given":"Juan Antonio"},{"family":"Ruiz-García","given":"Erika"},{"family":"Astudillo-de la Vega","given":"Horacio"},{"family":"Cruz-Colin","given":"José L."},{"family":"López-Camarillo","given":"César"}],"accessed":{"date-parts":[["2019",7,17]]},"issued":{"date-parts":[["2019"]]}}},{"id":377,"uris":["http://zotero.org/users/3223062/items/UNQYEIVH"],"uri":["http://zotero.org/users/3223062/items/UNQYEIVH"],"itemData":{"id":377,"type":"article-journal","abstract":"The small non‐coding microRNAs (miRNAs) are post‐transcription regulators that modulate diverse cellular process in bone cells. Because optimal miRNA targeting is essential for their function, single‐nucleotide polymorphisms (SNPs) within or proximal to the loci of miRNA (miR‐SNPs) or mRNA (PolymiRTS) could potentially disrupt the miRNA‐mRNA interaction, leading to changes in bone metabolism and osteoporosis. Recent human studies of skeletal traits using miRNA profiling, genomewide association studies, and functional studies started to decipher the complex miRNA regulatory network. These studies have indicated that miRNAs may be a promising bone marker. This review focuses on human miRNA studies on bone traits and discusses how genetic variants affect bone metabolic pathways. Major ex vivo investigations using human samples supported with animal and in vitro models have shed light on the mechanistic role of miRNAs. Furthermore, studying the miRNAs’ signatures in secondary osteoporosis and osteoporotic medications such as teriparatide (TPTD) and denosumab (DMab) have provided valuable insight into clinical management of the disease. © 2018 The Authors. JBMR Plus Published by Wiley Periodicals, Inc. on behalf of the American Society for Bone and Mineral Research","container-title":"JBMR Plus","DOI":"10.1002/jbm4.10115","ISSN":"2473-4039","issue":"1","journalAbbreviation":"JBMR Plus","note":"PMID: 30680358\nPMCID: PMC6339549","page":"2-13","source":"PubMed Central","title":"MicroRNA and Human Bone Health","volume":"3","author":[{"family":"Cheng","given":"Vincent Ka‐Fai"},{"family":"Au","given":"Philip Chun‐Ming"},{"family":"Tan","given":"Kathryn CB"},{"family":"Cheung","given":"Ching‐Lung"}],"issued":{"date-parts":[["2018",11,5]]}}},{"id":382,"uris":["http://zotero.org/users/3223062/items/6WQGYW3V"],"uri":["http://zotero.org/users/3223062/items/6WQGYW3V"],"itemData":{"id":382,"type":"article-journal","abstract":"The assessment of bone quality and the prediction of fracture risk in idiopathic osteoporosis (IOP) are complex prospects as bone mineral density (BMD) and bone turnover markers (BTM) do not indicate fracture-risk. MicroRNAs (miRNAs) are promising new biomarkers for bone diseases, but the current understanding of the biological information contained in the variability of miRNAs is limited. Here, we investigated the association between serum-levels of 19 miRNA biomarkers of idiopathic osteoporosis to bone microstructure and bone histomorphometry based upon bone biopsies and µCT (9.3 μm) scans from 36 patients. Four miRNAs were found to be correlated to bone microarchitecture and seven miRNAs to dynamic histomorphometry (p &lt; 0.05). Three miRNAs, namely, miR-29b-3p, miR-324-3p, and miR-550a-3p showed significant correlations to histomorphometric parameters of bone formation as well as microstructure parameters. miR-29b-3p and miR-324-p were found to be reduced in patients undergoing anti-resorptive therapy. This is the first study to report that serum levels of bone-related miRNAs might be surrogates of dynamic histomorphometry and potentially reveal changes in bone microstructure. Although these findings enhance the potential value of circulating miRNAs as bone biomarkers, further experimental studies are required to qualify the clinical utility of miRNAs to reflect dynamic changes in bone formation and microstructure.","container-title":"Scientific Reports","DOI":"10.1038/s41598-018-22844-2","ISSN":"2045-2322","issue":"1","language":"en","note":"number: 1\npublisher: Nature Publishing Group","page":"4867","source":"www.nature.com","title":"Bone-related Circulating MicroRNAs miR-29b-3p, miR-550a-3p, and miR-324-3p and their Association to Bone Microstructure and Histomorphometry","volume":"8","author":[{"family":"Feichtinger","given":"Xaver"},{"family":"Muschitz","given":"Christian"},{"family":"Heimel","given":"Patrick"},{"family":"Baierl","given":"Andreas"},{"family":"Fahrleitner-Pammer","given":"Astrid"},{"family":"Redl","given":"Heinz"},{"family":"Resch","given":"Heinrich"},{"family":"Geiger","given":"Elisabeth"},{"family":"Skalicky","given":"Susanna"},{"family":"Dormann","given":"Rainer"},{"family":"Plachel","given":"Fabian"},{"family":"Pietschmann","given":"Peter"},{"family":"Grillari","given":"Johannes"},{"family":"Hackl","given":"Matthias"},{"family":"Kocijan","given":"Roland"}],"issued":{"date-parts":[["2018",3,20]]}}},{"id":378,"uris":["http://zotero.org/users/3223062/items/EBHWGF5A"],"uri":["http://zotero.org/users/3223062/items/EBHWGF5A"],"itemData":{"id":378,"type":"article-journal","abstract":"Standard DXA measurements, including Fracture Risk Assessment Tool (FRAX) scores, have shown limitations in assessing fracture risk in Type 2 Diabetes (T2D), underscoring the need for novel biomarkers and suggesting that other pathomechanisms may drive diabetic bone fragility. MicroRNAs (miRNAs) are secreted into the circulation from cells of various tissues proportional to local disease severity and were recently found to be crucial to bone homeostasis and T2D. Here, we studied, if and which circulating miRNAs or combinations of miRNAs can discriminate best fracture status in a well-characterized study of diabetic bone disease and postmenopausal osteoporosis (n = 80 postmenopausal women). We then tested the most discriminative and most frequent miRNAs in vitro. Using miRNA-qPCR-arrays, we showed that 48 miRNAs can differentiate fracture status in T2D women and that several combinations of four miRNAs can discriminate diabetes-related fractures with high specificity and sensitivity (area under the receiver-operating characteristic curve values [AUCs], 0.92 to 0.96; 95% CI, 0.88 to 0.98). For the osteoporotic study arm, 23 miRNAs were fracture-indicative and potential combinations of four miRNAs showed AUCs from 0.97 to 1.00 (95% CI, 0.93 to 1.00). Because a role in bone homeostasis for those miRNAs that were most discriminative and most present among all miRNA combinations had not been described, we performed in vitro functional studies in human adipose tissue–derived mesenchymal stem cells to investigate the effect of miR-550a-5p, miR-188-3p, and miR-382-3p on osteogenesis, adipogenesis, and cell proliferation. We found that miR-382-3p significantly enhanced osteogenic differentiation (p &lt; 0.001), whereas miR-550a-5p inhibited this process (p &lt; 0.001). Both miRNAs, miR-382-3p and miR-550a-5p, impaired adipogenic differentiation, whereas miR-188-3p did not exert an effect on adipogenesis. None of the miRNAs affected significantly cell proliferation. Our data suggest for the first time that miRNAs are linked to fragility fractures in T2D postmenopausal women and should be further investigated for their diagnostic potential and their detailed function in diabetic bone. © 2016 American Society for Bone and Mineral Research.","container-title":"Journal of Bone and Mineral Research","DOI":"10.1002/jbmr.2897","ISSN":"1523-4681","issue":"12","language":"en","note":"_eprint: https://asbmr.onlinelibrary.wiley.com/doi/pdf/10.1002/jbmr.2897","page":"2173-2192","source":"Wiley Online Library","title":"Serum miRNA Signatures Are Indicative of Skeletal Fractures in Postmenopausal Women With and Without Type 2 Diabetes and Influence Osteogenic and Adipogenic Differentiation of Adipose Tissue–Derived Mesenchymal Stem Cells In Vitro","volume":"31","author":[{"family":"Heilmeier","given":"Ursula"},{"family":"Hackl","given":"Matthias"},{"family":"Skalicky","given":"Susanna"},{"family":"Weilner","given":"Sylvia"},{"family":"Schroeder","given":"Fabian"},{"family":"Vierlinger","given":"Klemens"},{"family":"Patsch","given":"Janina M."},{"family":"Baum","given":"Thomas"},{"family":"Oberbauer","given":"Eleni"},{"family":"Lobach","given":"Iryna"},{"family":"Burghardt","given":"Andrew J."},{"family":"Schwartz","given":"Ann V."},{"family":"Grillari","given":"Johannes"},{"family":"Link","given":"Thomas M."}],"issued":{"date-parts":[["2016"]]}}},{"id":370,"uris":["http://zotero.org/users/3223062/items/6TPVYHBY"],"uri":["http://zotero.org/users/3223062/items/6TPVYHBY"],"itemData":{"id":370,"type":"article-journal","abstract":"&lt;b&gt;&lt;i&gt;Background/Aims: &lt;/i&gt;&lt;/b&gt;Human bone marrow-derived mesenchymal stem cells (hMSCs) are a promising cell source for bone engineering owing to their high potential to differentiate into osteoblasts. The bone morphogenetic protein-inducible gene homeobox a10 (HOXA10) is a critical regulator of osteogenesis. The objective of the present study was to identify microR-NAs (miRNAs) targeting HOXA10 and examine the effects on the osteogenic differentiation of hMSCs. &lt;b&gt;&lt;i&gt;Methods: &lt;/i&gt;&lt;/b&gt;Based on in silico analysis, HOXA10-targeting miRNAs were selected and their regulatory roles in osteoblast differentiation were investigated. &lt;b&gt;&lt;i&gt;Results: &lt;/i&gt;&lt;/b&gt;Six HOXA10-targeting miRNAs were identifIed by computational analysis, of which miR-320a was selected for further analysis because it was downregulated during osteogenic induction. Overexpression of miR-320a downregulated HOXA10 and significantly inhibited osteogenesis in hMSCs, as determined by the downregulation of the osteogenic markers Runx2, ALP, and OC and the inhibition of ALP activity and matrix mineralization, whereas miR-320a inhibition had the opposite effects. Furthermore, ectopic expression of HOXA10 (not including 3′-UTR) rescued the effects of miR-320a on osteogenic differentiation. &lt;b&gt;&lt;i&gt;Conclusion: &lt;/i&gt;&lt;/b&gt;These results suggest that miR-320a acts as a critical regulator of osteogenic differentiation of hMSCs by repressing its target HOXA10.","container-title":"Cellular Physiology and Biochemistry","DOI":"10.1159/000438607","ISSN":"1015-8987, 1421-9778","issue":"1","journalAbbreviation":"CPB","language":"english","note":"publisher: Karger Publishers\nPMID: 26741129","page":"40-48","source":"www.karger.com","title":"MicroRNA-320a Regulates the Osteogenic Differentiation of Human Bone Marrow-Derived Mesenchymal Stem Cells by Targeting HOXA10","volume":"38","author":[{"family":"Huang","given":"Jianhou"},{"family":"Meng","given":"Yake"},{"family":"Liu","given":"Yan"},{"family":"Chen","given":"Yu"},{"family":"Yang","given":"Haisong"},{"family":"Chen","given":"Deyu"},{"family":"Shi","given":"Jiangang"},{"family":"Guo","given":"Yongfei"}],"issued":{"date-parts":[["2016"]]}}},{"id":374,"uris":["http://zotero.org/users/3223062/items/K4P9SGCE"],"uri":["http://zotero.org/users/3223062/items/K4P9SGCE"],"itemData":{"id":374,"type":"article-journal","abstract":"MicroRNAs control the activity of a variety of genes that are pivotal to bone metabolism. Therefore, the clinical utility of miRNAs as biomarkers and drug targets for bone diseases certainly merits further investigation. This study describes the use of an animal model of postmenopausal osteoporosis to generate a comprehensive dataset on miRNA regulation in bone tissue and peripheral blood during bone loss and specifically anti-resorptive and osteo-anabolic treatment. Forty-two Sprague-Dawley rats were randomized to SHAM surgery (n=10) or ovariectomy (OVX, n=32). Eight weeks after surgery, OVX animals were further randomized to anti-resorptive treatment with zoledronate (n=11), osteo-anabolic treatment with teriparatide (n=11), or vehicle treatment (n=10). After 12 weeks of treatment, bone and serum samples were used for microRNA analysis using next-generation sequencing (NGS), mRNA levels using RT-qPCR, and bone microarchitecture analysis using nanoCT. Ovariectomy resulted in loss of trabecular bone, which was fully rescued using osteo-anabolic treatment, and partially rescued using anti-resorptive treatment. NGS revealed that both, anti-resorptive and anabolic treatment had a significant impact on miRNA levels in bone tissue and serum: out of 426 detected miRNAs, 46 miRNAs were regulated by teriparatide treatment an d 10 by zoledronate treatment (p-adj.&lt;0.1). Interestingly, teriparatide and zoledronate treatment were able to revert miRNA changes in tissue and serum of untreated OVX animals, such as the up-regulation of miR-203a-3p, a known osteo-inhibitory miRNA. We confirmed previously established mechanisms of miR-203a by analyzing its direct target Dlx5 in femoral head. Our data reveal a significant effect of ovariectomy-induced bone loss, as well as the two major types of anti-osteoporotic treatment on miRNA transcription in femoral head tissue. These changes are associated with altered activity of target genes relevant to bone formation, such as Dlx5. The observed effects of bone loss and treatment response on miRNA levels in bone are also reflected in the peripheral blood, suggesting the possibility of minimally-invasive monitoring of bone-derived miRNAs using liquid biopsies.","container-title":"Bone","DOI":"10.1016/j.bone.2019.115104","ISSN":"8756-3282","journalAbbreviation":"Bone","language":"en","page":"115104","source":"ScienceDirect","title":"MicroRNA levels in bone and blood change during bisphosphonate and teriparatide therapy in an animal model of postmenopausal osteoporosis","volume":"131","author":[{"family":"Kocijan","given":"Roland"},{"family":"Weigl","given":"Moritz"},{"family":"Skalicky","given":"Susanna"},{"family":"Geiger","given":"Elisabeth"},{"family":"Ferguson","given":"James"},{"family":"Leinfellner","given":"Gabriele"},{"family":"Heimel","given":"Patrick"},{"family":"Pietschmann","given":"Peter"},{"family":"Grillari","given":"Johannes"},{"family":"Redl","given":"Heinz"},{"family":"Hackl","given":"Matthias"}],"issued":{"date-parts":[["2020",2,1]]}}},{"id":365,"uris":["http://zotero.org/users/3223062/items/TTLY72YJ"],"uri":["http://zotero.org/users/3223062/items/TTLY72YJ"],"itemData":{"id":365,"type":"article-journal","abstract":"MicroRNAs (miRNAs) are a family of small, non-coding RNAs (17–24 nucleotides), which regulate gene expression either by the degradation of the target mRNAs or inhibiting the translation of genes. Recent studies have indicated that miRNA plays an important role in regulating osteoblast differentiation. In this study, we identified miR-203 and miR-320b as important miRNAs modulating osteoblast differentiation. We identified Dlx5 as potential common target by prediction algorithms and confirmed this by knock-down and over expression of the miRNAs and assessing Dlx5 at mRNA and protein levels and specificity was verified by luciferase reporter assays. We examined the effect of miR-203 and miR-320b on osteoblast differentiation by transfecting with pre- and anti-miRs. Over-expression of miR-203 and miR-320b inhibited osteoblast differentiation, whereas inhibition of miR-203 and miR-320b stimulated alkaline phosphatase activity and matrix mineralization. We show that miR-203 and miR-320b negatively regulate BMP-2-induced osteoblast differentiation by suppressing Dlx5, which in turn suppresses the downstream osteogenic master transcription factor Runx2 and Osx and together they suppress osteoblast differentiation. Taken together, we propose a role for miR-203 and miR-320b in modulating bone metabolism.","container-title":"Genes","DOI":"10.3390/genes8010004","issue":"1","language":"en","note":"number: 1\npublisher: Multidisciplinary Digital Publishing Institute","page":"4","source":"www.mdpi.com","title":"miR-203 and miR-320 Regulate Bone Morphogenetic Protein-2-Induced Osteoblast Differentiation by Targeting Distal-Less Homeobox 5 (Dlx5)","volume":"8","author":[{"family":"Laxman","given":"Navya"},{"family":"Mallmin","given":"Hans"},{"family":"Nilsson","given":"Olle"},{"family":"Kindmark","given":"Andreas"}],"issued":{"date-parts":[["2017",1]]}}},{"id":376,"uris":["http://zotero.org/users/3223062/items/5G7JN4ZR"],"uri":["http://zotero.org/users/3223062/items/5G7JN4ZR"],"itemData":{"id":376,"type":"article-journal","abstract":"Context: WNT signaling is fundamental to bone health, and its aberrant activation leads to skeletal pathologies. The heterozygous missense mutation p.C218G in WNT1, a key WNT pathway ligand, leads to severe early-onset and progressive osteoporosis with multiple peripheral and spinal fractures. Despite the severe skeletal manifestations, conventional bone turnover markers are normal in mutation-positive patients.\nObjective: This study sought to explore the circulating microRNA (miRNA) pattern in patients with impaired WNT signaling.\nDesign and Setting: A cross-sectional cohort study at a university hospital.\nParticipants: Altogether, 12 mutation-positive (MP) subjects (median age, 39 years; range, 11 to 76 years) and 12 mutation-negative (MN) subjects (35 years; range, 9 to 59 years) from two Finnish families with WNT1 osteoporosis due to the heterozygous p.C218G WNT1 mutation.\nMethods and Main Outcome Measure: Serum samples were screened for 192 miRNAs using quantitative polymerase chain reaction. Findings were compared between WNT1 MP and MN subjects.\nResults: The pattern of circulating miRNAs was significantly different in the MP subjects compared with the MN subjects, with two upregulated (miR-18a-3p and miR-223-3p) and six downregulated miRNAs (miR-22-3p, miR-31-5p, miR-34a-5p, miR-143-5p, miR-423-5p, and miR-423-3p). Three of these (miR-22-3p, miR-34a-5p, and miR-31-5p) are known inhibitors of WNT signaling: miR-22-3p and miR-34a-5p target WNT1 messenger RNA, and miR-31-5p is predicted to bind to WNT1 3'UTR.\nConclusions: The circulating miRNA pattern reflects WNT1 mutation status. The findings suggest that the WNT1 mutation disrupts feedback regulation between these miRNAs and WNT1, providing insights into the pathogenesis of WNT-related bone disorders. These miRNAs may have potential in the diagnosis and treatment of osteoporosis.","container-title":"The Journal of Clinical Endocrinology and Metabolism","DOI":"10.1210/jc.2017-02585","ISSN":"1945-7197","issue":"5","journalAbbreviation":"J. Clin. Endocrinol. Metab.","language":"eng","note":"PMID: 29506076","page":"1985-1996","source":"PubMed","title":"Altered MicroRNA Profile in Osteoporosis Caused by Impaired WNT Signaling","volume":"103","author":[{"family":"Mäkitie","given":"Riikka E."},{"family":"Hackl","given":"Matthias"},{"family":"Niinimäki","given":"Riitta"},{"family":"Kakko","given":"Sakari"},{"family":"Grillari","given":"Johannes"},{"family":"Mäkitie","given":"Outi"}],"issued":{"date-parts":[["2018"]],"season":"01"}}},{"id":367,"uris":["http://zotero.org/users/3223062/items/M789SJWK"],"uri":["http://zotero.org/users/3223062/items/M789SJWK"],"itemData":{"id":367,"type":"article-journal","abstract":"miRNA profile deregulation affecting downstream signaling pathways activates endpoints that represent potential biomarkers for prognosis and treatment of tumor patients. In the past 20 years conventional therapy for osteosarcoma (OS) reached a survival plateau, highlighting the need for new therapeutic approaches. In this study, microarray unsupervised and supervised analysis identified, respectively, 100 and 40 differentially expressed miRNAs in OS samples with different grades of malignancy compared to normal bone. When analyzing low-grade and high-grade OS by unsupervised analysis, 12 miRNAs were found to be differentially expressed. Real‑time PCR performed on a larger series of OS confirmed a significant lower expression of miR-1, miR‑133b and miR-378* in tumors with respect to control, also showing lower mRNA levels in 31 high-grade OS than in 25 low-grade and in metastatic versus non‑metastatic patients. We demonstrated that miR-1 and miR133b were downregulated in OS cell lines compared to normal osteoblasts. Secondly, by transfection with miRNA precursor molecules, we demonstrated that the ectopic expression of miR-1 and miR-133b in U2-OS cell lines significantly reduced cell proliferation and MET protein expression and negatively regulated cell invasiveness and motility in a short-term assay. Cell cycle distribution revealed block in G(1) and delay of cell cycle progression associated with increased apoptosis in miR-1- and miR‑133b‑transfected cells, respectively. Our data assessed specific miRNA profiling deregulation in OS clinical samples and suggest that the expression of miR-1 and miR-133b may control cell proliferation and cell cycle through MET protein expression modulation.","container-title":"International Journal of Oncology","DOI":"10.3892/ijo.2012.1717","ISSN":"1791-2423","issue":"2","journalAbbreviation":"Int. J. Oncol.","language":"eng","note":"PMID: 23229283","page":"667-675","source":"PubMed","title":"miRNA expression profile in human osteosarcoma: role of miR-1 and miR-133b in proliferation and cell cycle control","title-short":"miRNA expression profile in human osteosarcoma","volume":"42","author":[{"family":"Novello","given":"Chiara"},{"family":"Pazzaglia","given":"Laura"},{"family":"Cingolani","given":"Chiara"},{"family":"Conti","given":"Amalia"},{"family":"Quattrini","given":"Irene"},{"family":"Manara","given":"Maria Cristina"},{"family":"Tognon","given":"Mauro"},{"family":"Picci","given":"Piero"},{"family":"Benassi","given":"Maria Serena"}],"issued":{"date-parts":[["2013",2]]}}},{"id":372,"uris":["http://zotero.org/users/3223062/items/UNFQT5GK"],"uri":["http://zotero.org/users/3223062/items/UNFQT5GK"],"itemData":{"id":372,"type":"article-journal","abstract":"Wnt signaling determines human stromal (mesenchymal) stem cell (hMSC) differentiation fate into the osteoblast or adipocyte lineage. microRNAs (miRNAs) are small RNA molecules of 21–25 nucleotides that regulate many aspects of osteoblast biology. Thus, we examined miRNAs regulated by Wnt signaling in hMSC. We identified miRNA (miR)-141-3p as a Wnt target which in turn inhibited Wnt signaling. Moreover, miR-141-3p inhibited hMSC proliferation by arresting cells at the G1 phase of the cell cycle. miR-141-3p inhibited osteoblast differentiation of hMSC as evidenced by reduced alkaline phosphatase activity, gene expression and in vitro mineralized matrix formation. Bioinformatic studies, Western blot analysis and 3’UTR reporter assay demonstrated that cell division cycle 25A (CDC25A) is a direct target of miR-141-3p. siRNA-mediated knock-down of CDC25A inhibited hMSC proliferation and osteoblast differentiation. In summary, miR-141-3p acts as a negative regulator of hMSC proliferation and osteoblast differentiation. Targeting miR-141-3p could be used as an anabolic therapy of low bone mass diseases, e.g. osteoporosis.","container-title":"Biochimica et Biophysica Acta (BBA) - Molecular Cell Research","DOI":"10.1016/j.bbamcr.2014.06.004","ISSN":"0167-4889","issue":"9","journalAbbreviation":"Biochimica et Biophysica Acta (BBA) - Molecular Cell Research","language":"en","page":"2114-2121","source":"ScienceDirect","title":"miR-141-3p inhibits human stromal (mesenchymal) stem cell proliferation and differentiation","volume":"1843","author":[{"family":"Qiu","given":"Weimin"},{"family":"Kassem","given":"Moustapha"}],"issued":{"date-parts":[["2014",9,1]]}}},{"id":368,"uris":["http://zotero.org/users/3223062/items/JXSTK7EA"],"uri":["http://zotero.org/users/3223062/items/JXSTK7EA"],"itemData":{"id":368,"type":"article-journal","abstract":"Wnt signaling pathways are essential for bone formation. Previous studies showed that Wnt signaling pathways were regulated by miR-375. Thus, we aim to explore whether miR-375 could affect osteogenesis. In the present study, we investigated the roles of miR-375 and its downstream targets. Firstly, we revealed that miR-375-3p negatively modulated osteogenesis by suppressing positive regulators of osteogenesis and promoting negative regulators of osteogenesis. In addition, the results of TUNEL cell apoptosis assay showed that miR-375-3p induced MC3T3-E1 cell apoptosis. Secondly, miR-375-3p targeted low-density lipoprotein receptor-related protein 5 (LRP5), a co-receptor of the Wnt signaling pathways, and β-catenin as determined by luciferase activity assay, and it decreased the expression levels of LRP5 and β-catenin. Thirdly, the decline of protein levels of β-catenin was determined by immunocytochemistry and immunofluorescence. Finally, silence of LRP5 in osteoblast precursor cells resulted in diminished cell viability and cell proliferation as detected by WST-1-based colorimetric assay. Additionally, all the parameters including the relative bone volume from μCT measurement suggested that LRP5 knockout in mice resulted in a looser and worse-connected trabeculae. The mRNA levels of important negative modulators relating to osteogenesis increased after the functions of LRP5 were blocked in mice. Last but not least, the expression levels of LRP5 increased during the osteogenesis of MC3T3-E1, while the levels of β-catenin decreased in bone tissues from osteoporotic patients with vertebral compression fractures. In conclusion, we revealed miR-375-3p negatively regulated osteogenesis by targeting LRP5 and β-catenin. In addition, loss of functions of LRP5 damaged bone formation in vivo. Clinically, miR-375-3p and its targets might be used as diagnostic biomarkers for osteoporosis and might be also as novel therapeutic agents in osteoporosis treatment. The relevant products of miR-375-3p might be developed into molecular drugs in the future. These molecules could be used in translational medicine.","container-title":"PLOS ONE","DOI":"10.1371/journal.pone.0171281","ISSN":"1932-6203","issue":"2","journalAbbreviation":"PLOS ONE","language":"en","note":"publisher: Public Library of Science","page":"e0171281","source":"PLoS Journals","title":"miR-375-3p negatively regulates osteogenesis by targeting and decreasing the expression levels of LRP5 and β-catenin","volume":"12","author":[{"family":"Sun","given":"Tianhao"},{"family":"Li","given":"Chen-Tian"},{"family":"Xiong","given":"Lifeng"},{"family":"Ning","given":"Ziyu"},{"family":"Leung","given":"Frankie"},{"family":"Peng","given":"Songlin"},{"family":"Lu","given":"William W."}],"issued":{"date-parts":[["2017",2,3]]}}},{"id":380,"uris":["http://zotero.org/users/3223062/items/RLGV2N2C"],"uri":["http://zotero.org/users/3223062/items/RLGV2N2C"],"itemData":{"id":380,"type":"article-journal","abstract":"Osteoporosis is the consequence of altered bone metabolism resulting in the systemic reduction of bone strength and increased risk of fragility fractures. MicroRNAs (miRNAs) regulate gene expression on a post-transcriptional level and are known to take part in the control of bone formation and bone resorption. In addition, it is known that miRNAs are secreted by many cell types and can transfer “messages” to recipient cells. Thus, circulating miRNAs might not only be useful as surrogate biomarkers for the diagnosis or prognosis of pathological conditions, but could be actively modulating tissue physiology. Therefore, the aim of this study was to test whether circulating miRNAs that exhibit changes in recent osteoporotic fracture patients could be causally related to bone metabolism. In the first step we performed an explorative analysis of 175 miRNAs in serum samples obtained from 7 female patients with recent osteoporotic fractures at the femoral neck, and 7 age-matched female controls. Unsupervised cluster analysis revealed a high discriminatory power of the top 10 circulating miRNAs for patients with recent osteoporotic fractures. In total 6 miRNAs, miR-10a-5p, miR-10b-5p, miR-133b, miR-22-3p, miR-328-3p, and let-7g-5p exhibited significantly different serum levels in response to fracture (adjusted p-value&lt;0.05). These miRNAs were subsequently analyzed in a validation cohort of 23 patients (11 control, 12 fracture), which confirmed significant regulation for miR-22-3p, miR-328-3p, and let-7g-5p. A set of these and of other miRNAs known to change in the context of osteoporotic fractures were subsequently tested for their effects on osteogenic differentiation of human mesenchymal stem cells (MSCs) in vitro. The results show that 5 out of 7 tested miRNAs can modulate osteogenic differentiation of MSCs in vitro. Overall, these data suggest that levels of specific circulating miRNAs change in the context of recent osteoporotic fractures and that such perturbations of “normal” levels might affect bone metabolism or bone healing processes.","container-title":"Bone","DOI":"10.1016/j.bone.2015.05.027","ISSN":"8756-3282","journalAbbreviation":"Bone","language":"en","page":"43-51","source":"ScienceDirect","title":"Differentially circulating miRNAs after recent osteoporotic fractures can influence osteogenic differentiation","volume":"79","author":[{"family":"Weilner","given":"Sylvia"},{"family":"Skalicky","given":"Susanna"},{"family":"Salzer","given":"Benjamin"},{"family":"Keider","given":"Verena"},{"family":"Wagner","given":"Michael"},{"family":"Hildner","given":"Florian"},{"family":"Gabriel","given":"Christian"},{"family":"Dovjak","given":"Peter"},{"family":"Pietschmann","given":"Peter"},{"family":"Grillari-Voglauer","given":"Regina"},{"family":"Grillari","given":"Johannes"},{"family":"Hackl","given":"Matthias"}],"issued":{"date-parts":[["2015",10,1]]}}},{"id":363,"uris":["http://zotero.org/users/3223062/items/QVJDTEC5"],"uri":["http://zotero.org/users/3223062/items/QVJDTEC5"],"itemData":{"id":363,"type":"article-journal","abstract":"In estrogen responsive MCF-7 cells, estradiol (E2) binding to ERα leads to transcriptional regulation of genes involved in the control of cell proliferation and survival. MicroRNAs (miRNAs) have emerged as key post-transcriptional regulators of gene expression. The aim of this study was to explore whether miRNAs were involved in hormonally regulated expression of estrogen responsive genes.","container-title":"BMC Cancer","DOI":"10.1186/1471-2407-12-29","ISSN":"1471-2407","issue":"1","journalAbbreviation":"BMC Cancer","page":"29","source":"BioMed Central","title":"Induction of cell proliferation and survival genes by estradiol-repressed microRNAs in breast cancer cells","volume":"12","author":[{"family":"Yu","given":"Xinfeng"},{"family":"Zhang","given":"Xuemei"},{"family":"Dhakal","given":"Ishwori B."},{"family":"Beggs","given":"Marjorie"},{"family":"Kadlubar","given":"Susan"},{"family":"Luo","given":"Dali"}],"issued":{"date-parts":[["2012",1,20]]}}},{"id":383,"uris":["http://zotero.org/users/3223062/items/ZUXHR9CP"],"uri":["http://zotero.org/users/3223062/items/ZUXHR9CP"],"itemData":{"id":383,"type":"article-journal","abstract":"Context\nVertebral fractures are the hallmark of osteoporosis. MicroRNAs (miRNAs) are a prominent class of gene regulators likely to affect bone homeostasis, including bone remodelling and fracture healing by altering gene expression in bone cells.\nObjective\nThis study sought to compare the levels of circulating miRNAs in older women with osteoporotic vertebral fractures, and/or low BMD and healthy controls, and to correlate miRNAs expression levels with BTMs.\nDesign\nA single-site, case-control, observational, cross-sectional study at a university hospital.\nParticipants\nAltogether, 126 postmenopausal women belonging to four different groups were included: healthy (n=42), low BMD and no vertebral fractures (n=39), vertebral fractures and low BMD without a treatment (n=26), or receiving a treatment for osteoporosis (n=19).\nMain Outcome Measure\nSerum samples from all participants were analyzed for 21 microRNA bone biomarkers.\nResults\nWe identified 7 significantly (p&lt;0.05) up-regulated miRNAs (miR-375, miR-532-3p, miR-19b-3p, miR-152-3p, miR-23a-3p, miR-335-5p, miR-21-5p) in patients with vertebral fractures and low BMD compared to low BMD and healthy individuals, regardless of osteoporosis treatment. No significant differences existed between low BMD and healthy controls. We observed 24 significant correlations (P&lt;0.05) between miRNAs and BTMs (CTX, PINP, OC and bone ALP).\nConclusions\nSpecific circulating miRNAs reflect the presence of osteoporotic vertebral fractures in postmenopausal women. They are unlikely to reflect low BMD, and more likely changes in bone quality or fracture healing. The effects of osteoporosis treatment on the selected miRNAs appear to be weaker than effects caused by vertebral fractures. The correlation between miRNAs and BTMs suggest that miRNAs may be involved in bone turnover or fracture healing.","container-title":"Bone","DOI":"10.1016/j.bone.2019.115105","ISSN":"8756-3282","journalAbbreviation":"Bone","language":"en","page":"115105","source":"ScienceDirect","title":"Serum microRNAs as novel biomarkers for osteoporotic vertebral fractures","volume":"130","author":[{"family":"Zarecki","given":"Patryk"},{"family":"Hackl","given":"Matthias"},{"family":"Grillari","given":"Johannes"},{"family":"Debono","given":"Miguel"},{"family":"Eastell","given":"Richard"}],"issued":{"date-parts":[["2020",1,1]]}}},{"id":369,"uris":["http://zotero.org/users/3223062/items/YMYSTV4G"],"uri":["http://zotero.org/users/3223062/items/YMYSTV4G"],"itemData":{"id":369,"type":"article-journal","abstract":"MicroRNAs (miRNAs) and the Wnt signaling pathway play critical roles in regulating bone development and homeostasis. Our previous study revealed high expression of miR-335-5p in osteoblasts and hypertrophic chondrocytes in mouse embryos and the ability of miR-335-5p to promote osteogenic differentiation by downregulating Wnt antagonist Dickkopf-1 (DKK1). The purpose of this study was to investigate the effects of miR-335-5p constitutive overexpression on bone formation and regeneration in vivo. To that end, we generated a transgenic mouse line specifically overexpressing miR-335-5p in osteoblasts lineage by the osterix promoter and characterized its bone phenotype. Bone histomorphometry and μCT analysis revealed higher bone mass and increased parameters of bone formation in transgenic mice than in wild-type littermates. Increased bone mass in transgenic mice bones also correlated with enhanced expression of osteogenic differentiation markers. Upon osteogenic induction, bone marrow stromal cells (BMSCs) isolated from transgenic mice displayed higher mRNA expression of osteogenic markers than wild-type mice BMSCs cultures. Protein expression of Runx2 and Osx was also upregulated in BMSC cultures of transgenic mice upon osteogenic induction, whereas that of DKK1 was downregulated. Most important, BMSCs from transgenic mice were able to repair craniofacial bone defects as shown by μCT analysis, H&amp;E staining, and osteocalcin (OCN) immunohistochemistry of newly formed bone in defects treated with BMSCs. Taken together, our results demonstrate constitutive overexpression of miR-335-5p driven by an osterix promoter in the osteoblast lineage induces osteogenic differentiation and bone formation in mice and support the potential application of miR-335-5p–modified BMSCs in craniofacial bone regeneration. © 2017 American Society for Bone and Mineral Research.","container-title":"Journal of Bone and Mineral Research","DOI":"10.1002/jbmr.3230","ISSN":"1523-4681","issue":"12","language":"en","note":"_eprint: https://asbmr.onlinelibrary.wiley.com/doi/pdf/10.1002/jbmr.3230","page":"2466-2475","source":"Wiley Online Library","title":"Overexpression of MiR-335-5p Promotes Bone Formation and Regeneration in Mice","volume":"32","author":[{"family":"Zhang","given":"Lan"},{"family":"Tang","given":"Yin"},{"family":"Zhu","given":"Xiaofang"},{"family":"Tu","given":"Tianchi"},{"family":"Sui","given":"Lei"},{"family":"Han","given":"Qianqian"},{"family":"Yu","given":"Liming"},{"family":"Meng","given":"Shu"},{"family":"Zheng","given":"Leilei"},{"family":"Valverde","given":"Paloma"},{"family":"Tang","given":"Jean"},{"family":"Murray","given":"Dana"},{"family":"Zhou","given":"Xuedong"},{"family":"Drissi","given":"Hicham"},{"family":"Dard","given":"Michel M."},{"family":"Tu","given":"Qisheng"},{"family":"Chen","given":"Jake"}],"issued":{"date-parts":[["2017"]]}}}],"schema":"https://github.com/citation-style-language/schema/raw/master/csl-citation.json"} </w:instrText>
      </w:r>
      <w:r w:rsidR="00766BFF" w:rsidRPr="00757919">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36–38,76–93</w:t>
      </w:r>
      <w:r w:rsidR="00766BFF" w:rsidRPr="00757919">
        <w:rPr>
          <w:rFonts w:ascii="Times New Roman" w:eastAsia="Arial" w:hAnsi="Times New Roman" w:cs="Times New Roman"/>
          <w:sz w:val="24"/>
          <w:szCs w:val="24"/>
        </w:rPr>
        <w:fldChar w:fldCharType="end"/>
      </w:r>
      <w:r w:rsidRPr="00757919">
        <w:rPr>
          <w:rFonts w:ascii="Times New Roman" w:eastAsia="Arial" w:hAnsi="Times New Roman" w:cs="Times New Roman"/>
          <w:sz w:val="24"/>
          <w:szCs w:val="24"/>
        </w:rPr>
        <w:t xml:space="preserve">. We also noted the association of SNPs with miR-19a-3p and miR-186-5p as we have previously found these to be associated with BB </w:t>
      </w:r>
      <w:r w:rsidR="00407EA8" w:rsidRPr="00757919">
        <w:rPr>
          <w:rFonts w:ascii="Times New Roman" w:eastAsia="Arial" w:hAnsi="Times New Roman" w:cs="Times New Roman"/>
          <w:sz w:val="24"/>
          <w:szCs w:val="24"/>
        </w:rPr>
        <w:t>use and B</w:t>
      </w:r>
      <w:r w:rsidRPr="00757919">
        <w:rPr>
          <w:rFonts w:ascii="Times New Roman" w:eastAsia="Arial" w:hAnsi="Times New Roman" w:cs="Times New Roman"/>
          <w:sz w:val="24"/>
          <w:szCs w:val="24"/>
        </w:rPr>
        <w:t>MD</w:t>
      </w:r>
      <w:r w:rsidRPr="00757919">
        <w:rPr>
          <w:rFonts w:ascii="Times New Roman" w:eastAsia="Arial" w:hAnsi="Times New Roman" w:cs="Times New Roman"/>
          <w:sz w:val="24"/>
          <w:szCs w:val="24"/>
        </w:rPr>
        <w:fldChar w:fldCharType="begin"/>
      </w:r>
      <w:r w:rsidR="00A568A5">
        <w:rPr>
          <w:rFonts w:ascii="Times New Roman" w:eastAsia="Arial" w:hAnsi="Times New Roman" w:cs="Times New Roman"/>
          <w:sz w:val="24"/>
          <w:szCs w:val="24"/>
        </w:rPr>
        <w:instrText xml:space="preserve"> ADDIN ZOTERO_ITEM CSL_CITATION {"citationID":"JSMY7pfc","properties":{"formattedCitation":"\\super 31\\nosupersub{}","plainCitation":"31","noteIndex":0},"citationItems":[{"id":277,"uris":["http://zotero.org/users/3223062/items/64VSFIH9"],"uri":["http://zotero.org/users/3223062/items/64VSFIH9"],"itemData":{"id":277,"type":"article-journal","abstract":"Osteoporosis is a debilitating and costly disease that causes fractures in 33% of women and 20% of men over the age of 50 years. Recent studies have shown that beta blocker (BB) users have higher bone mineral density (BMD) and decreased risk of fracture compared to non-users. The mechanism underlying this association is thought to be due to suppression of adrenergic signaling in osteoblasts, which leads to increased BMD in rodent models; however the mechanism in humans is unknown. Also, several miRNAs are associated with adrenergic signaling and BMD in separate studies. To investigate potential miRNA mechanisms, we performed a cross-sectional analysis using clinical data, dual-energy X-ray absorptiometry (DXA) scans, and miRNA and mRNA profiling of whole blood from the Framingham Study's Offspring Cohort. We found nine miRNAs associated with BB use and increased BMD. In parallel network analyses we discovered a sub-network associated with BMD and BB use containing two of these nine miRNAs, miR-19a-3p and miR-186-5p. To strengthen this finding, we showed that these two miRNAs had significantly higher expression in individuals without incident fracture compared to those with fracture in an external data set. We also noted a similar trend in association between these miRNA and Z-score as calculated from heel ultrasound measures in two external cohorts (SOS-Hip and SHIP-TREND). Since miR-19a directly targets the ADRB1 mRNA transcript, we propose BB use may downregulate ADRB1 expression in osteoblasts through increased miR-19a-3p expression. We used enrichment analysis of miRNA targets to find potential indirect effects through insulin and parathyroid hormone signaling. This analysis provides a starting point for delineating the role of miRNA on the association between BB use and BMD. This article is protected by copyright. All rights reserved.","container-title":"Journal of Bone and Mineral Research","DOI":"10.1002/jbmr.4160","ISSN":"1523-4681","journalAbbreviation":"JBMR","note":"_eprint: https://asbmr.onlinelibrary.wiley.com/doi/pdf/10.1002/jbmr.4160","source":"Wiley Online Library","title":"miRNA Mechanisms Underlying the Association of Beta Blocker Use and Bone Mineral Density","URL":"https://asbmr.onlinelibrary.wiley.com/doi/abs/10.1002/jbmr.4160","author":[{"family":"Nevola","given":"Kathleen T."},{"family":"Kiel","given":"Douglas P."},{"family":"Zullo","given":"Andrew R."},{"family":"Weiss","given":"Stefan"},{"family":"Homuth","given":"Georg"},{"family":"Foessl","given":"Ines"},{"family":"Obermayer-Pietsch","given":"Barbara"},{"family":"Motyl","given":"Katherine J."},{"family":"Lary","given":"Christine W."}],"accessed":{"date-parts":[["2020",9,3]]},"issued":{"date-parts":[["2020",8]]}}}],"schema":"https://github.com/citation-style-language/schema/raw/master/csl-citation.json"} </w:instrText>
      </w:r>
      <w:r w:rsidRPr="00757919">
        <w:rPr>
          <w:rFonts w:ascii="Times New Roman" w:eastAsia="Arial" w:hAnsi="Times New Roman" w:cs="Times New Roman"/>
          <w:sz w:val="24"/>
          <w:szCs w:val="24"/>
        </w:rPr>
        <w:fldChar w:fldCharType="separate"/>
      </w:r>
      <w:r w:rsidR="00A568A5" w:rsidRPr="00A568A5">
        <w:rPr>
          <w:rFonts w:ascii="Times New Roman" w:hAnsi="Times New Roman" w:cs="Times New Roman"/>
          <w:sz w:val="24"/>
          <w:szCs w:val="24"/>
          <w:vertAlign w:val="superscript"/>
        </w:rPr>
        <w:t>31</w:t>
      </w:r>
      <w:r w:rsidRPr="00757919">
        <w:rPr>
          <w:rFonts w:ascii="Times New Roman" w:eastAsia="Arial" w:hAnsi="Times New Roman" w:cs="Times New Roman"/>
          <w:sz w:val="24"/>
          <w:szCs w:val="24"/>
        </w:rPr>
        <w:fldChar w:fldCharType="end"/>
      </w:r>
      <w:r w:rsidRPr="00757919">
        <w:rPr>
          <w:rFonts w:ascii="Times New Roman" w:eastAsia="Arial" w:hAnsi="Times New Roman" w:cs="Times New Roman"/>
          <w:sz w:val="24"/>
          <w:szCs w:val="24"/>
        </w:rPr>
        <w:t xml:space="preserve">. Finally, we determined if any of the significant miRNAs targeted the gene in which the associated SNP </w:t>
      </w:r>
      <w:proofErr w:type="gramStart"/>
      <w:r w:rsidRPr="00757919">
        <w:rPr>
          <w:rFonts w:ascii="Times New Roman" w:eastAsia="Arial" w:hAnsi="Times New Roman" w:cs="Times New Roman"/>
          <w:sz w:val="24"/>
          <w:szCs w:val="24"/>
        </w:rPr>
        <w:t>is located</w:t>
      </w:r>
      <w:r w:rsidR="00407EA8" w:rsidRPr="00757919">
        <w:rPr>
          <w:rFonts w:ascii="Times New Roman" w:eastAsia="Arial" w:hAnsi="Times New Roman" w:cs="Times New Roman"/>
          <w:sz w:val="24"/>
          <w:szCs w:val="24"/>
        </w:rPr>
        <w:t xml:space="preserve"> in</w:t>
      </w:r>
      <w:proofErr w:type="gramEnd"/>
      <w:r w:rsidR="00407EA8" w:rsidRPr="00757919">
        <w:rPr>
          <w:rFonts w:ascii="Times New Roman" w:eastAsia="Arial" w:hAnsi="Times New Roman" w:cs="Times New Roman"/>
          <w:sz w:val="24"/>
          <w:szCs w:val="24"/>
        </w:rPr>
        <w:t xml:space="preserve"> or near</w:t>
      </w:r>
      <w:r w:rsidR="00AA395D">
        <w:rPr>
          <w:rFonts w:ascii="Times New Roman" w:eastAsia="Arial" w:hAnsi="Times New Roman" w:cs="Times New Roman"/>
          <w:sz w:val="24"/>
          <w:szCs w:val="24"/>
        </w:rPr>
        <w:t>by</w:t>
      </w:r>
      <w:r w:rsidRPr="00757919">
        <w:rPr>
          <w:rFonts w:ascii="Times New Roman" w:eastAsia="Arial" w:hAnsi="Times New Roman" w:cs="Times New Roman"/>
          <w:sz w:val="24"/>
          <w:szCs w:val="24"/>
        </w:rPr>
        <w:t xml:space="preserve">. Of note, 8 of the 11 SNPs were associated with bone-related miRNAs, and 5 SNPs were associated with miRNAs that targeted the gene where the SNP is located (Table </w:t>
      </w:r>
      <w:r w:rsidR="00435758" w:rsidRPr="00757919">
        <w:rPr>
          <w:rFonts w:ascii="Times New Roman" w:eastAsia="Arial" w:hAnsi="Times New Roman" w:cs="Times New Roman"/>
          <w:sz w:val="24"/>
          <w:szCs w:val="24"/>
        </w:rPr>
        <w:t>S</w:t>
      </w:r>
      <w:r w:rsidR="00942AAF">
        <w:rPr>
          <w:rFonts w:ascii="Times New Roman" w:eastAsia="Arial" w:hAnsi="Times New Roman" w:cs="Times New Roman"/>
          <w:sz w:val="24"/>
          <w:szCs w:val="24"/>
        </w:rPr>
        <w:t>5</w:t>
      </w:r>
      <w:r w:rsidR="007309CD">
        <w:rPr>
          <w:rFonts w:ascii="Times New Roman" w:eastAsia="Arial" w:hAnsi="Times New Roman" w:cs="Times New Roman"/>
          <w:sz w:val="24"/>
          <w:szCs w:val="24"/>
          <w:vertAlign w:val="superscript"/>
        </w:rPr>
        <w:t>116</w:t>
      </w:r>
      <w:r w:rsidRPr="00757919">
        <w:rPr>
          <w:rFonts w:ascii="Times New Roman" w:eastAsia="Arial" w:hAnsi="Times New Roman" w:cs="Times New Roman"/>
          <w:sz w:val="24"/>
          <w:szCs w:val="24"/>
        </w:rPr>
        <w:t>).</w:t>
      </w:r>
    </w:p>
    <w:p w14:paraId="4CB19DD5" w14:textId="77777777" w:rsidR="002E3D31" w:rsidRPr="00757919" w:rsidRDefault="002E3D31" w:rsidP="00864F3F">
      <w:pPr>
        <w:spacing w:line="480" w:lineRule="auto"/>
        <w:rPr>
          <w:rFonts w:ascii="Times New Roman" w:eastAsia="Arial" w:hAnsi="Times New Roman" w:cs="Times New Roman"/>
          <w:b/>
          <w:i/>
          <w:sz w:val="24"/>
          <w:szCs w:val="24"/>
        </w:rPr>
      </w:pPr>
      <w:r w:rsidRPr="00757919">
        <w:rPr>
          <w:rFonts w:ascii="Times New Roman" w:eastAsia="Arial" w:hAnsi="Times New Roman" w:cs="Times New Roman"/>
          <w:i/>
          <w:sz w:val="24"/>
          <w:szCs w:val="24"/>
        </w:rPr>
        <w:t xml:space="preserve">Bone-related miRNAs associated with top SNPs </w:t>
      </w:r>
    </w:p>
    <w:p w14:paraId="5500DA35" w14:textId="4CF49CC0" w:rsidR="002E3D31" w:rsidRDefault="002E3D31"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t>To develop hypotheses regarding the mechanism by which these SNPs interact with BB use to influence BMD, we evaluated miRNA associated with our top four SNPs</w:t>
      </w:r>
      <w:r w:rsidR="00435758" w:rsidRPr="00757919">
        <w:rPr>
          <w:rFonts w:ascii="Times New Roman" w:eastAsia="Arial" w:hAnsi="Times New Roman" w:cs="Times New Roman"/>
          <w:sz w:val="24"/>
          <w:szCs w:val="24"/>
        </w:rPr>
        <w:t xml:space="preserve"> that we tested for validation</w:t>
      </w:r>
      <w:r w:rsidRPr="00757919">
        <w:rPr>
          <w:rFonts w:ascii="Times New Roman" w:eastAsia="Arial" w:hAnsi="Times New Roman" w:cs="Times New Roman"/>
          <w:sz w:val="24"/>
          <w:szCs w:val="24"/>
        </w:rPr>
        <w:t>.</w:t>
      </w:r>
      <w:r w:rsidR="00435758"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 xml:space="preserve">These SNPs were associated with at least one bone-related miRNA or a miRNA that targeted the gene in which the SNP is located (Table </w:t>
      </w:r>
      <w:r w:rsidR="00435758" w:rsidRPr="00757919">
        <w:rPr>
          <w:rFonts w:ascii="Times New Roman" w:eastAsia="Arial" w:hAnsi="Times New Roman" w:cs="Times New Roman"/>
          <w:sz w:val="24"/>
          <w:szCs w:val="24"/>
        </w:rPr>
        <w:t>S</w:t>
      </w:r>
      <w:r w:rsidR="00942AAF">
        <w:rPr>
          <w:rFonts w:ascii="Times New Roman" w:eastAsia="Arial" w:hAnsi="Times New Roman" w:cs="Times New Roman"/>
          <w:sz w:val="24"/>
          <w:szCs w:val="24"/>
        </w:rPr>
        <w:t>5</w:t>
      </w:r>
      <w:r w:rsidR="007309CD">
        <w:rPr>
          <w:rFonts w:ascii="Times New Roman" w:eastAsia="Arial" w:hAnsi="Times New Roman" w:cs="Times New Roman"/>
          <w:sz w:val="24"/>
          <w:szCs w:val="24"/>
          <w:vertAlign w:val="superscript"/>
        </w:rPr>
        <w:t>116</w:t>
      </w:r>
      <w:r w:rsidRPr="00757919">
        <w:rPr>
          <w:rFonts w:ascii="Times New Roman" w:eastAsia="Arial" w:hAnsi="Times New Roman" w:cs="Times New Roman"/>
          <w:sz w:val="24"/>
          <w:szCs w:val="24"/>
        </w:rPr>
        <w:t xml:space="preserve">). Rs12414657 </w:t>
      </w:r>
      <w:r w:rsidR="00C82A24" w:rsidRPr="00757919">
        <w:rPr>
          <w:rFonts w:ascii="Times New Roman" w:eastAsia="Arial" w:hAnsi="Times New Roman" w:cs="Times New Roman"/>
          <w:sz w:val="24"/>
          <w:szCs w:val="24"/>
        </w:rPr>
        <w:t>(</w:t>
      </w:r>
      <w:r w:rsidRPr="00757919">
        <w:rPr>
          <w:rFonts w:ascii="Times New Roman" w:eastAsia="Arial" w:hAnsi="Times New Roman" w:cs="Times New Roman"/>
          <w:i/>
          <w:iCs/>
          <w:sz w:val="24"/>
          <w:szCs w:val="24"/>
        </w:rPr>
        <w:t>ADRB1</w:t>
      </w:r>
      <w:r w:rsidR="00C82A24" w:rsidRPr="00757919">
        <w:rPr>
          <w:rFonts w:ascii="Times New Roman" w:eastAsia="Arial" w:hAnsi="Times New Roman" w:cs="Times New Roman"/>
          <w:sz w:val="24"/>
          <w:szCs w:val="24"/>
        </w:rPr>
        <w:t>)</w:t>
      </w:r>
      <w:r w:rsidRPr="00757919">
        <w:rPr>
          <w:rFonts w:ascii="Times New Roman" w:eastAsia="Arial" w:hAnsi="Times New Roman" w:cs="Times New Roman"/>
          <w:sz w:val="24"/>
          <w:szCs w:val="24"/>
        </w:rPr>
        <w:t xml:space="preserve"> was associated with increased miR-19a-3p expression in female BB users (Figure </w:t>
      </w:r>
      <w:r w:rsidR="007B5A00" w:rsidRPr="00757919">
        <w:rPr>
          <w:rFonts w:ascii="Times New Roman" w:eastAsia="Arial" w:hAnsi="Times New Roman" w:cs="Times New Roman"/>
          <w:sz w:val="24"/>
          <w:szCs w:val="24"/>
        </w:rPr>
        <w:t>S</w:t>
      </w:r>
      <w:r w:rsidR="00E67DAD">
        <w:rPr>
          <w:rFonts w:ascii="Times New Roman" w:eastAsia="Arial" w:hAnsi="Times New Roman" w:cs="Times New Roman"/>
          <w:sz w:val="24"/>
          <w:szCs w:val="24"/>
        </w:rPr>
        <w:t>3</w:t>
      </w:r>
      <w:r w:rsidRPr="00757919">
        <w:rPr>
          <w:rFonts w:ascii="Times New Roman" w:eastAsia="Arial" w:hAnsi="Times New Roman" w:cs="Times New Roman"/>
          <w:sz w:val="24"/>
          <w:szCs w:val="24"/>
        </w:rPr>
        <w:t>A</w:t>
      </w:r>
      <w:r w:rsidR="007B5A00" w:rsidRPr="00757919">
        <w:rPr>
          <w:rFonts w:ascii="Times New Roman" w:eastAsia="Arial" w:hAnsi="Times New Roman" w:cs="Times New Roman"/>
          <w:sz w:val="24"/>
          <w:szCs w:val="24"/>
        </w:rPr>
        <w:t>, S</w:t>
      </w:r>
      <w:r w:rsidR="00E67DAD">
        <w:rPr>
          <w:rFonts w:ascii="Times New Roman" w:eastAsia="Arial" w:hAnsi="Times New Roman" w:cs="Times New Roman"/>
          <w:sz w:val="24"/>
          <w:szCs w:val="24"/>
        </w:rPr>
        <w:t>3</w:t>
      </w:r>
      <w:r w:rsidRPr="00757919">
        <w:rPr>
          <w:rFonts w:ascii="Times New Roman" w:eastAsia="Arial" w:hAnsi="Times New Roman" w:cs="Times New Roman"/>
          <w:sz w:val="24"/>
          <w:szCs w:val="24"/>
        </w:rPr>
        <w:t>B</w:t>
      </w:r>
      <w:r w:rsidR="00EC3C7C">
        <w:rPr>
          <w:rFonts w:ascii="Times New Roman" w:eastAsia="Arial" w:hAnsi="Times New Roman" w:cs="Times New Roman"/>
          <w:sz w:val="24"/>
          <w:szCs w:val="24"/>
          <w:vertAlign w:val="superscript"/>
        </w:rPr>
        <w:t>116</w:t>
      </w:r>
      <w:r w:rsidRPr="00757919">
        <w:rPr>
          <w:rFonts w:ascii="Times New Roman" w:eastAsia="Arial" w:hAnsi="Times New Roman" w:cs="Times New Roman"/>
          <w:sz w:val="24"/>
          <w:szCs w:val="24"/>
        </w:rPr>
        <w:t>). We have previously found miR-19a-3p to be positively associated with BB use, total femur BMD, and lumbar spine BMD</w:t>
      </w:r>
      <w:r w:rsidR="00766BFF">
        <w:rPr>
          <w:rFonts w:ascii="Times New Roman" w:eastAsia="Arial" w:hAnsi="Times New Roman" w:cs="Times New Roman"/>
          <w:sz w:val="24"/>
          <w:szCs w:val="24"/>
        </w:rPr>
        <w:fldChar w:fldCharType="begin"/>
      </w:r>
      <w:r w:rsidR="00A568A5">
        <w:rPr>
          <w:rFonts w:ascii="Times New Roman" w:eastAsia="Arial" w:hAnsi="Times New Roman" w:cs="Times New Roman"/>
          <w:sz w:val="24"/>
          <w:szCs w:val="24"/>
        </w:rPr>
        <w:instrText xml:space="preserve"> ADDIN ZOTERO_ITEM CSL_CITATION {"citationID":"P8U4KCRP","properties":{"formattedCitation":"\\super 31\\nosupersub{}","plainCitation":"31","noteIndex":0},"citationItems":[{"id":277,"uris":["http://zotero.org/users/3223062/items/64VSFIH9"],"uri":["http://zotero.org/users/3223062/items/64VSFIH9"],"itemData":{"id":277,"type":"article-journal","abstract":"Osteoporosis is a debilitating and costly disease that causes fractures in 33% of women and 20% of men over the age of 50 years. Recent studies have shown that beta blocker (BB) users have higher bone mineral density (BMD) and decreased risk of fracture compared to non-users. The mechanism underlying this association is thought to be due to suppression of adrenergic signaling in osteoblasts, which leads to increased BMD in rodent models; however the mechanism in humans is unknown. Also, several miRNAs are associated with adrenergic signaling and BMD in separate studies. To investigate potential miRNA mechanisms, we performed a cross-sectional analysis using clinical data, dual-energy X-ray absorptiometry (DXA) scans, and miRNA and mRNA profiling of whole blood from the Framingham Study's Offspring Cohort. We found nine miRNAs associated with BB use and increased BMD. In parallel network analyses we discovered a sub-network associated with BMD and BB use containing two of these nine miRNAs, miR-19a-3p and miR-186-5p. To strengthen this finding, we showed that these two miRNAs had significantly higher expression in individuals without incident fracture compared to those with fracture in an external data set. We also noted a similar trend in association between these miRNA and Z-score as calculated from heel ultrasound measures in two external cohorts (SOS-Hip and SHIP-TREND). Since miR-19a directly targets the ADRB1 mRNA transcript, we propose BB use may downregulate ADRB1 expression in osteoblasts through increased miR-19a-3p expression. We used enrichment analysis of miRNA targets to find potential indirect effects through insulin and parathyroid hormone signaling. This analysis provides a starting point for delineating the role of miRNA on the association between BB use and BMD. This article is protected by copyright. All rights reserved.","container-title":"Journal of Bone and Mineral Research","DOI":"10.1002/jbmr.4160","ISSN":"1523-4681","journalAbbreviation":"JBMR","note":"_eprint: https://asbmr.onlinelibrary.wiley.com/doi/pdf/10.1002/jbmr.4160","source":"Wiley Online Library","title":"miRNA Mechanisms Underlying the Association of Beta Blocker Use and Bone Mineral Density","URL":"https://asbmr.onlinelibrary.wiley.com/doi/abs/10.1002/jbmr.4160","author":[{"family":"Nevola","given":"Kathleen T."},{"family":"Kiel","given":"Douglas P."},{"family":"Zullo","given":"Andrew R."},{"family":"Weiss","given":"Stefan"},{"family":"Homuth","given":"Georg"},{"family":"Foessl","given":"Ines"},{"family":"Obermayer-Pietsch","given":"Barbara"},{"family":"Motyl","given":"Katherine J."},{"family":"Lary","given":"Christine W."}],"accessed":{"date-parts":[["2020",9,3]]},"issued":{"date-parts":[["2020",8]]}}}],"schema":"https://github.com/citation-style-language/schema/raw/master/csl-citation.json"} </w:instrText>
      </w:r>
      <w:r w:rsidR="00766BFF">
        <w:rPr>
          <w:rFonts w:ascii="Times New Roman" w:eastAsia="Arial" w:hAnsi="Times New Roman" w:cs="Times New Roman"/>
          <w:sz w:val="24"/>
          <w:szCs w:val="24"/>
        </w:rPr>
        <w:fldChar w:fldCharType="separate"/>
      </w:r>
      <w:r w:rsidR="00A568A5" w:rsidRPr="00A568A5">
        <w:rPr>
          <w:rFonts w:ascii="Times New Roman" w:hAnsi="Times New Roman" w:cs="Times New Roman"/>
          <w:sz w:val="24"/>
          <w:szCs w:val="24"/>
          <w:vertAlign w:val="superscript"/>
        </w:rPr>
        <w:t>31</w:t>
      </w:r>
      <w:r w:rsidR="00766BFF">
        <w:rPr>
          <w:rFonts w:ascii="Times New Roman" w:eastAsia="Arial" w:hAnsi="Times New Roman" w:cs="Times New Roman"/>
          <w:sz w:val="24"/>
          <w:szCs w:val="24"/>
        </w:rPr>
        <w:fldChar w:fldCharType="end"/>
      </w:r>
      <w:r w:rsidRPr="00757919">
        <w:rPr>
          <w:rFonts w:ascii="Times New Roman" w:eastAsia="Arial" w:hAnsi="Times New Roman" w:cs="Times New Roman"/>
          <w:sz w:val="24"/>
          <w:szCs w:val="24"/>
        </w:rPr>
        <w:t xml:space="preserve">. </w:t>
      </w:r>
      <w:r w:rsidR="00C82A24" w:rsidRPr="00757919">
        <w:rPr>
          <w:rFonts w:ascii="Times New Roman" w:eastAsia="Arial" w:hAnsi="Times New Roman" w:cs="Times New Roman"/>
          <w:i/>
          <w:iCs/>
          <w:sz w:val="24"/>
          <w:szCs w:val="24"/>
        </w:rPr>
        <w:t>ADRB1</w:t>
      </w:r>
      <w:r w:rsidRPr="00757919">
        <w:rPr>
          <w:rFonts w:ascii="Times New Roman" w:eastAsia="Arial" w:hAnsi="Times New Roman" w:cs="Times New Roman"/>
          <w:sz w:val="24"/>
          <w:szCs w:val="24"/>
        </w:rPr>
        <w:t xml:space="preserve"> is also a validated target of </w:t>
      </w:r>
      <w:r w:rsidR="00C82A24" w:rsidRPr="00757919">
        <w:rPr>
          <w:rFonts w:ascii="Times New Roman" w:eastAsia="Arial" w:hAnsi="Times New Roman" w:cs="Times New Roman"/>
          <w:sz w:val="24"/>
          <w:szCs w:val="24"/>
        </w:rPr>
        <w:t>miR-19a-3p</w:t>
      </w:r>
      <w:r w:rsidRPr="00757919">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{"citationID":"AXz9RLCk","properties":{"formattedCitation":"\\super 94\\nosupersub{}","plainCitation":"94","noteIndex":0},"citationItems":[{"id":492,"uris":["http://zotero.org/users/3223062/items/4HAIQG5L"],"uri":["http://zotero.org/users/3223062/items/4HAIQG5L"],"itemData":{"id":492,"type":"article-journal","abstract":"Beta1-adrenoreceptor (β1-AR) predominantly exists in the heart and β1-AR reduction is closely related to severity of heart failure (HF). In this study, our research focused on the miRNAs that may repress β1-AR directly, and aim to find out new markers and target molecules for HF. We first did Argonaute2 AGO2 knock down experiments and confirmed that endogenous adrenoceptor beta 1 (ADRB1) expression was suppressed by miRNAs. To further identify which miRNA suppress ADRB1 expression directly, we constructed the ADRB1 3’UTR reporter plasmid and selected sixteen candidate miRNAs. Confirmed by dual-luciferase assay and western blot, we found that miR-19a suppressed ADRB1 expression by directly targeting 3’UTR. Further expressions detection the levels of miR-19a, BNP and cAMP in 32 plasma samples of HF patients helped us to construct positive correlations between the expression levels of miR-19a and BNP or cAMP, hints miR-19a may be used as a biomarker in HF patients indicating cardiac function. In conclusion, this study confirmed miR-19a suppressed ADRB1 expression by directly targeting 3’UTR of ADRB1 and found an positive correlation between plasma miR-19a and BNP or cAMP levels in HF patients, which may contributes to fully understand the HF pathogenesis and develops new therapy for HF.","container-title":"International Journal of Clinical and Experimental Medicine","ISSN":"1940-5901","issue":"1","journalAbbreviation":"Int J Clin Exp Med","note":"PMID: 25785039\nPMCID: PMC4358494","page":"642-649","source":"PubMed Central","title":"MiR-19a overexpression contributes to heart failure through targeting ADRB1","volume":"8","author":[{"family":"Miao","given":"Ye"},{"family":"Chen","given":"Hui"},{"family":"Li","given":"Min"}],"issued":{"date-parts":[["2015",1,15]]}}}],"schema":"https://github.com/citation-style-language/schema/raw/master/csl-citation.json"} </w:instrText>
      </w:r>
      <w:r w:rsidRPr="00757919">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94</w:t>
      </w:r>
      <w:r w:rsidRPr="00757919">
        <w:rPr>
          <w:rFonts w:ascii="Times New Roman" w:eastAsia="Arial" w:hAnsi="Times New Roman" w:cs="Times New Roman"/>
          <w:sz w:val="24"/>
          <w:szCs w:val="24"/>
        </w:rPr>
        <w:fldChar w:fldCharType="end"/>
      </w:r>
      <w:r w:rsidRPr="00757919">
        <w:rPr>
          <w:rFonts w:ascii="Times New Roman" w:eastAsia="Arial" w:hAnsi="Times New Roman" w:cs="Times New Roman"/>
          <w:sz w:val="24"/>
          <w:szCs w:val="24"/>
        </w:rPr>
        <w:t xml:space="preserve">. </w:t>
      </w:r>
      <w:r w:rsidR="00325A56">
        <w:rPr>
          <w:rFonts w:ascii="Times New Roman" w:eastAsia="Arial" w:hAnsi="Times New Roman" w:cs="Times New Roman"/>
          <w:sz w:val="24"/>
          <w:szCs w:val="24"/>
        </w:rPr>
        <w:t>The r</w:t>
      </w:r>
      <w:r w:rsidRPr="00757919">
        <w:rPr>
          <w:rFonts w:ascii="Times New Roman" w:eastAsia="Arial" w:hAnsi="Times New Roman" w:cs="Times New Roman"/>
          <w:sz w:val="24"/>
          <w:szCs w:val="24"/>
        </w:rPr>
        <w:t xml:space="preserve">s11124190 </w:t>
      </w:r>
      <w:r w:rsidR="00C82A24" w:rsidRPr="00757919">
        <w:rPr>
          <w:rFonts w:ascii="Times New Roman" w:eastAsia="Arial" w:hAnsi="Times New Roman" w:cs="Times New Roman"/>
          <w:sz w:val="24"/>
          <w:szCs w:val="24"/>
        </w:rPr>
        <w:t>(</w:t>
      </w:r>
      <w:r w:rsidRPr="00757919">
        <w:rPr>
          <w:rFonts w:ascii="Times New Roman" w:eastAsia="Arial" w:hAnsi="Times New Roman" w:cs="Times New Roman"/>
          <w:i/>
          <w:iCs/>
          <w:sz w:val="24"/>
          <w:szCs w:val="24"/>
        </w:rPr>
        <w:t>HDAC4</w:t>
      </w:r>
      <w:r w:rsidR="00C82A24" w:rsidRPr="00757919">
        <w:rPr>
          <w:rFonts w:ascii="Times New Roman" w:eastAsia="Arial" w:hAnsi="Times New Roman" w:cs="Times New Roman"/>
          <w:sz w:val="24"/>
          <w:szCs w:val="24"/>
        </w:rPr>
        <w:t>)</w:t>
      </w:r>
      <w:r w:rsidRPr="00757919">
        <w:rPr>
          <w:rFonts w:ascii="Times New Roman" w:eastAsia="Arial" w:hAnsi="Times New Roman" w:cs="Times New Roman"/>
          <w:sz w:val="24"/>
          <w:szCs w:val="24"/>
        </w:rPr>
        <w:t xml:space="preserve"> </w:t>
      </w:r>
      <w:r w:rsidR="00CE7371">
        <w:rPr>
          <w:rFonts w:ascii="Times New Roman" w:eastAsia="Arial" w:hAnsi="Times New Roman" w:cs="Times New Roman"/>
          <w:sz w:val="24"/>
          <w:szCs w:val="24"/>
        </w:rPr>
        <w:t>polymorphism</w:t>
      </w:r>
      <w:r w:rsidR="00325A56">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 xml:space="preserve">was associated with decreased expression of miR-17-5p in female BB users (Figure </w:t>
      </w:r>
      <w:r w:rsidR="007B5A00" w:rsidRPr="00757919">
        <w:rPr>
          <w:rFonts w:ascii="Times New Roman" w:eastAsia="Arial" w:hAnsi="Times New Roman" w:cs="Times New Roman"/>
          <w:sz w:val="24"/>
          <w:szCs w:val="24"/>
        </w:rPr>
        <w:t>S</w:t>
      </w:r>
      <w:r w:rsidR="00E67DAD">
        <w:rPr>
          <w:rFonts w:ascii="Times New Roman" w:eastAsia="Arial" w:hAnsi="Times New Roman" w:cs="Times New Roman"/>
          <w:sz w:val="24"/>
          <w:szCs w:val="24"/>
        </w:rPr>
        <w:t>3</w:t>
      </w:r>
      <w:r w:rsidR="007B5A00" w:rsidRPr="00757919">
        <w:rPr>
          <w:rFonts w:ascii="Times New Roman" w:eastAsia="Arial" w:hAnsi="Times New Roman" w:cs="Times New Roman"/>
          <w:sz w:val="24"/>
          <w:szCs w:val="24"/>
        </w:rPr>
        <w:t>C, S</w:t>
      </w:r>
      <w:r w:rsidR="00E67DAD">
        <w:rPr>
          <w:rFonts w:ascii="Times New Roman" w:eastAsia="Arial" w:hAnsi="Times New Roman" w:cs="Times New Roman"/>
          <w:sz w:val="24"/>
          <w:szCs w:val="24"/>
        </w:rPr>
        <w:t>3</w:t>
      </w:r>
      <w:r w:rsidRPr="00757919">
        <w:rPr>
          <w:rFonts w:ascii="Times New Roman" w:eastAsia="Arial" w:hAnsi="Times New Roman" w:cs="Times New Roman"/>
          <w:sz w:val="24"/>
          <w:szCs w:val="24"/>
        </w:rPr>
        <w:t>D</w:t>
      </w:r>
      <w:r w:rsidR="00EC3C7C">
        <w:rPr>
          <w:rFonts w:ascii="Times New Roman" w:eastAsia="Arial" w:hAnsi="Times New Roman" w:cs="Times New Roman"/>
          <w:sz w:val="24"/>
          <w:szCs w:val="24"/>
          <w:vertAlign w:val="superscript"/>
        </w:rPr>
        <w:t>116</w:t>
      </w:r>
      <w:r w:rsidRPr="00757919">
        <w:rPr>
          <w:rFonts w:ascii="Times New Roman" w:eastAsia="Arial" w:hAnsi="Times New Roman" w:cs="Times New Roman"/>
          <w:sz w:val="24"/>
          <w:szCs w:val="24"/>
        </w:rPr>
        <w:t>). miR-17-5p is associated with osteoporosis (Table S</w:t>
      </w:r>
      <w:r w:rsidR="00B62652">
        <w:rPr>
          <w:rFonts w:ascii="Times New Roman" w:eastAsia="Arial" w:hAnsi="Times New Roman" w:cs="Times New Roman"/>
          <w:sz w:val="24"/>
          <w:szCs w:val="24"/>
        </w:rPr>
        <w:t>4</w:t>
      </w:r>
      <w:r w:rsidR="00EC3C7C">
        <w:rPr>
          <w:rFonts w:ascii="Times New Roman" w:eastAsia="Arial" w:hAnsi="Times New Roman" w:cs="Times New Roman"/>
          <w:sz w:val="24"/>
          <w:szCs w:val="24"/>
          <w:vertAlign w:val="superscript"/>
        </w:rPr>
        <w:t>116</w:t>
      </w:r>
      <w:r w:rsidRPr="00757919">
        <w:rPr>
          <w:rFonts w:ascii="Times New Roman" w:eastAsia="Arial" w:hAnsi="Times New Roman" w:cs="Times New Roman"/>
          <w:sz w:val="24"/>
          <w:szCs w:val="24"/>
        </w:rPr>
        <w:t>) and is a biomarker of osteoporosis and suppresses osteogenic differentiation</w:t>
      </w:r>
      <w:r w:rsidRPr="00757919">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{"citationID":"c9B8xzow","properties":{"formattedCitation":"\\super 76\\nosupersub{}","plainCitation":"76","noteIndex":0},"citationItems":[{"id":371,"uris":["http://zotero.org/users/3223062/items/7JF8DDTP"],"uri":["http://zotero.org/users/3223062/items/7JF8DDTP"],"itemData":{"id":371,"type":"article-journal","abstract":"Osteogenesis is a complex process which relies on the coordination of signals and transcription factors. BMP-2/Smad5 signal transduction pathway plays an important role in the process. Recent evidence indicates that microRNAs (miRNAs) act as important post-transcriptional regulators in a large number of biological processes including osteoblast differentiation. In this study, we investigated the effect of miR-106b-5p and miR-17-5p on osteogenic differentiation. We observed an obvious decreasement in miR-106b-5p and miR-17-5p levels during osteogenic differentiation. By using gain- and loss-of function experiments, we noticed that miR-106b-5p and miR-17-5p could suppress the osteogenic differentiation of C2C12 and MC3T3-E1 cells. In addition, we performed bioinformatic analysis, western blot and luciferase reporter assay to confirm that miR-106b-5p and miR-17-5p could regulate Smad5 expression negatively. When we inhibited Smad5 expression by siRNA, the effects of miR-106b-5p and miR-17-5p inhibition on osteogenesis of C2C12 cells could be significantly reversed by Smad5 RNA interference. Furthermore, silencing of miR-106b-5p and miR-17-5p in sham and ovariectomized (OVX) mice increased bone formation and bone mass, resulting in an improvement of trabecular microarchitecture. Taken together, these data showed that miR-106b-5p and miR-17-5p are novel Smad5 regulators, and they have a crucially physiological function in bone formation and osteoblast differentiation.","container-title":"Experimental Cell Research","DOI":"10.1016/j.yexcr.2016.07.010","ISSN":"0014-4827","issue":"1","journalAbbreviation":"Experimental Cell Research","language":"en","page":"74-82","source":"ScienceDirect","title":"miR-106b-5p and miR-17-5p suppress osteogenic differentiation by targeting Smad5 and inhibit bone formation","volume":"347","author":[{"family":"Fang","given":"Tao"},{"family":"Wu","given":"Qianqian"},{"family":"Zhou","given":"Long"},{"family":"Mu","given":"Shuai"},{"family":"Fu","given":"Qin"}],"issued":{"date-parts":[["2016",9,10]]}}}],"schema":"https://github.com/citation-style-language/schema/raw/master/csl-citation.json"} </w:instrText>
      </w:r>
      <w:r w:rsidRPr="00757919">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76</w:t>
      </w:r>
      <w:r w:rsidRPr="00757919">
        <w:rPr>
          <w:rFonts w:ascii="Times New Roman" w:eastAsia="Arial" w:hAnsi="Times New Roman" w:cs="Times New Roman"/>
          <w:sz w:val="24"/>
          <w:szCs w:val="24"/>
        </w:rPr>
        <w:fldChar w:fldCharType="end"/>
      </w:r>
      <w:r w:rsidRPr="00757919">
        <w:rPr>
          <w:rFonts w:ascii="Times New Roman" w:eastAsia="Arial" w:hAnsi="Times New Roman" w:cs="Times New Roman"/>
          <w:sz w:val="24"/>
          <w:szCs w:val="24"/>
        </w:rPr>
        <w:t xml:space="preserve">. In </w:t>
      </w:r>
      <w:r w:rsidR="001964C1">
        <w:rPr>
          <w:rFonts w:ascii="Times New Roman" w:eastAsia="Arial" w:hAnsi="Times New Roman" w:cs="Times New Roman"/>
          <w:i/>
          <w:iCs/>
          <w:sz w:val="24"/>
          <w:szCs w:val="24"/>
        </w:rPr>
        <w:t>TNFRSF11A (RANK)</w:t>
      </w:r>
      <w:r w:rsidRPr="00757919">
        <w:rPr>
          <w:rFonts w:ascii="Times New Roman" w:eastAsia="Arial" w:hAnsi="Times New Roman" w:cs="Times New Roman"/>
          <w:sz w:val="24"/>
          <w:szCs w:val="24"/>
        </w:rPr>
        <w:t xml:space="preserve">, rs34170507 was associated with decreased expression of miR-31-5p in male BB users (Figure </w:t>
      </w:r>
      <w:r w:rsidR="007B5A00" w:rsidRPr="00757919">
        <w:rPr>
          <w:rFonts w:ascii="Times New Roman" w:eastAsia="Arial" w:hAnsi="Times New Roman" w:cs="Times New Roman"/>
          <w:sz w:val="24"/>
          <w:szCs w:val="24"/>
        </w:rPr>
        <w:t>S</w:t>
      </w:r>
      <w:r w:rsidR="00E67DAD">
        <w:rPr>
          <w:rFonts w:ascii="Times New Roman" w:eastAsia="Arial" w:hAnsi="Times New Roman" w:cs="Times New Roman"/>
          <w:sz w:val="24"/>
          <w:szCs w:val="24"/>
        </w:rPr>
        <w:t>4</w:t>
      </w:r>
      <w:r w:rsidRPr="00757919">
        <w:rPr>
          <w:rFonts w:ascii="Times New Roman" w:eastAsia="Arial" w:hAnsi="Times New Roman" w:cs="Times New Roman"/>
          <w:sz w:val="24"/>
          <w:szCs w:val="24"/>
        </w:rPr>
        <w:t>A</w:t>
      </w:r>
      <w:r w:rsidR="007B5A00" w:rsidRPr="00757919">
        <w:rPr>
          <w:rFonts w:ascii="Times New Roman" w:eastAsia="Arial" w:hAnsi="Times New Roman" w:cs="Times New Roman"/>
          <w:sz w:val="24"/>
          <w:szCs w:val="24"/>
        </w:rPr>
        <w:t>, S</w:t>
      </w:r>
      <w:r w:rsidR="00E67DAD">
        <w:rPr>
          <w:rFonts w:ascii="Times New Roman" w:eastAsia="Arial" w:hAnsi="Times New Roman" w:cs="Times New Roman"/>
          <w:sz w:val="24"/>
          <w:szCs w:val="24"/>
        </w:rPr>
        <w:t>4</w:t>
      </w:r>
      <w:r w:rsidRPr="00757919">
        <w:rPr>
          <w:rFonts w:ascii="Times New Roman" w:eastAsia="Arial" w:hAnsi="Times New Roman" w:cs="Times New Roman"/>
          <w:sz w:val="24"/>
          <w:szCs w:val="24"/>
        </w:rPr>
        <w:t>B</w:t>
      </w:r>
      <w:r w:rsidR="00EC3C7C">
        <w:rPr>
          <w:rFonts w:ascii="Times New Roman" w:eastAsia="Arial" w:hAnsi="Times New Roman" w:cs="Times New Roman"/>
          <w:sz w:val="24"/>
          <w:szCs w:val="24"/>
          <w:vertAlign w:val="superscript"/>
        </w:rPr>
        <w:t>116</w:t>
      </w:r>
      <w:r w:rsidRPr="00757919">
        <w:rPr>
          <w:rFonts w:ascii="Times New Roman" w:eastAsia="Arial" w:hAnsi="Times New Roman" w:cs="Times New Roman"/>
          <w:sz w:val="24"/>
          <w:szCs w:val="24"/>
        </w:rPr>
        <w:t>) and miR-31-5p suppresses osteogenic differentiation</w:t>
      </w:r>
      <w:r w:rsidR="00C840F2">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{"citationID":"9tXTa3Ym","properties":{"formattedCitation":"\\super 95\\nosupersub{}","plainCitation":"95","noteIndex":0},"citationItems":[{"id":373,"uris":["http://zotero.org/users/3223062/items/QLZ7W4VG"],"uri":["http://zotero.org/users/3223062/items/QLZ7W4VG"],"itemData":{"id":373,"type":"article-journal","abstract":"Damage to cells and tissues is one of the driving forces of aging and age-related diseases. Various repair systems are in place to counteract this functional decline. In particular, the property of adult stem cells to self-renew and differentiate is essential for tissue homeostasis and regeneration. However, their functionality declines with age (Rando, 2006). One organ that is notably affected by the reduced differentiation capacity of stem cells with age is the skeleton. Here, we found that circulating microvesicles impact on the osteogenic differentiation capacity of mesenchymal stem cells in a donor-age-dependent way. While searching for factors mediating the inhibitory effect of elderly derived microvesicles on osteogenesis, we identified miR-31 as a crucial component. We demonstrated that miR-31 is present at elevated levels in the plasma of elderly and of osteoporosis patients. As a potential source of its secretion, we identified senescent endothelial cells, which are known to increase during aging in vivo (Erusalimsky, 2009). Endothelial miR-31 is secreted within senescent cell-derived microvesicles and taken up by mesenchymal stem cells where it inhibits osteogenic differentiation by knocking down its target Frizzled-3. Therefore, we suggest that microvesicular miR-31 in the plasma of elderly might play a role in the pathogenesis of age-related impaired bone formation and that miR-31 might be a valuable plasma-based biomarker for aging and for a systemic environment that does not favor cell-based therapies whenever osteogenesis is a limiting factor.","container-title":"Aging Cell","DOI":"10.1111/acel.12484","ISSN":"1474-9726","issue":"4","language":"en","note":"_eprint: https://onlinelibrary.wiley.com/doi/pdf/10.1111/acel.12484","page":"744-754","source":"Wiley Online Library","title":"Secreted microvesicular miR-31 inhibits osteogenic differentiation of mesenchymal stem cells","volume":"15","author":[{"family":"Weilner","given":"Sylvia"},{"family":"Schraml","given":"Elisabeth"},{"family":"Wieser","given":"Matthias"},{"family":"Messner","given":"Paul"},{"family":"Schneider","given":"Karl"},{"family":"Wassermann","given":"Klemens"},{"family":"Micutkova","given":"Lucia"},{"family":"Fortschegger","given":"Klaus"},{"family":"Maier","given":"Andrea B."},{"family":"Westendorp","given":"Rudi"},{"family":"Resch","given":"Heinrich"},{"family":"Wolbank","given":"Susanne"},{"family":"Redl","given":"Heinz"},{"family":"Jansen‐Dürr","given":"Pidder"},{"family":"Pietschmann","given":"Peter"},{"family":"Grillari‐Voglauer","given":"Regina"},{"family":"Grillari","given":"Johannes"}],"issued":{"date-parts":[["2016"]]}}}],"schema":"https://github.com/citation-style-language/schema/raw/master/csl-citation.json"} </w:instrText>
      </w:r>
      <w:r w:rsidR="00C840F2">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95</w:t>
      </w:r>
      <w:r w:rsidR="00C840F2">
        <w:rPr>
          <w:rFonts w:ascii="Times New Roman" w:eastAsia="Arial" w:hAnsi="Times New Roman" w:cs="Times New Roman"/>
          <w:sz w:val="24"/>
          <w:szCs w:val="24"/>
        </w:rPr>
        <w:fldChar w:fldCharType="end"/>
      </w:r>
      <w:r w:rsidRPr="00757919">
        <w:rPr>
          <w:rFonts w:ascii="Times New Roman" w:eastAsia="Arial" w:hAnsi="Times New Roman" w:cs="Times New Roman"/>
          <w:sz w:val="24"/>
          <w:szCs w:val="24"/>
        </w:rPr>
        <w:t xml:space="preserve">. Finally, rs6567268 </w:t>
      </w:r>
      <w:r w:rsidR="00C82A24" w:rsidRPr="00757919">
        <w:rPr>
          <w:rFonts w:ascii="Times New Roman" w:eastAsia="Arial" w:hAnsi="Times New Roman" w:cs="Times New Roman"/>
          <w:sz w:val="24"/>
          <w:szCs w:val="24"/>
        </w:rPr>
        <w:t>(</w:t>
      </w:r>
      <w:r w:rsidR="00FF1C50">
        <w:rPr>
          <w:rFonts w:ascii="Times New Roman" w:eastAsia="Arial" w:hAnsi="Times New Roman" w:cs="Times New Roman"/>
          <w:i/>
          <w:iCs/>
          <w:sz w:val="24"/>
          <w:szCs w:val="24"/>
        </w:rPr>
        <w:t xml:space="preserve">TNFRSF11A </w:t>
      </w:r>
      <w:r w:rsidR="00FF1C50" w:rsidRPr="002C2316">
        <w:rPr>
          <w:rFonts w:ascii="Times New Roman" w:eastAsia="Arial" w:hAnsi="Times New Roman" w:cs="Times New Roman"/>
          <w:sz w:val="24"/>
          <w:szCs w:val="24"/>
        </w:rPr>
        <w:t>or</w:t>
      </w:r>
      <w:r w:rsidR="00FF1C50">
        <w:rPr>
          <w:rFonts w:ascii="Times New Roman" w:eastAsia="Arial" w:hAnsi="Times New Roman" w:cs="Times New Roman"/>
          <w:i/>
          <w:iCs/>
          <w:sz w:val="24"/>
          <w:szCs w:val="24"/>
        </w:rPr>
        <w:t xml:space="preserve"> RANK</w:t>
      </w:r>
      <w:r w:rsidR="00C82A24" w:rsidRPr="00757919">
        <w:rPr>
          <w:rFonts w:ascii="Times New Roman" w:eastAsia="Arial" w:hAnsi="Times New Roman" w:cs="Times New Roman"/>
          <w:sz w:val="24"/>
          <w:szCs w:val="24"/>
        </w:rPr>
        <w:t>)</w:t>
      </w:r>
      <w:r w:rsidRPr="00757919">
        <w:rPr>
          <w:rFonts w:ascii="Times New Roman" w:eastAsia="Arial" w:hAnsi="Times New Roman" w:cs="Times New Roman"/>
          <w:sz w:val="24"/>
          <w:szCs w:val="24"/>
        </w:rPr>
        <w:t xml:space="preserve"> was associated with increased expression of let-7g-5p and miR-374a-5p </w:t>
      </w:r>
      <w:r w:rsidRPr="00757919">
        <w:rPr>
          <w:rFonts w:ascii="Times New Roman" w:eastAsia="Arial" w:hAnsi="Times New Roman" w:cs="Times New Roman"/>
          <w:sz w:val="24"/>
          <w:szCs w:val="24"/>
        </w:rPr>
        <w:lastRenderedPageBreak/>
        <w:t xml:space="preserve">in male BB users (Figure </w:t>
      </w:r>
      <w:r w:rsidR="007B5A00" w:rsidRPr="00757919">
        <w:rPr>
          <w:rFonts w:ascii="Times New Roman" w:eastAsia="Arial" w:hAnsi="Times New Roman" w:cs="Times New Roman"/>
          <w:sz w:val="24"/>
          <w:szCs w:val="24"/>
        </w:rPr>
        <w:t>S</w:t>
      </w:r>
      <w:r w:rsidR="00E67DAD">
        <w:rPr>
          <w:rFonts w:ascii="Times New Roman" w:eastAsia="Arial" w:hAnsi="Times New Roman" w:cs="Times New Roman"/>
          <w:sz w:val="24"/>
          <w:szCs w:val="24"/>
        </w:rPr>
        <w:t>4</w:t>
      </w:r>
      <w:r w:rsidR="007B5A00" w:rsidRPr="00757919">
        <w:rPr>
          <w:rFonts w:ascii="Times New Roman" w:eastAsia="Arial" w:hAnsi="Times New Roman" w:cs="Times New Roman"/>
          <w:sz w:val="24"/>
          <w:szCs w:val="24"/>
        </w:rPr>
        <w:t>C, S</w:t>
      </w:r>
      <w:r w:rsidR="00E67DAD">
        <w:rPr>
          <w:rFonts w:ascii="Times New Roman" w:eastAsia="Arial" w:hAnsi="Times New Roman" w:cs="Times New Roman"/>
          <w:sz w:val="24"/>
          <w:szCs w:val="24"/>
        </w:rPr>
        <w:t>4</w:t>
      </w:r>
      <w:r w:rsidR="007B5A00" w:rsidRPr="00757919">
        <w:rPr>
          <w:rFonts w:ascii="Times New Roman" w:eastAsia="Arial" w:hAnsi="Times New Roman" w:cs="Times New Roman"/>
          <w:sz w:val="24"/>
          <w:szCs w:val="24"/>
        </w:rPr>
        <w:t>D, S</w:t>
      </w:r>
      <w:r w:rsidR="00E67DAD">
        <w:rPr>
          <w:rFonts w:ascii="Times New Roman" w:eastAsia="Arial" w:hAnsi="Times New Roman" w:cs="Times New Roman"/>
          <w:sz w:val="24"/>
          <w:szCs w:val="24"/>
        </w:rPr>
        <w:t>4</w:t>
      </w:r>
      <w:r w:rsidRPr="00757919">
        <w:rPr>
          <w:rFonts w:ascii="Times New Roman" w:eastAsia="Arial" w:hAnsi="Times New Roman" w:cs="Times New Roman"/>
          <w:sz w:val="24"/>
          <w:szCs w:val="24"/>
        </w:rPr>
        <w:t>E</w:t>
      </w:r>
      <w:r w:rsidR="00EC3C7C">
        <w:rPr>
          <w:rFonts w:ascii="Times New Roman" w:eastAsia="Arial" w:hAnsi="Times New Roman" w:cs="Times New Roman"/>
          <w:sz w:val="24"/>
          <w:szCs w:val="24"/>
          <w:vertAlign w:val="superscript"/>
        </w:rPr>
        <w:t>116</w:t>
      </w:r>
      <w:r w:rsidRPr="00757919">
        <w:rPr>
          <w:rFonts w:ascii="Times New Roman" w:eastAsia="Arial" w:hAnsi="Times New Roman" w:cs="Times New Roman"/>
          <w:sz w:val="24"/>
          <w:szCs w:val="24"/>
        </w:rPr>
        <w:t xml:space="preserve">). Let-7g-5p and miR-374a-5p </w:t>
      </w:r>
      <w:r w:rsidR="00C840F2">
        <w:rPr>
          <w:rFonts w:ascii="Times New Roman" w:eastAsia="Arial" w:hAnsi="Times New Roman" w:cs="Times New Roman"/>
          <w:sz w:val="24"/>
          <w:szCs w:val="24"/>
        </w:rPr>
        <w:t xml:space="preserve">target </w:t>
      </w:r>
      <w:r w:rsidR="00C840F2">
        <w:rPr>
          <w:rFonts w:ascii="Times New Roman" w:eastAsia="Arial" w:hAnsi="Times New Roman" w:cs="Times New Roman"/>
          <w:i/>
          <w:iCs/>
          <w:sz w:val="24"/>
          <w:szCs w:val="24"/>
        </w:rPr>
        <w:t xml:space="preserve">TNFRSF11A </w:t>
      </w:r>
      <w:r w:rsidR="00C840F2" w:rsidRPr="002E3FE0">
        <w:rPr>
          <w:rFonts w:ascii="Times New Roman" w:eastAsia="Arial" w:hAnsi="Times New Roman" w:cs="Times New Roman"/>
          <w:sz w:val="24"/>
          <w:szCs w:val="24"/>
        </w:rPr>
        <w:t>(</w:t>
      </w:r>
      <w:r w:rsidR="00C840F2">
        <w:rPr>
          <w:rFonts w:ascii="Times New Roman" w:eastAsia="Arial" w:hAnsi="Times New Roman" w:cs="Times New Roman"/>
          <w:i/>
          <w:iCs/>
          <w:sz w:val="24"/>
          <w:szCs w:val="24"/>
        </w:rPr>
        <w:t>RANK</w:t>
      </w:r>
      <w:r w:rsidR="00C840F2" w:rsidRPr="002E3FE0">
        <w:rPr>
          <w:rFonts w:ascii="Times New Roman" w:eastAsia="Arial" w:hAnsi="Times New Roman" w:cs="Times New Roman"/>
          <w:sz w:val="24"/>
          <w:szCs w:val="24"/>
        </w:rPr>
        <w:t>)</w:t>
      </w:r>
      <w:r w:rsidR="00C840F2">
        <w:rPr>
          <w:rFonts w:ascii="Times New Roman" w:eastAsia="Arial" w:hAnsi="Times New Roman" w:cs="Times New Roman"/>
          <w:sz w:val="24"/>
          <w:szCs w:val="24"/>
        </w:rPr>
        <w:t xml:space="preserve"> mRNA and </w:t>
      </w:r>
      <w:r w:rsidRPr="00757919">
        <w:rPr>
          <w:rFonts w:ascii="Times New Roman" w:eastAsia="Arial" w:hAnsi="Times New Roman" w:cs="Times New Roman"/>
          <w:sz w:val="24"/>
          <w:szCs w:val="24"/>
        </w:rPr>
        <w:t xml:space="preserve">suppress </w:t>
      </w:r>
      <w:r w:rsidR="00C840F2" w:rsidRPr="002C2316">
        <w:rPr>
          <w:rFonts w:ascii="Times New Roman" w:eastAsia="Arial" w:hAnsi="Times New Roman" w:cs="Times New Roman"/>
          <w:sz w:val="24"/>
          <w:szCs w:val="24"/>
        </w:rPr>
        <w:t>its</w:t>
      </w:r>
      <w:r w:rsidRPr="00757919">
        <w:rPr>
          <w:rFonts w:ascii="Times New Roman" w:eastAsia="Arial" w:hAnsi="Times New Roman" w:cs="Times New Roman"/>
          <w:sz w:val="24"/>
          <w:szCs w:val="24"/>
        </w:rPr>
        <w:t xml:space="preserve"> expression</w:t>
      </w:r>
      <w:r w:rsidR="00855903">
        <w:rPr>
          <w:rFonts w:ascii="Times New Roman" w:eastAsia="Arial" w:hAnsi="Times New Roman" w:cs="Times New Roman"/>
          <w:sz w:val="24"/>
          <w:szCs w:val="24"/>
        </w:rPr>
        <w:t xml:space="preserve"> (found using </w:t>
      </w:r>
      <w:proofErr w:type="spellStart"/>
      <w:r w:rsidR="00855903">
        <w:rPr>
          <w:rFonts w:ascii="Times New Roman" w:eastAsia="Arial" w:hAnsi="Times New Roman" w:cs="Times New Roman"/>
          <w:sz w:val="24"/>
          <w:szCs w:val="24"/>
        </w:rPr>
        <w:t>multiMir</w:t>
      </w:r>
      <w:proofErr w:type="spellEnd"/>
      <w:r w:rsidR="00855903">
        <w:rPr>
          <w:rFonts w:ascii="Times New Roman" w:eastAsia="Arial" w:hAnsi="Times New Roman" w:cs="Times New Roman"/>
          <w:sz w:val="24"/>
          <w:szCs w:val="24"/>
        </w:rPr>
        <w:t xml:space="preserve"> R package</w:t>
      </w:r>
      <w:r w:rsidR="00C840F2">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{"citationID":"CRlNr3v4","properties":{"formattedCitation":"\\super 74\\nosupersub{}","plainCitation":"74","noteIndex":0},"citationItems":[{"id":358,"uris":["http://zotero.org/users/3223062/items/SNAJ4Y9P"],"uri":["http://zotero.org/users/3223062/items/SNAJ4Y9P"],"itemData":{"id":358,"type":"article-journal","abstract":"Abstract.  microRNAs (miRNAs) regulate expression by promoting degradation or repressing translation of target transcripts. miRNA target sites have been catalog","container-title":"Nucleic Acids Research","DOI":"10.1093/nar/gku631","ISSN":"0305-1048","issue":"17","journalAbbreviation":"Nucleic Acids Res","language":"en","note":"publisher: Oxford Academic","page":"e133-e133","source":"academic.oup.com","title":"The multiMiR R package and database: integration of microRNA–target interactions along with their disease and drug associations","title-short":"The multiMiR R package and database","volume":"42","author":[{"family":"Ru","given":"Yuanbin"},{"family":"Kechris","given":"Katerina J."},{"family":"Tabakoff","given":"Boris"},{"family":"Hoffman","given":"Paula"},{"family":"Radcliffe","given":"Richard A."},{"family":"Bowler","given":"Russell"},{"family":"Mahaffey","given":"Spencer"},{"family":"Rossi","given":"Simona"},{"family":"Calin","given":"George A."},{"family":"Bemis","given":"Lynne"},{"family":"Theodorescu","given":"Dan"}],"issued":{"date-parts":[["2014",9,29]]}}}],"schema":"https://github.com/citation-style-language/schema/raw/master/csl-citation.json"} </w:instrText>
      </w:r>
      <w:r w:rsidR="00C840F2">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74</w:t>
      </w:r>
      <w:r w:rsidR="00C840F2">
        <w:rPr>
          <w:rFonts w:ascii="Times New Roman" w:eastAsia="Arial" w:hAnsi="Times New Roman" w:cs="Times New Roman"/>
          <w:sz w:val="24"/>
          <w:szCs w:val="24"/>
        </w:rPr>
        <w:fldChar w:fldCharType="end"/>
      </w:r>
      <w:r w:rsidR="00855903">
        <w:rPr>
          <w:rFonts w:ascii="Times New Roman" w:eastAsia="Arial" w:hAnsi="Times New Roman" w:cs="Times New Roman"/>
          <w:sz w:val="24"/>
          <w:szCs w:val="24"/>
        </w:rPr>
        <w:t>)</w:t>
      </w:r>
      <w:r w:rsidRPr="00757919">
        <w:rPr>
          <w:rFonts w:ascii="Times New Roman" w:eastAsia="Arial" w:hAnsi="Times New Roman" w:cs="Times New Roman"/>
          <w:sz w:val="24"/>
          <w:szCs w:val="24"/>
        </w:rPr>
        <w:t xml:space="preserve">. These miRNAs may provide insights into potential mechanisms by which BB users with the alternative allele of these genetic </w:t>
      </w:r>
      <w:r w:rsidR="00CE7371">
        <w:rPr>
          <w:rFonts w:ascii="Times New Roman" w:eastAsia="Arial" w:hAnsi="Times New Roman" w:cs="Times New Roman"/>
          <w:sz w:val="24"/>
          <w:szCs w:val="24"/>
        </w:rPr>
        <w:t>polymorphism</w:t>
      </w:r>
      <w:r w:rsidRPr="00757919">
        <w:rPr>
          <w:rFonts w:ascii="Times New Roman" w:eastAsia="Arial" w:hAnsi="Times New Roman" w:cs="Times New Roman"/>
          <w:sz w:val="24"/>
          <w:szCs w:val="24"/>
        </w:rPr>
        <w:t>s tend to have higher BMD (Figure 4).</w:t>
      </w:r>
    </w:p>
    <w:p w14:paraId="52457E80" w14:textId="44F8B82C" w:rsidR="002900F2" w:rsidRDefault="002900F2" w:rsidP="00864F3F">
      <w:pPr>
        <w:spacing w:line="480" w:lineRule="auto"/>
        <w:rPr>
          <w:rFonts w:ascii="Times New Roman" w:eastAsia="Arial" w:hAnsi="Times New Roman" w:cs="Times New Roman"/>
          <w:i/>
          <w:sz w:val="24"/>
          <w:szCs w:val="24"/>
        </w:rPr>
      </w:pPr>
      <w:r>
        <w:rPr>
          <w:rFonts w:ascii="Times New Roman" w:eastAsia="Arial" w:hAnsi="Times New Roman" w:cs="Times New Roman"/>
          <w:i/>
          <w:sz w:val="24"/>
          <w:szCs w:val="24"/>
        </w:rPr>
        <w:t>Sensitivity Analyses</w:t>
      </w:r>
    </w:p>
    <w:p w14:paraId="595E755E" w14:textId="48A47A41" w:rsidR="001C0538" w:rsidRDefault="00766BFF" w:rsidP="001C0538">
      <w:pPr>
        <w:spacing w:line="480" w:lineRule="auto"/>
        <w:rPr>
          <w:rFonts w:ascii="Times New Roman" w:hAnsi="Times New Roman" w:cs="Times New Roman"/>
          <w:sz w:val="24"/>
          <w:szCs w:val="24"/>
        </w:rPr>
      </w:pPr>
      <w:r>
        <w:rPr>
          <w:rFonts w:ascii="Times New Roman" w:hAnsi="Times New Roman" w:cs="Times New Roman"/>
          <w:sz w:val="24"/>
          <w:szCs w:val="24"/>
        </w:rPr>
        <w:t>Since</w:t>
      </w:r>
      <w:r w:rsidR="001C0538" w:rsidRPr="00D60211">
        <w:rPr>
          <w:rFonts w:ascii="Times New Roman" w:hAnsi="Times New Roman" w:cs="Times New Roman"/>
          <w:sz w:val="24"/>
          <w:szCs w:val="24"/>
        </w:rPr>
        <w:t xml:space="preserve"> BBs are used for several treatment indications</w:t>
      </w:r>
      <w:r w:rsidR="001C0538">
        <w:rPr>
          <w:rFonts w:ascii="Times New Roman" w:hAnsi="Times New Roman" w:cs="Times New Roman"/>
          <w:sz w:val="24"/>
          <w:szCs w:val="24"/>
        </w:rPr>
        <w:t xml:space="preserve">, and </w:t>
      </w:r>
      <w:r w:rsidR="001C0538" w:rsidRPr="00D60211">
        <w:rPr>
          <w:rFonts w:ascii="Times New Roman" w:hAnsi="Times New Roman" w:cs="Times New Roman"/>
          <w:sz w:val="24"/>
          <w:szCs w:val="24"/>
        </w:rPr>
        <w:t xml:space="preserve">BB users may be taking other medications </w:t>
      </w:r>
      <w:r w:rsidR="001C0538">
        <w:rPr>
          <w:rFonts w:ascii="Times New Roman" w:hAnsi="Times New Roman" w:cs="Times New Roman"/>
          <w:sz w:val="24"/>
          <w:szCs w:val="24"/>
        </w:rPr>
        <w:t xml:space="preserve">or have comorbidities </w:t>
      </w:r>
      <w:r w:rsidR="001C0538" w:rsidRPr="00D60211">
        <w:rPr>
          <w:rFonts w:ascii="Times New Roman" w:hAnsi="Times New Roman" w:cs="Times New Roman"/>
          <w:sz w:val="24"/>
          <w:szCs w:val="24"/>
        </w:rPr>
        <w:t>that may influence BMD</w:t>
      </w:r>
      <w:r w:rsidR="001C0538">
        <w:rPr>
          <w:rFonts w:ascii="Times New Roman" w:hAnsi="Times New Roman" w:cs="Times New Roman"/>
          <w:sz w:val="24"/>
          <w:szCs w:val="24"/>
        </w:rPr>
        <w:t xml:space="preserve">, </w:t>
      </w:r>
      <w:r w:rsidR="001C0538" w:rsidRPr="00D60211">
        <w:rPr>
          <w:rFonts w:ascii="Times New Roman" w:hAnsi="Times New Roman" w:cs="Times New Roman"/>
          <w:sz w:val="24"/>
          <w:szCs w:val="24"/>
        </w:rPr>
        <w:t>we performed a series of sensitivity analyses to address potential confounding</w:t>
      </w:r>
      <w:r w:rsidR="001C0538">
        <w:rPr>
          <w:rFonts w:ascii="Times New Roman" w:hAnsi="Times New Roman" w:cs="Times New Roman"/>
          <w:sz w:val="24"/>
          <w:szCs w:val="24"/>
        </w:rPr>
        <w:t xml:space="preserve"> in our top two validated genetic variants in females</w:t>
      </w:r>
      <w:r w:rsidR="001C0538" w:rsidRPr="00D60211">
        <w:rPr>
          <w:rFonts w:ascii="Times New Roman" w:hAnsi="Times New Roman" w:cs="Times New Roman"/>
          <w:sz w:val="24"/>
          <w:szCs w:val="24"/>
        </w:rPr>
        <w:t xml:space="preserve">. </w:t>
      </w:r>
      <w:r>
        <w:rPr>
          <w:rFonts w:ascii="Times New Roman" w:hAnsi="Times New Roman" w:cs="Times New Roman"/>
          <w:sz w:val="24"/>
          <w:szCs w:val="24"/>
        </w:rPr>
        <w:t>T</w:t>
      </w:r>
      <w:r w:rsidR="001C0538">
        <w:rPr>
          <w:rFonts w:ascii="Times New Roman" w:hAnsi="Times New Roman" w:cs="Times New Roman"/>
          <w:sz w:val="24"/>
          <w:szCs w:val="24"/>
        </w:rPr>
        <w:t xml:space="preserve">he number of individuals in each medication or comorbidity category </w:t>
      </w:r>
      <w:r>
        <w:rPr>
          <w:rFonts w:ascii="Times New Roman" w:hAnsi="Times New Roman" w:cs="Times New Roman"/>
          <w:sz w:val="24"/>
          <w:szCs w:val="24"/>
        </w:rPr>
        <w:t xml:space="preserve">is summarized </w:t>
      </w:r>
      <w:r w:rsidR="001C0538">
        <w:rPr>
          <w:rFonts w:ascii="Times New Roman" w:hAnsi="Times New Roman" w:cs="Times New Roman"/>
          <w:sz w:val="24"/>
          <w:szCs w:val="24"/>
        </w:rPr>
        <w:t>in Table S2</w:t>
      </w:r>
      <w:r w:rsidR="007309CD">
        <w:rPr>
          <w:rFonts w:ascii="Times New Roman" w:hAnsi="Times New Roman" w:cs="Times New Roman"/>
          <w:sz w:val="24"/>
          <w:szCs w:val="24"/>
          <w:vertAlign w:val="superscript"/>
        </w:rPr>
        <w:t>116</w:t>
      </w:r>
      <w:r w:rsidR="001C0538">
        <w:rPr>
          <w:rFonts w:ascii="Times New Roman" w:hAnsi="Times New Roman" w:cs="Times New Roman"/>
          <w:sz w:val="24"/>
          <w:szCs w:val="24"/>
        </w:rPr>
        <w:t>. First</w:t>
      </w:r>
      <w:r>
        <w:rPr>
          <w:rFonts w:ascii="Times New Roman" w:hAnsi="Times New Roman" w:cs="Times New Roman"/>
          <w:sz w:val="24"/>
          <w:szCs w:val="24"/>
        </w:rPr>
        <w:t>,</w:t>
      </w:r>
      <w:r w:rsidR="001C0538">
        <w:rPr>
          <w:rFonts w:ascii="Times New Roman" w:hAnsi="Times New Roman" w:cs="Times New Roman"/>
          <w:sz w:val="24"/>
          <w:szCs w:val="24"/>
        </w:rPr>
        <w:t xml:space="preserve"> we repeated our primary analysis excluding medications taken for bone disease (see Methods) and found the interaction effect of BB use and SNP (number of alternative alleles) to be almost identical to the original model</w:t>
      </w:r>
      <w:r w:rsidR="001555D2">
        <w:rPr>
          <w:rFonts w:ascii="Times New Roman" w:hAnsi="Times New Roman" w:cs="Times New Roman"/>
          <w:sz w:val="24"/>
          <w:szCs w:val="24"/>
        </w:rPr>
        <w:t xml:space="preserve"> (Table S6</w:t>
      </w:r>
      <w:r w:rsidR="007309CD">
        <w:rPr>
          <w:rFonts w:ascii="Times New Roman" w:hAnsi="Times New Roman" w:cs="Times New Roman"/>
          <w:sz w:val="24"/>
          <w:szCs w:val="24"/>
          <w:vertAlign w:val="superscript"/>
        </w:rPr>
        <w:t>116</w:t>
      </w:r>
      <w:r w:rsidR="001C0538">
        <w:rPr>
          <w:rFonts w:ascii="Times New Roman" w:hAnsi="Times New Roman" w:cs="Times New Roman"/>
          <w:sz w:val="24"/>
          <w:szCs w:val="24"/>
        </w:rPr>
        <w:t xml:space="preserve">) with an effect size of </w:t>
      </w:r>
      <w:r w:rsidR="001C0538" w:rsidRPr="00C93BA4">
        <w:rPr>
          <w:rFonts w:ascii="Times New Roman" w:hAnsi="Times New Roman" w:cs="Times New Roman"/>
          <w:sz w:val="24"/>
          <w:szCs w:val="24"/>
        </w:rPr>
        <w:t>0.04</w:t>
      </w:r>
      <w:r w:rsidR="001C0538">
        <w:rPr>
          <w:rFonts w:ascii="Times New Roman" w:hAnsi="Times New Roman" w:cs="Times New Roman"/>
          <w:sz w:val="24"/>
          <w:szCs w:val="24"/>
        </w:rPr>
        <w:t xml:space="preserve">2 (standard error </w:t>
      </w:r>
      <w:r w:rsidR="001C0538" w:rsidRPr="00C93BA4">
        <w:rPr>
          <w:rFonts w:ascii="Times New Roman" w:hAnsi="Times New Roman" w:cs="Times New Roman"/>
          <w:sz w:val="24"/>
          <w:szCs w:val="24"/>
        </w:rPr>
        <w:t>0.02</w:t>
      </w:r>
      <w:r w:rsidR="001C0538">
        <w:rPr>
          <w:rFonts w:ascii="Times New Roman" w:hAnsi="Times New Roman" w:cs="Times New Roman"/>
          <w:sz w:val="24"/>
          <w:szCs w:val="24"/>
        </w:rPr>
        <w:t xml:space="preserve">4) for the </w:t>
      </w:r>
      <w:r w:rsidR="001C0538" w:rsidRPr="002C2316">
        <w:rPr>
          <w:rFonts w:ascii="Times New Roman" w:hAnsi="Times New Roman" w:cs="Times New Roman"/>
          <w:i/>
          <w:sz w:val="24"/>
          <w:szCs w:val="24"/>
        </w:rPr>
        <w:t>ADRB1</w:t>
      </w:r>
      <w:r w:rsidR="001C0538">
        <w:rPr>
          <w:rFonts w:ascii="Times New Roman" w:hAnsi="Times New Roman" w:cs="Times New Roman"/>
          <w:sz w:val="24"/>
          <w:szCs w:val="24"/>
        </w:rPr>
        <w:t xml:space="preserve"> SNP and </w:t>
      </w:r>
      <w:r w:rsidR="001C0538" w:rsidRPr="001C0538">
        <w:rPr>
          <w:rFonts w:ascii="Times New Roman" w:hAnsi="Times New Roman" w:cs="Times New Roman"/>
          <w:sz w:val="24"/>
          <w:szCs w:val="24"/>
        </w:rPr>
        <w:t>0.053</w:t>
      </w:r>
      <w:r w:rsidR="001C0538">
        <w:rPr>
          <w:rFonts w:ascii="Times New Roman" w:hAnsi="Times New Roman" w:cs="Times New Roman"/>
          <w:sz w:val="24"/>
          <w:szCs w:val="24"/>
        </w:rPr>
        <w:t xml:space="preserve"> (SE </w:t>
      </w:r>
      <w:r w:rsidR="001C0538" w:rsidRPr="001C0538">
        <w:rPr>
          <w:rFonts w:ascii="Times New Roman" w:hAnsi="Times New Roman" w:cs="Times New Roman"/>
          <w:sz w:val="24"/>
          <w:szCs w:val="24"/>
        </w:rPr>
        <w:t>0.02</w:t>
      </w:r>
      <w:r w:rsidR="001C0538">
        <w:rPr>
          <w:rFonts w:ascii="Times New Roman" w:hAnsi="Times New Roman" w:cs="Times New Roman"/>
          <w:sz w:val="24"/>
          <w:szCs w:val="24"/>
        </w:rPr>
        <w:t xml:space="preserve">2) for the </w:t>
      </w:r>
      <w:r w:rsidR="001C0538" w:rsidRPr="002C2316">
        <w:rPr>
          <w:rFonts w:ascii="Times New Roman" w:hAnsi="Times New Roman" w:cs="Times New Roman"/>
          <w:i/>
          <w:sz w:val="24"/>
          <w:szCs w:val="24"/>
        </w:rPr>
        <w:t>HDAC4</w:t>
      </w:r>
      <w:r w:rsidR="001C0538">
        <w:rPr>
          <w:rFonts w:ascii="Times New Roman" w:hAnsi="Times New Roman" w:cs="Times New Roman"/>
          <w:sz w:val="24"/>
          <w:szCs w:val="24"/>
        </w:rPr>
        <w:t xml:space="preserve"> SNP, although the </w:t>
      </w:r>
      <w:r w:rsidR="001C0538" w:rsidRPr="000B5D6C">
        <w:rPr>
          <w:rFonts w:ascii="Times New Roman" w:hAnsi="Times New Roman" w:cs="Times New Roman"/>
          <w:sz w:val="24"/>
          <w:szCs w:val="24"/>
        </w:rPr>
        <w:t>p</w:t>
      </w:r>
      <w:r w:rsidR="001C0538">
        <w:rPr>
          <w:rFonts w:ascii="Times New Roman" w:hAnsi="Times New Roman" w:cs="Times New Roman"/>
          <w:sz w:val="24"/>
          <w:szCs w:val="24"/>
        </w:rPr>
        <w:t xml:space="preserve">-value did become non-significant due to the loss of power for </w:t>
      </w:r>
      <w:r w:rsidR="001C0538" w:rsidRPr="002C2316">
        <w:rPr>
          <w:rFonts w:ascii="Times New Roman" w:hAnsi="Times New Roman" w:cs="Times New Roman"/>
          <w:i/>
          <w:iCs/>
          <w:sz w:val="24"/>
          <w:szCs w:val="24"/>
        </w:rPr>
        <w:t>ADRB1</w:t>
      </w:r>
      <w:r w:rsidR="001C0538">
        <w:rPr>
          <w:rFonts w:ascii="Times New Roman" w:hAnsi="Times New Roman" w:cs="Times New Roman"/>
          <w:sz w:val="24"/>
          <w:szCs w:val="24"/>
        </w:rPr>
        <w:t xml:space="preserve"> (</w:t>
      </w:r>
      <w:r w:rsidR="001C0538" w:rsidRPr="002C2316">
        <w:rPr>
          <w:rFonts w:ascii="Times New Roman" w:hAnsi="Times New Roman" w:cs="Times New Roman"/>
          <w:i/>
          <w:sz w:val="24"/>
          <w:szCs w:val="24"/>
        </w:rPr>
        <w:t xml:space="preserve">p </w:t>
      </w:r>
      <w:r w:rsidR="001C0538">
        <w:rPr>
          <w:rFonts w:ascii="Times New Roman" w:hAnsi="Times New Roman" w:cs="Times New Roman"/>
          <w:sz w:val="24"/>
          <w:szCs w:val="24"/>
        </w:rPr>
        <w:t xml:space="preserve">= </w:t>
      </w:r>
      <w:r w:rsidR="001C0538" w:rsidRPr="00C93BA4">
        <w:rPr>
          <w:rFonts w:ascii="Times New Roman" w:hAnsi="Times New Roman" w:cs="Times New Roman"/>
          <w:sz w:val="24"/>
          <w:szCs w:val="24"/>
        </w:rPr>
        <w:t>0.08</w:t>
      </w:r>
      <w:r w:rsidR="001C0538">
        <w:rPr>
          <w:rFonts w:ascii="Times New Roman" w:hAnsi="Times New Roman" w:cs="Times New Roman"/>
          <w:sz w:val="24"/>
          <w:szCs w:val="24"/>
        </w:rPr>
        <w:t xml:space="preserve">) but remained significant for </w:t>
      </w:r>
      <w:r w:rsidR="001C0538" w:rsidRPr="002C2316">
        <w:rPr>
          <w:rFonts w:ascii="Times New Roman" w:hAnsi="Times New Roman" w:cs="Times New Roman"/>
          <w:i/>
          <w:iCs/>
          <w:sz w:val="24"/>
          <w:szCs w:val="24"/>
        </w:rPr>
        <w:t xml:space="preserve">HDAC4 </w:t>
      </w:r>
      <w:r w:rsidR="001C0538">
        <w:rPr>
          <w:rFonts w:ascii="Times New Roman" w:hAnsi="Times New Roman" w:cs="Times New Roman"/>
          <w:sz w:val="24"/>
          <w:szCs w:val="24"/>
        </w:rPr>
        <w:t>(</w:t>
      </w:r>
      <w:r w:rsidR="001C0538" w:rsidRPr="002C2316">
        <w:rPr>
          <w:rFonts w:ascii="Times New Roman" w:hAnsi="Times New Roman" w:cs="Times New Roman"/>
          <w:i/>
          <w:sz w:val="24"/>
          <w:szCs w:val="24"/>
        </w:rPr>
        <w:t>p</w:t>
      </w:r>
      <w:r w:rsidR="001C0538">
        <w:rPr>
          <w:rFonts w:ascii="Times New Roman" w:hAnsi="Times New Roman" w:cs="Times New Roman"/>
          <w:sz w:val="24"/>
          <w:szCs w:val="24"/>
        </w:rPr>
        <w:t xml:space="preserve">=0.017). </w:t>
      </w:r>
      <w:r w:rsidR="001D5E98">
        <w:rPr>
          <w:rFonts w:ascii="Times New Roman" w:hAnsi="Times New Roman" w:cs="Times New Roman"/>
          <w:sz w:val="24"/>
          <w:szCs w:val="24"/>
        </w:rPr>
        <w:t xml:space="preserve">We additionally excluded </w:t>
      </w:r>
      <w:r w:rsidR="00AC723D">
        <w:rPr>
          <w:rFonts w:ascii="Times New Roman" w:hAnsi="Times New Roman" w:cs="Times New Roman"/>
          <w:sz w:val="24"/>
          <w:szCs w:val="24"/>
        </w:rPr>
        <w:t>oral steroid use</w:t>
      </w:r>
      <w:r w:rsidR="001D5E98">
        <w:rPr>
          <w:rFonts w:ascii="Times New Roman" w:hAnsi="Times New Roman" w:cs="Times New Roman"/>
          <w:sz w:val="24"/>
          <w:szCs w:val="24"/>
        </w:rPr>
        <w:t xml:space="preserve"> and found a similar result. </w:t>
      </w:r>
      <w:r w:rsidR="001C0538">
        <w:rPr>
          <w:rFonts w:ascii="Times New Roman" w:hAnsi="Times New Roman" w:cs="Times New Roman"/>
          <w:sz w:val="24"/>
          <w:szCs w:val="24"/>
        </w:rPr>
        <w:t>Nex</w:t>
      </w:r>
      <w:r w:rsidR="001D5E98">
        <w:rPr>
          <w:rFonts w:ascii="Times New Roman" w:hAnsi="Times New Roman" w:cs="Times New Roman"/>
          <w:sz w:val="24"/>
          <w:szCs w:val="24"/>
        </w:rPr>
        <w:t>t, to account for hypertension or lipid treatment</w:t>
      </w:r>
      <w:r w:rsidR="001C0538">
        <w:rPr>
          <w:rFonts w:ascii="Times New Roman" w:hAnsi="Times New Roman" w:cs="Times New Roman"/>
          <w:sz w:val="24"/>
          <w:szCs w:val="24"/>
        </w:rPr>
        <w:t>, we chose to analyze our interaction models</w:t>
      </w:r>
      <w:r w:rsidR="001D5E98">
        <w:rPr>
          <w:rFonts w:ascii="Times New Roman" w:hAnsi="Times New Roman" w:cs="Times New Roman"/>
          <w:sz w:val="24"/>
          <w:szCs w:val="24"/>
        </w:rPr>
        <w:t xml:space="preserve"> within each treatment category</w:t>
      </w:r>
      <w:r w:rsidR="001C0538">
        <w:rPr>
          <w:rFonts w:ascii="Times New Roman" w:hAnsi="Times New Roman" w:cs="Times New Roman"/>
          <w:sz w:val="24"/>
          <w:szCs w:val="24"/>
        </w:rPr>
        <w:t xml:space="preserve"> after excluding those treated for bone disease. The BB by SNP interaction effect estimates are shown in Table S</w:t>
      </w:r>
      <w:r w:rsidR="00D81048">
        <w:rPr>
          <w:rFonts w:ascii="Times New Roman" w:hAnsi="Times New Roman" w:cs="Times New Roman"/>
          <w:sz w:val="24"/>
          <w:szCs w:val="24"/>
        </w:rPr>
        <w:t>6</w:t>
      </w:r>
      <w:r w:rsidR="007309CD">
        <w:rPr>
          <w:rFonts w:ascii="Times New Roman" w:hAnsi="Times New Roman" w:cs="Times New Roman"/>
          <w:sz w:val="24"/>
          <w:szCs w:val="24"/>
          <w:vertAlign w:val="superscript"/>
        </w:rPr>
        <w:t>116</w:t>
      </w:r>
      <w:r w:rsidR="001C0538">
        <w:rPr>
          <w:rFonts w:ascii="Times New Roman" w:hAnsi="Times New Roman" w:cs="Times New Roman"/>
          <w:sz w:val="24"/>
          <w:szCs w:val="24"/>
        </w:rPr>
        <w:t xml:space="preserve"> and show remarkable consistency with the original estimate</w:t>
      </w:r>
      <w:r w:rsidR="00131CB6">
        <w:rPr>
          <w:rFonts w:ascii="Times New Roman" w:hAnsi="Times New Roman" w:cs="Times New Roman"/>
          <w:sz w:val="24"/>
          <w:szCs w:val="24"/>
        </w:rPr>
        <w:t>s</w:t>
      </w:r>
      <w:r w:rsidR="001C0538">
        <w:rPr>
          <w:rFonts w:ascii="Times New Roman" w:hAnsi="Times New Roman" w:cs="Times New Roman"/>
          <w:sz w:val="24"/>
          <w:szCs w:val="24"/>
        </w:rPr>
        <w:t xml:space="preserve">. They are all positive and while the </w:t>
      </w:r>
      <w:r w:rsidR="001C0538" w:rsidRPr="000B5D6C">
        <w:rPr>
          <w:rFonts w:ascii="Times New Roman" w:hAnsi="Times New Roman" w:cs="Times New Roman"/>
          <w:sz w:val="24"/>
          <w:szCs w:val="24"/>
        </w:rPr>
        <w:t>p</w:t>
      </w:r>
      <w:r w:rsidR="00131CB6">
        <w:rPr>
          <w:rFonts w:ascii="Times New Roman" w:hAnsi="Times New Roman" w:cs="Times New Roman"/>
          <w:sz w:val="24"/>
          <w:szCs w:val="24"/>
        </w:rPr>
        <w:t>-values do increase due</w:t>
      </w:r>
      <w:r w:rsidR="001C0538">
        <w:rPr>
          <w:rFonts w:ascii="Times New Roman" w:hAnsi="Times New Roman" w:cs="Times New Roman"/>
          <w:sz w:val="24"/>
          <w:szCs w:val="24"/>
        </w:rPr>
        <w:t xml:space="preserve"> to the reduction in subset sample sizes</w:t>
      </w:r>
      <w:r w:rsidR="00131CB6">
        <w:rPr>
          <w:rFonts w:ascii="Times New Roman" w:hAnsi="Times New Roman" w:cs="Times New Roman"/>
          <w:sz w:val="24"/>
          <w:szCs w:val="24"/>
        </w:rPr>
        <w:t>,</w:t>
      </w:r>
      <w:r w:rsidR="001C0538">
        <w:rPr>
          <w:rFonts w:ascii="Times New Roman" w:hAnsi="Times New Roman" w:cs="Times New Roman"/>
          <w:sz w:val="24"/>
          <w:szCs w:val="24"/>
        </w:rPr>
        <w:t xml:space="preserve"> they remain significant or suggestive in most cases. We also adjusted for treatment for diabetes and found a n</w:t>
      </w:r>
      <w:r w:rsidR="00AC723D">
        <w:rPr>
          <w:rFonts w:ascii="Times New Roman" w:hAnsi="Times New Roman" w:cs="Times New Roman"/>
          <w:sz w:val="24"/>
          <w:szCs w:val="24"/>
        </w:rPr>
        <w:t>early identical effect estimate</w:t>
      </w:r>
      <w:r w:rsidR="001D5E98">
        <w:rPr>
          <w:rFonts w:ascii="Times New Roman" w:hAnsi="Times New Roman" w:cs="Times New Roman"/>
          <w:sz w:val="24"/>
          <w:szCs w:val="24"/>
        </w:rPr>
        <w:t xml:space="preserve"> and found similar effect estimates when excluding those with prior cardiovascular disease</w:t>
      </w:r>
      <w:r w:rsidR="00AC723D">
        <w:rPr>
          <w:rFonts w:ascii="Times New Roman" w:hAnsi="Times New Roman" w:cs="Times New Roman"/>
          <w:sz w:val="24"/>
          <w:szCs w:val="24"/>
        </w:rPr>
        <w:t xml:space="preserve"> (Table S6</w:t>
      </w:r>
      <w:r w:rsidR="007309CD">
        <w:rPr>
          <w:rFonts w:ascii="Times New Roman" w:hAnsi="Times New Roman" w:cs="Times New Roman"/>
          <w:sz w:val="24"/>
          <w:szCs w:val="24"/>
          <w:vertAlign w:val="superscript"/>
        </w:rPr>
        <w:t>116</w:t>
      </w:r>
      <w:r w:rsidR="00AC723D">
        <w:rPr>
          <w:rFonts w:ascii="Times New Roman" w:hAnsi="Times New Roman" w:cs="Times New Roman"/>
          <w:sz w:val="24"/>
          <w:szCs w:val="24"/>
        </w:rPr>
        <w:t>)</w:t>
      </w:r>
      <w:r w:rsidR="001C0538">
        <w:rPr>
          <w:rFonts w:ascii="Times New Roman" w:hAnsi="Times New Roman" w:cs="Times New Roman"/>
          <w:sz w:val="24"/>
          <w:szCs w:val="24"/>
        </w:rPr>
        <w:t xml:space="preserve">. </w:t>
      </w:r>
    </w:p>
    <w:p w14:paraId="17C972F0" w14:textId="3C6B4956" w:rsidR="001C0538" w:rsidRDefault="001C0538" w:rsidP="001C053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Next</w:t>
      </w:r>
      <w:r w:rsidR="00976CA5">
        <w:rPr>
          <w:rFonts w:ascii="Times New Roman" w:hAnsi="Times New Roman" w:cs="Times New Roman"/>
          <w:sz w:val="24"/>
          <w:szCs w:val="24"/>
        </w:rPr>
        <w:t>,</w:t>
      </w:r>
      <w:r>
        <w:rPr>
          <w:rFonts w:ascii="Times New Roman" w:hAnsi="Times New Roman" w:cs="Times New Roman"/>
          <w:sz w:val="24"/>
          <w:szCs w:val="24"/>
        </w:rPr>
        <w:t xml:space="preserve"> because </w:t>
      </w:r>
      <w:r w:rsidRPr="00C038F2">
        <w:rPr>
          <w:rFonts w:ascii="Symbol" w:hAnsi="Symbol" w:cs="Times New Roman"/>
          <w:sz w:val="24"/>
          <w:szCs w:val="24"/>
        </w:rPr>
        <w:t></w:t>
      </w:r>
      <w:r>
        <w:rPr>
          <w:rFonts w:ascii="Times New Roman" w:hAnsi="Times New Roman" w:cs="Times New Roman"/>
          <w:sz w:val="24"/>
          <w:szCs w:val="24"/>
        </w:rPr>
        <w:t xml:space="preserve">1-selectivity and dosage of the BB used may influence the genetic interaction, we fit models in which we compared </w:t>
      </w:r>
      <w:r w:rsidRPr="00C038F2">
        <w:rPr>
          <w:rFonts w:ascii="Symbol" w:hAnsi="Symbol" w:cs="Times New Roman"/>
          <w:sz w:val="24"/>
          <w:szCs w:val="24"/>
        </w:rPr>
        <w:t></w:t>
      </w:r>
      <w:r>
        <w:rPr>
          <w:rFonts w:ascii="Times New Roman" w:hAnsi="Times New Roman" w:cs="Times New Roman"/>
          <w:sz w:val="24"/>
          <w:szCs w:val="24"/>
        </w:rPr>
        <w:t xml:space="preserve">1-selective BB use vs. no BB use and then standardized daily dose (see Methods) as a linear term or categorized at the median into “low” or “high” values. The </w:t>
      </w:r>
      <w:r w:rsidR="003116A7" w:rsidRPr="002C2316">
        <w:rPr>
          <w:rFonts w:ascii="Symbol" w:hAnsi="Symbol" w:cs="Times New Roman"/>
          <w:sz w:val="24"/>
          <w:szCs w:val="24"/>
        </w:rPr>
        <w:t></w:t>
      </w:r>
      <w:r w:rsidR="00E206A6">
        <w:rPr>
          <w:rFonts w:ascii="Times New Roman" w:hAnsi="Times New Roman" w:cs="Times New Roman"/>
          <w:sz w:val="24"/>
          <w:szCs w:val="24"/>
        </w:rPr>
        <w:t xml:space="preserve">1-selective users showed </w:t>
      </w:r>
      <w:r>
        <w:rPr>
          <w:rFonts w:ascii="Times New Roman" w:hAnsi="Times New Roman" w:cs="Times New Roman"/>
          <w:sz w:val="24"/>
          <w:szCs w:val="24"/>
        </w:rPr>
        <w:t xml:space="preserve">slightly reduced </w:t>
      </w:r>
      <w:r w:rsidR="003116A7">
        <w:rPr>
          <w:rFonts w:ascii="Times New Roman" w:hAnsi="Times New Roman" w:cs="Times New Roman"/>
          <w:sz w:val="24"/>
          <w:szCs w:val="24"/>
        </w:rPr>
        <w:t>effect sizes</w:t>
      </w:r>
      <w:r>
        <w:rPr>
          <w:rFonts w:ascii="Times New Roman" w:hAnsi="Times New Roman" w:cs="Times New Roman"/>
          <w:sz w:val="24"/>
          <w:szCs w:val="24"/>
        </w:rPr>
        <w:t xml:space="preserve">, and the dose model showed large and highly significant effects at both loci. Furthermore, when stratifying into low and high dose BB users, the interaction effect was found to be much larger and more significant in the high dose groups for both loci. We also looked at the effects of BB </w:t>
      </w:r>
      <w:r w:rsidR="003116A7">
        <w:rPr>
          <w:rFonts w:ascii="Times New Roman" w:hAnsi="Times New Roman" w:cs="Times New Roman"/>
          <w:sz w:val="24"/>
          <w:szCs w:val="24"/>
        </w:rPr>
        <w:t xml:space="preserve">use </w:t>
      </w:r>
      <w:r>
        <w:rPr>
          <w:rFonts w:ascii="Times New Roman" w:hAnsi="Times New Roman" w:cs="Times New Roman"/>
          <w:sz w:val="24"/>
          <w:szCs w:val="24"/>
        </w:rPr>
        <w:t xml:space="preserve">and the top two SNPs </w:t>
      </w:r>
      <w:r w:rsidR="00E206A6">
        <w:rPr>
          <w:rFonts w:ascii="Times New Roman" w:hAnsi="Times New Roman" w:cs="Times New Roman"/>
          <w:sz w:val="24"/>
          <w:szCs w:val="24"/>
        </w:rPr>
        <w:t xml:space="preserve">on </w:t>
      </w:r>
      <w:r>
        <w:rPr>
          <w:rFonts w:ascii="Times New Roman" w:hAnsi="Times New Roman" w:cs="Times New Roman"/>
          <w:sz w:val="24"/>
          <w:szCs w:val="24"/>
        </w:rPr>
        <w:t>total hip BMD and lumbar spine BMD (Table S</w:t>
      </w:r>
      <w:r w:rsidR="001555D2">
        <w:rPr>
          <w:rFonts w:ascii="Times New Roman" w:hAnsi="Times New Roman" w:cs="Times New Roman"/>
          <w:sz w:val="24"/>
          <w:szCs w:val="24"/>
        </w:rPr>
        <w:t>6</w:t>
      </w:r>
      <w:r w:rsidR="007309CD">
        <w:rPr>
          <w:rFonts w:ascii="Times New Roman" w:hAnsi="Times New Roman" w:cs="Times New Roman"/>
          <w:sz w:val="24"/>
          <w:szCs w:val="24"/>
          <w:vertAlign w:val="superscript"/>
        </w:rPr>
        <w:t>116</w:t>
      </w:r>
      <w:r>
        <w:rPr>
          <w:rFonts w:ascii="Times New Roman" w:hAnsi="Times New Roman" w:cs="Times New Roman"/>
          <w:sz w:val="24"/>
          <w:szCs w:val="24"/>
        </w:rPr>
        <w:t>). We found the effects size</w:t>
      </w:r>
      <w:r w:rsidR="003116A7">
        <w:rPr>
          <w:rFonts w:ascii="Times New Roman" w:hAnsi="Times New Roman" w:cs="Times New Roman"/>
          <w:sz w:val="24"/>
          <w:szCs w:val="24"/>
        </w:rPr>
        <w:t>s</w:t>
      </w:r>
      <w:r>
        <w:rPr>
          <w:rFonts w:ascii="Times New Roman" w:hAnsi="Times New Roman" w:cs="Times New Roman"/>
          <w:sz w:val="24"/>
          <w:szCs w:val="24"/>
        </w:rPr>
        <w:t xml:space="preserve"> to be similar in total hip </w:t>
      </w:r>
      <w:r w:rsidR="003116A7">
        <w:rPr>
          <w:rFonts w:ascii="Times New Roman" w:hAnsi="Times New Roman" w:cs="Times New Roman"/>
          <w:sz w:val="24"/>
          <w:szCs w:val="24"/>
        </w:rPr>
        <w:t xml:space="preserve">compared with femoral neck </w:t>
      </w:r>
      <w:r>
        <w:rPr>
          <w:rFonts w:ascii="Times New Roman" w:hAnsi="Times New Roman" w:cs="Times New Roman"/>
          <w:sz w:val="24"/>
          <w:szCs w:val="24"/>
        </w:rPr>
        <w:t>though slightly reduced in size</w:t>
      </w:r>
      <w:r w:rsidR="003116A7">
        <w:rPr>
          <w:rFonts w:ascii="Times New Roman" w:hAnsi="Times New Roman" w:cs="Times New Roman"/>
          <w:sz w:val="24"/>
          <w:szCs w:val="24"/>
        </w:rPr>
        <w:t>,</w:t>
      </w:r>
      <w:r>
        <w:rPr>
          <w:rFonts w:ascii="Times New Roman" w:hAnsi="Times New Roman" w:cs="Times New Roman"/>
          <w:sz w:val="24"/>
          <w:szCs w:val="24"/>
        </w:rPr>
        <w:t xml:space="preserve"> although still significant in the case of the </w:t>
      </w:r>
      <w:r w:rsidRPr="002C2316">
        <w:rPr>
          <w:rFonts w:ascii="Times New Roman" w:hAnsi="Times New Roman" w:cs="Times New Roman"/>
          <w:i/>
          <w:sz w:val="24"/>
          <w:szCs w:val="24"/>
        </w:rPr>
        <w:t>HDAC4</w:t>
      </w:r>
      <w:r>
        <w:rPr>
          <w:rFonts w:ascii="Times New Roman" w:hAnsi="Times New Roman" w:cs="Times New Roman"/>
          <w:sz w:val="24"/>
          <w:szCs w:val="24"/>
        </w:rPr>
        <w:t xml:space="preserve"> locus. In the case of lumbar spine</w:t>
      </w:r>
      <w:r w:rsidR="003116A7">
        <w:rPr>
          <w:rFonts w:ascii="Times New Roman" w:hAnsi="Times New Roman" w:cs="Times New Roman"/>
          <w:sz w:val="24"/>
          <w:szCs w:val="24"/>
        </w:rPr>
        <w:t>,</w:t>
      </w:r>
      <w:r>
        <w:rPr>
          <w:rFonts w:ascii="Times New Roman" w:hAnsi="Times New Roman" w:cs="Times New Roman"/>
          <w:sz w:val="24"/>
          <w:szCs w:val="24"/>
        </w:rPr>
        <w:t xml:space="preserve"> the effect size</w:t>
      </w:r>
      <w:r w:rsidR="003116A7">
        <w:rPr>
          <w:rFonts w:ascii="Times New Roman" w:hAnsi="Times New Roman" w:cs="Times New Roman"/>
          <w:sz w:val="24"/>
          <w:szCs w:val="24"/>
        </w:rPr>
        <w:t>s were</w:t>
      </w:r>
      <w:r>
        <w:rPr>
          <w:rFonts w:ascii="Times New Roman" w:hAnsi="Times New Roman" w:cs="Times New Roman"/>
          <w:sz w:val="24"/>
          <w:szCs w:val="24"/>
        </w:rPr>
        <w:t xml:space="preserve"> slightly increased at both loci although not quite significant.</w:t>
      </w:r>
    </w:p>
    <w:p w14:paraId="264B2839" w14:textId="62DE49DA" w:rsidR="001C0538" w:rsidRDefault="001C0538" w:rsidP="001C053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Finally, </w:t>
      </w:r>
      <w:r>
        <w:rPr>
          <w:rFonts w:ascii="Times New Roman" w:eastAsia="Arial" w:hAnsi="Times New Roman" w:cs="Times New Roman"/>
          <w:sz w:val="24"/>
          <w:szCs w:val="24"/>
        </w:rPr>
        <w:t xml:space="preserve">as hemolysis may be a confounder of miRNA differential expression in blood, we also performed sensitivity analyses in which we additionally adjusted for miR-451a expression, a miRNA that is associated with hemolysis, for the miRNA relevant to our top SNP candidates (miR-19a-3p for the </w:t>
      </w:r>
      <w:r w:rsidRPr="002C2316">
        <w:rPr>
          <w:rFonts w:ascii="Times New Roman" w:eastAsia="Arial" w:hAnsi="Times New Roman" w:cs="Times New Roman"/>
          <w:i/>
          <w:sz w:val="24"/>
          <w:szCs w:val="24"/>
        </w:rPr>
        <w:t>ADRB1</w:t>
      </w:r>
      <w:r w:rsidR="009462AA">
        <w:rPr>
          <w:rFonts w:ascii="Times New Roman" w:eastAsia="Arial" w:hAnsi="Times New Roman" w:cs="Times New Roman"/>
          <w:sz w:val="24"/>
          <w:szCs w:val="24"/>
        </w:rPr>
        <w:t xml:space="preserve"> SNP</w:t>
      </w:r>
      <w:r>
        <w:rPr>
          <w:rFonts w:ascii="Times New Roman" w:eastAsia="Arial" w:hAnsi="Times New Roman" w:cs="Times New Roman"/>
          <w:sz w:val="24"/>
          <w:szCs w:val="24"/>
        </w:rPr>
        <w:t xml:space="preserve"> and miR-17-5p for the </w:t>
      </w:r>
      <w:r w:rsidRPr="002C2316">
        <w:rPr>
          <w:rFonts w:ascii="Times New Roman" w:eastAsia="Arial" w:hAnsi="Times New Roman" w:cs="Times New Roman"/>
          <w:i/>
          <w:sz w:val="24"/>
          <w:szCs w:val="24"/>
        </w:rPr>
        <w:t>HDAC4</w:t>
      </w:r>
      <w:r w:rsidR="009462AA">
        <w:rPr>
          <w:rFonts w:ascii="Times New Roman" w:eastAsia="Arial" w:hAnsi="Times New Roman" w:cs="Times New Roman"/>
          <w:sz w:val="24"/>
          <w:szCs w:val="24"/>
        </w:rPr>
        <w:t xml:space="preserve"> SNP</w:t>
      </w:r>
      <w:r>
        <w:rPr>
          <w:rFonts w:ascii="Times New Roman" w:eastAsia="Arial" w:hAnsi="Times New Roman" w:cs="Times New Roman"/>
          <w:sz w:val="24"/>
          <w:szCs w:val="24"/>
        </w:rPr>
        <w:t xml:space="preserve">). We found that this adjustment causes a slight </w:t>
      </w:r>
      <w:r w:rsidR="003116A7">
        <w:rPr>
          <w:rFonts w:ascii="Times New Roman" w:eastAsia="Arial" w:hAnsi="Times New Roman" w:cs="Times New Roman"/>
          <w:sz w:val="24"/>
          <w:szCs w:val="24"/>
        </w:rPr>
        <w:t>decrease</w:t>
      </w:r>
      <w:r>
        <w:rPr>
          <w:rFonts w:ascii="Times New Roman" w:eastAsia="Arial" w:hAnsi="Times New Roman" w:cs="Times New Roman"/>
          <w:sz w:val="24"/>
          <w:szCs w:val="24"/>
        </w:rPr>
        <w:t xml:space="preserve"> in effect size for each of these models (see Table S</w:t>
      </w:r>
      <w:r w:rsidR="001555D2">
        <w:rPr>
          <w:rFonts w:ascii="Times New Roman" w:eastAsia="Arial" w:hAnsi="Times New Roman" w:cs="Times New Roman"/>
          <w:sz w:val="24"/>
          <w:szCs w:val="24"/>
        </w:rPr>
        <w:t>6</w:t>
      </w:r>
      <w:r w:rsidR="007309CD">
        <w:rPr>
          <w:rFonts w:ascii="Times New Roman" w:eastAsia="Arial" w:hAnsi="Times New Roman" w:cs="Times New Roman"/>
          <w:sz w:val="24"/>
          <w:szCs w:val="24"/>
          <w:vertAlign w:val="superscript"/>
        </w:rPr>
        <w:t>116</w:t>
      </w:r>
      <w:r>
        <w:rPr>
          <w:rFonts w:ascii="Times New Roman" w:eastAsia="Arial" w:hAnsi="Times New Roman" w:cs="Times New Roman"/>
          <w:sz w:val="24"/>
          <w:szCs w:val="24"/>
        </w:rPr>
        <w:t>)</w:t>
      </w:r>
      <w:r w:rsidR="003116A7">
        <w:rPr>
          <w:rFonts w:ascii="Times New Roman" w:eastAsia="Arial" w:hAnsi="Times New Roman" w:cs="Times New Roman"/>
          <w:sz w:val="24"/>
          <w:szCs w:val="24"/>
        </w:rPr>
        <w:t>,</w:t>
      </w:r>
      <w:r>
        <w:rPr>
          <w:rFonts w:ascii="Times New Roman" w:eastAsia="Arial" w:hAnsi="Times New Roman" w:cs="Times New Roman"/>
          <w:sz w:val="24"/>
          <w:szCs w:val="24"/>
        </w:rPr>
        <w:t xml:space="preserve"> but that the </w:t>
      </w:r>
      <w:r w:rsidRPr="000B5D6C">
        <w:rPr>
          <w:rFonts w:ascii="Times New Roman" w:eastAsia="Arial" w:hAnsi="Times New Roman" w:cs="Times New Roman"/>
          <w:sz w:val="24"/>
          <w:szCs w:val="24"/>
        </w:rPr>
        <w:t>p</w:t>
      </w:r>
      <w:r>
        <w:rPr>
          <w:rFonts w:ascii="Times New Roman" w:eastAsia="Arial" w:hAnsi="Times New Roman" w:cs="Times New Roman"/>
          <w:sz w:val="24"/>
          <w:szCs w:val="24"/>
        </w:rPr>
        <w:t>-values remain quite low and are nearly significant. We addit</w:t>
      </w:r>
      <w:r w:rsidR="003116A7">
        <w:rPr>
          <w:rFonts w:ascii="Times New Roman" w:eastAsia="Arial" w:hAnsi="Times New Roman" w:cs="Times New Roman"/>
          <w:sz w:val="24"/>
          <w:szCs w:val="24"/>
        </w:rPr>
        <w:t>ionally tested the association</w:t>
      </w:r>
      <w:r>
        <w:rPr>
          <w:rFonts w:ascii="Times New Roman" w:eastAsia="Arial" w:hAnsi="Times New Roman" w:cs="Times New Roman"/>
          <w:sz w:val="24"/>
          <w:szCs w:val="24"/>
        </w:rPr>
        <w:t xml:space="preserve"> between miR-451a expression and BB use, FN BMD, and miR-19a-3p and miR-17-</w:t>
      </w:r>
      <w:proofErr w:type="gramStart"/>
      <w:r>
        <w:rPr>
          <w:rFonts w:ascii="Times New Roman" w:eastAsia="Arial" w:hAnsi="Times New Roman" w:cs="Times New Roman"/>
          <w:sz w:val="24"/>
          <w:szCs w:val="24"/>
        </w:rPr>
        <w:t>5p</w:t>
      </w:r>
      <w:r w:rsidR="003116A7">
        <w:rPr>
          <w:rFonts w:ascii="Times New Roman" w:eastAsia="Arial" w:hAnsi="Times New Roman" w:cs="Times New Roman"/>
          <w:sz w:val="24"/>
          <w:szCs w:val="24"/>
        </w:rPr>
        <w:t>,</w:t>
      </w:r>
      <w:r>
        <w:rPr>
          <w:rFonts w:ascii="Times New Roman" w:eastAsia="Arial" w:hAnsi="Times New Roman" w:cs="Times New Roman"/>
          <w:sz w:val="24"/>
          <w:szCs w:val="24"/>
        </w:rPr>
        <w:t xml:space="preserve"> and</w:t>
      </w:r>
      <w:proofErr w:type="gramEnd"/>
      <w:r>
        <w:rPr>
          <w:rFonts w:ascii="Times New Roman" w:eastAsia="Arial" w:hAnsi="Times New Roman" w:cs="Times New Roman"/>
          <w:sz w:val="24"/>
          <w:szCs w:val="24"/>
        </w:rPr>
        <w:t xml:space="preserve"> did not find any of the associations to be significant (</w:t>
      </w:r>
      <w:r w:rsidRPr="002C2316">
        <w:rPr>
          <w:rFonts w:ascii="Times New Roman" w:eastAsia="Arial" w:hAnsi="Times New Roman" w:cs="Times New Roman"/>
          <w:i/>
          <w:sz w:val="24"/>
          <w:szCs w:val="24"/>
        </w:rPr>
        <w:t>p</w:t>
      </w:r>
      <w:r>
        <w:rPr>
          <w:rFonts w:ascii="Times New Roman" w:eastAsia="Arial" w:hAnsi="Times New Roman" w:cs="Times New Roman"/>
          <w:sz w:val="24"/>
          <w:szCs w:val="24"/>
        </w:rPr>
        <w:t>&gt;0.05). Therefore</w:t>
      </w:r>
      <w:r w:rsidR="00C31E85">
        <w:rPr>
          <w:rFonts w:ascii="Times New Roman" w:eastAsia="Arial" w:hAnsi="Times New Roman" w:cs="Times New Roman"/>
          <w:sz w:val="24"/>
          <w:szCs w:val="24"/>
        </w:rPr>
        <w:t>,</w:t>
      </w:r>
      <w:r>
        <w:rPr>
          <w:rFonts w:ascii="Times New Roman" w:eastAsia="Arial" w:hAnsi="Times New Roman" w:cs="Times New Roman"/>
          <w:sz w:val="24"/>
          <w:szCs w:val="24"/>
        </w:rPr>
        <w:t xml:space="preserve"> we feel it is unlikely that hemolysis has confounded our miRNA genetic association results.</w:t>
      </w:r>
    </w:p>
    <w:p w14:paraId="14BE4495" w14:textId="77777777" w:rsidR="001C0538" w:rsidRPr="002C2316" w:rsidRDefault="001C0538" w:rsidP="00864F3F">
      <w:pPr>
        <w:spacing w:line="480" w:lineRule="auto"/>
        <w:rPr>
          <w:rFonts w:ascii="Times New Roman" w:eastAsia="Arial" w:hAnsi="Times New Roman" w:cs="Times New Roman"/>
          <w:i/>
          <w:sz w:val="24"/>
          <w:szCs w:val="24"/>
        </w:rPr>
      </w:pPr>
    </w:p>
    <w:p w14:paraId="19314D5A" w14:textId="77777777" w:rsidR="003150D0" w:rsidRPr="00757919" w:rsidRDefault="003150D0" w:rsidP="00864F3F">
      <w:pPr>
        <w:spacing w:line="480" w:lineRule="auto"/>
        <w:rPr>
          <w:rFonts w:ascii="Times New Roman" w:eastAsia="Arial" w:hAnsi="Times New Roman" w:cs="Times New Roman"/>
          <w:b/>
          <w:sz w:val="24"/>
          <w:szCs w:val="24"/>
        </w:rPr>
      </w:pPr>
      <w:r w:rsidRPr="00757919">
        <w:rPr>
          <w:rFonts w:ascii="Times New Roman" w:eastAsia="Arial" w:hAnsi="Times New Roman" w:cs="Times New Roman"/>
          <w:b/>
          <w:sz w:val="24"/>
          <w:szCs w:val="24"/>
        </w:rPr>
        <w:t>Discussion</w:t>
      </w:r>
    </w:p>
    <w:p w14:paraId="13712F78" w14:textId="7843043F" w:rsidR="003150D0" w:rsidRPr="00757919" w:rsidRDefault="003150D0"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lastRenderedPageBreak/>
        <w:t xml:space="preserve">We have identified four SNPs </w:t>
      </w:r>
      <w:r w:rsidR="00E73D65" w:rsidRPr="00757919">
        <w:rPr>
          <w:rFonts w:ascii="Times New Roman" w:eastAsia="Arial" w:hAnsi="Times New Roman" w:cs="Times New Roman"/>
          <w:sz w:val="24"/>
          <w:szCs w:val="24"/>
        </w:rPr>
        <w:t>in the FHS discovery cohort</w:t>
      </w:r>
      <w:r w:rsidRPr="00757919">
        <w:rPr>
          <w:rFonts w:ascii="Times New Roman" w:eastAsia="Arial" w:hAnsi="Times New Roman" w:cs="Times New Roman"/>
          <w:sz w:val="24"/>
          <w:szCs w:val="24"/>
        </w:rPr>
        <w:t xml:space="preserve"> that </w:t>
      </w:r>
      <w:r w:rsidR="00E73D65" w:rsidRPr="00757919">
        <w:rPr>
          <w:rFonts w:ascii="Times New Roman" w:eastAsia="Arial" w:hAnsi="Times New Roman" w:cs="Times New Roman"/>
          <w:sz w:val="24"/>
          <w:szCs w:val="24"/>
        </w:rPr>
        <w:t>s</w:t>
      </w:r>
      <w:r w:rsidR="003214CC" w:rsidRPr="00757919">
        <w:rPr>
          <w:rFonts w:ascii="Times New Roman" w:eastAsia="Arial" w:hAnsi="Times New Roman" w:cs="Times New Roman"/>
          <w:sz w:val="24"/>
          <w:szCs w:val="24"/>
        </w:rPr>
        <w:t xml:space="preserve">how a </w:t>
      </w:r>
      <w:r w:rsidR="00F5794A" w:rsidRPr="00757919">
        <w:rPr>
          <w:rFonts w:ascii="Times New Roman" w:eastAsia="Arial" w:hAnsi="Times New Roman" w:cs="Times New Roman"/>
          <w:sz w:val="24"/>
          <w:szCs w:val="24"/>
        </w:rPr>
        <w:t xml:space="preserve">significantly </w:t>
      </w:r>
      <w:r w:rsidR="00FF1C50">
        <w:rPr>
          <w:rFonts w:ascii="Times New Roman" w:eastAsia="Arial" w:hAnsi="Times New Roman" w:cs="Times New Roman"/>
          <w:sz w:val="24"/>
          <w:szCs w:val="24"/>
        </w:rPr>
        <w:t xml:space="preserve">higher BMD for BB users with more copies of the alternative allele </w:t>
      </w:r>
      <w:r w:rsidR="00F5794A">
        <w:rPr>
          <w:rFonts w:ascii="Times New Roman" w:eastAsia="Arial" w:hAnsi="Times New Roman" w:cs="Times New Roman"/>
          <w:sz w:val="24"/>
          <w:szCs w:val="24"/>
        </w:rPr>
        <w:t xml:space="preserve">as </w:t>
      </w:r>
      <w:r w:rsidR="0036615C">
        <w:rPr>
          <w:rFonts w:ascii="Times New Roman" w:eastAsia="Arial" w:hAnsi="Times New Roman" w:cs="Times New Roman"/>
          <w:sz w:val="24"/>
          <w:szCs w:val="24"/>
        </w:rPr>
        <w:t>compared to non-users</w:t>
      </w:r>
      <w:r w:rsidR="00E73D65" w:rsidRPr="00757919">
        <w:rPr>
          <w:rFonts w:ascii="Times New Roman" w:eastAsia="Arial" w:hAnsi="Times New Roman" w:cs="Times New Roman"/>
          <w:sz w:val="24"/>
          <w:szCs w:val="24"/>
        </w:rPr>
        <w:t xml:space="preserve">, </w:t>
      </w:r>
      <w:r w:rsidR="005826D5" w:rsidRPr="00757919">
        <w:rPr>
          <w:rFonts w:ascii="Times New Roman" w:eastAsia="Arial" w:hAnsi="Times New Roman" w:cs="Times New Roman"/>
          <w:sz w:val="24"/>
          <w:szCs w:val="24"/>
        </w:rPr>
        <w:t>two</w:t>
      </w:r>
      <w:r w:rsidR="00E73D65" w:rsidRPr="00757919">
        <w:rPr>
          <w:rFonts w:ascii="Times New Roman" w:eastAsia="Arial" w:hAnsi="Times New Roman" w:cs="Times New Roman"/>
          <w:sz w:val="24"/>
          <w:szCs w:val="24"/>
        </w:rPr>
        <w:t xml:space="preserve"> of which </w:t>
      </w:r>
      <w:r w:rsidR="005826D5" w:rsidRPr="00757919">
        <w:rPr>
          <w:rFonts w:ascii="Times New Roman" w:eastAsia="Arial" w:hAnsi="Times New Roman" w:cs="Times New Roman"/>
          <w:sz w:val="24"/>
          <w:szCs w:val="24"/>
        </w:rPr>
        <w:t>were</w:t>
      </w:r>
      <w:r w:rsidR="00E73D65" w:rsidRPr="00757919">
        <w:rPr>
          <w:rFonts w:ascii="Times New Roman" w:eastAsia="Arial" w:hAnsi="Times New Roman" w:cs="Times New Roman"/>
          <w:sz w:val="24"/>
          <w:szCs w:val="24"/>
        </w:rPr>
        <w:t xml:space="preserve"> validated </w:t>
      </w:r>
      <w:r w:rsidR="005C0B97" w:rsidRPr="00757919">
        <w:rPr>
          <w:rFonts w:ascii="Times New Roman" w:eastAsia="Arial" w:hAnsi="Times New Roman" w:cs="Times New Roman"/>
          <w:sz w:val="24"/>
          <w:szCs w:val="24"/>
        </w:rPr>
        <w:t xml:space="preserve">in </w:t>
      </w:r>
      <w:r w:rsidR="00E73D65" w:rsidRPr="00757919">
        <w:rPr>
          <w:rFonts w:ascii="Times New Roman" w:eastAsia="Arial" w:hAnsi="Times New Roman" w:cs="Times New Roman"/>
          <w:sz w:val="24"/>
          <w:szCs w:val="24"/>
        </w:rPr>
        <w:t>external cohort</w:t>
      </w:r>
      <w:r w:rsidR="005826D5" w:rsidRPr="00757919">
        <w:rPr>
          <w:rFonts w:ascii="Times New Roman" w:eastAsia="Arial" w:hAnsi="Times New Roman" w:cs="Times New Roman"/>
          <w:sz w:val="24"/>
          <w:szCs w:val="24"/>
        </w:rPr>
        <w:t>s</w:t>
      </w:r>
      <w:r w:rsidR="00E73D65" w:rsidRPr="00757919">
        <w:rPr>
          <w:rFonts w:ascii="Times New Roman" w:eastAsia="Arial" w:hAnsi="Times New Roman" w:cs="Times New Roman"/>
          <w:sz w:val="24"/>
          <w:szCs w:val="24"/>
        </w:rPr>
        <w:t xml:space="preserve"> (r</w:t>
      </w:r>
      <w:r w:rsidR="00F024D3" w:rsidRPr="00757919">
        <w:rPr>
          <w:rFonts w:ascii="Times New Roman" w:eastAsia="Arial" w:hAnsi="Times New Roman" w:cs="Times New Roman"/>
          <w:sz w:val="24"/>
          <w:szCs w:val="24"/>
        </w:rPr>
        <w:t>s11124190</w:t>
      </w:r>
      <w:r w:rsidR="005826D5" w:rsidRPr="00757919">
        <w:rPr>
          <w:rFonts w:ascii="Times New Roman" w:eastAsia="Arial" w:hAnsi="Times New Roman" w:cs="Times New Roman"/>
          <w:sz w:val="24"/>
          <w:szCs w:val="24"/>
        </w:rPr>
        <w:t xml:space="preserve"> </w:t>
      </w:r>
      <w:r w:rsidR="00EB7373">
        <w:rPr>
          <w:rFonts w:ascii="Times New Roman" w:eastAsia="Arial" w:hAnsi="Times New Roman" w:cs="Times New Roman"/>
          <w:sz w:val="24"/>
          <w:szCs w:val="24"/>
        </w:rPr>
        <w:t>(</w:t>
      </w:r>
      <w:r w:rsidR="005826D5" w:rsidRPr="00757919">
        <w:rPr>
          <w:rFonts w:ascii="Times New Roman" w:eastAsia="Arial" w:hAnsi="Times New Roman" w:cs="Times New Roman"/>
          <w:i/>
          <w:sz w:val="24"/>
          <w:szCs w:val="24"/>
        </w:rPr>
        <w:t>HDAC4</w:t>
      </w:r>
      <w:r w:rsidR="00EB7373" w:rsidRPr="00BC23F1">
        <w:rPr>
          <w:rFonts w:ascii="Times New Roman" w:eastAsia="Arial" w:hAnsi="Times New Roman" w:cs="Times New Roman"/>
          <w:iCs/>
          <w:sz w:val="24"/>
          <w:szCs w:val="24"/>
        </w:rPr>
        <w:t>)</w:t>
      </w:r>
      <w:r w:rsidR="005826D5" w:rsidRPr="00757919">
        <w:rPr>
          <w:rFonts w:ascii="Times New Roman" w:eastAsia="Arial" w:hAnsi="Times New Roman" w:cs="Times New Roman"/>
          <w:sz w:val="24"/>
          <w:szCs w:val="24"/>
        </w:rPr>
        <w:t xml:space="preserve"> and rs12414657 </w:t>
      </w:r>
      <w:r w:rsidR="00EB7373">
        <w:rPr>
          <w:rFonts w:ascii="Times New Roman" w:eastAsia="Arial" w:hAnsi="Times New Roman" w:cs="Times New Roman"/>
          <w:sz w:val="24"/>
          <w:szCs w:val="24"/>
        </w:rPr>
        <w:t>(</w:t>
      </w:r>
      <w:r w:rsidR="005826D5" w:rsidRPr="00757919">
        <w:rPr>
          <w:rFonts w:ascii="Times New Roman" w:eastAsia="Arial" w:hAnsi="Times New Roman" w:cs="Times New Roman"/>
          <w:i/>
          <w:sz w:val="24"/>
          <w:szCs w:val="24"/>
        </w:rPr>
        <w:t>ADRB1</w:t>
      </w:r>
      <w:r w:rsidR="00E73D65" w:rsidRPr="00757919">
        <w:rPr>
          <w:rFonts w:ascii="Times New Roman" w:eastAsia="Arial" w:hAnsi="Times New Roman" w:cs="Times New Roman"/>
          <w:sz w:val="24"/>
          <w:szCs w:val="24"/>
        </w:rPr>
        <w:t>)</w:t>
      </w:r>
      <w:r w:rsidR="00EB7373">
        <w:rPr>
          <w:rFonts w:ascii="Times New Roman" w:eastAsia="Arial" w:hAnsi="Times New Roman" w:cs="Times New Roman"/>
          <w:sz w:val="24"/>
          <w:szCs w:val="24"/>
        </w:rPr>
        <w:t>)</w:t>
      </w:r>
      <w:r w:rsidR="00FF1C50">
        <w:rPr>
          <w:rFonts w:ascii="Times New Roman" w:eastAsia="Arial" w:hAnsi="Times New Roman" w:cs="Times New Roman"/>
          <w:sz w:val="24"/>
          <w:szCs w:val="24"/>
        </w:rPr>
        <w:t xml:space="preserve"> in females, and two of which were not validated (</w:t>
      </w:r>
      <w:r w:rsidR="00FF1C50" w:rsidRPr="00FF1C50">
        <w:rPr>
          <w:rFonts w:ascii="Times New Roman" w:eastAsia="Arial" w:hAnsi="Times New Roman" w:cs="Times New Roman"/>
          <w:sz w:val="24"/>
          <w:szCs w:val="24"/>
        </w:rPr>
        <w:t xml:space="preserve">rs34170507 </w:t>
      </w:r>
      <w:r w:rsidR="00FF1C50">
        <w:rPr>
          <w:rFonts w:ascii="Times New Roman" w:eastAsia="Arial" w:hAnsi="Times New Roman" w:cs="Times New Roman"/>
          <w:sz w:val="24"/>
          <w:szCs w:val="24"/>
        </w:rPr>
        <w:t xml:space="preserve">and rs6567268 in </w:t>
      </w:r>
      <w:r w:rsidR="00FF1C50" w:rsidRPr="00FF1C50">
        <w:rPr>
          <w:rFonts w:ascii="Times New Roman" w:eastAsia="Arial" w:hAnsi="Times New Roman" w:cs="Times New Roman"/>
          <w:i/>
          <w:sz w:val="24"/>
          <w:szCs w:val="24"/>
        </w:rPr>
        <w:t>TNFRSF11A</w:t>
      </w:r>
      <w:r w:rsidR="00FF1C50" w:rsidRPr="00FF1C50">
        <w:rPr>
          <w:rFonts w:ascii="Times New Roman" w:eastAsia="Arial" w:hAnsi="Times New Roman" w:cs="Times New Roman"/>
          <w:sz w:val="24"/>
          <w:szCs w:val="24"/>
        </w:rPr>
        <w:t xml:space="preserve"> or </w:t>
      </w:r>
      <w:r w:rsidR="00FF1C50" w:rsidRPr="00FF1C50">
        <w:rPr>
          <w:rFonts w:ascii="Times New Roman" w:eastAsia="Arial" w:hAnsi="Times New Roman" w:cs="Times New Roman"/>
          <w:i/>
          <w:sz w:val="24"/>
          <w:szCs w:val="24"/>
        </w:rPr>
        <w:t>RANK</w:t>
      </w:r>
      <w:r w:rsidR="00FF1C50">
        <w:rPr>
          <w:rFonts w:ascii="Times New Roman" w:eastAsia="Arial" w:hAnsi="Times New Roman" w:cs="Times New Roman"/>
          <w:sz w:val="24"/>
          <w:szCs w:val="24"/>
        </w:rPr>
        <w:t xml:space="preserve"> in males).</w:t>
      </w:r>
      <w:r w:rsidRPr="00757919">
        <w:rPr>
          <w:rFonts w:ascii="Times New Roman" w:eastAsia="Arial" w:hAnsi="Times New Roman" w:cs="Times New Roman"/>
          <w:sz w:val="24"/>
          <w:szCs w:val="24"/>
        </w:rPr>
        <w:t xml:space="preserve"> </w:t>
      </w:r>
      <w:r w:rsidR="00C82A24" w:rsidRPr="00757919">
        <w:rPr>
          <w:rFonts w:ascii="Times New Roman" w:eastAsia="Arial" w:hAnsi="Times New Roman" w:cs="Times New Roman"/>
          <w:sz w:val="24"/>
          <w:szCs w:val="24"/>
        </w:rPr>
        <w:t>This focused our genetic analysis on</w:t>
      </w:r>
      <w:r w:rsidR="00747D79"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3 genes involved in the adrenergic signaling pathway in bone</w:t>
      </w:r>
      <w:r w:rsidR="00C82A24" w:rsidRPr="00757919">
        <w:rPr>
          <w:rFonts w:ascii="Times New Roman" w:eastAsia="Arial" w:hAnsi="Times New Roman" w:cs="Times New Roman"/>
          <w:sz w:val="24"/>
          <w:szCs w:val="24"/>
        </w:rPr>
        <w:t xml:space="preserve">: </w:t>
      </w:r>
      <w:r w:rsidR="00C82A24" w:rsidRPr="00757919">
        <w:rPr>
          <w:rFonts w:ascii="Times New Roman" w:eastAsia="Arial" w:hAnsi="Times New Roman" w:cs="Times New Roman"/>
          <w:i/>
          <w:iCs/>
          <w:sz w:val="24"/>
          <w:szCs w:val="24"/>
        </w:rPr>
        <w:t>ADRB1</w:t>
      </w:r>
      <w:r w:rsidR="00C82A24" w:rsidRPr="00757919">
        <w:rPr>
          <w:rFonts w:ascii="Times New Roman" w:eastAsia="Arial" w:hAnsi="Times New Roman" w:cs="Times New Roman"/>
          <w:sz w:val="24"/>
          <w:szCs w:val="24"/>
        </w:rPr>
        <w:t>,</w:t>
      </w:r>
      <w:r w:rsidR="00C82A24" w:rsidRPr="00757919">
        <w:rPr>
          <w:rFonts w:ascii="Times New Roman" w:eastAsia="Arial" w:hAnsi="Times New Roman" w:cs="Times New Roman"/>
          <w:i/>
          <w:iCs/>
          <w:sz w:val="24"/>
          <w:szCs w:val="24"/>
        </w:rPr>
        <w:t xml:space="preserve"> HDAC4</w:t>
      </w:r>
      <w:r w:rsidR="00C82A24" w:rsidRPr="00757919">
        <w:rPr>
          <w:rFonts w:ascii="Times New Roman" w:eastAsia="Arial" w:hAnsi="Times New Roman" w:cs="Times New Roman"/>
          <w:sz w:val="24"/>
          <w:szCs w:val="24"/>
        </w:rPr>
        <w:t>,</w:t>
      </w:r>
      <w:r w:rsidR="00C82A24" w:rsidRPr="00757919">
        <w:rPr>
          <w:rFonts w:ascii="Times New Roman" w:eastAsia="Arial" w:hAnsi="Times New Roman" w:cs="Times New Roman"/>
          <w:i/>
          <w:iCs/>
          <w:sz w:val="24"/>
          <w:szCs w:val="24"/>
        </w:rPr>
        <w:t xml:space="preserve"> </w:t>
      </w:r>
      <w:r w:rsidR="00C82A24" w:rsidRPr="00757919">
        <w:rPr>
          <w:rFonts w:ascii="Times New Roman" w:eastAsia="Arial" w:hAnsi="Times New Roman" w:cs="Times New Roman"/>
          <w:sz w:val="24"/>
          <w:szCs w:val="24"/>
        </w:rPr>
        <w:t>and</w:t>
      </w:r>
      <w:r w:rsidR="00C82A24" w:rsidRPr="00757919">
        <w:rPr>
          <w:rFonts w:ascii="Times New Roman" w:eastAsia="Arial" w:hAnsi="Times New Roman" w:cs="Times New Roman"/>
          <w:i/>
          <w:iCs/>
          <w:sz w:val="24"/>
          <w:szCs w:val="24"/>
        </w:rPr>
        <w:t xml:space="preserve"> </w:t>
      </w:r>
      <w:r w:rsidR="001964C1">
        <w:rPr>
          <w:rFonts w:ascii="Times New Roman" w:eastAsia="Arial" w:hAnsi="Times New Roman" w:cs="Times New Roman"/>
          <w:i/>
          <w:iCs/>
          <w:sz w:val="24"/>
          <w:szCs w:val="24"/>
        </w:rPr>
        <w:t>TNFRSF11A (RANK)</w:t>
      </w:r>
      <w:r w:rsidRPr="00757919">
        <w:rPr>
          <w:rFonts w:ascii="Times New Roman" w:eastAsia="Arial" w:hAnsi="Times New Roman" w:cs="Times New Roman"/>
          <w:sz w:val="24"/>
          <w:szCs w:val="24"/>
        </w:rPr>
        <w:t xml:space="preserve">. </w:t>
      </w:r>
      <w:r w:rsidR="007B4885" w:rsidRPr="00757919">
        <w:rPr>
          <w:rFonts w:ascii="Times New Roman" w:eastAsia="Arial" w:hAnsi="Times New Roman" w:cs="Times New Roman"/>
          <w:sz w:val="24"/>
          <w:szCs w:val="24"/>
        </w:rPr>
        <w:t xml:space="preserve">We have also identified </w:t>
      </w:r>
      <w:r w:rsidR="00C82A24" w:rsidRPr="00757919">
        <w:rPr>
          <w:rFonts w:ascii="Times New Roman" w:eastAsia="Arial" w:hAnsi="Times New Roman" w:cs="Times New Roman"/>
          <w:sz w:val="24"/>
          <w:szCs w:val="24"/>
        </w:rPr>
        <w:t>5</w:t>
      </w:r>
      <w:r w:rsidR="007B4885" w:rsidRPr="00757919">
        <w:rPr>
          <w:rFonts w:ascii="Times New Roman" w:eastAsia="Arial" w:hAnsi="Times New Roman" w:cs="Times New Roman"/>
          <w:sz w:val="24"/>
          <w:szCs w:val="24"/>
        </w:rPr>
        <w:t xml:space="preserve"> miRNAs that are associated with the interaction effect between these SNPs and BB use that are associated with genes in the adrenergic signaling pathway in bone or have previously been shown to be associated with osteoporosis. As such we present</w:t>
      </w:r>
      <w:r w:rsidR="003A5865" w:rsidRPr="00757919">
        <w:rPr>
          <w:rFonts w:ascii="Times New Roman" w:eastAsia="Arial" w:hAnsi="Times New Roman" w:cs="Times New Roman"/>
          <w:sz w:val="24"/>
          <w:szCs w:val="24"/>
        </w:rPr>
        <w:t>ed</w:t>
      </w:r>
      <w:r w:rsidR="007B4885" w:rsidRPr="00757919">
        <w:rPr>
          <w:rFonts w:ascii="Times New Roman" w:eastAsia="Arial" w:hAnsi="Times New Roman" w:cs="Times New Roman"/>
          <w:sz w:val="24"/>
          <w:szCs w:val="24"/>
        </w:rPr>
        <w:t xml:space="preserve"> four putative mechanisms by which these SNPs interact with BB use to influence BMD (Figure 4). </w:t>
      </w:r>
    </w:p>
    <w:p w14:paraId="2950AD5D" w14:textId="698C0ECB" w:rsidR="00584C9A" w:rsidRDefault="00A9073B" w:rsidP="00864F3F">
      <w:pPr>
        <w:spacing w:line="480" w:lineRule="auto"/>
        <w:rPr>
          <w:rFonts w:ascii="Times New Roman" w:eastAsia="Times New Roman" w:hAnsi="Times New Roman" w:cs="Times New Roman"/>
          <w:color w:val="1C1D1E"/>
          <w:sz w:val="24"/>
          <w:szCs w:val="24"/>
          <w:lang w:val="en"/>
        </w:rPr>
      </w:pPr>
      <w:r w:rsidRPr="00757919">
        <w:rPr>
          <w:rFonts w:ascii="Times New Roman" w:eastAsia="Arial" w:hAnsi="Times New Roman" w:cs="Times New Roman"/>
          <w:bCs/>
          <w:sz w:val="24"/>
          <w:szCs w:val="24"/>
        </w:rPr>
        <w:t>Of these four SNPs, rs11124</w:t>
      </w:r>
      <w:r w:rsidR="00632794" w:rsidRPr="00757919">
        <w:rPr>
          <w:rFonts w:ascii="Times New Roman" w:eastAsia="Arial" w:hAnsi="Times New Roman" w:cs="Times New Roman"/>
          <w:bCs/>
          <w:sz w:val="24"/>
          <w:szCs w:val="24"/>
        </w:rPr>
        <w:t>1</w:t>
      </w:r>
      <w:r w:rsidRPr="00757919">
        <w:rPr>
          <w:rFonts w:ascii="Times New Roman" w:eastAsia="Arial" w:hAnsi="Times New Roman" w:cs="Times New Roman"/>
          <w:bCs/>
          <w:sz w:val="24"/>
          <w:szCs w:val="24"/>
        </w:rPr>
        <w:t>90</w:t>
      </w:r>
      <w:r w:rsidR="00632794" w:rsidRPr="00757919">
        <w:rPr>
          <w:rFonts w:ascii="Times New Roman" w:eastAsia="Arial" w:hAnsi="Times New Roman" w:cs="Times New Roman"/>
          <w:bCs/>
          <w:sz w:val="24"/>
          <w:szCs w:val="24"/>
        </w:rPr>
        <w:t xml:space="preserve"> (</w:t>
      </w:r>
      <w:r w:rsidR="00632794" w:rsidRPr="00757919">
        <w:rPr>
          <w:rFonts w:ascii="Times New Roman" w:eastAsia="Arial" w:hAnsi="Times New Roman" w:cs="Times New Roman"/>
          <w:bCs/>
          <w:i/>
          <w:iCs/>
          <w:sz w:val="24"/>
          <w:szCs w:val="24"/>
        </w:rPr>
        <w:t>HDAC4</w:t>
      </w:r>
      <w:r w:rsidR="00632794" w:rsidRPr="00757919">
        <w:rPr>
          <w:rFonts w:ascii="Times New Roman" w:eastAsia="Arial" w:hAnsi="Times New Roman" w:cs="Times New Roman"/>
          <w:bCs/>
          <w:sz w:val="24"/>
          <w:szCs w:val="24"/>
        </w:rPr>
        <w:t>)</w:t>
      </w:r>
      <w:r w:rsidRPr="00757919">
        <w:rPr>
          <w:rFonts w:ascii="Times New Roman" w:eastAsia="Arial" w:hAnsi="Times New Roman" w:cs="Times New Roman"/>
          <w:bCs/>
          <w:sz w:val="24"/>
          <w:szCs w:val="24"/>
        </w:rPr>
        <w:t xml:space="preserve"> was validated in the Rotterdam Study</w:t>
      </w:r>
      <w:r w:rsidR="005826D5" w:rsidRPr="00757919">
        <w:rPr>
          <w:rFonts w:ascii="Times New Roman" w:eastAsia="Arial" w:hAnsi="Times New Roman" w:cs="Times New Roman"/>
          <w:bCs/>
          <w:sz w:val="24"/>
          <w:szCs w:val="24"/>
        </w:rPr>
        <w:t xml:space="preserve"> and rs12414657</w:t>
      </w:r>
      <w:r w:rsidR="00632794" w:rsidRPr="00757919">
        <w:rPr>
          <w:rFonts w:ascii="Times New Roman" w:eastAsia="Arial" w:hAnsi="Times New Roman" w:cs="Times New Roman"/>
          <w:bCs/>
          <w:sz w:val="24"/>
          <w:szCs w:val="24"/>
        </w:rPr>
        <w:t xml:space="preserve"> (</w:t>
      </w:r>
      <w:r w:rsidR="00632794" w:rsidRPr="00757919">
        <w:rPr>
          <w:rFonts w:ascii="Times New Roman" w:eastAsia="Arial" w:hAnsi="Times New Roman" w:cs="Times New Roman"/>
          <w:bCs/>
          <w:i/>
          <w:iCs/>
          <w:sz w:val="24"/>
          <w:szCs w:val="24"/>
        </w:rPr>
        <w:t>ADRB1</w:t>
      </w:r>
      <w:r w:rsidR="00632794" w:rsidRPr="00757919">
        <w:rPr>
          <w:rFonts w:ascii="Times New Roman" w:eastAsia="Arial" w:hAnsi="Times New Roman" w:cs="Times New Roman"/>
          <w:bCs/>
          <w:sz w:val="24"/>
          <w:szCs w:val="24"/>
        </w:rPr>
        <w:t>)</w:t>
      </w:r>
      <w:r w:rsidR="005826D5" w:rsidRPr="00757919">
        <w:rPr>
          <w:rFonts w:ascii="Times New Roman" w:eastAsia="Arial" w:hAnsi="Times New Roman" w:cs="Times New Roman"/>
          <w:bCs/>
          <w:sz w:val="24"/>
          <w:szCs w:val="24"/>
        </w:rPr>
        <w:t xml:space="preserve"> was validated in the</w:t>
      </w:r>
      <w:r w:rsidR="00A20FB8">
        <w:rPr>
          <w:rFonts w:ascii="Times New Roman" w:eastAsia="Arial" w:hAnsi="Times New Roman" w:cs="Times New Roman"/>
          <w:bCs/>
          <w:sz w:val="24"/>
          <w:szCs w:val="24"/>
        </w:rPr>
        <w:t xml:space="preserve"> </w:t>
      </w:r>
      <w:r w:rsidR="005826D5" w:rsidRPr="00757919">
        <w:rPr>
          <w:rFonts w:ascii="Times New Roman" w:eastAsia="Arial" w:hAnsi="Times New Roman" w:cs="Times New Roman"/>
          <w:bCs/>
          <w:sz w:val="24"/>
          <w:szCs w:val="24"/>
        </w:rPr>
        <w:t>MOFS</w:t>
      </w:r>
      <w:r w:rsidRPr="00757919">
        <w:rPr>
          <w:rFonts w:ascii="Times New Roman" w:eastAsia="Arial" w:hAnsi="Times New Roman" w:cs="Times New Roman"/>
          <w:bCs/>
          <w:sz w:val="24"/>
          <w:szCs w:val="24"/>
        </w:rPr>
        <w:t xml:space="preserve">. </w:t>
      </w:r>
      <w:r w:rsidR="00A84F33">
        <w:rPr>
          <w:rFonts w:ascii="Times New Roman" w:eastAsia="Arial" w:hAnsi="Times New Roman" w:cs="Times New Roman"/>
          <w:bCs/>
          <w:sz w:val="24"/>
          <w:szCs w:val="24"/>
        </w:rPr>
        <w:t>The minor allele frequency o</w:t>
      </w:r>
      <w:r w:rsidR="007E15C8">
        <w:rPr>
          <w:rFonts w:ascii="Times New Roman" w:eastAsia="Arial" w:hAnsi="Times New Roman" w:cs="Times New Roman"/>
          <w:bCs/>
          <w:sz w:val="24"/>
          <w:szCs w:val="24"/>
        </w:rPr>
        <w:t>f</w:t>
      </w:r>
      <w:r w:rsidR="00A84F33">
        <w:rPr>
          <w:rFonts w:ascii="Times New Roman" w:eastAsia="Arial" w:hAnsi="Times New Roman" w:cs="Times New Roman"/>
          <w:bCs/>
          <w:sz w:val="24"/>
          <w:szCs w:val="24"/>
        </w:rPr>
        <w:t xml:space="preserve"> rs1</w:t>
      </w:r>
      <w:r w:rsidR="007E15C8">
        <w:rPr>
          <w:rFonts w:ascii="Times New Roman" w:eastAsia="Arial" w:hAnsi="Times New Roman" w:cs="Times New Roman"/>
          <w:bCs/>
          <w:sz w:val="24"/>
          <w:szCs w:val="24"/>
        </w:rPr>
        <w:t>1</w:t>
      </w:r>
      <w:r w:rsidR="00A84F33">
        <w:rPr>
          <w:rFonts w:ascii="Times New Roman" w:eastAsia="Arial" w:hAnsi="Times New Roman" w:cs="Times New Roman"/>
          <w:bCs/>
          <w:sz w:val="24"/>
          <w:szCs w:val="24"/>
        </w:rPr>
        <w:t>124190</w:t>
      </w:r>
      <w:r w:rsidR="007121EF">
        <w:rPr>
          <w:rFonts w:ascii="Times New Roman" w:eastAsia="Arial" w:hAnsi="Times New Roman" w:cs="Times New Roman"/>
          <w:bCs/>
          <w:sz w:val="24"/>
          <w:szCs w:val="24"/>
        </w:rPr>
        <w:t xml:space="preserve"> (</w:t>
      </w:r>
      <w:r w:rsidR="007121EF">
        <w:rPr>
          <w:rFonts w:ascii="Times New Roman" w:eastAsia="Arial" w:hAnsi="Times New Roman" w:cs="Times New Roman"/>
          <w:bCs/>
          <w:i/>
          <w:iCs/>
          <w:sz w:val="24"/>
          <w:szCs w:val="24"/>
        </w:rPr>
        <w:t>HDAC4</w:t>
      </w:r>
      <w:r w:rsidR="007121EF" w:rsidRPr="00BC23F1">
        <w:rPr>
          <w:rFonts w:ascii="Times New Roman" w:eastAsia="Arial" w:hAnsi="Times New Roman" w:cs="Times New Roman"/>
          <w:bCs/>
          <w:sz w:val="24"/>
          <w:szCs w:val="24"/>
        </w:rPr>
        <w:t>)</w:t>
      </w:r>
      <w:r w:rsidR="007E15C8">
        <w:rPr>
          <w:rFonts w:ascii="Times New Roman" w:eastAsia="Arial" w:hAnsi="Times New Roman" w:cs="Times New Roman"/>
          <w:bCs/>
          <w:sz w:val="24"/>
          <w:szCs w:val="24"/>
        </w:rPr>
        <w:t xml:space="preserve"> in European cohorts is 0.15, while the minor allele frequency of rs12414657 </w:t>
      </w:r>
      <w:r w:rsidR="007121EF">
        <w:rPr>
          <w:rFonts w:ascii="Times New Roman" w:eastAsia="Arial" w:hAnsi="Times New Roman" w:cs="Times New Roman"/>
          <w:bCs/>
          <w:sz w:val="24"/>
          <w:szCs w:val="24"/>
        </w:rPr>
        <w:t>(</w:t>
      </w:r>
      <w:r w:rsidR="007121EF">
        <w:rPr>
          <w:rFonts w:ascii="Times New Roman" w:eastAsia="Arial" w:hAnsi="Times New Roman" w:cs="Times New Roman"/>
          <w:bCs/>
          <w:i/>
          <w:iCs/>
          <w:sz w:val="24"/>
          <w:szCs w:val="24"/>
        </w:rPr>
        <w:t>ADRB1</w:t>
      </w:r>
      <w:r w:rsidR="007121EF" w:rsidRPr="00BC23F1">
        <w:rPr>
          <w:rFonts w:ascii="Times New Roman" w:eastAsia="Arial" w:hAnsi="Times New Roman" w:cs="Times New Roman"/>
          <w:bCs/>
          <w:sz w:val="24"/>
          <w:szCs w:val="24"/>
        </w:rPr>
        <w:t>)</w:t>
      </w:r>
      <w:r w:rsidR="007121EF">
        <w:rPr>
          <w:rFonts w:ascii="Times New Roman" w:eastAsia="Arial" w:hAnsi="Times New Roman" w:cs="Times New Roman"/>
          <w:bCs/>
          <w:sz w:val="24"/>
          <w:szCs w:val="24"/>
        </w:rPr>
        <w:t xml:space="preserve"> </w:t>
      </w:r>
      <w:r w:rsidR="007E15C8">
        <w:rPr>
          <w:rFonts w:ascii="Times New Roman" w:eastAsia="Arial" w:hAnsi="Times New Roman" w:cs="Times New Roman"/>
          <w:bCs/>
          <w:sz w:val="24"/>
          <w:szCs w:val="24"/>
        </w:rPr>
        <w:t>is 0.14</w:t>
      </w:r>
      <w:r w:rsidR="007E15C8">
        <w:rPr>
          <w:rFonts w:ascii="Times New Roman" w:eastAsia="Arial" w:hAnsi="Times New Roman" w:cs="Times New Roman"/>
          <w:bCs/>
          <w:sz w:val="24"/>
          <w:szCs w:val="24"/>
        </w:rPr>
        <w:fldChar w:fldCharType="begin"/>
      </w:r>
      <w:r w:rsidR="000E575F">
        <w:rPr>
          <w:rFonts w:ascii="Times New Roman" w:eastAsia="Arial" w:hAnsi="Times New Roman" w:cs="Times New Roman"/>
          <w:bCs/>
          <w:sz w:val="24"/>
          <w:szCs w:val="24"/>
        </w:rPr>
        <w:instrText xml:space="preserve"> ADDIN ZOTERO_ITEM CSL_CITATION {"citationID":"tuI2drg0","properties":{"formattedCitation":"\\super 70\\nosupersub{}","plainCitation":"70","noteIndex":0},"citationItems":[{"id":388,"uris":["http://zotero.org/users/3223062/items/MC9HGSXK"],"uri":["http://zotero.org/users/3223062/items/MC9HGSXK"],"itemData":{"id":388,"type":"article-journal","abstract":"Abstract.  The resolution of genome-wide association studies (GWAS) is limited by the linkage disequilibrium (LD) structure of the population being studied. Sel","container-title":"Nucleic Acids Research","DOI":"10.1093/nar/gkr917","ISSN":"0305-1048","issue":"D1","journalAbbreviation":"Nucleic Acids Res","language":"en","note":"publisher: Oxford Academic","page":"D930-D934","source":"academic.oup.com","title":"HaploReg: a resource for exploring chromatin states, conservation, and regulatory motif alterations within sets of genetically linked variants","title-short":"HaploReg","volume":"40","author":[{"family":"Ward","given":"Lucas D."},{"family":"Kellis","given":"Manolis"}],"issued":{"date-parts":[["2012",1,1]]}}}],"schema":"https://github.com/citation-style-language/schema/raw/master/csl-citation.json"} </w:instrText>
      </w:r>
      <w:r w:rsidR="007E15C8">
        <w:rPr>
          <w:rFonts w:ascii="Times New Roman" w:eastAsia="Arial" w:hAnsi="Times New Roman" w:cs="Times New Roman"/>
          <w:bCs/>
          <w:sz w:val="24"/>
          <w:szCs w:val="24"/>
        </w:rPr>
        <w:fldChar w:fldCharType="separate"/>
      </w:r>
      <w:r w:rsidR="000E575F" w:rsidRPr="000E575F">
        <w:rPr>
          <w:rFonts w:ascii="Times New Roman" w:hAnsi="Times New Roman" w:cs="Times New Roman"/>
          <w:sz w:val="24"/>
          <w:szCs w:val="24"/>
          <w:vertAlign w:val="superscript"/>
        </w:rPr>
        <w:t>70</w:t>
      </w:r>
      <w:r w:rsidR="007E15C8">
        <w:rPr>
          <w:rFonts w:ascii="Times New Roman" w:eastAsia="Arial" w:hAnsi="Times New Roman" w:cs="Times New Roman"/>
          <w:bCs/>
          <w:sz w:val="24"/>
          <w:szCs w:val="24"/>
        </w:rPr>
        <w:fldChar w:fldCharType="end"/>
      </w:r>
      <w:r w:rsidR="007E15C8">
        <w:rPr>
          <w:rFonts w:ascii="Times New Roman" w:eastAsia="Arial" w:hAnsi="Times New Roman" w:cs="Times New Roman"/>
          <w:bCs/>
          <w:sz w:val="24"/>
          <w:szCs w:val="24"/>
        </w:rPr>
        <w:t xml:space="preserve">. </w:t>
      </w:r>
      <w:r w:rsidR="009867AF">
        <w:rPr>
          <w:rFonts w:ascii="Times New Roman" w:eastAsia="Arial" w:hAnsi="Times New Roman" w:cs="Times New Roman"/>
          <w:bCs/>
          <w:sz w:val="24"/>
          <w:szCs w:val="24"/>
        </w:rPr>
        <w:t xml:space="preserve">The effect size of the </w:t>
      </w:r>
      <w:r w:rsidR="009867AF" w:rsidRPr="002C2316">
        <w:rPr>
          <w:rFonts w:ascii="Times New Roman" w:eastAsia="Arial" w:hAnsi="Times New Roman" w:cs="Times New Roman"/>
          <w:bCs/>
          <w:i/>
          <w:sz w:val="24"/>
          <w:szCs w:val="24"/>
        </w:rPr>
        <w:t>HDAC4</w:t>
      </w:r>
      <w:r w:rsidR="00181547">
        <w:rPr>
          <w:rFonts w:ascii="Times New Roman" w:eastAsia="Arial" w:hAnsi="Times New Roman" w:cs="Times New Roman"/>
          <w:bCs/>
          <w:sz w:val="24"/>
          <w:szCs w:val="24"/>
        </w:rPr>
        <w:t xml:space="preserve"> SNP</w:t>
      </w:r>
      <w:r w:rsidR="009867AF">
        <w:rPr>
          <w:rFonts w:ascii="Times New Roman" w:eastAsia="Arial" w:hAnsi="Times New Roman" w:cs="Times New Roman"/>
          <w:bCs/>
          <w:sz w:val="24"/>
          <w:szCs w:val="24"/>
        </w:rPr>
        <w:t xml:space="preserve"> is 0.048 g/cm</w:t>
      </w:r>
      <w:r w:rsidR="009867AF" w:rsidRPr="002C2316">
        <w:rPr>
          <w:rFonts w:ascii="Times New Roman" w:eastAsia="Arial" w:hAnsi="Times New Roman" w:cs="Times New Roman"/>
          <w:bCs/>
          <w:sz w:val="24"/>
          <w:szCs w:val="24"/>
          <w:vertAlign w:val="superscript"/>
        </w:rPr>
        <w:t>2</w:t>
      </w:r>
      <w:r w:rsidR="009867AF">
        <w:rPr>
          <w:rFonts w:ascii="Times New Roman" w:eastAsia="Arial" w:hAnsi="Times New Roman" w:cs="Times New Roman"/>
          <w:bCs/>
          <w:sz w:val="24"/>
          <w:szCs w:val="24"/>
        </w:rPr>
        <w:t xml:space="preserve"> and for the </w:t>
      </w:r>
      <w:r w:rsidR="009867AF" w:rsidRPr="002C2316">
        <w:rPr>
          <w:rFonts w:ascii="Times New Roman" w:eastAsia="Arial" w:hAnsi="Times New Roman" w:cs="Times New Roman"/>
          <w:bCs/>
          <w:i/>
          <w:sz w:val="24"/>
          <w:szCs w:val="24"/>
        </w:rPr>
        <w:t>ADRB1</w:t>
      </w:r>
      <w:r w:rsidR="009867AF">
        <w:rPr>
          <w:rFonts w:ascii="Times New Roman" w:eastAsia="Arial" w:hAnsi="Times New Roman" w:cs="Times New Roman"/>
          <w:bCs/>
          <w:sz w:val="24"/>
          <w:szCs w:val="24"/>
        </w:rPr>
        <w:t xml:space="preserve"> </w:t>
      </w:r>
      <w:r w:rsidR="00181547">
        <w:rPr>
          <w:rFonts w:ascii="Times New Roman" w:eastAsia="Arial" w:hAnsi="Times New Roman" w:cs="Times New Roman"/>
          <w:bCs/>
          <w:sz w:val="24"/>
          <w:szCs w:val="24"/>
        </w:rPr>
        <w:t>SNP</w:t>
      </w:r>
      <w:r w:rsidR="009867AF">
        <w:rPr>
          <w:rFonts w:ascii="Times New Roman" w:eastAsia="Arial" w:hAnsi="Times New Roman" w:cs="Times New Roman"/>
          <w:bCs/>
          <w:sz w:val="24"/>
          <w:szCs w:val="24"/>
        </w:rPr>
        <w:t xml:space="preserve"> is 0.043 g/cm</w:t>
      </w:r>
      <w:r w:rsidR="009867AF" w:rsidRPr="002C2316">
        <w:rPr>
          <w:rFonts w:ascii="Times New Roman" w:eastAsia="Arial" w:hAnsi="Times New Roman" w:cs="Times New Roman"/>
          <w:bCs/>
          <w:sz w:val="24"/>
          <w:szCs w:val="24"/>
          <w:vertAlign w:val="superscript"/>
        </w:rPr>
        <w:t>2</w:t>
      </w:r>
      <w:r w:rsidR="009867AF">
        <w:rPr>
          <w:rFonts w:ascii="Times New Roman" w:eastAsia="Arial" w:hAnsi="Times New Roman" w:cs="Times New Roman"/>
          <w:bCs/>
          <w:sz w:val="24"/>
          <w:szCs w:val="24"/>
        </w:rPr>
        <w:t xml:space="preserve"> which represent the difference in FN BMD between BB users and non-users for each additional copy of the alternative allele.</w:t>
      </w:r>
      <w:r w:rsidR="000277D1">
        <w:rPr>
          <w:rFonts w:ascii="Times New Roman" w:eastAsia="Arial" w:hAnsi="Times New Roman" w:cs="Times New Roman"/>
          <w:bCs/>
          <w:sz w:val="24"/>
          <w:szCs w:val="24"/>
        </w:rPr>
        <w:t xml:space="preserve"> A magnitude of 0.0</w:t>
      </w:r>
      <w:r w:rsidR="004E2CD6">
        <w:rPr>
          <w:rFonts w:ascii="Times New Roman" w:eastAsia="Arial" w:hAnsi="Times New Roman" w:cs="Times New Roman"/>
          <w:bCs/>
          <w:sz w:val="24"/>
          <w:szCs w:val="24"/>
        </w:rPr>
        <w:t>43</w:t>
      </w:r>
      <w:r w:rsidR="000277D1">
        <w:rPr>
          <w:rFonts w:ascii="Times New Roman" w:eastAsia="Arial" w:hAnsi="Times New Roman" w:cs="Times New Roman"/>
          <w:bCs/>
          <w:sz w:val="24"/>
          <w:szCs w:val="24"/>
        </w:rPr>
        <w:t xml:space="preserve"> g/cm</w:t>
      </w:r>
      <w:r w:rsidR="000277D1" w:rsidRPr="002C2316">
        <w:rPr>
          <w:rFonts w:ascii="Times New Roman" w:eastAsia="Arial" w:hAnsi="Times New Roman" w:cs="Times New Roman"/>
          <w:bCs/>
          <w:sz w:val="24"/>
          <w:szCs w:val="24"/>
          <w:vertAlign w:val="superscript"/>
        </w:rPr>
        <w:t>2</w:t>
      </w:r>
      <w:r w:rsidR="004E2CD6">
        <w:rPr>
          <w:rFonts w:ascii="Times New Roman" w:eastAsia="Arial" w:hAnsi="Times New Roman" w:cs="Times New Roman"/>
          <w:bCs/>
          <w:sz w:val="24"/>
          <w:szCs w:val="24"/>
        </w:rPr>
        <w:t xml:space="preserve"> represents </w:t>
      </w:r>
      <w:r w:rsidR="00621598">
        <w:rPr>
          <w:rFonts w:ascii="Times New Roman" w:eastAsia="Arial" w:hAnsi="Times New Roman" w:cs="Times New Roman"/>
          <w:bCs/>
          <w:sz w:val="24"/>
          <w:szCs w:val="24"/>
        </w:rPr>
        <w:t>a</w:t>
      </w:r>
      <w:r w:rsidR="004E2CD6">
        <w:rPr>
          <w:rFonts w:ascii="Times New Roman" w:eastAsia="Arial" w:hAnsi="Times New Roman" w:cs="Times New Roman"/>
          <w:bCs/>
          <w:sz w:val="24"/>
          <w:szCs w:val="24"/>
        </w:rPr>
        <w:t xml:space="preserve"> 4.7% difference in BMD for females w</w:t>
      </w:r>
      <w:r w:rsidR="00621598">
        <w:rPr>
          <w:rFonts w:ascii="Times New Roman" w:eastAsia="Arial" w:hAnsi="Times New Roman" w:cs="Times New Roman"/>
          <w:bCs/>
          <w:sz w:val="24"/>
          <w:szCs w:val="24"/>
        </w:rPr>
        <w:t>ho have</w:t>
      </w:r>
      <w:r w:rsidR="004E2CD6">
        <w:rPr>
          <w:rFonts w:ascii="Times New Roman" w:eastAsia="Arial" w:hAnsi="Times New Roman" w:cs="Times New Roman"/>
          <w:bCs/>
          <w:sz w:val="24"/>
          <w:szCs w:val="24"/>
        </w:rPr>
        <w:t xml:space="preserve"> an average of 0.91 g/cm</w:t>
      </w:r>
      <w:r w:rsidR="004E2CD6" w:rsidRPr="002C2316">
        <w:rPr>
          <w:rFonts w:ascii="Times New Roman" w:eastAsia="Arial" w:hAnsi="Times New Roman" w:cs="Times New Roman"/>
          <w:bCs/>
          <w:sz w:val="24"/>
          <w:szCs w:val="24"/>
          <w:vertAlign w:val="superscript"/>
        </w:rPr>
        <w:t>2</w:t>
      </w:r>
      <w:r w:rsidR="004E2CD6">
        <w:rPr>
          <w:rFonts w:ascii="Times New Roman" w:eastAsia="Arial" w:hAnsi="Times New Roman" w:cs="Times New Roman"/>
          <w:bCs/>
          <w:sz w:val="24"/>
          <w:szCs w:val="24"/>
        </w:rPr>
        <w:t xml:space="preserve"> (see Table S2</w:t>
      </w:r>
      <w:r w:rsidR="007309CD">
        <w:rPr>
          <w:rFonts w:ascii="Times New Roman" w:eastAsia="Arial" w:hAnsi="Times New Roman" w:cs="Times New Roman"/>
          <w:bCs/>
          <w:sz w:val="24"/>
          <w:szCs w:val="24"/>
          <w:vertAlign w:val="superscript"/>
        </w:rPr>
        <w:t>116</w:t>
      </w:r>
      <w:r w:rsidR="004E2CD6">
        <w:rPr>
          <w:rFonts w:ascii="Times New Roman" w:eastAsia="Arial" w:hAnsi="Times New Roman" w:cs="Times New Roman"/>
          <w:bCs/>
          <w:sz w:val="24"/>
          <w:szCs w:val="24"/>
        </w:rPr>
        <w:t xml:space="preserve">) in this study. Considering that </w:t>
      </w:r>
      <w:r w:rsidR="000277D1">
        <w:rPr>
          <w:rFonts w:ascii="Times New Roman" w:eastAsia="Times New Roman" w:hAnsi="Times New Roman" w:cs="Times New Roman"/>
          <w:color w:val="1C1D1E"/>
          <w:sz w:val="24"/>
          <w:szCs w:val="24"/>
          <w:lang w:val="en"/>
        </w:rPr>
        <w:t xml:space="preserve">the average annual loss of femoral neck </w:t>
      </w:r>
      <w:r w:rsidR="004E2CD6">
        <w:rPr>
          <w:rFonts w:ascii="Times New Roman" w:eastAsia="Times New Roman" w:hAnsi="Times New Roman" w:cs="Times New Roman"/>
          <w:color w:val="1C1D1E"/>
          <w:sz w:val="24"/>
          <w:szCs w:val="24"/>
          <w:lang w:val="en"/>
        </w:rPr>
        <w:t>BMD is</w:t>
      </w:r>
      <w:r w:rsidR="000277D1">
        <w:rPr>
          <w:rFonts w:ascii="Times New Roman" w:eastAsia="Times New Roman" w:hAnsi="Times New Roman" w:cs="Times New Roman"/>
          <w:color w:val="1C1D1E"/>
          <w:sz w:val="24"/>
          <w:szCs w:val="24"/>
          <w:lang w:val="en"/>
        </w:rPr>
        <w:t xml:space="preserve"> 0.6% in older men and women (average age 75)</w:t>
      </w:r>
      <w:r w:rsidR="00292686">
        <w:rPr>
          <w:rFonts w:ascii="Times New Roman" w:eastAsia="Times New Roman" w:hAnsi="Times New Roman" w:cs="Times New Roman"/>
          <w:color w:val="1C1D1E"/>
          <w:sz w:val="24"/>
          <w:szCs w:val="24"/>
          <w:lang w:val="en"/>
        </w:rPr>
        <w:fldChar w:fldCharType="begin"/>
      </w:r>
      <w:r w:rsidR="000E575F">
        <w:rPr>
          <w:rFonts w:ascii="Times New Roman" w:eastAsia="Times New Roman" w:hAnsi="Times New Roman" w:cs="Times New Roman"/>
          <w:color w:val="1C1D1E"/>
          <w:sz w:val="24"/>
          <w:szCs w:val="24"/>
          <w:lang w:val="en"/>
        </w:rPr>
        <w:instrText xml:space="preserve"> ADDIN ZOTERO_ITEM CSL_CITATION {"citationID":"soOZ6dzm","properties":{"formattedCitation":"\\super 96\\nosupersub{}","plainCitation":"96","noteIndex":0},"citationItems":[{"id":406,"uris":["http://zotero.org/users/3223062/items/BFIWWRNH"],"uri":["http://zotero.org/users/3223062/items/BFIWWRNH"],"itemData":{"id":406,"type":"article-journal","abstract":"IMPORTANCE\nScreening for osteoporosis with bone mineral density (BMD) is\nrecommended for older adults. It is unclear whether repeating a BMD\nscreening test improves fracture risk assessment.\n\nOBJECTIVES\nTo determine whether changes in BMD after 4 years provide additional\ninformation on fracture risk beyond baseline BMD and to quantify the change\nin fracture risk classification after a second BMD measure.\n\nDESIGN, SETTING, AND PARTICIPANTS\nPopulation-based cohort study involving 310 men and 492 women from\nthe Framingham Osteoporosis Study with 2 measures of femoral neck BMD taken\nfrom 1987 through 1999.\n\nMAIN OUTCOMES AND MEASURES\nRisk of hip or major osteoporotic fracture through 2009 or 12 years\nfollowing the second BMD measure.\n\nRESULTS\nMean age was 74.8 years. The mean (SD) BMD change was\n−0.6% per year (1.8%). Throughout a median follow-up\nof 9.6 years, 76 participants experienced an incident hip fracture and 113\nparticipants experienced a major osteoporotic fracture. Annual percent BMD\nchange per SD decrease was associated with risk of hip fracture (hazard\nratio [HR], 1.43 [95% CI, 1.16 to\n1.78]) and major osteoporotic fracture (HR, 1.21\n[95% CI, 1.01 to 1.45]) after adjusting for baseline\nBMD. At 10 years’ follow-up, 1 SD decrease in annual percent BMD\nchange compared with the mean BMD change was associated with 3.9 excess hip\nfractures per 100 persons. In receiver operating characteristic (ROC) curve\nanalyses, the addition of BMD change to a model with baseline BMD did not\nmeaningfully improve performance. The area under the curve (AUC) was 0.71\n(95% CI, 0.65 to 0.78) for the baseline BMD model compared with 0.68\n(95% CI, 0.62 to 0.75) for the BMD percent change model. Moreover,\nthe addition of BMD change to a model with baseline BMD did not meaningfully\nimprove performance (AUC, 0.72 [95% CI, 0.66 to\n0.79]). Using the net reclassification index, a second BMD measure\nincreased the proportion of participants reclassified as high risk of hip\nfracture by 3.9% (95% CI, −2.2% to\n9.9%), whereas it decreased the proportion classified as low risk by\n−2.2% (95% CI, −4.5% to\n0.1%).\n\nCONCLUSIONS AND RELEVANCE\nIn untreated men and women of mean age 75 years, a second BMD measure\nafter 4 years did not meaningfully improve the prediction of hip or major\nosteoporotic fracture. Repeating a BMD measure within 4 years to improve\nfracture risk stratification may not be necessary in adults this age\nuntreated for osteoporosis.","container-title":"JAMA : the journal of the American Medical Association","DOI":"10.1001/jama.2013.277817","ISSN":"0098-7484","issue":"12","journalAbbreviation":"JAMA","note":"PMID: 24065012\nPMCID: PMC3903386","page":"1256-1262","source":"PubMed Central","title":"Repeat Bone Mineral Density Screening and Prediction of Hip and Major Osteoporotic Fracture","volume":"310","author":[{"family":"Berry","given":"Sarah D."},{"family":"Samelson","given":"Elizabeth J."},{"family":"Pencina","given":"Michael J."},{"family":"McLean","given":"Robert R."},{"family":"Cupples","given":"L. Adrienne"},{"family":"Broe","given":"Kerry E."},{"family":"Kiel","given":"Douglas P."}],"issued":{"date-parts":[["2013",9,25]]}}}],"schema":"https://github.com/citation-style-language/schema/raw/master/csl-citation.json"} </w:instrText>
      </w:r>
      <w:r w:rsidR="00292686">
        <w:rPr>
          <w:rFonts w:ascii="Times New Roman" w:eastAsia="Times New Roman" w:hAnsi="Times New Roman" w:cs="Times New Roman"/>
          <w:color w:val="1C1D1E"/>
          <w:sz w:val="24"/>
          <w:szCs w:val="24"/>
          <w:lang w:val="en"/>
        </w:rPr>
        <w:fldChar w:fldCharType="separate"/>
      </w:r>
      <w:r w:rsidR="000E575F" w:rsidRPr="000E575F">
        <w:rPr>
          <w:rFonts w:ascii="Times New Roman" w:hAnsi="Times New Roman" w:cs="Times New Roman"/>
          <w:sz w:val="24"/>
          <w:szCs w:val="24"/>
          <w:vertAlign w:val="superscript"/>
        </w:rPr>
        <w:t>96</w:t>
      </w:r>
      <w:r w:rsidR="00292686">
        <w:rPr>
          <w:rFonts w:ascii="Times New Roman" w:eastAsia="Times New Roman" w:hAnsi="Times New Roman" w:cs="Times New Roman"/>
          <w:color w:val="1C1D1E"/>
          <w:sz w:val="24"/>
          <w:szCs w:val="24"/>
          <w:lang w:val="en"/>
        </w:rPr>
        <w:fldChar w:fldCharType="end"/>
      </w:r>
      <w:r w:rsidR="000277D1">
        <w:rPr>
          <w:rFonts w:ascii="Times New Roman" w:eastAsia="Times New Roman" w:hAnsi="Times New Roman" w:cs="Times New Roman"/>
          <w:color w:val="1C1D1E"/>
          <w:sz w:val="24"/>
          <w:szCs w:val="24"/>
          <w:lang w:val="en"/>
        </w:rPr>
        <w:t xml:space="preserve">, </w:t>
      </w:r>
      <w:r w:rsidR="00621598">
        <w:rPr>
          <w:rFonts w:ascii="Times New Roman" w:eastAsia="Times New Roman" w:hAnsi="Times New Roman" w:cs="Times New Roman"/>
          <w:color w:val="1C1D1E"/>
          <w:sz w:val="24"/>
          <w:szCs w:val="24"/>
          <w:lang w:val="en"/>
        </w:rPr>
        <w:t xml:space="preserve">this effect size represents close to 8 years of BMD loss due to aging, </w:t>
      </w:r>
      <w:r w:rsidR="000277D1">
        <w:rPr>
          <w:rFonts w:ascii="Times New Roman" w:eastAsia="Times New Roman" w:hAnsi="Times New Roman" w:cs="Times New Roman"/>
          <w:color w:val="1C1D1E"/>
          <w:sz w:val="24"/>
          <w:szCs w:val="24"/>
          <w:lang w:val="en"/>
        </w:rPr>
        <w:t>although rates vary by age</w:t>
      </w:r>
      <w:r w:rsidR="00621598">
        <w:rPr>
          <w:rFonts w:ascii="Times New Roman" w:eastAsia="Times New Roman" w:hAnsi="Times New Roman" w:cs="Times New Roman"/>
          <w:color w:val="1C1D1E"/>
          <w:sz w:val="24"/>
          <w:szCs w:val="24"/>
          <w:lang w:val="en"/>
        </w:rPr>
        <w:t xml:space="preserve"> and sex and other factors</w:t>
      </w:r>
      <w:r w:rsidR="00E206A6">
        <w:rPr>
          <w:rFonts w:ascii="Times New Roman" w:eastAsia="Times New Roman" w:hAnsi="Times New Roman" w:cs="Times New Roman"/>
          <w:color w:val="1C1D1E"/>
          <w:sz w:val="24"/>
          <w:szCs w:val="24"/>
          <w:lang w:val="en"/>
        </w:rPr>
        <w:t>, thus these effect sizes are clinically significant.</w:t>
      </w:r>
      <w:r w:rsidR="00621598">
        <w:rPr>
          <w:rFonts w:ascii="Times New Roman" w:eastAsia="Times New Roman" w:hAnsi="Times New Roman" w:cs="Times New Roman"/>
          <w:color w:val="1C1D1E"/>
          <w:sz w:val="24"/>
          <w:szCs w:val="24"/>
          <w:lang w:val="en"/>
        </w:rPr>
        <w:t xml:space="preserve"> </w:t>
      </w:r>
    </w:p>
    <w:p w14:paraId="7848DDBA" w14:textId="613D02F9" w:rsidR="00A9073B" w:rsidRPr="00757919" w:rsidRDefault="00325A56" w:rsidP="002C2316">
      <w:pPr>
        <w:spacing w:line="480" w:lineRule="auto"/>
        <w:ind w:firstLine="720"/>
        <w:rPr>
          <w:rFonts w:ascii="Times New Roman" w:eastAsia="Arial" w:hAnsi="Times New Roman" w:cs="Times New Roman"/>
          <w:bCs/>
          <w:sz w:val="24"/>
          <w:szCs w:val="24"/>
        </w:rPr>
      </w:pPr>
      <w:r>
        <w:rPr>
          <w:rFonts w:ascii="Times New Roman" w:eastAsia="Arial" w:hAnsi="Times New Roman" w:cs="Times New Roman"/>
          <w:bCs/>
          <w:sz w:val="24"/>
          <w:szCs w:val="24"/>
        </w:rPr>
        <w:t xml:space="preserve">The </w:t>
      </w:r>
      <w:r w:rsidR="00A20FB8">
        <w:rPr>
          <w:rFonts w:ascii="Times New Roman" w:eastAsia="Arial" w:hAnsi="Times New Roman" w:cs="Times New Roman"/>
          <w:bCs/>
          <w:sz w:val="24"/>
          <w:szCs w:val="24"/>
        </w:rPr>
        <w:t xml:space="preserve">intronic </w:t>
      </w:r>
      <w:r w:rsidR="00A20FB8" w:rsidRPr="00757919">
        <w:rPr>
          <w:rFonts w:ascii="Times New Roman" w:eastAsia="Arial" w:hAnsi="Times New Roman" w:cs="Times New Roman"/>
          <w:bCs/>
          <w:i/>
          <w:iCs/>
          <w:sz w:val="24"/>
          <w:szCs w:val="24"/>
        </w:rPr>
        <w:t>HDAC4</w:t>
      </w:r>
      <w:r w:rsidR="00A84F33">
        <w:rPr>
          <w:rFonts w:ascii="Times New Roman" w:eastAsia="Arial" w:hAnsi="Times New Roman" w:cs="Times New Roman"/>
          <w:bCs/>
          <w:sz w:val="24"/>
          <w:szCs w:val="24"/>
        </w:rPr>
        <w:t xml:space="preserve"> SNP,</w:t>
      </w:r>
      <w:r w:rsidR="00A20FB8">
        <w:rPr>
          <w:rFonts w:ascii="Times New Roman" w:eastAsia="Arial" w:hAnsi="Times New Roman" w:cs="Times New Roman"/>
          <w:bCs/>
          <w:i/>
          <w:iCs/>
          <w:sz w:val="24"/>
          <w:szCs w:val="24"/>
        </w:rPr>
        <w:t xml:space="preserve"> </w:t>
      </w:r>
      <w:r>
        <w:rPr>
          <w:rFonts w:ascii="Times New Roman" w:eastAsia="Arial" w:hAnsi="Times New Roman" w:cs="Times New Roman"/>
          <w:bCs/>
          <w:sz w:val="24"/>
          <w:szCs w:val="24"/>
        </w:rPr>
        <w:t>r</w:t>
      </w:r>
      <w:r w:rsidR="00A9073B" w:rsidRPr="00757919">
        <w:rPr>
          <w:rFonts w:ascii="Times New Roman" w:eastAsia="Arial" w:hAnsi="Times New Roman" w:cs="Times New Roman"/>
          <w:bCs/>
          <w:sz w:val="24"/>
          <w:szCs w:val="24"/>
        </w:rPr>
        <w:t>s11</w:t>
      </w:r>
      <w:r w:rsidR="00F024D3" w:rsidRPr="00757919">
        <w:rPr>
          <w:rFonts w:ascii="Times New Roman" w:eastAsia="Arial" w:hAnsi="Times New Roman" w:cs="Times New Roman"/>
          <w:bCs/>
          <w:sz w:val="24"/>
          <w:szCs w:val="24"/>
        </w:rPr>
        <w:t>1</w:t>
      </w:r>
      <w:r w:rsidR="00A9073B" w:rsidRPr="00757919">
        <w:rPr>
          <w:rFonts w:ascii="Times New Roman" w:eastAsia="Arial" w:hAnsi="Times New Roman" w:cs="Times New Roman"/>
          <w:bCs/>
          <w:sz w:val="24"/>
          <w:szCs w:val="24"/>
        </w:rPr>
        <w:t>24</w:t>
      </w:r>
      <w:r w:rsidR="00747D79" w:rsidRPr="00757919">
        <w:rPr>
          <w:rFonts w:ascii="Times New Roman" w:eastAsia="Arial" w:hAnsi="Times New Roman" w:cs="Times New Roman"/>
          <w:bCs/>
          <w:sz w:val="24"/>
          <w:szCs w:val="24"/>
        </w:rPr>
        <w:t>1</w:t>
      </w:r>
      <w:r w:rsidR="00A9073B" w:rsidRPr="00757919">
        <w:rPr>
          <w:rFonts w:ascii="Times New Roman" w:eastAsia="Arial" w:hAnsi="Times New Roman" w:cs="Times New Roman"/>
          <w:bCs/>
          <w:sz w:val="24"/>
          <w:szCs w:val="24"/>
        </w:rPr>
        <w:t>90</w:t>
      </w:r>
      <w:r w:rsidR="00A84F33">
        <w:rPr>
          <w:rFonts w:ascii="Times New Roman" w:eastAsia="Arial" w:hAnsi="Times New Roman" w:cs="Times New Roman"/>
          <w:bCs/>
          <w:sz w:val="24"/>
          <w:szCs w:val="24"/>
        </w:rPr>
        <w:t>,</w:t>
      </w:r>
      <w:r>
        <w:rPr>
          <w:rFonts w:ascii="Times New Roman" w:eastAsia="Arial" w:hAnsi="Times New Roman" w:cs="Times New Roman"/>
          <w:bCs/>
          <w:sz w:val="24"/>
          <w:szCs w:val="24"/>
        </w:rPr>
        <w:t xml:space="preserve"> </w:t>
      </w:r>
      <w:r w:rsidR="00A9073B" w:rsidRPr="00757919">
        <w:rPr>
          <w:rFonts w:ascii="Times New Roman" w:eastAsia="Arial" w:hAnsi="Times New Roman" w:cs="Times New Roman"/>
          <w:bCs/>
          <w:sz w:val="24"/>
          <w:szCs w:val="24"/>
        </w:rPr>
        <w:t xml:space="preserve">is </w:t>
      </w:r>
      <w:r w:rsidR="00CE7371">
        <w:rPr>
          <w:rFonts w:ascii="Times New Roman" w:eastAsia="Arial" w:hAnsi="Times New Roman" w:cs="Times New Roman"/>
          <w:bCs/>
          <w:sz w:val="24"/>
          <w:szCs w:val="24"/>
        </w:rPr>
        <w:t>polymorphism</w:t>
      </w:r>
      <w:r w:rsidR="00871D61">
        <w:rPr>
          <w:rFonts w:ascii="Times New Roman" w:eastAsia="Arial" w:hAnsi="Times New Roman" w:cs="Times New Roman"/>
          <w:bCs/>
          <w:sz w:val="24"/>
          <w:szCs w:val="24"/>
        </w:rPr>
        <w:t xml:space="preserve"> </w:t>
      </w:r>
      <w:r w:rsidR="00A9073B" w:rsidRPr="00757919">
        <w:rPr>
          <w:rFonts w:ascii="Times New Roman" w:eastAsia="Arial" w:hAnsi="Times New Roman" w:cs="Times New Roman"/>
          <w:bCs/>
          <w:sz w:val="24"/>
          <w:szCs w:val="24"/>
        </w:rPr>
        <w:t xml:space="preserve">in high LD with other intronic </w:t>
      </w:r>
      <w:r w:rsidR="00CE7371">
        <w:rPr>
          <w:rFonts w:ascii="Times New Roman" w:eastAsia="Arial" w:hAnsi="Times New Roman" w:cs="Times New Roman"/>
          <w:bCs/>
          <w:sz w:val="24"/>
          <w:szCs w:val="24"/>
        </w:rPr>
        <w:t>polymorphism</w:t>
      </w:r>
      <w:r w:rsidR="00A9073B" w:rsidRPr="00757919">
        <w:rPr>
          <w:rFonts w:ascii="Times New Roman" w:eastAsia="Arial" w:hAnsi="Times New Roman" w:cs="Times New Roman"/>
          <w:bCs/>
          <w:sz w:val="24"/>
          <w:szCs w:val="24"/>
        </w:rPr>
        <w:t xml:space="preserve">s in </w:t>
      </w:r>
      <w:r w:rsidR="00A9073B" w:rsidRPr="00757919">
        <w:rPr>
          <w:rFonts w:ascii="Times New Roman" w:eastAsia="Arial" w:hAnsi="Times New Roman" w:cs="Times New Roman"/>
          <w:bCs/>
          <w:i/>
          <w:iCs/>
          <w:sz w:val="24"/>
          <w:szCs w:val="24"/>
        </w:rPr>
        <w:t>HDAC4</w:t>
      </w:r>
      <w:r w:rsidR="00A9073B" w:rsidRPr="00757919">
        <w:rPr>
          <w:rFonts w:ascii="Times New Roman" w:eastAsia="Arial" w:hAnsi="Times New Roman" w:cs="Times New Roman"/>
          <w:bCs/>
          <w:sz w:val="24"/>
          <w:szCs w:val="24"/>
        </w:rPr>
        <w:t xml:space="preserve">. According to </w:t>
      </w:r>
      <w:proofErr w:type="spellStart"/>
      <w:r w:rsidR="00A9073B" w:rsidRPr="00757919">
        <w:rPr>
          <w:rFonts w:ascii="Times New Roman" w:eastAsia="Arial" w:hAnsi="Times New Roman" w:cs="Times New Roman"/>
          <w:bCs/>
          <w:sz w:val="24"/>
          <w:szCs w:val="24"/>
        </w:rPr>
        <w:t>HaploReg</w:t>
      </w:r>
      <w:proofErr w:type="spellEnd"/>
      <w:r w:rsidR="00463920" w:rsidRPr="00757919">
        <w:rPr>
          <w:rFonts w:ascii="Times New Roman" w:eastAsia="Arial" w:hAnsi="Times New Roman" w:cs="Times New Roman"/>
          <w:bCs/>
          <w:sz w:val="24"/>
          <w:szCs w:val="24"/>
        </w:rPr>
        <w:t xml:space="preserve"> and</w:t>
      </w:r>
      <w:r w:rsidR="00F500CD" w:rsidRPr="00757919">
        <w:rPr>
          <w:rFonts w:ascii="Times New Roman" w:eastAsia="Arial" w:hAnsi="Times New Roman" w:cs="Times New Roman"/>
          <w:bCs/>
          <w:sz w:val="24"/>
          <w:szCs w:val="24"/>
        </w:rPr>
        <w:t xml:space="preserve"> SCREEN</w:t>
      </w:r>
      <w:r w:rsidR="0028440C" w:rsidRPr="00757919">
        <w:rPr>
          <w:rFonts w:ascii="Times New Roman" w:eastAsia="Arial" w:hAnsi="Times New Roman" w:cs="Times New Roman"/>
          <w:bCs/>
          <w:sz w:val="24"/>
          <w:szCs w:val="24"/>
        </w:rPr>
        <w:t>,</w:t>
      </w:r>
      <w:r w:rsidR="00F500CD" w:rsidRPr="00757919">
        <w:rPr>
          <w:rFonts w:ascii="Times New Roman" w:eastAsia="Arial" w:hAnsi="Times New Roman" w:cs="Times New Roman"/>
          <w:bCs/>
          <w:sz w:val="24"/>
          <w:szCs w:val="24"/>
        </w:rPr>
        <w:t xml:space="preserve"> </w:t>
      </w:r>
      <w:r w:rsidR="00E37BBC" w:rsidRPr="00757919">
        <w:rPr>
          <w:rFonts w:ascii="Times New Roman" w:eastAsia="Arial" w:hAnsi="Times New Roman" w:cs="Times New Roman"/>
          <w:bCs/>
          <w:sz w:val="24"/>
          <w:szCs w:val="24"/>
        </w:rPr>
        <w:t>t</w:t>
      </w:r>
      <w:r w:rsidR="00A9073B" w:rsidRPr="00757919">
        <w:rPr>
          <w:rFonts w:ascii="Times New Roman" w:eastAsia="Arial" w:hAnsi="Times New Roman" w:cs="Times New Roman"/>
          <w:bCs/>
          <w:sz w:val="24"/>
          <w:szCs w:val="24"/>
        </w:rPr>
        <w:t xml:space="preserve">his SNP </w:t>
      </w:r>
      <w:r w:rsidR="00313EE5">
        <w:rPr>
          <w:rFonts w:ascii="Times New Roman" w:eastAsia="Arial" w:hAnsi="Times New Roman" w:cs="Times New Roman"/>
          <w:bCs/>
          <w:sz w:val="24"/>
          <w:szCs w:val="24"/>
        </w:rPr>
        <w:t>has</w:t>
      </w:r>
      <w:r w:rsidR="00F5794A" w:rsidRPr="00757919">
        <w:rPr>
          <w:rFonts w:ascii="Times New Roman" w:eastAsia="Arial" w:hAnsi="Times New Roman" w:cs="Times New Roman"/>
          <w:bCs/>
          <w:sz w:val="24"/>
          <w:szCs w:val="24"/>
        </w:rPr>
        <w:t xml:space="preserve"> </w:t>
      </w:r>
      <w:r w:rsidR="00A9073B" w:rsidRPr="00757919">
        <w:rPr>
          <w:rFonts w:ascii="Times New Roman" w:eastAsia="Arial" w:hAnsi="Times New Roman" w:cs="Times New Roman"/>
          <w:bCs/>
          <w:sz w:val="24"/>
          <w:szCs w:val="24"/>
        </w:rPr>
        <w:t>not</w:t>
      </w:r>
      <w:r w:rsidR="00313EE5">
        <w:rPr>
          <w:rFonts w:ascii="Times New Roman" w:eastAsia="Arial" w:hAnsi="Times New Roman" w:cs="Times New Roman"/>
          <w:bCs/>
          <w:sz w:val="24"/>
          <w:szCs w:val="24"/>
        </w:rPr>
        <w:t xml:space="preserve"> been </w:t>
      </w:r>
      <w:r w:rsidR="00313EE5">
        <w:rPr>
          <w:rFonts w:ascii="Times New Roman" w:eastAsia="Arial" w:hAnsi="Times New Roman" w:cs="Times New Roman"/>
          <w:bCs/>
          <w:sz w:val="24"/>
          <w:szCs w:val="24"/>
        </w:rPr>
        <w:lastRenderedPageBreak/>
        <w:t>reported to be</w:t>
      </w:r>
      <w:r w:rsidR="00A9073B" w:rsidRPr="00757919">
        <w:rPr>
          <w:rFonts w:ascii="Times New Roman" w:eastAsia="Arial" w:hAnsi="Times New Roman" w:cs="Times New Roman"/>
          <w:bCs/>
          <w:sz w:val="24"/>
          <w:szCs w:val="24"/>
        </w:rPr>
        <w:t xml:space="preserve"> associated with methylation or acetylation histone modification in osteoblast primary cells</w:t>
      </w:r>
      <w:r w:rsidR="00871D61">
        <w:rPr>
          <w:rFonts w:ascii="Times New Roman" w:eastAsia="Arial" w:hAnsi="Times New Roman" w:cs="Times New Roman"/>
          <w:bCs/>
          <w:sz w:val="24"/>
          <w:szCs w:val="24"/>
        </w:rPr>
        <w:t>,</w:t>
      </w:r>
      <w:r w:rsidR="00463920" w:rsidRPr="00757919">
        <w:rPr>
          <w:rFonts w:ascii="Times New Roman" w:eastAsia="Arial" w:hAnsi="Times New Roman" w:cs="Times New Roman"/>
          <w:bCs/>
          <w:sz w:val="24"/>
          <w:szCs w:val="24"/>
        </w:rPr>
        <w:t xml:space="preserve"> nor did it overlap with any cis-regulatory elements in other cells</w:t>
      </w:r>
      <w:r w:rsidR="00F024D3" w:rsidRPr="00757919">
        <w:rPr>
          <w:rFonts w:ascii="Times New Roman" w:eastAsia="Arial" w:hAnsi="Times New Roman" w:cs="Times New Roman"/>
          <w:bCs/>
          <w:sz w:val="24"/>
          <w:szCs w:val="24"/>
        </w:rPr>
        <w:fldChar w:fldCharType="begin"/>
      </w:r>
      <w:r w:rsidR="000E575F">
        <w:rPr>
          <w:rFonts w:ascii="Times New Roman" w:eastAsia="Arial" w:hAnsi="Times New Roman" w:cs="Times New Roman"/>
          <w:bCs/>
          <w:sz w:val="24"/>
          <w:szCs w:val="24"/>
        </w:rPr>
        <w:instrText xml:space="preserve"> ADDIN ZOTERO_ITEM CSL_CITATION {"citationID":"HOf2ajbV","properties":{"formattedCitation":"\\super 70,71\\nosupersub{}","plainCitation":"70,71","noteIndex":0},"citationItems":[{"id":388,"uris":["http://zotero.org/users/3223062/items/MC9HGSXK"],"uri":["http://zotero.org/users/3223062/items/MC9HGSXK"],"itemData":{"id":388,"type":"article-journal","abstract":"Abstract.  The resolution of genome-wide association studies (GWAS) is limited by the linkage disequilibrium (LD) structure of the population being studied. Sel","container-title":"Nucleic Acids Research","DOI":"10.1093/nar/gkr917","ISSN":"0305-1048","issue":"D1","journalAbbreviation":"Nucleic Acids Res","language":"en","note":"publisher: Oxford Academic","page":"D930-D934","source":"academic.oup.com","title":"HaploReg: a resource for exploring chromatin states, conservation, and regulatory motif alterations within sets of genetically linked variants","title-short":"HaploReg","volume":"40","author":[{"family":"Ward","given":"Lucas D."},{"family":"Kellis","given":"Manolis"}],"issued":{"date-parts":[["2012",1,1]]}}},{"id":1572,"uris":["http://zotero.org/users/3223062/items/TV2IDN7X"],"uri":["http://zotero.org/users/3223062/items/TV2IDN7X"],"itemData":{"id":1572,"type":"article-journal","abstract":"The human and mouse genomes contain instructions that specify RNAs and proteins and govern the timing, magnitude, and cellular context of their production. To better delineate these elements, phase III of the Encyclopedia of DNA Elements (ENCODE) Project has expanded analysis of the cell and tissue repertoires of RNA transcription, chromatin structure and modification, DNA methylation, chromatin looping, and occupancy by transcription factors and RNA-binding proteins. Here we summarize these efforts, which have produced 5,992 new experimental datasets, including systematic determinations across mouse fetal development. All data are available through the ENCODE data portal (https://www.encodeproject.org), including phase II ENCODE1 and Roadmap Epigenomics2 data. We have developed a registry of 926,535 human and 339,815 mouse candidate cis-regulatory elements, covering 7.9 and 3.4% of their respective genomes, by integrating selected datatypes associated with gene regulation, and constructed a web-based server (SCREEN; http://screen.encodeproject.org) to provide flexible, user-defined access to this resource. Collectively, the ENCODE data and registry provide an expansive resource for the scientific community to build a better understanding of the organization and function of the human and mouse genomes.","container-title":"Nature","DOI":"10.1038/s41586-020-2493-4","ISSN":"1476-4687","issue":"7818","language":"en","note":"number: 7818\npublisher: Nature Publishing Group","page":"699-710","source":"www.nature.com","title":"Expanded encyclopaedias of DNA elements in the human and mouse genomes","volume":"583","author":[{"family":"Moore","given":"Jill E."},{"family":"Purcaro","given":"Michael J."},{"family":"Pratt","given":"Henry E."},{"family":"Epstein","given":"Charles B."},{"family":"Shoresh","given":"Noam"},{"family":"Adrian","given":"Jessika"},{"family":"Kawli","given":"Trupti"},{"family":"Davis","given":"Carrie A."},{"family":"Dobin","given":"Alexander"},{"family":"Kaul","given":"Rajinder"},{"family":"Halow","given":"Jessica"},{"family":"Van Nostrand","given":"Eric L."},{"family":"Freese","given":"Peter"},{"family":"Gorkin","given":"David U."},{"family":"Shen","given":"Yin"},{"family":"He","given":"Yupeng"},{"family":"Mackiewicz","given":"Mark"},{"family":"Pauli-Behn","given":"Florencia"},{"family":"Williams","given":"Brian A."},{"family":"Mortazavi","given":"Ali"},{"family":"Keller","given":"Cheryl A."},{"family":"Zhang","given":"Xiao-Ou"},{"family":"Elhajjajy","given":"Shaimae I."},{"family":"Huey","given":"Jack"},{"family":"Dickel","given":"Diane E."},{"family":"Snetkova","given":"Valentina"},{"family":"Wei","given":"Xintao"},{"family":"Wang","given":"Xiaofeng"},{"family":"Rivera-Mulia","given":"Juan Carlos"},{"family":"Rozowsky","given":"Joel"},{"family":"Zhang","given":"Jing"},{"family":"Chhetri","given":"Surya B."},{"family":"Zhang","given":"Jialing"},{"family":"Victorsen","given":"Alec"},{"family":"White","given":"Kevin P."},{"family":"Visel","given":"Axel"},{"family":"Yeo","given":"Gene W."},{"family":"Burge","given":"Christopher B."},{"family":"Lécuyer","given":"Eric"},{"family":"Gilbert","given":"David M."},{"family":"Dekker","given":"Job"},{"family":"Rinn","given":"John"},{"family":"Mendenhall","given":"Eric M."},{"family":"Ecker","given":"Joseph R."},{"family":"Kellis","given":"Manolis"},{"family":"Klein","given":"Robert J."},{"family":"Noble","given":"William S."},{"family":"Kundaje","given":"Anshul"},{"family":"Guigó","given":"Roderic"},{"family":"Farnham","given":"Peggy J."},{"family":"Cherry","given":"J. Michael"},{"family":"Myers","given":"Richard M."},{"family":"Ren","given":"Bing"},{"family":"Graveley","given":"Brenton R."},{"family":"Gerstein","given":"Mark B."},{"family":"Pennacchio","given":"Len A."},{"family":"Snyder","given":"Michael P."},{"family":"Bernstein","given":"Bradley E."},{"family":"Wold","given":"Barbara"},{"family":"Hardison","given":"Ross C."},{"family":"Gingeras","given":"Thomas R."},{"family":"Stamatoyannopoulos","given":"John A."},{"family":"Weng","given":"Zhiping"}],"issued":{"date-parts":[["2020",7]]}}}],"schema":"https://github.com/citation-style-language/schema/raw/master/csl-citation.json"} </w:instrText>
      </w:r>
      <w:r w:rsidR="00F024D3" w:rsidRPr="00757919">
        <w:rPr>
          <w:rFonts w:ascii="Times New Roman" w:eastAsia="Arial" w:hAnsi="Times New Roman" w:cs="Times New Roman"/>
          <w:bCs/>
          <w:sz w:val="24"/>
          <w:szCs w:val="24"/>
        </w:rPr>
        <w:fldChar w:fldCharType="separate"/>
      </w:r>
      <w:r w:rsidR="000E575F" w:rsidRPr="000E575F">
        <w:rPr>
          <w:rFonts w:ascii="Times New Roman" w:hAnsi="Times New Roman" w:cs="Times New Roman"/>
          <w:sz w:val="24"/>
          <w:szCs w:val="24"/>
          <w:vertAlign w:val="superscript"/>
        </w:rPr>
        <w:t>70,71</w:t>
      </w:r>
      <w:r w:rsidR="00F024D3" w:rsidRPr="00757919">
        <w:rPr>
          <w:rFonts w:ascii="Times New Roman" w:eastAsia="Arial" w:hAnsi="Times New Roman" w:cs="Times New Roman"/>
          <w:bCs/>
          <w:sz w:val="24"/>
          <w:szCs w:val="24"/>
        </w:rPr>
        <w:fldChar w:fldCharType="end"/>
      </w:r>
      <w:r w:rsidR="00A9073B" w:rsidRPr="00757919">
        <w:rPr>
          <w:rFonts w:ascii="Times New Roman" w:eastAsia="Arial" w:hAnsi="Times New Roman" w:cs="Times New Roman"/>
          <w:bCs/>
          <w:sz w:val="24"/>
          <w:szCs w:val="24"/>
        </w:rPr>
        <w:t xml:space="preserve">. This SNP has not been previously reported </w:t>
      </w:r>
      <w:r w:rsidR="00F5794A">
        <w:rPr>
          <w:rFonts w:ascii="Times New Roman" w:eastAsia="Arial" w:hAnsi="Times New Roman" w:cs="Times New Roman"/>
          <w:bCs/>
          <w:sz w:val="24"/>
          <w:szCs w:val="24"/>
        </w:rPr>
        <w:t>i</w:t>
      </w:r>
      <w:r w:rsidR="00871D61">
        <w:rPr>
          <w:rFonts w:ascii="Times New Roman" w:eastAsia="Arial" w:hAnsi="Times New Roman" w:cs="Times New Roman"/>
          <w:bCs/>
          <w:sz w:val="24"/>
          <w:szCs w:val="24"/>
        </w:rPr>
        <w:t>n association with other traits</w:t>
      </w:r>
      <w:r w:rsidR="00A9073B" w:rsidRPr="00757919">
        <w:rPr>
          <w:rFonts w:ascii="Times New Roman" w:eastAsia="Arial" w:hAnsi="Times New Roman" w:cs="Times New Roman"/>
          <w:bCs/>
          <w:sz w:val="24"/>
          <w:szCs w:val="24"/>
        </w:rPr>
        <w:t xml:space="preserve">. </w:t>
      </w:r>
      <w:r w:rsidR="005826D5" w:rsidRPr="00757919">
        <w:rPr>
          <w:rFonts w:ascii="Times New Roman" w:eastAsia="Arial" w:hAnsi="Times New Roman" w:cs="Times New Roman"/>
          <w:bCs/>
          <w:sz w:val="24"/>
          <w:szCs w:val="24"/>
        </w:rPr>
        <w:t xml:space="preserve">Rs12414657 is a </w:t>
      </w:r>
      <w:r w:rsidR="00CE7371">
        <w:rPr>
          <w:rFonts w:ascii="Times New Roman" w:eastAsia="Arial" w:hAnsi="Times New Roman" w:cs="Times New Roman"/>
          <w:bCs/>
          <w:sz w:val="24"/>
          <w:szCs w:val="24"/>
        </w:rPr>
        <w:t>polymorphism</w:t>
      </w:r>
      <w:r w:rsidR="005826D5" w:rsidRPr="00757919">
        <w:rPr>
          <w:rFonts w:ascii="Times New Roman" w:eastAsia="Arial" w:hAnsi="Times New Roman" w:cs="Times New Roman"/>
          <w:bCs/>
          <w:sz w:val="24"/>
          <w:szCs w:val="24"/>
        </w:rPr>
        <w:t xml:space="preserve"> 430 bp upstream of the 5’ region of </w:t>
      </w:r>
      <w:r w:rsidR="005826D5" w:rsidRPr="00757919">
        <w:rPr>
          <w:rFonts w:ascii="Times New Roman" w:eastAsia="Arial" w:hAnsi="Times New Roman" w:cs="Times New Roman"/>
          <w:bCs/>
          <w:i/>
          <w:sz w:val="24"/>
          <w:szCs w:val="24"/>
        </w:rPr>
        <w:t>ADRB1</w:t>
      </w:r>
      <w:r w:rsidR="008C419E" w:rsidRPr="00757919">
        <w:rPr>
          <w:rFonts w:ascii="Times New Roman" w:eastAsia="Arial" w:hAnsi="Times New Roman" w:cs="Times New Roman"/>
          <w:bCs/>
          <w:sz w:val="24"/>
          <w:szCs w:val="24"/>
        </w:rPr>
        <w:t xml:space="preserve"> and is in high LD with rs1801252</w:t>
      </w:r>
      <w:r w:rsidR="00BA7143" w:rsidRPr="00757919">
        <w:rPr>
          <w:rFonts w:ascii="Times New Roman" w:eastAsia="Arial" w:hAnsi="Times New Roman" w:cs="Times New Roman"/>
          <w:bCs/>
          <w:sz w:val="24"/>
          <w:szCs w:val="24"/>
        </w:rPr>
        <w:t xml:space="preserve">, a missense </w:t>
      </w:r>
      <w:r w:rsidR="00CE7371">
        <w:rPr>
          <w:rFonts w:ascii="Times New Roman" w:eastAsia="Arial" w:hAnsi="Times New Roman" w:cs="Times New Roman"/>
          <w:bCs/>
          <w:sz w:val="24"/>
          <w:szCs w:val="24"/>
        </w:rPr>
        <w:t>polymorphism</w:t>
      </w:r>
      <w:r w:rsidR="00BA7143" w:rsidRPr="00757919">
        <w:rPr>
          <w:rFonts w:ascii="Times New Roman" w:eastAsia="Arial" w:hAnsi="Times New Roman" w:cs="Times New Roman"/>
          <w:bCs/>
          <w:sz w:val="24"/>
          <w:szCs w:val="24"/>
        </w:rPr>
        <w:t xml:space="preserve"> in </w:t>
      </w:r>
      <w:r w:rsidR="00BA7143" w:rsidRPr="00757919">
        <w:rPr>
          <w:rFonts w:ascii="Times New Roman" w:eastAsia="Arial" w:hAnsi="Times New Roman" w:cs="Times New Roman"/>
          <w:bCs/>
          <w:i/>
          <w:iCs/>
          <w:sz w:val="24"/>
          <w:szCs w:val="24"/>
        </w:rPr>
        <w:t>ADRB1</w:t>
      </w:r>
      <w:r w:rsidR="00BA7143" w:rsidRPr="00757919">
        <w:rPr>
          <w:rFonts w:ascii="Times New Roman" w:eastAsia="Arial" w:hAnsi="Times New Roman" w:cs="Times New Roman"/>
          <w:bCs/>
          <w:sz w:val="24"/>
          <w:szCs w:val="24"/>
        </w:rPr>
        <w:t xml:space="preserve"> that codes for </w:t>
      </w:r>
      <w:r w:rsidR="0079029A" w:rsidRPr="00757919">
        <w:rPr>
          <w:rFonts w:ascii="Times New Roman" w:eastAsia="Arial" w:hAnsi="Times New Roman" w:cs="Times New Roman"/>
          <w:bCs/>
          <w:sz w:val="24"/>
          <w:szCs w:val="24"/>
        </w:rPr>
        <w:t>a change from serine to glycine at the 49</w:t>
      </w:r>
      <w:r w:rsidR="0079029A" w:rsidRPr="00757919">
        <w:rPr>
          <w:rFonts w:ascii="Times New Roman" w:eastAsia="Arial" w:hAnsi="Times New Roman" w:cs="Times New Roman"/>
          <w:bCs/>
          <w:sz w:val="24"/>
          <w:szCs w:val="24"/>
          <w:vertAlign w:val="superscript"/>
        </w:rPr>
        <w:t>th</w:t>
      </w:r>
      <w:r w:rsidR="0079029A" w:rsidRPr="00757919">
        <w:rPr>
          <w:rFonts w:ascii="Times New Roman" w:eastAsia="Arial" w:hAnsi="Times New Roman" w:cs="Times New Roman"/>
          <w:bCs/>
          <w:sz w:val="24"/>
          <w:szCs w:val="24"/>
        </w:rPr>
        <w:t xml:space="preserve"> amino acid</w:t>
      </w:r>
      <w:r w:rsidR="005826D5" w:rsidRPr="00757919">
        <w:rPr>
          <w:rFonts w:ascii="Times New Roman" w:eastAsia="Arial" w:hAnsi="Times New Roman" w:cs="Times New Roman"/>
          <w:bCs/>
          <w:sz w:val="24"/>
          <w:szCs w:val="24"/>
        </w:rPr>
        <w:t xml:space="preserve">. According to </w:t>
      </w:r>
      <w:proofErr w:type="spellStart"/>
      <w:r w:rsidR="005826D5" w:rsidRPr="00757919">
        <w:rPr>
          <w:rFonts w:ascii="Times New Roman" w:eastAsia="Arial" w:hAnsi="Times New Roman" w:cs="Times New Roman"/>
          <w:bCs/>
          <w:sz w:val="24"/>
          <w:szCs w:val="24"/>
        </w:rPr>
        <w:t>HaploReg</w:t>
      </w:r>
      <w:proofErr w:type="spellEnd"/>
      <w:r w:rsidR="005826D5" w:rsidRPr="00757919">
        <w:rPr>
          <w:rFonts w:ascii="Times New Roman" w:eastAsia="Arial" w:hAnsi="Times New Roman" w:cs="Times New Roman"/>
          <w:bCs/>
          <w:sz w:val="24"/>
          <w:szCs w:val="24"/>
        </w:rPr>
        <w:t xml:space="preserve">, </w:t>
      </w:r>
      <w:r w:rsidR="00BA7143" w:rsidRPr="00757919">
        <w:rPr>
          <w:rFonts w:ascii="Times New Roman" w:eastAsia="Arial" w:hAnsi="Times New Roman" w:cs="Times New Roman"/>
          <w:bCs/>
          <w:sz w:val="24"/>
          <w:szCs w:val="24"/>
        </w:rPr>
        <w:t>rs12414657</w:t>
      </w:r>
      <w:r w:rsidR="00632794" w:rsidRPr="00757919">
        <w:rPr>
          <w:rFonts w:ascii="Times New Roman" w:eastAsia="Arial" w:hAnsi="Times New Roman" w:cs="Times New Roman"/>
          <w:bCs/>
          <w:sz w:val="24"/>
          <w:szCs w:val="24"/>
        </w:rPr>
        <w:t xml:space="preserve"> (</w:t>
      </w:r>
      <w:r w:rsidR="00632794" w:rsidRPr="00757919">
        <w:rPr>
          <w:rFonts w:ascii="Times New Roman" w:eastAsia="Arial" w:hAnsi="Times New Roman" w:cs="Times New Roman"/>
          <w:bCs/>
          <w:i/>
          <w:iCs/>
          <w:sz w:val="24"/>
          <w:szCs w:val="24"/>
        </w:rPr>
        <w:t>ADRB1</w:t>
      </w:r>
      <w:r w:rsidR="00632794" w:rsidRPr="00757919">
        <w:rPr>
          <w:rFonts w:ascii="Times New Roman" w:eastAsia="Arial" w:hAnsi="Times New Roman" w:cs="Times New Roman"/>
          <w:bCs/>
          <w:sz w:val="24"/>
          <w:szCs w:val="24"/>
        </w:rPr>
        <w:t>)</w:t>
      </w:r>
      <w:r w:rsidR="00BA7143" w:rsidRPr="00757919">
        <w:rPr>
          <w:rFonts w:ascii="Times New Roman" w:eastAsia="Arial" w:hAnsi="Times New Roman" w:cs="Times New Roman"/>
          <w:bCs/>
          <w:sz w:val="24"/>
          <w:szCs w:val="24"/>
        </w:rPr>
        <w:t xml:space="preserve"> </w:t>
      </w:r>
      <w:r w:rsidR="005826D5" w:rsidRPr="00757919">
        <w:rPr>
          <w:rFonts w:ascii="Times New Roman" w:eastAsia="Arial" w:hAnsi="Times New Roman" w:cs="Times New Roman"/>
          <w:bCs/>
          <w:sz w:val="24"/>
          <w:szCs w:val="24"/>
        </w:rPr>
        <w:t>is associated with H3K</w:t>
      </w:r>
      <w:r w:rsidR="001860F4">
        <w:rPr>
          <w:rFonts w:ascii="Times New Roman" w:eastAsia="Arial" w:hAnsi="Times New Roman" w:cs="Times New Roman"/>
          <w:bCs/>
          <w:sz w:val="24"/>
          <w:szCs w:val="24"/>
        </w:rPr>
        <w:t>4</w:t>
      </w:r>
      <w:r w:rsidR="005826D5" w:rsidRPr="00757919">
        <w:rPr>
          <w:rFonts w:ascii="Times New Roman" w:eastAsia="Arial" w:hAnsi="Times New Roman" w:cs="Times New Roman"/>
          <w:bCs/>
          <w:sz w:val="24"/>
          <w:szCs w:val="24"/>
        </w:rPr>
        <w:t>me3_Pro and 22_Promp methylation and acetylation histone modification</w:t>
      </w:r>
      <w:r w:rsidR="008C419E" w:rsidRPr="00757919">
        <w:rPr>
          <w:rFonts w:ascii="Times New Roman" w:eastAsia="Arial" w:hAnsi="Times New Roman" w:cs="Times New Roman"/>
          <w:bCs/>
          <w:sz w:val="24"/>
          <w:szCs w:val="24"/>
        </w:rPr>
        <w:t xml:space="preserve"> in osteoblast primary cells</w:t>
      </w:r>
      <w:r w:rsidR="00F10265" w:rsidRPr="00757919">
        <w:rPr>
          <w:rFonts w:ascii="Times New Roman" w:eastAsia="Arial" w:hAnsi="Times New Roman" w:cs="Times New Roman"/>
          <w:bCs/>
          <w:sz w:val="24"/>
          <w:szCs w:val="24"/>
        </w:rPr>
        <w:t>,</w:t>
      </w:r>
      <w:r w:rsidR="0079029A" w:rsidRPr="00757919">
        <w:rPr>
          <w:rFonts w:ascii="Times New Roman" w:eastAsia="Arial" w:hAnsi="Times New Roman" w:cs="Times New Roman"/>
          <w:bCs/>
          <w:sz w:val="24"/>
          <w:szCs w:val="24"/>
        </w:rPr>
        <w:t xml:space="preserve"> and this site is bound by </w:t>
      </w:r>
      <w:r w:rsidR="008C419E" w:rsidRPr="00757919">
        <w:rPr>
          <w:rFonts w:ascii="Times New Roman" w:eastAsia="Arial" w:hAnsi="Times New Roman" w:cs="Times New Roman"/>
          <w:bCs/>
          <w:sz w:val="24"/>
          <w:szCs w:val="24"/>
        </w:rPr>
        <w:t xml:space="preserve">Pol2, TAF1, </w:t>
      </w:r>
      <w:r w:rsidR="0079029A" w:rsidRPr="00757919">
        <w:rPr>
          <w:rFonts w:ascii="Times New Roman" w:eastAsia="Arial" w:hAnsi="Times New Roman" w:cs="Times New Roman"/>
          <w:bCs/>
          <w:sz w:val="24"/>
          <w:szCs w:val="24"/>
        </w:rPr>
        <w:t xml:space="preserve">or </w:t>
      </w:r>
      <w:r w:rsidR="008C419E" w:rsidRPr="00757919">
        <w:rPr>
          <w:rFonts w:ascii="Times New Roman" w:eastAsia="Arial" w:hAnsi="Times New Roman" w:cs="Times New Roman"/>
          <w:bCs/>
          <w:sz w:val="24"/>
          <w:szCs w:val="24"/>
        </w:rPr>
        <w:t>Pol24H8 in non-bone cell lines</w:t>
      </w:r>
      <w:r w:rsidR="00BA7143" w:rsidRPr="00757919">
        <w:rPr>
          <w:rFonts w:ascii="Times New Roman" w:eastAsia="Arial" w:hAnsi="Times New Roman" w:cs="Times New Roman"/>
          <w:bCs/>
          <w:sz w:val="24"/>
          <w:szCs w:val="24"/>
        </w:rPr>
        <w:fldChar w:fldCharType="begin"/>
      </w:r>
      <w:r w:rsidR="000E575F">
        <w:rPr>
          <w:rFonts w:ascii="Times New Roman" w:eastAsia="Arial" w:hAnsi="Times New Roman" w:cs="Times New Roman"/>
          <w:bCs/>
          <w:sz w:val="24"/>
          <w:szCs w:val="24"/>
        </w:rPr>
        <w:instrText xml:space="preserve"> ADDIN ZOTERO_ITEM CSL_CITATION {"citationID":"1wQjxKED","properties":{"formattedCitation":"\\super 70\\nosupersub{}","plainCitation":"70","noteIndex":0},"citationItems":[{"id":388,"uris":["http://zotero.org/users/3223062/items/MC9HGSXK"],"uri":["http://zotero.org/users/3223062/items/MC9HGSXK"],"itemData":{"id":388,"type":"article-journal","abstract":"Abstract.  The resolution of genome-wide association studies (GWAS) is limited by the linkage disequilibrium (LD) structure of the population being studied. Sel","container-title":"Nucleic Acids Research","DOI":"10.1093/nar/gkr917","ISSN":"0305-1048","issue":"D1","journalAbbreviation":"Nucleic Acids Res","language":"en","note":"publisher: Oxford Academic","page":"D930-D934","source":"academic.oup.com","title":"HaploReg: a resource for exploring chromatin states, conservation, and regulatory motif alterations within sets of genetically linked variants","title-short":"HaploReg","volume":"40","author":[{"family":"Ward","given":"Lucas D."},{"family":"Kellis","given":"Manolis"}],"issued":{"date-parts":[["2012",1,1]]}}}],"schema":"https://github.com/citation-style-language/schema/raw/master/csl-citation.json"} </w:instrText>
      </w:r>
      <w:r w:rsidR="00BA7143" w:rsidRPr="00757919">
        <w:rPr>
          <w:rFonts w:ascii="Times New Roman" w:eastAsia="Arial" w:hAnsi="Times New Roman" w:cs="Times New Roman"/>
          <w:bCs/>
          <w:sz w:val="24"/>
          <w:szCs w:val="24"/>
        </w:rPr>
        <w:fldChar w:fldCharType="separate"/>
      </w:r>
      <w:r w:rsidR="000E575F" w:rsidRPr="000E575F">
        <w:rPr>
          <w:rFonts w:ascii="Times New Roman" w:hAnsi="Times New Roman" w:cs="Times New Roman"/>
          <w:sz w:val="24"/>
          <w:szCs w:val="24"/>
          <w:vertAlign w:val="superscript"/>
        </w:rPr>
        <w:t>70</w:t>
      </w:r>
      <w:r w:rsidR="00BA7143" w:rsidRPr="00757919">
        <w:rPr>
          <w:rFonts w:ascii="Times New Roman" w:eastAsia="Arial" w:hAnsi="Times New Roman" w:cs="Times New Roman"/>
          <w:bCs/>
          <w:sz w:val="24"/>
          <w:szCs w:val="24"/>
        </w:rPr>
        <w:fldChar w:fldCharType="end"/>
      </w:r>
      <w:r w:rsidR="008C419E" w:rsidRPr="00757919">
        <w:rPr>
          <w:rFonts w:ascii="Times New Roman" w:eastAsia="Arial" w:hAnsi="Times New Roman" w:cs="Times New Roman"/>
          <w:bCs/>
          <w:sz w:val="24"/>
          <w:szCs w:val="24"/>
        </w:rPr>
        <w:t xml:space="preserve">. </w:t>
      </w:r>
      <w:r w:rsidR="0079029A" w:rsidRPr="00757919">
        <w:rPr>
          <w:rFonts w:ascii="Times New Roman" w:eastAsia="Arial" w:hAnsi="Times New Roman" w:cs="Times New Roman"/>
          <w:bCs/>
          <w:sz w:val="24"/>
          <w:szCs w:val="24"/>
        </w:rPr>
        <w:t xml:space="preserve">This suggests that this </w:t>
      </w:r>
      <w:r w:rsidR="00313EE5">
        <w:rPr>
          <w:rFonts w:ascii="Times New Roman" w:eastAsia="Arial" w:hAnsi="Times New Roman" w:cs="Times New Roman"/>
          <w:bCs/>
          <w:sz w:val="24"/>
          <w:szCs w:val="24"/>
        </w:rPr>
        <w:t>SNP</w:t>
      </w:r>
      <w:r w:rsidR="00313EE5" w:rsidRPr="00757919">
        <w:rPr>
          <w:rFonts w:ascii="Times New Roman" w:eastAsia="Arial" w:hAnsi="Times New Roman" w:cs="Times New Roman"/>
          <w:bCs/>
          <w:sz w:val="24"/>
          <w:szCs w:val="24"/>
        </w:rPr>
        <w:t xml:space="preserve"> </w:t>
      </w:r>
      <w:r w:rsidR="0079029A" w:rsidRPr="00757919">
        <w:rPr>
          <w:rFonts w:ascii="Times New Roman" w:eastAsia="Arial" w:hAnsi="Times New Roman" w:cs="Times New Roman"/>
          <w:bCs/>
          <w:sz w:val="24"/>
          <w:szCs w:val="24"/>
        </w:rPr>
        <w:t xml:space="preserve">is within the promoter region of </w:t>
      </w:r>
      <w:r w:rsidR="0079029A" w:rsidRPr="00757919">
        <w:rPr>
          <w:rFonts w:ascii="Times New Roman" w:eastAsia="Arial" w:hAnsi="Times New Roman" w:cs="Times New Roman"/>
          <w:bCs/>
          <w:i/>
          <w:iCs/>
          <w:sz w:val="24"/>
          <w:szCs w:val="24"/>
        </w:rPr>
        <w:t>ADRB1</w:t>
      </w:r>
      <w:r w:rsidR="0036615C">
        <w:rPr>
          <w:rFonts w:ascii="Times New Roman" w:eastAsia="Arial" w:hAnsi="Times New Roman" w:cs="Times New Roman"/>
          <w:bCs/>
          <w:i/>
          <w:iCs/>
          <w:sz w:val="24"/>
          <w:szCs w:val="24"/>
        </w:rPr>
        <w:t>,</w:t>
      </w:r>
      <w:r w:rsidR="0079029A" w:rsidRPr="00757919">
        <w:rPr>
          <w:rFonts w:ascii="Times New Roman" w:eastAsia="Arial" w:hAnsi="Times New Roman" w:cs="Times New Roman"/>
          <w:bCs/>
          <w:sz w:val="24"/>
          <w:szCs w:val="24"/>
        </w:rPr>
        <w:t xml:space="preserve"> as it is associated with H3K</w:t>
      </w:r>
      <w:r w:rsidR="001860F4">
        <w:rPr>
          <w:rFonts w:ascii="Times New Roman" w:eastAsia="Arial" w:hAnsi="Times New Roman" w:cs="Times New Roman"/>
          <w:bCs/>
          <w:sz w:val="24"/>
          <w:szCs w:val="24"/>
        </w:rPr>
        <w:t>4</w:t>
      </w:r>
      <w:r w:rsidR="0079029A" w:rsidRPr="00757919">
        <w:rPr>
          <w:rFonts w:ascii="Times New Roman" w:eastAsia="Arial" w:hAnsi="Times New Roman" w:cs="Times New Roman"/>
          <w:bCs/>
          <w:sz w:val="24"/>
          <w:szCs w:val="24"/>
        </w:rPr>
        <w:t xml:space="preserve">me3 which </w:t>
      </w:r>
      <w:r w:rsidR="00F5794A">
        <w:rPr>
          <w:rFonts w:ascii="Times New Roman" w:eastAsia="Arial" w:hAnsi="Times New Roman" w:cs="Times New Roman"/>
          <w:bCs/>
          <w:sz w:val="24"/>
          <w:szCs w:val="24"/>
        </w:rPr>
        <w:t xml:space="preserve">is a histone modification that indicates a </w:t>
      </w:r>
      <w:r w:rsidR="0079029A" w:rsidRPr="00757919">
        <w:rPr>
          <w:rFonts w:ascii="Times New Roman" w:eastAsia="Arial" w:hAnsi="Times New Roman" w:cs="Times New Roman"/>
          <w:bCs/>
          <w:sz w:val="24"/>
          <w:szCs w:val="24"/>
        </w:rPr>
        <w:t>promoter region</w:t>
      </w:r>
      <w:r w:rsidR="0079029A" w:rsidRPr="00757919">
        <w:rPr>
          <w:rFonts w:ascii="Times New Roman" w:eastAsia="Arial" w:hAnsi="Times New Roman" w:cs="Times New Roman"/>
          <w:bCs/>
          <w:sz w:val="24"/>
          <w:szCs w:val="24"/>
        </w:rPr>
        <w:fldChar w:fldCharType="begin"/>
      </w:r>
      <w:r w:rsidR="000E575F">
        <w:rPr>
          <w:rFonts w:ascii="Times New Roman" w:eastAsia="Arial" w:hAnsi="Times New Roman" w:cs="Times New Roman"/>
          <w:bCs/>
          <w:sz w:val="24"/>
          <w:szCs w:val="24"/>
        </w:rPr>
        <w:instrText xml:space="preserve"> ADDIN ZOTERO_ITEM CSL_CITATION {"citationID":"pUKezDb5","properties":{"formattedCitation":"\\super 97,98\\nosupersub{}","plainCitation":"97,98","noteIndex":0},"citationItems":[{"id":295,"uris":["http://zotero.org/users/3223062/items/B4XKGAQ5"],"uri":["http://zotero.org/users/3223062/items/B4XKGAQ5"],"itemData":{"id":295,"type":"article-journal","abstract":"Background\nDNA methylation at promoters is largely correlated with inhibition of gene expression. However, the role of DNA methylation at enhancers is not fully understood, although a crosstalk with chromatin marks is expected. Actually, there exist contradictory reports about positive and negative correlations between DNA methylation and H3K4me1, a chromatin hallmark of enhancers.\n\nResults\nWe investigated the relationship between DNA methylation and active chromatin marks through genome-wide correlations, and found anti-correlation between H3K4me1 and H3K4me3 enrichment at low and intermediate DNA methylation loci. We hypothesized “seesaw” dynamics between H3K4me1 and H3K4me3 in the low and intermediate DNA methylation range, in which DNA methylation discriminates between enhancers and promoters, marked by H3K4me1 and H3K4me3, respectively. Low methylated regions are H3K4me3 enriched, while those with intermediate DNA methylation levels are progressively H3K4me1 enriched. Additionally, the enrichment of H3K27ac, distinguishing active from primed enhancers, follows a plateau in the lower range of the intermediate DNA methylation level, corresponding to active enhancers, and decreases linearly in the higher range of the intermediate DNA methylation. Thus, the decrease of the DNA methylation switches smoothly the state of the enhancers from a primed to an active state. We summarize these observations into a rule of thumb of one-out-of-three methylation marks: “In each genomic region only one out of these three methylation marks {DNA methylation, H3K4me1, H3K4me3} is high. If it is the DNA methylation, the region is inactive. If it is H3K4me1, the region is an enhancer, and if it is H3K4me3, the region is a promoter”. To test our model, we used available genome-wide datasets of H3K4 methyltransferases knockouts. Our analysis suggests that CXXC proteins, as readers of non-methylated CpGs would regulate the “seesaw” mechanism that focuses H3K4me3 to unmethylated sites, while being repulsed from H3K4me1 decorated enhancers and CpG island shores.\n\nConclusions\nOur results show that DNA methylation discriminates promoters from enhancers through H3K4me1-H3K4me3 seesaw mechanism, and suggest its possible function in the inheritance of chromatin marks after cell division. Our analyses suggest aberrant formation of promoter-like regions and ectopic transcription of hypomethylated regions of DNA. Such mechanism process can have important implications in biological process in where it has been reported abnormal DNA methylation status such as cancer and aging.\n\nElectronic supplementary material\nThe online version of this article (10.1186/s12864-017-4353-7) contains supplementary material, which is available to authorized users.","container-title":"BMC Genomics","DOI":"10.1186/s12864-017-4353-7","ISSN":"1471-2164","journalAbbreviation":"BMC Genomics","note":"PMID: 29233090\nPMCID: PMC5727985","source":"PubMed Central","title":"DNA methylation regulates discrimination of enhancers from promoters through a H3K4me1-H3K4me3 seesaw mechanism","URL":"https://www.ncbi.nlm.nih.gov/pmc/articles/PMC5727985/","volume":"18","author":[{"family":"Sharifi-Zarchi","given":"Ali"},{"family":"Gerovska","given":"Daniela"},{"family":"Adachi","given":"Kenjiro"},{"family":"Totonchi","given":"Mehdi"},{"family":"Pezeshk","given":"Hamid"},{"family":"Taft","given":"Ryan J."},{"family":"Schöler","given":"Hans R."},{"family":"Chitsaz","given":"Hamidreza"},{"family":"Sadeghi","given":"Mehdi"},{"family":"Baharvand","given":"Hossein"},{"family":"Araúzo-Bravo","given":"Marcos J."}],"accessed":{"date-parts":[["2020",8,3]]},"issued":{"date-parts":[["2017",12,12]]}}},{"id":1659,"uris":["http://zotero.org/users/3223062/items/6MB573R2"],"uri":["http://zotero.org/users/3223062/items/6MB573R2"],"itemData":{"id":1659,"type":"article-journal","abstract":"Almost 1-2% of the human genome is located within 500 bp of either side of a transcription initiation site, whereas a far larger proportion (≈25%) is potentially transcribable by elongating RNA polymerases. This observation raises the question of how the genome is packaged into chromatin to allow start sites to be recognized by the regulatory machinery at the same time as transcription initiation, but not elongation, is blocked in the 25% of intragenic DNA. We developed a chromatin scanning technique called ChAP, coupling the chromatin immunoprecipitation assay with arbitrarily primed PCR, which allows for the rapid and unbiased comparison of histone modification patterns within the eukaryotic nucleus. Methylated lysine 4 (K4) and acetylated K9/14 of histone H3 were both highly localized to the 5′ regions of transcriptionally active human genes but were greatly decreased downstream of the start sites. Our results suggest that the large transcribed regions of human genes are maintained in a deacetylated conformation in regions read by elongating polymerase. Common models depicting widespread histone acetylation and K4 methylation throughout the transcribed unit do not therefore apply to the majority of human genes.","container-title":"Proceedings of the National Academy of Sciences of the United States of America","DOI":"10.1073/pnas.0401866101","ISSN":"0027-8424","issue":"19","journalAbbreviation":"Proc Natl Acad Sci U S A","note":"PMID: 15123803\nPMCID: PMC409923","page":"7357-7362","source":"PubMed Central","title":"Distinct localization of histone H3 acetylation and H3-K4 methylation to the transcription start sites in the human genome","volume":"101","author":[{"family":"Liang","given":"Gangning"},{"family":"Lin","given":"Joy C. Y."},{"family":"Wei","given":"Vivian"},{"family":"Yoo","given":"Christine"},{"family":"Cheng","given":"Jonathan C."},{"family":"Nguyen","given":"Carvell T."},{"family":"Weisenberger","given":"Daniel J."},{"family":"Egger","given":"Gerda"},{"family":"Takai","given":"Daiya"},{"family":"Gonzales","given":"Felicidad A."},{"family":"Jones","given":"Peter A."}],"issued":{"date-parts":[["2004",5,11]]}}}],"schema":"https://github.com/citation-style-language/schema/raw/master/csl-citation.json"} </w:instrText>
      </w:r>
      <w:r w:rsidR="0079029A" w:rsidRPr="00757919">
        <w:rPr>
          <w:rFonts w:ascii="Times New Roman" w:eastAsia="Arial" w:hAnsi="Times New Roman" w:cs="Times New Roman"/>
          <w:bCs/>
          <w:sz w:val="24"/>
          <w:szCs w:val="24"/>
        </w:rPr>
        <w:fldChar w:fldCharType="separate"/>
      </w:r>
      <w:r w:rsidR="000E575F" w:rsidRPr="000E575F">
        <w:rPr>
          <w:rFonts w:ascii="Times New Roman" w:hAnsi="Times New Roman" w:cs="Times New Roman"/>
          <w:sz w:val="24"/>
          <w:szCs w:val="24"/>
          <w:vertAlign w:val="superscript"/>
        </w:rPr>
        <w:t>97,98</w:t>
      </w:r>
      <w:r w:rsidR="0079029A" w:rsidRPr="00757919">
        <w:rPr>
          <w:rFonts w:ascii="Times New Roman" w:eastAsia="Arial" w:hAnsi="Times New Roman" w:cs="Times New Roman"/>
          <w:bCs/>
          <w:sz w:val="24"/>
          <w:szCs w:val="24"/>
        </w:rPr>
        <w:fldChar w:fldCharType="end"/>
      </w:r>
      <w:r w:rsidR="00871D61">
        <w:rPr>
          <w:rFonts w:ascii="Times New Roman" w:eastAsia="Arial" w:hAnsi="Times New Roman" w:cs="Times New Roman"/>
          <w:bCs/>
          <w:sz w:val="24"/>
          <w:szCs w:val="24"/>
        </w:rPr>
        <w:t>. T</w:t>
      </w:r>
      <w:r w:rsidR="001860F4">
        <w:rPr>
          <w:rFonts w:ascii="Times New Roman" w:eastAsia="Arial" w:hAnsi="Times New Roman" w:cs="Times New Roman"/>
          <w:bCs/>
          <w:sz w:val="24"/>
          <w:szCs w:val="24"/>
        </w:rPr>
        <w:t>his histone modification promotes chromatin remodeling that allows transcription factors to bind to that site</w:t>
      </w:r>
      <w:r w:rsidR="001860F4">
        <w:rPr>
          <w:rFonts w:ascii="Times New Roman" w:eastAsia="Arial" w:hAnsi="Times New Roman" w:cs="Times New Roman"/>
          <w:bCs/>
          <w:sz w:val="24"/>
          <w:szCs w:val="24"/>
        </w:rPr>
        <w:fldChar w:fldCharType="begin"/>
      </w:r>
      <w:r w:rsidR="000E575F">
        <w:rPr>
          <w:rFonts w:ascii="Times New Roman" w:eastAsia="Arial" w:hAnsi="Times New Roman" w:cs="Times New Roman"/>
          <w:bCs/>
          <w:sz w:val="24"/>
          <w:szCs w:val="24"/>
        </w:rPr>
        <w:instrText xml:space="preserve"> ADDIN ZOTERO_ITEM CSL_CITATION {"citationID":"5EbWSwV0","properties":{"formattedCitation":"\\super 99\\nosupersub{}","plainCitation":"99","noteIndex":0},"citationItems":[{"id":1662,"uris":["http://zotero.org/users/3223062/items/LEEWTERN"],"uri":["http://zotero.org/users/3223062/items/LEEWTERN"],"itemData":{"id":1662,"type":"article-journal","abstract":"Four papers in this issue tackle the hot topic of chromatin remodelling, specifically, how methyl marks on chromatin are 'read' by the proteins that interact with them. Two report on BPTF (bromodomain and PHD domain transcription factor), a subunit of NURF, the nucleosome remodelling factor. It contains a domain known as a PHD finger, which is shown to bind to histone H3 trimethylated at lysine 4 (H3K4) and to maintain proper activity at developmentally critical HOX genes. The accompanying structural study of the complex explains how the site specificity for H3K4 is achieved. The two other papers reveal that the PHD domain of tumour suppressor ING2 also recognizes trimethylated H3K4, and link the histone mark to repression of transcription. The four papers together establish certain PHD finger domains as previously unrecognized chromatin-binding modules. In a News and Views piece, Peter B. Becker discusses what these papers tell us about the function of the chemical modifications of histone tails.","container-title":"Nature","DOI":"10.1038/nature04815","ISSN":"1476-4687","issue":"7098","language":"en","note":"number: 7098\npublisher: Nature Publishing Group","page":"86-90","source":"www.nature.com","title":"A PHD finger of NURF couples histone H3 lysine 4 trimethylation with chromatin remodelling","volume":"442","author":[{"family":"Wysocka","given":"Joanna"},{"family":"Swigut","given":"Tomek"},{"family":"Xiao","given":"Hua"},{"family":"Milne","given":"Thomas A."},{"family":"Kwon","given":"So Yeon"},{"family":"Landry","given":"Joe"},{"family":"Kauer","given":"Monika"},{"family":"Tackett","given":"Alan J."},{"family":"Chait","given":"Brian T."},{"family":"Badenhorst","given":"Paul"},{"family":"Wu","given":"Carl"},{"family":"Allis","given":"C. David"}],"issued":{"date-parts":[["2006",7]]}}}],"schema":"https://github.com/citation-style-language/schema/raw/master/csl-citation.json"} </w:instrText>
      </w:r>
      <w:r w:rsidR="001860F4">
        <w:rPr>
          <w:rFonts w:ascii="Times New Roman" w:eastAsia="Arial" w:hAnsi="Times New Roman" w:cs="Times New Roman"/>
          <w:bCs/>
          <w:sz w:val="24"/>
          <w:szCs w:val="24"/>
        </w:rPr>
        <w:fldChar w:fldCharType="separate"/>
      </w:r>
      <w:r w:rsidR="000E575F" w:rsidRPr="000E575F">
        <w:rPr>
          <w:rFonts w:ascii="Times New Roman" w:hAnsi="Times New Roman" w:cs="Times New Roman"/>
          <w:sz w:val="24"/>
          <w:szCs w:val="24"/>
          <w:vertAlign w:val="superscript"/>
        </w:rPr>
        <w:t>99</w:t>
      </w:r>
      <w:r w:rsidR="001860F4">
        <w:rPr>
          <w:rFonts w:ascii="Times New Roman" w:eastAsia="Arial" w:hAnsi="Times New Roman" w:cs="Times New Roman"/>
          <w:bCs/>
          <w:sz w:val="24"/>
          <w:szCs w:val="24"/>
        </w:rPr>
        <w:fldChar w:fldCharType="end"/>
      </w:r>
      <w:r w:rsidR="0028440C" w:rsidRPr="00757919">
        <w:rPr>
          <w:rFonts w:ascii="Times New Roman" w:eastAsia="Arial" w:hAnsi="Times New Roman" w:cs="Times New Roman"/>
          <w:bCs/>
          <w:sz w:val="24"/>
          <w:szCs w:val="24"/>
        </w:rPr>
        <w:t>,</w:t>
      </w:r>
      <w:r w:rsidR="00E44F47" w:rsidRPr="00757919">
        <w:rPr>
          <w:rFonts w:ascii="Times New Roman" w:eastAsia="Arial" w:hAnsi="Times New Roman" w:cs="Times New Roman"/>
          <w:bCs/>
          <w:sz w:val="24"/>
          <w:szCs w:val="24"/>
        </w:rPr>
        <w:t xml:space="preserve"> and Pol24H8 binding indicates a transcription factor binding site</w:t>
      </w:r>
      <w:r w:rsidR="00E44F47" w:rsidRPr="00757919">
        <w:rPr>
          <w:rFonts w:ascii="Times New Roman" w:eastAsia="Arial" w:hAnsi="Times New Roman" w:cs="Times New Roman"/>
          <w:bCs/>
          <w:sz w:val="24"/>
          <w:szCs w:val="24"/>
        </w:rPr>
        <w:fldChar w:fldCharType="begin"/>
      </w:r>
      <w:r w:rsidR="000E575F">
        <w:rPr>
          <w:rFonts w:ascii="Times New Roman" w:eastAsia="Arial" w:hAnsi="Times New Roman" w:cs="Times New Roman"/>
          <w:bCs/>
          <w:sz w:val="24"/>
          <w:szCs w:val="24"/>
        </w:rPr>
        <w:instrText xml:space="preserve"> ADDIN ZOTERO_ITEM CSL_CITATION {"citationID":"u0Pxw0b9","properties":{"formattedCitation":"\\super 100\\nosupersub{}","plainCitation":"100","noteIndex":0},"citationItems":[{"id":286,"uris":["http://zotero.org/users/3223062/items/TEP4FU6W"],"uri":["http://zotero.org/users/3223062/items/TEP4FU6W"],"itemData":{"id":286,"type":"webpage","title":"Transcription Factor ChIP-seq from ENCODE (Pol2-4H8)","URL":"http://mrhgsv.gs.washington.edu/cgi-bin/hgc?hgsid=2403413_8E3AQ2IhRgvcxZsAvb1QIY1jtFCL&amp;c=chr12&amp;l=9093843&amp;r=9094542&amp;o=9094267&amp;t=9094533&amp;g=wgEncodeRegTfbsClusteredV2&amp;i=Pol2-4H8","accessed":{"date-parts":[["2020",8,4]]}}}],"schema":"https://github.com/citation-style-language/schema/raw/master/csl-citation.json"} </w:instrText>
      </w:r>
      <w:r w:rsidR="00E44F47" w:rsidRPr="00757919">
        <w:rPr>
          <w:rFonts w:ascii="Times New Roman" w:eastAsia="Arial" w:hAnsi="Times New Roman" w:cs="Times New Roman"/>
          <w:bCs/>
          <w:sz w:val="24"/>
          <w:szCs w:val="24"/>
        </w:rPr>
        <w:fldChar w:fldCharType="separate"/>
      </w:r>
      <w:r w:rsidR="000E575F" w:rsidRPr="000E575F">
        <w:rPr>
          <w:rFonts w:ascii="Times New Roman" w:hAnsi="Times New Roman" w:cs="Times New Roman"/>
          <w:sz w:val="24"/>
          <w:szCs w:val="24"/>
          <w:vertAlign w:val="superscript"/>
        </w:rPr>
        <w:t>100</w:t>
      </w:r>
      <w:r w:rsidR="00E44F47" w:rsidRPr="00757919">
        <w:rPr>
          <w:rFonts w:ascii="Times New Roman" w:eastAsia="Arial" w:hAnsi="Times New Roman" w:cs="Times New Roman"/>
          <w:bCs/>
          <w:sz w:val="24"/>
          <w:szCs w:val="24"/>
        </w:rPr>
        <w:fldChar w:fldCharType="end"/>
      </w:r>
      <w:r w:rsidR="00313EE5">
        <w:rPr>
          <w:rFonts w:ascii="Times New Roman" w:eastAsia="Arial" w:hAnsi="Times New Roman" w:cs="Times New Roman"/>
          <w:bCs/>
          <w:sz w:val="24"/>
          <w:szCs w:val="24"/>
        </w:rPr>
        <w:t>.</w:t>
      </w:r>
      <w:r w:rsidR="002F756D" w:rsidRPr="00757919">
        <w:rPr>
          <w:rFonts w:ascii="Times New Roman" w:eastAsia="Arial" w:hAnsi="Times New Roman" w:cs="Times New Roman"/>
          <w:bCs/>
          <w:sz w:val="24"/>
          <w:szCs w:val="24"/>
        </w:rPr>
        <w:t xml:space="preserve"> </w:t>
      </w:r>
      <w:r w:rsidR="00313EE5">
        <w:rPr>
          <w:rFonts w:ascii="Times New Roman" w:eastAsia="Arial" w:hAnsi="Times New Roman" w:cs="Times New Roman"/>
          <w:bCs/>
          <w:sz w:val="24"/>
          <w:szCs w:val="24"/>
        </w:rPr>
        <w:t>T</w:t>
      </w:r>
      <w:r w:rsidR="0028440C" w:rsidRPr="00757919">
        <w:rPr>
          <w:rFonts w:ascii="Times New Roman" w:eastAsia="Arial" w:hAnsi="Times New Roman" w:cs="Times New Roman"/>
          <w:bCs/>
          <w:sz w:val="24"/>
          <w:szCs w:val="24"/>
        </w:rPr>
        <w:t>hus</w:t>
      </w:r>
      <w:r w:rsidR="00313EE5">
        <w:rPr>
          <w:rFonts w:ascii="Times New Roman" w:eastAsia="Arial" w:hAnsi="Times New Roman" w:cs="Times New Roman"/>
          <w:bCs/>
          <w:sz w:val="24"/>
          <w:szCs w:val="24"/>
        </w:rPr>
        <w:t>,</w:t>
      </w:r>
      <w:r w:rsidR="0028440C" w:rsidRPr="00757919">
        <w:rPr>
          <w:rFonts w:ascii="Times New Roman" w:eastAsia="Arial" w:hAnsi="Times New Roman" w:cs="Times New Roman"/>
          <w:bCs/>
          <w:sz w:val="24"/>
          <w:szCs w:val="24"/>
        </w:rPr>
        <w:t xml:space="preserve"> </w:t>
      </w:r>
      <w:r w:rsidR="002F756D" w:rsidRPr="00757919">
        <w:rPr>
          <w:rFonts w:ascii="Times New Roman" w:eastAsia="Arial" w:hAnsi="Times New Roman" w:cs="Times New Roman"/>
          <w:bCs/>
          <w:sz w:val="24"/>
          <w:szCs w:val="24"/>
        </w:rPr>
        <w:t xml:space="preserve">a </w:t>
      </w:r>
      <w:r w:rsidR="00CE7371">
        <w:rPr>
          <w:rFonts w:ascii="Times New Roman" w:eastAsia="Arial" w:hAnsi="Times New Roman" w:cs="Times New Roman"/>
          <w:bCs/>
          <w:sz w:val="24"/>
          <w:szCs w:val="24"/>
        </w:rPr>
        <w:t>polymorphism</w:t>
      </w:r>
      <w:r w:rsidR="002F756D" w:rsidRPr="00757919">
        <w:rPr>
          <w:rFonts w:ascii="Times New Roman" w:eastAsia="Arial" w:hAnsi="Times New Roman" w:cs="Times New Roman"/>
          <w:bCs/>
          <w:sz w:val="24"/>
          <w:szCs w:val="24"/>
        </w:rPr>
        <w:t xml:space="preserve"> at this location may impact </w:t>
      </w:r>
      <w:r w:rsidR="0089314D">
        <w:rPr>
          <w:rFonts w:ascii="Times New Roman" w:eastAsia="Arial" w:hAnsi="Times New Roman" w:cs="Times New Roman"/>
          <w:bCs/>
          <w:sz w:val="24"/>
          <w:szCs w:val="24"/>
        </w:rPr>
        <w:t xml:space="preserve">the </w:t>
      </w:r>
      <w:r w:rsidR="002F756D" w:rsidRPr="00757919">
        <w:rPr>
          <w:rFonts w:ascii="Times New Roman" w:eastAsia="Arial" w:hAnsi="Times New Roman" w:cs="Times New Roman"/>
          <w:bCs/>
          <w:sz w:val="24"/>
          <w:szCs w:val="24"/>
        </w:rPr>
        <w:t xml:space="preserve">transcription of </w:t>
      </w:r>
      <w:r w:rsidR="002F756D" w:rsidRPr="00757919">
        <w:rPr>
          <w:rFonts w:ascii="Times New Roman" w:eastAsia="Arial" w:hAnsi="Times New Roman" w:cs="Times New Roman"/>
          <w:bCs/>
          <w:i/>
          <w:iCs/>
          <w:sz w:val="24"/>
          <w:szCs w:val="24"/>
        </w:rPr>
        <w:t>ADRB1</w:t>
      </w:r>
      <w:r w:rsidR="0079029A" w:rsidRPr="00757919">
        <w:rPr>
          <w:rFonts w:ascii="Times New Roman" w:eastAsia="Arial" w:hAnsi="Times New Roman" w:cs="Times New Roman"/>
          <w:bCs/>
          <w:sz w:val="24"/>
          <w:szCs w:val="24"/>
        </w:rPr>
        <w:t>.</w:t>
      </w:r>
      <w:r w:rsidR="00463920" w:rsidRPr="00757919">
        <w:rPr>
          <w:rFonts w:ascii="Times New Roman" w:eastAsia="Arial" w:hAnsi="Times New Roman" w:cs="Times New Roman"/>
          <w:bCs/>
          <w:sz w:val="24"/>
          <w:szCs w:val="24"/>
        </w:rPr>
        <w:t xml:space="preserve"> This is further supported in </w:t>
      </w:r>
      <w:r w:rsidR="00260B6D" w:rsidRPr="00757919">
        <w:rPr>
          <w:rFonts w:ascii="Times New Roman" w:eastAsia="Arial" w:hAnsi="Times New Roman" w:cs="Times New Roman"/>
          <w:bCs/>
          <w:sz w:val="24"/>
          <w:szCs w:val="24"/>
        </w:rPr>
        <w:t>SCREEN</w:t>
      </w:r>
      <w:r w:rsidR="00463920" w:rsidRPr="00757919">
        <w:rPr>
          <w:rFonts w:ascii="Times New Roman" w:eastAsia="Arial" w:hAnsi="Times New Roman" w:cs="Times New Roman"/>
          <w:bCs/>
          <w:sz w:val="24"/>
          <w:szCs w:val="24"/>
        </w:rPr>
        <w:t xml:space="preserve">, where rs12414657 </w:t>
      </w:r>
      <w:r w:rsidR="00632794" w:rsidRPr="00757919">
        <w:rPr>
          <w:rFonts w:ascii="Times New Roman" w:eastAsia="Arial" w:hAnsi="Times New Roman" w:cs="Times New Roman"/>
          <w:bCs/>
          <w:sz w:val="24"/>
          <w:szCs w:val="24"/>
        </w:rPr>
        <w:t>(</w:t>
      </w:r>
      <w:r w:rsidR="00632794" w:rsidRPr="00757919">
        <w:rPr>
          <w:rFonts w:ascii="Times New Roman" w:eastAsia="Arial" w:hAnsi="Times New Roman" w:cs="Times New Roman"/>
          <w:bCs/>
          <w:i/>
          <w:iCs/>
          <w:sz w:val="24"/>
          <w:szCs w:val="24"/>
        </w:rPr>
        <w:t>ADRB1</w:t>
      </w:r>
      <w:r w:rsidR="00632794" w:rsidRPr="00757919">
        <w:rPr>
          <w:rFonts w:ascii="Times New Roman" w:eastAsia="Arial" w:hAnsi="Times New Roman" w:cs="Times New Roman"/>
          <w:bCs/>
          <w:sz w:val="24"/>
          <w:szCs w:val="24"/>
        </w:rPr>
        <w:t xml:space="preserve">) </w:t>
      </w:r>
      <w:r w:rsidR="00463920" w:rsidRPr="00757919">
        <w:rPr>
          <w:rFonts w:ascii="Times New Roman" w:eastAsia="Arial" w:hAnsi="Times New Roman" w:cs="Times New Roman"/>
          <w:bCs/>
          <w:sz w:val="24"/>
          <w:szCs w:val="24"/>
        </w:rPr>
        <w:t>overlapped with a cis-Regulatory element that expressed a cell type agnostic proximal enhancer-like signature including high DNase, H3K4me4, H3K27ac, and CTCF markers (Z-score &gt; 1.64)</w:t>
      </w:r>
      <w:r w:rsidR="00260B6D" w:rsidRPr="00757919">
        <w:rPr>
          <w:rFonts w:ascii="Times New Roman" w:eastAsia="Arial" w:hAnsi="Times New Roman" w:cs="Times New Roman"/>
          <w:bCs/>
          <w:sz w:val="24"/>
          <w:szCs w:val="24"/>
        </w:rPr>
        <w:fldChar w:fldCharType="begin"/>
      </w:r>
      <w:r w:rsidR="000E575F">
        <w:rPr>
          <w:rFonts w:ascii="Times New Roman" w:eastAsia="Arial" w:hAnsi="Times New Roman" w:cs="Times New Roman"/>
          <w:bCs/>
          <w:sz w:val="24"/>
          <w:szCs w:val="24"/>
        </w:rPr>
        <w:instrText xml:space="preserve"> ADDIN ZOTERO_ITEM CSL_CITATION {"citationID":"4tXNVAeZ","properties":{"formattedCitation":"\\super 71\\nosupersub{}","plainCitation":"71","noteIndex":0},"citationItems":[{"id":1572,"uris":["http://zotero.org/users/3223062/items/TV2IDN7X"],"uri":["http://zotero.org/users/3223062/items/TV2IDN7X"],"itemData":{"id":1572,"type":"article-journal","abstract":"The human and mouse genomes contain instructions that specify RNAs and proteins and govern the timing, magnitude, and cellular context of their production. To better delineate these elements, phase III of the Encyclopedia of DNA Elements (ENCODE) Project has expanded analysis of the cell and tissue repertoires of RNA transcription, chromatin structure and modification, DNA methylation, chromatin looping, and occupancy by transcription factors and RNA-binding proteins. Here we summarize these efforts, which have produced 5,992 new experimental datasets, including systematic determinations across mouse fetal development. All data are available through the ENCODE data portal (https://www.encodeproject.org), including phase II ENCODE1 and Roadmap Epigenomics2 data. We have developed a registry of 926,535 human and 339,815 mouse candidate cis-regulatory elements, covering 7.9 and 3.4% of their respective genomes, by integrating selected datatypes associated with gene regulation, and constructed a web-based server (SCREEN; http://screen.encodeproject.org) to provide flexible, user-defined access to this resource. Collectively, the ENCODE data and registry provide an expansive resource for the scientific community to build a better understanding of the organization and function of the human and mouse genomes.","container-title":"Nature","DOI":"10.1038/s41586-020-2493-4","ISSN":"1476-4687","issue":"7818","language":"en","note":"number: 7818\npublisher: Nature Publishing Group","page":"699-710","source":"www.nature.com","title":"Expanded encyclopaedias of DNA elements in the human and mouse genomes","volume":"583","author":[{"family":"Moore","given":"Jill E."},{"family":"Purcaro","given":"Michael J."},{"family":"Pratt","given":"Henry E."},{"family":"Epstein","given":"Charles B."},{"family":"Shoresh","given":"Noam"},{"family":"Adrian","given":"Jessika"},{"family":"Kawli","given":"Trupti"},{"family":"Davis","given":"Carrie A."},{"family":"Dobin","given":"Alexander"},{"family":"Kaul","given":"Rajinder"},{"family":"Halow","given":"Jessica"},{"family":"Van Nostrand","given":"Eric L."},{"family":"Freese","given":"Peter"},{"family":"Gorkin","given":"David U."},{"family":"Shen","given":"Yin"},{"family":"He","given":"Yupeng"},{"family":"Mackiewicz","given":"Mark"},{"family":"Pauli-Behn","given":"Florencia"},{"family":"Williams","given":"Brian A."},{"family":"Mortazavi","given":"Ali"},{"family":"Keller","given":"Cheryl A."},{"family":"Zhang","given":"Xiao-Ou"},{"family":"Elhajjajy","given":"Shaimae I."},{"family":"Huey","given":"Jack"},{"family":"Dickel","given":"Diane E."},{"family":"Snetkova","given":"Valentina"},{"family":"Wei","given":"Xintao"},{"family":"Wang","given":"Xiaofeng"},{"family":"Rivera-Mulia","given":"Juan Carlos"},{"family":"Rozowsky","given":"Joel"},{"family":"Zhang","given":"Jing"},{"family":"Chhetri","given":"Surya B."},{"family":"Zhang","given":"Jialing"},{"family":"Victorsen","given":"Alec"},{"family":"White","given":"Kevin P."},{"family":"Visel","given":"Axel"},{"family":"Yeo","given":"Gene W."},{"family":"Burge","given":"Christopher B."},{"family":"Lécuyer","given":"Eric"},{"family":"Gilbert","given":"David M."},{"family":"Dekker","given":"Job"},{"family":"Rinn","given":"John"},{"family":"Mendenhall","given":"Eric M."},{"family":"Ecker","given":"Joseph R."},{"family":"Kellis","given":"Manolis"},{"family":"Klein","given":"Robert J."},{"family":"Noble","given":"William S."},{"family":"Kundaje","given":"Anshul"},{"family":"Guigó","given":"Roderic"},{"family":"Farnham","given":"Peggy J."},{"family":"Cherry","given":"J. Michael"},{"family":"Myers","given":"Richard M."},{"family":"Ren","given":"Bing"},{"family":"Graveley","given":"Brenton R."},{"family":"Gerstein","given":"Mark B."},{"family":"Pennacchio","given":"Len A."},{"family":"Snyder","given":"Michael P."},{"family":"Bernstein","given":"Bradley E."},{"family":"Wold","given":"Barbara"},{"family":"Hardison","given":"Ross C."},{"family":"Gingeras","given":"Thomas R."},{"family":"Stamatoyannopoulos","given":"John A."},{"family":"Weng","given":"Zhiping"}],"issued":{"date-parts":[["2020",7]]}}}],"schema":"https://github.com/citation-style-language/schema/raw/master/csl-citation.json"} </w:instrText>
      </w:r>
      <w:r w:rsidR="00260B6D" w:rsidRPr="00757919">
        <w:rPr>
          <w:rFonts w:ascii="Times New Roman" w:eastAsia="Arial" w:hAnsi="Times New Roman" w:cs="Times New Roman"/>
          <w:bCs/>
          <w:sz w:val="24"/>
          <w:szCs w:val="24"/>
        </w:rPr>
        <w:fldChar w:fldCharType="separate"/>
      </w:r>
      <w:r w:rsidR="000E575F" w:rsidRPr="000E575F">
        <w:rPr>
          <w:rFonts w:ascii="Times New Roman" w:hAnsi="Times New Roman" w:cs="Times New Roman"/>
          <w:sz w:val="24"/>
          <w:szCs w:val="24"/>
          <w:vertAlign w:val="superscript"/>
        </w:rPr>
        <w:t>71</w:t>
      </w:r>
      <w:r w:rsidR="00260B6D" w:rsidRPr="00757919">
        <w:rPr>
          <w:rFonts w:ascii="Times New Roman" w:eastAsia="Arial" w:hAnsi="Times New Roman" w:cs="Times New Roman"/>
          <w:bCs/>
          <w:sz w:val="24"/>
          <w:szCs w:val="24"/>
        </w:rPr>
        <w:fldChar w:fldCharType="end"/>
      </w:r>
      <w:r w:rsidR="00463920" w:rsidRPr="00757919">
        <w:rPr>
          <w:rFonts w:ascii="Times New Roman" w:eastAsia="Arial" w:hAnsi="Times New Roman" w:cs="Times New Roman"/>
          <w:bCs/>
          <w:sz w:val="24"/>
          <w:szCs w:val="24"/>
        </w:rPr>
        <w:t>. These markers were not as strong in osteoblast primary cells where DNase-seq was not available</w:t>
      </w:r>
      <w:r w:rsidR="00A2578A" w:rsidRPr="00757919">
        <w:rPr>
          <w:rFonts w:ascii="Times New Roman" w:eastAsia="Arial" w:hAnsi="Times New Roman" w:cs="Times New Roman"/>
          <w:bCs/>
          <w:sz w:val="24"/>
          <w:szCs w:val="24"/>
        </w:rPr>
        <w:t>,</w:t>
      </w:r>
      <w:r w:rsidR="00463920" w:rsidRPr="00757919">
        <w:rPr>
          <w:rFonts w:ascii="Times New Roman" w:eastAsia="Arial" w:hAnsi="Times New Roman" w:cs="Times New Roman"/>
          <w:bCs/>
          <w:sz w:val="24"/>
          <w:szCs w:val="24"/>
        </w:rPr>
        <w:t xml:space="preserve"> and H3K4me3 had the highest Z-score at 1.08. </w:t>
      </w:r>
      <w:r w:rsidR="00272144">
        <w:rPr>
          <w:rFonts w:ascii="Times New Roman" w:eastAsia="Arial" w:hAnsi="Times New Roman" w:cs="Times New Roman"/>
          <w:bCs/>
          <w:sz w:val="24"/>
          <w:szCs w:val="24"/>
        </w:rPr>
        <w:t>Unlike</w:t>
      </w:r>
      <w:r w:rsidR="00272144" w:rsidRPr="00757919">
        <w:rPr>
          <w:rFonts w:ascii="Times New Roman" w:eastAsia="Arial" w:hAnsi="Times New Roman" w:cs="Times New Roman"/>
          <w:bCs/>
          <w:sz w:val="24"/>
          <w:szCs w:val="24"/>
        </w:rPr>
        <w:t xml:space="preserve"> </w:t>
      </w:r>
      <w:r w:rsidR="00BA7143" w:rsidRPr="00757919">
        <w:rPr>
          <w:rFonts w:ascii="Times New Roman" w:eastAsia="Arial" w:hAnsi="Times New Roman" w:cs="Times New Roman"/>
          <w:bCs/>
          <w:sz w:val="24"/>
          <w:szCs w:val="24"/>
        </w:rPr>
        <w:t>rs12414</w:t>
      </w:r>
      <w:r w:rsidR="005E22AC" w:rsidRPr="00757919">
        <w:rPr>
          <w:rFonts w:ascii="Times New Roman" w:eastAsia="Arial" w:hAnsi="Times New Roman" w:cs="Times New Roman"/>
          <w:bCs/>
          <w:sz w:val="24"/>
          <w:szCs w:val="24"/>
        </w:rPr>
        <w:t>657</w:t>
      </w:r>
      <w:r w:rsidR="00495624">
        <w:rPr>
          <w:rFonts w:ascii="Times New Roman" w:eastAsia="Arial" w:hAnsi="Times New Roman" w:cs="Times New Roman"/>
          <w:bCs/>
          <w:sz w:val="24"/>
          <w:szCs w:val="24"/>
        </w:rPr>
        <w:t xml:space="preserve"> </w:t>
      </w:r>
      <w:r w:rsidR="00495624" w:rsidRPr="00757919">
        <w:rPr>
          <w:rFonts w:ascii="Times New Roman" w:eastAsia="Arial" w:hAnsi="Times New Roman" w:cs="Times New Roman"/>
          <w:bCs/>
          <w:sz w:val="24"/>
          <w:szCs w:val="24"/>
        </w:rPr>
        <w:t>(</w:t>
      </w:r>
      <w:r w:rsidR="00495624" w:rsidRPr="00757919">
        <w:rPr>
          <w:rFonts w:ascii="Times New Roman" w:eastAsia="Arial" w:hAnsi="Times New Roman" w:cs="Times New Roman"/>
          <w:bCs/>
          <w:i/>
          <w:iCs/>
          <w:sz w:val="24"/>
          <w:szCs w:val="24"/>
        </w:rPr>
        <w:t>ADRB1</w:t>
      </w:r>
      <w:r w:rsidR="00495624" w:rsidRPr="00757919">
        <w:rPr>
          <w:rFonts w:ascii="Times New Roman" w:eastAsia="Arial" w:hAnsi="Times New Roman" w:cs="Times New Roman"/>
          <w:bCs/>
          <w:sz w:val="24"/>
          <w:szCs w:val="24"/>
        </w:rPr>
        <w:t>)</w:t>
      </w:r>
      <w:r w:rsidR="00272144">
        <w:rPr>
          <w:rFonts w:ascii="Times New Roman" w:eastAsia="Arial" w:hAnsi="Times New Roman" w:cs="Times New Roman"/>
          <w:bCs/>
          <w:sz w:val="24"/>
          <w:szCs w:val="24"/>
        </w:rPr>
        <w:t>,</w:t>
      </w:r>
      <w:r w:rsidR="005E22AC" w:rsidRPr="00757919">
        <w:rPr>
          <w:rFonts w:ascii="Times New Roman" w:eastAsia="Arial" w:hAnsi="Times New Roman" w:cs="Times New Roman"/>
          <w:bCs/>
          <w:sz w:val="24"/>
          <w:szCs w:val="24"/>
        </w:rPr>
        <w:t xml:space="preserve"> rs1801252</w:t>
      </w:r>
      <w:r w:rsidR="00272144">
        <w:rPr>
          <w:rFonts w:ascii="Times New Roman" w:eastAsia="Arial" w:hAnsi="Times New Roman" w:cs="Times New Roman"/>
          <w:bCs/>
          <w:sz w:val="24"/>
          <w:szCs w:val="24"/>
        </w:rPr>
        <w:t xml:space="preserve"> (</w:t>
      </w:r>
      <w:r w:rsidR="00272144">
        <w:rPr>
          <w:rFonts w:ascii="Times New Roman" w:eastAsia="Arial" w:hAnsi="Times New Roman" w:cs="Times New Roman"/>
          <w:bCs/>
          <w:i/>
          <w:iCs/>
          <w:sz w:val="24"/>
          <w:szCs w:val="24"/>
        </w:rPr>
        <w:t>ADRB1</w:t>
      </w:r>
      <w:r w:rsidR="00272144">
        <w:rPr>
          <w:rFonts w:ascii="Times New Roman" w:eastAsia="Arial" w:hAnsi="Times New Roman" w:cs="Times New Roman"/>
          <w:bCs/>
          <w:sz w:val="24"/>
          <w:szCs w:val="24"/>
        </w:rPr>
        <w:t>)</w:t>
      </w:r>
      <w:r w:rsidR="0079029A" w:rsidRPr="00757919">
        <w:rPr>
          <w:rFonts w:ascii="Times New Roman" w:eastAsia="Arial" w:hAnsi="Times New Roman" w:cs="Times New Roman"/>
          <w:bCs/>
          <w:sz w:val="24"/>
          <w:szCs w:val="24"/>
        </w:rPr>
        <w:t>,</w:t>
      </w:r>
      <w:r w:rsidR="00272144">
        <w:rPr>
          <w:rFonts w:ascii="Times New Roman" w:eastAsia="Arial" w:hAnsi="Times New Roman" w:cs="Times New Roman"/>
          <w:bCs/>
          <w:sz w:val="24"/>
          <w:szCs w:val="24"/>
        </w:rPr>
        <w:t xml:space="preserve"> a non-synonymous SNP</w:t>
      </w:r>
      <w:r w:rsidR="0079029A" w:rsidRPr="00757919">
        <w:rPr>
          <w:rFonts w:ascii="Times New Roman" w:eastAsia="Arial" w:hAnsi="Times New Roman" w:cs="Times New Roman"/>
          <w:bCs/>
          <w:sz w:val="24"/>
          <w:szCs w:val="24"/>
        </w:rPr>
        <w:t xml:space="preserve"> in high LD with rs12</w:t>
      </w:r>
      <w:r w:rsidR="00463920" w:rsidRPr="00757919">
        <w:rPr>
          <w:rFonts w:ascii="Times New Roman" w:eastAsia="Arial" w:hAnsi="Times New Roman" w:cs="Times New Roman"/>
          <w:bCs/>
          <w:sz w:val="24"/>
          <w:szCs w:val="24"/>
        </w:rPr>
        <w:t>4</w:t>
      </w:r>
      <w:r w:rsidR="0079029A" w:rsidRPr="00757919">
        <w:rPr>
          <w:rFonts w:ascii="Times New Roman" w:eastAsia="Arial" w:hAnsi="Times New Roman" w:cs="Times New Roman"/>
          <w:bCs/>
          <w:sz w:val="24"/>
          <w:szCs w:val="24"/>
        </w:rPr>
        <w:t>1</w:t>
      </w:r>
      <w:r w:rsidR="00463920" w:rsidRPr="00757919">
        <w:rPr>
          <w:rFonts w:ascii="Times New Roman" w:eastAsia="Arial" w:hAnsi="Times New Roman" w:cs="Times New Roman"/>
          <w:bCs/>
          <w:sz w:val="24"/>
          <w:szCs w:val="24"/>
        </w:rPr>
        <w:t>4</w:t>
      </w:r>
      <w:r w:rsidR="0079029A" w:rsidRPr="00757919">
        <w:rPr>
          <w:rFonts w:ascii="Times New Roman" w:eastAsia="Arial" w:hAnsi="Times New Roman" w:cs="Times New Roman"/>
          <w:bCs/>
          <w:sz w:val="24"/>
          <w:szCs w:val="24"/>
        </w:rPr>
        <w:t>657</w:t>
      </w:r>
      <w:r w:rsidR="00272144">
        <w:rPr>
          <w:rFonts w:ascii="Times New Roman" w:eastAsia="Arial" w:hAnsi="Times New Roman" w:cs="Times New Roman"/>
          <w:bCs/>
          <w:sz w:val="24"/>
          <w:szCs w:val="24"/>
        </w:rPr>
        <w:t xml:space="preserve"> (</w:t>
      </w:r>
      <w:r w:rsidR="00272144">
        <w:rPr>
          <w:rFonts w:ascii="Times New Roman" w:eastAsia="Arial" w:hAnsi="Times New Roman" w:cs="Times New Roman"/>
          <w:bCs/>
          <w:i/>
          <w:iCs/>
          <w:sz w:val="24"/>
          <w:szCs w:val="24"/>
        </w:rPr>
        <w:t>ADRB1</w:t>
      </w:r>
      <w:r w:rsidR="00272144">
        <w:rPr>
          <w:rFonts w:ascii="Times New Roman" w:eastAsia="Arial" w:hAnsi="Times New Roman" w:cs="Times New Roman"/>
          <w:bCs/>
          <w:sz w:val="24"/>
          <w:szCs w:val="24"/>
        </w:rPr>
        <w:t>)</w:t>
      </w:r>
      <w:r w:rsidR="0079029A" w:rsidRPr="00757919">
        <w:rPr>
          <w:rFonts w:ascii="Times New Roman" w:eastAsia="Arial" w:hAnsi="Times New Roman" w:cs="Times New Roman"/>
          <w:bCs/>
          <w:sz w:val="24"/>
          <w:szCs w:val="24"/>
        </w:rPr>
        <w:t>,</w:t>
      </w:r>
      <w:r w:rsidR="005E22AC" w:rsidRPr="00757919">
        <w:rPr>
          <w:rFonts w:ascii="Times New Roman" w:eastAsia="Arial" w:hAnsi="Times New Roman" w:cs="Times New Roman"/>
          <w:bCs/>
          <w:sz w:val="24"/>
          <w:szCs w:val="24"/>
        </w:rPr>
        <w:t xml:space="preserve"> has been </w:t>
      </w:r>
      <w:r w:rsidR="00871D61">
        <w:rPr>
          <w:rFonts w:ascii="Times New Roman" w:eastAsia="Arial" w:hAnsi="Times New Roman" w:cs="Times New Roman"/>
          <w:bCs/>
          <w:sz w:val="24"/>
          <w:szCs w:val="24"/>
        </w:rPr>
        <w:t>reported in</w:t>
      </w:r>
      <w:r w:rsidR="00B779E5" w:rsidRPr="00757919">
        <w:rPr>
          <w:rFonts w:ascii="Times New Roman" w:eastAsia="Arial" w:hAnsi="Times New Roman" w:cs="Times New Roman"/>
          <w:bCs/>
          <w:sz w:val="24"/>
          <w:szCs w:val="24"/>
        </w:rPr>
        <w:t xml:space="preserve"> association with resting heart rate and survival in patients with heart failure</w:t>
      </w:r>
      <w:r w:rsidR="00B779E5" w:rsidRPr="00757919">
        <w:rPr>
          <w:rFonts w:ascii="Times New Roman" w:eastAsia="Arial" w:hAnsi="Times New Roman" w:cs="Times New Roman"/>
          <w:bCs/>
          <w:sz w:val="24"/>
          <w:szCs w:val="24"/>
        </w:rPr>
        <w:fldChar w:fldCharType="begin"/>
      </w:r>
      <w:r w:rsidR="000E575F">
        <w:rPr>
          <w:rFonts w:ascii="Times New Roman" w:eastAsia="Arial" w:hAnsi="Times New Roman" w:cs="Times New Roman"/>
          <w:bCs/>
          <w:sz w:val="24"/>
          <w:szCs w:val="24"/>
        </w:rPr>
        <w:instrText xml:space="preserve"> ADDIN ZOTERO_ITEM CSL_CITATION {"citationID":"3ucbCcvr","properties":{"formattedCitation":"\\super 101\\uc0\\u8211{}108\\nosupersub{}","plainCitation":"101–108","noteIndex":0},"citationItems":[{"id":308,"uris":["http://zotero.org/users/3223062/items/FUPCJWZI"],"uri":["http://zotero.org/users/3223062/items/FUPCJWZI"],"itemData":{"id":308,"type":"article-journal","abstract":"The signaling impact of a human β 1 -adrenergic receptor (β 1 AR) polymorphism at residue 49 of the aminoterminus (Ser-to-Gly substitution) was studied by recombinantly expressing each receptor. The two receptors displayed identical agonist and antagonist binding affinities. Furthermore, basal and agonist-stimulated adenylyl cyclase activities were the same for these receptors as assessed in both cell types. Although short-term agonist exposure resulted in similar degrees of receptor internalization, long-term agonist-promoted downregulation was greater for Gly49 compared with Ser49. The Gly49 receptor underwent a 24 ± 3% loss of receptor density after exposure to isoproterenol for 18 h, whereas Ser49 underwent no such loss. In studies in which receptor synthesis was inhibited, agonist-promoted downregulation for Gly49 was 55 ± 3% compared with 36 ± 5% for Ser49. In the absence of agonist, degradative turnover of each receptor was the same. Immunoblotting revealed that some of the Ser49 receptor exists as a highly N-glycosylated form (≈105-kD molecular mass), which is not present with Gly49. Thus the phenotype of the Gly49 polymorphic receptor is that of wild-type coupling with enhanced agonist-promoted downregulation, which is associated with altered N-glycosylation. Based on this cellular phenotype, the β 1 AR Gly49 polymorphism may impart a beneficial effect in chronic heart failure.","container-title":"Journal of Cardiovascular Pharmacology","ISSN":"0160-2446","issue":"2","language":"en-US","page":"155–160","source":"journals.lww.com","title":"Amino Acid 49 Polymorphisms of the Human β 1 -Adrenergic Receptor Affect Agonist-Promoted Trafficking","volume":"39","author":[{"family":"Rathz","given":"Deborah A."},{"family":"Brown","given":"Kari M."},{"family":"Kramer","given":"Lisa A."},{"family":"Liggett","given":"Stephen B."}],"issued":{"date-parts":[["2002",2]]}}},{"id":304,"uris":["http://zotero.org/users/3223062/items/VRJUCS7Y"],"uri":["http://zotero.org/users/3223062/items/VRJUCS7Y"],"itemData":{"id":304,"type":"article-journal","abstract":"BACKGROUND: Activation of beta-1 adrenoreceptor (β1-AR) in the kidney releases renin that plays a major role in the maintenance of blood pressure. Genetic variation in β1-AR could therefore alter the physiological and clinical effects of this hormone. We tested this hypothesis in patients from a primary care cohort being screened for primary hyperaldosteronism (n = 467).\nMETHODS: Demographic and hemodynamic data were measured and plasma renin was determined by a standard immunoassay. Subjects were genotyped for the 2 common single-nucleotide polymorphisms Arg389Gly (rs1801253) and Ser49Gly (rs1801252), and thus the 4 possible haplotypes in β1-AR gene.\nRESULTS: In patients being screened for hyperaldosteronism, plasma renin was significantly elevated in Ser49 homozygotes (49SS) compared with Gly49 (49G) allele carriers (0.307 ± 0.03 vs. 0.164 ± 0.05; P = 0.01). However, this did not translate into differences in either blood pressure or heart rate. On the other hand, the Arg389Gly polymorphism did not affect either plasma renin or blood pressure in this group. There was also no evidence that the 2 loci were linked in this group of patients.\nCONCLUSION: These data suggest that in this cohort the Ser49 variant of the Ser49Gly β1-AR gene polymorphism associates with higher renin levels. However, these common β1-AR gene polymorphisms do not affect blood pressure in the same cohort.","container-title":"American Journal of Hypertension","DOI":"10.1093/ajh/hpz019","ISSN":"1941-7225","issue":"5","journalAbbreviation":"Am. J. Hypertens.","language":"eng","note":"PMID: 30753253\nPMCID: PMC6475877","page":"447-451","source":"PubMed","title":"β1-Adrenoreceptor Polymorphisms and Blood Pressure: 49S Variant Increases Plasma Renin But Not Blood Pressure in Hypertensive Patients","title-short":"β1-Adrenoreceptor Polymorphisms and Blood Pressure","volume":"32","author":[{"family":"Sandilands","given":"Alastair J."},{"family":"O'Shaughnessy","given":"Kevin M."}],"issued":{"date-parts":[["2019"]],"season":"22"}}},{"id":303,"uris":["http://zotero.org/users/3223062/items/D3B9633F"],"uri":["http://zotero.org/users/3223062/items/D3B9633F"],"itemData":{"id":303,"type":"article-journal","abstract":"Two common genetic polymorphisms in the beta-1 adrenergic receptor (ADRB1 Ser49Gly [rs1801252] and Arg389Gly [rs1801253]) significantly affect receptor function in vitro. The objective of this study was to determine whether ADRB1 Ser49Gly and Arg389Gly are associated with recovery of left ventricular ejection fraction (LVEF) in patients with heart failure. Patients with heart failure and baseline LVEF ≤ 40% were genotyped (n = 98), and retrospective chart review assessed the primary outcome of LVEF recovery to ≥ 40%. Un/adjusted logistic regression models revealed that Ser49Gly, but not Arg389Gly, was significantly associated with LVEF recovery in a dominant genetic model. The adjusted odds ratio for Ser49 was 8.2 (95% CI = 2.1-32.9; p = 0.003), and it was the strongest predictor of LVEF recovery among multiple clinical variables. In conclusion, patients with heart failure and reduced ejection fraction that are homozygous for ADRB1 Ser49 were significantly more likely to experience LVEF recovery than Gly49 carriers.","container-title":"Journal of Cardiovascular Translational Research","DOI":"10.1007/s12265-019-09866-5","ISSN":"1937-5395","issue":"4","journalAbbreviation":"J Cardiovasc Transl Res","language":"eng","note":"PMID: 30756358\nPMCID: PMC6690812","page":"280-289","source":"PubMed","title":"Association of Genetic Polymorphisms in the Beta-1 Adrenergic Receptor with Recovery of Left Ventricular Ejection Fraction in Patients with Heart Failure","volume":"12","author":[{"family":"Luzum","given":"Jasmine A."},{"family":"English","given":"Joseph D."},{"family":"Ahmad","given":"Umair S."},{"family":"Sun","given":"Jessie W."},{"family":"Canan","given":"Benjamin D."},{"family":"Sadee","given":"Wolfgang"},{"family":"Kitzmiller","given":"Joseph P."},{"family":"Binkley","given":"Philip F."}],"issued":{"date-parts":[["2019"]]}}},{"id":302,"uris":["http://zotero.org/users/3223062/items/6YI4CJ2A"],"uri":["http://zotero.org/users/3223062/items/6YI4CJ2A"],"itemData":{"id":302,"type":"article-journal","abstract":"Background: Vasovagal syncope (VVS) is a frequent clinical condition in which a genetic background seems to be implicated. Considering that the adrenergic receptors (ARs) may play a role in VVS, the present study has as principal aim to determine if the α- and β-AR (ADRA and ADRB) gene polymorphisms are associated with an increased risk to have a positive head-up tilt table (HUTT) test in patients with VVS. Methods: Nine polymorphisms in the ADRA1A (rs1048101, rs1383914, rs574584, and rs573542), ADRB1 (rs1801252 and rs1801253), ADRB2 (rs1042713 and rs1042714), and ADRB3 (rs4994) genes were analyzed using the 5' exonuclease TaqMan genotyping assay in a group of 134 patients with VVS.\nResults: Under different models, the rs1801252 (OR = 8.63, 95% CI: 0.95-78.72, Precessive = 0.02), rs1042713 (OR = 1.94, 95% CI: 1.02-3.66, Padditive = 0.04), and rs4994 (OR = 2.46, 95% CI: 1.01-6.01, Pdominant = 0.042 and OR = 2.62, 95% CI: 1.04-6.63, Pover-dominant = 0.03) polymorphisms were associated with increased risk for a positive HUTT. All models were adjusted for statistically significant covariates.\nConclusion: These results suggest that some polymorphisms of the β-AR genes could contribute to a positive tilt test in patients with VVS.","container-title":"Revista De Investigacion Clinica; Organo Del Hospital De Enfermedades De La Nutricion","DOI":"10.24875/RIC.18002734","ISSN":"0034-8376","issue":"2","journalAbbreviation":"Rev. Invest. Clin.","language":"eng","note":"PMID: 31056593","page":"124-132","source":"PubMed","title":"POLYMORPHISMS IN β-ADRENERGIC RECEPTORS ARE ASSOCIATED WITH INCREASED RISK TO HAVE A POSITIVE HEAD-UP TILT TABLE TEST IN PATIENTS WITH VASOVAGAL SYNCOPE","volume":"71","author":[{"family":"Márquez","given":"Manlio F."},{"family":"Fragoso","given":"José Manuel"},{"family":"Pérez-Pérez","given":"Daniel"},{"family":"Cázares-Campos","given":"Iris"},{"family":"Totomoch-Serra","given":"Armando"},{"family":"Gómez-Flores","given":"Jorge Rafael"},{"family":"Vargas-Alarcón","given":"Gilberto"}],"issued":{"date-parts":[["2019"]]}}},{"id":301,"uris":["http://zotero.org/users/3223062/items/3VRWLF7I"],"uri":["http://zotero.org/users/3223062/items/3VRWLF7I"],"itemData":{"id":301,"type":"article-journal","abstract":"BACKGROUND Our study aimed to explore the association between β1-adrenoceptor (ADRB1) rs1801253 polymorphism and analgesic effect of fentanyl after cancer surgeries in Chinese Han populations. MATERIAL AND METHODS Postoperative fentanyl consumption of 120 patients for analgesia was recorded. Genotype distributions were detected by allele specific amplification-polymerase chain reaction (ASA-PCR) method. Postoperative pain was measured by visual analogue scale (VAS) method. Differences in postoperative VAS score and postoperative fentanyl consumption for analgesia in different genotype groups were compared by analysis of variance (ANOVA). Preoperative cold pressor-induced pain test was also performed to test the analgesic effect of fentanyl. RESULTS Frequencies of Gly/Gly, Gly/Arg, Arg/Arg genotypes were 45.0%, 38.3%, and 16.7%, respectively, and passed the Hardy-Weinberg Equilibrium (HWE) test. The mean arterial pressure (MAP) and the heart rate (HR) had no significant differences at different times. After surgery, the VAS score and fentanyl consumption in Arg/Arg group were significantly higher than in other groups at the postoperative 2nd hour, but the differences were not obvious at the 4th hour, 24th hour, and the 48th hour. The results suggest that the Arg/Arg homozygote increased susceptibility to postoperative pain. The preoperative cold pressor-induced pain test suggested that individuals with Arg/Arg genotype showed worse analgesic effect of fentanyl compared to other genotypes. CONCLUSIONS In Chinese Han populations, ADRB1 rs1801253 polymorphism might be associated with the analgesic effect of fentanyl after cancer surgery.","container-title":"Medical Science Monitor: International Medical Journal of Experimental and Clinical Research","DOI":"10.12659/msm.894060","ISSN":"1643-3750","journalAbbreviation":"Med. Sci. Monit.","language":"eng","note":"PMID: 26694722\nPMCID: PMC4692569","page":"4000-4005","source":"PubMed","title":"Correlation of ADRB1 rs1801253 Polymorphism with Analgesic Effect of Fentanyl After Cancer Surgeries","volume":"21","author":[{"family":"Wei","given":"Wei"},{"family":"Tian","given":"Yanli"},{"family":"Zhao","given":"Chunlei"},{"family":"Sui","given":"Zhifu"},{"family":"Liu","given":"Chang"},{"family":"Wang","given":"Congmin"},{"family":"Yang","given":"Rongya"}],"issued":{"date-parts":[["2015",12,22]]}}},{"id":300,"uris":["http://zotero.org/users/3223062/items/TAA7C72J"],"uri":["http://zotero.org/users/3223062/items/TAA7C72J"],"itemData":{"id":300,"type":"article-journal","abstract":"Variation in the beta-1 and beta-2 adrenergic receptor genes (ADRB1 and ADRB2, respectively) may influence cardiovascular reactivity including orthostatic stress. We tested this hypothesis in a head-up tilt (HUT) screening protocol in healthy young adults without history of syncope. Following brachial arterial catheter insertion, 120 subjects (age 18-40, 72 females, Caucasian) underwent 5min 60° HUT. Polymorphisms tested were: Ser49/Gly and Arg389/Gly in ADRB1; and Arg16/Gly, Gln27/Glu, and Thr164/Ile in ADRB2. Three statistical models (recessive, dominant, additive) were evaluated using general linear models with analysis for each physiologic variable. A recessive model demonstrated a significant association between Arg16/Gly and: absolute supine and upright HR; HUT-induced change in cardiac index (CI), stroke index (SI) and systemic vascular resistance (SVR); and supine and upright norepinephrine values. Blood pressure was not influenced by genotype. Fewer associations were present for other polymorphisms: Ser49/Gly and the change in SI (dominant model), and Arg389/Gly and supine and HUT norepinephrine (additive model). We conclude that in this population, there is a robust association between Arg16/Gly and HUT responses, such that 2 copies of Arg16 increase supine and upright HR, and greater HUT-induced decreases in CI and SI, with greater increases in SVR and norepinephrine. ADRB1 gene variation appears to impact SI and plasma NE levels but not HR. Whether ADRB2 gene variation is ultimately disease-causing or disease-modifying, this study suggests an association between Arg16/Gly and postural hemodynamics, with sympathetic noradrenergic activity affected in a similar direction. This may have implications in the development of orthostatic disorders.","container-title":"Autonomic Neuroscience: Basic &amp; Clinical","DOI":"10.1016/j.autneu.2011.07.004","ISSN":"1872-7484","issue":"1-2","journalAbbreviation":"Auton Neurosci","language":"eng","note":"PMID: 21807569\nPMCID: PMC3167015","page":"89-95","source":"PubMed","title":"β-1 and β-2 adrenergic receptor polymorphism and association with cardiovascular response to orthostatic screening","volume":"164","author":[{"family":"Wittwer","given":"E. D."},{"family":"Liu","given":"Z."},{"family":"Warner","given":"N. D."},{"family":"Schroeder","given":"D. R."},{"family":"Nadeau","given":"A. M."},{"family":"Allen","given":"A. R."},{"family":"Murillo","given":"C. J."},{"family":"Elvebak","given":"R. L."},{"family":"Aakre","given":"B. M."},{"family":"Eisenach","given":"J. H."}],"issued":{"date-parts":[["2011",10,28]]}}},{"id":427,"uris":["http://zotero.org/users/3223062/items/YK4F4J49"],"uri":["http://zotero.org/users/3223062/items/YK4F4J49"],"itemData":{"id":427,"type":"article-journal","abstract":"Abstract.  Aims The adrenergic nervous system is of major importance in congestive heart failure. No genetic polymorphism has previously been identified in the","container-title":"European Heart Journal","DOI":"10.1053/euhj.1999.1994","ISSN":"0195-668X","issue":"22","journalAbbreviation":"Eur Heart J","language":"en","page":"1853-1858","source":"academic.oup.com","title":"A novel polymorphism in the gene coding for the beta1-adrenergic receptor associated with survival in patients with heart failure","volume":"21","author":[{"family":"Börjesson","given":"M."},{"family":"Magnusson","given":"Y."},{"family":"Hjalmarson","given":"Å"},{"family":"Andersson","given":"B."}],"issued":{"date-parts":[["2000",11,1]]}}},{"id":426,"uris":["http://zotero.org/users/3223062/items/VLAY5R7P"],"uri":["http://zotero.org/users/3223062/items/VLAY5R7P"],"itemData":{"id":426,"type":"article-journal","container-title":"The American Journal of Human Genetics","DOI":"10.1086/339621","ISSN":"0002-9297, 1537-6605","issue":"4","journalAbbreviation":"The American Journal of Human Genetics","language":"English","note":"PMID: 11854867","page":"935-942","source":"www.cell.com","title":"A Polymorphism in the β1 Adrenergic Receptor Is Associated with Resting Heart Rate","volume":"70","author":[{"family":"Ranade","given":"Koustubh"},{"family":"Jorgenson","given":"Eric"},{"family":"Sheu","given":"Wayne H.-H."},{"family":"Pei","given":"Dee"},{"family":"Hsiung","given":"Chao Agnes"},{"family":"Chiang","given":"Fu-tien"},{"family":"Chen","given":"Yii-der I."},{"family":"Pratt","given":"Richard"},{"family":"Olshen","given":"Richard A."},{"family":"Curb","given":"David"},{"family":"Cox","given":"David R."},{"family":"Botstein","given":"David"},{"family":"Risch","given":"Neil"}],"issued":{"date-parts":[["2002",4,1]]}}}],"schema":"https://github.com/citation-style-language/schema/raw/master/csl-citation.json"} </w:instrText>
      </w:r>
      <w:r w:rsidR="00B779E5" w:rsidRPr="00757919">
        <w:rPr>
          <w:rFonts w:ascii="Times New Roman" w:eastAsia="Arial" w:hAnsi="Times New Roman" w:cs="Times New Roman"/>
          <w:bCs/>
          <w:sz w:val="24"/>
          <w:szCs w:val="24"/>
        </w:rPr>
        <w:fldChar w:fldCharType="separate"/>
      </w:r>
      <w:r w:rsidR="000E575F" w:rsidRPr="000E575F">
        <w:rPr>
          <w:rFonts w:ascii="Times New Roman" w:hAnsi="Times New Roman" w:cs="Times New Roman"/>
          <w:sz w:val="24"/>
          <w:szCs w:val="24"/>
          <w:vertAlign w:val="superscript"/>
        </w:rPr>
        <w:t>101–108</w:t>
      </w:r>
      <w:r w:rsidR="00B779E5" w:rsidRPr="00757919">
        <w:rPr>
          <w:rFonts w:ascii="Times New Roman" w:eastAsia="Arial" w:hAnsi="Times New Roman" w:cs="Times New Roman"/>
          <w:bCs/>
          <w:sz w:val="24"/>
          <w:szCs w:val="24"/>
        </w:rPr>
        <w:fldChar w:fldCharType="end"/>
      </w:r>
      <w:r w:rsidR="005E22AC" w:rsidRPr="00757919">
        <w:rPr>
          <w:rFonts w:ascii="Times New Roman" w:eastAsia="Arial" w:hAnsi="Times New Roman" w:cs="Times New Roman"/>
          <w:bCs/>
          <w:sz w:val="24"/>
          <w:szCs w:val="24"/>
        </w:rPr>
        <w:t>.</w:t>
      </w:r>
    </w:p>
    <w:p w14:paraId="367872EF" w14:textId="4114233F" w:rsidR="004D2969" w:rsidRPr="00757919" w:rsidRDefault="00871D61" w:rsidP="00864F3F">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Sex-specific effects in </w:t>
      </w:r>
      <w:r w:rsidR="00176CF4">
        <w:rPr>
          <w:rFonts w:ascii="Times New Roman" w:eastAsia="Arial" w:hAnsi="Times New Roman" w:cs="Times New Roman"/>
          <w:sz w:val="24"/>
          <w:szCs w:val="24"/>
        </w:rPr>
        <w:t xml:space="preserve">β-adrenergic signaling </w:t>
      </w:r>
      <w:r>
        <w:rPr>
          <w:rFonts w:ascii="Times New Roman" w:eastAsia="Arial" w:hAnsi="Times New Roman" w:cs="Times New Roman"/>
          <w:sz w:val="24"/>
          <w:szCs w:val="24"/>
        </w:rPr>
        <w:t xml:space="preserve">have been shown previously. Specifically, </w:t>
      </w:r>
      <w:r w:rsidR="00176CF4">
        <w:rPr>
          <w:rFonts w:ascii="Times New Roman" w:eastAsia="Arial" w:hAnsi="Times New Roman" w:cs="Times New Roman"/>
          <w:sz w:val="24"/>
          <w:szCs w:val="24"/>
        </w:rPr>
        <w:t>β-adrenergic contractile response is greater in male mice than female mice</w:t>
      </w:r>
      <w:r w:rsidR="00176CF4">
        <w:rPr>
          <w:rFonts w:ascii="Times New Roman" w:eastAsia="Arial" w:hAnsi="Times New Roman" w:cs="Times New Roman"/>
          <w:sz w:val="24"/>
          <w:szCs w:val="24"/>
        </w:rPr>
        <w:fldChar w:fldCharType="begin"/>
      </w:r>
      <w:r w:rsidR="00A568A5">
        <w:rPr>
          <w:rFonts w:ascii="Times New Roman" w:eastAsia="Arial" w:hAnsi="Times New Roman" w:cs="Times New Roman"/>
          <w:sz w:val="24"/>
          <w:szCs w:val="24"/>
        </w:rPr>
        <w:instrText xml:space="preserve"> ADDIN ZOTERO_ITEM CSL_CITATION {"citationID":"LljgFvWY","properties":{"formattedCitation":"\\super 45\\nosupersub{}","plainCitation":"45","noteIndex":0},"citationItems":[{"id":1617,"uris":["http://zotero.org/users/3223062/items/C72VAIGE"],"uri":["http://zotero.org/users/3223062/items/C72VAIGE"],"itemData":{"id":1617,"type":"article-journal","abstract":"The presence of sex differences in myocardial β-adrenergic responsiveness is controversial, and limited studies have addressed the mechanism underlying these differences. Studies were performed using isolated perfused hearts from male, intact female and ovariectomized female mice to investigate sex differences and the effects of ovarian hormone withdrawal on β-adrenergic receptor function. Female hearts exhibited blunted contractile responses to the β-adrenergic receptor agonist isoproterenol (ISO) compared with males but not ovariectomized females. There were no sex differences in β1-adrenergic receptor gene or protein expression. To investigate the role of adenylyl cyclase, phosphodiesterase, and the cAMP-signaling cascade in generating sex differences in the β-adrenergic contractile response, dose-response studies were performed in isolated perfused male and female hearts using forskolin, 3-isobutyl-1-methylxanthine (IBMX), and 8-(4-chlorophenylthio)adenosine 3′,5′-cyclic monophosphate (CPT-cAMP). Males showed a modestly enhanced contractile response to forskolin at 300 nM and 5 μM compared with females, but there were no sex differences in the response to IBMX or CPT-cAMP. The role of the A1 adenosine receptor (A1AR) in antagonizing the β-adrenergic contractile response was investigated using both the A1AR agonist 2-chloro-N6-cyclopentyl-adenosine and A1AR knockout (KO) mice. Intact females showed an enhanced A1AR anti-adrenergic effect compared with males and ovariectomized females. The β-adrenergic contractile response was potentiated in both male and female A1ARKO hearts, with sex differences no longer present above 1 nM ISO. The β-adrenergic contractile response is greater in male hearts than females, and minor differences in the action of adenylyl cyclase or the A1AR may contribute to these sex differences.","container-title":"American Journal of Physiology - Heart and Circulatory Physiology","DOI":"10.1152/ajpheart.00711.2010","ISSN":"0363-6135","issue":"3","journalAbbreviation":"Am J Physiol Heart Circ Physiol","note":"PMID: 21685268\nPMCID: PMC3191079","page":"H1127-H1134","source":"PubMed Central","title":"Sex differences and the effects of ovariectomy on the β-adrenergic contractile response","volume":"301","author":[{"family":"McIntosh","given":"Victoria J."},{"family":"Chandrasekera","given":"P. Charukeshi"},{"family":"Lasley","given":"Robert D."}],"issued":{"date-parts":[["2011",9]]}}}],"schema":"https://github.com/citation-style-language/schema/raw/master/csl-citation.json"} </w:instrText>
      </w:r>
      <w:r w:rsidR="00176CF4">
        <w:rPr>
          <w:rFonts w:ascii="Times New Roman" w:eastAsia="Arial" w:hAnsi="Times New Roman" w:cs="Times New Roman"/>
          <w:sz w:val="24"/>
          <w:szCs w:val="24"/>
        </w:rPr>
        <w:fldChar w:fldCharType="separate"/>
      </w:r>
      <w:r w:rsidR="00A568A5" w:rsidRPr="00A568A5">
        <w:rPr>
          <w:rFonts w:ascii="Times New Roman" w:hAnsi="Times New Roman" w:cs="Times New Roman"/>
          <w:sz w:val="24"/>
          <w:szCs w:val="24"/>
          <w:vertAlign w:val="superscript"/>
        </w:rPr>
        <w:t>45</w:t>
      </w:r>
      <w:r w:rsidR="00176CF4">
        <w:rPr>
          <w:rFonts w:ascii="Times New Roman" w:eastAsia="Arial" w:hAnsi="Times New Roman" w:cs="Times New Roman"/>
          <w:sz w:val="24"/>
          <w:szCs w:val="24"/>
        </w:rPr>
        <w:fldChar w:fldCharType="end"/>
      </w:r>
      <w:r w:rsidR="00176CF4">
        <w:rPr>
          <w:rFonts w:ascii="Times New Roman" w:eastAsia="Arial" w:hAnsi="Times New Roman" w:cs="Times New Roman"/>
          <w:sz w:val="24"/>
          <w:szCs w:val="24"/>
        </w:rPr>
        <w:t>, and female rabbit hearts have decreased capacity to respond to β-adrenergic stimulation as compared to male rabbit hearts</w:t>
      </w:r>
      <w:r w:rsidR="00176CF4">
        <w:rPr>
          <w:rFonts w:ascii="Times New Roman" w:eastAsia="Arial" w:hAnsi="Times New Roman" w:cs="Times New Roman"/>
          <w:sz w:val="24"/>
          <w:szCs w:val="24"/>
        </w:rPr>
        <w:fldChar w:fldCharType="begin"/>
      </w:r>
      <w:r w:rsidR="00A568A5">
        <w:rPr>
          <w:rFonts w:ascii="Times New Roman" w:eastAsia="Arial" w:hAnsi="Times New Roman" w:cs="Times New Roman"/>
          <w:sz w:val="24"/>
          <w:szCs w:val="24"/>
        </w:rPr>
        <w:instrText xml:space="preserve"> ADDIN ZOTERO_ITEM CSL_CITATION {"citationID":"nv4tcJgz","properties":{"formattedCitation":"\\super 46\\nosupersub{}","plainCitation":"46","noteIndex":0},"citationItems":[{"id":1629,"uris":["http://zotero.org/users/3223062/items/9EFA83SL"],"uri":["http://zotero.org/users/3223062/items/9EFA83SL"],"itemData":{"id":1629,"type":"article-journal","abstract":"Cardioprotection in females, as observed in the setting of heart failure, has been attributed to sex differences in intracellular calcium handling and its modulation by β-adrenergic signaling. However, further studies examining sex differences in β-adrenergic responsiveness have yielded inconsistent results and have mostly been limited to studies of contractility, ion channel function, or calcium handling alone. Given the close interaction of the action potential (AP) and intracellular calcium transient (CaT) through the process of excitation-contraction coupling, the need for studies exploring the relationship between agonist-induced AP and calcium handling changes in female and male hearts is evident. Thus, the aim of this study was to use optical mapping to examine sex differences in ventricular APs and CaTs measured simultaneously from Langendorff-perfused hearts isolated from naïve adult rabbits during β-adrenergic stimulation. The non-selective β-agonist isoproterenol (Iso) decreased AP duration (APD90), CaT duration (CaD80), and the decay constant of the CaT (τ) in a dose-dependent manner (1–316.2 nM), with a plateau at doses ≥31.6 nM. The Iso-induced changes in APD90 and τ (but not CaD80) were significantly smaller in female than male hearts. These sex differences were more significant at faster (5.5 Hz) than resting rates (3 Hz). Treatment with Iso led to the development of spontaneous calcium release (SCR) with a dose threshold of 31.6 nM. While SCR occurrence was similar in female (49%) and male (53%) hearts, the associated ectopic beats had a lower frequency of occurrence (16% versus 40%) and higher threshold (100 nM versus 31.6 nM) in female than male hearts (p&lt;0.05). In conclusion, female hearts had a decreased capacity to respond to β-adrenergic stimulation, particularly under conditions of increased demand (i.e. faster pacing rates and “maximal” levels of Iso effects), however this reduced β-adrenergic responsiveness of female hearts was associated with reduced arrhythmic activity.","container-title":"PLoS ONE","DOI":"10.1371/journal.pone.0111411","ISSN":"1932-6203","issue":"10","journalAbbreviation":"PLoS One","note":"PMID: 25340795\nPMCID: PMC4207827","source":"PubMed Central","title":"Sex Differences in β-Adrenergic Responsiveness of Action Potentials and Intracellular Calcium Handling in Isolated Rabbit Hearts","URL":"https://www.ncbi.nlm.nih.gov/pmc/articles/PMC4207827/","volume":"9","author":[{"family":"Hoeker","given":"Gregory S."},{"family":"Hood","given":"Ashleigh R."},{"family":"Katra","given":"Rodolphe P."},{"family":"Poelzing","given":"Steven"},{"family":"Pogwizd","given":"Steven M."}],"accessed":{"date-parts":[["2020",9,17]]},"issued":{"date-parts":[["2014",10,23]]}}}],"schema":"https://github.com/citation-style-language/schema/raw/master/csl-citation.json"} </w:instrText>
      </w:r>
      <w:r w:rsidR="00176CF4">
        <w:rPr>
          <w:rFonts w:ascii="Times New Roman" w:eastAsia="Arial" w:hAnsi="Times New Roman" w:cs="Times New Roman"/>
          <w:sz w:val="24"/>
          <w:szCs w:val="24"/>
        </w:rPr>
        <w:fldChar w:fldCharType="separate"/>
      </w:r>
      <w:r w:rsidR="00A568A5" w:rsidRPr="00A568A5">
        <w:rPr>
          <w:rFonts w:ascii="Times New Roman" w:hAnsi="Times New Roman" w:cs="Times New Roman"/>
          <w:sz w:val="24"/>
          <w:szCs w:val="24"/>
          <w:vertAlign w:val="superscript"/>
        </w:rPr>
        <w:t>46</w:t>
      </w:r>
      <w:r w:rsidR="00176CF4">
        <w:rPr>
          <w:rFonts w:ascii="Times New Roman" w:eastAsia="Arial" w:hAnsi="Times New Roman" w:cs="Times New Roman"/>
          <w:sz w:val="24"/>
          <w:szCs w:val="24"/>
        </w:rPr>
        <w:fldChar w:fldCharType="end"/>
      </w:r>
      <w:r w:rsidR="00176CF4">
        <w:rPr>
          <w:rFonts w:ascii="Times New Roman" w:eastAsia="Arial" w:hAnsi="Times New Roman" w:cs="Times New Roman"/>
          <w:sz w:val="24"/>
          <w:szCs w:val="24"/>
        </w:rPr>
        <w:t>. In humans, sex differences</w:t>
      </w:r>
      <w:r w:rsidR="00EB7373">
        <w:rPr>
          <w:rFonts w:ascii="Times New Roman" w:eastAsia="Arial" w:hAnsi="Times New Roman" w:cs="Times New Roman"/>
          <w:sz w:val="24"/>
          <w:szCs w:val="24"/>
        </w:rPr>
        <w:t xml:space="preserve"> related to β-adrenergic signaling</w:t>
      </w:r>
      <w:r w:rsidR="00176CF4">
        <w:rPr>
          <w:rFonts w:ascii="Times New Roman" w:eastAsia="Arial" w:hAnsi="Times New Roman" w:cs="Times New Roman"/>
          <w:sz w:val="24"/>
          <w:szCs w:val="24"/>
        </w:rPr>
        <w:t xml:space="preserve"> are present with regard to </w:t>
      </w:r>
      <w:r w:rsidR="00176CF4">
        <w:rPr>
          <w:rFonts w:ascii="Times New Roman" w:eastAsia="Arial" w:hAnsi="Times New Roman" w:cs="Times New Roman"/>
          <w:sz w:val="24"/>
          <w:szCs w:val="24"/>
        </w:rPr>
        <w:lastRenderedPageBreak/>
        <w:t>susceptibility to heart failure, arrythmia, and other cardiovascular conditions, such as hypertension</w:t>
      </w:r>
      <w:r w:rsidR="00EB7373">
        <w:rPr>
          <w:rFonts w:ascii="Times New Roman" w:eastAsia="Arial" w:hAnsi="Times New Roman" w:cs="Times New Roman"/>
          <w:sz w:val="24"/>
          <w:szCs w:val="24"/>
        </w:rPr>
        <w:fldChar w:fldCharType="begin"/>
      </w:r>
      <w:r w:rsidR="00A568A5">
        <w:rPr>
          <w:rFonts w:ascii="Times New Roman" w:eastAsia="Arial" w:hAnsi="Times New Roman" w:cs="Times New Roman"/>
          <w:sz w:val="24"/>
          <w:szCs w:val="24"/>
        </w:rPr>
        <w:instrText xml:space="preserve"> ADDIN ZOTERO_ITEM CSL_CITATION {"citationID":"B49Nd2gY","properties":{"formattedCitation":"\\super 45\\nosupersub{}","plainCitation":"45","noteIndex":0},"citationItems":[{"id":1617,"uris":["http://zotero.org/users/3223062/items/C72VAIGE"],"uri":["http://zotero.org/users/3223062/items/C72VAIGE"],"itemData":{"id":1617,"type":"article-journal","abstract":"The presence of sex differences in myocardial β-adrenergic responsiveness is controversial, and limited studies have addressed the mechanism underlying these differences. Studies were performed using isolated perfused hearts from male, intact female and ovariectomized female mice to investigate sex differences and the effects of ovarian hormone withdrawal on β-adrenergic receptor function. Female hearts exhibited blunted contractile responses to the β-adrenergic receptor agonist isoproterenol (ISO) compared with males but not ovariectomized females. There were no sex differences in β1-adrenergic receptor gene or protein expression. To investigate the role of adenylyl cyclase, phosphodiesterase, and the cAMP-signaling cascade in generating sex differences in the β-adrenergic contractile response, dose-response studies were performed in isolated perfused male and female hearts using forskolin, 3-isobutyl-1-methylxanthine (IBMX), and 8-(4-chlorophenylthio)adenosine 3′,5′-cyclic monophosphate (CPT-cAMP). Males showed a modestly enhanced contractile response to forskolin at 300 nM and 5 μM compared with females, but there were no sex differences in the response to IBMX or CPT-cAMP. The role of the A1 adenosine receptor (A1AR) in antagonizing the β-adrenergic contractile response was investigated using both the A1AR agonist 2-chloro-N6-cyclopentyl-adenosine and A1AR knockout (KO) mice. Intact females showed an enhanced A1AR anti-adrenergic effect compared with males and ovariectomized females. The β-adrenergic contractile response was potentiated in both male and female A1ARKO hearts, with sex differences no longer present above 1 nM ISO. The β-adrenergic contractile response is greater in male hearts than females, and minor differences in the action of adenylyl cyclase or the A1AR may contribute to these sex differences.","container-title":"American Journal of Physiology - Heart and Circulatory Physiology","DOI":"10.1152/ajpheart.00711.2010","ISSN":"0363-6135","issue":"3","journalAbbreviation":"Am J Physiol Heart Circ Physiol","note":"PMID: 21685268\nPMCID: PMC3191079","page":"H1127-H1134","source":"PubMed Central","title":"Sex differences and the effects of ovariectomy on the β-adrenergic contractile response","volume":"301","author":[{"family":"McIntosh","given":"Victoria J."},{"family":"Chandrasekera","given":"P. Charukeshi"},{"family":"Lasley","given":"Robert D."}],"issued":{"date-parts":[["2011",9]]}}}],"schema":"https://github.com/citation-style-language/schema/raw/master/csl-citation.json"} </w:instrText>
      </w:r>
      <w:r w:rsidR="00EB7373">
        <w:rPr>
          <w:rFonts w:ascii="Times New Roman" w:eastAsia="Arial" w:hAnsi="Times New Roman" w:cs="Times New Roman"/>
          <w:sz w:val="24"/>
          <w:szCs w:val="24"/>
        </w:rPr>
        <w:fldChar w:fldCharType="separate"/>
      </w:r>
      <w:r w:rsidR="00A568A5" w:rsidRPr="00A568A5">
        <w:rPr>
          <w:rFonts w:ascii="Times New Roman" w:hAnsi="Times New Roman" w:cs="Times New Roman"/>
          <w:sz w:val="24"/>
          <w:szCs w:val="24"/>
          <w:vertAlign w:val="superscript"/>
        </w:rPr>
        <w:t>45</w:t>
      </w:r>
      <w:r w:rsidR="00EB7373">
        <w:rPr>
          <w:rFonts w:ascii="Times New Roman" w:eastAsia="Arial" w:hAnsi="Times New Roman" w:cs="Times New Roman"/>
          <w:sz w:val="24"/>
          <w:szCs w:val="24"/>
        </w:rPr>
        <w:fldChar w:fldCharType="end"/>
      </w:r>
      <w:r w:rsidR="00EB7373">
        <w:rPr>
          <w:rFonts w:ascii="Times New Roman" w:eastAsia="Arial" w:hAnsi="Times New Roman" w:cs="Times New Roman"/>
          <w:sz w:val="24"/>
          <w:szCs w:val="24"/>
        </w:rPr>
        <w:t>.</w:t>
      </w:r>
      <w:r w:rsidR="00176CF4">
        <w:rPr>
          <w:rFonts w:ascii="Times New Roman" w:eastAsia="Arial" w:hAnsi="Times New Roman" w:cs="Times New Roman"/>
          <w:sz w:val="24"/>
          <w:szCs w:val="24"/>
        </w:rPr>
        <w:t xml:space="preserve"> </w:t>
      </w:r>
      <w:r w:rsidR="00EB7373">
        <w:rPr>
          <w:rFonts w:ascii="Times New Roman" w:eastAsia="Arial" w:hAnsi="Times New Roman" w:cs="Times New Roman"/>
          <w:sz w:val="24"/>
          <w:szCs w:val="24"/>
        </w:rPr>
        <w:t>BB</w:t>
      </w:r>
      <w:r w:rsidR="00176CF4">
        <w:rPr>
          <w:rFonts w:ascii="Times New Roman" w:eastAsia="Arial" w:hAnsi="Times New Roman" w:cs="Times New Roman"/>
          <w:sz w:val="24"/>
          <w:szCs w:val="24"/>
        </w:rPr>
        <w:t>s</w:t>
      </w:r>
      <w:r w:rsidR="00EB7373">
        <w:rPr>
          <w:rFonts w:ascii="Times New Roman" w:eastAsia="Arial" w:hAnsi="Times New Roman" w:cs="Times New Roman"/>
          <w:sz w:val="24"/>
          <w:szCs w:val="24"/>
        </w:rPr>
        <w:t xml:space="preserve"> are also reported to </w:t>
      </w:r>
      <w:r w:rsidR="00176CF4">
        <w:rPr>
          <w:rFonts w:ascii="Times New Roman" w:eastAsia="Arial" w:hAnsi="Times New Roman" w:cs="Times New Roman"/>
          <w:sz w:val="24"/>
          <w:szCs w:val="24"/>
        </w:rPr>
        <w:t>be less effective in woman than men</w:t>
      </w:r>
      <w:r w:rsidR="00176CF4">
        <w:rPr>
          <w:rFonts w:ascii="Times New Roman" w:eastAsia="Arial" w:hAnsi="Times New Roman" w:cs="Times New Roman"/>
          <w:sz w:val="24"/>
          <w:szCs w:val="24"/>
        </w:rPr>
        <w:fldChar w:fldCharType="begin"/>
      </w:r>
      <w:r w:rsidR="00853AC3">
        <w:rPr>
          <w:rFonts w:ascii="Times New Roman" w:eastAsia="Arial" w:hAnsi="Times New Roman" w:cs="Times New Roman"/>
          <w:sz w:val="24"/>
          <w:szCs w:val="24"/>
        </w:rPr>
        <w:instrText xml:space="preserve"> ADDIN ZOTERO_ITEM CSL_CITATION {"citationID":"KfVKXCXU","properties":{"formattedCitation":"\\super 49\\nosupersub{}","plainCitation":"49","noteIndex":0},"citationItems":[{"id":1635,"uris":["http://zotero.org/users/3223062/items/MCNW35WT"],"uri":["http://zotero.org/users/3223062/items/MCNW35WT"],"itemData":{"id":1635,"type":"article-journal","abstract":"There is a sexual dimorphism in blood pressure: men tend to have higher blood pressures than women with functional ovaries, whereas ovariectomy or menopause tends to abolish the sexual dimorphism and cause women to develop a \"male\" pattern of blood pressure. Synthetic estrogens and progestins, found in oral contraceptives, tend to elevate blood pressure, whereas naturally occurring estrogens, used in postmenopausal hormone replacement therapy, lower it or have no effect. Women are more likely than men to be aware of their hypertension, to be treated with antihypertensive drugs, and to have their blood pressure controlled. Antihypertensive therapy induces similar blood pressure reductions in men and women. However, men experience larger reductions in total cardiovascular risk with successful treatment of high blood pressure, because their absolute risk of coronary events at baseline is so much higher. Special considerations that can dictate antihypertensive treatment choices for women include increased vulnerability to the adverse effects of some drugs, including angiotensin-converting enzyme inhibitor-induced cough, calcium channel blocker-induced edema, and minoxidil-induced hirsutism. Beta-adrenergic blockers tend to be less effective in women than in men, and diuretics are particularly useful in women because they protect against hip fracture. Angiotensin-converting enzyme inhibitors and angiotensin II receptor blockers are contraindicated during pregnancy or if pregnancy is planned because of the risk of fetal developmental abnormalities.","container-title":"Cardiology in Review","DOI":"10.1097/00045415-199811000-00012","ISSN":"1538-4683","issue":"6","journalAbbreviation":"Cardiol Rev","language":"eng","note":"PMID: 10348960","page":"356-363","source":"PubMed","title":"The Sexual Dimorphism of High Blood Pressure","volume":"6","author":[{"family":"Calhoun","given":"DA."},{"family":"Oparil","given":"S."}],"issued":{"date-parts":[["1998",11]]}}}],"schema":"https://github.com/citation-style-language/schema/raw/master/csl-citation.json"} </w:instrText>
      </w:r>
      <w:r w:rsidR="00176CF4">
        <w:rPr>
          <w:rFonts w:ascii="Times New Roman" w:eastAsia="Arial" w:hAnsi="Times New Roman" w:cs="Times New Roman"/>
          <w:sz w:val="24"/>
          <w:szCs w:val="24"/>
        </w:rPr>
        <w:fldChar w:fldCharType="separate"/>
      </w:r>
      <w:r w:rsidR="00A568A5" w:rsidRPr="00A568A5">
        <w:rPr>
          <w:rFonts w:ascii="Times New Roman" w:hAnsi="Times New Roman" w:cs="Times New Roman"/>
          <w:sz w:val="24"/>
          <w:szCs w:val="24"/>
          <w:vertAlign w:val="superscript"/>
        </w:rPr>
        <w:t>49</w:t>
      </w:r>
      <w:r w:rsidR="00176CF4">
        <w:rPr>
          <w:rFonts w:ascii="Times New Roman" w:eastAsia="Arial" w:hAnsi="Times New Roman" w:cs="Times New Roman"/>
          <w:sz w:val="24"/>
          <w:szCs w:val="24"/>
        </w:rPr>
        <w:fldChar w:fldCharType="end"/>
      </w:r>
      <w:r w:rsidR="00176CF4">
        <w:rPr>
          <w:rFonts w:ascii="Times New Roman" w:eastAsia="Arial" w:hAnsi="Times New Roman" w:cs="Times New Roman"/>
          <w:sz w:val="24"/>
          <w:szCs w:val="24"/>
        </w:rPr>
        <w:t xml:space="preserve">. Osteoporosis and BMD also </w:t>
      </w:r>
      <w:r>
        <w:rPr>
          <w:rFonts w:ascii="Times New Roman" w:eastAsia="Arial" w:hAnsi="Times New Roman" w:cs="Times New Roman"/>
          <w:sz w:val="24"/>
          <w:szCs w:val="24"/>
        </w:rPr>
        <w:t>vary by sex, and</w:t>
      </w:r>
      <w:r w:rsidR="00176CF4">
        <w:rPr>
          <w:rFonts w:ascii="Times New Roman" w:eastAsia="Arial" w:hAnsi="Times New Roman" w:cs="Times New Roman"/>
          <w:sz w:val="24"/>
          <w:szCs w:val="24"/>
        </w:rPr>
        <w:t xml:space="preserve"> osteoporosis is more prevalent in women</w:t>
      </w:r>
      <w:r w:rsidR="00EB7373">
        <w:rPr>
          <w:rFonts w:ascii="Times New Roman" w:eastAsia="Arial" w:hAnsi="Times New Roman" w:cs="Times New Roman"/>
          <w:sz w:val="24"/>
          <w:szCs w:val="24"/>
        </w:rPr>
        <w:t>, especially post-menopausal women</w:t>
      </w:r>
      <w:r w:rsidR="00176CF4">
        <w:rPr>
          <w:rFonts w:ascii="Times New Roman" w:eastAsia="Arial" w:hAnsi="Times New Roman" w:cs="Times New Roman"/>
          <w:sz w:val="24"/>
          <w:szCs w:val="24"/>
        </w:rPr>
        <w:t>,</w:t>
      </w:r>
      <w:r w:rsidR="00EB7373">
        <w:rPr>
          <w:rFonts w:ascii="Times New Roman" w:eastAsia="Arial" w:hAnsi="Times New Roman" w:cs="Times New Roman"/>
          <w:sz w:val="24"/>
          <w:szCs w:val="24"/>
        </w:rPr>
        <w:t xml:space="preserve"> with</w:t>
      </w:r>
      <w:r w:rsidR="00176CF4">
        <w:rPr>
          <w:rFonts w:ascii="Times New Roman" w:eastAsia="Arial" w:hAnsi="Times New Roman" w:cs="Times New Roman"/>
          <w:sz w:val="24"/>
          <w:szCs w:val="24"/>
        </w:rPr>
        <w:t xml:space="preserve"> ovar</w:t>
      </w:r>
      <w:r w:rsidR="00944769">
        <w:rPr>
          <w:rFonts w:ascii="Times New Roman" w:eastAsia="Arial" w:hAnsi="Times New Roman" w:cs="Times New Roman"/>
          <w:sz w:val="24"/>
          <w:szCs w:val="24"/>
        </w:rPr>
        <w:t>i</w:t>
      </w:r>
      <w:r w:rsidR="00176CF4">
        <w:rPr>
          <w:rFonts w:ascii="Times New Roman" w:eastAsia="Arial" w:hAnsi="Times New Roman" w:cs="Times New Roman"/>
          <w:sz w:val="24"/>
          <w:szCs w:val="24"/>
        </w:rPr>
        <w:t>ect</w:t>
      </w:r>
      <w:r w:rsidR="00944769">
        <w:rPr>
          <w:rFonts w:ascii="Times New Roman" w:eastAsia="Arial" w:hAnsi="Times New Roman" w:cs="Times New Roman"/>
          <w:sz w:val="24"/>
          <w:szCs w:val="24"/>
        </w:rPr>
        <w:t>o</w:t>
      </w:r>
      <w:r w:rsidR="00176CF4">
        <w:rPr>
          <w:rFonts w:ascii="Times New Roman" w:eastAsia="Arial" w:hAnsi="Times New Roman" w:cs="Times New Roman"/>
          <w:sz w:val="24"/>
          <w:szCs w:val="24"/>
        </w:rPr>
        <w:t xml:space="preserve">mized mice </w:t>
      </w:r>
      <w:r w:rsidR="00EB7373">
        <w:rPr>
          <w:rFonts w:ascii="Times New Roman" w:eastAsia="Arial" w:hAnsi="Times New Roman" w:cs="Times New Roman"/>
          <w:sz w:val="24"/>
          <w:szCs w:val="24"/>
        </w:rPr>
        <w:t xml:space="preserve">serving </w:t>
      </w:r>
      <w:r w:rsidR="00176CF4">
        <w:rPr>
          <w:rFonts w:ascii="Times New Roman" w:eastAsia="Arial" w:hAnsi="Times New Roman" w:cs="Times New Roman"/>
          <w:sz w:val="24"/>
          <w:szCs w:val="24"/>
        </w:rPr>
        <w:t xml:space="preserve">as an </w:t>
      </w:r>
      <w:r w:rsidR="00176CF4" w:rsidRPr="00646FCD">
        <w:rPr>
          <w:rFonts w:ascii="Times New Roman" w:eastAsia="Arial" w:hAnsi="Times New Roman" w:cs="Times New Roman"/>
          <w:i/>
          <w:iCs/>
          <w:sz w:val="24"/>
          <w:szCs w:val="24"/>
        </w:rPr>
        <w:t>in vivo</w:t>
      </w:r>
      <w:r w:rsidR="00176CF4">
        <w:rPr>
          <w:rFonts w:ascii="Times New Roman" w:eastAsia="Arial" w:hAnsi="Times New Roman" w:cs="Times New Roman"/>
          <w:sz w:val="24"/>
          <w:szCs w:val="24"/>
        </w:rPr>
        <w:t xml:space="preserve"> model of </w:t>
      </w:r>
      <w:r w:rsidR="00EB7373">
        <w:rPr>
          <w:rFonts w:ascii="Times New Roman" w:eastAsia="Arial" w:hAnsi="Times New Roman" w:cs="Times New Roman"/>
          <w:sz w:val="24"/>
          <w:szCs w:val="24"/>
        </w:rPr>
        <w:t xml:space="preserve">post-menopausal </w:t>
      </w:r>
      <w:r w:rsidR="00176CF4">
        <w:rPr>
          <w:rFonts w:ascii="Times New Roman" w:eastAsia="Arial" w:hAnsi="Times New Roman" w:cs="Times New Roman"/>
          <w:sz w:val="24"/>
          <w:szCs w:val="24"/>
        </w:rPr>
        <w:t>osteoporosis</w:t>
      </w:r>
      <w:r w:rsidR="00176CF4">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{"citationID":"mfTRTFJv","properties":{"formattedCitation":"\\super 109\\nosupersub{}","plainCitation":"109","noteIndex":0},"citationItems":[{"id":454,"uris":["http://zotero.org/users/3223062/items/CUNSBV2V"],"uri":["http://zotero.org/users/3223062/items/CUNSBV2V"],"itemData":{"id":454,"type":"article-journal","abstract":"The postmenopausal period in women is associated with decreased circulating estrogen levels, which accelerate bone loss and increase the risk of fracture. Here, we gained novel insight into the molecular mechanisms mediating bone loss in ovariectomized (OVX) mice, a model of human menopause, using co-expression network analysis. Specifically, we generated a co-expression network consisting of 53 gene modules using expression profiles from intact and OVX mice from a panel of inbred strains. The expression of four modules was altered by OVX, including module 23 whose expression was decreased by OVX across all strains. Module 23 was enriched for genes involved in the response to oxidative stress, a process known to be involved in OVX-induced bone loss. Additionally, module 23 homologs were co-expressed in human bone marrow. Alpha synuclein (Snca) was one of the most highly connected “hub” genes in module 23. We characterized mice deficient in Snca and observed a 40% reduction in OVX-induced bone loss. Furthermore, protection was associated with the altered expression of specific network modules, including module 23. In summary, the results of this study suggest that Snca regulates bone network homeostasis and ovariectomy-induced bone loss.","container-title":"Scientific Reports","DOI":"10.1038/srep29475","ISSN":"2045-2322","language":"en","page":"29475","source":"www.nature.com","title":"Network Analysis Implicates Alpha-Synuclein (&lt;i&gt;Snca&lt;/i&gt;) in the Regulation of Ovariectomy-Induced Bone Loss","volume":"6","author":[{"family":"Calabrese","given":"Gina"},{"family":"Mesner","given":"Larry D."},{"family":"Foley","given":"Patricia L."},{"family":"Rosen","given":"Clifford J."},{"family":"Farber","given":"Charles R."}],"issued":{"date-parts":[["2016",7,5]]}}}],"schema":"https://github.com/citation-style-language/schema/raw/master/csl-citation.json"} </w:instrText>
      </w:r>
      <w:r w:rsidR="00176CF4">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109</w:t>
      </w:r>
      <w:r w:rsidR="00176CF4">
        <w:rPr>
          <w:rFonts w:ascii="Times New Roman" w:eastAsia="Arial" w:hAnsi="Times New Roman" w:cs="Times New Roman"/>
          <w:sz w:val="24"/>
          <w:szCs w:val="24"/>
        </w:rPr>
        <w:fldChar w:fldCharType="end"/>
      </w:r>
      <w:r w:rsidR="00176CF4">
        <w:rPr>
          <w:rFonts w:ascii="Times New Roman" w:eastAsia="Arial" w:hAnsi="Times New Roman" w:cs="Times New Roman"/>
          <w:sz w:val="24"/>
          <w:szCs w:val="24"/>
        </w:rPr>
        <w:t xml:space="preserve">. </w:t>
      </w:r>
      <w:r w:rsidR="00EB7373">
        <w:rPr>
          <w:rFonts w:ascii="Times New Roman" w:eastAsia="Arial" w:hAnsi="Times New Roman" w:cs="Times New Roman"/>
          <w:sz w:val="24"/>
          <w:szCs w:val="24"/>
        </w:rPr>
        <w:t>Therefore, we performed</w:t>
      </w:r>
      <w:r w:rsidR="00176CF4">
        <w:rPr>
          <w:rFonts w:ascii="Times New Roman" w:eastAsia="Arial" w:hAnsi="Times New Roman" w:cs="Times New Roman"/>
          <w:sz w:val="24"/>
          <w:szCs w:val="24"/>
        </w:rPr>
        <w:t xml:space="preserve"> sex-stratified genetic analys</w:t>
      </w:r>
      <w:r w:rsidR="00EB7373">
        <w:rPr>
          <w:rFonts w:ascii="Times New Roman" w:eastAsia="Arial" w:hAnsi="Times New Roman" w:cs="Times New Roman"/>
          <w:sz w:val="24"/>
          <w:szCs w:val="24"/>
        </w:rPr>
        <w:t>e</w:t>
      </w:r>
      <w:r w:rsidR="00176CF4">
        <w:rPr>
          <w:rFonts w:ascii="Times New Roman" w:eastAsia="Arial" w:hAnsi="Times New Roman" w:cs="Times New Roman"/>
          <w:sz w:val="24"/>
          <w:szCs w:val="24"/>
        </w:rPr>
        <w:t xml:space="preserve">s and </w:t>
      </w:r>
      <w:r>
        <w:rPr>
          <w:rFonts w:ascii="Times New Roman" w:eastAsia="Arial" w:hAnsi="Times New Roman" w:cs="Times New Roman"/>
          <w:sz w:val="24"/>
          <w:szCs w:val="24"/>
        </w:rPr>
        <w:t>did not observe and overlap in finding</w:t>
      </w:r>
      <w:r w:rsidR="0036615C">
        <w:rPr>
          <w:rFonts w:ascii="Times New Roman" w:eastAsia="Arial" w:hAnsi="Times New Roman" w:cs="Times New Roman"/>
          <w:sz w:val="24"/>
          <w:szCs w:val="24"/>
        </w:rPr>
        <w:t>s</w:t>
      </w:r>
      <w:r>
        <w:rPr>
          <w:rFonts w:ascii="Times New Roman" w:eastAsia="Arial" w:hAnsi="Times New Roman" w:cs="Times New Roman"/>
          <w:sz w:val="24"/>
          <w:szCs w:val="24"/>
        </w:rPr>
        <w:t xml:space="preserve"> between sexes</w:t>
      </w:r>
      <w:r w:rsidR="00CE1F97" w:rsidRPr="00757919">
        <w:rPr>
          <w:rFonts w:ascii="Times New Roman" w:eastAsia="Arial" w:hAnsi="Times New Roman" w:cs="Times New Roman"/>
          <w:sz w:val="24"/>
          <w:szCs w:val="24"/>
        </w:rPr>
        <w:t>. Sex-specific effects</w:t>
      </w:r>
      <w:r>
        <w:rPr>
          <w:rFonts w:ascii="Times New Roman" w:eastAsia="Arial" w:hAnsi="Times New Roman" w:cs="Times New Roman"/>
          <w:sz w:val="24"/>
          <w:szCs w:val="24"/>
        </w:rPr>
        <w:t>, if present,</w:t>
      </w:r>
      <w:r w:rsidR="00CE1F97" w:rsidRPr="00757919">
        <w:rPr>
          <w:rFonts w:ascii="Times New Roman" w:eastAsia="Arial" w:hAnsi="Times New Roman" w:cs="Times New Roman"/>
          <w:sz w:val="24"/>
          <w:szCs w:val="24"/>
        </w:rPr>
        <w:t xml:space="preserve"> could reflect the differential occurrence of disease among sexes or could arise from differences in RNA expression, protein expression, or downstream response</w:t>
      </w:r>
      <w:r w:rsidR="00CE1F97" w:rsidRPr="00757919">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{"citationID":"WxIqH6zD","properties":{"formattedCitation":"\\super 42,110\\uc0\\u8211{}114\\nosupersub{}","plainCitation":"42,110–114","noteIndex":0},"citationItems":[{"id":340,"uris":["http://zotero.org/users/3223062/items/46Z5QSEQ"],"uri":["http://zotero.org/users/3223062/items/46Z5QSEQ"],"itemData":{"id":340,"type":"article-journal","abstract":"Despite sex being an important epidemiological and physiological factor, not much is known about how sex works to interact with genotypes to result in different phenotypes. Both messenger RNA (mRNA) and microRNA (miRNA) may be differentially expressed between the sexes in different physiological conditions, and both may be differentially regulated between males and females. Using whole transcriptome data on lymphoblastoid cell lines from 338 samples of European origin, we tried to uncover genes differentially expressed between the two sexes and sex-interacting expression quantitative trait loci (ss-eQTLs). Two miRNAs were found to be differentially expressed between the two sexes, both of which were found to be functionally implicated in breast cancer. Using two stage linear regression analysis, 21 mRNA ss-eQTL and 3 miRNA ss-eQTLs were discovered. We replicated two of the mRNA ss-eQTLs (p &lt; 0.1) using a separate dataset of gene expression data derived from monocytes. Three mRNA ss-eQTLs are in high linkage disequilibrium with variants also found to be associated with sexually dimorphic traits. Taken together, we believe the ss-eQTLs presented will assist researchers in uncovering the basis of sex-biased gene expression regulation, and ultimately help us understand the genetic basis of differences in phenotypes between sexes.","container-title":"Frontiers in Genetics","DOI":"10.3389/fgene.2019.00313","ISSN":"1664-8021","journalAbbreviation":"Front Genet","note":"PMID: 31024623\nPMCID: PMC6465513","source":"PubMed Central","title":"Sex-Interacting mRNA- and miRNA-eQTLs and Their Implications in Gene Expression Regulation and Disease","URL":"https://www.ncbi.nlm.nih.gov/pmc/articles/PMC6465513/","volume":"10","author":[{"family":"Shen","given":"Jiangshan J."},{"family":"Wang","given":"Yong-Fei"},{"family":"Yang","given":"Wanling"}],"accessed":{"date-parts":[["2020",6,15]]},"issued":{"date-parts":[["2019",4,9]]}}},{"id":333,"uris":["http://zotero.org/users/3223062/items/7USFIKZR"],"uri":["http://zotero.org/users/3223062/items/7USFIKZR"],"itemData":{"id":333,"type":"article-journal","abstract":"Sexual dimorphism in genetic vulnerability to schizophrenia, systemic lupus erythematosus and Sjögren’s syndrome is linked to differential protein abundance from alleles of complement component 4.","container-title":"Nature","DOI":"10.1038/s41586-020-2277-x","ISSN":"1476-4687","language":"en","note":"publisher: Nature Publishing Group","page":"1-7","source":"www-nature-com.ezproxy.library.tufts.edu","title":"Complement genes contribute sex-biased vulnerability in diverse disorders","author":[{"family":"Kamitaki","given":"Nolan"},{"family":"Sekar","given":"Aswin"},{"family":"Handsaker","given":"Robert E."},{"family":"Rivera","given":"Heather","dropping-particle":"de"},{"family":"Tooley","given":"Katherine"},{"family":"Morris","given":"David L."},{"family":"Taylor","given":"Kimberly E."},{"family":"Whelan","given":"Christopher W."},{"family":"Tombleson","given":"Philip"},{"family":"Loohuis","given":"Loes M. Olde"},{"family":"Boehnke","given":"Michael"},{"family":"Kimberly","given":"Robert P."},{"family":"Kaufman","given":"Kenneth M."},{"family":"Harley","given":"John B."},{"family":"Langefeld","given":"Carl D."},{"family":"Seidman","given":"Christine E."},{"family":"Pato","given":"Michele T."},{"family":"Pato","given":"Carlos N."},{"family":"Ophoff","given":"Roel A."},{"family":"Graham","given":"Robert R."},{"family":"Criswell","given":"Lindsey A."},{"family":"Vyse","given":"Timothy J."},{"family":"McCarroll","given":"Steven A."}],"issued":{"date-parts":[["2020",5,11]]}}},{"id":284,"uris":["http://zotero.org/users/3223062/items/IAFF8P79"],"uri":["http://zotero.org/users/3223062/items/IAFF8P79"],"itemData":{"id":284,"type":"article-journal","abstract":"Recent studies suggest that mRNAs may be differentially expressed between males and females. This study aimed to perform expression analysis of mRNA and its main regulatory molecule, microRNA (miRNA), to discuss the potential sex-specific expression patterns using abnormal expression profiles from The Cancer Genome Atlas database. Generally, deregulated miRNAs and mRNAs had consistent expression between males and females, but some miRNAs may be oppositely expressed in specific diseases: up-regulated in one group and down-regulated in another. Studies of miRNA gene families and clusters further confirmed that these sequence or location related miRNAs might have opposing expression between sexes. The specific miRNA might have greater expression divergence across different groups, suggesting flexible expression across different individuals, especially in tumor samples. The typical analysis regardless of the sex will ignore or balance these sex-specific deregulated miRNAs. Compared with flexible miRNAs, their targets of mRNAs showed relative stable expression between males and females. These relevant results provide new insights into miRNA-mRNA interaction and sex difference.","container-title":"Scientific Reports","DOI":"10.1038/srep39812","ISSN":"2045-2322","journalAbbreviation":"Sci Rep","note":"PMID: 28045090\nPMCID: PMC5206641","source":"PubMed Central","title":"miRNA and mRNA expression analysis reveals potential sex-biased miRNA expression","URL":"https://www.ncbi.nlm.nih.gov/pmc/articles/PMC5206641/","volume":"7","author":[{"family":"Guo","given":"Li"},{"family":"Zhang","given":"Qiang"},{"family":"Ma","given":"Xiao"},{"family":"Wang","given":"Jun"},{"family":"Liang","given":"Tingming"}],"accessed":{"date-parts":[["2020",8,6]]},"issued":{"date-parts":[["2017",1,3]]}}},{"id":285,"uris":["http://zotero.org/users/3223062/items/DYCZWDPT"],"uri":["http://zotero.org/users/3223062/items/DYCZWDPT"],"itemData":{"id":285,"type":"article-journal","abstract":"Sex differences are widely observed under various circumstances ranging from physiological processes to therapeutic responses, and a myriad of sex-biased genes have been identified. In recent years, transcriptomic datasets of microRNAs (miRNAs), an important class of non-coding RNAs, become increasingly accessible. However, comprehensive analysis of sex difference in miRNA expression has not been performed. Here, we identified the differentially-expressed miRNAs between males and females by examining the transcriptomic datasets available in public databases and conducted a systemic analysis of their biological characteristics. Consequently, we identified 73 female-biased miRNAs (FmiRs) and 163 male-biased miRNAs (MmiRs) across four tissues including brain, colorectal mucosa, peripheral blood, and cord blood. Our results suggest that compared to FmiRs, MmiRs tend to be clustered in the human genome and exhibit higher evolutionary rate, higher expression tissue specificity, and lower disease spectrum width. In addition, functional enrichment analysis of miRNAs show that FmiR genes are significantly associated with metabolism process and cell cycle process, whereas MmiR genes tend to be enriched for functions like histone modification and circadian rhythm. In all, the identification and analysis of sex-biased miRNAs together could provide new insights into the biological differences between females and males and facilitate the exploration of sex-biased disease susceptibility and therapy.","container-title":"Genomics, Proteomics &amp; Bioinformatics","DOI":"10.1016/j.gpb.2018.03.004","ISSN":"1672-0229","issue":"3","journalAbbreviation":"Genomics Proteomics Bioinformatics","note":"PMID: 30005964\nPMCID: PMC6076379","page":"200-211","source":"PubMed Central","title":"Identification and Analysis of Human Sex-biased MicroRNAs","volume":"16","author":[{"family":"Cui","given":"Chunmei"},{"family":"Yang","given":"Weili"},{"family":"Shi","given":"Jiangcheng"},{"family":"Zhou","given":"Yong"},{"family":"Yang","given":"Jichun"},{"family":"Cui","given":"Qinghua"},{"family":"Zhou","given":"Yuan"}],"issued":{"date-parts":[["2018",6]]}}},{"id":282,"uris":["http://zotero.org/users/3223062/items/AVPR5UNV"],"uri":["http://zotero.org/users/3223062/items/AVPR5UNV"],"itemData":{"id":282,"type":"article-journal","abstract":"The porcine oocyte and early embryo are transcriptionally quiescent following germinal vesicle breakdown in the oocyte and prior to activation of the embryonic genome, at approximately the 4-cell stage of development. Despite a lack of new transcription, mRNA and protein repertoires are subject to regulation during this time. One potential mechanism of regulation is through the functional activity of miRNAs and/or the presence of specific RNA-binding proteins. Both DND1 (dead end homolog 1) and FXR1 (fragile-X-mental retardation-related protein 1) are RNA-binding proteins that have been demonstrated to impact miRNA-mediated, post-transcriptional gene regulation. The objective was to characterize the presence and the expression changes in DND1 and FXR1 during pig oocyte maturation and early embryo development. DND1 and FXR1 expression were evaluated in oocytes and cumulus cells during meiotic progression and in 4-cell stage embryos using quantitative RT-PCR, Western blot analysis, and immunostaining. These data demonstrate DND1 and FXR1 mRNA are expressed in the maturing oocyte and early in vitro-fertilized embryos, with significantly less DND1 in 4-cell stage embryos as compared to germinal vesicle and metaphase II-arrested oocytes. Based on immunohistochemistry, DND1 protein abundance is greater in secondary follicles in comparison to primary and tertiary follicles. Using ribonucleoprotein immunoprecipitation from germinal vesicle-stage oocytes, DND1 was demonstrated to interact with several mRNAs associated with pluripotency. This work provides a better understanding of the biological relevance of DND1 and FXR1 during female gametogenesis and embryo development in pigs.Mol. Reprod. Dev. 79: 541-552, 2012. © 2012 Wiley Periodicals, Inc.","container-title":"Molecular Reproduction and Development","DOI":"10.1002/mrd.22059","ISSN":"1098-2795","issue":"8","language":"en","note":"_eprint: https://onlinelibrary.wiley.com/doi/pdf/10.1002/mrd.22059","page":"541-552","source":"Wiley Online Library","title":"Expression of RNA-binding proteins DND1 and FXR1 in the porcine ovary, and during oocyte maturation and early embryo development","volume":"79","author":[{"family":"Yang","given":"Cai-Xia"},{"family":"Wright","given":"Elane C."},{"family":"Ross","given":"Jason W."}],"issued":{"date-parts":[["2012"]]}}},{"id":283,"uris":["http://zotero.org/users/3223062/items/QPF2Z23D"],"uri":["http://zotero.org/users/3223062/items/QPF2Z23D"],"itemData":{"id":283,"type":"article-journal","abstract":"&lt;h3&gt;ABSTRACT&lt;/h3&gt; &lt;p&gt;The discus fish &lt;i&gt;(Symphysodon aequifasciatus)&lt;/i&gt; is an ornamental fish that is well-known around the world. Phenotype investigation indicated that there are no significant differences in appearance between males and females of the discus fish. To better understand the sexual development mechanisms and obtain a high efficiency sex identification method in the artificial reproduction process of the discus fish, we constructed six cDNA libraries from three adult testes and three adult ovaries, and perform RNA-sequencing for identifying sex-biased candidate genes, microRNA (miRNA), and metabolic pathway using the Illumina Hiseq 4000. A total of 50,082 non-redundant genes (unigenes) were identified, of which 18,570 unigenes were significantly overexpressed in testes, and 11,182 unigenes were significantly overexpressed in ovaries, and 8 differentially expressed unigenes were validated by quantitative Real-Time PCR (qPCR). A total of 551 miRNAs were identified, of which 47 miRNAs were differentially expressed between testes and ovaries, and 7 differentially expressed miRNAs and one non-differential miRNA were validated by qPCR. Twenty-four of these differentially expressed miRNAs and their 15 predicted target genes constituted 41 important miRNA-mRNA interaction pairs, which may be important candidates for sex-related miRNAs and sex-related genes in the discus fish. Some of vital sex-related metabolic pathways were also identified that may play key roles in regulating gonad development of the discus fish. These results can provide important insights to better understand molecular mechanisms for sexual dimorphism in gonads development.&lt;/p&gt;","container-title":"bioRxiv","DOI":"10.1101/492264","language":"en","note":"publisher: Cold Spring Harbor Laboratory\nsection: New Results","page":"492264","source":"www.biorxiv.org","title":"Integrated analysis of sex-biased mRNA and miRNA expression profiles in the gonad of the discus fish (Symphysodon aequifasciatus)","author":[{"family":"Fu","given":"Yuanshuai"},{"family":"Xu","given":"Zhe"},{"family":"Chen","given":"Zaizhong"},{"family":"Wen","given":"Bin"},{"family":"Gao","given":"Jianzhong"}],"issued":{"date-parts":[["2018",12,10]]}}}],"schema":"https://github.com/citation-style-language/schema/raw/master/csl-citation.json"} </w:instrText>
      </w:r>
      <w:r w:rsidR="00CE1F97" w:rsidRPr="00757919">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42,110–114</w:t>
      </w:r>
      <w:r w:rsidR="00CE1F97" w:rsidRPr="00757919">
        <w:rPr>
          <w:rFonts w:ascii="Times New Roman" w:eastAsia="Arial" w:hAnsi="Times New Roman" w:cs="Times New Roman"/>
          <w:sz w:val="24"/>
          <w:szCs w:val="24"/>
        </w:rPr>
        <w:fldChar w:fldCharType="end"/>
      </w:r>
      <w:r w:rsidR="00CE1F97" w:rsidRPr="00757919">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The lack of replication of genetic findings across sexes may also be a result of power limitations, especially given that our findings in males did not replicate in external cohorts. </w:t>
      </w:r>
      <w:r w:rsidR="00CE1F97" w:rsidRPr="00757919">
        <w:rPr>
          <w:rFonts w:ascii="Times New Roman" w:eastAsia="Arial" w:hAnsi="Times New Roman" w:cs="Times New Roman"/>
          <w:sz w:val="24"/>
          <w:szCs w:val="24"/>
        </w:rPr>
        <w:t>Given that our top SNPs are non-coding SNPs, there may be a functional SNP in high LD with our top SNPs. Other possibilities include alteration in splicing efficiency, activation of cryptic splice sites, or altered expression of alternate transcripts. Furthermore, these SNPs may be involved in long-range gene regulation and influence the expression of remote genes as part of a regulatory element</w:t>
      </w:r>
      <w:r w:rsidR="00CE1F97" w:rsidRPr="00757919">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{"citationID":"XsiTTmXj","properties":{"formattedCitation":"\\super 115\\nosupersub{}","plainCitation":"115","noteIndex":0},"citationItems":[{"id":331,"uris":["http://zotero.org/users/3223062/items/QCEQCJ6X"],"uri":["http://zotero.org/users/3223062/items/QCEQCJ6X"],"itemData":{"id":331,"type":"article-journal","container-title":"Human Genomics","DOI":"10.1186/1479-7364-4-5-284","ISSN":"1473-9542","issue":"5","journalAbbreviation":"Hum Genomics","note":"PMID: 20650817\nPMCID: PMC3500160","page":"284-288","source":"PubMed Central","title":"Functional intronic polymorphisms: Buried treasure awaiting discovery within our genes","title-short":"Functional intronic polymorphisms","volume":"4","author":[{"family":"Cooper","given":"David N"}],"issued":{"date-parts":[["2010",6,1]]}}}],"schema":"https://github.com/citation-style-language/schema/raw/master/csl-citation.json"} </w:instrText>
      </w:r>
      <w:r w:rsidR="00CE1F97" w:rsidRPr="00757919">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115</w:t>
      </w:r>
      <w:r w:rsidR="00CE1F97" w:rsidRPr="00757919">
        <w:rPr>
          <w:rFonts w:ascii="Times New Roman" w:eastAsia="Arial" w:hAnsi="Times New Roman" w:cs="Times New Roman"/>
          <w:sz w:val="24"/>
          <w:szCs w:val="24"/>
        </w:rPr>
        <w:fldChar w:fldCharType="end"/>
      </w:r>
      <w:r w:rsidR="00CE1F97">
        <w:rPr>
          <w:rFonts w:ascii="Times New Roman" w:eastAsia="Arial" w:hAnsi="Times New Roman" w:cs="Times New Roman"/>
          <w:sz w:val="24"/>
          <w:szCs w:val="24"/>
        </w:rPr>
        <w:t xml:space="preserve">. </w:t>
      </w:r>
    </w:p>
    <w:p w14:paraId="3BF2A2E6" w14:textId="1DC74334" w:rsidR="00752F4E" w:rsidRPr="00757919" w:rsidRDefault="003150D0"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t xml:space="preserve">There are important limitations to our study to be noted. Our study is cross-sectional and thus our results are to be interpreted as an association, with causal mechanisms yet to be determined. Due to </w:t>
      </w:r>
      <w:r w:rsidR="00F10265" w:rsidRPr="00757919">
        <w:rPr>
          <w:rFonts w:ascii="Times New Roman" w:eastAsia="Arial" w:hAnsi="Times New Roman" w:cs="Times New Roman"/>
          <w:sz w:val="24"/>
          <w:szCs w:val="24"/>
        </w:rPr>
        <w:t>limited power</w:t>
      </w:r>
      <w:r w:rsidRPr="00757919">
        <w:rPr>
          <w:rFonts w:ascii="Times New Roman" w:eastAsia="Arial" w:hAnsi="Times New Roman" w:cs="Times New Roman"/>
          <w:sz w:val="24"/>
          <w:szCs w:val="24"/>
        </w:rPr>
        <w:t xml:space="preserve">, </w:t>
      </w:r>
      <w:r w:rsidR="00D9492C">
        <w:rPr>
          <w:rFonts w:ascii="Times New Roman" w:eastAsia="Arial" w:hAnsi="Times New Roman" w:cs="Times New Roman"/>
          <w:sz w:val="24"/>
          <w:szCs w:val="24"/>
        </w:rPr>
        <w:t xml:space="preserve">we did not correct for multiple testing in the discovery cohort, but we did perform strict multiple testing correction in the validation cohorts </w:t>
      </w:r>
      <w:r w:rsidR="00313EE5">
        <w:rPr>
          <w:rFonts w:ascii="Times New Roman" w:eastAsia="Arial" w:hAnsi="Times New Roman" w:cs="Times New Roman"/>
          <w:sz w:val="24"/>
          <w:szCs w:val="24"/>
        </w:rPr>
        <w:t>using the Bonferroni method</w:t>
      </w:r>
      <w:r w:rsidR="0089314D">
        <w:rPr>
          <w:rFonts w:ascii="Times New Roman" w:eastAsia="Arial" w:hAnsi="Times New Roman" w:cs="Times New Roman"/>
          <w:sz w:val="24"/>
          <w:szCs w:val="24"/>
        </w:rPr>
        <w:t>.</w:t>
      </w:r>
      <w:r w:rsidR="0041334E">
        <w:rPr>
          <w:rFonts w:ascii="Times New Roman" w:eastAsia="Arial" w:hAnsi="Times New Roman" w:cs="Times New Roman"/>
          <w:sz w:val="24"/>
          <w:szCs w:val="24"/>
        </w:rPr>
        <w:t xml:space="preserve"> </w:t>
      </w:r>
      <w:r w:rsidR="0089314D">
        <w:rPr>
          <w:rFonts w:ascii="Times New Roman" w:eastAsia="Arial" w:hAnsi="Times New Roman" w:cs="Times New Roman"/>
          <w:sz w:val="24"/>
          <w:szCs w:val="24"/>
        </w:rPr>
        <w:t>W</w:t>
      </w:r>
      <w:r w:rsidR="0041334E">
        <w:rPr>
          <w:rFonts w:ascii="Times New Roman" w:eastAsia="Arial" w:hAnsi="Times New Roman" w:cs="Times New Roman"/>
          <w:sz w:val="24"/>
          <w:szCs w:val="24"/>
        </w:rPr>
        <w:t>e feel that these results should be validated in additional prospective studies for confirmation.</w:t>
      </w:r>
      <w:r w:rsidR="00C36055" w:rsidRPr="00757919">
        <w:rPr>
          <w:rFonts w:ascii="Times New Roman" w:eastAsia="Arial" w:hAnsi="Times New Roman" w:cs="Times New Roman"/>
          <w:sz w:val="24"/>
          <w:szCs w:val="24"/>
        </w:rPr>
        <w:t xml:space="preserve"> </w:t>
      </w:r>
      <w:r w:rsidR="00856C27" w:rsidRPr="00757919">
        <w:rPr>
          <w:rFonts w:ascii="Times New Roman" w:eastAsia="Arial" w:hAnsi="Times New Roman" w:cs="Times New Roman"/>
          <w:sz w:val="24"/>
          <w:szCs w:val="24"/>
        </w:rPr>
        <w:t>In addition, as we did not</w:t>
      </w:r>
      <w:r w:rsidR="00C36055" w:rsidRPr="00757919">
        <w:rPr>
          <w:rFonts w:ascii="Times New Roman" w:eastAsia="Arial" w:hAnsi="Times New Roman" w:cs="Times New Roman"/>
          <w:sz w:val="24"/>
          <w:szCs w:val="24"/>
        </w:rPr>
        <w:t xml:space="preserve"> perform a full GWAS</w:t>
      </w:r>
      <w:r w:rsidR="00856C27" w:rsidRPr="00757919">
        <w:rPr>
          <w:rFonts w:ascii="Times New Roman" w:eastAsia="Arial" w:hAnsi="Times New Roman" w:cs="Times New Roman"/>
          <w:sz w:val="24"/>
          <w:szCs w:val="24"/>
        </w:rPr>
        <w:t xml:space="preserve"> due to limited power, there are many potential genes as well as long-range regions around our candidate genes that were not assessed that may have pharmacogenomics effects. </w:t>
      </w:r>
      <w:r w:rsidR="00463920" w:rsidRPr="00757919">
        <w:rPr>
          <w:rFonts w:ascii="Times New Roman" w:eastAsia="Arial" w:hAnsi="Times New Roman" w:cs="Times New Roman"/>
          <w:sz w:val="24"/>
          <w:szCs w:val="24"/>
        </w:rPr>
        <w:t>Collider bias is also a</w:t>
      </w:r>
      <w:r w:rsidR="007D6335" w:rsidRPr="00757919">
        <w:rPr>
          <w:rFonts w:ascii="Times New Roman" w:eastAsia="Arial" w:hAnsi="Times New Roman" w:cs="Times New Roman"/>
          <w:sz w:val="24"/>
          <w:szCs w:val="24"/>
        </w:rPr>
        <w:t xml:space="preserve"> potential</w:t>
      </w:r>
      <w:r w:rsidR="00463920" w:rsidRPr="00757919">
        <w:rPr>
          <w:rFonts w:ascii="Times New Roman" w:eastAsia="Arial" w:hAnsi="Times New Roman" w:cs="Times New Roman"/>
          <w:sz w:val="24"/>
          <w:szCs w:val="24"/>
        </w:rPr>
        <w:t xml:space="preserve"> concern as </w:t>
      </w:r>
      <w:r w:rsidR="007D6335" w:rsidRPr="00757919">
        <w:rPr>
          <w:rFonts w:ascii="Times New Roman" w:eastAsia="Arial" w:hAnsi="Times New Roman" w:cs="Times New Roman"/>
          <w:sz w:val="24"/>
          <w:szCs w:val="24"/>
        </w:rPr>
        <w:t xml:space="preserve">there are many genetic </w:t>
      </w:r>
      <w:r w:rsidR="00CE7371">
        <w:rPr>
          <w:rFonts w:ascii="Times New Roman" w:eastAsia="Arial" w:hAnsi="Times New Roman" w:cs="Times New Roman"/>
          <w:sz w:val="24"/>
          <w:szCs w:val="24"/>
        </w:rPr>
        <w:t>polymorphism</w:t>
      </w:r>
      <w:r w:rsidR="007D6335" w:rsidRPr="00757919">
        <w:rPr>
          <w:rFonts w:ascii="Times New Roman" w:eastAsia="Arial" w:hAnsi="Times New Roman" w:cs="Times New Roman"/>
          <w:sz w:val="24"/>
          <w:szCs w:val="24"/>
        </w:rPr>
        <w:t xml:space="preserve">s associated with </w:t>
      </w:r>
      <w:r w:rsidR="00463920" w:rsidRPr="00757919">
        <w:rPr>
          <w:rFonts w:ascii="Times New Roman" w:eastAsia="Arial" w:hAnsi="Times New Roman" w:cs="Times New Roman"/>
          <w:sz w:val="24"/>
          <w:szCs w:val="24"/>
        </w:rPr>
        <w:t>height</w:t>
      </w:r>
      <w:r w:rsidR="00792D45" w:rsidRPr="00757919">
        <w:rPr>
          <w:rFonts w:ascii="Times New Roman" w:eastAsia="Arial" w:hAnsi="Times New Roman" w:cs="Times New Roman"/>
          <w:sz w:val="24"/>
          <w:szCs w:val="24"/>
        </w:rPr>
        <w:t xml:space="preserve"> and BMI</w:t>
      </w:r>
      <w:r w:rsidR="007D6335" w:rsidRPr="00757919">
        <w:rPr>
          <w:rFonts w:ascii="Times New Roman" w:eastAsia="Arial" w:hAnsi="Times New Roman" w:cs="Times New Roman"/>
          <w:sz w:val="24"/>
          <w:szCs w:val="24"/>
        </w:rPr>
        <w:t>, which we used as covariate</w:t>
      </w:r>
      <w:r w:rsidR="00792D45" w:rsidRPr="00757919">
        <w:rPr>
          <w:rFonts w:ascii="Times New Roman" w:eastAsia="Arial" w:hAnsi="Times New Roman" w:cs="Times New Roman"/>
          <w:sz w:val="24"/>
          <w:szCs w:val="24"/>
        </w:rPr>
        <w:t>s</w:t>
      </w:r>
      <w:r w:rsidR="00D9492C">
        <w:rPr>
          <w:rFonts w:ascii="Times New Roman" w:eastAsia="Arial" w:hAnsi="Times New Roman" w:cs="Times New Roman"/>
          <w:sz w:val="24"/>
          <w:szCs w:val="24"/>
        </w:rPr>
        <w:t>. H</w:t>
      </w:r>
      <w:r w:rsidR="00463920" w:rsidRPr="00757919">
        <w:rPr>
          <w:rFonts w:ascii="Times New Roman" w:eastAsia="Arial" w:hAnsi="Times New Roman" w:cs="Times New Roman"/>
          <w:sz w:val="24"/>
          <w:szCs w:val="24"/>
        </w:rPr>
        <w:t>owever</w:t>
      </w:r>
      <w:r w:rsidR="00757919" w:rsidRPr="00757919">
        <w:rPr>
          <w:rFonts w:ascii="Times New Roman" w:eastAsia="Arial" w:hAnsi="Times New Roman" w:cs="Times New Roman"/>
          <w:sz w:val="24"/>
          <w:szCs w:val="24"/>
        </w:rPr>
        <w:t>,</w:t>
      </w:r>
      <w:r w:rsidR="00463920" w:rsidRPr="00757919">
        <w:rPr>
          <w:rFonts w:ascii="Times New Roman" w:eastAsia="Arial" w:hAnsi="Times New Roman" w:cs="Times New Roman"/>
          <w:sz w:val="24"/>
          <w:szCs w:val="24"/>
        </w:rPr>
        <w:t xml:space="preserve"> </w:t>
      </w:r>
      <w:r w:rsidR="00463920" w:rsidRPr="00757919">
        <w:rPr>
          <w:rFonts w:ascii="Times New Roman" w:eastAsia="Arial" w:hAnsi="Times New Roman" w:cs="Times New Roman"/>
          <w:sz w:val="24"/>
          <w:szCs w:val="24"/>
        </w:rPr>
        <w:lastRenderedPageBreak/>
        <w:t xml:space="preserve">we did not find that height </w:t>
      </w:r>
      <w:r w:rsidR="00792D45" w:rsidRPr="00757919">
        <w:rPr>
          <w:rFonts w:ascii="Times New Roman" w:eastAsia="Arial" w:hAnsi="Times New Roman" w:cs="Times New Roman"/>
          <w:sz w:val="24"/>
          <w:szCs w:val="24"/>
        </w:rPr>
        <w:t xml:space="preserve">or BMI </w:t>
      </w:r>
      <w:r w:rsidR="00463920" w:rsidRPr="00757919">
        <w:rPr>
          <w:rFonts w:ascii="Times New Roman" w:eastAsia="Arial" w:hAnsi="Times New Roman" w:cs="Times New Roman"/>
          <w:sz w:val="24"/>
          <w:szCs w:val="24"/>
        </w:rPr>
        <w:t xml:space="preserve">had been previously associated with any of </w:t>
      </w:r>
      <w:r w:rsidR="00792D45" w:rsidRPr="00757919">
        <w:rPr>
          <w:rFonts w:ascii="Times New Roman" w:eastAsia="Arial" w:hAnsi="Times New Roman" w:cs="Times New Roman"/>
          <w:sz w:val="24"/>
          <w:szCs w:val="24"/>
        </w:rPr>
        <w:t>the</w:t>
      </w:r>
      <w:r w:rsidR="00463920" w:rsidRPr="00757919">
        <w:rPr>
          <w:rFonts w:ascii="Times New Roman" w:eastAsia="Arial" w:hAnsi="Times New Roman" w:cs="Times New Roman"/>
          <w:sz w:val="24"/>
          <w:szCs w:val="24"/>
        </w:rPr>
        <w:t xml:space="preserve"> SNPs </w:t>
      </w:r>
      <w:r w:rsidR="00792D45" w:rsidRPr="00757919">
        <w:rPr>
          <w:rFonts w:ascii="Times New Roman" w:eastAsia="Arial" w:hAnsi="Times New Roman" w:cs="Times New Roman"/>
          <w:sz w:val="24"/>
          <w:szCs w:val="24"/>
        </w:rPr>
        <w:t>submitted for</w:t>
      </w:r>
      <w:r w:rsidR="00D9492C">
        <w:rPr>
          <w:rFonts w:ascii="Times New Roman" w:eastAsia="Arial" w:hAnsi="Times New Roman" w:cs="Times New Roman"/>
          <w:sz w:val="24"/>
          <w:szCs w:val="24"/>
        </w:rPr>
        <w:t xml:space="preserve"> validation or for SNPs in high LD with those SNPs. </w:t>
      </w:r>
      <w:r w:rsidR="00977F6F" w:rsidRPr="00757919">
        <w:rPr>
          <w:rFonts w:ascii="Times New Roman" w:eastAsia="Arial" w:hAnsi="Times New Roman" w:cs="Times New Roman"/>
          <w:sz w:val="24"/>
          <w:szCs w:val="24"/>
        </w:rPr>
        <w:t xml:space="preserve">Additionally, </w:t>
      </w:r>
      <w:r w:rsidR="004657D1" w:rsidRPr="00757919">
        <w:rPr>
          <w:rFonts w:ascii="Times New Roman" w:eastAsia="Arial" w:hAnsi="Times New Roman" w:cs="Times New Roman"/>
          <w:sz w:val="24"/>
          <w:szCs w:val="24"/>
        </w:rPr>
        <w:t>for GCTA-COJO, Yang et al. recommend a reference sample of greater than 4000 individuals</w:t>
      </w:r>
      <w:r w:rsidR="00160640" w:rsidRPr="00757919">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{"citationID":"wZdV5UNU","properties":{"formattedCitation":"\\super 69\\nosupersub{}","plainCitation":"69","noteIndex":0},"citationItems":[{"id":387,"uris":["http://zotero.org/users/3223062/items/ZPLR3ZNI"],"uri":["http://zotero.org/users/3223062/items/ZPLR3ZNI"],"itemData":{"id":387,"type":"article-journal","abstract":"Peter Visscher and colleagues report a new method for approximate conditional and joint association analysis that makes use of summary statistics from meta-analysis of GWAS. They apply this to meta-analysis summary data for height, body mass index and type 2 diabetes.","container-title":"Nature Genetics","DOI":"10.1038/ng.2213","ISSN":"1546-1718","issue":"4","language":"en","note":"number: 4\npublisher: Nature Publishing Group","page":"369-375","source":"www.nature.com","title":"Conditional and joint multiple-SNP analysis of GWAS summary statistics identifies additional variants influencing complex traits","volume":"44","author":[{"family":"Yang","given":"Jian"},{"family":"Ferreira","given":"Teresa"},{"family":"Morris","given":"Andrew P."},{"family":"Medland","given":"Sarah E."},{"family":"Madden","given":"Pamela A. F."},{"family":"Heath","given":"Andrew C."},{"family":"Martin","given":"Nicholas G."},{"family":"Montgomery","given":"Grant W."},{"family":"Weedon","given":"Michael N."},{"family":"Loos","given":"Ruth J."},{"family":"Frayling","given":"Timothy M."},{"family":"McCarthy","given":"Mark I."},{"family":"Hirschhorn","given":"Joel N."},{"family":"Goddard","given":"Michael E."},{"family":"Visscher","given":"Peter M."}],"issued":{"date-parts":[["2012",4]]}}}],"schema":"https://github.com/citation-style-language/schema/raw/master/csl-citation.json"} </w:instrText>
      </w:r>
      <w:r w:rsidR="00160640" w:rsidRPr="00757919">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69</w:t>
      </w:r>
      <w:r w:rsidR="00160640" w:rsidRPr="00757919">
        <w:rPr>
          <w:rFonts w:ascii="Times New Roman" w:eastAsia="Arial" w:hAnsi="Times New Roman" w:cs="Times New Roman"/>
          <w:sz w:val="24"/>
          <w:szCs w:val="24"/>
        </w:rPr>
        <w:fldChar w:fldCharType="end"/>
      </w:r>
      <w:r w:rsidR="004657D1" w:rsidRPr="00757919">
        <w:rPr>
          <w:rFonts w:ascii="Times New Roman" w:eastAsia="Arial" w:hAnsi="Times New Roman" w:cs="Times New Roman"/>
          <w:sz w:val="24"/>
          <w:szCs w:val="24"/>
        </w:rPr>
        <w:t>. While we did not have access to that sample size for our reference sample, previous simulated studies report an R</w:t>
      </w:r>
      <w:r w:rsidR="004657D1" w:rsidRPr="00757919">
        <w:rPr>
          <w:rFonts w:ascii="Times New Roman" w:eastAsia="Arial" w:hAnsi="Times New Roman" w:cs="Times New Roman"/>
          <w:sz w:val="24"/>
          <w:szCs w:val="24"/>
          <w:vertAlign w:val="superscript"/>
        </w:rPr>
        <w:t xml:space="preserve">2 </w:t>
      </w:r>
      <w:r w:rsidR="004657D1" w:rsidRPr="00757919">
        <w:rPr>
          <w:rFonts w:ascii="Times New Roman" w:eastAsia="Arial" w:hAnsi="Times New Roman" w:cs="Times New Roman"/>
          <w:sz w:val="24"/>
          <w:szCs w:val="24"/>
        </w:rPr>
        <w:t>&gt; 0.9 when using a reference sample with more than 1000 individuals</w:t>
      </w:r>
      <w:r w:rsidR="004657D1" w:rsidRPr="00757919">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{"citationID":"oSYttCC6","properties":{"formattedCitation":"\\super 69\\nosupersub{}","plainCitation":"69","noteIndex":0},"citationItems":[{"id":387,"uris":["http://zotero.org/users/3223062/items/ZPLR3ZNI"],"uri":["http://zotero.org/users/3223062/items/ZPLR3ZNI"],"itemData":{"id":387,"type":"article-journal","abstract":"Peter Visscher and colleagues report a new method for approximate conditional and joint association analysis that makes use of summary statistics from meta-analysis of GWAS. They apply this to meta-analysis summary data for height, body mass index and type 2 diabetes.","container-title":"Nature Genetics","DOI":"10.1038/ng.2213","ISSN":"1546-1718","issue":"4","language":"en","note":"number: 4\npublisher: Nature Publishing Group","page":"369-375","source":"www.nature.com","title":"Conditional and joint multiple-SNP analysis of GWAS summary statistics identifies additional variants influencing complex traits","volume":"44","author":[{"family":"Yang","given":"Jian"},{"family":"Ferreira","given":"Teresa"},{"family":"Morris","given":"Andrew P."},{"family":"Medland","given":"Sarah E."},{"family":"Madden","given":"Pamela A. F."},{"family":"Heath","given":"Andrew C."},{"family":"Martin","given":"Nicholas G."},{"family":"Montgomery","given":"Grant W."},{"family":"Weedon","given":"Michael N."},{"family":"Loos","given":"Ruth J."},{"family":"Frayling","given":"Timothy M."},{"family":"McCarthy","given":"Mark I."},{"family":"Hirschhorn","given":"Joel N."},{"family":"Goddard","given":"Michael E."},{"family":"Visscher","given":"Peter M."}],"issued":{"date-parts":[["2012",4]]}}}],"schema":"https://github.com/citation-style-language/schema/raw/master/csl-citation.json"} </w:instrText>
      </w:r>
      <w:r w:rsidR="004657D1" w:rsidRPr="00757919">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69</w:t>
      </w:r>
      <w:r w:rsidR="004657D1" w:rsidRPr="00757919">
        <w:rPr>
          <w:rFonts w:ascii="Times New Roman" w:eastAsia="Arial" w:hAnsi="Times New Roman" w:cs="Times New Roman"/>
          <w:sz w:val="24"/>
          <w:szCs w:val="24"/>
        </w:rPr>
        <w:fldChar w:fldCharType="end"/>
      </w:r>
      <w:r w:rsidR="00F10265" w:rsidRPr="00757919">
        <w:rPr>
          <w:rFonts w:ascii="Times New Roman" w:eastAsia="Arial" w:hAnsi="Times New Roman" w:cs="Times New Roman"/>
          <w:sz w:val="24"/>
          <w:szCs w:val="24"/>
        </w:rPr>
        <w:t>, which we did have</w:t>
      </w:r>
      <w:r w:rsidR="004657D1" w:rsidRPr="00757919">
        <w:rPr>
          <w:rFonts w:ascii="Times New Roman" w:eastAsia="Arial" w:hAnsi="Times New Roman" w:cs="Times New Roman"/>
          <w:sz w:val="24"/>
          <w:szCs w:val="24"/>
        </w:rPr>
        <w:t>.</w:t>
      </w:r>
      <w:r w:rsidRPr="00757919">
        <w:rPr>
          <w:rFonts w:ascii="Times New Roman" w:eastAsia="Arial" w:hAnsi="Times New Roman" w:cs="Times New Roman"/>
          <w:sz w:val="24"/>
          <w:szCs w:val="24"/>
        </w:rPr>
        <w:t xml:space="preserve"> Another potential limitation of our findings is that the association of SNPs, miRNA</w:t>
      </w:r>
      <w:r w:rsidR="00817C8A" w:rsidRPr="00757919">
        <w:rPr>
          <w:rFonts w:ascii="Times New Roman" w:eastAsia="Arial" w:hAnsi="Times New Roman" w:cs="Times New Roman"/>
          <w:sz w:val="24"/>
          <w:szCs w:val="24"/>
        </w:rPr>
        <w:t>s</w:t>
      </w:r>
      <w:r w:rsidRPr="00757919">
        <w:rPr>
          <w:rFonts w:ascii="Times New Roman" w:eastAsia="Arial" w:hAnsi="Times New Roman" w:cs="Times New Roman"/>
          <w:sz w:val="24"/>
          <w:szCs w:val="24"/>
        </w:rPr>
        <w:t>, and BB use could be due to confounding by treatment indication. We attempted to reduce the effects of confounding by conditioning on important clinical covariates and miRNA technical variables, but residual confounding is still possible.</w:t>
      </w:r>
      <w:r w:rsidR="007B4885" w:rsidRPr="00757919">
        <w:rPr>
          <w:rFonts w:ascii="Times New Roman" w:eastAsia="Arial" w:hAnsi="Times New Roman" w:cs="Times New Roman"/>
          <w:sz w:val="24"/>
          <w:szCs w:val="24"/>
        </w:rPr>
        <w:t xml:space="preserve"> </w:t>
      </w:r>
      <w:r w:rsidR="002A696F">
        <w:rPr>
          <w:rFonts w:ascii="Times New Roman" w:eastAsia="Arial" w:hAnsi="Times New Roman" w:cs="Times New Roman"/>
          <w:sz w:val="24"/>
          <w:szCs w:val="24"/>
        </w:rPr>
        <w:t>In addition, we performed a detailed series of sensitivity analyses for our top two SNPs in females in which we removed individuals being treated for bone disease</w:t>
      </w:r>
      <w:r w:rsidR="00551D3D">
        <w:rPr>
          <w:rFonts w:ascii="Times New Roman" w:eastAsia="Arial" w:hAnsi="Times New Roman" w:cs="Times New Roman"/>
          <w:sz w:val="24"/>
          <w:szCs w:val="24"/>
        </w:rPr>
        <w:t xml:space="preserve"> or steroids</w:t>
      </w:r>
      <w:r w:rsidR="002A696F">
        <w:rPr>
          <w:rFonts w:ascii="Times New Roman" w:eastAsia="Arial" w:hAnsi="Times New Roman" w:cs="Times New Roman"/>
          <w:sz w:val="24"/>
          <w:szCs w:val="24"/>
        </w:rPr>
        <w:t xml:space="preserve">, stratified by treatment with other medications know to have bone effects, examined the results of these SNPs at other skeletal sites, and looked at </w:t>
      </w:r>
      <w:r w:rsidR="002A696F" w:rsidRPr="00A6394D">
        <w:rPr>
          <w:rFonts w:ascii="Symbol" w:eastAsia="Arial" w:hAnsi="Symbol" w:cs="Times New Roman"/>
          <w:sz w:val="24"/>
          <w:szCs w:val="24"/>
        </w:rPr>
        <w:t></w:t>
      </w:r>
      <w:r w:rsidR="002A696F">
        <w:rPr>
          <w:rFonts w:ascii="Times New Roman" w:eastAsia="Arial" w:hAnsi="Times New Roman" w:cs="Times New Roman"/>
          <w:sz w:val="24"/>
          <w:szCs w:val="24"/>
        </w:rPr>
        <w:t>1-selectivity and dose-specific models, and have found that the effect estimates were stable under all of these scenarios. W</w:t>
      </w:r>
      <w:r w:rsidR="007B4885" w:rsidRPr="00757919">
        <w:rPr>
          <w:rFonts w:ascii="Times New Roman" w:eastAsia="Arial" w:hAnsi="Times New Roman" w:cs="Times New Roman"/>
          <w:sz w:val="24"/>
          <w:szCs w:val="24"/>
        </w:rPr>
        <w:t xml:space="preserve">e were </w:t>
      </w:r>
      <w:r w:rsidR="002A696F">
        <w:rPr>
          <w:rFonts w:ascii="Times New Roman" w:eastAsia="Arial" w:hAnsi="Times New Roman" w:cs="Times New Roman"/>
          <w:sz w:val="24"/>
          <w:szCs w:val="24"/>
        </w:rPr>
        <w:t xml:space="preserve">also </w:t>
      </w:r>
      <w:r w:rsidR="007B4885" w:rsidRPr="00757919">
        <w:rPr>
          <w:rFonts w:ascii="Times New Roman" w:eastAsia="Arial" w:hAnsi="Times New Roman" w:cs="Times New Roman"/>
          <w:sz w:val="24"/>
          <w:szCs w:val="24"/>
        </w:rPr>
        <w:t>underpowered to adjust for batch effects in our miRNA analysis</w:t>
      </w:r>
      <w:r w:rsidR="002A696F">
        <w:rPr>
          <w:rFonts w:ascii="Times New Roman" w:eastAsia="Arial" w:hAnsi="Times New Roman" w:cs="Times New Roman"/>
          <w:sz w:val="24"/>
          <w:szCs w:val="24"/>
        </w:rPr>
        <w:t xml:space="preserve">, and </w:t>
      </w:r>
      <w:r w:rsidRPr="00757919">
        <w:rPr>
          <w:rFonts w:ascii="Times New Roman" w:eastAsia="Arial" w:hAnsi="Times New Roman" w:cs="Times New Roman"/>
          <w:sz w:val="24"/>
          <w:szCs w:val="24"/>
        </w:rPr>
        <w:t>our miRNA data</w:t>
      </w:r>
      <w:r w:rsidR="002A696F">
        <w:rPr>
          <w:rFonts w:ascii="Times New Roman" w:eastAsia="Arial" w:hAnsi="Times New Roman" w:cs="Times New Roman"/>
          <w:sz w:val="24"/>
          <w:szCs w:val="24"/>
        </w:rPr>
        <w:t xml:space="preserve">, which </w:t>
      </w:r>
      <w:r w:rsidRPr="00757919">
        <w:rPr>
          <w:rFonts w:ascii="Times New Roman" w:eastAsia="Arial" w:hAnsi="Times New Roman" w:cs="Times New Roman"/>
          <w:sz w:val="24"/>
          <w:szCs w:val="24"/>
        </w:rPr>
        <w:t xml:space="preserve">is from whole blood, may not reflect </w:t>
      </w:r>
      <w:r w:rsidR="00792D45" w:rsidRPr="00757919">
        <w:rPr>
          <w:rFonts w:ascii="Times New Roman" w:eastAsia="Arial" w:hAnsi="Times New Roman" w:cs="Times New Roman"/>
          <w:sz w:val="24"/>
          <w:szCs w:val="24"/>
        </w:rPr>
        <w:t xml:space="preserve">expression </w:t>
      </w:r>
      <w:r w:rsidRPr="00757919">
        <w:rPr>
          <w:rFonts w:ascii="Times New Roman" w:eastAsia="Arial" w:hAnsi="Times New Roman" w:cs="Times New Roman"/>
          <w:sz w:val="24"/>
          <w:szCs w:val="24"/>
        </w:rPr>
        <w:t xml:space="preserve">in bone. </w:t>
      </w:r>
      <w:r w:rsidR="00A9073B" w:rsidRPr="00757919">
        <w:rPr>
          <w:rFonts w:ascii="Times New Roman" w:eastAsia="Arial" w:hAnsi="Times New Roman" w:cs="Times New Roman"/>
          <w:sz w:val="24"/>
          <w:szCs w:val="24"/>
        </w:rPr>
        <w:t>However,</w:t>
      </w:r>
      <w:r w:rsidRPr="00757919">
        <w:rPr>
          <w:rFonts w:ascii="Times New Roman" w:eastAsia="Arial" w:hAnsi="Times New Roman" w:cs="Times New Roman"/>
          <w:sz w:val="24"/>
          <w:szCs w:val="24"/>
        </w:rPr>
        <w:t xml:space="preserve"> </w:t>
      </w:r>
      <w:r w:rsidR="00C36055" w:rsidRPr="00757919">
        <w:rPr>
          <w:rFonts w:ascii="Times New Roman" w:eastAsia="Arial" w:hAnsi="Times New Roman" w:cs="Times New Roman"/>
          <w:sz w:val="24"/>
          <w:szCs w:val="24"/>
        </w:rPr>
        <w:t>these miRNAs</w:t>
      </w:r>
      <w:r w:rsidRPr="00757919">
        <w:rPr>
          <w:rFonts w:ascii="Times New Roman" w:eastAsia="Arial" w:hAnsi="Times New Roman" w:cs="Times New Roman"/>
          <w:sz w:val="24"/>
          <w:szCs w:val="24"/>
        </w:rPr>
        <w:t xml:space="preserve"> have been previously associated with BMD, fractures, or osteoporosis using data from plasma, serum, or whole blood</w:t>
      </w:r>
      <w:r w:rsidR="00766BFF" w:rsidRPr="00757919">
        <w:rPr>
          <w:rFonts w:ascii="Times New Roman" w:eastAsia="Arial" w:hAnsi="Times New Roman" w:cs="Times New Roman"/>
          <w:sz w:val="24"/>
          <w:szCs w:val="24"/>
        </w:rPr>
        <w:fldChar w:fldCharType="begin"/>
      </w:r>
      <w:r w:rsidR="000E575F">
        <w:rPr>
          <w:rFonts w:ascii="Times New Roman" w:eastAsia="Arial" w:hAnsi="Times New Roman" w:cs="Times New Roman"/>
          <w:sz w:val="24"/>
          <w:szCs w:val="24"/>
        </w:rPr>
        <w:instrText xml:space="preserve"> ADDIN ZOTERO_ITEM CSL_CITATION {"citationID":"8tcjwQEo","properties":{"formattedCitation":"\\super 36\\uc0\\u8211{}38,76\\uc0\\u8211{}93\\nosupersub{}","plainCitation":"36–38,76–93","noteIndex":0},"citationItems":[{"id":533,"uris":["http://zotero.org/users/3223062/items/D2L7MJ94"],"uri":["http://zotero.org/users/3223062/items/D2L7MJ94"],"itemData":{"id":533,"type":"article-journal","abstract":"In our study, we detect the levels of three micro-RNAs (miRNAs; miR-21, miR-133a and miR-146a) in the plasma of 120 Chinese postmenopausal women who were divided into three groups (normal, osteopenia and osteoporosis) according to the T-scores. Downregulation of miR-21, as well as upregulation of miR-133a, was validated in the plasma of osteoporosis and osteopenia patients versus the normal group. The difference in expression regarding the miR-146a level in plasma among the three groups was not significant (p &gt; 0.01). The circulating miRNA expression levels and bone mineral density (BMD) were examined during a multiple correlation analysis as a dependent variable after adjusting for age, weight and height. We have demonstrated that specific miRNAs species are significantly changed in the plasma of osteoporosis and osteopenia patients and correlated with the BMD. Our study suggested a potential use of miR-21 and miR-133a as sensitive and plasma biomarkers for postmenopausal osteoporosis.","container-title":"Biomarkers","DOI":"10.3109/1354750X.2014.935957","ISSN":"1354-750X","issue":"7","note":"PMID: 25231354","page":"553-556","source":"Taylor and Francis+NEJM","title":"Plasma miRNA levels correlate with sensitivity to bone mineral density in postmenopausal osteoporosis patients","volume":"19","author":[{"family":"Li","given":"Hongqiu"},{"family":"Wang","given":"Zhe"},{"family":"Fu","given":"Qin"},{"family":"Zhang","given":"Jing"}],"issued":{"date-parts":[["2014",11,1]]}}},{"id":534,"uris":["http://zotero.org/users/3223062/items/65F9TGPV"],"uri":["http://zotero.org/users/3223062/items/65F9TGPV"],"itemData":{"id":534,"type":"article-journal","abstract":"Osteoporosis is a common skeletal disorder characterized by increased risk of bone fracture (BF) due to fragility. BFs, particularly hip fracture, are a major concern in health care because of the associated morbidity and mortality, mainly in the elderly. Lately the involvement of epigenetic mechanisms in the pathophysiology of many diseases has been recognized. In this context, the identification of microRNAs (miRNAs) specific to BF should represent a substantial step forward in diagnostics and therapeutics. The present study aimed to identify specific miRNAs in osteoporotic BF patients compared to those in osteoarthritic controls. In the profiling stage, total RNA was extracted from serum, two pools were prepared, and then retro-transcribed in triplicate. Levels of 179 serum miRNAs were analyzed by real-time PCR, and 42 of them showed significance (P &lt; 0.05), and 12 passed the false discovery rate test for multiple comparisons. Six miRNAs were selected for the replication stage and individually analyzed in sera from 15 BF patients and 12 controls. Results showed that 3 miRNAs (miR-122-5p, miR-125b-5p, and miR-21-5p) were valuable upregulated biomarkers in BF with respect to controls and, significantly, their levels were not affected by hemolysis. For miR-21-5p, the difference detected between groups was independent of age (P = 0.005) and its levels correlated to those of CTx (r = 0.76; P &lt; 0.00001), a marker of bone resorption. In conclusion, several miRNAs may be biomarkers of BF, particularly miR-21-5p. Further studies are needed in order to better characterize the levels of these miRNAs in other bone diseases and to elucidate the mechanism involved in the association of these three miRNAs with osteoporotic BF.","container-title":"Calcified Tissue International","DOI":"10.1007/s00223-015-0036-z","ISSN":"1432-0827","issue":"5","journalAbbreviation":"Calcif Tissue Int","language":"en","page":"495-505","source":"Springer Link","title":"Serum Circulating MicroRNAs as Biomarkers of Osteoporotic Fracture","volume":"97","author":[{"family":"Panach","given":"Layla"},{"family":"Mifsut","given":"Damián"},{"family":"Tarín","given":"Juan J."},{"family":"Cano","given":"Antonio"},{"family":"García-Pérez","given":"Miguel Ángel"}],"issued":{"date-parts":[["2015",11,1]]}}},{"id":543,"uris":["http://zotero.org/users/3223062/items/ICCLAB36"],"uri":["http://zotero.org/users/3223062/items/ICCLAB36"],"itemData":{"id":543,"type":"article-journal","abstract":"Osteoporosis as a systemic skeletal disorder is characterized by increased bone fragility and the risk of fractures. According to the World Health Organization, osteoporosis is one of the 10 most common diseases and affects approximately 75 million people in Europe, the United States, and Japan. In this context, the identification of specific microRNA (miRNA) signatures is an important step for new diagnostic and therapeutic approaches. The focus of interest on miRNAs as biomarkers came with new publications identifying free circulating extracellular miRNAs associated with various types of cancer. This study aimed to identify specific miRNAs in patients with osteoporotic fractures compared with nonosteoporotic fractures. For the array analysis, miRNAs were isolated from the serum of 20 patients with hip fractures, transcribed, and the samples were pooled into 10 osteoporotic and 10 nonosteoporotic specimens. With each pool of samples, human serum and plasma miRNA PCR arrays were performed, which are able to identify 83 different miRNAs. Subsequently, a separate validation analysis of each miRNA found to be regulated in the array followed with miRNA samples isolated from the serum of 30 osteoporotic and 30 nonosteoporotic patients and miRNA samples isolated from the bone tissue of 20 osteoporotic and 20 nonosteoporotic patients. With the validation analysis of the regulated miRNAs, we identified 9 miRNAs, namely miR-21, miR-23a, miR-24, miR-93, miR-100, miR-122a, miR-124a, miR-125b, and miR-148a, that were significantly upregulated in the serum of patients with osteoporosis. In the bone tissue of osteoporotic patients, we identified that miR-21, miR-23a, miR-24, miR-25, miR-100, and miR-125b displayed a significantly higher expression. A total of 5 miRNAs display an upregulation both in serum and bone tissue. This study reveals an important role for several miRNAs in osteoporotic patients and suggested that they may be used as biomarkers for diagnostic purposes and may be a target for treating bone loss and optimizing fracture healing in osteoporotic patients. © 2014 American Society for Bone and Mineral Research.","container-title":"Journal of Bone and Mineral Research","DOI":"10.1002/jbmr.2175","ISSN":"1523-4681","issue":"8","language":"en","page":"1718-1728","source":"Wiley Online Library","title":"Five Freely Circulating miRNAs and Bone Tissue miRNAs Are Associated With Osteoporotic Fractures","volume":"29","author":[{"family":"Seeliger","given":"Claudine"},{"family":"Karpinski","given":"Katrin"},{"family":"Haug","given":"Alexander T."},{"family":"Vester","given":"Helen"},{"family":"Schmitt","given":"Andreas"},{"family":"Bauer","given":"Jan S."},{"family":"Griensven","given":"Martijn","dropping-particle":"van"}],"issued":{"date-parts":[["2014",8,1]]}}},{"id":371,"uris":["http://zotero.org/users/3223062/items/7JF8DDTP"],"uri":["http://zotero.org/users/3223062/items/7JF8DDTP"],"itemData":{"id":371,"type":"article-journal","abstract":"Osteogenesis is a complex process which relies on the coordination of signals and transcription factors. BMP-2/Smad5 signal transduction pathway plays an important role in the process. Recent evidence indicates that microRNAs (miRNAs) act as important post-transcriptional regulators in a large number of biological processes including osteoblast differentiation. In this study, we investigated the effect of miR-106b-5p and miR-17-5p on osteogenic differentiation. We observed an obvious decreasement in miR-106b-5p and miR-17-5p levels during osteogenic differentiation. By using gain- and loss-of function experiments, we noticed that miR-106b-5p and miR-17-5p could suppress the osteogenic differentiation of C2C12 and MC3T3-E1 cells. In addition, we performed bioinformatic analysis, western blot and luciferase reporter assay to confirm that miR-106b-5p and miR-17-5p could regulate Smad5 expression negatively. When we inhibited Smad5 expression by siRNA, the effects of miR-106b-5p and miR-17-5p inhibition on osteogenesis of C2C12 cells could be significantly reversed by Smad5 RNA interference. Furthermore, silencing of miR-106b-5p and miR-17-5p in sham and ovariectomized (OVX) mice increased bone formation and bone mass, resulting in an improvement of trabecular microarchitecture. Taken together, these data showed that miR-106b-5p and miR-17-5p are novel Smad5 regulators, and they have a crucially physiological function in bone formation and osteoblast differentiation.","container-title":"Experimental Cell Research","DOI":"10.1016/j.yexcr.2016.07.010","ISSN":"0014-4827","issue":"1","journalAbbreviation":"Experimental Cell Research","language":"en","page":"74-82","source":"ScienceDirect","title":"miR-106b-5p and miR-17-5p suppress osteogenic differentiation by targeting Smad5 and inhibit bone formation","volume":"347","author":[{"family":"Fang","given":"Tao"},{"family":"Wu","given":"Qianqian"},{"family":"Zhou","given":"Long"},{"family":"Mu","given":"Shuai"},{"family":"Fu","given":"Qin"}],"issued":{"date-parts":[["2016",9,10]]}}},{"id":458,"uris":["http://zotero.org/users/3223062/items/NASU7ZLZ"],"uri":["http://zotero.org/users/3223062/items/NASU7ZLZ"],"itemData":{"id":458,"type":"article-journal","abstract":"Context:.  Established bone turnover markers do not reflect fracture risk in idiopathic male and premenopausal osteoporosis and the role of microRNAs (miRNAs) i","container-title":"The Journal of Clinical Endocrinology &amp; Metabolism","DOI":"10.1210/jc.2016-2365","ISSN":"0021-972X","issue":"11","journalAbbreviation":"None","language":"en","page":"4125-4134","source":"academic.oup.com","title":"Circulating microRNA Signatures in Patients With Idiopathic and Postmenopausal Osteoporosis and Fragility Fractures","volume":"101","author":[{"family":"Kocijan","given":"Roland"},{"family":"Muschitz","given":"Christian"},{"family":"Geiger","given":"Elisabeth"},{"family":"Skalicky","given":"Susanna"},{"family":"Baierl","given":"Andreas"},{"family":"Dormann","given":"Rainer"},{"family":"Plachel","given":"Fabian"},{"family":"Feichtinger","given":"Xaver"},{"family":"Heimel","given":"Patrick"},{"family":"Fahrleitner-Pammer","given":"Astrid"},{"family":"Grillari","given":"Johannes"},{"family":"Redl","given":"Heinz"},{"family":"Resch","given":"Heinrich"},{"family":"Hackl","given":"Matthias"}],"issued":{"date-parts":[["2016",11]]}}},{"id":451,"uris":["http://zotero.org/users/3223062/items/DB5HRQS9"],"uri":["http://zotero.org/users/3223062/items/DB5HRQS9"],"itemData":{"id":451,"type":"webpage","title":"osteomiRs - novel biomarkers for bone quality - TAmiRNA - stability for life","URL":"http://www.tamirna.com/products/osteomirtm.html?tx_sbtab_pi1%5Btab%5D=54#sbtab","accessed":{"date-parts":[["2019",8,20]]}}},{"id":507,"uris":["http://zotero.org/users/3223062/items/HJ2YV8YH"],"uri":["http://zotero.org/users/3223062/items/HJ2YV8YH"],"itemData":{"id":507,"type":"webpage","abstract":"Human amniotic membrane-derived mesenchymal stem cells (hAM-MSCs) are a potential source of cells for therapeutic applications in bone regeneration. Recent evidence reveals a role for microRNAs (miRNAs) in the fine-tuning regulation of osteogenesis (osteomiRs) suggesting that they can be potential targets for skeleton diseases treatment. However, the functions of osteomiRs during differentiation of hAM-MSCs to osteogenic lineage are poorly understood. In this investigation, we discovered a novel miRNAs expression signature corresponding to the matrix maturation (preosteoblast) and mineralization (mature osteoblast) stages of dexamethasone-induced osteoblastic differentiation of hAM-MSCs. Comprehensive miRNAs profiling using TaqMan Low Density Arrays showed that 18 miRNAs were significantly downregulated, whereas 3 were upregulated in the matrix maturation stage (7 days after osteogenic induction) in comparison to undifferentiated cells used as control. Likewise, 47 miRNAs were suppressed and 25 were overexpressed at mineralization stage (14 days after osteogenic induction) in comparison to osteoprogenitors cells. Five out 93 miRNAs (miR-19b-3p, miR-335-3p, miR-197-3p, miR-34b-39, and miR-576-3p) were regulated at both 7 and 14 days suggesting a role in coordinated guidance of osteoblastic differentiation. Exhaustive bioinformatic predictions showed that the set of modulated miRNAs may target multiple genes involved in regulatory networks driving osteogenesis including key members of BMP, TGF-β, and WNT/β-catenin signaling pathways. Of these miRNAs, we selected miR-204, a noncoding small RNA that was expressed at matrix maturation phase and downregulated at maturation stage, for further functional studies. Interestingly, gain-of-function analysis showed that restoration of miR-204 using RNA mimics at the onset of mineralization stage dramatically inhibited deposition of calcium and osteogenic maturation of hAM-MSCs. Moreover in silico analysis detected a conserved miR-204 binding site at the 3′UTR of TGF-βR2 receptor gene. Using luciferase assays we confirmed that TGF-βR2 is a downstream effector of miR-204. In conclusion, we have identified a miRNAs signature for osteoblast differentiation of hAM-MSCs. The results from this study suggested that these miRNAs may act as potential inhibitors or activators of osteogenesis. Our findings also points towards the idea that miR-204/TGF-βR2 axis has a regulatory role in differentiation of hAM-MSCs committed to osteoblastic lineage.","container-title":"BioMed Research International","genre":"Research article","language":"en","note":"DOI: 10.1155/2019/8987268","title":"A Novel OsteomiRs Expression Signature for Osteoblast Differentiation of Human Amniotic Membrane-Derived Mesenchymal Stem Cells","URL":"https://www.hindawi.com/journals/bmri/2019/8987268/","author":[{"family":"Avendaño-Félix","given":"Mariana"},{"family":"Fuentes-Mera","given":"Lizeth"},{"family":"Ramos-Payan","given":"Rosalío"},{"family":"Aguilar-Medina","given":"Maribel"},{"family":"Pérez-Silos","given":"Vanessa"},{"family":"Moncada-Saucedo","given":"Nidia"},{"family":"Marchat","given":"Laurence A."},{"family":"González-Barrios","given":"Juan Antonio"},{"family":"Ruiz-García","given":"Erika"},{"family":"Astudillo-de la Vega","given":"Horacio"},{"family":"Cruz-Colin","given":"José L."},{"family":"López-Camarillo","given":"César"}],"accessed":{"date-parts":[["2019",7,17]]},"issued":{"date-parts":[["2019"]]}}},{"id":377,"uris":["http://zotero.org/users/3223062/items/UNQYEIVH"],"uri":["http://zotero.org/users/3223062/items/UNQYEIVH"],"itemData":{"id":377,"type":"article-journal","abstract":"The small non‐coding microRNAs (miRNAs) are post‐transcription regulators that modulate diverse cellular process in bone cells. Because optimal miRNA targeting is essential for their function, single‐nucleotide polymorphisms (SNPs) within or proximal to the loci of miRNA (miR‐SNPs) or mRNA (PolymiRTS) could potentially disrupt the miRNA‐mRNA interaction, leading to changes in bone metabolism and osteoporosis. Recent human studies of skeletal traits using miRNA profiling, genomewide association studies, and functional studies started to decipher the complex miRNA regulatory network. These studies have indicated that miRNAs may be a promising bone marker. This review focuses on human miRNA studies on bone traits and discusses how genetic variants affect bone metabolic pathways. Major ex vivo investigations using human samples supported with animal and in vitro models have shed light on the mechanistic role of miRNAs. Furthermore, studying the miRNAs’ signatures in secondary osteoporosis and osteoporotic medications such as teriparatide (TPTD) and denosumab (DMab) have provided valuable insight into clinical management of the disease. © 2018 The Authors. JBMR Plus Published by Wiley Periodicals, Inc. on behalf of the American Society for Bone and Mineral Research","container-title":"JBMR Plus","DOI":"10.1002/jbm4.10115","ISSN":"2473-4039","issue":"1","journalAbbreviation":"JBMR Plus","note":"PMID: 30680358\nPMCID: PMC6339549","page":"2-13","source":"PubMed Central","title":"MicroRNA and Human Bone Health","volume":"3","author":[{"family":"Cheng","given":"Vincent Ka‐Fai"},{"family":"Au","given":"Philip Chun‐Ming"},{"family":"Tan","given":"Kathryn CB"},{"family":"Cheung","given":"Ching‐Lung"}],"issued":{"date-parts":[["2018",11,5]]}}},{"id":382,"uris":["http://zotero.org/users/3223062/items/6WQGYW3V"],"uri":["http://zotero.org/users/3223062/items/6WQGYW3V"],"itemData":{"id":382,"type":"article-journal","abstract":"The assessment of bone quality and the prediction of fracture risk in idiopathic osteoporosis (IOP) are complex prospects as bone mineral density (BMD) and bone turnover markers (BTM) do not indicate fracture-risk. MicroRNAs (miRNAs) are promising new biomarkers for bone diseases, but the current understanding of the biological information contained in the variability of miRNAs is limited. Here, we investigated the association between serum-levels of 19 miRNA biomarkers of idiopathic osteoporosis to bone microstructure and bone histomorphometry based upon bone biopsies and µCT (9.3 μm) scans from 36 patients. Four miRNAs were found to be correlated to bone microarchitecture and seven miRNAs to dynamic histomorphometry (p &lt; 0.05). Three miRNAs, namely, miR-29b-3p, miR-324-3p, and miR-550a-3p showed significant correlations to histomorphometric parameters of bone formation as well as microstructure parameters. miR-29b-3p and miR-324-p were found to be reduced in patients undergoing anti-resorptive therapy. This is the first study to report that serum levels of bone-related miRNAs might be surrogates of dynamic histomorphometry and potentially reveal changes in bone microstructure. Although these findings enhance the potential value of circulating miRNAs as bone biomarkers, further experimental studies are required to qualify the clinical utility of miRNAs to reflect dynamic changes in bone formation and microstructure.","container-title":"Scientific Reports","DOI":"10.1038/s41598-018-22844-2","ISSN":"2045-2322","issue":"1","language":"en","note":"number: 1\npublisher: Nature Publishing Group","page":"4867","source":"www.nature.com","title":"Bone-related Circulating MicroRNAs miR-29b-3p, miR-550a-3p, and miR-324-3p and their Association to Bone Microstructure and Histomorphometry","volume":"8","author":[{"family":"Feichtinger","given":"Xaver"},{"family":"Muschitz","given":"Christian"},{"family":"Heimel","given":"Patrick"},{"family":"Baierl","given":"Andreas"},{"family":"Fahrleitner-Pammer","given":"Astrid"},{"family":"Redl","given":"Heinz"},{"family":"Resch","given":"Heinrich"},{"family":"Geiger","given":"Elisabeth"},{"family":"Skalicky","given":"Susanna"},{"family":"Dormann","given":"Rainer"},{"family":"Plachel","given":"Fabian"},{"family":"Pietschmann","given":"Peter"},{"family":"Grillari","given":"Johannes"},{"family":"Hackl","given":"Matthias"},{"family":"Kocijan","given":"Roland"}],"issued":{"date-parts":[["2018",3,20]]}}},{"id":378,"uris":["http://zotero.org/users/3223062/items/EBHWGF5A"],"uri":["http://zotero.org/users/3223062/items/EBHWGF5A"],"itemData":{"id":378,"type":"article-journal","abstract":"Standard DXA measurements, including Fracture Risk Assessment Tool (FRAX) scores, have shown limitations in assessing fracture risk in Type 2 Diabetes (T2D), underscoring the need for novel biomarkers and suggesting that other pathomechanisms may drive diabetic bone fragility. MicroRNAs (miRNAs) are secreted into the circulation from cells of various tissues proportional to local disease severity and were recently found to be crucial to bone homeostasis and T2D. Here, we studied, if and which circulating miRNAs or combinations of miRNAs can discriminate best fracture status in a well-characterized study of diabetic bone disease and postmenopausal osteoporosis (n = 80 postmenopausal women). We then tested the most discriminative and most frequent miRNAs in vitro. Using miRNA-qPCR-arrays, we showed that 48 miRNAs can differentiate fracture status in T2D women and that several combinations of four miRNAs can discriminate diabetes-related fractures with high specificity and sensitivity (area under the receiver-operating characteristic curve values [AUCs], 0.92 to 0.96; 95% CI, 0.88 to 0.98). For the osteoporotic study arm, 23 miRNAs were fracture-indicative and potential combinations of four miRNAs showed AUCs from 0.97 to 1.00 (95% CI, 0.93 to 1.00). Because a role in bone homeostasis for those miRNAs that were most discriminative and most present among all miRNA combinations had not been described, we performed in vitro functional studies in human adipose tissue–derived mesenchymal stem cells to investigate the effect of miR-550a-5p, miR-188-3p, and miR-382-3p on osteogenesis, adipogenesis, and cell proliferation. We found that miR-382-3p significantly enhanced osteogenic differentiation (p &lt; 0.001), whereas miR-550a-5p inhibited this process (p &lt; 0.001). Both miRNAs, miR-382-3p and miR-550a-5p, impaired adipogenic differentiation, whereas miR-188-3p did not exert an effect on adipogenesis. None of the miRNAs affected significantly cell proliferation. Our data suggest for the first time that miRNAs are linked to fragility fractures in T2D postmenopausal women and should be further investigated for their diagnostic potential and their detailed function in diabetic bone. © 2016 American Society for Bone and Mineral Research.","container-title":"Journal of Bone and Mineral Research","DOI":"10.1002/jbmr.2897","ISSN":"1523-4681","issue":"12","language":"en","note":"_eprint: https://asbmr.onlinelibrary.wiley.com/doi/pdf/10.1002/jbmr.2897","page":"2173-2192","source":"Wiley Online Library","title":"Serum miRNA Signatures Are Indicative of Skeletal Fractures in Postmenopausal Women With and Without Type 2 Diabetes and Influence Osteogenic and Adipogenic Differentiation of Adipose Tissue–Derived Mesenchymal Stem Cells In Vitro","volume":"31","author":[{"family":"Heilmeier","given":"Ursula"},{"family":"Hackl","given":"Matthias"},{"family":"Skalicky","given":"Susanna"},{"family":"Weilner","given":"Sylvia"},{"family":"Schroeder","given":"Fabian"},{"family":"Vierlinger","given":"Klemens"},{"family":"Patsch","given":"Janina M."},{"family":"Baum","given":"Thomas"},{"family":"Oberbauer","given":"Eleni"},{"family":"Lobach","given":"Iryna"},{"family":"Burghardt","given":"Andrew J."},{"family":"Schwartz","given":"Ann V."},{"family":"Grillari","given":"Johannes"},{"family":"Link","given":"Thomas M."}],"issued":{"date-parts":[["2016"]]}}},{"id":370,"uris":["http://zotero.org/users/3223062/items/6TPVYHBY"],"uri":["http://zotero.org/users/3223062/items/6TPVYHBY"],"itemData":{"id":370,"type":"article-journal","abstract":"&lt;b&gt;&lt;i&gt;Background/Aims: &lt;/i&gt;&lt;/b&gt;Human bone marrow-derived mesenchymal stem cells (hMSCs) are a promising cell source for bone engineering owing to their high potential to differentiate into osteoblasts. The bone morphogenetic protein-inducible gene homeobox a10 (HOXA10) is a critical regulator of osteogenesis. The objective of the present study was to identify microR-NAs (miRNAs) targeting HOXA10 and examine the effects on the osteogenic differentiation of hMSCs. &lt;b&gt;&lt;i&gt;Methods: &lt;/i&gt;&lt;/b&gt;Based on in silico analysis, HOXA10-targeting miRNAs were selected and their regulatory roles in osteoblast differentiation were investigated. &lt;b&gt;&lt;i&gt;Results: &lt;/i&gt;&lt;/b&gt;Six HOXA10-targeting miRNAs were identifIed by computational analysis, of which miR-320a was selected for further analysis because it was downregulated during osteogenic induction. Overexpression of miR-320a downregulated HOXA10 and significantly inhibited osteogenesis in hMSCs, as determined by the downregulation of the osteogenic markers Runx2, ALP, and OC and the inhibition of ALP activity and matrix mineralization, whereas miR-320a inhibition had the opposite effects. Furthermore, ectopic expression of HOXA10 (not including 3′-UTR) rescued the effects of miR-320a on osteogenic differentiation. &lt;b&gt;&lt;i&gt;Conclusion: &lt;/i&gt;&lt;/b&gt;These results suggest that miR-320a acts as a critical regulator of osteogenic differentiation of hMSCs by repressing its target HOXA10.","container-title":"Cellular Physiology and Biochemistry","DOI":"10.1159/000438607","ISSN":"1015-8987, 1421-9778","issue":"1","journalAbbreviation":"CPB","language":"english","note":"publisher: Karger Publishers\nPMID: 26741129","page":"40-48","source":"www.karger.com","title":"MicroRNA-320a Regulates the Osteogenic Differentiation of Human Bone Marrow-Derived Mesenchymal Stem Cells by Targeting HOXA10","volume":"38","author":[{"family":"Huang","given":"Jianhou"},{"family":"Meng","given":"Yake"},{"family":"Liu","given":"Yan"},{"family":"Chen","given":"Yu"},{"family":"Yang","given":"Haisong"},{"family":"Chen","given":"Deyu"},{"family":"Shi","given":"Jiangang"},{"family":"Guo","given":"Yongfei"}],"issued":{"date-parts":[["2016"]]}}},{"id":374,"uris":["http://zotero.org/users/3223062/items/K4P9SGCE"],"uri":["http://zotero.org/users/3223062/items/K4P9SGCE"],"itemData":{"id":374,"type":"article-journal","abstract":"MicroRNAs control the activity of a variety of genes that are pivotal to bone metabolism. Therefore, the clinical utility of miRNAs as biomarkers and drug targets for bone diseases certainly merits further investigation. This study describes the use of an animal model of postmenopausal osteoporosis to generate a comprehensive dataset on miRNA regulation in bone tissue and peripheral blood during bone loss and specifically anti-resorptive and osteo-anabolic treatment. Forty-two Sprague-Dawley rats were randomized to SHAM surgery (n=10) or ovariectomy (OVX, n=32). Eight weeks after surgery, OVX animals were further randomized to anti-resorptive treatment with zoledronate (n=11), osteo-anabolic treatment with teriparatide (n=11), or vehicle treatment (n=10). After 12 weeks of treatment, bone and serum samples were used for microRNA analysis using next-generation sequencing (NGS), mRNA levels using RT-qPCR, and bone microarchitecture analysis using nanoCT. Ovariectomy resulted in loss of trabecular bone, which was fully rescued using osteo-anabolic treatment, and partially rescued using anti-resorptive treatment. NGS revealed that both, anti-resorptive and anabolic treatment had a significant impact on miRNA levels in bone tissue and serum: out of 426 detected miRNAs, 46 miRNAs were regulated by teriparatide treatment an d 10 by zoledronate treatment (p-adj.&lt;0.1). Interestingly, teriparatide and zoledronate treatment were able to revert miRNA changes in tissue and serum of untreated OVX animals, such as the up-regulation of miR-203a-3p, a known osteo-inhibitory miRNA. We confirmed previously established mechanisms of miR-203a by analyzing its direct target Dlx5 in femoral head. Our data reveal a significant effect of ovariectomy-induced bone loss, as well as the two major types of anti-osteoporotic treatment on miRNA transcription in femoral head tissue. These changes are associated with altered activity of target genes relevant to bone formation, such as Dlx5. The observed effects of bone loss and treatment response on miRNA levels in bone are also reflected in the peripheral blood, suggesting the possibility of minimally-invasive monitoring of bone-derived miRNAs using liquid biopsies.","container-title":"Bone","DOI":"10.1016/j.bone.2019.115104","ISSN":"8756-3282","journalAbbreviation":"Bone","language":"en","page":"115104","source":"ScienceDirect","title":"MicroRNA levels in bone and blood change during bisphosphonate and teriparatide therapy in an animal model of postmenopausal osteoporosis","volume":"131","author":[{"family":"Kocijan","given":"Roland"},{"family":"Weigl","given":"Moritz"},{"family":"Skalicky","given":"Susanna"},{"family":"Geiger","given":"Elisabeth"},{"family":"Ferguson","given":"James"},{"family":"Leinfellner","given":"Gabriele"},{"family":"Heimel","given":"Patrick"},{"family":"Pietschmann","given":"Peter"},{"family":"Grillari","given":"Johannes"},{"family":"Redl","given":"Heinz"},{"family":"Hackl","given":"Matthias"}],"issued":{"date-parts":[["2020",2,1]]}}},{"id":365,"uris":["http://zotero.org/users/3223062/items/TTLY72YJ"],"uri":["http://zotero.org/users/3223062/items/TTLY72YJ"],"itemData":{"id":365,"type":"article-journal","abstract":"MicroRNAs (miRNAs) are a family of small, non-coding RNAs (17–24 nucleotides), which regulate gene expression either by the degradation of the target mRNAs or inhibiting the translation of genes. Recent studies have indicated that miRNA plays an important role in regulating osteoblast differentiation. In this study, we identified miR-203 and miR-320b as important miRNAs modulating osteoblast differentiation. We identified Dlx5 as potential common target by prediction algorithms and confirmed this by knock-down and over expression of the miRNAs and assessing Dlx5 at mRNA and protein levels and specificity was verified by luciferase reporter assays. We examined the effect of miR-203 and miR-320b on osteoblast differentiation by transfecting with pre- and anti-miRs. Over-expression of miR-203 and miR-320b inhibited osteoblast differentiation, whereas inhibition of miR-203 and miR-320b stimulated alkaline phosphatase activity and matrix mineralization. We show that miR-203 and miR-320b negatively regulate BMP-2-induced osteoblast differentiation by suppressing Dlx5, which in turn suppresses the downstream osteogenic master transcription factor Runx2 and Osx and together they suppress osteoblast differentiation. Taken together, we propose a role for miR-203 and miR-320b in modulating bone metabolism.","container-title":"Genes","DOI":"10.3390/genes8010004","issue":"1","language":"en","note":"number: 1\npublisher: Multidisciplinary Digital Publishing Institute","page":"4","source":"www.mdpi.com","title":"miR-203 and miR-320 Regulate Bone Morphogenetic Protein-2-Induced Osteoblast Differentiation by Targeting Distal-Less Homeobox 5 (Dlx5)","volume":"8","author":[{"family":"Laxman","given":"Navya"},{"family":"Mallmin","given":"Hans"},{"family":"Nilsson","given":"Olle"},{"family":"Kindmark","given":"Andreas"}],"issued":{"date-parts":[["2017",1]]}}},{"id":376,"uris":["http://zotero.org/users/3223062/items/5G7JN4ZR"],"uri":["http://zotero.org/users/3223062/items/5G7JN4ZR"],"itemData":{"id":376,"type":"article-journal","abstract":"Context: WNT signaling is fundamental to bone health, and its aberrant activation leads to skeletal pathologies. The heterozygous missense mutation p.C218G in WNT1, a key WNT pathway ligand, leads to severe early-onset and progressive osteoporosis with multiple peripheral and spinal fractures. Despite the severe skeletal manifestations, conventional bone turnover markers are normal in mutation-positive patients.\nObjective: This study sought to explore the circulating microRNA (miRNA) pattern in patients with impaired WNT signaling.\nDesign and Setting: A cross-sectional cohort study at a university hospital.\nParticipants: Altogether, 12 mutation-positive (MP) subjects (median age, 39 years; range, 11 to 76 years) and 12 mutation-negative (MN) subjects (35 years; range, 9 to 59 years) from two Finnish families with WNT1 osteoporosis due to the heterozygous p.C218G WNT1 mutation.\nMethods and Main Outcome Measure: Serum samples were screened for 192 miRNAs using quantitative polymerase chain reaction. Findings were compared between WNT1 MP and MN subjects.\nResults: The pattern of circulating miRNAs was significantly different in the MP subjects compared with the MN subjects, with two upregulated (miR-18a-3p and miR-223-3p) and six downregulated miRNAs (miR-22-3p, miR-31-5p, miR-34a-5p, miR-143-5p, miR-423-5p, and miR-423-3p). Three of these (miR-22-3p, miR-34a-5p, and miR-31-5p) are known inhibitors of WNT signaling: miR-22-3p and miR-34a-5p target WNT1 messenger RNA, and miR-31-5p is predicted to bind to WNT1 3'UTR.\nConclusions: The circulating miRNA pattern reflects WNT1 mutation status. The findings suggest that the WNT1 mutation disrupts feedback regulation between these miRNAs and WNT1, providing insights into the pathogenesis of WNT-related bone disorders. These miRNAs may have potential in the diagnosis and treatment of osteoporosis.","container-title":"The Journal of Clinical Endocrinology and Metabolism","DOI":"10.1210/jc.2017-02585","ISSN":"1945-7197","issue":"5","journalAbbreviation":"J. Clin. Endocrinol. Metab.","language":"eng","note":"PMID: 29506076","page":"1985-1996","source":"PubMed","title":"Altered MicroRNA Profile in Osteoporosis Caused by Impaired WNT Signaling","volume":"103","author":[{"family":"Mäkitie","given":"Riikka E."},{"family":"Hackl","given":"Matthias"},{"family":"Niinimäki","given":"Riitta"},{"family":"Kakko","given":"Sakari"},{"family":"Grillari","given":"Johannes"},{"family":"Mäkitie","given":"Outi"}],"issued":{"date-parts":[["2018"]],"season":"01"}}},{"id":367,"uris":["http://zotero.org/users/3223062/items/M789SJWK"],"uri":["http://zotero.org/users/3223062/items/M789SJWK"],"itemData":{"id":367,"type":"article-journal","abstract":"miRNA profile deregulation affecting downstream signaling pathways activates endpoints that represent potential biomarkers for prognosis and treatment of tumor patients. In the past 20 years conventional therapy for osteosarcoma (OS) reached a survival plateau, highlighting the need for new therapeutic approaches. In this study, microarray unsupervised and supervised analysis identified, respectively, 100 and 40 differentially expressed miRNAs in OS samples with different grades of malignancy compared to normal bone. When analyzing low-grade and high-grade OS by unsupervised analysis, 12 miRNAs were found to be differentially expressed. Real‑time PCR performed on a larger series of OS confirmed a significant lower expression of miR-1, miR‑133b and miR-378* in tumors with respect to control, also showing lower mRNA levels in 31 high-grade OS than in 25 low-grade and in metastatic versus non‑metastatic patients. We demonstrated that miR-1 and miR133b were downregulated in OS cell lines compared to normal osteoblasts. Secondly, by transfection with miRNA precursor molecules, we demonstrated that the ectopic expression of miR-1 and miR-133b in U2-OS cell lines significantly reduced cell proliferation and MET protein expression and negatively regulated cell invasiveness and motility in a short-term assay. Cell cycle distribution revealed block in G(1) and delay of cell cycle progression associated with increased apoptosis in miR-1- and miR‑133b‑transfected cells, respectively. Our data assessed specific miRNA profiling deregulation in OS clinical samples and suggest that the expression of miR-1 and miR-133b may control cell proliferation and cell cycle through MET protein expression modulation.","container-title":"International Journal of Oncology","DOI":"10.3892/ijo.2012.1717","ISSN":"1791-2423","issue":"2","journalAbbreviation":"Int. J. Oncol.","language":"eng","note":"PMID: 23229283","page":"667-675","source":"PubMed","title":"miRNA expression profile in human osteosarcoma: role of miR-1 and miR-133b in proliferation and cell cycle control","title-short":"miRNA expression profile in human osteosarcoma","volume":"42","author":[{"family":"Novello","given":"Chiara"},{"family":"Pazzaglia","given":"Laura"},{"family":"Cingolani","given":"Chiara"},{"family":"Conti","given":"Amalia"},{"family":"Quattrini","given":"Irene"},{"family":"Manara","given":"Maria Cristina"},{"family":"Tognon","given":"Mauro"},{"family":"Picci","given":"Piero"},{"family":"Benassi","given":"Maria Serena"}],"issued":{"date-parts":[["2013",2]]}}},{"id":372,"uris":["http://zotero.org/users/3223062/items/UNFQT5GK"],"uri":["http://zotero.org/users/3223062/items/UNFQT5GK"],"itemData":{"id":372,"type":"article-journal","abstract":"Wnt signaling determines human stromal (mesenchymal) stem cell (hMSC) differentiation fate into the osteoblast or adipocyte lineage. microRNAs (miRNAs) are small RNA molecules of 21–25 nucleotides that regulate many aspects of osteoblast biology. Thus, we examined miRNAs regulated by Wnt signaling in hMSC. We identified miRNA (miR)-141-3p as a Wnt target which in turn inhibited Wnt signaling. Moreover, miR-141-3p inhibited hMSC proliferation by arresting cells at the G1 phase of the cell cycle. miR-141-3p inhibited osteoblast differentiation of hMSC as evidenced by reduced alkaline phosphatase activity, gene expression and in vitro mineralized matrix formation. Bioinformatic studies, Western blot analysis and 3’UTR reporter assay demonstrated that cell division cycle 25A (CDC25A) is a direct target of miR-141-3p. siRNA-mediated knock-down of CDC25A inhibited hMSC proliferation and osteoblast differentiation. In summary, miR-141-3p acts as a negative regulator of hMSC proliferation and osteoblast differentiation. Targeting miR-141-3p could be used as an anabolic therapy of low bone mass diseases, e.g. osteoporosis.","container-title":"Biochimica et Biophysica Acta (BBA) - Molecular Cell Research","DOI":"10.1016/j.bbamcr.2014.06.004","ISSN":"0167-4889","issue":"9","journalAbbreviation":"Biochimica et Biophysica Acta (BBA) - Molecular Cell Research","language":"en","page":"2114-2121","source":"ScienceDirect","title":"miR-141-3p inhibits human stromal (mesenchymal) stem cell proliferation and differentiation","volume":"1843","author":[{"family":"Qiu","given":"Weimin"},{"family":"Kassem","given":"Moustapha"}],"issued":{"date-parts":[["2014",9,1]]}}},{"id":368,"uris":["http://zotero.org/users/3223062/items/JXSTK7EA"],"uri":["http://zotero.org/users/3223062/items/JXSTK7EA"],"itemData":{"id":368,"type":"article-journal","abstract":"Wnt signaling pathways are essential for bone formation. Previous studies showed that Wnt signaling pathways were regulated by miR-375. Thus, we aim to explore whether miR-375 could affect osteogenesis. In the present study, we investigated the roles of miR-375 and its downstream targets. Firstly, we revealed that miR-375-3p negatively modulated osteogenesis by suppressing positive regulators of osteogenesis and promoting negative regulators of osteogenesis. In addition, the results of TUNEL cell apoptosis assay showed that miR-375-3p induced MC3T3-E1 cell apoptosis. Secondly, miR-375-3p targeted low-density lipoprotein receptor-related protein 5 (LRP5), a co-receptor of the Wnt signaling pathways, and β-catenin as determined by luciferase activity assay, and it decreased the expression levels of LRP5 and β-catenin. Thirdly, the decline of protein levels of β-catenin was determined by immunocytochemistry and immunofluorescence. Finally, silence of LRP5 in osteoblast precursor cells resulted in diminished cell viability and cell proliferation as detected by WST-1-based colorimetric assay. Additionally, all the parameters including the relative bone volume from μCT measurement suggested that LRP5 knockout in mice resulted in a looser and worse-connected trabeculae. The mRNA levels of important negative modulators relating to osteogenesis increased after the functions of LRP5 were blocked in mice. Last but not least, the expression levels of LRP5 increased during the osteogenesis of MC3T3-E1, while the levels of β-catenin decreased in bone tissues from osteoporotic patients with vertebral compression fractures. In conclusion, we revealed miR-375-3p negatively regulated osteogenesis by targeting LRP5 and β-catenin. In addition, loss of functions of LRP5 damaged bone formation in vivo. Clinically, miR-375-3p and its targets might be used as diagnostic biomarkers for osteoporosis and might be also as novel therapeutic agents in osteoporosis treatment. The relevant products of miR-375-3p might be developed into molecular drugs in the future. These molecules could be used in translational medicine.","container-title":"PLOS ONE","DOI":"10.1371/journal.pone.0171281","ISSN":"1932-6203","issue":"2","journalAbbreviation":"PLOS ONE","language":"en","note":"publisher: Public Library of Science","page":"e0171281","source":"PLoS Journals","title":"miR-375-3p negatively regulates osteogenesis by targeting and decreasing the expression levels of LRP5 and β-catenin","volume":"12","author":[{"family":"Sun","given":"Tianhao"},{"family":"Li","given":"Chen-Tian"},{"family":"Xiong","given":"Lifeng"},{"family":"Ning","given":"Ziyu"},{"family":"Leung","given":"Frankie"},{"family":"Peng","given":"Songlin"},{"family":"Lu","given":"William W."}],"issued":{"date-parts":[["2017",2,3]]}}},{"id":380,"uris":["http://zotero.org/users/3223062/items/RLGV2N2C"],"uri":["http://zotero.org/users/3223062/items/RLGV2N2C"],"itemData":{"id":380,"type":"article-journal","abstract":"Osteoporosis is the consequence of altered bone metabolism resulting in the systemic reduction of bone strength and increased risk of fragility fractures. MicroRNAs (miRNAs) regulate gene expression on a post-transcriptional level and are known to take part in the control of bone formation and bone resorption. In addition, it is known that miRNAs are secreted by many cell types and can transfer “messages” to recipient cells. Thus, circulating miRNAs might not only be useful as surrogate biomarkers for the diagnosis or prognosis of pathological conditions, but could be actively modulating tissue physiology. Therefore, the aim of this study was to test whether circulating miRNAs that exhibit changes in recent osteoporotic fracture patients could be causally related to bone metabolism. In the first step we performed an explorative analysis of 175 miRNAs in serum samples obtained from 7 female patients with recent osteoporotic fractures at the femoral neck, and 7 age-matched female controls. Unsupervised cluster analysis revealed a high discriminatory power of the top 10 circulating miRNAs for patients with recent osteoporotic fractures. In total 6 miRNAs, miR-10a-5p, miR-10b-5p, miR-133b, miR-22-3p, miR-328-3p, and let-7g-5p exhibited significantly different serum levels in response to fracture (adjusted p-value&lt;0.05). These miRNAs were subsequently analyzed in a validation cohort of 23 patients (11 control, 12 fracture), which confirmed significant regulation for miR-22-3p, miR-328-3p, and let-7g-5p. A set of these and of other miRNAs known to change in the context of osteoporotic fractures were subsequently tested for their effects on osteogenic differentiation of human mesenchymal stem cells (MSCs) in vitro. The results show that 5 out of 7 tested miRNAs can modulate osteogenic differentiation of MSCs in vitro. Overall, these data suggest that levels of specific circulating miRNAs change in the context of recent osteoporotic fractures and that such perturbations of “normal” levels might affect bone metabolism or bone healing processes.","container-title":"Bone","DOI":"10.1016/j.bone.2015.05.027","ISSN":"8756-3282","journalAbbreviation":"Bone","language":"en","page":"43-51","source":"ScienceDirect","title":"Differentially circulating miRNAs after recent osteoporotic fractures can influence osteogenic differentiation","volume":"79","author":[{"family":"Weilner","given":"Sylvia"},{"family":"Skalicky","given":"Susanna"},{"family":"Salzer","given":"Benjamin"},{"family":"Keider","given":"Verena"},{"family":"Wagner","given":"Michael"},{"family":"Hildner","given":"Florian"},{"family":"Gabriel","given":"Christian"},{"family":"Dovjak","given":"Peter"},{"family":"Pietschmann","given":"Peter"},{"family":"Grillari-Voglauer","given":"Regina"},{"family":"Grillari","given":"Johannes"},{"family":"Hackl","given":"Matthias"}],"issued":{"date-parts":[["2015",10,1]]}}},{"id":363,"uris":["http://zotero.org/users/3223062/items/QVJDTEC5"],"uri":["http://zotero.org/users/3223062/items/QVJDTEC5"],"itemData":{"id":363,"type":"article-journal","abstract":"In estrogen responsive MCF-7 cells, estradiol (E2) binding to ERα leads to transcriptional regulation of genes involved in the control of cell proliferation and survival. MicroRNAs (miRNAs) have emerged as key post-transcriptional regulators of gene expression. The aim of this study was to explore whether miRNAs were involved in hormonally regulated expression of estrogen responsive genes.","container-title":"BMC Cancer","DOI":"10.1186/1471-2407-12-29","ISSN":"1471-2407","issue":"1","journalAbbreviation":"BMC Cancer","page":"29","source":"BioMed Central","title":"Induction of cell proliferation and survival genes by estradiol-repressed microRNAs in breast cancer cells","volume":"12","author":[{"family":"Yu","given":"Xinfeng"},{"family":"Zhang","given":"Xuemei"},{"family":"Dhakal","given":"Ishwori B."},{"family":"Beggs","given":"Marjorie"},{"family":"Kadlubar","given":"Susan"},{"family":"Luo","given":"Dali"}],"issued":{"date-parts":[["2012",1,20]]}}},{"id":383,"uris":["http://zotero.org/users/3223062/items/ZUXHR9CP"],"uri":["http://zotero.org/users/3223062/items/ZUXHR9CP"],"itemData":{"id":383,"type":"article-journal","abstract":"Context\nVertebral fractures are the hallmark of osteoporosis. MicroRNAs (miRNAs) are a prominent class of gene regulators likely to affect bone homeostasis, including bone remodelling and fracture healing by altering gene expression in bone cells.\nObjective\nThis study sought to compare the levels of circulating miRNAs in older women with osteoporotic vertebral fractures, and/or low BMD and healthy controls, and to correlate miRNAs expression levels with BTMs.\nDesign\nA single-site, case-control, observational, cross-sectional study at a university hospital.\nParticipants\nAltogether, 126 postmenopausal women belonging to four different groups were included: healthy (n=42), low BMD and no vertebral fractures (n=39), vertebral fractures and low BMD without a treatment (n=26), or receiving a treatment for osteoporosis (n=19).\nMain Outcome Measure\nSerum samples from all participants were analyzed for 21 microRNA bone biomarkers.\nResults\nWe identified 7 significantly (p&lt;0.05) up-regulated miRNAs (miR-375, miR-532-3p, miR-19b-3p, miR-152-3p, miR-23a-3p, miR-335-5p, miR-21-5p) in patients with vertebral fractures and low BMD compared to low BMD and healthy individuals, regardless of osteoporosis treatment. No significant differences existed between low BMD and healthy controls. We observed 24 significant correlations (P&lt;0.05) between miRNAs and BTMs (CTX, PINP, OC and bone ALP).\nConclusions\nSpecific circulating miRNAs reflect the presence of osteoporotic vertebral fractures in postmenopausal women. They are unlikely to reflect low BMD, and more likely changes in bone quality or fracture healing. The effects of osteoporosis treatment on the selected miRNAs appear to be weaker than effects caused by vertebral fractures. The correlation between miRNAs and BTMs suggest that miRNAs may be involved in bone turnover or fracture healing.","container-title":"Bone","DOI":"10.1016/j.bone.2019.115105","ISSN":"8756-3282","journalAbbreviation":"Bone","language":"en","page":"115105","source":"ScienceDirect","title":"Serum microRNAs as novel biomarkers for osteoporotic vertebral fractures","volume":"130","author":[{"family":"Zarecki","given":"Patryk"},{"family":"Hackl","given":"Matthias"},{"family":"Grillari","given":"Johannes"},{"family":"Debono","given":"Miguel"},{"family":"Eastell","given":"Richard"}],"issued":{"date-parts":[["2020",1,1]]}}},{"id":369,"uris":["http://zotero.org/users/3223062/items/YMYSTV4G"],"uri":["http://zotero.org/users/3223062/items/YMYSTV4G"],"itemData":{"id":369,"type":"article-journal","abstract":"MicroRNAs (miRNAs) and the Wnt signaling pathway play critical roles in regulating bone development and homeostasis. Our previous study revealed high expression of miR-335-5p in osteoblasts and hypertrophic chondrocytes in mouse embryos and the ability of miR-335-5p to promote osteogenic differentiation by downregulating Wnt antagonist Dickkopf-1 (DKK1). The purpose of this study was to investigate the effects of miR-335-5p constitutive overexpression on bone formation and regeneration in vivo. To that end, we generated a transgenic mouse line specifically overexpressing miR-335-5p in osteoblasts lineage by the osterix promoter and characterized its bone phenotype. Bone histomorphometry and μCT analysis revealed higher bone mass and increased parameters of bone formation in transgenic mice than in wild-type littermates. Increased bone mass in transgenic mice bones also correlated with enhanced expression of osteogenic differentiation markers. Upon osteogenic induction, bone marrow stromal cells (BMSCs) isolated from transgenic mice displayed higher mRNA expression of osteogenic markers than wild-type mice BMSCs cultures. Protein expression of Runx2 and Osx was also upregulated in BMSC cultures of transgenic mice upon osteogenic induction, whereas that of DKK1 was downregulated. Most important, BMSCs from transgenic mice were able to repair craniofacial bone defects as shown by μCT analysis, H&amp;E staining, and osteocalcin (OCN) immunohistochemistry of newly formed bone in defects treated with BMSCs. Taken together, our results demonstrate constitutive overexpression of miR-335-5p driven by an osterix promoter in the osteoblast lineage induces osteogenic differentiation and bone formation in mice and support the potential application of miR-335-5p–modified BMSCs in craniofacial bone regeneration. © 2017 American Society for Bone and Mineral Research.","container-title":"Journal of Bone and Mineral Research","DOI":"10.1002/jbmr.3230","ISSN":"1523-4681","issue":"12","language":"en","note":"_eprint: https://asbmr.onlinelibrary.wiley.com/doi/pdf/10.1002/jbmr.3230","page":"2466-2475","source":"Wiley Online Library","title":"Overexpression of MiR-335-5p Promotes Bone Formation and Regeneration in Mice","volume":"32","author":[{"family":"Zhang","given":"Lan"},{"family":"Tang","given":"Yin"},{"family":"Zhu","given":"Xiaofang"},{"family":"Tu","given":"Tianchi"},{"family":"Sui","given":"Lei"},{"family":"Han","given":"Qianqian"},{"family":"Yu","given":"Liming"},{"family":"Meng","given":"Shu"},{"family":"Zheng","given":"Leilei"},{"family":"Valverde","given":"Paloma"},{"family":"Tang","given":"Jean"},{"family":"Murray","given":"Dana"},{"family":"Zhou","given":"Xuedong"},{"family":"Drissi","given":"Hicham"},{"family":"Dard","given":"Michel M."},{"family":"Tu","given":"Qisheng"},{"family":"Chen","given":"Jake"}],"issued":{"date-parts":[["2017"]]}}}],"schema":"https://github.com/citation-style-language/schema/raw/master/csl-citation.json"} </w:instrText>
      </w:r>
      <w:r w:rsidR="00766BFF" w:rsidRPr="00757919">
        <w:rPr>
          <w:rFonts w:ascii="Times New Roman" w:eastAsia="Arial" w:hAnsi="Times New Roman" w:cs="Times New Roman"/>
          <w:sz w:val="24"/>
          <w:szCs w:val="24"/>
        </w:rPr>
        <w:fldChar w:fldCharType="separate"/>
      </w:r>
      <w:r w:rsidR="000E575F" w:rsidRPr="000E575F">
        <w:rPr>
          <w:rFonts w:ascii="Times New Roman" w:hAnsi="Times New Roman" w:cs="Times New Roman"/>
          <w:sz w:val="24"/>
          <w:szCs w:val="24"/>
          <w:vertAlign w:val="superscript"/>
        </w:rPr>
        <w:t>36–38,76–93</w:t>
      </w:r>
      <w:r w:rsidR="00766BFF" w:rsidRPr="00757919">
        <w:rPr>
          <w:rFonts w:ascii="Times New Roman" w:eastAsia="Arial" w:hAnsi="Times New Roman" w:cs="Times New Roman"/>
          <w:sz w:val="24"/>
          <w:szCs w:val="24"/>
        </w:rPr>
        <w:fldChar w:fldCharType="end"/>
      </w:r>
      <w:r w:rsidR="002A696F">
        <w:rPr>
          <w:rFonts w:ascii="Times New Roman" w:eastAsia="Arial" w:hAnsi="Times New Roman" w:cs="Times New Roman"/>
          <w:sz w:val="24"/>
          <w:szCs w:val="24"/>
        </w:rPr>
        <w:t>, and we did test for potential confounding due to hemolysis.</w:t>
      </w:r>
      <w:r w:rsidRPr="00757919">
        <w:rPr>
          <w:rFonts w:ascii="Times New Roman" w:eastAsia="Arial" w:hAnsi="Times New Roman" w:cs="Times New Roman"/>
          <w:sz w:val="24"/>
          <w:szCs w:val="24"/>
        </w:rPr>
        <w:t xml:space="preserve"> An additional limitation is the lack of diversity in the study sample, limiting our findings to participants of white, European ancestry background. </w:t>
      </w:r>
      <w:r w:rsidR="00D9492C">
        <w:rPr>
          <w:rFonts w:ascii="Times New Roman" w:eastAsia="Arial" w:hAnsi="Times New Roman" w:cs="Times New Roman"/>
          <w:sz w:val="24"/>
          <w:szCs w:val="24"/>
        </w:rPr>
        <w:t>Also</w:t>
      </w:r>
      <w:r w:rsidRPr="00757919">
        <w:rPr>
          <w:rFonts w:ascii="Times New Roman" w:eastAsia="Arial" w:hAnsi="Times New Roman" w:cs="Times New Roman"/>
          <w:sz w:val="24"/>
          <w:szCs w:val="24"/>
        </w:rPr>
        <w:t xml:space="preserve">, these SNPs have not previously been cited in any GWAS study, which limits our knowledge to that </w:t>
      </w:r>
      <w:r w:rsidR="00D9492C">
        <w:rPr>
          <w:rFonts w:ascii="Times New Roman" w:eastAsia="Arial" w:hAnsi="Times New Roman" w:cs="Times New Roman"/>
          <w:sz w:val="24"/>
          <w:szCs w:val="24"/>
        </w:rPr>
        <w:t>obtained from</w:t>
      </w:r>
      <w:r w:rsidRPr="00757919">
        <w:rPr>
          <w:rFonts w:ascii="Times New Roman" w:eastAsia="Arial" w:hAnsi="Times New Roman" w:cs="Times New Roman"/>
          <w:sz w:val="24"/>
          <w:szCs w:val="24"/>
        </w:rPr>
        <w:t xml:space="preserve"> our </w:t>
      </w:r>
      <w:r w:rsidR="00792D45" w:rsidRPr="00757919">
        <w:rPr>
          <w:rFonts w:ascii="Times New Roman" w:eastAsia="Arial" w:hAnsi="Times New Roman" w:cs="Times New Roman"/>
          <w:sz w:val="24"/>
          <w:szCs w:val="24"/>
        </w:rPr>
        <w:t xml:space="preserve">own </w:t>
      </w:r>
      <w:r w:rsidRPr="00757919">
        <w:rPr>
          <w:rFonts w:ascii="Times New Roman" w:eastAsia="Arial" w:hAnsi="Times New Roman" w:cs="Times New Roman"/>
          <w:sz w:val="24"/>
          <w:szCs w:val="24"/>
        </w:rPr>
        <w:t xml:space="preserve">datasets. We are also uncertain as to why these effects are </w:t>
      </w:r>
      <w:r w:rsidR="00D815F0" w:rsidRPr="00757919">
        <w:rPr>
          <w:rFonts w:ascii="Times New Roman" w:eastAsia="Arial" w:hAnsi="Times New Roman" w:cs="Times New Roman"/>
          <w:sz w:val="24"/>
          <w:szCs w:val="24"/>
        </w:rPr>
        <w:t xml:space="preserve">different </w:t>
      </w:r>
      <w:r w:rsidRPr="00757919">
        <w:rPr>
          <w:rFonts w:ascii="Times New Roman" w:eastAsia="Arial" w:hAnsi="Times New Roman" w:cs="Times New Roman"/>
          <w:sz w:val="24"/>
          <w:szCs w:val="24"/>
        </w:rPr>
        <w:t xml:space="preserve">by sex, </w:t>
      </w:r>
      <w:r w:rsidR="00D815F0" w:rsidRPr="00757919">
        <w:rPr>
          <w:rFonts w:ascii="Times New Roman" w:eastAsia="Arial" w:hAnsi="Times New Roman" w:cs="Times New Roman"/>
          <w:sz w:val="24"/>
          <w:szCs w:val="24"/>
        </w:rPr>
        <w:t xml:space="preserve">although </w:t>
      </w:r>
      <w:r w:rsidR="00D9492C">
        <w:rPr>
          <w:rFonts w:ascii="Times New Roman" w:eastAsia="Arial" w:hAnsi="Times New Roman" w:cs="Times New Roman"/>
          <w:sz w:val="24"/>
          <w:szCs w:val="24"/>
        </w:rPr>
        <w:t xml:space="preserve">prior evidence of sex differences in </w:t>
      </w:r>
      <w:r w:rsidR="00D46515">
        <w:rPr>
          <w:rFonts w:ascii="Times New Roman" w:eastAsia="Arial" w:hAnsi="Times New Roman" w:cs="Times New Roman"/>
          <w:sz w:val="24"/>
          <w:szCs w:val="24"/>
        </w:rPr>
        <w:t>the effects of</w:t>
      </w:r>
      <w:r w:rsidR="00A00DFF" w:rsidRPr="00A00DFF">
        <w:rPr>
          <w:rFonts w:ascii="Times New Roman" w:hAnsi="Times New Roman" w:cs="Times New Roman"/>
          <w:sz w:val="24"/>
          <w:szCs w:val="24"/>
        </w:rPr>
        <w:t xml:space="preserve"> </w:t>
      </w:r>
      <w:r w:rsidR="00A00DFF">
        <w:rPr>
          <w:rFonts w:ascii="Times New Roman" w:hAnsi="Times New Roman" w:cs="Times New Roman"/>
          <w:sz w:val="24"/>
          <w:szCs w:val="24"/>
        </w:rPr>
        <w:t>β-</w:t>
      </w:r>
      <w:r w:rsidR="00D9492C">
        <w:rPr>
          <w:rFonts w:ascii="Times New Roman" w:eastAsia="Arial" w:hAnsi="Times New Roman" w:cs="Times New Roman"/>
          <w:sz w:val="24"/>
          <w:szCs w:val="24"/>
        </w:rPr>
        <w:t>adrenergic signaling or power limitations may provide explanations</w:t>
      </w:r>
      <w:r w:rsidRPr="00757919">
        <w:rPr>
          <w:rFonts w:ascii="Times New Roman" w:eastAsia="Arial" w:hAnsi="Times New Roman" w:cs="Times New Roman"/>
          <w:sz w:val="24"/>
          <w:szCs w:val="24"/>
        </w:rPr>
        <w:t>.</w:t>
      </w:r>
      <w:r w:rsidR="00226728" w:rsidRPr="00757919">
        <w:rPr>
          <w:rFonts w:ascii="Times New Roman" w:eastAsia="Arial" w:hAnsi="Times New Roman" w:cs="Times New Roman"/>
          <w:sz w:val="24"/>
          <w:szCs w:val="24"/>
        </w:rPr>
        <w:t xml:space="preserve"> </w:t>
      </w:r>
      <w:r w:rsidR="00025F2E" w:rsidRPr="00757919">
        <w:rPr>
          <w:rFonts w:ascii="Times New Roman" w:eastAsia="Arial" w:hAnsi="Times New Roman" w:cs="Times New Roman"/>
          <w:sz w:val="24"/>
          <w:szCs w:val="24"/>
        </w:rPr>
        <w:t xml:space="preserve">Another limitation is </w:t>
      </w:r>
      <w:r w:rsidR="00B73929">
        <w:rPr>
          <w:rFonts w:ascii="Times New Roman" w:eastAsia="Arial" w:hAnsi="Times New Roman" w:cs="Times New Roman"/>
          <w:sz w:val="24"/>
          <w:szCs w:val="24"/>
        </w:rPr>
        <w:t>that w</w:t>
      </w:r>
      <w:r w:rsidR="00B73929" w:rsidRPr="00B73929">
        <w:rPr>
          <w:rFonts w:ascii="Times New Roman" w:eastAsia="Arial" w:hAnsi="Times New Roman" w:cs="Times New Roman"/>
          <w:sz w:val="24"/>
          <w:szCs w:val="24"/>
        </w:rPr>
        <w:t>hile the study sample was</w:t>
      </w:r>
      <w:r w:rsidR="00B73929">
        <w:rPr>
          <w:rFonts w:ascii="Times New Roman" w:eastAsia="Arial" w:hAnsi="Times New Roman" w:cs="Times New Roman"/>
          <w:sz w:val="24"/>
          <w:szCs w:val="24"/>
        </w:rPr>
        <w:t xml:space="preserve"> </w:t>
      </w:r>
      <w:r w:rsidR="00B73929" w:rsidRPr="00B73929">
        <w:rPr>
          <w:rFonts w:ascii="Times New Roman" w:eastAsia="Arial" w:hAnsi="Times New Roman" w:cs="Times New Roman"/>
          <w:sz w:val="24"/>
          <w:szCs w:val="24"/>
        </w:rPr>
        <w:lastRenderedPageBreak/>
        <w:t xml:space="preserve">homogenous, the validation cohorts used were heterogeneous </w:t>
      </w:r>
      <w:proofErr w:type="gramStart"/>
      <w:r w:rsidR="00B73929" w:rsidRPr="00B73929">
        <w:rPr>
          <w:rFonts w:ascii="Times New Roman" w:eastAsia="Arial" w:hAnsi="Times New Roman" w:cs="Times New Roman"/>
          <w:sz w:val="24"/>
          <w:szCs w:val="24"/>
        </w:rPr>
        <w:t>in regards to</w:t>
      </w:r>
      <w:proofErr w:type="gramEnd"/>
      <w:r w:rsidR="00B73929" w:rsidRPr="00B73929">
        <w:rPr>
          <w:rFonts w:ascii="Times New Roman" w:eastAsia="Arial" w:hAnsi="Times New Roman" w:cs="Times New Roman"/>
          <w:sz w:val="24"/>
          <w:szCs w:val="24"/>
        </w:rPr>
        <w:t xml:space="preserve"> sample design and demographics. This may have limited our </w:t>
      </w:r>
      <w:r w:rsidR="00B73929">
        <w:rPr>
          <w:rFonts w:ascii="Times New Roman" w:eastAsia="Arial" w:hAnsi="Times New Roman" w:cs="Times New Roman"/>
          <w:sz w:val="24"/>
          <w:szCs w:val="24"/>
        </w:rPr>
        <w:t>power</w:t>
      </w:r>
      <w:r w:rsidR="00B73929" w:rsidRPr="00B73929">
        <w:rPr>
          <w:rFonts w:ascii="Times New Roman" w:eastAsia="Arial" w:hAnsi="Times New Roman" w:cs="Times New Roman"/>
          <w:sz w:val="24"/>
          <w:szCs w:val="24"/>
        </w:rPr>
        <w:t xml:space="preserve"> but strengthened </w:t>
      </w:r>
      <w:r w:rsidR="00B73929">
        <w:rPr>
          <w:rFonts w:ascii="Times New Roman" w:eastAsia="Arial" w:hAnsi="Times New Roman" w:cs="Times New Roman"/>
          <w:sz w:val="24"/>
          <w:szCs w:val="24"/>
        </w:rPr>
        <w:t>the external validity of our findings.</w:t>
      </w:r>
      <w:r w:rsidR="00B73929" w:rsidRPr="00757919" w:rsidDel="00B73929">
        <w:rPr>
          <w:rFonts w:ascii="Times New Roman" w:eastAsia="Arial" w:hAnsi="Times New Roman" w:cs="Times New Roman"/>
          <w:sz w:val="24"/>
          <w:szCs w:val="24"/>
        </w:rPr>
        <w:t xml:space="preserve"> </w:t>
      </w:r>
    </w:p>
    <w:p w14:paraId="0AB97C71" w14:textId="47132A6C" w:rsidR="00630A57" w:rsidRDefault="00D9746A" w:rsidP="00864F3F">
      <w:pPr>
        <w:spacing w:line="480" w:lineRule="auto"/>
        <w:rPr>
          <w:rFonts w:ascii="Times New Roman" w:eastAsia="Arial" w:hAnsi="Times New Roman" w:cs="Times New Roman"/>
          <w:sz w:val="24"/>
          <w:szCs w:val="24"/>
        </w:rPr>
      </w:pPr>
      <w:r w:rsidRPr="00757919">
        <w:rPr>
          <w:rFonts w:ascii="Times New Roman" w:eastAsia="Arial" w:hAnsi="Times New Roman" w:cs="Times New Roman"/>
          <w:sz w:val="24"/>
          <w:szCs w:val="24"/>
        </w:rPr>
        <w:t xml:space="preserve">To our knowledge, this is the first study to </w:t>
      </w:r>
      <w:r w:rsidR="002B7103">
        <w:rPr>
          <w:rFonts w:ascii="Times New Roman" w:eastAsia="Arial" w:hAnsi="Times New Roman" w:cs="Times New Roman"/>
          <w:sz w:val="24"/>
          <w:szCs w:val="24"/>
        </w:rPr>
        <w:t xml:space="preserve">suggest an </w:t>
      </w:r>
      <w:r w:rsidR="00313EE5">
        <w:rPr>
          <w:rFonts w:ascii="Times New Roman" w:eastAsia="Arial" w:hAnsi="Times New Roman" w:cs="Times New Roman"/>
          <w:sz w:val="24"/>
          <w:szCs w:val="24"/>
        </w:rPr>
        <w:t>interaction between gen</w:t>
      </w:r>
      <w:r w:rsidR="0036615C">
        <w:rPr>
          <w:rFonts w:ascii="Times New Roman" w:eastAsia="Arial" w:hAnsi="Times New Roman" w:cs="Times New Roman"/>
          <w:sz w:val="24"/>
          <w:szCs w:val="24"/>
        </w:rPr>
        <w:t>e</w:t>
      </w:r>
      <w:r w:rsidR="00313EE5">
        <w:rPr>
          <w:rFonts w:ascii="Times New Roman" w:eastAsia="Arial" w:hAnsi="Times New Roman" w:cs="Times New Roman"/>
          <w:sz w:val="24"/>
          <w:szCs w:val="24"/>
        </w:rPr>
        <w:t>s and</w:t>
      </w:r>
      <w:r w:rsidRPr="00757919">
        <w:rPr>
          <w:rFonts w:ascii="Times New Roman" w:eastAsia="Arial" w:hAnsi="Times New Roman" w:cs="Times New Roman"/>
          <w:sz w:val="24"/>
          <w:szCs w:val="24"/>
        </w:rPr>
        <w:t xml:space="preserve"> BB use on BMD. We have </w:t>
      </w:r>
      <w:r w:rsidR="004A0274">
        <w:rPr>
          <w:rFonts w:ascii="Times New Roman" w:eastAsia="Arial" w:hAnsi="Times New Roman" w:cs="Times New Roman"/>
          <w:sz w:val="24"/>
          <w:szCs w:val="24"/>
        </w:rPr>
        <w:t>identified</w:t>
      </w:r>
      <w:r w:rsidR="004A0274" w:rsidRPr="00757919">
        <w:rPr>
          <w:rFonts w:ascii="Times New Roman" w:eastAsia="Arial" w:hAnsi="Times New Roman" w:cs="Times New Roman"/>
          <w:sz w:val="24"/>
          <w:szCs w:val="24"/>
        </w:rPr>
        <w:t xml:space="preserve"> </w:t>
      </w:r>
      <w:r w:rsidRPr="00757919">
        <w:rPr>
          <w:rFonts w:ascii="Times New Roman" w:eastAsia="Arial" w:hAnsi="Times New Roman" w:cs="Times New Roman"/>
          <w:sz w:val="24"/>
          <w:szCs w:val="24"/>
        </w:rPr>
        <w:t xml:space="preserve">4 sex-specific genetic </w:t>
      </w:r>
      <w:r w:rsidR="00CE7371">
        <w:rPr>
          <w:rFonts w:ascii="Times New Roman" w:eastAsia="Arial" w:hAnsi="Times New Roman" w:cs="Times New Roman"/>
          <w:sz w:val="24"/>
          <w:szCs w:val="24"/>
        </w:rPr>
        <w:t>polymorphism</w:t>
      </w:r>
      <w:r w:rsidRPr="00757919">
        <w:rPr>
          <w:rFonts w:ascii="Times New Roman" w:eastAsia="Arial" w:hAnsi="Times New Roman" w:cs="Times New Roman"/>
          <w:sz w:val="24"/>
          <w:szCs w:val="24"/>
        </w:rPr>
        <w:t>s that map to or near genes involved in adrenergic signaling in bone</w:t>
      </w:r>
      <w:r w:rsidR="00025F2E" w:rsidRPr="00757919">
        <w:rPr>
          <w:rFonts w:ascii="Times New Roman" w:eastAsia="Arial" w:hAnsi="Times New Roman" w:cs="Times New Roman"/>
          <w:sz w:val="24"/>
          <w:szCs w:val="24"/>
        </w:rPr>
        <w:t xml:space="preserve"> and </w:t>
      </w:r>
      <w:r w:rsidR="002B7103">
        <w:rPr>
          <w:rFonts w:ascii="Times New Roman" w:eastAsia="Arial" w:hAnsi="Times New Roman" w:cs="Times New Roman"/>
          <w:sz w:val="24"/>
          <w:szCs w:val="24"/>
        </w:rPr>
        <w:t xml:space="preserve">successfully </w:t>
      </w:r>
      <w:r w:rsidR="00025F2E" w:rsidRPr="00757919">
        <w:rPr>
          <w:rFonts w:ascii="Times New Roman" w:eastAsia="Arial" w:hAnsi="Times New Roman" w:cs="Times New Roman"/>
          <w:sz w:val="24"/>
          <w:szCs w:val="24"/>
        </w:rPr>
        <w:t>validated 2 of them in external cohorts</w:t>
      </w:r>
      <w:r w:rsidRPr="00757919">
        <w:rPr>
          <w:rFonts w:ascii="Times New Roman" w:eastAsia="Arial" w:hAnsi="Times New Roman" w:cs="Times New Roman"/>
          <w:sz w:val="24"/>
          <w:szCs w:val="24"/>
        </w:rPr>
        <w:t xml:space="preserve">. </w:t>
      </w:r>
      <w:r w:rsidR="002B7103">
        <w:rPr>
          <w:rFonts w:ascii="Times New Roman" w:eastAsia="Arial" w:hAnsi="Times New Roman" w:cs="Times New Roman"/>
          <w:sz w:val="24"/>
          <w:szCs w:val="24"/>
        </w:rPr>
        <w:t xml:space="preserve"> Based on our previous work showing that beta blocker use is associated with the presence of certain circulating miRNA’s, </w:t>
      </w:r>
      <w:r w:rsidR="002D5EA7">
        <w:rPr>
          <w:rFonts w:ascii="Times New Roman" w:eastAsia="Arial" w:hAnsi="Times New Roman" w:cs="Times New Roman"/>
          <w:sz w:val="24"/>
          <w:szCs w:val="24"/>
        </w:rPr>
        <w:t xml:space="preserve"> w</w:t>
      </w:r>
      <w:r w:rsidRPr="00757919">
        <w:rPr>
          <w:rFonts w:ascii="Times New Roman" w:eastAsia="Arial" w:hAnsi="Times New Roman" w:cs="Times New Roman"/>
          <w:sz w:val="24"/>
          <w:szCs w:val="24"/>
        </w:rPr>
        <w:t>e have also determined miRNAs associated with these SNPs and putative miRNA-mediated mechanisms by which th</w:t>
      </w:r>
      <w:r w:rsidR="00512451" w:rsidRPr="00757919">
        <w:rPr>
          <w:rFonts w:ascii="Times New Roman" w:eastAsia="Arial" w:hAnsi="Times New Roman" w:cs="Times New Roman"/>
          <w:sz w:val="24"/>
          <w:szCs w:val="24"/>
        </w:rPr>
        <w:t>e</w:t>
      </w:r>
      <w:r w:rsidRPr="00757919">
        <w:rPr>
          <w:rFonts w:ascii="Times New Roman" w:eastAsia="Arial" w:hAnsi="Times New Roman" w:cs="Times New Roman"/>
          <w:sz w:val="24"/>
          <w:szCs w:val="24"/>
        </w:rPr>
        <w:t>s</w:t>
      </w:r>
      <w:r w:rsidR="00512451" w:rsidRPr="00757919">
        <w:rPr>
          <w:rFonts w:ascii="Times New Roman" w:eastAsia="Arial" w:hAnsi="Times New Roman" w:cs="Times New Roman"/>
          <w:sz w:val="24"/>
          <w:szCs w:val="24"/>
        </w:rPr>
        <w:t>e</w:t>
      </w:r>
      <w:r w:rsidRPr="00757919">
        <w:rPr>
          <w:rFonts w:ascii="Times New Roman" w:eastAsia="Arial" w:hAnsi="Times New Roman" w:cs="Times New Roman"/>
          <w:sz w:val="24"/>
          <w:szCs w:val="24"/>
        </w:rPr>
        <w:t xml:space="preserve"> SNP</w:t>
      </w:r>
      <w:r w:rsidR="00512451" w:rsidRPr="00757919">
        <w:rPr>
          <w:rFonts w:ascii="Times New Roman" w:eastAsia="Arial" w:hAnsi="Times New Roman" w:cs="Times New Roman"/>
          <w:sz w:val="24"/>
          <w:szCs w:val="24"/>
        </w:rPr>
        <w:t>s</w:t>
      </w:r>
      <w:r w:rsidRPr="00757919">
        <w:rPr>
          <w:rFonts w:ascii="Times New Roman" w:eastAsia="Arial" w:hAnsi="Times New Roman" w:cs="Times New Roman"/>
          <w:sz w:val="24"/>
          <w:szCs w:val="24"/>
        </w:rPr>
        <w:t xml:space="preserve"> </w:t>
      </w:r>
      <w:r w:rsidR="002D5EA7">
        <w:rPr>
          <w:rFonts w:ascii="Times New Roman" w:eastAsia="Arial" w:hAnsi="Times New Roman" w:cs="Times New Roman"/>
          <w:sz w:val="24"/>
          <w:szCs w:val="24"/>
        </w:rPr>
        <w:t>mediate</w:t>
      </w:r>
      <w:r w:rsidR="001C29E5" w:rsidRPr="00757919">
        <w:rPr>
          <w:rFonts w:ascii="Times New Roman" w:eastAsia="Arial" w:hAnsi="Times New Roman" w:cs="Times New Roman"/>
          <w:sz w:val="24"/>
          <w:szCs w:val="24"/>
        </w:rPr>
        <w:t xml:space="preserve"> the effect of BB use on</w:t>
      </w:r>
      <w:r w:rsidRPr="00757919">
        <w:rPr>
          <w:rFonts w:ascii="Times New Roman" w:eastAsia="Arial" w:hAnsi="Times New Roman" w:cs="Times New Roman"/>
          <w:sz w:val="24"/>
          <w:szCs w:val="24"/>
        </w:rPr>
        <w:t xml:space="preserve"> BMD. We </w:t>
      </w:r>
      <w:r w:rsidR="00F10265" w:rsidRPr="00757919">
        <w:rPr>
          <w:rFonts w:ascii="Times New Roman" w:eastAsia="Arial" w:hAnsi="Times New Roman" w:cs="Times New Roman"/>
          <w:sz w:val="24"/>
          <w:szCs w:val="24"/>
        </w:rPr>
        <w:t>intend to validate these mechanisms</w:t>
      </w:r>
      <w:r w:rsidRPr="00757919">
        <w:rPr>
          <w:rFonts w:ascii="Times New Roman" w:eastAsia="Arial" w:hAnsi="Times New Roman" w:cs="Times New Roman"/>
          <w:sz w:val="24"/>
          <w:szCs w:val="24"/>
        </w:rPr>
        <w:t xml:space="preserve"> in future</w:t>
      </w:r>
      <w:r w:rsidR="003C7F7F">
        <w:rPr>
          <w:rFonts w:ascii="Times New Roman" w:eastAsia="Arial" w:hAnsi="Times New Roman" w:cs="Times New Roman"/>
          <w:sz w:val="24"/>
          <w:szCs w:val="24"/>
        </w:rPr>
        <w:t xml:space="preserve"> using</w:t>
      </w:r>
      <w:r w:rsidRPr="00757919">
        <w:rPr>
          <w:rFonts w:ascii="Times New Roman" w:eastAsia="Arial" w:hAnsi="Times New Roman" w:cs="Times New Roman"/>
          <w:sz w:val="24"/>
          <w:szCs w:val="24"/>
        </w:rPr>
        <w:t xml:space="preserve"> </w:t>
      </w:r>
      <w:r w:rsidRPr="00757919">
        <w:rPr>
          <w:rFonts w:ascii="Times New Roman" w:eastAsia="Arial" w:hAnsi="Times New Roman" w:cs="Times New Roman"/>
          <w:i/>
          <w:iCs/>
          <w:sz w:val="24"/>
          <w:szCs w:val="24"/>
        </w:rPr>
        <w:t>in</w:t>
      </w:r>
      <w:r w:rsidRPr="00757919">
        <w:rPr>
          <w:rFonts w:ascii="Times New Roman" w:eastAsia="Arial" w:hAnsi="Times New Roman" w:cs="Times New Roman"/>
          <w:sz w:val="24"/>
          <w:szCs w:val="24"/>
        </w:rPr>
        <w:t xml:space="preserve"> </w:t>
      </w:r>
      <w:r w:rsidRPr="00757919">
        <w:rPr>
          <w:rFonts w:ascii="Times New Roman" w:eastAsia="Arial" w:hAnsi="Times New Roman" w:cs="Times New Roman"/>
          <w:i/>
          <w:iCs/>
          <w:sz w:val="24"/>
          <w:szCs w:val="24"/>
        </w:rPr>
        <w:t>vivo, in vitro</w:t>
      </w:r>
      <w:r w:rsidR="00757919" w:rsidRPr="00757919">
        <w:rPr>
          <w:rFonts w:ascii="Times New Roman" w:eastAsia="Arial" w:hAnsi="Times New Roman" w:cs="Times New Roman"/>
          <w:i/>
          <w:iCs/>
          <w:sz w:val="24"/>
          <w:szCs w:val="24"/>
        </w:rPr>
        <w:t>,</w:t>
      </w:r>
      <w:r w:rsidRPr="00757919">
        <w:rPr>
          <w:rFonts w:ascii="Times New Roman" w:eastAsia="Arial" w:hAnsi="Times New Roman" w:cs="Times New Roman"/>
          <w:sz w:val="24"/>
          <w:szCs w:val="24"/>
        </w:rPr>
        <w:t xml:space="preserve"> and clinical models.</w:t>
      </w:r>
      <w:r w:rsidR="005D18DA" w:rsidRPr="00757919">
        <w:rPr>
          <w:rFonts w:ascii="Times New Roman" w:eastAsia="Arial" w:hAnsi="Times New Roman" w:cs="Times New Roman"/>
          <w:sz w:val="24"/>
          <w:szCs w:val="24"/>
        </w:rPr>
        <w:t xml:space="preserve"> </w:t>
      </w:r>
      <w:r w:rsidR="000F275F">
        <w:rPr>
          <w:rFonts w:ascii="Times New Roman" w:eastAsia="Arial" w:hAnsi="Times New Roman" w:cs="Times New Roman"/>
          <w:sz w:val="24"/>
          <w:szCs w:val="24"/>
        </w:rPr>
        <w:t xml:space="preserve"> In conclusion, o</w:t>
      </w:r>
      <w:r w:rsidR="00313EE5">
        <w:rPr>
          <w:rFonts w:ascii="Times New Roman" w:eastAsia="Arial" w:hAnsi="Times New Roman" w:cs="Times New Roman"/>
          <w:sz w:val="24"/>
          <w:szCs w:val="24"/>
        </w:rPr>
        <w:t>ur findings</w:t>
      </w:r>
      <w:r w:rsidR="000F275F">
        <w:rPr>
          <w:rFonts w:ascii="Times New Roman" w:eastAsia="Arial" w:hAnsi="Times New Roman" w:cs="Times New Roman"/>
          <w:sz w:val="24"/>
          <w:szCs w:val="24"/>
        </w:rPr>
        <w:t xml:space="preserve"> that beta blocker associations with BMD may be modified by genetic variation</w:t>
      </w:r>
      <w:r w:rsidR="00313EE5">
        <w:rPr>
          <w:rFonts w:ascii="Times New Roman" w:eastAsia="Arial" w:hAnsi="Times New Roman" w:cs="Times New Roman"/>
          <w:sz w:val="24"/>
          <w:szCs w:val="24"/>
        </w:rPr>
        <w:t xml:space="preserve"> suggest that studies evaluating the bone effects of </w:t>
      </w:r>
      <w:r w:rsidR="004C09C1">
        <w:rPr>
          <w:rFonts w:ascii="Times New Roman" w:eastAsia="Arial" w:hAnsi="Times New Roman" w:cs="Times New Roman"/>
          <w:sz w:val="24"/>
          <w:szCs w:val="24"/>
        </w:rPr>
        <w:t>BBs</w:t>
      </w:r>
      <w:r w:rsidR="002D5EA7">
        <w:rPr>
          <w:rFonts w:ascii="Times New Roman" w:eastAsia="Arial" w:hAnsi="Times New Roman" w:cs="Times New Roman"/>
          <w:sz w:val="24"/>
          <w:szCs w:val="24"/>
        </w:rPr>
        <w:t xml:space="preserve"> consider genetic </w:t>
      </w:r>
      <w:r w:rsidR="00573B02">
        <w:rPr>
          <w:rFonts w:ascii="Times New Roman" w:eastAsia="Arial" w:hAnsi="Times New Roman" w:cs="Times New Roman"/>
          <w:sz w:val="24"/>
          <w:szCs w:val="24"/>
        </w:rPr>
        <w:t>variation</w:t>
      </w:r>
      <w:r w:rsidR="00313EE5">
        <w:rPr>
          <w:rFonts w:ascii="Times New Roman" w:eastAsia="Arial" w:hAnsi="Times New Roman" w:cs="Times New Roman"/>
          <w:sz w:val="24"/>
          <w:szCs w:val="24"/>
        </w:rPr>
        <w:t xml:space="preserve"> </w:t>
      </w:r>
      <w:r w:rsidR="002D5EA7">
        <w:rPr>
          <w:rFonts w:ascii="Times New Roman" w:eastAsia="Arial" w:hAnsi="Times New Roman" w:cs="Times New Roman"/>
          <w:sz w:val="24"/>
          <w:szCs w:val="24"/>
        </w:rPr>
        <w:t>in drug response</w:t>
      </w:r>
      <w:r w:rsidR="00313EE5">
        <w:rPr>
          <w:rFonts w:ascii="Times New Roman" w:eastAsia="Arial" w:hAnsi="Times New Roman" w:cs="Times New Roman"/>
          <w:sz w:val="24"/>
          <w:szCs w:val="24"/>
        </w:rPr>
        <w:t>.</w:t>
      </w:r>
    </w:p>
    <w:p w14:paraId="52F69CD5" w14:textId="77777777" w:rsidR="002E36A1" w:rsidRPr="002E36A1" w:rsidRDefault="002E36A1" w:rsidP="00864F3F">
      <w:pPr>
        <w:spacing w:line="480" w:lineRule="auto"/>
        <w:rPr>
          <w:rFonts w:ascii="Times New Roman" w:eastAsia="Arial" w:hAnsi="Times New Roman" w:cs="Times New Roman"/>
          <w:b/>
          <w:sz w:val="24"/>
          <w:szCs w:val="24"/>
        </w:rPr>
      </w:pPr>
      <w:r w:rsidRPr="002E36A1">
        <w:rPr>
          <w:rFonts w:ascii="Times New Roman" w:eastAsia="Arial" w:hAnsi="Times New Roman" w:cs="Times New Roman"/>
          <w:b/>
          <w:sz w:val="24"/>
          <w:szCs w:val="24"/>
        </w:rPr>
        <w:t>Supplementary Material</w:t>
      </w:r>
    </w:p>
    <w:p w14:paraId="242AD8C6" w14:textId="552EC222" w:rsidR="002E36A1" w:rsidRPr="002E36A1" w:rsidRDefault="00920112" w:rsidP="00864F3F">
      <w:pPr>
        <w:spacing w:line="480" w:lineRule="auto"/>
        <w:rPr>
          <w:rFonts w:ascii="Times New Roman" w:eastAsia="Arial" w:hAnsi="Times New Roman" w:cs="Times New Roman"/>
          <w:sz w:val="24"/>
          <w:szCs w:val="24"/>
        </w:rPr>
      </w:pPr>
      <w:hyperlink r:id="rId10" w:history="1">
        <w:r w:rsidR="002E36A1" w:rsidRPr="002E36A1">
          <w:rPr>
            <w:rStyle w:val="Hyperlink"/>
            <w:rFonts w:ascii="Times New Roman" w:hAnsi="Times New Roman" w:cs="Times New Roman"/>
            <w:sz w:val="24"/>
            <w:szCs w:val="24"/>
          </w:rPr>
          <w:t>http://clary.mmcri.cloud/JES_Nevola_et_all_supplement.pdf</w:t>
        </w:r>
      </w:hyperlink>
    </w:p>
    <w:p w14:paraId="468F7E1F" w14:textId="0CDA3806" w:rsidR="00E33248" w:rsidRDefault="00E33248" w:rsidP="00864F3F">
      <w:pPr>
        <w:spacing w:line="48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Data Availability</w:t>
      </w:r>
    </w:p>
    <w:p w14:paraId="2AA407C3" w14:textId="1E9ECE1A" w:rsidR="00E33248" w:rsidRPr="00E33248" w:rsidRDefault="00E33248" w:rsidP="00864F3F">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D</w:t>
      </w:r>
      <w:r w:rsidRPr="0022115C">
        <w:rPr>
          <w:rFonts w:ascii="Times New Roman" w:eastAsia="Arial" w:hAnsi="Times New Roman" w:cs="Times New Roman"/>
          <w:sz w:val="24"/>
          <w:szCs w:val="24"/>
        </w:rPr>
        <w:t>ata</w:t>
      </w:r>
      <w:r>
        <w:rPr>
          <w:rFonts w:ascii="Times New Roman" w:eastAsia="Arial" w:hAnsi="Times New Roman" w:cs="Times New Roman"/>
          <w:sz w:val="24"/>
          <w:szCs w:val="24"/>
        </w:rPr>
        <w:t xml:space="preserve"> from the Framingham Heart Study that was</w:t>
      </w:r>
      <w:r w:rsidRPr="0022115C">
        <w:rPr>
          <w:rFonts w:ascii="Times New Roman" w:eastAsia="Arial" w:hAnsi="Times New Roman" w:cs="Times New Roman"/>
          <w:sz w:val="24"/>
          <w:szCs w:val="24"/>
        </w:rPr>
        <w:t xml:space="preserve"> analyzed during this study are included in this published article or in the data repositories listed in References.</w:t>
      </w:r>
      <w:r>
        <w:rPr>
          <w:rFonts w:ascii="Times New Roman" w:eastAsia="Arial" w:hAnsi="Times New Roman" w:cs="Times New Roman"/>
          <w:sz w:val="24"/>
          <w:szCs w:val="24"/>
        </w:rPr>
        <w:t xml:space="preserve"> </w:t>
      </w:r>
      <w:r w:rsidRPr="00E33248">
        <w:rPr>
          <w:rFonts w:ascii="Times New Roman" w:eastAsia="Arial" w:hAnsi="Times New Roman" w:cs="Times New Roman"/>
          <w:sz w:val="24"/>
          <w:szCs w:val="24"/>
        </w:rPr>
        <w:t>Restrictions apply to some or all the availability of data generated or analyzed during this study to preserve patient confidentiality or because they were used under license. The corresponding author will on request detail the restrictions and any conditions under which access to some data may be provided.</w:t>
      </w:r>
    </w:p>
    <w:p w14:paraId="27B2B6ED" w14:textId="7E2002AA" w:rsidR="00D57F0F" w:rsidRDefault="00D57F0F">
      <w:pPr>
        <w:spacing w:line="480" w:lineRule="auto"/>
        <w:rPr>
          <w:rFonts w:ascii="Times New Roman" w:hAnsi="Times New Roman" w:cs="Times New Roman"/>
          <w:b/>
          <w:sz w:val="24"/>
          <w:szCs w:val="24"/>
          <w:lang w:val="nl-NL"/>
        </w:rPr>
      </w:pPr>
      <w:r w:rsidRPr="00757919">
        <w:rPr>
          <w:rFonts w:ascii="Times New Roman" w:hAnsi="Times New Roman" w:cs="Times New Roman"/>
          <w:b/>
          <w:sz w:val="24"/>
          <w:szCs w:val="24"/>
          <w:lang w:val="nl-NL"/>
        </w:rPr>
        <w:t>References</w:t>
      </w:r>
    </w:p>
    <w:p w14:paraId="39F5EB54" w14:textId="77777777" w:rsidR="009120DF" w:rsidRPr="000B5D6C" w:rsidRDefault="00AD03DC"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fldChar w:fldCharType="begin"/>
      </w:r>
      <w:r w:rsidR="009120DF" w:rsidRPr="000B5D6C">
        <w:rPr>
          <w:rFonts w:ascii="Times New Roman" w:hAnsi="Times New Roman" w:cs="Times New Roman"/>
          <w:sz w:val="24"/>
          <w:szCs w:val="24"/>
          <w:lang w:val="nl-NL"/>
        </w:rPr>
        <w:instrText xml:space="preserve"> ADDIN ZOTERO_BIBL {"uncited":[],"omitted":[],"custom":[]} CSL_BIBLIOGRAPHY </w:instrText>
      </w:r>
      <w:r w:rsidRPr="000B5D6C">
        <w:rPr>
          <w:rFonts w:ascii="Times New Roman" w:hAnsi="Times New Roman" w:cs="Times New Roman"/>
          <w:sz w:val="24"/>
          <w:szCs w:val="24"/>
        </w:rPr>
        <w:fldChar w:fldCharType="separate"/>
      </w:r>
      <w:r w:rsidR="009120DF" w:rsidRPr="000B5D6C">
        <w:rPr>
          <w:rFonts w:ascii="Times New Roman" w:hAnsi="Times New Roman" w:cs="Times New Roman"/>
          <w:sz w:val="24"/>
          <w:szCs w:val="24"/>
        </w:rPr>
        <w:t xml:space="preserve">1. </w:t>
      </w:r>
      <w:r w:rsidR="009120DF" w:rsidRPr="000B5D6C">
        <w:rPr>
          <w:rFonts w:ascii="Times New Roman" w:hAnsi="Times New Roman" w:cs="Times New Roman"/>
          <w:sz w:val="24"/>
          <w:szCs w:val="24"/>
        </w:rPr>
        <w:tab/>
        <w:t xml:space="preserve">Bauer D, Krege J, Lane N, et al. National Bone Health Alliance Bone Turnover Marker Project: current practices and the need for US harmonization, standardization, and common reference ranges. </w:t>
      </w:r>
      <w:r w:rsidR="009120DF" w:rsidRPr="000B5D6C">
        <w:rPr>
          <w:rFonts w:ascii="Times New Roman" w:hAnsi="Times New Roman" w:cs="Times New Roman"/>
          <w:i/>
          <w:iCs/>
          <w:sz w:val="24"/>
          <w:szCs w:val="24"/>
        </w:rPr>
        <w:t>Osteoporos Int</w:t>
      </w:r>
      <w:r w:rsidR="009120DF" w:rsidRPr="000B5D6C">
        <w:rPr>
          <w:rFonts w:ascii="Times New Roman" w:hAnsi="Times New Roman" w:cs="Times New Roman"/>
          <w:sz w:val="24"/>
          <w:szCs w:val="24"/>
        </w:rPr>
        <w:t>. 2012;23(10):2425-2433. doi:10.1007/s00198-012-2049-z</w:t>
      </w:r>
    </w:p>
    <w:p w14:paraId="2A51BC2D"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 </w:t>
      </w:r>
      <w:r w:rsidRPr="000B5D6C">
        <w:rPr>
          <w:rFonts w:ascii="Times New Roman" w:hAnsi="Times New Roman" w:cs="Times New Roman"/>
          <w:sz w:val="24"/>
          <w:szCs w:val="24"/>
        </w:rPr>
        <w:tab/>
        <w:t xml:space="preserve">Kling JM, Clarke BL, Sandhu NP. Osteoporosis Prevention, Screening, and Treatment: A Review. </w:t>
      </w:r>
      <w:r w:rsidRPr="000B5D6C">
        <w:rPr>
          <w:rFonts w:ascii="Times New Roman" w:hAnsi="Times New Roman" w:cs="Times New Roman"/>
          <w:i/>
          <w:iCs/>
          <w:sz w:val="24"/>
          <w:szCs w:val="24"/>
        </w:rPr>
        <w:t>J Womens Health</w:t>
      </w:r>
      <w:r w:rsidRPr="000B5D6C">
        <w:rPr>
          <w:rFonts w:ascii="Times New Roman" w:hAnsi="Times New Roman" w:cs="Times New Roman"/>
          <w:sz w:val="24"/>
          <w:szCs w:val="24"/>
        </w:rPr>
        <w:t>. 2014;23(7):563-572. doi:10.1089/jwh.2013.4611</w:t>
      </w:r>
    </w:p>
    <w:p w14:paraId="1CACC8D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 </w:t>
      </w:r>
      <w:r w:rsidRPr="000B5D6C">
        <w:rPr>
          <w:rFonts w:ascii="Times New Roman" w:hAnsi="Times New Roman" w:cs="Times New Roman"/>
          <w:sz w:val="24"/>
          <w:szCs w:val="24"/>
        </w:rPr>
        <w:tab/>
        <w:t xml:space="preserve">US Preventive Services Task Force, Grossman DC, Curry SJ, et al. Vitamin D, Calcium, or Combined Supplementation for the Primary Prevention of Fractures in Community-Dwelling Adults: US Preventive Services Task Force Recommendation Statement. </w:t>
      </w:r>
      <w:r w:rsidRPr="000B5D6C">
        <w:rPr>
          <w:rFonts w:ascii="Times New Roman" w:hAnsi="Times New Roman" w:cs="Times New Roman"/>
          <w:i/>
          <w:iCs/>
          <w:sz w:val="24"/>
          <w:szCs w:val="24"/>
        </w:rPr>
        <w:t>JAMA</w:t>
      </w:r>
      <w:r w:rsidRPr="000B5D6C">
        <w:rPr>
          <w:rFonts w:ascii="Times New Roman" w:hAnsi="Times New Roman" w:cs="Times New Roman"/>
          <w:sz w:val="24"/>
          <w:szCs w:val="24"/>
        </w:rPr>
        <w:t>. 2018;319(15):1592-1599. doi:10.1001/jama.2018.3185</w:t>
      </w:r>
    </w:p>
    <w:p w14:paraId="2BA1A651"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 </w:t>
      </w:r>
      <w:r w:rsidRPr="000B5D6C">
        <w:rPr>
          <w:rFonts w:ascii="Times New Roman" w:hAnsi="Times New Roman" w:cs="Times New Roman"/>
          <w:sz w:val="24"/>
          <w:szCs w:val="24"/>
        </w:rPr>
        <w:tab/>
        <w:t xml:space="preserve">Weaver CM, Bischoff-Ferrari HA, Shanahan CJ. Cost-benefit analysis of calcium and vitamin D supplements. </w:t>
      </w:r>
      <w:r w:rsidRPr="000B5D6C">
        <w:rPr>
          <w:rFonts w:ascii="Times New Roman" w:hAnsi="Times New Roman" w:cs="Times New Roman"/>
          <w:i/>
          <w:iCs/>
          <w:sz w:val="24"/>
          <w:szCs w:val="24"/>
        </w:rPr>
        <w:t>Arch Osteoporos</w:t>
      </w:r>
      <w:r w:rsidRPr="000B5D6C">
        <w:rPr>
          <w:rFonts w:ascii="Times New Roman" w:hAnsi="Times New Roman" w:cs="Times New Roman"/>
          <w:sz w:val="24"/>
          <w:szCs w:val="24"/>
        </w:rPr>
        <w:t>. 2019;14(1):50. doi:10.1007/s11657-019-0589-y</w:t>
      </w:r>
    </w:p>
    <w:p w14:paraId="73762C7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 </w:t>
      </w:r>
      <w:r w:rsidRPr="000B5D6C">
        <w:rPr>
          <w:rFonts w:ascii="Times New Roman" w:hAnsi="Times New Roman" w:cs="Times New Roman"/>
          <w:sz w:val="24"/>
          <w:szCs w:val="24"/>
        </w:rPr>
        <w:tab/>
        <w:t xml:space="preserve">Yang S, Nguyen ND, Eisman JA, Nguyen TV. Association between beta-blockers and fracture risk: A Bayesian meta-analysis. </w:t>
      </w:r>
      <w:r w:rsidRPr="000B5D6C">
        <w:rPr>
          <w:rFonts w:ascii="Times New Roman" w:hAnsi="Times New Roman" w:cs="Times New Roman"/>
          <w:i/>
          <w:iCs/>
          <w:sz w:val="24"/>
          <w:szCs w:val="24"/>
        </w:rPr>
        <w:t>Bone</w:t>
      </w:r>
      <w:r w:rsidRPr="000B5D6C">
        <w:rPr>
          <w:rFonts w:ascii="Times New Roman" w:hAnsi="Times New Roman" w:cs="Times New Roman"/>
          <w:sz w:val="24"/>
          <w:szCs w:val="24"/>
        </w:rPr>
        <w:t>. 2012;51(5):969-974. doi:10.1016/j.bone.2012.07.013</w:t>
      </w:r>
    </w:p>
    <w:p w14:paraId="1794D688"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 </w:t>
      </w:r>
      <w:r w:rsidRPr="000B5D6C">
        <w:rPr>
          <w:rFonts w:ascii="Times New Roman" w:hAnsi="Times New Roman" w:cs="Times New Roman"/>
          <w:sz w:val="24"/>
          <w:szCs w:val="24"/>
        </w:rPr>
        <w:tab/>
        <w:t xml:space="preserve">Pasco JA, Henry MJ, Sanders KM, Kotowicz MA, Seeman E, Nicholson GC. β-Adrenergic Blockers Reduce the Risk of Fracture Partly by Increasing Bone Mineral Density: Geelong Osteoporosis Study. </w:t>
      </w:r>
      <w:r w:rsidRPr="000B5D6C">
        <w:rPr>
          <w:rFonts w:ascii="Times New Roman" w:hAnsi="Times New Roman" w:cs="Times New Roman"/>
          <w:i/>
          <w:iCs/>
          <w:sz w:val="24"/>
          <w:szCs w:val="24"/>
        </w:rPr>
        <w:t>J Bone Miner Res</w:t>
      </w:r>
      <w:r w:rsidRPr="000B5D6C">
        <w:rPr>
          <w:rFonts w:ascii="Times New Roman" w:hAnsi="Times New Roman" w:cs="Times New Roman"/>
          <w:sz w:val="24"/>
          <w:szCs w:val="24"/>
        </w:rPr>
        <w:t>. 2004;19(1):19-24. doi:10.1359/jbmr.0301214</w:t>
      </w:r>
    </w:p>
    <w:p w14:paraId="43F6D84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 </w:t>
      </w:r>
      <w:r w:rsidRPr="000B5D6C">
        <w:rPr>
          <w:rFonts w:ascii="Times New Roman" w:hAnsi="Times New Roman" w:cs="Times New Roman"/>
          <w:sz w:val="24"/>
          <w:szCs w:val="24"/>
        </w:rPr>
        <w:tab/>
        <w:t xml:space="preserve">Bonnet N, Gadois C, McCloskey E, et al. Protective effect of β blockers in postmenopausal women: Influence on fractures, bone density, micro and macroarchitecture. </w:t>
      </w:r>
      <w:r w:rsidRPr="000B5D6C">
        <w:rPr>
          <w:rFonts w:ascii="Times New Roman" w:hAnsi="Times New Roman" w:cs="Times New Roman"/>
          <w:i/>
          <w:iCs/>
          <w:sz w:val="24"/>
          <w:szCs w:val="24"/>
        </w:rPr>
        <w:t>Bone</w:t>
      </w:r>
      <w:r w:rsidRPr="000B5D6C">
        <w:rPr>
          <w:rFonts w:ascii="Times New Roman" w:hAnsi="Times New Roman" w:cs="Times New Roman"/>
          <w:sz w:val="24"/>
          <w:szCs w:val="24"/>
        </w:rPr>
        <w:t>. 2007;40(5):1209-1216. doi:10.1016/j.bone.2007.01.006</w:t>
      </w:r>
    </w:p>
    <w:p w14:paraId="6FD3F07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 </w:t>
      </w:r>
      <w:r w:rsidRPr="000B5D6C">
        <w:rPr>
          <w:rFonts w:ascii="Times New Roman" w:hAnsi="Times New Roman" w:cs="Times New Roman"/>
          <w:sz w:val="24"/>
          <w:szCs w:val="24"/>
        </w:rPr>
        <w:tab/>
        <w:t xml:space="preserve">Schlienger RG, Kraenzlin ME, Jick SS, Meier CR. Use of beta-blockers and risk of fractures. </w:t>
      </w:r>
      <w:r w:rsidRPr="000B5D6C">
        <w:rPr>
          <w:rFonts w:ascii="Times New Roman" w:hAnsi="Times New Roman" w:cs="Times New Roman"/>
          <w:i/>
          <w:iCs/>
          <w:sz w:val="24"/>
          <w:szCs w:val="24"/>
        </w:rPr>
        <w:t>JAMA</w:t>
      </w:r>
      <w:r w:rsidRPr="000B5D6C">
        <w:rPr>
          <w:rFonts w:ascii="Times New Roman" w:hAnsi="Times New Roman" w:cs="Times New Roman"/>
          <w:sz w:val="24"/>
          <w:szCs w:val="24"/>
        </w:rPr>
        <w:t>. 2004;292(11):1326-1332. doi:10.1001/jama.292.11.1326</w:t>
      </w:r>
    </w:p>
    <w:p w14:paraId="30BCC27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 </w:t>
      </w:r>
      <w:r w:rsidRPr="000B5D6C">
        <w:rPr>
          <w:rFonts w:ascii="Times New Roman" w:hAnsi="Times New Roman" w:cs="Times New Roman"/>
          <w:sz w:val="24"/>
          <w:szCs w:val="24"/>
        </w:rPr>
        <w:tab/>
        <w:t xml:space="preserve">Khosla S, Drake MT, Volkman TL, et al. Sympathetic β1-adrenergic signaling contributes to regulation of human bone metabolism. </w:t>
      </w:r>
      <w:r w:rsidRPr="000B5D6C">
        <w:rPr>
          <w:rFonts w:ascii="Times New Roman" w:hAnsi="Times New Roman" w:cs="Times New Roman"/>
          <w:i/>
          <w:iCs/>
          <w:sz w:val="24"/>
          <w:szCs w:val="24"/>
        </w:rPr>
        <w:t>J Clin Invest</w:t>
      </w:r>
      <w:r w:rsidRPr="000B5D6C">
        <w:rPr>
          <w:rFonts w:ascii="Times New Roman" w:hAnsi="Times New Roman" w:cs="Times New Roman"/>
          <w:sz w:val="24"/>
          <w:szCs w:val="24"/>
        </w:rPr>
        <w:t>. 2018;128(11):4832-4842. doi:10.1172/JCI122151</w:t>
      </w:r>
    </w:p>
    <w:p w14:paraId="547C78B0"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 </w:t>
      </w:r>
      <w:r w:rsidRPr="000B5D6C">
        <w:rPr>
          <w:rFonts w:ascii="Times New Roman" w:hAnsi="Times New Roman" w:cs="Times New Roman"/>
          <w:sz w:val="24"/>
          <w:szCs w:val="24"/>
        </w:rPr>
        <w:tab/>
        <w:t xml:space="preserve">Elefteriou F. Impact of the Autonomic Nervous System on the Skeleton. </w:t>
      </w:r>
      <w:r w:rsidRPr="000B5D6C">
        <w:rPr>
          <w:rFonts w:ascii="Times New Roman" w:hAnsi="Times New Roman" w:cs="Times New Roman"/>
          <w:i/>
          <w:iCs/>
          <w:sz w:val="24"/>
          <w:szCs w:val="24"/>
        </w:rPr>
        <w:t>Physiol Rev</w:t>
      </w:r>
      <w:r w:rsidRPr="000B5D6C">
        <w:rPr>
          <w:rFonts w:ascii="Times New Roman" w:hAnsi="Times New Roman" w:cs="Times New Roman"/>
          <w:sz w:val="24"/>
          <w:szCs w:val="24"/>
        </w:rPr>
        <w:t>. 2018;98(3):1083-1112. doi:10.1152/physrev.00014.2017</w:t>
      </w:r>
    </w:p>
    <w:p w14:paraId="462ED9A5"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11. </w:t>
      </w:r>
      <w:r w:rsidRPr="000B5D6C">
        <w:rPr>
          <w:rFonts w:ascii="Times New Roman" w:hAnsi="Times New Roman" w:cs="Times New Roman"/>
          <w:sz w:val="24"/>
          <w:szCs w:val="24"/>
        </w:rPr>
        <w:tab/>
        <w:t xml:space="preserve">Elefteriou F. Neuronal signaling and the regulation of bone remodeling. </w:t>
      </w:r>
      <w:r w:rsidRPr="000B5D6C">
        <w:rPr>
          <w:rFonts w:ascii="Times New Roman" w:hAnsi="Times New Roman" w:cs="Times New Roman"/>
          <w:i/>
          <w:iCs/>
          <w:sz w:val="24"/>
          <w:szCs w:val="24"/>
        </w:rPr>
        <w:t>Cell Mol Life Sci CMLS</w:t>
      </w:r>
      <w:r w:rsidRPr="000B5D6C">
        <w:rPr>
          <w:rFonts w:ascii="Times New Roman" w:hAnsi="Times New Roman" w:cs="Times New Roman"/>
          <w:sz w:val="24"/>
          <w:szCs w:val="24"/>
        </w:rPr>
        <w:t>. 2005;62(19):2339-2349. doi:10.1007/s00018-005-5175-3</w:t>
      </w:r>
    </w:p>
    <w:p w14:paraId="0E606364"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12. </w:t>
      </w:r>
      <w:r w:rsidRPr="000B5D6C">
        <w:rPr>
          <w:rFonts w:ascii="Times New Roman" w:hAnsi="Times New Roman" w:cs="Times New Roman"/>
          <w:sz w:val="24"/>
          <w:szCs w:val="24"/>
        </w:rPr>
        <w:tab/>
        <w:t xml:space="preserve">Elefteriou F, Ahn JD, Takeda S, et al. Leptin regulation of bone resorption by the sympathetic nervous system and CART. </w:t>
      </w:r>
      <w:r w:rsidRPr="000B5D6C">
        <w:rPr>
          <w:rFonts w:ascii="Times New Roman" w:hAnsi="Times New Roman" w:cs="Times New Roman"/>
          <w:i/>
          <w:iCs/>
          <w:sz w:val="24"/>
          <w:szCs w:val="24"/>
        </w:rPr>
        <w:t>Nature</w:t>
      </w:r>
      <w:r w:rsidRPr="000B5D6C">
        <w:rPr>
          <w:rFonts w:ascii="Times New Roman" w:hAnsi="Times New Roman" w:cs="Times New Roman"/>
          <w:sz w:val="24"/>
          <w:szCs w:val="24"/>
        </w:rPr>
        <w:t>. 2005;434(7032):514-520. doi:10.1038/nature03398</w:t>
      </w:r>
    </w:p>
    <w:p w14:paraId="22D19BA4"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13. </w:t>
      </w:r>
      <w:r w:rsidRPr="000B5D6C">
        <w:rPr>
          <w:rFonts w:ascii="Times New Roman" w:hAnsi="Times New Roman" w:cs="Times New Roman"/>
          <w:sz w:val="24"/>
          <w:szCs w:val="24"/>
        </w:rPr>
        <w:tab/>
        <w:t xml:space="preserve">Motyl KJ, Rosen CJ. The Skeleton and the Sympathetic Nervous System: It’s about Time! </w:t>
      </w:r>
      <w:r w:rsidRPr="000B5D6C">
        <w:rPr>
          <w:rFonts w:ascii="Times New Roman" w:hAnsi="Times New Roman" w:cs="Times New Roman"/>
          <w:i/>
          <w:iCs/>
          <w:sz w:val="24"/>
          <w:szCs w:val="24"/>
        </w:rPr>
        <w:t>J Clin Endocrinol Metab</w:t>
      </w:r>
      <w:r w:rsidRPr="000B5D6C">
        <w:rPr>
          <w:rFonts w:ascii="Times New Roman" w:hAnsi="Times New Roman" w:cs="Times New Roman"/>
          <w:sz w:val="24"/>
          <w:szCs w:val="24"/>
        </w:rPr>
        <w:t>. 2012;97(11):3908-3911. doi:10.1210/jc.2012-3205</w:t>
      </w:r>
    </w:p>
    <w:p w14:paraId="5E4CB1C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t xml:space="preserve">14. </w:t>
      </w:r>
      <w:r w:rsidRPr="000B5D6C">
        <w:rPr>
          <w:rFonts w:ascii="Times New Roman" w:hAnsi="Times New Roman" w:cs="Times New Roman"/>
          <w:sz w:val="24"/>
          <w:szCs w:val="24"/>
        </w:rPr>
        <w:tab/>
        <w:t xml:space="preserve">Reid IR, Gamble GD, Grey AB, et al. β-Blocker Use, BMD, and Fractures in the Study of Osteoporotic Fractures. </w:t>
      </w:r>
      <w:r w:rsidRPr="000B5D6C">
        <w:rPr>
          <w:rFonts w:ascii="Times New Roman" w:hAnsi="Times New Roman" w:cs="Times New Roman"/>
          <w:i/>
          <w:iCs/>
          <w:sz w:val="24"/>
          <w:szCs w:val="24"/>
        </w:rPr>
        <w:t>J Bone Miner Res</w:t>
      </w:r>
      <w:r w:rsidRPr="000B5D6C">
        <w:rPr>
          <w:rFonts w:ascii="Times New Roman" w:hAnsi="Times New Roman" w:cs="Times New Roman"/>
          <w:sz w:val="24"/>
          <w:szCs w:val="24"/>
        </w:rPr>
        <w:t>. 2005;20(4):613-618. doi:10.1359/JBMR.041202</w:t>
      </w:r>
    </w:p>
    <w:p w14:paraId="3F4CF8E8"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15. </w:t>
      </w:r>
      <w:r w:rsidRPr="000B5D6C">
        <w:rPr>
          <w:rFonts w:ascii="Times New Roman" w:hAnsi="Times New Roman" w:cs="Times New Roman"/>
          <w:sz w:val="24"/>
          <w:szCs w:val="24"/>
        </w:rPr>
        <w:tab/>
        <w:t xml:space="preserve">Rejnmark L, Vestergaard P, Kassem M, et al. Fracture Risk in Perimenopausal Women Treated with Beta-Blockers. </w:t>
      </w:r>
      <w:r w:rsidRPr="000B5D6C">
        <w:rPr>
          <w:rFonts w:ascii="Times New Roman" w:hAnsi="Times New Roman" w:cs="Times New Roman"/>
          <w:i/>
          <w:iCs/>
          <w:sz w:val="24"/>
          <w:szCs w:val="24"/>
        </w:rPr>
        <w:t>Calcif Tissue Int</w:t>
      </w:r>
      <w:r w:rsidRPr="000B5D6C">
        <w:rPr>
          <w:rFonts w:ascii="Times New Roman" w:hAnsi="Times New Roman" w:cs="Times New Roman"/>
          <w:sz w:val="24"/>
          <w:szCs w:val="24"/>
        </w:rPr>
        <w:t>. 2004;75(5):365-372. doi:10.1007/s00223-004-0222-x</w:t>
      </w:r>
    </w:p>
    <w:p w14:paraId="06F5BF6A"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16. </w:t>
      </w:r>
      <w:r w:rsidRPr="000B5D6C">
        <w:rPr>
          <w:rFonts w:ascii="Times New Roman" w:hAnsi="Times New Roman" w:cs="Times New Roman"/>
          <w:sz w:val="24"/>
          <w:szCs w:val="24"/>
        </w:rPr>
        <w:tab/>
        <w:t xml:space="preserve">Solomon DH, Ruppert K, Zhao Z, et al. Bone Mineral Density Changes Among Women Initiating Blood Pressure Lowering Drugs: A SWAN Cohort Study. </w:t>
      </w:r>
      <w:r w:rsidRPr="000B5D6C">
        <w:rPr>
          <w:rFonts w:ascii="Times New Roman" w:hAnsi="Times New Roman" w:cs="Times New Roman"/>
          <w:i/>
          <w:iCs/>
          <w:sz w:val="24"/>
          <w:szCs w:val="24"/>
        </w:rPr>
        <w:t>Osteoporos Int J Establ Result Coop Eur Found Osteoporos Natl Osteoporos Found USA</w:t>
      </w:r>
      <w:r w:rsidRPr="000B5D6C">
        <w:rPr>
          <w:rFonts w:ascii="Times New Roman" w:hAnsi="Times New Roman" w:cs="Times New Roman"/>
          <w:sz w:val="24"/>
          <w:szCs w:val="24"/>
        </w:rPr>
        <w:t>. 2016;27(3):1181-1189. doi:10.1007/s00198-015-3332-6</w:t>
      </w:r>
    </w:p>
    <w:p w14:paraId="1CBD04E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17. </w:t>
      </w:r>
      <w:r w:rsidRPr="000B5D6C">
        <w:rPr>
          <w:rFonts w:ascii="Times New Roman" w:hAnsi="Times New Roman" w:cs="Times New Roman"/>
          <w:sz w:val="24"/>
          <w:szCs w:val="24"/>
        </w:rPr>
        <w:tab/>
        <w:t xml:space="preserve">Stewart TL, Ralston SH. Role of genetic factors in the pathogenesis of osteoporosis. </w:t>
      </w:r>
      <w:r w:rsidRPr="000B5D6C">
        <w:rPr>
          <w:rFonts w:ascii="Times New Roman" w:hAnsi="Times New Roman" w:cs="Times New Roman"/>
          <w:i/>
          <w:iCs/>
          <w:sz w:val="24"/>
          <w:szCs w:val="24"/>
        </w:rPr>
        <w:t>J Endocrinol</w:t>
      </w:r>
      <w:r w:rsidRPr="000B5D6C">
        <w:rPr>
          <w:rFonts w:ascii="Times New Roman" w:hAnsi="Times New Roman" w:cs="Times New Roman"/>
          <w:sz w:val="24"/>
          <w:szCs w:val="24"/>
        </w:rPr>
        <w:t>. 2000;166(2):235-245. doi:10.1677/joe.0.1660235</w:t>
      </w:r>
    </w:p>
    <w:p w14:paraId="1A71B8A9"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18. </w:t>
      </w:r>
      <w:r w:rsidRPr="000B5D6C">
        <w:rPr>
          <w:rFonts w:ascii="Times New Roman" w:hAnsi="Times New Roman" w:cs="Times New Roman"/>
          <w:sz w:val="24"/>
          <w:szCs w:val="24"/>
        </w:rPr>
        <w:tab/>
        <w:t xml:space="preserve">Shin J, Johnson JA. Pharmacogenetics of β-Blockers. </w:t>
      </w:r>
      <w:r w:rsidRPr="000B5D6C">
        <w:rPr>
          <w:rFonts w:ascii="Times New Roman" w:hAnsi="Times New Roman" w:cs="Times New Roman"/>
          <w:i/>
          <w:iCs/>
          <w:sz w:val="24"/>
          <w:szCs w:val="24"/>
        </w:rPr>
        <w:t>Pharmacother J Hum Pharmacol Drug Ther</w:t>
      </w:r>
      <w:r w:rsidRPr="000B5D6C">
        <w:rPr>
          <w:rFonts w:ascii="Times New Roman" w:hAnsi="Times New Roman" w:cs="Times New Roman"/>
          <w:sz w:val="24"/>
          <w:szCs w:val="24"/>
        </w:rPr>
        <w:t>. 2007;27(6):874-887. doi:10.1592/phco.27.6.874</w:t>
      </w:r>
    </w:p>
    <w:p w14:paraId="17C5DB5A"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19. </w:t>
      </w:r>
      <w:r w:rsidRPr="000B5D6C">
        <w:rPr>
          <w:rFonts w:ascii="Times New Roman" w:hAnsi="Times New Roman" w:cs="Times New Roman"/>
          <w:sz w:val="24"/>
          <w:szCs w:val="24"/>
        </w:rPr>
        <w:tab/>
        <w:t xml:space="preserve">Cunningham PN, Chapman AB. The future of pharmacogenetics in the treatment of hypertension. </w:t>
      </w:r>
      <w:r w:rsidRPr="000B5D6C">
        <w:rPr>
          <w:rFonts w:ascii="Times New Roman" w:hAnsi="Times New Roman" w:cs="Times New Roman"/>
          <w:i/>
          <w:iCs/>
          <w:sz w:val="24"/>
          <w:szCs w:val="24"/>
        </w:rPr>
        <w:t>Pharmacogenomics</w:t>
      </w:r>
      <w:r w:rsidRPr="000B5D6C">
        <w:rPr>
          <w:rFonts w:ascii="Times New Roman" w:hAnsi="Times New Roman" w:cs="Times New Roman"/>
          <w:sz w:val="24"/>
          <w:szCs w:val="24"/>
        </w:rPr>
        <w:t>. 2019;20(3):129-132. doi:10.2217/pgs-2018-0191</w:t>
      </w:r>
    </w:p>
    <w:p w14:paraId="1C7CC8C4"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20. </w:t>
      </w:r>
      <w:r w:rsidRPr="000B5D6C">
        <w:rPr>
          <w:rFonts w:ascii="Times New Roman" w:hAnsi="Times New Roman" w:cs="Times New Roman"/>
          <w:sz w:val="24"/>
          <w:szCs w:val="24"/>
        </w:rPr>
        <w:tab/>
        <w:t xml:space="preserve">Gong Y, Wang Z, Beitelshees AL, et al. PHARMACOGENOMIC GENOME-WIDE META-ANALYSIS OF BLOOD PRESSURE RESPONSE TO BETA-BLOCKERS IN HYPERTENSIVE AFRICAN AMERICANS. </w:t>
      </w:r>
      <w:r w:rsidRPr="000B5D6C">
        <w:rPr>
          <w:rFonts w:ascii="Times New Roman" w:hAnsi="Times New Roman" w:cs="Times New Roman"/>
          <w:i/>
          <w:iCs/>
          <w:sz w:val="24"/>
          <w:szCs w:val="24"/>
        </w:rPr>
        <w:t>Hypertension</w:t>
      </w:r>
      <w:r w:rsidRPr="000B5D6C">
        <w:rPr>
          <w:rFonts w:ascii="Times New Roman" w:hAnsi="Times New Roman" w:cs="Times New Roman"/>
          <w:sz w:val="24"/>
          <w:szCs w:val="24"/>
        </w:rPr>
        <w:t>. 2016;67(3):556-563. doi:10.1161/HYPERTENSIONAHA.115.06345</w:t>
      </w:r>
    </w:p>
    <w:p w14:paraId="7A2EBC19"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21. </w:t>
      </w:r>
      <w:r w:rsidRPr="000B5D6C">
        <w:rPr>
          <w:rFonts w:ascii="Times New Roman" w:hAnsi="Times New Roman" w:cs="Times New Roman"/>
          <w:sz w:val="24"/>
          <w:szCs w:val="24"/>
        </w:rPr>
        <w:tab/>
        <w:t xml:space="preserve">Shahin Mohamed H., Conrado Daniela J., Gonzalez Daniel, et al. Genome‐Wide Association Approach Identified Novel Genetic Predictors of Heart Rate Response to β‐Blockers. </w:t>
      </w:r>
      <w:r w:rsidRPr="000B5D6C">
        <w:rPr>
          <w:rFonts w:ascii="Times New Roman" w:hAnsi="Times New Roman" w:cs="Times New Roman"/>
          <w:i/>
          <w:iCs/>
          <w:sz w:val="24"/>
          <w:szCs w:val="24"/>
        </w:rPr>
        <w:t>J Am Heart Assoc</w:t>
      </w:r>
      <w:r w:rsidRPr="000B5D6C">
        <w:rPr>
          <w:rFonts w:ascii="Times New Roman" w:hAnsi="Times New Roman" w:cs="Times New Roman"/>
          <w:sz w:val="24"/>
          <w:szCs w:val="24"/>
        </w:rPr>
        <w:t>. 7(5):e006463. doi:10.1161/JAHA.117.006463</w:t>
      </w:r>
    </w:p>
    <w:p w14:paraId="6DF3146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22. </w:t>
      </w:r>
      <w:r w:rsidRPr="000B5D6C">
        <w:rPr>
          <w:rFonts w:ascii="Times New Roman" w:hAnsi="Times New Roman" w:cs="Times New Roman"/>
          <w:sz w:val="24"/>
          <w:szCs w:val="24"/>
        </w:rPr>
        <w:tab/>
        <w:t xml:space="preserve">Johnson JA, Zineh I, Puckett BJ, McGorray SP, Yarandi HN, Pauly DF. β1-Adrenergic Receptor Polymorphisms and Antihypertensive Response to Metoprolol. </w:t>
      </w:r>
      <w:r w:rsidRPr="000B5D6C">
        <w:rPr>
          <w:rFonts w:ascii="Times New Roman" w:hAnsi="Times New Roman" w:cs="Times New Roman"/>
          <w:i/>
          <w:iCs/>
          <w:sz w:val="24"/>
          <w:szCs w:val="24"/>
        </w:rPr>
        <w:t>Clin Pharmacol Ther</w:t>
      </w:r>
      <w:r w:rsidRPr="000B5D6C">
        <w:rPr>
          <w:rFonts w:ascii="Times New Roman" w:hAnsi="Times New Roman" w:cs="Times New Roman"/>
          <w:sz w:val="24"/>
          <w:szCs w:val="24"/>
        </w:rPr>
        <w:t>. 2003;74(1):44-52. doi:10.1016/S0009-9236(03)00068-7</w:t>
      </w:r>
    </w:p>
    <w:p w14:paraId="2163717E"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23. </w:t>
      </w:r>
      <w:r w:rsidRPr="000B5D6C">
        <w:rPr>
          <w:rFonts w:ascii="Times New Roman" w:hAnsi="Times New Roman" w:cs="Times New Roman"/>
          <w:sz w:val="24"/>
          <w:szCs w:val="24"/>
        </w:rPr>
        <w:tab/>
        <w:t xml:space="preserve">Pacanowski M, Gong Y, Cooper-DeHoff R, et al. β-Adrenergic Receptor Gene Polymorphisms and β-Blocker Treatment Outcomes in Hypertension. </w:t>
      </w:r>
      <w:r w:rsidRPr="000B5D6C">
        <w:rPr>
          <w:rFonts w:ascii="Times New Roman" w:hAnsi="Times New Roman" w:cs="Times New Roman"/>
          <w:i/>
          <w:iCs/>
          <w:sz w:val="24"/>
          <w:szCs w:val="24"/>
        </w:rPr>
        <w:t>Clin Pharmacol Ther</w:t>
      </w:r>
      <w:r w:rsidRPr="000B5D6C">
        <w:rPr>
          <w:rFonts w:ascii="Times New Roman" w:hAnsi="Times New Roman" w:cs="Times New Roman"/>
          <w:sz w:val="24"/>
          <w:szCs w:val="24"/>
        </w:rPr>
        <w:t>. 2008;84(6):715-721. doi:10.1038/clpt.2008.139</w:t>
      </w:r>
    </w:p>
    <w:p w14:paraId="7F05A4CB"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24. </w:t>
      </w:r>
      <w:r w:rsidRPr="000B5D6C">
        <w:rPr>
          <w:rFonts w:ascii="Times New Roman" w:hAnsi="Times New Roman" w:cs="Times New Roman"/>
          <w:sz w:val="24"/>
          <w:szCs w:val="24"/>
        </w:rPr>
        <w:tab/>
        <w:t xml:space="preserve">Dishy V, Sofowora GG, Xie HG, et al. The effect of common polymorphisms of the beta2-adrenergic receptor on agonist-mediated vascular desensitization. </w:t>
      </w:r>
      <w:r w:rsidRPr="000B5D6C">
        <w:rPr>
          <w:rFonts w:ascii="Times New Roman" w:hAnsi="Times New Roman" w:cs="Times New Roman"/>
          <w:i/>
          <w:iCs/>
          <w:sz w:val="24"/>
          <w:szCs w:val="24"/>
        </w:rPr>
        <w:t>N Engl J Med</w:t>
      </w:r>
      <w:r w:rsidRPr="000B5D6C">
        <w:rPr>
          <w:rFonts w:ascii="Times New Roman" w:hAnsi="Times New Roman" w:cs="Times New Roman"/>
          <w:sz w:val="24"/>
          <w:szCs w:val="24"/>
        </w:rPr>
        <w:t>. 2001;345(14):1030-1035. doi:10.1056/NEJMoa010819</w:t>
      </w:r>
    </w:p>
    <w:p w14:paraId="168FFE8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25. </w:t>
      </w:r>
      <w:r w:rsidRPr="000B5D6C">
        <w:rPr>
          <w:rFonts w:ascii="Times New Roman" w:hAnsi="Times New Roman" w:cs="Times New Roman"/>
          <w:sz w:val="24"/>
          <w:szCs w:val="24"/>
        </w:rPr>
        <w:tab/>
        <w:t xml:space="preserve">Heckbert Susan R., Hindorff Lucia A., Edwards Karen L., et al. β2-Adrenergic Receptor Polymorphisms and Risk of Incident Cardiovascular Events in the Elderly. </w:t>
      </w:r>
      <w:r w:rsidRPr="000B5D6C">
        <w:rPr>
          <w:rFonts w:ascii="Times New Roman" w:hAnsi="Times New Roman" w:cs="Times New Roman"/>
          <w:i/>
          <w:iCs/>
          <w:sz w:val="24"/>
          <w:szCs w:val="24"/>
        </w:rPr>
        <w:t>Circulation</w:t>
      </w:r>
      <w:r w:rsidRPr="000B5D6C">
        <w:rPr>
          <w:rFonts w:ascii="Times New Roman" w:hAnsi="Times New Roman" w:cs="Times New Roman"/>
          <w:sz w:val="24"/>
          <w:szCs w:val="24"/>
        </w:rPr>
        <w:t>. 2003;107(15):2021-2024. doi:10.1161/01.CIR.0000065231.07729.92</w:t>
      </w:r>
    </w:p>
    <w:p w14:paraId="2D244168"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t xml:space="preserve">26. </w:t>
      </w:r>
      <w:r w:rsidRPr="000B5D6C">
        <w:rPr>
          <w:rFonts w:ascii="Times New Roman" w:hAnsi="Times New Roman" w:cs="Times New Roman"/>
          <w:sz w:val="24"/>
          <w:szCs w:val="24"/>
        </w:rPr>
        <w:tab/>
        <w:t xml:space="preserve">Veldhuis-Vlug AG, Oei L, Souverein PC, et al. Association of polymorphisms in the beta-2 adrenergic receptor gene with fracture risk and bone mineral density. </w:t>
      </w:r>
      <w:r w:rsidRPr="000B5D6C">
        <w:rPr>
          <w:rFonts w:ascii="Times New Roman" w:hAnsi="Times New Roman" w:cs="Times New Roman"/>
          <w:i/>
          <w:iCs/>
          <w:sz w:val="24"/>
          <w:szCs w:val="24"/>
        </w:rPr>
        <w:t>Osteoporos Int</w:t>
      </w:r>
      <w:r w:rsidRPr="000B5D6C">
        <w:rPr>
          <w:rFonts w:ascii="Times New Roman" w:hAnsi="Times New Roman" w:cs="Times New Roman"/>
          <w:sz w:val="24"/>
          <w:szCs w:val="24"/>
        </w:rPr>
        <w:t>. 2015;26(7):2019-2027. doi:10.1007/s00198-015-3087-0</w:t>
      </w:r>
    </w:p>
    <w:p w14:paraId="62EE0DBE"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27. </w:t>
      </w:r>
      <w:r w:rsidRPr="000B5D6C">
        <w:rPr>
          <w:rFonts w:ascii="Times New Roman" w:hAnsi="Times New Roman" w:cs="Times New Roman"/>
          <w:sz w:val="24"/>
          <w:szCs w:val="24"/>
        </w:rPr>
        <w:tab/>
        <w:t xml:space="preserve">Morris JA, Kemp JP, Youlten SE, et al. An atlas of genetic influences on osteoporosis in humans and mice. </w:t>
      </w:r>
      <w:r w:rsidRPr="000B5D6C">
        <w:rPr>
          <w:rFonts w:ascii="Times New Roman" w:hAnsi="Times New Roman" w:cs="Times New Roman"/>
          <w:i/>
          <w:iCs/>
          <w:sz w:val="24"/>
          <w:szCs w:val="24"/>
        </w:rPr>
        <w:t>Nat Genet</w:t>
      </w:r>
      <w:r w:rsidRPr="000B5D6C">
        <w:rPr>
          <w:rFonts w:ascii="Times New Roman" w:hAnsi="Times New Roman" w:cs="Times New Roman"/>
          <w:sz w:val="24"/>
          <w:szCs w:val="24"/>
        </w:rPr>
        <w:t>. 2019;51(2):258-266. doi:10.1038/s41588-018-0302-x</w:t>
      </w:r>
    </w:p>
    <w:p w14:paraId="61921F7E"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28. </w:t>
      </w:r>
      <w:r w:rsidRPr="000B5D6C">
        <w:rPr>
          <w:rFonts w:ascii="Times New Roman" w:hAnsi="Times New Roman" w:cs="Times New Roman"/>
          <w:sz w:val="24"/>
          <w:szCs w:val="24"/>
        </w:rPr>
        <w:tab/>
        <w:t xml:space="preserve">Sabik OL, Farber CR. Using GWAS to identify novel therapeutic targets for osteoporosis. </w:t>
      </w:r>
      <w:r w:rsidRPr="000B5D6C">
        <w:rPr>
          <w:rFonts w:ascii="Times New Roman" w:hAnsi="Times New Roman" w:cs="Times New Roman"/>
          <w:i/>
          <w:iCs/>
          <w:sz w:val="24"/>
          <w:szCs w:val="24"/>
        </w:rPr>
        <w:t>Transl Res</w:t>
      </w:r>
      <w:r w:rsidRPr="000B5D6C">
        <w:rPr>
          <w:rFonts w:ascii="Times New Roman" w:hAnsi="Times New Roman" w:cs="Times New Roman"/>
          <w:sz w:val="24"/>
          <w:szCs w:val="24"/>
        </w:rPr>
        <w:t>. 2017;181:15-26. doi:10.1016/j.trsl.2016.10.009</w:t>
      </w:r>
    </w:p>
    <w:p w14:paraId="3DCF0D1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29. </w:t>
      </w:r>
      <w:r w:rsidRPr="000B5D6C">
        <w:rPr>
          <w:rFonts w:ascii="Times New Roman" w:hAnsi="Times New Roman" w:cs="Times New Roman"/>
          <w:sz w:val="24"/>
          <w:szCs w:val="24"/>
        </w:rPr>
        <w:tab/>
        <w:t xml:space="preserve">Trajanoska K, Rivadeneira F. The genetic architecture of osteoporosis and fracture risk. </w:t>
      </w:r>
      <w:r w:rsidRPr="000B5D6C">
        <w:rPr>
          <w:rFonts w:ascii="Times New Roman" w:hAnsi="Times New Roman" w:cs="Times New Roman"/>
          <w:i/>
          <w:iCs/>
          <w:sz w:val="24"/>
          <w:szCs w:val="24"/>
        </w:rPr>
        <w:t>Bone</w:t>
      </w:r>
      <w:r w:rsidRPr="000B5D6C">
        <w:rPr>
          <w:rFonts w:ascii="Times New Roman" w:hAnsi="Times New Roman" w:cs="Times New Roman"/>
          <w:sz w:val="24"/>
          <w:szCs w:val="24"/>
        </w:rPr>
        <w:t>. 2019;126:2-10. doi:10.1016/j.bone.2019.04.005</w:t>
      </w:r>
    </w:p>
    <w:p w14:paraId="4B3565BF"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30. </w:t>
      </w:r>
      <w:r w:rsidRPr="000B5D6C">
        <w:rPr>
          <w:rFonts w:ascii="Times New Roman" w:hAnsi="Times New Roman" w:cs="Times New Roman"/>
          <w:sz w:val="24"/>
          <w:szCs w:val="24"/>
        </w:rPr>
        <w:tab/>
        <w:t>Musculoskeletal KP. Accessed May 14, 2020. http://mskkp.org/</w:t>
      </w:r>
    </w:p>
    <w:p w14:paraId="5A8D340A"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31. </w:t>
      </w:r>
      <w:r w:rsidRPr="000B5D6C">
        <w:rPr>
          <w:rFonts w:ascii="Times New Roman" w:hAnsi="Times New Roman" w:cs="Times New Roman"/>
          <w:sz w:val="24"/>
          <w:szCs w:val="24"/>
        </w:rPr>
        <w:tab/>
        <w:t xml:space="preserve">Nevola KT, Kiel DP, Zullo AR, et al. miRNA Mechanisms Underlying the Association of Beta Blocker Use and Bone Mineral Density. </w:t>
      </w:r>
      <w:r w:rsidRPr="000B5D6C">
        <w:rPr>
          <w:rFonts w:ascii="Times New Roman" w:hAnsi="Times New Roman" w:cs="Times New Roman"/>
          <w:i/>
          <w:iCs/>
          <w:sz w:val="24"/>
          <w:szCs w:val="24"/>
        </w:rPr>
        <w:t>J Bone Miner Res</w:t>
      </w:r>
      <w:r w:rsidRPr="000B5D6C">
        <w:rPr>
          <w:rFonts w:ascii="Times New Roman" w:hAnsi="Times New Roman" w:cs="Times New Roman"/>
          <w:sz w:val="24"/>
          <w:szCs w:val="24"/>
        </w:rPr>
        <w:t>. Published online August 2020. doi:10.1002/jbmr.4160</w:t>
      </w:r>
    </w:p>
    <w:p w14:paraId="761253C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32. </w:t>
      </w:r>
      <w:r w:rsidRPr="000B5D6C">
        <w:rPr>
          <w:rFonts w:ascii="Times New Roman" w:hAnsi="Times New Roman" w:cs="Times New Roman"/>
          <w:sz w:val="24"/>
          <w:szCs w:val="24"/>
        </w:rPr>
        <w:tab/>
        <w:t xml:space="preserve">Koturbash I, Tolleson WH, Guo L, et al. microRNAs as pharmacogenomic biomarkers for drug efficacy and drug safety assessment. </w:t>
      </w:r>
      <w:r w:rsidRPr="000B5D6C">
        <w:rPr>
          <w:rFonts w:ascii="Times New Roman" w:hAnsi="Times New Roman" w:cs="Times New Roman"/>
          <w:i/>
          <w:iCs/>
          <w:sz w:val="24"/>
          <w:szCs w:val="24"/>
        </w:rPr>
        <w:t>Biomark Med</w:t>
      </w:r>
      <w:r w:rsidRPr="000B5D6C">
        <w:rPr>
          <w:rFonts w:ascii="Times New Roman" w:hAnsi="Times New Roman" w:cs="Times New Roman"/>
          <w:sz w:val="24"/>
          <w:szCs w:val="24"/>
        </w:rPr>
        <w:t>. 2015;9(11):1153-1176. doi:10.2217/bmm.15.89</w:t>
      </w:r>
    </w:p>
    <w:p w14:paraId="3825B61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33. </w:t>
      </w:r>
      <w:r w:rsidRPr="000B5D6C">
        <w:rPr>
          <w:rFonts w:ascii="Times New Roman" w:hAnsi="Times New Roman" w:cs="Times New Roman"/>
          <w:sz w:val="24"/>
          <w:szCs w:val="24"/>
        </w:rPr>
        <w:tab/>
        <w:t xml:space="preserve">Bocchio-Chiavetto L, Maffioletti E, Bettinsoli P, et al. Blood microRNA changes in depressed patients during antidepressant treatment. </w:t>
      </w:r>
      <w:r w:rsidRPr="000B5D6C">
        <w:rPr>
          <w:rFonts w:ascii="Times New Roman" w:hAnsi="Times New Roman" w:cs="Times New Roman"/>
          <w:i/>
          <w:iCs/>
          <w:sz w:val="24"/>
          <w:szCs w:val="24"/>
        </w:rPr>
        <w:t>Eur Neuropsychopharmacol</w:t>
      </w:r>
      <w:r w:rsidRPr="000B5D6C">
        <w:rPr>
          <w:rFonts w:ascii="Times New Roman" w:hAnsi="Times New Roman" w:cs="Times New Roman"/>
          <w:sz w:val="24"/>
          <w:szCs w:val="24"/>
        </w:rPr>
        <w:t>. 2013;23(7):602-611. doi:10.1016/j.euroneuro.2012.06.013</w:t>
      </w:r>
    </w:p>
    <w:p w14:paraId="19C7694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34. </w:t>
      </w:r>
      <w:r w:rsidRPr="000B5D6C">
        <w:rPr>
          <w:rFonts w:ascii="Times New Roman" w:hAnsi="Times New Roman" w:cs="Times New Roman"/>
          <w:sz w:val="24"/>
          <w:szCs w:val="24"/>
        </w:rPr>
        <w:tab/>
        <w:t xml:space="preserve">Freedman JE, Ercan B, Morin KM, et al. The distribution of circulating microRNA and their relation to coronary disease. </w:t>
      </w:r>
      <w:r w:rsidRPr="000B5D6C">
        <w:rPr>
          <w:rFonts w:ascii="Times New Roman" w:hAnsi="Times New Roman" w:cs="Times New Roman"/>
          <w:i/>
          <w:iCs/>
          <w:sz w:val="24"/>
          <w:szCs w:val="24"/>
        </w:rPr>
        <w:t>F1000Research</w:t>
      </w:r>
      <w:r w:rsidRPr="000B5D6C">
        <w:rPr>
          <w:rFonts w:ascii="Times New Roman" w:hAnsi="Times New Roman" w:cs="Times New Roman"/>
          <w:sz w:val="24"/>
          <w:szCs w:val="24"/>
        </w:rPr>
        <w:t>. 2012;1. doi:10.12688/f1000research.1-50.v1</w:t>
      </w:r>
    </w:p>
    <w:p w14:paraId="121F5364"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35. </w:t>
      </w:r>
      <w:r w:rsidRPr="000B5D6C">
        <w:rPr>
          <w:rFonts w:ascii="Times New Roman" w:hAnsi="Times New Roman" w:cs="Times New Roman"/>
          <w:sz w:val="24"/>
          <w:szCs w:val="24"/>
        </w:rPr>
        <w:tab/>
        <w:t xml:space="preserve">Murabito JM, Rong J, Lunetta KL, et al. Cross-sectional relations of whole-blood miRNA expression levels and hand grip strength in a community sample. </w:t>
      </w:r>
      <w:r w:rsidRPr="000B5D6C">
        <w:rPr>
          <w:rFonts w:ascii="Times New Roman" w:hAnsi="Times New Roman" w:cs="Times New Roman"/>
          <w:i/>
          <w:iCs/>
          <w:sz w:val="24"/>
          <w:szCs w:val="24"/>
        </w:rPr>
        <w:t>Aging Cell</w:t>
      </w:r>
      <w:r w:rsidRPr="000B5D6C">
        <w:rPr>
          <w:rFonts w:ascii="Times New Roman" w:hAnsi="Times New Roman" w:cs="Times New Roman"/>
          <w:sz w:val="24"/>
          <w:szCs w:val="24"/>
        </w:rPr>
        <w:t>. 2017;16(4):888-894. doi:10.1111/acel.12622</w:t>
      </w:r>
    </w:p>
    <w:p w14:paraId="56CEE171"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36. </w:t>
      </w:r>
      <w:r w:rsidRPr="000B5D6C">
        <w:rPr>
          <w:rFonts w:ascii="Times New Roman" w:hAnsi="Times New Roman" w:cs="Times New Roman"/>
          <w:sz w:val="24"/>
          <w:szCs w:val="24"/>
        </w:rPr>
        <w:tab/>
        <w:t xml:space="preserve">Li H, Wang Z, Fu Q, Zhang J. Plasma miRNA levels correlate with sensitivity to bone mineral density in postmenopausal osteoporosis patients. </w:t>
      </w:r>
      <w:r w:rsidRPr="000B5D6C">
        <w:rPr>
          <w:rFonts w:ascii="Times New Roman" w:hAnsi="Times New Roman" w:cs="Times New Roman"/>
          <w:i/>
          <w:iCs/>
          <w:sz w:val="24"/>
          <w:szCs w:val="24"/>
        </w:rPr>
        <w:t>Biomarkers</w:t>
      </w:r>
      <w:r w:rsidRPr="000B5D6C">
        <w:rPr>
          <w:rFonts w:ascii="Times New Roman" w:hAnsi="Times New Roman" w:cs="Times New Roman"/>
          <w:sz w:val="24"/>
          <w:szCs w:val="24"/>
        </w:rPr>
        <w:t>. 2014;19(7):553-556. doi:10.3109/1354750X.2014.935957</w:t>
      </w:r>
    </w:p>
    <w:p w14:paraId="59AB9C24"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37. </w:t>
      </w:r>
      <w:r w:rsidRPr="000B5D6C">
        <w:rPr>
          <w:rFonts w:ascii="Times New Roman" w:hAnsi="Times New Roman" w:cs="Times New Roman"/>
          <w:sz w:val="24"/>
          <w:szCs w:val="24"/>
        </w:rPr>
        <w:tab/>
        <w:t xml:space="preserve">Panach L, Mifsut D, Tarín JJ, Cano A, García-Pérez MÁ. Serum Circulating MicroRNAs as Biomarkers of Osteoporotic Fracture. </w:t>
      </w:r>
      <w:r w:rsidRPr="000B5D6C">
        <w:rPr>
          <w:rFonts w:ascii="Times New Roman" w:hAnsi="Times New Roman" w:cs="Times New Roman"/>
          <w:i/>
          <w:iCs/>
          <w:sz w:val="24"/>
          <w:szCs w:val="24"/>
        </w:rPr>
        <w:t>Calcif Tissue Int</w:t>
      </w:r>
      <w:r w:rsidRPr="000B5D6C">
        <w:rPr>
          <w:rFonts w:ascii="Times New Roman" w:hAnsi="Times New Roman" w:cs="Times New Roman"/>
          <w:sz w:val="24"/>
          <w:szCs w:val="24"/>
        </w:rPr>
        <w:t>. 2015;97(5):495-505. doi:10.1007/s00223-015-0036-z</w:t>
      </w:r>
    </w:p>
    <w:p w14:paraId="27920718"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38. </w:t>
      </w:r>
      <w:r w:rsidRPr="000B5D6C">
        <w:rPr>
          <w:rFonts w:ascii="Times New Roman" w:hAnsi="Times New Roman" w:cs="Times New Roman"/>
          <w:sz w:val="24"/>
          <w:szCs w:val="24"/>
        </w:rPr>
        <w:tab/>
        <w:t xml:space="preserve">Seeliger C, Karpinski K, Haug AT, et al. Five Freely Circulating miRNAs and Bone Tissue miRNAs Are Associated With Osteoporotic Fractures. </w:t>
      </w:r>
      <w:r w:rsidRPr="000B5D6C">
        <w:rPr>
          <w:rFonts w:ascii="Times New Roman" w:hAnsi="Times New Roman" w:cs="Times New Roman"/>
          <w:i/>
          <w:iCs/>
          <w:sz w:val="24"/>
          <w:szCs w:val="24"/>
        </w:rPr>
        <w:t>J Bone Miner Res</w:t>
      </w:r>
      <w:r w:rsidRPr="000B5D6C">
        <w:rPr>
          <w:rFonts w:ascii="Times New Roman" w:hAnsi="Times New Roman" w:cs="Times New Roman"/>
          <w:sz w:val="24"/>
          <w:szCs w:val="24"/>
        </w:rPr>
        <w:t>. 2014;29(8):1718-1728. doi:10.1002/jbmr.2175</w:t>
      </w:r>
    </w:p>
    <w:p w14:paraId="2826DA6B"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t xml:space="preserve">39. </w:t>
      </w:r>
      <w:r w:rsidRPr="000B5D6C">
        <w:rPr>
          <w:rFonts w:ascii="Times New Roman" w:hAnsi="Times New Roman" w:cs="Times New Roman"/>
          <w:sz w:val="24"/>
          <w:szCs w:val="24"/>
        </w:rPr>
        <w:tab/>
        <w:t xml:space="preserve">Solayman MH, Langaee TY, Gong Y, et al. Effect of plasma MicroRNA on antihypertensive response to beta blockers in the Pharmacogenomic Evaluation of Antihypertensive Responses (PEAR) studies. </w:t>
      </w:r>
      <w:r w:rsidRPr="000B5D6C">
        <w:rPr>
          <w:rFonts w:ascii="Times New Roman" w:hAnsi="Times New Roman" w:cs="Times New Roman"/>
          <w:i/>
          <w:iCs/>
          <w:sz w:val="24"/>
          <w:szCs w:val="24"/>
        </w:rPr>
        <w:t>Eur J Pharm Sci</w:t>
      </w:r>
      <w:r w:rsidRPr="000B5D6C">
        <w:rPr>
          <w:rFonts w:ascii="Times New Roman" w:hAnsi="Times New Roman" w:cs="Times New Roman"/>
          <w:sz w:val="24"/>
          <w:szCs w:val="24"/>
        </w:rPr>
        <w:t>. 2019;131:93-98. doi:10.1016/j.ejps.2019.02.013</w:t>
      </w:r>
    </w:p>
    <w:p w14:paraId="7596054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40. </w:t>
      </w:r>
      <w:r w:rsidRPr="000B5D6C">
        <w:rPr>
          <w:rFonts w:ascii="Times New Roman" w:hAnsi="Times New Roman" w:cs="Times New Roman"/>
          <w:sz w:val="24"/>
          <w:szCs w:val="24"/>
        </w:rPr>
        <w:tab/>
        <w:t xml:space="preserve">Castaldi Alessandra, Zaglia Tania, Di Mauro Vittoria, et al. MicroRNA-133 Modulates the β1-Adrenergic Receptor Transduction Cascade. </w:t>
      </w:r>
      <w:r w:rsidRPr="000B5D6C">
        <w:rPr>
          <w:rFonts w:ascii="Times New Roman" w:hAnsi="Times New Roman" w:cs="Times New Roman"/>
          <w:i/>
          <w:iCs/>
          <w:sz w:val="24"/>
          <w:szCs w:val="24"/>
        </w:rPr>
        <w:t>Circ Res</w:t>
      </w:r>
      <w:r w:rsidRPr="000B5D6C">
        <w:rPr>
          <w:rFonts w:ascii="Times New Roman" w:hAnsi="Times New Roman" w:cs="Times New Roman"/>
          <w:sz w:val="24"/>
          <w:szCs w:val="24"/>
        </w:rPr>
        <w:t>. 2014;115(2):273-283. doi:10.1161/CIRCRESAHA.115.303252</w:t>
      </w:r>
    </w:p>
    <w:p w14:paraId="1755366F"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41. </w:t>
      </w:r>
      <w:r w:rsidRPr="000B5D6C">
        <w:rPr>
          <w:rFonts w:ascii="Times New Roman" w:hAnsi="Times New Roman" w:cs="Times New Roman"/>
          <w:sz w:val="24"/>
          <w:szCs w:val="24"/>
        </w:rPr>
        <w:tab/>
        <w:t xml:space="preserve">Kordas G, Rudra P, Hendricks A, Saba L, Kechris K. Insight into genetic regulation of miRNA in mouse brain. </w:t>
      </w:r>
      <w:r w:rsidRPr="000B5D6C">
        <w:rPr>
          <w:rFonts w:ascii="Times New Roman" w:hAnsi="Times New Roman" w:cs="Times New Roman"/>
          <w:i/>
          <w:iCs/>
          <w:sz w:val="24"/>
          <w:szCs w:val="24"/>
        </w:rPr>
        <w:t>BMC Genomics</w:t>
      </w:r>
      <w:r w:rsidRPr="000B5D6C">
        <w:rPr>
          <w:rFonts w:ascii="Times New Roman" w:hAnsi="Times New Roman" w:cs="Times New Roman"/>
          <w:sz w:val="24"/>
          <w:szCs w:val="24"/>
        </w:rPr>
        <w:t>. 2019;20(1):1-14. doi:10.1186/s12864-019-6110-6</w:t>
      </w:r>
    </w:p>
    <w:p w14:paraId="3B15F84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42. </w:t>
      </w:r>
      <w:r w:rsidRPr="000B5D6C">
        <w:rPr>
          <w:rFonts w:ascii="Times New Roman" w:hAnsi="Times New Roman" w:cs="Times New Roman"/>
          <w:sz w:val="24"/>
          <w:szCs w:val="24"/>
        </w:rPr>
        <w:tab/>
        <w:t xml:space="preserve">Shen JJ, Wang Y-F, Yang W. Sex-Interacting mRNA- and miRNA-eQTLs and Their Implications in Gene Expression Regulation and Disease. </w:t>
      </w:r>
      <w:r w:rsidRPr="000B5D6C">
        <w:rPr>
          <w:rFonts w:ascii="Times New Roman" w:hAnsi="Times New Roman" w:cs="Times New Roman"/>
          <w:i/>
          <w:iCs/>
          <w:sz w:val="24"/>
          <w:szCs w:val="24"/>
        </w:rPr>
        <w:t>Front Genet</w:t>
      </w:r>
      <w:r w:rsidRPr="000B5D6C">
        <w:rPr>
          <w:rFonts w:ascii="Times New Roman" w:hAnsi="Times New Roman" w:cs="Times New Roman"/>
          <w:sz w:val="24"/>
          <w:szCs w:val="24"/>
        </w:rPr>
        <w:t>. 2019;10. doi:10.3389/fgene.2019.00313</w:t>
      </w:r>
    </w:p>
    <w:p w14:paraId="54E34962"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43. </w:t>
      </w:r>
      <w:r w:rsidRPr="000B5D6C">
        <w:rPr>
          <w:rFonts w:ascii="Times New Roman" w:hAnsi="Times New Roman" w:cs="Times New Roman"/>
          <w:sz w:val="24"/>
          <w:szCs w:val="24"/>
        </w:rPr>
        <w:tab/>
        <w:t xml:space="preserve">Nikpay M, Beehler K, Valsesia A, et al. Genome-wide identification of circulating-miRNA expression quantitative trait loci reveals the role of several miRNAs in the regulation of cardiometabolic phenotypes. </w:t>
      </w:r>
      <w:r w:rsidRPr="000B5D6C">
        <w:rPr>
          <w:rFonts w:ascii="Times New Roman" w:hAnsi="Times New Roman" w:cs="Times New Roman"/>
          <w:i/>
          <w:iCs/>
          <w:sz w:val="24"/>
          <w:szCs w:val="24"/>
        </w:rPr>
        <w:t>Cardiovasc Res</w:t>
      </w:r>
      <w:r w:rsidRPr="000B5D6C">
        <w:rPr>
          <w:rFonts w:ascii="Times New Roman" w:hAnsi="Times New Roman" w:cs="Times New Roman"/>
          <w:sz w:val="24"/>
          <w:szCs w:val="24"/>
        </w:rPr>
        <w:t>. 2019;115(11):1629-1645. doi:10.1093/cvr/cvz030</w:t>
      </w:r>
    </w:p>
    <w:p w14:paraId="2E83234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44. </w:t>
      </w:r>
      <w:r w:rsidRPr="000B5D6C">
        <w:rPr>
          <w:rFonts w:ascii="Times New Roman" w:hAnsi="Times New Roman" w:cs="Times New Roman"/>
          <w:sz w:val="24"/>
          <w:szCs w:val="24"/>
        </w:rPr>
        <w:tab/>
        <w:t xml:space="preserve">Johansson H, Kanis J, Odén A, et al. Impact of femoral neck and lumbar spine BMD discordances on FRAX probabilities in women; a meta-analysis of international cohorts. </w:t>
      </w:r>
      <w:r w:rsidRPr="000B5D6C">
        <w:rPr>
          <w:rFonts w:ascii="Times New Roman" w:hAnsi="Times New Roman" w:cs="Times New Roman"/>
          <w:i/>
          <w:iCs/>
          <w:sz w:val="24"/>
          <w:szCs w:val="24"/>
        </w:rPr>
        <w:t>Calcif Tissue Int</w:t>
      </w:r>
      <w:r w:rsidRPr="000B5D6C">
        <w:rPr>
          <w:rFonts w:ascii="Times New Roman" w:hAnsi="Times New Roman" w:cs="Times New Roman"/>
          <w:sz w:val="24"/>
          <w:szCs w:val="24"/>
        </w:rPr>
        <w:t>. 2014;95(5):428-435. doi:10.1007/s00223-014-9911-2</w:t>
      </w:r>
    </w:p>
    <w:p w14:paraId="77ECF2C4"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45. </w:t>
      </w:r>
      <w:r w:rsidRPr="000B5D6C">
        <w:rPr>
          <w:rFonts w:ascii="Times New Roman" w:hAnsi="Times New Roman" w:cs="Times New Roman"/>
          <w:sz w:val="24"/>
          <w:szCs w:val="24"/>
        </w:rPr>
        <w:tab/>
        <w:t xml:space="preserve">McIntosh VJ, Chandrasekera PC, Lasley RD. Sex differences and the effects of ovariectomy on the β-adrenergic contractile response. </w:t>
      </w:r>
      <w:r w:rsidRPr="000B5D6C">
        <w:rPr>
          <w:rFonts w:ascii="Times New Roman" w:hAnsi="Times New Roman" w:cs="Times New Roman"/>
          <w:i/>
          <w:iCs/>
          <w:sz w:val="24"/>
          <w:szCs w:val="24"/>
        </w:rPr>
        <w:t>Am J Physiol - Heart Circ Physiol</w:t>
      </w:r>
      <w:r w:rsidRPr="000B5D6C">
        <w:rPr>
          <w:rFonts w:ascii="Times New Roman" w:hAnsi="Times New Roman" w:cs="Times New Roman"/>
          <w:sz w:val="24"/>
          <w:szCs w:val="24"/>
        </w:rPr>
        <w:t>. 2011;301(3):H1127-H1134. doi:10.1152/ajpheart.00711.2010</w:t>
      </w:r>
    </w:p>
    <w:p w14:paraId="582A4E3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46. </w:t>
      </w:r>
      <w:r w:rsidRPr="000B5D6C">
        <w:rPr>
          <w:rFonts w:ascii="Times New Roman" w:hAnsi="Times New Roman" w:cs="Times New Roman"/>
          <w:sz w:val="24"/>
          <w:szCs w:val="24"/>
        </w:rPr>
        <w:tab/>
        <w:t xml:space="preserve">Hoeker GS, Hood AR, Katra RP, Poelzing S, Pogwizd SM. Sex Differences in β-Adrenergic Responsiveness of Action Potentials and Intracellular Calcium Handling in Isolated Rabbit Hearts. </w:t>
      </w:r>
      <w:r w:rsidRPr="000B5D6C">
        <w:rPr>
          <w:rFonts w:ascii="Times New Roman" w:hAnsi="Times New Roman" w:cs="Times New Roman"/>
          <w:i/>
          <w:iCs/>
          <w:sz w:val="24"/>
          <w:szCs w:val="24"/>
        </w:rPr>
        <w:t>PLoS ONE</w:t>
      </w:r>
      <w:r w:rsidRPr="000B5D6C">
        <w:rPr>
          <w:rFonts w:ascii="Times New Roman" w:hAnsi="Times New Roman" w:cs="Times New Roman"/>
          <w:sz w:val="24"/>
          <w:szCs w:val="24"/>
        </w:rPr>
        <w:t>. 2014;9(10). doi:10.1371/journal.pone.0111411</w:t>
      </w:r>
    </w:p>
    <w:p w14:paraId="6A06E440"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47. </w:t>
      </w:r>
      <w:r w:rsidRPr="000B5D6C">
        <w:rPr>
          <w:rFonts w:ascii="Times New Roman" w:hAnsi="Times New Roman" w:cs="Times New Roman"/>
          <w:sz w:val="24"/>
          <w:szCs w:val="24"/>
        </w:rPr>
        <w:tab/>
        <w:t xml:space="preserve">Bugiardini Raffaele, Yoon Jinsung, Kedev Sasko, et al. Prior Beta-Blocker Therapy for Hypertension and Sex-Based Differences in Heart Failure Among Patients With Incident Coronary Heart Disease. </w:t>
      </w:r>
      <w:r w:rsidRPr="000B5D6C">
        <w:rPr>
          <w:rFonts w:ascii="Times New Roman" w:hAnsi="Times New Roman" w:cs="Times New Roman"/>
          <w:i/>
          <w:iCs/>
          <w:sz w:val="24"/>
          <w:szCs w:val="24"/>
        </w:rPr>
        <w:t>Hypertension</w:t>
      </w:r>
      <w:r w:rsidRPr="000B5D6C">
        <w:rPr>
          <w:rFonts w:ascii="Times New Roman" w:hAnsi="Times New Roman" w:cs="Times New Roman"/>
          <w:sz w:val="24"/>
          <w:szCs w:val="24"/>
        </w:rPr>
        <w:t>. 2020;76(3):819-826. doi:10.1161/HYPERTENSIONAHA.120.15323</w:t>
      </w:r>
    </w:p>
    <w:p w14:paraId="256F5068"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48. </w:t>
      </w:r>
      <w:r w:rsidRPr="000B5D6C">
        <w:rPr>
          <w:rFonts w:ascii="Times New Roman" w:hAnsi="Times New Roman" w:cs="Times New Roman"/>
          <w:sz w:val="24"/>
          <w:szCs w:val="24"/>
        </w:rPr>
        <w:tab/>
        <w:t xml:space="preserve">Al-Gburi S, Deussen A, Zatschler B, et al. Sex-difference in expression and function of beta-adrenoceptors in macrovessels: role of the endothelium. </w:t>
      </w:r>
      <w:r w:rsidRPr="000B5D6C">
        <w:rPr>
          <w:rFonts w:ascii="Times New Roman" w:hAnsi="Times New Roman" w:cs="Times New Roman"/>
          <w:i/>
          <w:iCs/>
          <w:sz w:val="24"/>
          <w:szCs w:val="24"/>
        </w:rPr>
        <w:t>Basic Res Cardiol</w:t>
      </w:r>
      <w:r w:rsidRPr="000B5D6C">
        <w:rPr>
          <w:rFonts w:ascii="Times New Roman" w:hAnsi="Times New Roman" w:cs="Times New Roman"/>
          <w:sz w:val="24"/>
          <w:szCs w:val="24"/>
        </w:rPr>
        <w:t>. 2017;112(3):29. doi:10.1007/s00395-017-0617-2</w:t>
      </w:r>
    </w:p>
    <w:p w14:paraId="3A6C6180"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49. </w:t>
      </w:r>
      <w:r w:rsidRPr="000B5D6C">
        <w:rPr>
          <w:rFonts w:ascii="Times New Roman" w:hAnsi="Times New Roman" w:cs="Times New Roman"/>
          <w:sz w:val="24"/>
          <w:szCs w:val="24"/>
        </w:rPr>
        <w:tab/>
        <w:t xml:space="preserve">Calhoun DA, Oparil S. The Sexual Dimorphism of High Blood Pressure. </w:t>
      </w:r>
      <w:r w:rsidRPr="000B5D6C">
        <w:rPr>
          <w:rFonts w:ascii="Times New Roman" w:hAnsi="Times New Roman" w:cs="Times New Roman"/>
          <w:i/>
          <w:iCs/>
          <w:sz w:val="24"/>
          <w:szCs w:val="24"/>
        </w:rPr>
        <w:t>Cardiol Rev</w:t>
      </w:r>
      <w:r w:rsidRPr="000B5D6C">
        <w:rPr>
          <w:rFonts w:ascii="Times New Roman" w:hAnsi="Times New Roman" w:cs="Times New Roman"/>
          <w:sz w:val="24"/>
          <w:szCs w:val="24"/>
        </w:rPr>
        <w:t>. 1998;6(6):356-363. doi:10.1097/00045415-199811000-00012</w:t>
      </w:r>
    </w:p>
    <w:p w14:paraId="6AE53C6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50. </w:t>
      </w:r>
      <w:r w:rsidRPr="000B5D6C">
        <w:rPr>
          <w:rFonts w:ascii="Times New Roman" w:hAnsi="Times New Roman" w:cs="Times New Roman"/>
          <w:sz w:val="24"/>
          <w:szCs w:val="24"/>
        </w:rPr>
        <w:tab/>
        <w:t xml:space="preserve">Seeman E. Sexual Dimorphism in Skeletal Size, Density, and Strength. </w:t>
      </w:r>
      <w:r w:rsidRPr="000B5D6C">
        <w:rPr>
          <w:rFonts w:ascii="Times New Roman" w:hAnsi="Times New Roman" w:cs="Times New Roman"/>
          <w:i/>
          <w:iCs/>
          <w:sz w:val="24"/>
          <w:szCs w:val="24"/>
        </w:rPr>
        <w:t>J Clin Endocrinol Metab</w:t>
      </w:r>
      <w:r w:rsidRPr="000B5D6C">
        <w:rPr>
          <w:rFonts w:ascii="Times New Roman" w:hAnsi="Times New Roman" w:cs="Times New Roman"/>
          <w:sz w:val="24"/>
          <w:szCs w:val="24"/>
        </w:rPr>
        <w:t>. 2001;86(10):4576-4584. doi:10.1210/jcem.86.10.7960</w:t>
      </w:r>
    </w:p>
    <w:p w14:paraId="774BDBAA"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t xml:space="preserve">51. </w:t>
      </w:r>
      <w:r w:rsidRPr="000B5D6C">
        <w:rPr>
          <w:rFonts w:ascii="Times New Roman" w:hAnsi="Times New Roman" w:cs="Times New Roman"/>
          <w:sz w:val="24"/>
          <w:szCs w:val="24"/>
        </w:rPr>
        <w:tab/>
        <w:t xml:space="preserve">Fiechter M, Bengs S, Roggo A, et al. Association between vertebral bone mineral density, myocardial perfusion, and long-term cardiovascular outcomes: A sex-specific analysis. </w:t>
      </w:r>
      <w:r w:rsidRPr="000B5D6C">
        <w:rPr>
          <w:rFonts w:ascii="Times New Roman" w:hAnsi="Times New Roman" w:cs="Times New Roman"/>
          <w:i/>
          <w:iCs/>
          <w:sz w:val="24"/>
          <w:szCs w:val="24"/>
        </w:rPr>
        <w:t>J Nucl Cardiol</w:t>
      </w:r>
      <w:r w:rsidRPr="000B5D6C">
        <w:rPr>
          <w:rFonts w:ascii="Times New Roman" w:hAnsi="Times New Roman" w:cs="Times New Roman"/>
          <w:sz w:val="24"/>
          <w:szCs w:val="24"/>
        </w:rPr>
        <w:t>. 2020;27(3):726-736. doi:10.1007/s12350-019-01802-z</w:t>
      </w:r>
    </w:p>
    <w:p w14:paraId="34370045"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52. </w:t>
      </w:r>
      <w:r w:rsidRPr="000B5D6C">
        <w:rPr>
          <w:rFonts w:ascii="Times New Roman" w:hAnsi="Times New Roman" w:cs="Times New Roman"/>
          <w:sz w:val="24"/>
          <w:szCs w:val="24"/>
        </w:rPr>
        <w:tab/>
        <w:t xml:space="preserve">Tuzun S, Eskiyurt N, Akarirmak U, et al. Incidence of hip fracture and prevalence of osteoporosis in Turkey: the FRACTURK study. </w:t>
      </w:r>
      <w:r w:rsidRPr="000B5D6C">
        <w:rPr>
          <w:rFonts w:ascii="Times New Roman" w:hAnsi="Times New Roman" w:cs="Times New Roman"/>
          <w:i/>
          <w:iCs/>
          <w:sz w:val="24"/>
          <w:szCs w:val="24"/>
        </w:rPr>
        <w:t>Osteoporos Int</w:t>
      </w:r>
      <w:r w:rsidRPr="000B5D6C">
        <w:rPr>
          <w:rFonts w:ascii="Times New Roman" w:hAnsi="Times New Roman" w:cs="Times New Roman"/>
          <w:sz w:val="24"/>
          <w:szCs w:val="24"/>
        </w:rPr>
        <w:t>. 2012;23(3):949-955. doi:10.1007/s00198-011-1655-5</w:t>
      </w:r>
    </w:p>
    <w:p w14:paraId="3D12261E"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53. </w:t>
      </w:r>
      <w:r w:rsidRPr="000B5D6C">
        <w:rPr>
          <w:rFonts w:ascii="Times New Roman" w:hAnsi="Times New Roman" w:cs="Times New Roman"/>
          <w:sz w:val="24"/>
          <w:szCs w:val="24"/>
        </w:rPr>
        <w:tab/>
        <w:t xml:space="preserve">Alswat KA. Gender Disparities in Osteoporosis. </w:t>
      </w:r>
      <w:r w:rsidRPr="000B5D6C">
        <w:rPr>
          <w:rFonts w:ascii="Times New Roman" w:hAnsi="Times New Roman" w:cs="Times New Roman"/>
          <w:i/>
          <w:iCs/>
          <w:sz w:val="24"/>
          <w:szCs w:val="24"/>
        </w:rPr>
        <w:t>J Clin Med Res</w:t>
      </w:r>
      <w:r w:rsidRPr="000B5D6C">
        <w:rPr>
          <w:rFonts w:ascii="Times New Roman" w:hAnsi="Times New Roman" w:cs="Times New Roman"/>
          <w:sz w:val="24"/>
          <w:szCs w:val="24"/>
        </w:rPr>
        <w:t>. 2017;9(5):382-387. doi:10.14740/jocmr2970w</w:t>
      </w:r>
    </w:p>
    <w:p w14:paraId="7C4D189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54. </w:t>
      </w:r>
      <w:r w:rsidRPr="000B5D6C">
        <w:rPr>
          <w:rFonts w:ascii="Times New Roman" w:hAnsi="Times New Roman" w:cs="Times New Roman"/>
          <w:sz w:val="24"/>
          <w:szCs w:val="24"/>
        </w:rPr>
        <w:tab/>
        <w:t>dbGaP Study. Accessed September 24, 2020. https://www.ncbi.nlm.nih.gov/projects/gap/cgi-bin/study.cgi?study_id=phs000007.v31.p12</w:t>
      </w:r>
    </w:p>
    <w:p w14:paraId="34B4AAC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55. </w:t>
      </w:r>
      <w:r w:rsidRPr="000B5D6C">
        <w:rPr>
          <w:rFonts w:ascii="Times New Roman" w:hAnsi="Times New Roman" w:cs="Times New Roman"/>
          <w:sz w:val="24"/>
          <w:szCs w:val="24"/>
        </w:rPr>
        <w:tab/>
        <w:t xml:space="preserve">Hannan MT, Felson DT, Dawson‐Hughes B, et al. Risk Factors for Longitudinal Bone Loss in Elderly Men and Women: The Framingham Osteoporosis Study. </w:t>
      </w:r>
      <w:r w:rsidRPr="000B5D6C">
        <w:rPr>
          <w:rFonts w:ascii="Times New Roman" w:hAnsi="Times New Roman" w:cs="Times New Roman"/>
          <w:i/>
          <w:iCs/>
          <w:sz w:val="24"/>
          <w:szCs w:val="24"/>
        </w:rPr>
        <w:t>J Bone Miner Res</w:t>
      </w:r>
      <w:r w:rsidRPr="000B5D6C">
        <w:rPr>
          <w:rFonts w:ascii="Times New Roman" w:hAnsi="Times New Roman" w:cs="Times New Roman"/>
          <w:sz w:val="24"/>
          <w:szCs w:val="24"/>
        </w:rPr>
        <w:t>. 2000;15(4):710-720. doi:https://doi.org/10.1359/jbmr.2000.15.4.710</w:t>
      </w:r>
    </w:p>
    <w:p w14:paraId="1208530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56. </w:t>
      </w:r>
      <w:r w:rsidRPr="000B5D6C">
        <w:rPr>
          <w:rFonts w:ascii="Times New Roman" w:hAnsi="Times New Roman" w:cs="Times New Roman"/>
          <w:sz w:val="24"/>
          <w:szCs w:val="24"/>
        </w:rPr>
        <w:tab/>
        <w:t xml:space="preserve">Kalsbeek A, Veenstra J, Westra J, et al. A genome-wide association study of red-blood cell fatty acids and ratios incorporating dietary covariates: Framingham Heart Study Offspring Cohort. </w:t>
      </w:r>
      <w:r w:rsidRPr="000B5D6C">
        <w:rPr>
          <w:rFonts w:ascii="Times New Roman" w:hAnsi="Times New Roman" w:cs="Times New Roman"/>
          <w:i/>
          <w:iCs/>
          <w:sz w:val="24"/>
          <w:szCs w:val="24"/>
        </w:rPr>
        <w:t>PLOS ONE</w:t>
      </w:r>
      <w:r w:rsidRPr="000B5D6C">
        <w:rPr>
          <w:rFonts w:ascii="Times New Roman" w:hAnsi="Times New Roman" w:cs="Times New Roman"/>
          <w:sz w:val="24"/>
          <w:szCs w:val="24"/>
        </w:rPr>
        <w:t>. 2018;13(4):e0194882. doi:10.1371/journal.pone.0194882</w:t>
      </w:r>
    </w:p>
    <w:p w14:paraId="64654ED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57. </w:t>
      </w:r>
      <w:r w:rsidRPr="000B5D6C">
        <w:rPr>
          <w:rFonts w:ascii="Times New Roman" w:hAnsi="Times New Roman" w:cs="Times New Roman"/>
          <w:sz w:val="24"/>
          <w:szCs w:val="24"/>
        </w:rPr>
        <w:tab/>
        <w:t xml:space="preserve">Psaty BM, O’Donnell CJ, Gudnason V, et al. Cohorts for Heart and Aging Research in Genomic Epidemiology (CHARGE) Consortium: Design of prospective meta-analyses of genome-wide association studies from five cohorts. </w:t>
      </w:r>
      <w:r w:rsidRPr="000B5D6C">
        <w:rPr>
          <w:rFonts w:ascii="Times New Roman" w:hAnsi="Times New Roman" w:cs="Times New Roman"/>
          <w:i/>
          <w:iCs/>
          <w:sz w:val="24"/>
          <w:szCs w:val="24"/>
        </w:rPr>
        <w:t>Circ Cardiovasc Genet</w:t>
      </w:r>
      <w:r w:rsidRPr="000B5D6C">
        <w:rPr>
          <w:rFonts w:ascii="Times New Roman" w:hAnsi="Times New Roman" w:cs="Times New Roman"/>
          <w:sz w:val="24"/>
          <w:szCs w:val="24"/>
        </w:rPr>
        <w:t>. 2009;2(1):73-80. doi:10.1161/CIRCGENETICS.108.829747</w:t>
      </w:r>
    </w:p>
    <w:p w14:paraId="1D8E632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58. </w:t>
      </w:r>
      <w:r w:rsidRPr="000B5D6C">
        <w:rPr>
          <w:rFonts w:ascii="Times New Roman" w:hAnsi="Times New Roman" w:cs="Times New Roman"/>
          <w:sz w:val="24"/>
          <w:szCs w:val="24"/>
        </w:rPr>
        <w:tab/>
        <w:t>WHO Collaborating Centre for Drug Statistics Methodology ATC/DDD Index. Norwegian Institute of Public Health. 2018.</w:t>
      </w:r>
    </w:p>
    <w:p w14:paraId="7A7E88D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59. </w:t>
      </w:r>
      <w:r w:rsidRPr="000B5D6C">
        <w:rPr>
          <w:rFonts w:ascii="Times New Roman" w:hAnsi="Times New Roman" w:cs="Times New Roman"/>
          <w:sz w:val="24"/>
          <w:szCs w:val="24"/>
        </w:rPr>
        <w:tab/>
        <w:t xml:space="preserve">McManus DD, Rong J, Huan T, et al. Messenger RNA and MicroRNA transcriptomic signatures of cardiometabolic risk factors. </w:t>
      </w:r>
      <w:r w:rsidRPr="000B5D6C">
        <w:rPr>
          <w:rFonts w:ascii="Times New Roman" w:hAnsi="Times New Roman" w:cs="Times New Roman"/>
          <w:i/>
          <w:iCs/>
          <w:sz w:val="24"/>
          <w:szCs w:val="24"/>
        </w:rPr>
        <w:t>BMC Genomics</w:t>
      </w:r>
      <w:r w:rsidRPr="000B5D6C">
        <w:rPr>
          <w:rFonts w:ascii="Times New Roman" w:hAnsi="Times New Roman" w:cs="Times New Roman"/>
          <w:sz w:val="24"/>
          <w:szCs w:val="24"/>
        </w:rPr>
        <w:t>. 2017;18(1):139. doi:10.1186/s12864-017-3533-9</w:t>
      </w:r>
    </w:p>
    <w:p w14:paraId="63555AE1"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60. </w:t>
      </w:r>
      <w:r w:rsidRPr="000B5D6C">
        <w:rPr>
          <w:rFonts w:ascii="Times New Roman" w:hAnsi="Times New Roman" w:cs="Times New Roman"/>
          <w:sz w:val="24"/>
          <w:szCs w:val="24"/>
        </w:rPr>
        <w:tab/>
        <w:t xml:space="preserve">McManus DD, Lin H, Tanriverdi K, et al. Relations between circulating microRNAs and atrial fibrillation: data from the Framingham Offspring Study. </w:t>
      </w:r>
      <w:r w:rsidRPr="000B5D6C">
        <w:rPr>
          <w:rFonts w:ascii="Times New Roman" w:hAnsi="Times New Roman" w:cs="Times New Roman"/>
          <w:i/>
          <w:iCs/>
          <w:sz w:val="24"/>
          <w:szCs w:val="24"/>
        </w:rPr>
        <w:t>Heart Rhythm Off J Heart Rhythm Soc</w:t>
      </w:r>
      <w:r w:rsidRPr="000B5D6C">
        <w:rPr>
          <w:rFonts w:ascii="Times New Roman" w:hAnsi="Times New Roman" w:cs="Times New Roman"/>
          <w:sz w:val="24"/>
          <w:szCs w:val="24"/>
        </w:rPr>
        <w:t>. 2014;11(4):663-669. doi:10.1016/j.hrthm.2014.01.018</w:t>
      </w:r>
    </w:p>
    <w:p w14:paraId="5C8C466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61. </w:t>
      </w:r>
      <w:r w:rsidRPr="000B5D6C">
        <w:rPr>
          <w:rFonts w:ascii="Times New Roman" w:hAnsi="Times New Roman" w:cs="Times New Roman"/>
          <w:sz w:val="24"/>
          <w:szCs w:val="24"/>
        </w:rPr>
        <w:tab/>
        <w:t xml:space="preserve">Singh Sonal, Warren Helen R., Hiltunen Timo P., et al. Genome‐Wide Meta‐Analysis of Blood Pressure Response to β1‐Blockers: Results From ICAPS (International Consortium of Antihypertensive Pharmacogenomics Studies). </w:t>
      </w:r>
      <w:r w:rsidRPr="000B5D6C">
        <w:rPr>
          <w:rFonts w:ascii="Times New Roman" w:hAnsi="Times New Roman" w:cs="Times New Roman"/>
          <w:i/>
          <w:iCs/>
          <w:sz w:val="24"/>
          <w:szCs w:val="24"/>
        </w:rPr>
        <w:t>J Am Heart Assoc</w:t>
      </w:r>
      <w:r w:rsidRPr="000B5D6C">
        <w:rPr>
          <w:rFonts w:ascii="Times New Roman" w:hAnsi="Times New Roman" w:cs="Times New Roman"/>
          <w:sz w:val="24"/>
          <w:szCs w:val="24"/>
        </w:rPr>
        <w:t>. 2019;8(16):e013115. doi:10.1161/JAHA.119.013115</w:t>
      </w:r>
    </w:p>
    <w:p w14:paraId="0C76918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62. </w:t>
      </w:r>
      <w:r w:rsidRPr="000B5D6C">
        <w:rPr>
          <w:rFonts w:ascii="Times New Roman" w:hAnsi="Times New Roman" w:cs="Times New Roman"/>
          <w:sz w:val="24"/>
          <w:szCs w:val="24"/>
        </w:rPr>
        <w:tab/>
        <w:t xml:space="preserve">Duggal P, Gillanders EM, Holmes TN, Bailey-Wilson JE. Establishing an adjusted p-value threshold to control the family-wide type 1 error in genome wide association studies. </w:t>
      </w:r>
      <w:r w:rsidRPr="000B5D6C">
        <w:rPr>
          <w:rFonts w:ascii="Times New Roman" w:hAnsi="Times New Roman" w:cs="Times New Roman"/>
          <w:i/>
          <w:iCs/>
          <w:sz w:val="24"/>
          <w:szCs w:val="24"/>
        </w:rPr>
        <w:t>BMC Genomics</w:t>
      </w:r>
      <w:r w:rsidRPr="000B5D6C">
        <w:rPr>
          <w:rFonts w:ascii="Times New Roman" w:hAnsi="Times New Roman" w:cs="Times New Roman"/>
          <w:sz w:val="24"/>
          <w:szCs w:val="24"/>
        </w:rPr>
        <w:t>. 2008;9:516. doi:10.1186/1471-2164-9-516</w:t>
      </w:r>
    </w:p>
    <w:p w14:paraId="3BB997E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t xml:space="preserve">63. </w:t>
      </w:r>
      <w:r w:rsidRPr="000B5D6C">
        <w:rPr>
          <w:rFonts w:ascii="Times New Roman" w:hAnsi="Times New Roman" w:cs="Times New Roman"/>
          <w:sz w:val="24"/>
          <w:szCs w:val="24"/>
        </w:rPr>
        <w:tab/>
        <w:t xml:space="preserve">Singh S, McDonough CW, Gong Y, et al. Genome Wide Association Study Identifies the HMGCS2 Locus to be Associated With Chlorthalidone Induced Glucose Increase in Hypertensive Patients. </w:t>
      </w:r>
      <w:r w:rsidRPr="000B5D6C">
        <w:rPr>
          <w:rFonts w:ascii="Times New Roman" w:hAnsi="Times New Roman" w:cs="Times New Roman"/>
          <w:i/>
          <w:iCs/>
          <w:sz w:val="24"/>
          <w:szCs w:val="24"/>
        </w:rPr>
        <w:t>J Am Heart Assoc</w:t>
      </w:r>
      <w:r w:rsidRPr="000B5D6C">
        <w:rPr>
          <w:rFonts w:ascii="Times New Roman" w:hAnsi="Times New Roman" w:cs="Times New Roman"/>
          <w:sz w:val="24"/>
          <w:szCs w:val="24"/>
        </w:rPr>
        <w:t>. 2018;7(6). doi:10.1161/JAHA.117.007339</w:t>
      </w:r>
    </w:p>
    <w:p w14:paraId="5A061532"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64. </w:t>
      </w:r>
      <w:r w:rsidRPr="000B5D6C">
        <w:rPr>
          <w:rFonts w:ascii="Times New Roman" w:hAnsi="Times New Roman" w:cs="Times New Roman"/>
          <w:sz w:val="24"/>
          <w:szCs w:val="24"/>
        </w:rPr>
        <w:tab/>
        <w:t xml:space="preserve">Pruitt KD, Tatusova T, Maglott DR. NCBI reference sequences (RefSeq): a curated non-redundant sequence database of genomes, transcripts and proteins. </w:t>
      </w:r>
      <w:r w:rsidRPr="000B5D6C">
        <w:rPr>
          <w:rFonts w:ascii="Times New Roman" w:hAnsi="Times New Roman" w:cs="Times New Roman"/>
          <w:i/>
          <w:iCs/>
          <w:sz w:val="24"/>
          <w:szCs w:val="24"/>
        </w:rPr>
        <w:t>Nucleic Acids Res</w:t>
      </w:r>
      <w:r w:rsidRPr="000B5D6C">
        <w:rPr>
          <w:rFonts w:ascii="Times New Roman" w:hAnsi="Times New Roman" w:cs="Times New Roman"/>
          <w:sz w:val="24"/>
          <w:szCs w:val="24"/>
        </w:rPr>
        <w:t>. 2007;35(suppl_1):D61-D65. doi:10.1093/nar/gkl842</w:t>
      </w:r>
    </w:p>
    <w:p w14:paraId="3667FE8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65. </w:t>
      </w:r>
      <w:r w:rsidRPr="000B5D6C">
        <w:rPr>
          <w:rFonts w:ascii="Times New Roman" w:hAnsi="Times New Roman" w:cs="Times New Roman"/>
          <w:sz w:val="24"/>
          <w:szCs w:val="24"/>
        </w:rPr>
        <w:tab/>
        <w:t xml:space="preserve">Sinnett D, Beaulieu P, Bélanger H, et al. Detection and characterization of DNA variants in the promoter regions of hundreds of human disease candidate genes. </w:t>
      </w:r>
      <w:r w:rsidRPr="000B5D6C">
        <w:rPr>
          <w:rFonts w:ascii="Times New Roman" w:hAnsi="Times New Roman" w:cs="Times New Roman"/>
          <w:i/>
          <w:iCs/>
          <w:sz w:val="24"/>
          <w:szCs w:val="24"/>
        </w:rPr>
        <w:t>Genomics</w:t>
      </w:r>
      <w:r w:rsidRPr="000B5D6C">
        <w:rPr>
          <w:rFonts w:ascii="Times New Roman" w:hAnsi="Times New Roman" w:cs="Times New Roman"/>
          <w:sz w:val="24"/>
          <w:szCs w:val="24"/>
        </w:rPr>
        <w:t>. 2006;87(6):704-710. doi:10.1016/j.ygeno.2006.01.001</w:t>
      </w:r>
    </w:p>
    <w:p w14:paraId="4E9D237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66. </w:t>
      </w:r>
      <w:r w:rsidRPr="000B5D6C">
        <w:rPr>
          <w:rFonts w:ascii="Times New Roman" w:hAnsi="Times New Roman" w:cs="Times New Roman"/>
          <w:sz w:val="24"/>
          <w:szCs w:val="24"/>
        </w:rPr>
        <w:tab/>
        <w:t xml:space="preserve">Chang HS, Park JS, Lee HS, et al. Association analysis of ILVBL gene polymorphisms with aspirin-exacerbated respiratory disease in asthma. </w:t>
      </w:r>
      <w:r w:rsidRPr="000B5D6C">
        <w:rPr>
          <w:rFonts w:ascii="Times New Roman" w:hAnsi="Times New Roman" w:cs="Times New Roman"/>
          <w:i/>
          <w:iCs/>
          <w:sz w:val="24"/>
          <w:szCs w:val="24"/>
        </w:rPr>
        <w:t>BMC Pulm Med</w:t>
      </w:r>
      <w:r w:rsidRPr="000B5D6C">
        <w:rPr>
          <w:rFonts w:ascii="Times New Roman" w:hAnsi="Times New Roman" w:cs="Times New Roman"/>
          <w:sz w:val="24"/>
          <w:szCs w:val="24"/>
        </w:rPr>
        <w:t>. 2017;17(1):210. doi:10.1186/s12890-017-0556-6</w:t>
      </w:r>
    </w:p>
    <w:p w14:paraId="7D666791"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67. </w:t>
      </w:r>
      <w:r w:rsidRPr="000B5D6C">
        <w:rPr>
          <w:rFonts w:ascii="Times New Roman" w:hAnsi="Times New Roman" w:cs="Times New Roman"/>
          <w:sz w:val="24"/>
          <w:szCs w:val="24"/>
        </w:rPr>
        <w:tab/>
        <w:t xml:space="preserve">Li H, Achour I, Bastarache L, et al. Integrative genomics analyses unveil downstream biological effectors of disease-specific polymorphisms buried in intergenic regions. </w:t>
      </w:r>
      <w:r w:rsidRPr="000B5D6C">
        <w:rPr>
          <w:rFonts w:ascii="Times New Roman" w:hAnsi="Times New Roman" w:cs="Times New Roman"/>
          <w:i/>
          <w:iCs/>
          <w:sz w:val="24"/>
          <w:szCs w:val="24"/>
        </w:rPr>
        <w:t>Npj Genomic Med</w:t>
      </w:r>
      <w:r w:rsidRPr="000B5D6C">
        <w:rPr>
          <w:rFonts w:ascii="Times New Roman" w:hAnsi="Times New Roman" w:cs="Times New Roman"/>
          <w:sz w:val="24"/>
          <w:szCs w:val="24"/>
        </w:rPr>
        <w:t>. 2016;1(1):1-12. doi:10.1038/npjgenmed.2016.6</w:t>
      </w:r>
    </w:p>
    <w:p w14:paraId="5CA00F9F"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68. </w:t>
      </w:r>
      <w:r w:rsidRPr="000B5D6C">
        <w:rPr>
          <w:rFonts w:ascii="Times New Roman" w:hAnsi="Times New Roman" w:cs="Times New Roman"/>
          <w:sz w:val="24"/>
          <w:szCs w:val="24"/>
        </w:rPr>
        <w:tab/>
        <w:t xml:space="preserve">Yang J, Lee SH, Goddard ME, Visscher PM. GCTA: A Tool for Genome-wide Complex Trait Analysis. </w:t>
      </w:r>
      <w:r w:rsidRPr="000B5D6C">
        <w:rPr>
          <w:rFonts w:ascii="Times New Roman" w:hAnsi="Times New Roman" w:cs="Times New Roman"/>
          <w:i/>
          <w:iCs/>
          <w:sz w:val="24"/>
          <w:szCs w:val="24"/>
        </w:rPr>
        <w:t>Am J Hum Genet</w:t>
      </w:r>
      <w:r w:rsidRPr="000B5D6C">
        <w:rPr>
          <w:rFonts w:ascii="Times New Roman" w:hAnsi="Times New Roman" w:cs="Times New Roman"/>
          <w:sz w:val="24"/>
          <w:szCs w:val="24"/>
        </w:rPr>
        <w:t>. 2011;88(1):76-82. doi:10.1016/j.ajhg.2010.11.011</w:t>
      </w:r>
    </w:p>
    <w:p w14:paraId="038440F9"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69. </w:t>
      </w:r>
      <w:r w:rsidRPr="000B5D6C">
        <w:rPr>
          <w:rFonts w:ascii="Times New Roman" w:hAnsi="Times New Roman" w:cs="Times New Roman"/>
          <w:sz w:val="24"/>
          <w:szCs w:val="24"/>
        </w:rPr>
        <w:tab/>
        <w:t xml:space="preserve">Yang J, Ferreira T, Morris AP, et al. Conditional and joint multiple-SNP analysis of GWAS summary statistics identifies additional variants influencing complex traits. </w:t>
      </w:r>
      <w:r w:rsidRPr="000B5D6C">
        <w:rPr>
          <w:rFonts w:ascii="Times New Roman" w:hAnsi="Times New Roman" w:cs="Times New Roman"/>
          <w:i/>
          <w:iCs/>
          <w:sz w:val="24"/>
          <w:szCs w:val="24"/>
        </w:rPr>
        <w:t>Nat Genet</w:t>
      </w:r>
      <w:r w:rsidRPr="000B5D6C">
        <w:rPr>
          <w:rFonts w:ascii="Times New Roman" w:hAnsi="Times New Roman" w:cs="Times New Roman"/>
          <w:sz w:val="24"/>
          <w:szCs w:val="24"/>
        </w:rPr>
        <w:t>. 2012;44(4):369-375. doi:10.1038/ng.2213</w:t>
      </w:r>
    </w:p>
    <w:p w14:paraId="03BD4DC1"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70. </w:t>
      </w:r>
      <w:r w:rsidRPr="000B5D6C">
        <w:rPr>
          <w:rFonts w:ascii="Times New Roman" w:hAnsi="Times New Roman" w:cs="Times New Roman"/>
          <w:sz w:val="24"/>
          <w:szCs w:val="24"/>
        </w:rPr>
        <w:tab/>
        <w:t xml:space="preserve">Ward LD, Kellis M. HaploReg: a resource for exploring chromatin states, conservation, and regulatory motif alterations within sets of genetically linked variants. </w:t>
      </w:r>
      <w:r w:rsidRPr="000B5D6C">
        <w:rPr>
          <w:rFonts w:ascii="Times New Roman" w:hAnsi="Times New Roman" w:cs="Times New Roman"/>
          <w:i/>
          <w:iCs/>
          <w:sz w:val="24"/>
          <w:szCs w:val="24"/>
        </w:rPr>
        <w:t>Nucleic Acids Res</w:t>
      </w:r>
      <w:r w:rsidRPr="000B5D6C">
        <w:rPr>
          <w:rFonts w:ascii="Times New Roman" w:hAnsi="Times New Roman" w:cs="Times New Roman"/>
          <w:sz w:val="24"/>
          <w:szCs w:val="24"/>
        </w:rPr>
        <w:t>. 2012;40(D1):D930-D934. doi:10.1093/nar/gkr917</w:t>
      </w:r>
    </w:p>
    <w:p w14:paraId="105C888F"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71. </w:t>
      </w:r>
      <w:r w:rsidRPr="000B5D6C">
        <w:rPr>
          <w:rFonts w:ascii="Times New Roman" w:hAnsi="Times New Roman" w:cs="Times New Roman"/>
          <w:sz w:val="24"/>
          <w:szCs w:val="24"/>
        </w:rPr>
        <w:tab/>
        <w:t xml:space="preserve">Moore JE, Purcaro MJ, Pratt HE, et al. Expanded encyclopaedias of DNA elements in the human and mouse genomes. </w:t>
      </w:r>
      <w:r w:rsidRPr="000B5D6C">
        <w:rPr>
          <w:rFonts w:ascii="Times New Roman" w:hAnsi="Times New Roman" w:cs="Times New Roman"/>
          <w:i/>
          <w:iCs/>
          <w:sz w:val="24"/>
          <w:szCs w:val="24"/>
        </w:rPr>
        <w:t>Nature</w:t>
      </w:r>
      <w:r w:rsidRPr="000B5D6C">
        <w:rPr>
          <w:rFonts w:ascii="Times New Roman" w:hAnsi="Times New Roman" w:cs="Times New Roman"/>
          <w:sz w:val="24"/>
          <w:szCs w:val="24"/>
        </w:rPr>
        <w:t>. 2020;583(7818):699-710. doi:10.1038/s41586-020-2493-4</w:t>
      </w:r>
    </w:p>
    <w:p w14:paraId="48EF8634"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72. </w:t>
      </w:r>
      <w:r w:rsidRPr="000B5D6C">
        <w:rPr>
          <w:rFonts w:ascii="Times New Roman" w:hAnsi="Times New Roman" w:cs="Times New Roman"/>
          <w:sz w:val="24"/>
          <w:szCs w:val="24"/>
        </w:rPr>
        <w:tab/>
        <w:t xml:space="preserve">Machiela MJ, Chanock SJ. LDlink: a web-based application for exploring population-specific haplotype structure and linking correlated alleles of possible functional variants. </w:t>
      </w:r>
      <w:r w:rsidRPr="000B5D6C">
        <w:rPr>
          <w:rFonts w:ascii="Times New Roman" w:hAnsi="Times New Roman" w:cs="Times New Roman"/>
          <w:i/>
          <w:iCs/>
          <w:sz w:val="24"/>
          <w:szCs w:val="24"/>
        </w:rPr>
        <w:t>Bioinforma Oxf Engl</w:t>
      </w:r>
      <w:r w:rsidRPr="000B5D6C">
        <w:rPr>
          <w:rFonts w:ascii="Times New Roman" w:hAnsi="Times New Roman" w:cs="Times New Roman"/>
          <w:sz w:val="24"/>
          <w:szCs w:val="24"/>
        </w:rPr>
        <w:t>. 2015;31(21):3555-3557. doi:10.1093/bioinformatics/btv402</w:t>
      </w:r>
    </w:p>
    <w:p w14:paraId="27FC51D5"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73. </w:t>
      </w:r>
      <w:r w:rsidRPr="000B5D6C">
        <w:rPr>
          <w:rFonts w:ascii="Times New Roman" w:hAnsi="Times New Roman" w:cs="Times New Roman"/>
          <w:sz w:val="24"/>
          <w:szCs w:val="24"/>
        </w:rPr>
        <w:tab/>
        <w:t xml:space="preserve">Therneau TM. </w:t>
      </w:r>
      <w:r w:rsidRPr="000B5D6C">
        <w:rPr>
          <w:rFonts w:ascii="Times New Roman" w:hAnsi="Times New Roman" w:cs="Times New Roman"/>
          <w:i/>
          <w:iCs/>
          <w:sz w:val="24"/>
          <w:szCs w:val="24"/>
        </w:rPr>
        <w:t>Coxme: Mixed Effects Cox Models</w:t>
      </w:r>
      <w:r w:rsidRPr="000B5D6C">
        <w:rPr>
          <w:rFonts w:ascii="Times New Roman" w:hAnsi="Times New Roman" w:cs="Times New Roman"/>
          <w:sz w:val="24"/>
          <w:szCs w:val="24"/>
        </w:rPr>
        <w:t>.; 2020. Accessed September 22, 2020. https://CRAN.R-project.org/package=coxme</w:t>
      </w:r>
    </w:p>
    <w:p w14:paraId="15DC2329"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74. </w:t>
      </w:r>
      <w:r w:rsidRPr="000B5D6C">
        <w:rPr>
          <w:rFonts w:ascii="Times New Roman" w:hAnsi="Times New Roman" w:cs="Times New Roman"/>
          <w:sz w:val="24"/>
          <w:szCs w:val="24"/>
        </w:rPr>
        <w:tab/>
        <w:t xml:space="preserve">Ru Y, Kechris KJ, Tabakoff B, et al. The multiMiR R package and database: integration of microRNA–target interactions along with their disease and drug associations. </w:t>
      </w:r>
      <w:r w:rsidRPr="000B5D6C">
        <w:rPr>
          <w:rFonts w:ascii="Times New Roman" w:hAnsi="Times New Roman" w:cs="Times New Roman"/>
          <w:i/>
          <w:iCs/>
          <w:sz w:val="24"/>
          <w:szCs w:val="24"/>
        </w:rPr>
        <w:t>Nucleic Acids Res</w:t>
      </w:r>
      <w:r w:rsidRPr="000B5D6C">
        <w:rPr>
          <w:rFonts w:ascii="Times New Roman" w:hAnsi="Times New Roman" w:cs="Times New Roman"/>
          <w:sz w:val="24"/>
          <w:szCs w:val="24"/>
        </w:rPr>
        <w:t>. 2014;42(17):e133-e133. doi:10.1093/nar/gku631</w:t>
      </w:r>
    </w:p>
    <w:p w14:paraId="393D9A0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75. </w:t>
      </w:r>
      <w:r w:rsidRPr="000B5D6C">
        <w:rPr>
          <w:rFonts w:ascii="Times New Roman" w:hAnsi="Times New Roman" w:cs="Times New Roman"/>
          <w:sz w:val="24"/>
          <w:szCs w:val="24"/>
        </w:rPr>
        <w:tab/>
        <w:t xml:space="preserve">Schwarzer G. </w:t>
      </w:r>
      <w:r w:rsidRPr="000B5D6C">
        <w:rPr>
          <w:rFonts w:ascii="Times New Roman" w:hAnsi="Times New Roman" w:cs="Times New Roman"/>
          <w:i/>
          <w:iCs/>
          <w:sz w:val="24"/>
          <w:szCs w:val="24"/>
        </w:rPr>
        <w:t>Meta: General Package for Meta-Analysis</w:t>
      </w:r>
      <w:r w:rsidRPr="000B5D6C">
        <w:rPr>
          <w:rFonts w:ascii="Times New Roman" w:hAnsi="Times New Roman" w:cs="Times New Roman"/>
          <w:sz w:val="24"/>
          <w:szCs w:val="24"/>
        </w:rPr>
        <w:t>.; 2020. Accessed September 22, 2020. https://CRAN.R-project.org/package=meta</w:t>
      </w:r>
    </w:p>
    <w:p w14:paraId="0B4A2ED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t xml:space="preserve">76. </w:t>
      </w:r>
      <w:r w:rsidRPr="000B5D6C">
        <w:rPr>
          <w:rFonts w:ascii="Times New Roman" w:hAnsi="Times New Roman" w:cs="Times New Roman"/>
          <w:sz w:val="24"/>
          <w:szCs w:val="24"/>
        </w:rPr>
        <w:tab/>
        <w:t xml:space="preserve">Fang T, Wu Q, Zhou L, Mu S, Fu Q. miR-106b-5p and miR-17-5p suppress osteogenic differentiation by targeting Smad5 and inhibit bone formation. </w:t>
      </w:r>
      <w:r w:rsidRPr="000B5D6C">
        <w:rPr>
          <w:rFonts w:ascii="Times New Roman" w:hAnsi="Times New Roman" w:cs="Times New Roman"/>
          <w:i/>
          <w:iCs/>
          <w:sz w:val="24"/>
          <w:szCs w:val="24"/>
        </w:rPr>
        <w:t>Exp Cell Res</w:t>
      </w:r>
      <w:r w:rsidRPr="000B5D6C">
        <w:rPr>
          <w:rFonts w:ascii="Times New Roman" w:hAnsi="Times New Roman" w:cs="Times New Roman"/>
          <w:sz w:val="24"/>
          <w:szCs w:val="24"/>
        </w:rPr>
        <w:t>. 2016;347(1):74-82. doi:10.1016/j.yexcr.2016.07.010</w:t>
      </w:r>
    </w:p>
    <w:p w14:paraId="37F2FDF0"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77. </w:t>
      </w:r>
      <w:r w:rsidRPr="000B5D6C">
        <w:rPr>
          <w:rFonts w:ascii="Times New Roman" w:hAnsi="Times New Roman" w:cs="Times New Roman"/>
          <w:sz w:val="24"/>
          <w:szCs w:val="24"/>
        </w:rPr>
        <w:tab/>
        <w:t xml:space="preserve">Kocijan R, Muschitz C, Geiger E, et al. Circulating microRNA Signatures in Patients With Idiopathic and Postmenopausal Osteoporosis and Fragility Fractures. </w:t>
      </w:r>
      <w:r w:rsidRPr="000B5D6C">
        <w:rPr>
          <w:rFonts w:ascii="Times New Roman" w:hAnsi="Times New Roman" w:cs="Times New Roman"/>
          <w:i/>
          <w:iCs/>
          <w:sz w:val="24"/>
          <w:szCs w:val="24"/>
        </w:rPr>
        <w:t>J Clin Endocrinol Metab</w:t>
      </w:r>
      <w:r w:rsidRPr="000B5D6C">
        <w:rPr>
          <w:rFonts w:ascii="Times New Roman" w:hAnsi="Times New Roman" w:cs="Times New Roman"/>
          <w:sz w:val="24"/>
          <w:szCs w:val="24"/>
        </w:rPr>
        <w:t>. 2016;101(11):4125-4134. doi:10.1210/jc.2016-2365</w:t>
      </w:r>
    </w:p>
    <w:p w14:paraId="0004BD41"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78. </w:t>
      </w:r>
      <w:r w:rsidRPr="000B5D6C">
        <w:rPr>
          <w:rFonts w:ascii="Times New Roman" w:hAnsi="Times New Roman" w:cs="Times New Roman"/>
          <w:sz w:val="24"/>
          <w:szCs w:val="24"/>
        </w:rPr>
        <w:tab/>
        <w:t>osteomiRs - novel biomarkers for bone quality - TAmiRNA - stability for life. Accessed August 20, 2019. http://www.tamirna.com/products/osteomirtm.html?tx_sbtab_pi1%5Btab%5D=54#sbtab</w:t>
      </w:r>
    </w:p>
    <w:p w14:paraId="50DD0AA7"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79. </w:t>
      </w:r>
      <w:r w:rsidRPr="000B5D6C">
        <w:rPr>
          <w:rFonts w:ascii="Times New Roman" w:hAnsi="Times New Roman" w:cs="Times New Roman"/>
          <w:sz w:val="24"/>
          <w:szCs w:val="24"/>
        </w:rPr>
        <w:tab/>
        <w:t>Avendaño-Félix M, Fuentes-Mera L, Ramos-Payan R, et al. A Novel OsteomiRs Expression Signature for Osteoblast Differentiation of Human Amniotic Membrane-Derived Mesenchymal Stem Cells. BioMed Research International. doi:10.1155/2019/8987268</w:t>
      </w:r>
    </w:p>
    <w:p w14:paraId="4AEE90AB"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80. </w:t>
      </w:r>
      <w:r w:rsidRPr="000B5D6C">
        <w:rPr>
          <w:rFonts w:ascii="Times New Roman" w:hAnsi="Times New Roman" w:cs="Times New Roman"/>
          <w:sz w:val="24"/>
          <w:szCs w:val="24"/>
        </w:rPr>
        <w:tab/>
        <w:t xml:space="preserve">Cheng VK, Au PC, Tan KC, Cheung C. MicroRNA and Human Bone Health. </w:t>
      </w:r>
      <w:r w:rsidRPr="000B5D6C">
        <w:rPr>
          <w:rFonts w:ascii="Times New Roman" w:hAnsi="Times New Roman" w:cs="Times New Roman"/>
          <w:i/>
          <w:iCs/>
          <w:sz w:val="24"/>
          <w:szCs w:val="24"/>
        </w:rPr>
        <w:t>JBMR Plus</w:t>
      </w:r>
      <w:r w:rsidRPr="000B5D6C">
        <w:rPr>
          <w:rFonts w:ascii="Times New Roman" w:hAnsi="Times New Roman" w:cs="Times New Roman"/>
          <w:sz w:val="24"/>
          <w:szCs w:val="24"/>
        </w:rPr>
        <w:t>. 2018;3(1):2-13. doi:10.1002/jbm4.10115</w:t>
      </w:r>
    </w:p>
    <w:p w14:paraId="3D30DC51"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81. </w:t>
      </w:r>
      <w:r w:rsidRPr="000B5D6C">
        <w:rPr>
          <w:rFonts w:ascii="Times New Roman" w:hAnsi="Times New Roman" w:cs="Times New Roman"/>
          <w:sz w:val="24"/>
          <w:szCs w:val="24"/>
        </w:rPr>
        <w:tab/>
        <w:t xml:space="preserve">Feichtinger X, Muschitz C, Heimel P, et al. Bone-related Circulating MicroRNAs miR-29b-3p, miR-550a-3p, and miR-324-3p and their Association to Bone Microstructure and Histomorphometry. </w:t>
      </w:r>
      <w:r w:rsidRPr="000B5D6C">
        <w:rPr>
          <w:rFonts w:ascii="Times New Roman" w:hAnsi="Times New Roman" w:cs="Times New Roman"/>
          <w:i/>
          <w:iCs/>
          <w:sz w:val="24"/>
          <w:szCs w:val="24"/>
        </w:rPr>
        <w:t>Sci Rep</w:t>
      </w:r>
      <w:r w:rsidRPr="000B5D6C">
        <w:rPr>
          <w:rFonts w:ascii="Times New Roman" w:hAnsi="Times New Roman" w:cs="Times New Roman"/>
          <w:sz w:val="24"/>
          <w:szCs w:val="24"/>
        </w:rPr>
        <w:t>. 2018;8(1):4867. doi:10.1038/s41598-018-22844-2</w:t>
      </w:r>
    </w:p>
    <w:p w14:paraId="1680F45B"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82. </w:t>
      </w:r>
      <w:r w:rsidRPr="000B5D6C">
        <w:rPr>
          <w:rFonts w:ascii="Times New Roman" w:hAnsi="Times New Roman" w:cs="Times New Roman"/>
          <w:sz w:val="24"/>
          <w:szCs w:val="24"/>
        </w:rPr>
        <w:tab/>
        <w:t xml:space="preserve">Heilmeier U, Hackl M, Skalicky S, et al. Serum miRNA Signatures Are Indicative of Skeletal Fractures in Postmenopausal Women With and Without Type 2 Diabetes and Influence Osteogenic and Adipogenic Differentiation of Adipose Tissue–Derived Mesenchymal Stem Cells In Vitro. </w:t>
      </w:r>
      <w:r w:rsidRPr="000B5D6C">
        <w:rPr>
          <w:rFonts w:ascii="Times New Roman" w:hAnsi="Times New Roman" w:cs="Times New Roman"/>
          <w:i/>
          <w:iCs/>
          <w:sz w:val="24"/>
          <w:szCs w:val="24"/>
        </w:rPr>
        <w:t>J Bone Miner Res</w:t>
      </w:r>
      <w:r w:rsidRPr="000B5D6C">
        <w:rPr>
          <w:rFonts w:ascii="Times New Roman" w:hAnsi="Times New Roman" w:cs="Times New Roman"/>
          <w:sz w:val="24"/>
          <w:szCs w:val="24"/>
        </w:rPr>
        <w:t>. 2016;31(12):2173-2192. doi:10.1002/jbmr.2897</w:t>
      </w:r>
    </w:p>
    <w:p w14:paraId="6C2B143B"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83. </w:t>
      </w:r>
      <w:r w:rsidRPr="000B5D6C">
        <w:rPr>
          <w:rFonts w:ascii="Times New Roman" w:hAnsi="Times New Roman" w:cs="Times New Roman"/>
          <w:sz w:val="24"/>
          <w:szCs w:val="24"/>
        </w:rPr>
        <w:tab/>
        <w:t xml:space="preserve">Huang J, Meng Y, Liu Y, et al. MicroRNA-320a Regulates the Osteogenic Differentiation of Human Bone Marrow-Derived Mesenchymal Stem Cells by Targeting HOXA10. </w:t>
      </w:r>
      <w:r w:rsidRPr="000B5D6C">
        <w:rPr>
          <w:rFonts w:ascii="Times New Roman" w:hAnsi="Times New Roman" w:cs="Times New Roman"/>
          <w:i/>
          <w:iCs/>
          <w:sz w:val="24"/>
          <w:szCs w:val="24"/>
        </w:rPr>
        <w:t>Cell Physiol Biochem</w:t>
      </w:r>
      <w:r w:rsidRPr="000B5D6C">
        <w:rPr>
          <w:rFonts w:ascii="Times New Roman" w:hAnsi="Times New Roman" w:cs="Times New Roman"/>
          <w:sz w:val="24"/>
          <w:szCs w:val="24"/>
        </w:rPr>
        <w:t>. 2016;38(1):40-48. doi:10.1159/000438607</w:t>
      </w:r>
    </w:p>
    <w:p w14:paraId="4BB41F15"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84. </w:t>
      </w:r>
      <w:r w:rsidRPr="000B5D6C">
        <w:rPr>
          <w:rFonts w:ascii="Times New Roman" w:hAnsi="Times New Roman" w:cs="Times New Roman"/>
          <w:sz w:val="24"/>
          <w:szCs w:val="24"/>
        </w:rPr>
        <w:tab/>
        <w:t xml:space="preserve">Kocijan R, Weigl M, Skalicky S, et al. MicroRNA levels in bone and blood change during bisphosphonate and teriparatide therapy in an animal model of postmenopausal osteoporosis. </w:t>
      </w:r>
      <w:r w:rsidRPr="000B5D6C">
        <w:rPr>
          <w:rFonts w:ascii="Times New Roman" w:hAnsi="Times New Roman" w:cs="Times New Roman"/>
          <w:i/>
          <w:iCs/>
          <w:sz w:val="24"/>
          <w:szCs w:val="24"/>
        </w:rPr>
        <w:t>Bone</w:t>
      </w:r>
      <w:r w:rsidRPr="000B5D6C">
        <w:rPr>
          <w:rFonts w:ascii="Times New Roman" w:hAnsi="Times New Roman" w:cs="Times New Roman"/>
          <w:sz w:val="24"/>
          <w:szCs w:val="24"/>
        </w:rPr>
        <w:t>. 2020;131:115104. doi:10.1016/j.bone.2019.115104</w:t>
      </w:r>
    </w:p>
    <w:p w14:paraId="5819480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85. </w:t>
      </w:r>
      <w:r w:rsidRPr="000B5D6C">
        <w:rPr>
          <w:rFonts w:ascii="Times New Roman" w:hAnsi="Times New Roman" w:cs="Times New Roman"/>
          <w:sz w:val="24"/>
          <w:szCs w:val="24"/>
        </w:rPr>
        <w:tab/>
        <w:t xml:space="preserve">Laxman N, Mallmin H, Nilsson O, Kindmark A. miR-203 and miR-320 Regulate Bone Morphogenetic Protein-2-Induced Osteoblast Differentiation by Targeting Distal-Less Homeobox 5 (Dlx5). </w:t>
      </w:r>
      <w:r w:rsidRPr="000B5D6C">
        <w:rPr>
          <w:rFonts w:ascii="Times New Roman" w:hAnsi="Times New Roman" w:cs="Times New Roman"/>
          <w:i/>
          <w:iCs/>
          <w:sz w:val="24"/>
          <w:szCs w:val="24"/>
        </w:rPr>
        <w:t>Genes</w:t>
      </w:r>
      <w:r w:rsidRPr="000B5D6C">
        <w:rPr>
          <w:rFonts w:ascii="Times New Roman" w:hAnsi="Times New Roman" w:cs="Times New Roman"/>
          <w:sz w:val="24"/>
          <w:szCs w:val="24"/>
        </w:rPr>
        <w:t>. 2017;8(1):4. doi:10.3390/genes8010004</w:t>
      </w:r>
    </w:p>
    <w:p w14:paraId="5CEC7DB2"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86. </w:t>
      </w:r>
      <w:r w:rsidRPr="000B5D6C">
        <w:rPr>
          <w:rFonts w:ascii="Times New Roman" w:hAnsi="Times New Roman" w:cs="Times New Roman"/>
          <w:sz w:val="24"/>
          <w:szCs w:val="24"/>
        </w:rPr>
        <w:tab/>
        <w:t xml:space="preserve">Mäkitie RE, Hackl M, Niinimäki R, Kakko S, Grillari J, Mäkitie O. Altered MicroRNA Profile in Osteoporosis Caused by Impaired WNT Signaling. </w:t>
      </w:r>
      <w:r w:rsidRPr="000B5D6C">
        <w:rPr>
          <w:rFonts w:ascii="Times New Roman" w:hAnsi="Times New Roman" w:cs="Times New Roman"/>
          <w:i/>
          <w:iCs/>
          <w:sz w:val="24"/>
          <w:szCs w:val="24"/>
        </w:rPr>
        <w:t>J Clin Endocrinol Metab</w:t>
      </w:r>
      <w:r w:rsidRPr="000B5D6C">
        <w:rPr>
          <w:rFonts w:ascii="Times New Roman" w:hAnsi="Times New Roman" w:cs="Times New Roman"/>
          <w:sz w:val="24"/>
          <w:szCs w:val="24"/>
        </w:rPr>
        <w:t>. 2018;103(5):1985-1996. doi:10.1210/jc.2017-02585</w:t>
      </w:r>
    </w:p>
    <w:p w14:paraId="779EF100"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t xml:space="preserve">87. </w:t>
      </w:r>
      <w:r w:rsidRPr="000B5D6C">
        <w:rPr>
          <w:rFonts w:ascii="Times New Roman" w:hAnsi="Times New Roman" w:cs="Times New Roman"/>
          <w:sz w:val="24"/>
          <w:szCs w:val="24"/>
        </w:rPr>
        <w:tab/>
        <w:t xml:space="preserve">Novello C, Pazzaglia L, Cingolani C, et al. miRNA expression profile in human osteosarcoma: role of miR-1 and miR-133b in proliferation and cell cycle control. </w:t>
      </w:r>
      <w:r w:rsidRPr="000B5D6C">
        <w:rPr>
          <w:rFonts w:ascii="Times New Roman" w:hAnsi="Times New Roman" w:cs="Times New Roman"/>
          <w:i/>
          <w:iCs/>
          <w:sz w:val="24"/>
          <w:szCs w:val="24"/>
        </w:rPr>
        <w:t>Int J Oncol</w:t>
      </w:r>
      <w:r w:rsidRPr="000B5D6C">
        <w:rPr>
          <w:rFonts w:ascii="Times New Roman" w:hAnsi="Times New Roman" w:cs="Times New Roman"/>
          <w:sz w:val="24"/>
          <w:szCs w:val="24"/>
        </w:rPr>
        <w:t>. 2013;42(2):667-675. doi:10.3892/ijo.2012.1717</w:t>
      </w:r>
    </w:p>
    <w:p w14:paraId="279076F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88. </w:t>
      </w:r>
      <w:r w:rsidRPr="000B5D6C">
        <w:rPr>
          <w:rFonts w:ascii="Times New Roman" w:hAnsi="Times New Roman" w:cs="Times New Roman"/>
          <w:sz w:val="24"/>
          <w:szCs w:val="24"/>
        </w:rPr>
        <w:tab/>
        <w:t xml:space="preserve">Qiu W, Kassem M. miR-141-3p inhibits human stromal (mesenchymal) stem cell proliferation and differentiation. </w:t>
      </w:r>
      <w:r w:rsidRPr="000B5D6C">
        <w:rPr>
          <w:rFonts w:ascii="Times New Roman" w:hAnsi="Times New Roman" w:cs="Times New Roman"/>
          <w:i/>
          <w:iCs/>
          <w:sz w:val="24"/>
          <w:szCs w:val="24"/>
        </w:rPr>
        <w:t>Biochim Biophys Acta BBA - Mol Cell Res</w:t>
      </w:r>
      <w:r w:rsidRPr="000B5D6C">
        <w:rPr>
          <w:rFonts w:ascii="Times New Roman" w:hAnsi="Times New Roman" w:cs="Times New Roman"/>
          <w:sz w:val="24"/>
          <w:szCs w:val="24"/>
        </w:rPr>
        <w:t>. 2014;1843(9):2114-2121. doi:10.1016/j.bbamcr.2014.06.004</w:t>
      </w:r>
    </w:p>
    <w:p w14:paraId="6C301C1F"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89. </w:t>
      </w:r>
      <w:r w:rsidRPr="000B5D6C">
        <w:rPr>
          <w:rFonts w:ascii="Times New Roman" w:hAnsi="Times New Roman" w:cs="Times New Roman"/>
          <w:sz w:val="24"/>
          <w:szCs w:val="24"/>
        </w:rPr>
        <w:tab/>
        <w:t xml:space="preserve">Sun T, Li C-T, Xiong L, et al. miR-375-3p negatively regulates osteogenesis by targeting and decreasing the expression levels of LRP5 and β-catenin. </w:t>
      </w:r>
      <w:r w:rsidRPr="000B5D6C">
        <w:rPr>
          <w:rFonts w:ascii="Times New Roman" w:hAnsi="Times New Roman" w:cs="Times New Roman"/>
          <w:i/>
          <w:iCs/>
          <w:sz w:val="24"/>
          <w:szCs w:val="24"/>
        </w:rPr>
        <w:t>PLOS ONE</w:t>
      </w:r>
      <w:r w:rsidRPr="000B5D6C">
        <w:rPr>
          <w:rFonts w:ascii="Times New Roman" w:hAnsi="Times New Roman" w:cs="Times New Roman"/>
          <w:sz w:val="24"/>
          <w:szCs w:val="24"/>
        </w:rPr>
        <w:t>. 2017;12(2):e0171281. doi:10.1371/journal.pone.0171281</w:t>
      </w:r>
    </w:p>
    <w:p w14:paraId="0CB3B4EB"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90. </w:t>
      </w:r>
      <w:r w:rsidRPr="000B5D6C">
        <w:rPr>
          <w:rFonts w:ascii="Times New Roman" w:hAnsi="Times New Roman" w:cs="Times New Roman"/>
          <w:sz w:val="24"/>
          <w:szCs w:val="24"/>
        </w:rPr>
        <w:tab/>
        <w:t xml:space="preserve">Weilner S, Skalicky S, Salzer B, et al. Differentially circulating miRNAs after recent osteoporotic fractures can influence osteogenic differentiation. </w:t>
      </w:r>
      <w:r w:rsidRPr="000B5D6C">
        <w:rPr>
          <w:rFonts w:ascii="Times New Roman" w:hAnsi="Times New Roman" w:cs="Times New Roman"/>
          <w:i/>
          <w:iCs/>
          <w:sz w:val="24"/>
          <w:szCs w:val="24"/>
        </w:rPr>
        <w:t>Bone</w:t>
      </w:r>
      <w:r w:rsidRPr="000B5D6C">
        <w:rPr>
          <w:rFonts w:ascii="Times New Roman" w:hAnsi="Times New Roman" w:cs="Times New Roman"/>
          <w:sz w:val="24"/>
          <w:szCs w:val="24"/>
        </w:rPr>
        <w:t>. 2015;79:43-51. doi:10.1016/j.bone.2015.05.027</w:t>
      </w:r>
    </w:p>
    <w:p w14:paraId="6530655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91. </w:t>
      </w:r>
      <w:r w:rsidRPr="000B5D6C">
        <w:rPr>
          <w:rFonts w:ascii="Times New Roman" w:hAnsi="Times New Roman" w:cs="Times New Roman"/>
          <w:sz w:val="24"/>
          <w:szCs w:val="24"/>
        </w:rPr>
        <w:tab/>
        <w:t xml:space="preserve">Yu X, Zhang X, Dhakal IB, Beggs M, Kadlubar S, Luo D. Induction of cell proliferation and survival genes by estradiol-repressed microRNAs in breast cancer cells. </w:t>
      </w:r>
      <w:r w:rsidRPr="000B5D6C">
        <w:rPr>
          <w:rFonts w:ascii="Times New Roman" w:hAnsi="Times New Roman" w:cs="Times New Roman"/>
          <w:i/>
          <w:iCs/>
          <w:sz w:val="24"/>
          <w:szCs w:val="24"/>
        </w:rPr>
        <w:t>BMC Cancer</w:t>
      </w:r>
      <w:r w:rsidRPr="000B5D6C">
        <w:rPr>
          <w:rFonts w:ascii="Times New Roman" w:hAnsi="Times New Roman" w:cs="Times New Roman"/>
          <w:sz w:val="24"/>
          <w:szCs w:val="24"/>
        </w:rPr>
        <w:t>. 2012;12(1):29. doi:10.1186/1471-2407-12-29</w:t>
      </w:r>
    </w:p>
    <w:p w14:paraId="0CAC05B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92. </w:t>
      </w:r>
      <w:r w:rsidRPr="000B5D6C">
        <w:rPr>
          <w:rFonts w:ascii="Times New Roman" w:hAnsi="Times New Roman" w:cs="Times New Roman"/>
          <w:sz w:val="24"/>
          <w:szCs w:val="24"/>
        </w:rPr>
        <w:tab/>
        <w:t xml:space="preserve">Zarecki P, Hackl M, Grillari J, Debono M, Eastell R. Serum microRNAs as novel biomarkers for osteoporotic vertebral fractures. </w:t>
      </w:r>
      <w:r w:rsidRPr="000B5D6C">
        <w:rPr>
          <w:rFonts w:ascii="Times New Roman" w:hAnsi="Times New Roman" w:cs="Times New Roman"/>
          <w:i/>
          <w:iCs/>
          <w:sz w:val="24"/>
          <w:szCs w:val="24"/>
        </w:rPr>
        <w:t>Bone</w:t>
      </w:r>
      <w:r w:rsidRPr="000B5D6C">
        <w:rPr>
          <w:rFonts w:ascii="Times New Roman" w:hAnsi="Times New Roman" w:cs="Times New Roman"/>
          <w:sz w:val="24"/>
          <w:szCs w:val="24"/>
        </w:rPr>
        <w:t>. 2020;130:115105. doi:10.1016/j.bone.2019.115105</w:t>
      </w:r>
    </w:p>
    <w:p w14:paraId="3E63C174"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93. </w:t>
      </w:r>
      <w:r w:rsidRPr="000B5D6C">
        <w:rPr>
          <w:rFonts w:ascii="Times New Roman" w:hAnsi="Times New Roman" w:cs="Times New Roman"/>
          <w:sz w:val="24"/>
          <w:szCs w:val="24"/>
        </w:rPr>
        <w:tab/>
        <w:t xml:space="preserve">Zhang L, Tang Y, Zhu X, et al. Overexpression of MiR-335-5p Promotes Bone Formation and Regeneration in Mice. </w:t>
      </w:r>
      <w:r w:rsidRPr="000B5D6C">
        <w:rPr>
          <w:rFonts w:ascii="Times New Roman" w:hAnsi="Times New Roman" w:cs="Times New Roman"/>
          <w:i/>
          <w:iCs/>
          <w:sz w:val="24"/>
          <w:szCs w:val="24"/>
        </w:rPr>
        <w:t>J Bone Miner Res</w:t>
      </w:r>
      <w:r w:rsidRPr="000B5D6C">
        <w:rPr>
          <w:rFonts w:ascii="Times New Roman" w:hAnsi="Times New Roman" w:cs="Times New Roman"/>
          <w:sz w:val="24"/>
          <w:szCs w:val="24"/>
        </w:rPr>
        <w:t>. 2017;32(12):2466-2475. doi:10.1002/jbmr.3230</w:t>
      </w:r>
    </w:p>
    <w:p w14:paraId="14014AA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94. </w:t>
      </w:r>
      <w:r w:rsidRPr="000B5D6C">
        <w:rPr>
          <w:rFonts w:ascii="Times New Roman" w:hAnsi="Times New Roman" w:cs="Times New Roman"/>
          <w:sz w:val="24"/>
          <w:szCs w:val="24"/>
        </w:rPr>
        <w:tab/>
        <w:t xml:space="preserve">Miao Y, Chen H, Li M. MiR-19a overexpression contributes to heart failure through targeting ADRB1. </w:t>
      </w:r>
      <w:r w:rsidRPr="000B5D6C">
        <w:rPr>
          <w:rFonts w:ascii="Times New Roman" w:hAnsi="Times New Roman" w:cs="Times New Roman"/>
          <w:i/>
          <w:iCs/>
          <w:sz w:val="24"/>
          <w:szCs w:val="24"/>
        </w:rPr>
        <w:t>Int J Clin Exp Med</w:t>
      </w:r>
      <w:r w:rsidRPr="000B5D6C">
        <w:rPr>
          <w:rFonts w:ascii="Times New Roman" w:hAnsi="Times New Roman" w:cs="Times New Roman"/>
          <w:sz w:val="24"/>
          <w:szCs w:val="24"/>
        </w:rPr>
        <w:t>. 2015;8(1):642-649.</w:t>
      </w:r>
    </w:p>
    <w:p w14:paraId="109A5F8F"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95. </w:t>
      </w:r>
      <w:r w:rsidRPr="000B5D6C">
        <w:rPr>
          <w:rFonts w:ascii="Times New Roman" w:hAnsi="Times New Roman" w:cs="Times New Roman"/>
          <w:sz w:val="24"/>
          <w:szCs w:val="24"/>
        </w:rPr>
        <w:tab/>
        <w:t xml:space="preserve">Weilner S, Schraml E, Wieser M, et al. Secreted microvesicular miR-31 inhibits osteogenic differentiation of mesenchymal stem cells. </w:t>
      </w:r>
      <w:r w:rsidRPr="000B5D6C">
        <w:rPr>
          <w:rFonts w:ascii="Times New Roman" w:hAnsi="Times New Roman" w:cs="Times New Roman"/>
          <w:i/>
          <w:iCs/>
          <w:sz w:val="24"/>
          <w:szCs w:val="24"/>
        </w:rPr>
        <w:t>Aging Cell</w:t>
      </w:r>
      <w:r w:rsidRPr="000B5D6C">
        <w:rPr>
          <w:rFonts w:ascii="Times New Roman" w:hAnsi="Times New Roman" w:cs="Times New Roman"/>
          <w:sz w:val="24"/>
          <w:szCs w:val="24"/>
        </w:rPr>
        <w:t>. 2016;15(4):744-754. doi:10.1111/acel.12484</w:t>
      </w:r>
    </w:p>
    <w:p w14:paraId="0D50B7D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96. </w:t>
      </w:r>
      <w:r w:rsidRPr="000B5D6C">
        <w:rPr>
          <w:rFonts w:ascii="Times New Roman" w:hAnsi="Times New Roman" w:cs="Times New Roman"/>
          <w:sz w:val="24"/>
          <w:szCs w:val="24"/>
        </w:rPr>
        <w:tab/>
        <w:t xml:space="preserve">Berry SD, Samelson EJ, Pencina MJ, et al. Repeat Bone Mineral Density Screening and Prediction of Hip and Major Osteoporotic Fracture. </w:t>
      </w:r>
      <w:r w:rsidRPr="000B5D6C">
        <w:rPr>
          <w:rFonts w:ascii="Times New Roman" w:hAnsi="Times New Roman" w:cs="Times New Roman"/>
          <w:i/>
          <w:iCs/>
          <w:sz w:val="24"/>
          <w:szCs w:val="24"/>
        </w:rPr>
        <w:t>JAMA J Am Med Assoc</w:t>
      </w:r>
      <w:r w:rsidRPr="000B5D6C">
        <w:rPr>
          <w:rFonts w:ascii="Times New Roman" w:hAnsi="Times New Roman" w:cs="Times New Roman"/>
          <w:sz w:val="24"/>
          <w:szCs w:val="24"/>
        </w:rPr>
        <w:t>. 2013;310(12):1256-1262. doi:10.1001/jama.2013.277817</w:t>
      </w:r>
    </w:p>
    <w:p w14:paraId="6CA939C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97. </w:t>
      </w:r>
      <w:r w:rsidRPr="000B5D6C">
        <w:rPr>
          <w:rFonts w:ascii="Times New Roman" w:hAnsi="Times New Roman" w:cs="Times New Roman"/>
          <w:sz w:val="24"/>
          <w:szCs w:val="24"/>
        </w:rPr>
        <w:tab/>
        <w:t xml:space="preserve">Sharifi-Zarchi A, Gerovska D, Adachi K, et al. DNA methylation regulates discrimination of enhancers from promoters through a H3K4me1-H3K4me3 seesaw mechanism. </w:t>
      </w:r>
      <w:r w:rsidRPr="000B5D6C">
        <w:rPr>
          <w:rFonts w:ascii="Times New Roman" w:hAnsi="Times New Roman" w:cs="Times New Roman"/>
          <w:i/>
          <w:iCs/>
          <w:sz w:val="24"/>
          <w:szCs w:val="24"/>
        </w:rPr>
        <w:t>BMC Genomics</w:t>
      </w:r>
      <w:r w:rsidRPr="000B5D6C">
        <w:rPr>
          <w:rFonts w:ascii="Times New Roman" w:hAnsi="Times New Roman" w:cs="Times New Roman"/>
          <w:sz w:val="24"/>
          <w:szCs w:val="24"/>
        </w:rPr>
        <w:t>. 2017;18. doi:10.1186/s12864-017-4353-7</w:t>
      </w:r>
    </w:p>
    <w:p w14:paraId="331A4124"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98. </w:t>
      </w:r>
      <w:r w:rsidRPr="000B5D6C">
        <w:rPr>
          <w:rFonts w:ascii="Times New Roman" w:hAnsi="Times New Roman" w:cs="Times New Roman"/>
          <w:sz w:val="24"/>
          <w:szCs w:val="24"/>
        </w:rPr>
        <w:tab/>
        <w:t xml:space="preserve">Liang G, Lin JCY, Wei V, et al. Distinct localization of histone H3 acetylation and H3-K4 methylation to the transcription start sites in the human genome. </w:t>
      </w:r>
      <w:r w:rsidRPr="000B5D6C">
        <w:rPr>
          <w:rFonts w:ascii="Times New Roman" w:hAnsi="Times New Roman" w:cs="Times New Roman"/>
          <w:i/>
          <w:iCs/>
          <w:sz w:val="24"/>
          <w:szCs w:val="24"/>
        </w:rPr>
        <w:t>Proc Natl Acad Sci U S A</w:t>
      </w:r>
      <w:r w:rsidRPr="000B5D6C">
        <w:rPr>
          <w:rFonts w:ascii="Times New Roman" w:hAnsi="Times New Roman" w:cs="Times New Roman"/>
          <w:sz w:val="24"/>
          <w:szCs w:val="24"/>
        </w:rPr>
        <w:t>. 2004;101(19):7357-7362. doi:10.1073/pnas.0401866101</w:t>
      </w:r>
    </w:p>
    <w:p w14:paraId="1141BE40"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t xml:space="preserve">99. </w:t>
      </w:r>
      <w:r w:rsidRPr="000B5D6C">
        <w:rPr>
          <w:rFonts w:ascii="Times New Roman" w:hAnsi="Times New Roman" w:cs="Times New Roman"/>
          <w:sz w:val="24"/>
          <w:szCs w:val="24"/>
        </w:rPr>
        <w:tab/>
        <w:t xml:space="preserve">Wysocka J, Swigut T, Xiao H, et al. A PHD finger of NURF couples histone H3 lysine 4 trimethylation with chromatin remodelling. </w:t>
      </w:r>
      <w:r w:rsidRPr="000B5D6C">
        <w:rPr>
          <w:rFonts w:ascii="Times New Roman" w:hAnsi="Times New Roman" w:cs="Times New Roman"/>
          <w:i/>
          <w:iCs/>
          <w:sz w:val="24"/>
          <w:szCs w:val="24"/>
        </w:rPr>
        <w:t>Nature</w:t>
      </w:r>
      <w:r w:rsidRPr="000B5D6C">
        <w:rPr>
          <w:rFonts w:ascii="Times New Roman" w:hAnsi="Times New Roman" w:cs="Times New Roman"/>
          <w:sz w:val="24"/>
          <w:szCs w:val="24"/>
        </w:rPr>
        <w:t>. 2006;442(7098):86-90. doi:10.1038/nature04815</w:t>
      </w:r>
    </w:p>
    <w:p w14:paraId="222C4B42"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100. </w:t>
      </w:r>
      <w:r w:rsidRPr="000B5D6C">
        <w:rPr>
          <w:rFonts w:ascii="Times New Roman" w:hAnsi="Times New Roman" w:cs="Times New Roman"/>
          <w:sz w:val="24"/>
          <w:szCs w:val="24"/>
        </w:rPr>
        <w:tab/>
        <w:t>Transcription Factor ChIP-seq from ENCODE (Pol2-4H8). Accessed August 4, 2020. http://mrhgsv.gs.washington.edu/cgi-bin/hgc?hgsid=2403413_8E3AQ2IhRgvcxZsAvb1QIY1jtFCL&amp;c=chr12&amp;l=9093843&amp;r=9094542&amp;o=9094267&amp;t=9094533&amp;g=wgEncodeRegTfbsClusteredV2&amp;i=Pol2-4H8</w:t>
      </w:r>
    </w:p>
    <w:p w14:paraId="184FEAB0"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101. </w:t>
      </w:r>
      <w:r w:rsidRPr="000B5D6C">
        <w:rPr>
          <w:rFonts w:ascii="Times New Roman" w:hAnsi="Times New Roman" w:cs="Times New Roman"/>
          <w:sz w:val="24"/>
          <w:szCs w:val="24"/>
        </w:rPr>
        <w:tab/>
        <w:t xml:space="preserve">Rathz DA, Brown KM, Kramer LA, Liggett SB. Amino Acid 49 Polymorphisms of the Human β 1 -Adrenergic Receptor Affect Agonist-Promoted Trafficking. </w:t>
      </w:r>
      <w:r w:rsidRPr="000B5D6C">
        <w:rPr>
          <w:rFonts w:ascii="Times New Roman" w:hAnsi="Times New Roman" w:cs="Times New Roman"/>
          <w:i/>
          <w:iCs/>
          <w:sz w:val="24"/>
          <w:szCs w:val="24"/>
        </w:rPr>
        <w:t>J Cardiovasc Pharmacol</w:t>
      </w:r>
      <w:r w:rsidRPr="000B5D6C">
        <w:rPr>
          <w:rFonts w:ascii="Times New Roman" w:hAnsi="Times New Roman" w:cs="Times New Roman"/>
          <w:sz w:val="24"/>
          <w:szCs w:val="24"/>
        </w:rPr>
        <w:t>. 2002;39(2):155-160.</w:t>
      </w:r>
    </w:p>
    <w:p w14:paraId="4CEB0EE5"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102. </w:t>
      </w:r>
      <w:r w:rsidRPr="000B5D6C">
        <w:rPr>
          <w:rFonts w:ascii="Times New Roman" w:hAnsi="Times New Roman" w:cs="Times New Roman"/>
          <w:sz w:val="24"/>
          <w:szCs w:val="24"/>
        </w:rPr>
        <w:tab/>
        <w:t xml:space="preserve">Sandilands AJ, O’Shaughnessy KM. β1-Adrenoreceptor Polymorphisms and Blood Pressure: 49S Variant Increases Plasma Renin But Not Blood Pressure in Hypertensive Patients. </w:t>
      </w:r>
      <w:r w:rsidRPr="000B5D6C">
        <w:rPr>
          <w:rFonts w:ascii="Times New Roman" w:hAnsi="Times New Roman" w:cs="Times New Roman"/>
          <w:i/>
          <w:iCs/>
          <w:sz w:val="24"/>
          <w:szCs w:val="24"/>
        </w:rPr>
        <w:t>Am J Hypertens</w:t>
      </w:r>
      <w:r w:rsidRPr="000B5D6C">
        <w:rPr>
          <w:rFonts w:ascii="Times New Roman" w:hAnsi="Times New Roman" w:cs="Times New Roman"/>
          <w:sz w:val="24"/>
          <w:szCs w:val="24"/>
        </w:rPr>
        <w:t>. 2019;32(5):447-451. doi:10.1093/ajh/hpz019</w:t>
      </w:r>
    </w:p>
    <w:p w14:paraId="70A7406E"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103. </w:t>
      </w:r>
      <w:r w:rsidRPr="000B5D6C">
        <w:rPr>
          <w:rFonts w:ascii="Times New Roman" w:hAnsi="Times New Roman" w:cs="Times New Roman"/>
          <w:sz w:val="24"/>
          <w:szCs w:val="24"/>
        </w:rPr>
        <w:tab/>
        <w:t xml:space="preserve">Luzum JA, English JD, Ahmad US, et al. Association of Genetic Polymorphisms in the Beta-1 Adrenergic Receptor with Recovery of Left Ventricular Ejection Fraction in Patients with Heart Failure. </w:t>
      </w:r>
      <w:r w:rsidRPr="000B5D6C">
        <w:rPr>
          <w:rFonts w:ascii="Times New Roman" w:hAnsi="Times New Roman" w:cs="Times New Roman"/>
          <w:i/>
          <w:iCs/>
          <w:sz w:val="24"/>
          <w:szCs w:val="24"/>
        </w:rPr>
        <w:t>J Cardiovasc Transl Res</w:t>
      </w:r>
      <w:r w:rsidRPr="000B5D6C">
        <w:rPr>
          <w:rFonts w:ascii="Times New Roman" w:hAnsi="Times New Roman" w:cs="Times New Roman"/>
          <w:sz w:val="24"/>
          <w:szCs w:val="24"/>
        </w:rPr>
        <w:t>. 2019;12(4):280-289. doi:10.1007/s12265-019-09866-5</w:t>
      </w:r>
    </w:p>
    <w:p w14:paraId="5B5FA29D"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104. </w:t>
      </w:r>
      <w:r w:rsidRPr="000B5D6C">
        <w:rPr>
          <w:rFonts w:ascii="Times New Roman" w:hAnsi="Times New Roman" w:cs="Times New Roman"/>
          <w:sz w:val="24"/>
          <w:szCs w:val="24"/>
        </w:rPr>
        <w:tab/>
        <w:t xml:space="preserve">Márquez MF, Fragoso JM, Pérez-Pérez D, et al. POLYMORPHISMS IN β-ADRENERGIC RECEPTORS ARE ASSOCIATED WITH INCREASED RISK TO HAVE A POSITIVE HEAD-UP TILT TABLE TEST IN PATIENTS WITH VASOVAGAL SYNCOPE. </w:t>
      </w:r>
      <w:r w:rsidRPr="000B5D6C">
        <w:rPr>
          <w:rFonts w:ascii="Times New Roman" w:hAnsi="Times New Roman" w:cs="Times New Roman"/>
          <w:i/>
          <w:iCs/>
          <w:sz w:val="24"/>
          <w:szCs w:val="24"/>
        </w:rPr>
        <w:t>Rev Investig Clin Organo Hosp Enfermedades Nutr</w:t>
      </w:r>
      <w:r w:rsidRPr="000B5D6C">
        <w:rPr>
          <w:rFonts w:ascii="Times New Roman" w:hAnsi="Times New Roman" w:cs="Times New Roman"/>
          <w:sz w:val="24"/>
          <w:szCs w:val="24"/>
        </w:rPr>
        <w:t>. 2019;71(2):124-132. doi:10.24875/RIC.18002734</w:t>
      </w:r>
    </w:p>
    <w:p w14:paraId="7EEE352D"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105. </w:t>
      </w:r>
      <w:r w:rsidRPr="000B5D6C">
        <w:rPr>
          <w:rFonts w:ascii="Times New Roman" w:hAnsi="Times New Roman" w:cs="Times New Roman"/>
          <w:sz w:val="24"/>
          <w:szCs w:val="24"/>
        </w:rPr>
        <w:tab/>
        <w:t xml:space="preserve">Wei W, Tian Y, Zhao C, et al. Correlation of ADRB1 rs1801253 Polymorphism with Analgesic Effect of Fentanyl After Cancer Surgeries. </w:t>
      </w:r>
      <w:r w:rsidRPr="000B5D6C">
        <w:rPr>
          <w:rFonts w:ascii="Times New Roman" w:hAnsi="Times New Roman" w:cs="Times New Roman"/>
          <w:i/>
          <w:iCs/>
          <w:sz w:val="24"/>
          <w:szCs w:val="24"/>
        </w:rPr>
        <w:t>Med Sci Monit Int Med J Exp Clin Res</w:t>
      </w:r>
      <w:r w:rsidRPr="000B5D6C">
        <w:rPr>
          <w:rFonts w:ascii="Times New Roman" w:hAnsi="Times New Roman" w:cs="Times New Roman"/>
          <w:sz w:val="24"/>
          <w:szCs w:val="24"/>
        </w:rPr>
        <w:t>. 2015;21:4000-4005. doi:10.12659/msm.894060</w:t>
      </w:r>
    </w:p>
    <w:p w14:paraId="137AFEE1"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106. </w:t>
      </w:r>
      <w:r w:rsidRPr="000B5D6C">
        <w:rPr>
          <w:rFonts w:ascii="Times New Roman" w:hAnsi="Times New Roman" w:cs="Times New Roman"/>
          <w:sz w:val="24"/>
          <w:szCs w:val="24"/>
        </w:rPr>
        <w:tab/>
        <w:t xml:space="preserve">Wittwer ED, Liu Z, Warner ND, et al. β-1 and β-2 adrenergic receptor polymorphism and association with cardiovascular response to orthostatic screening. </w:t>
      </w:r>
      <w:r w:rsidRPr="000B5D6C">
        <w:rPr>
          <w:rFonts w:ascii="Times New Roman" w:hAnsi="Times New Roman" w:cs="Times New Roman"/>
          <w:i/>
          <w:iCs/>
          <w:sz w:val="24"/>
          <w:szCs w:val="24"/>
        </w:rPr>
        <w:t>Auton Neurosci Basic Clin</w:t>
      </w:r>
      <w:r w:rsidRPr="000B5D6C">
        <w:rPr>
          <w:rFonts w:ascii="Times New Roman" w:hAnsi="Times New Roman" w:cs="Times New Roman"/>
          <w:sz w:val="24"/>
          <w:szCs w:val="24"/>
        </w:rPr>
        <w:t>. 2011;164(1-2):89-95. doi:10.1016/j.autneu.2011.07.004</w:t>
      </w:r>
    </w:p>
    <w:p w14:paraId="7090B735"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107. </w:t>
      </w:r>
      <w:r w:rsidRPr="000B5D6C">
        <w:rPr>
          <w:rFonts w:ascii="Times New Roman" w:hAnsi="Times New Roman" w:cs="Times New Roman"/>
          <w:sz w:val="24"/>
          <w:szCs w:val="24"/>
        </w:rPr>
        <w:tab/>
        <w:t xml:space="preserve">Börjesson M, Magnusson Y, Hjalmarson Å, Andersson B. A novel polymorphism in the gene coding for the beta1-adrenergic receptor associated with survival in patients with heart failure. </w:t>
      </w:r>
      <w:r w:rsidRPr="000B5D6C">
        <w:rPr>
          <w:rFonts w:ascii="Times New Roman" w:hAnsi="Times New Roman" w:cs="Times New Roman"/>
          <w:i/>
          <w:iCs/>
          <w:sz w:val="24"/>
          <w:szCs w:val="24"/>
        </w:rPr>
        <w:t>Eur Heart J</w:t>
      </w:r>
      <w:r w:rsidRPr="000B5D6C">
        <w:rPr>
          <w:rFonts w:ascii="Times New Roman" w:hAnsi="Times New Roman" w:cs="Times New Roman"/>
          <w:sz w:val="24"/>
          <w:szCs w:val="24"/>
        </w:rPr>
        <w:t>. 2000;21(22):1853-1858. doi:10.1053/euhj.1999.1994</w:t>
      </w:r>
    </w:p>
    <w:p w14:paraId="7AD1524E"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108. </w:t>
      </w:r>
      <w:r w:rsidRPr="000B5D6C">
        <w:rPr>
          <w:rFonts w:ascii="Times New Roman" w:hAnsi="Times New Roman" w:cs="Times New Roman"/>
          <w:sz w:val="24"/>
          <w:szCs w:val="24"/>
        </w:rPr>
        <w:tab/>
        <w:t xml:space="preserve">Ranade K, Jorgenson E, Sheu WH-H, et al. A Polymorphism in the β1 Adrenergic Receptor Is Associated with Resting Heart Rate. </w:t>
      </w:r>
      <w:r w:rsidRPr="000B5D6C">
        <w:rPr>
          <w:rFonts w:ascii="Times New Roman" w:hAnsi="Times New Roman" w:cs="Times New Roman"/>
          <w:i/>
          <w:iCs/>
          <w:sz w:val="24"/>
          <w:szCs w:val="24"/>
        </w:rPr>
        <w:t>Am J Hum Genet</w:t>
      </w:r>
      <w:r w:rsidRPr="000B5D6C">
        <w:rPr>
          <w:rFonts w:ascii="Times New Roman" w:hAnsi="Times New Roman" w:cs="Times New Roman"/>
          <w:sz w:val="24"/>
          <w:szCs w:val="24"/>
        </w:rPr>
        <w:t>. 2002;70(4):935-942. doi:10.1086/339621</w:t>
      </w:r>
    </w:p>
    <w:p w14:paraId="4B4F637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109. </w:t>
      </w:r>
      <w:r w:rsidRPr="000B5D6C">
        <w:rPr>
          <w:rFonts w:ascii="Times New Roman" w:hAnsi="Times New Roman" w:cs="Times New Roman"/>
          <w:sz w:val="24"/>
          <w:szCs w:val="24"/>
        </w:rPr>
        <w:tab/>
        <w:t>Calabrese G, Mesner LD, Foley PL, Rosen CJ, Farber CR. Network Analysis Implicates Alpha-Synuclein (</w:t>
      </w:r>
      <w:r w:rsidRPr="000B5D6C">
        <w:rPr>
          <w:rFonts w:ascii="Times New Roman" w:hAnsi="Times New Roman" w:cs="Times New Roman"/>
          <w:i/>
          <w:iCs/>
          <w:sz w:val="24"/>
          <w:szCs w:val="24"/>
        </w:rPr>
        <w:t>Snca</w:t>
      </w:r>
      <w:r w:rsidRPr="000B5D6C">
        <w:rPr>
          <w:rFonts w:ascii="Times New Roman" w:hAnsi="Times New Roman" w:cs="Times New Roman"/>
          <w:sz w:val="24"/>
          <w:szCs w:val="24"/>
        </w:rPr>
        <w:t xml:space="preserve">) in the Regulation of Ovariectomy-Induced Bone Loss. </w:t>
      </w:r>
      <w:r w:rsidRPr="000B5D6C">
        <w:rPr>
          <w:rFonts w:ascii="Times New Roman" w:hAnsi="Times New Roman" w:cs="Times New Roman"/>
          <w:i/>
          <w:iCs/>
          <w:sz w:val="24"/>
          <w:szCs w:val="24"/>
        </w:rPr>
        <w:t>Sci Rep</w:t>
      </w:r>
      <w:r w:rsidRPr="000B5D6C">
        <w:rPr>
          <w:rFonts w:ascii="Times New Roman" w:hAnsi="Times New Roman" w:cs="Times New Roman"/>
          <w:sz w:val="24"/>
          <w:szCs w:val="24"/>
        </w:rPr>
        <w:t>. 2016;6:29475. doi:10.1038/srep29475</w:t>
      </w:r>
    </w:p>
    <w:p w14:paraId="3FA779B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lastRenderedPageBreak/>
        <w:t xml:space="preserve">110. </w:t>
      </w:r>
      <w:r w:rsidRPr="000B5D6C">
        <w:rPr>
          <w:rFonts w:ascii="Times New Roman" w:hAnsi="Times New Roman" w:cs="Times New Roman"/>
          <w:sz w:val="24"/>
          <w:szCs w:val="24"/>
        </w:rPr>
        <w:tab/>
        <w:t xml:space="preserve">Kamitaki N, Sekar A, Handsaker RE, et al. Complement genes contribute sex-biased vulnerability in diverse disorders. </w:t>
      </w:r>
      <w:r w:rsidRPr="000B5D6C">
        <w:rPr>
          <w:rFonts w:ascii="Times New Roman" w:hAnsi="Times New Roman" w:cs="Times New Roman"/>
          <w:i/>
          <w:iCs/>
          <w:sz w:val="24"/>
          <w:szCs w:val="24"/>
        </w:rPr>
        <w:t>Nature</w:t>
      </w:r>
      <w:r w:rsidRPr="000B5D6C">
        <w:rPr>
          <w:rFonts w:ascii="Times New Roman" w:hAnsi="Times New Roman" w:cs="Times New Roman"/>
          <w:sz w:val="24"/>
          <w:szCs w:val="24"/>
        </w:rPr>
        <w:t>. Published online May 11, 2020:1-7. doi:10.1038/s41586-020-2277-x</w:t>
      </w:r>
    </w:p>
    <w:p w14:paraId="16F51EC6"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111. </w:t>
      </w:r>
      <w:r w:rsidRPr="000B5D6C">
        <w:rPr>
          <w:rFonts w:ascii="Times New Roman" w:hAnsi="Times New Roman" w:cs="Times New Roman"/>
          <w:sz w:val="24"/>
          <w:szCs w:val="24"/>
        </w:rPr>
        <w:tab/>
        <w:t xml:space="preserve">Guo L, Zhang Q, Ma X, Wang J, Liang T. miRNA and mRNA expression analysis reveals potential sex-biased miRNA expression. </w:t>
      </w:r>
      <w:r w:rsidRPr="000B5D6C">
        <w:rPr>
          <w:rFonts w:ascii="Times New Roman" w:hAnsi="Times New Roman" w:cs="Times New Roman"/>
          <w:i/>
          <w:iCs/>
          <w:sz w:val="24"/>
          <w:szCs w:val="24"/>
        </w:rPr>
        <w:t>Sci Rep</w:t>
      </w:r>
      <w:r w:rsidRPr="000B5D6C">
        <w:rPr>
          <w:rFonts w:ascii="Times New Roman" w:hAnsi="Times New Roman" w:cs="Times New Roman"/>
          <w:sz w:val="24"/>
          <w:szCs w:val="24"/>
        </w:rPr>
        <w:t>. 2017;7. doi:10.1038/srep39812</w:t>
      </w:r>
    </w:p>
    <w:p w14:paraId="54AA5BBC"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112. </w:t>
      </w:r>
      <w:r w:rsidRPr="000B5D6C">
        <w:rPr>
          <w:rFonts w:ascii="Times New Roman" w:hAnsi="Times New Roman" w:cs="Times New Roman"/>
          <w:sz w:val="24"/>
          <w:szCs w:val="24"/>
        </w:rPr>
        <w:tab/>
        <w:t xml:space="preserve">Cui C, Yang W, Shi J, et al. Identification and Analysis of Human Sex-biased MicroRNAs. </w:t>
      </w:r>
      <w:r w:rsidRPr="000B5D6C">
        <w:rPr>
          <w:rFonts w:ascii="Times New Roman" w:hAnsi="Times New Roman" w:cs="Times New Roman"/>
          <w:i/>
          <w:iCs/>
          <w:sz w:val="24"/>
          <w:szCs w:val="24"/>
        </w:rPr>
        <w:t>Genomics Proteomics Bioinformatics</w:t>
      </w:r>
      <w:r w:rsidRPr="000B5D6C">
        <w:rPr>
          <w:rFonts w:ascii="Times New Roman" w:hAnsi="Times New Roman" w:cs="Times New Roman"/>
          <w:sz w:val="24"/>
          <w:szCs w:val="24"/>
        </w:rPr>
        <w:t>. 2018;16(3):200-211. doi:10.1016/j.gpb.2018.03.004</w:t>
      </w:r>
    </w:p>
    <w:p w14:paraId="268E11EA"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113. </w:t>
      </w:r>
      <w:r w:rsidRPr="000B5D6C">
        <w:rPr>
          <w:rFonts w:ascii="Times New Roman" w:hAnsi="Times New Roman" w:cs="Times New Roman"/>
          <w:sz w:val="24"/>
          <w:szCs w:val="24"/>
        </w:rPr>
        <w:tab/>
        <w:t xml:space="preserve">Yang C-X, Wright EC, Ross JW. Expression of RNA-binding proteins DND1 and FXR1 in the porcine ovary, and during oocyte maturation and early embryo development. </w:t>
      </w:r>
      <w:r w:rsidRPr="000B5D6C">
        <w:rPr>
          <w:rFonts w:ascii="Times New Roman" w:hAnsi="Times New Roman" w:cs="Times New Roman"/>
          <w:i/>
          <w:iCs/>
          <w:sz w:val="24"/>
          <w:szCs w:val="24"/>
        </w:rPr>
        <w:t>Mol Reprod Dev</w:t>
      </w:r>
      <w:r w:rsidRPr="000B5D6C">
        <w:rPr>
          <w:rFonts w:ascii="Times New Roman" w:hAnsi="Times New Roman" w:cs="Times New Roman"/>
          <w:sz w:val="24"/>
          <w:szCs w:val="24"/>
        </w:rPr>
        <w:t>. 2012;79(8):541-552. doi:10.1002/mrd.22059</w:t>
      </w:r>
    </w:p>
    <w:p w14:paraId="335216F3"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114. </w:t>
      </w:r>
      <w:r w:rsidRPr="000B5D6C">
        <w:rPr>
          <w:rFonts w:ascii="Times New Roman" w:hAnsi="Times New Roman" w:cs="Times New Roman"/>
          <w:sz w:val="24"/>
          <w:szCs w:val="24"/>
        </w:rPr>
        <w:tab/>
        <w:t xml:space="preserve">Fu Y, Xu Z, Chen Z, Wen B, Gao J. Integrated analysis of sex-biased mRNA and miRNA expression profiles in the gonad of the discus fish (Symphysodon aequifasciatus). </w:t>
      </w:r>
      <w:r w:rsidRPr="000B5D6C">
        <w:rPr>
          <w:rFonts w:ascii="Times New Roman" w:hAnsi="Times New Roman" w:cs="Times New Roman"/>
          <w:i/>
          <w:iCs/>
          <w:sz w:val="24"/>
          <w:szCs w:val="24"/>
        </w:rPr>
        <w:t>bioRxiv</w:t>
      </w:r>
      <w:r w:rsidRPr="000B5D6C">
        <w:rPr>
          <w:rFonts w:ascii="Times New Roman" w:hAnsi="Times New Roman" w:cs="Times New Roman"/>
          <w:sz w:val="24"/>
          <w:szCs w:val="24"/>
        </w:rPr>
        <w:t>. Published online December 10, 2018:492264. doi:10.1101/492264</w:t>
      </w:r>
    </w:p>
    <w:p w14:paraId="6F47330E" w14:textId="77777777" w:rsidR="009120DF" w:rsidRPr="000B5D6C" w:rsidRDefault="009120DF" w:rsidP="009120DF">
      <w:pPr>
        <w:pStyle w:val="Bibliography"/>
        <w:rPr>
          <w:rFonts w:ascii="Times New Roman" w:hAnsi="Times New Roman" w:cs="Times New Roman"/>
          <w:sz w:val="24"/>
          <w:szCs w:val="24"/>
        </w:rPr>
      </w:pPr>
      <w:r w:rsidRPr="000B5D6C">
        <w:rPr>
          <w:rFonts w:ascii="Times New Roman" w:hAnsi="Times New Roman" w:cs="Times New Roman"/>
          <w:sz w:val="24"/>
          <w:szCs w:val="24"/>
        </w:rPr>
        <w:t xml:space="preserve">115. </w:t>
      </w:r>
      <w:r w:rsidRPr="000B5D6C">
        <w:rPr>
          <w:rFonts w:ascii="Times New Roman" w:hAnsi="Times New Roman" w:cs="Times New Roman"/>
          <w:sz w:val="24"/>
          <w:szCs w:val="24"/>
        </w:rPr>
        <w:tab/>
        <w:t xml:space="preserve">Cooper DN. Functional intronic polymorphisms: Buried treasure awaiting discovery within our genes. </w:t>
      </w:r>
      <w:r w:rsidRPr="000B5D6C">
        <w:rPr>
          <w:rFonts w:ascii="Times New Roman" w:hAnsi="Times New Roman" w:cs="Times New Roman"/>
          <w:i/>
          <w:iCs/>
          <w:sz w:val="24"/>
          <w:szCs w:val="24"/>
        </w:rPr>
        <w:t>Hum Genomics</w:t>
      </w:r>
      <w:r w:rsidRPr="000B5D6C">
        <w:rPr>
          <w:rFonts w:ascii="Times New Roman" w:hAnsi="Times New Roman" w:cs="Times New Roman"/>
          <w:sz w:val="24"/>
          <w:szCs w:val="24"/>
        </w:rPr>
        <w:t>. 2010;4(5):284-288. doi:10.1186/1479-7364-4-5-284</w:t>
      </w:r>
    </w:p>
    <w:p w14:paraId="53CA0889" w14:textId="5E2A3DCB" w:rsidR="001E520D" w:rsidRPr="000F7F9A" w:rsidRDefault="00AD03DC" w:rsidP="001E520D">
      <w:pPr>
        <w:rPr>
          <w:color w:val="1F497D"/>
        </w:rPr>
      </w:pPr>
      <w:r w:rsidRPr="000B5D6C">
        <w:rPr>
          <w:rFonts w:ascii="Times New Roman" w:hAnsi="Times New Roman" w:cs="Times New Roman"/>
          <w:sz w:val="24"/>
          <w:szCs w:val="24"/>
        </w:rPr>
        <w:fldChar w:fldCharType="end"/>
      </w:r>
      <w:r w:rsidR="001E520D">
        <w:rPr>
          <w:rFonts w:ascii="Times New Roman" w:hAnsi="Times New Roman" w:cs="Times New Roman"/>
          <w:sz w:val="24"/>
          <w:szCs w:val="24"/>
        </w:rPr>
        <w:t xml:space="preserve">116. </w:t>
      </w:r>
      <w:r w:rsidR="001E520D" w:rsidRPr="000B5D6C">
        <w:rPr>
          <w:rFonts w:ascii="Times New Roman" w:hAnsi="Times New Roman" w:cs="Times New Roman"/>
          <w:sz w:val="24"/>
          <w:szCs w:val="24"/>
          <w:lang w:val="nl-NL"/>
        </w:rPr>
        <w:t xml:space="preserve">Supplementary Material: </w:t>
      </w:r>
      <w:r w:rsidR="00920112">
        <w:fldChar w:fldCharType="begin"/>
      </w:r>
      <w:r w:rsidR="00920112">
        <w:instrText xml:space="preserve"> HYPERLINK "http://clary.mmcri.cloud/JES_Nevola_et_all_supplement.pdf" </w:instrText>
      </w:r>
      <w:r w:rsidR="00920112">
        <w:fldChar w:fldCharType="separate"/>
      </w:r>
      <w:r w:rsidR="001E520D">
        <w:rPr>
          <w:rStyle w:val="Hyperlink"/>
        </w:rPr>
        <w:t>http://clary.mmcri.cloud/JES_Nevola_et_all_supplement.pdf</w:t>
      </w:r>
      <w:r w:rsidR="00920112">
        <w:rPr>
          <w:rStyle w:val="Hyperlink"/>
        </w:rPr>
        <w:fldChar w:fldCharType="end"/>
      </w:r>
    </w:p>
    <w:p w14:paraId="79F90B68" w14:textId="4C0EC933" w:rsidR="00C11E8B" w:rsidRPr="00757919" w:rsidRDefault="00C11E8B" w:rsidP="000B5D6C">
      <w:pPr>
        <w:pStyle w:val="Bibliography"/>
        <w:spacing w:line="480" w:lineRule="auto"/>
        <w:ind w:left="0" w:firstLine="0"/>
      </w:pPr>
    </w:p>
    <w:p w14:paraId="0ADF67EA" w14:textId="33293B61" w:rsidR="00C11E8B" w:rsidRPr="00757919" w:rsidRDefault="00C11E8B" w:rsidP="0022115C">
      <w:pPr>
        <w:spacing w:line="480" w:lineRule="auto"/>
        <w:rPr>
          <w:rFonts w:ascii="Times New Roman" w:eastAsia="Arial" w:hAnsi="Times New Roman" w:cs="Times New Roman"/>
          <w:b/>
          <w:sz w:val="24"/>
          <w:szCs w:val="24"/>
        </w:rPr>
      </w:pPr>
      <w:r w:rsidRPr="00757919">
        <w:rPr>
          <w:rFonts w:ascii="Times New Roman" w:eastAsia="Arial" w:hAnsi="Times New Roman" w:cs="Times New Roman"/>
          <w:b/>
          <w:sz w:val="24"/>
          <w:szCs w:val="24"/>
        </w:rPr>
        <w:t xml:space="preserve">Figure 1: Adrenergic signaling in bone. </w:t>
      </w:r>
      <w:r w:rsidRPr="00757919">
        <w:rPr>
          <w:rFonts w:ascii="Times New Roman" w:eastAsia="Arial" w:hAnsi="Times New Roman" w:cs="Times New Roman"/>
          <w:sz w:val="24"/>
          <w:szCs w:val="24"/>
        </w:rPr>
        <w:t xml:space="preserve">Norepinephrine (NE) binds to </w:t>
      </w:r>
      <w:r w:rsidR="00A84F33">
        <w:rPr>
          <w:rFonts w:ascii="Times New Roman" w:eastAsia="Arial" w:hAnsi="Times New Roman" w:cs="Times New Roman"/>
          <w:sz w:val="24"/>
          <w:szCs w:val="24"/>
        </w:rPr>
        <w:t>β</w:t>
      </w:r>
      <w:r w:rsidRPr="00757919">
        <w:rPr>
          <w:rFonts w:ascii="Times New Roman" w:eastAsia="Arial" w:hAnsi="Times New Roman" w:cs="Times New Roman"/>
          <w:sz w:val="24"/>
          <w:szCs w:val="24"/>
        </w:rPr>
        <w:t>-adrenergic receptors, stimulating adrenergic signaling th</w:t>
      </w:r>
      <w:r w:rsidR="00757919">
        <w:rPr>
          <w:rFonts w:ascii="Times New Roman" w:eastAsia="Arial" w:hAnsi="Times New Roman" w:cs="Times New Roman"/>
          <w:sz w:val="24"/>
          <w:szCs w:val="24"/>
        </w:rPr>
        <w:t>r</w:t>
      </w:r>
      <w:r w:rsidRPr="00757919">
        <w:rPr>
          <w:rFonts w:ascii="Times New Roman" w:eastAsia="Arial" w:hAnsi="Times New Roman" w:cs="Times New Roman"/>
          <w:sz w:val="24"/>
          <w:szCs w:val="24"/>
        </w:rPr>
        <w:t xml:space="preserve">ough cAMP and PKA. This results in the activation of </w:t>
      </w:r>
      <w:r w:rsidRPr="00BC23F1">
        <w:rPr>
          <w:rFonts w:ascii="Times New Roman" w:eastAsia="Arial" w:hAnsi="Times New Roman" w:cs="Times New Roman"/>
          <w:iCs/>
          <w:sz w:val="24"/>
          <w:szCs w:val="24"/>
        </w:rPr>
        <w:t>ATF4</w:t>
      </w:r>
      <w:r w:rsidRPr="00757919">
        <w:rPr>
          <w:rFonts w:ascii="Times New Roman" w:eastAsia="Arial" w:hAnsi="Times New Roman" w:cs="Times New Roman"/>
          <w:sz w:val="24"/>
          <w:szCs w:val="24"/>
        </w:rPr>
        <w:t xml:space="preserve">, a transcription factor that triggers </w:t>
      </w:r>
      <w:r w:rsidR="00757919">
        <w:rPr>
          <w:rFonts w:ascii="Times New Roman" w:eastAsia="Arial" w:hAnsi="Times New Roman" w:cs="Times New Roman"/>
          <w:sz w:val="24"/>
          <w:szCs w:val="24"/>
        </w:rPr>
        <w:t xml:space="preserve">the </w:t>
      </w:r>
      <w:r w:rsidRPr="00757919">
        <w:rPr>
          <w:rFonts w:ascii="Times New Roman" w:eastAsia="Arial" w:hAnsi="Times New Roman" w:cs="Times New Roman"/>
          <w:sz w:val="24"/>
          <w:szCs w:val="24"/>
        </w:rPr>
        <w:t xml:space="preserve">transcription of </w:t>
      </w:r>
      <w:r w:rsidR="001964C1" w:rsidRPr="00BC23F1">
        <w:rPr>
          <w:rFonts w:ascii="Times New Roman" w:eastAsia="Arial" w:hAnsi="Times New Roman" w:cs="Times New Roman"/>
          <w:iCs/>
          <w:sz w:val="24"/>
          <w:szCs w:val="24"/>
        </w:rPr>
        <w:t>TNFSF11 (RANKL)</w:t>
      </w:r>
      <w:r w:rsidRPr="00757919">
        <w:rPr>
          <w:rFonts w:ascii="Times New Roman" w:eastAsia="Arial" w:hAnsi="Times New Roman" w:cs="Times New Roman"/>
          <w:sz w:val="24"/>
          <w:szCs w:val="24"/>
        </w:rPr>
        <w:t xml:space="preserve">. </w:t>
      </w:r>
      <w:r w:rsidRPr="00BC23F1">
        <w:rPr>
          <w:rFonts w:ascii="Times New Roman" w:eastAsia="Arial" w:hAnsi="Times New Roman" w:cs="Times New Roman"/>
          <w:iCs/>
          <w:sz w:val="24"/>
          <w:szCs w:val="24"/>
        </w:rPr>
        <w:t>HDAC4</w:t>
      </w:r>
      <w:r w:rsidRPr="00757919">
        <w:rPr>
          <w:rFonts w:ascii="Times New Roman" w:eastAsia="Arial" w:hAnsi="Times New Roman" w:cs="Times New Roman"/>
          <w:i/>
          <w:sz w:val="24"/>
          <w:szCs w:val="24"/>
        </w:rPr>
        <w:t xml:space="preserve"> </w:t>
      </w:r>
      <w:r w:rsidRPr="00757919">
        <w:rPr>
          <w:rFonts w:ascii="Times New Roman" w:eastAsia="Arial" w:hAnsi="Times New Roman" w:cs="Times New Roman"/>
          <w:sz w:val="24"/>
          <w:szCs w:val="24"/>
        </w:rPr>
        <w:t xml:space="preserve">is a histone deacetylase that further acts to stabilize </w:t>
      </w:r>
      <w:r w:rsidRPr="00BC23F1">
        <w:rPr>
          <w:rFonts w:ascii="Times New Roman" w:eastAsia="Arial" w:hAnsi="Times New Roman" w:cs="Times New Roman"/>
          <w:iCs/>
          <w:sz w:val="24"/>
          <w:szCs w:val="24"/>
        </w:rPr>
        <w:t>ATF4</w:t>
      </w:r>
      <w:r w:rsidRPr="00757919">
        <w:rPr>
          <w:rFonts w:ascii="Times New Roman" w:eastAsia="Arial" w:hAnsi="Times New Roman" w:cs="Times New Roman"/>
          <w:sz w:val="24"/>
          <w:szCs w:val="24"/>
        </w:rPr>
        <w:t xml:space="preserve">. </w:t>
      </w:r>
      <w:r w:rsidR="001964C1">
        <w:rPr>
          <w:rFonts w:ascii="Times New Roman" w:eastAsia="Arial" w:hAnsi="Times New Roman" w:cs="Times New Roman"/>
          <w:iCs/>
          <w:sz w:val="24"/>
          <w:szCs w:val="24"/>
        </w:rPr>
        <w:t>TNFSF11 (RANKL)</w:t>
      </w:r>
      <w:r w:rsidRPr="003C7F7F">
        <w:rPr>
          <w:rFonts w:ascii="Times New Roman" w:eastAsia="Arial" w:hAnsi="Times New Roman" w:cs="Times New Roman"/>
          <w:iCs/>
          <w:sz w:val="24"/>
          <w:szCs w:val="24"/>
        </w:rPr>
        <w:t xml:space="preserve"> </w:t>
      </w:r>
      <w:r w:rsidRPr="00757919">
        <w:rPr>
          <w:rFonts w:ascii="Times New Roman" w:eastAsia="Arial" w:hAnsi="Times New Roman" w:cs="Times New Roman"/>
          <w:sz w:val="24"/>
          <w:szCs w:val="24"/>
        </w:rPr>
        <w:t xml:space="preserve">is secreted by osteoblasts and binds to </w:t>
      </w:r>
      <w:r w:rsidR="001964C1">
        <w:rPr>
          <w:rFonts w:ascii="Times New Roman" w:eastAsia="Arial" w:hAnsi="Times New Roman" w:cs="Times New Roman"/>
          <w:iCs/>
          <w:sz w:val="24"/>
          <w:szCs w:val="24"/>
        </w:rPr>
        <w:t>TNFRSF11A (RANK)</w:t>
      </w:r>
      <w:r w:rsidRPr="003C7F7F">
        <w:rPr>
          <w:rFonts w:ascii="Times New Roman" w:eastAsia="Arial" w:hAnsi="Times New Roman" w:cs="Times New Roman"/>
          <w:iCs/>
          <w:sz w:val="24"/>
          <w:szCs w:val="24"/>
        </w:rPr>
        <w:t xml:space="preserve"> </w:t>
      </w:r>
      <w:r w:rsidRPr="00757919">
        <w:rPr>
          <w:rFonts w:ascii="Times New Roman" w:eastAsia="Arial" w:hAnsi="Times New Roman" w:cs="Times New Roman"/>
          <w:sz w:val="24"/>
          <w:szCs w:val="24"/>
        </w:rPr>
        <w:t xml:space="preserve">receptors on osteoclasts or </w:t>
      </w:r>
      <w:r w:rsidRPr="00BC23F1">
        <w:rPr>
          <w:rFonts w:ascii="Times New Roman" w:eastAsia="Arial" w:hAnsi="Times New Roman" w:cs="Times New Roman"/>
          <w:iCs/>
          <w:sz w:val="24"/>
          <w:szCs w:val="24"/>
        </w:rPr>
        <w:t>OPG</w:t>
      </w:r>
      <w:r w:rsidRPr="00757919">
        <w:rPr>
          <w:rFonts w:ascii="Times New Roman" w:eastAsia="Arial" w:hAnsi="Times New Roman" w:cs="Times New Roman"/>
          <w:sz w:val="24"/>
          <w:szCs w:val="24"/>
        </w:rPr>
        <w:t xml:space="preserve"> soluble decoy receptors. Activation of </w:t>
      </w:r>
      <w:r w:rsidR="001964C1">
        <w:rPr>
          <w:rFonts w:ascii="Times New Roman" w:eastAsia="Arial" w:hAnsi="Times New Roman" w:cs="Times New Roman"/>
          <w:iCs/>
          <w:sz w:val="24"/>
          <w:szCs w:val="24"/>
        </w:rPr>
        <w:t>TNFRSF11A (RANK)</w:t>
      </w:r>
      <w:r w:rsidRPr="00757919">
        <w:rPr>
          <w:rFonts w:ascii="Times New Roman" w:eastAsia="Arial" w:hAnsi="Times New Roman" w:cs="Times New Roman"/>
          <w:sz w:val="24"/>
          <w:szCs w:val="24"/>
        </w:rPr>
        <w:t xml:space="preserve"> then stimulates osteoclast differentiation, leading to bone resorption. BBs competitively bind to </w:t>
      </w:r>
      <w:r w:rsidR="00A84F33">
        <w:rPr>
          <w:rFonts w:ascii="Times New Roman" w:eastAsia="Arial" w:hAnsi="Times New Roman" w:cs="Times New Roman"/>
          <w:sz w:val="24"/>
          <w:szCs w:val="24"/>
        </w:rPr>
        <w:t>β</w:t>
      </w:r>
      <w:r w:rsidRPr="00757919">
        <w:rPr>
          <w:rFonts w:ascii="Times New Roman" w:eastAsia="Arial" w:hAnsi="Times New Roman" w:cs="Times New Roman"/>
          <w:sz w:val="24"/>
          <w:szCs w:val="24"/>
        </w:rPr>
        <w:t>-adrenergic receptors, blocking signaling by norepinephrine.</w:t>
      </w:r>
    </w:p>
    <w:p w14:paraId="632723AD" w14:textId="223C2220" w:rsidR="00C11E8B" w:rsidRPr="00757919" w:rsidRDefault="00C11E8B" w:rsidP="0022115C">
      <w:pPr>
        <w:spacing w:line="480" w:lineRule="auto"/>
        <w:rPr>
          <w:rFonts w:ascii="Times New Roman" w:eastAsia="Arial" w:hAnsi="Times New Roman" w:cs="Times New Roman"/>
          <w:b/>
          <w:sz w:val="24"/>
          <w:szCs w:val="24"/>
        </w:rPr>
      </w:pPr>
      <w:r w:rsidRPr="00757919">
        <w:rPr>
          <w:rFonts w:ascii="Times New Roman" w:eastAsia="Arial" w:hAnsi="Times New Roman" w:cs="Times New Roman"/>
          <w:b/>
          <w:sz w:val="24"/>
          <w:szCs w:val="24"/>
        </w:rPr>
        <w:t>Figure 2: Forest plot of meta-analysis for rs11124190</w:t>
      </w:r>
      <w:r w:rsidR="00632794" w:rsidRPr="00757919">
        <w:rPr>
          <w:rFonts w:ascii="Times New Roman" w:eastAsia="Arial" w:hAnsi="Times New Roman" w:cs="Times New Roman"/>
          <w:b/>
          <w:sz w:val="24"/>
          <w:szCs w:val="24"/>
        </w:rPr>
        <w:t xml:space="preserve"> (</w:t>
      </w:r>
      <w:r w:rsidR="00632794" w:rsidRPr="00757919">
        <w:rPr>
          <w:rFonts w:ascii="Times New Roman" w:eastAsia="Arial" w:hAnsi="Times New Roman" w:cs="Times New Roman"/>
          <w:b/>
          <w:i/>
          <w:iCs/>
          <w:sz w:val="24"/>
          <w:szCs w:val="24"/>
        </w:rPr>
        <w:t>HDAC4</w:t>
      </w:r>
      <w:r w:rsidR="00632794" w:rsidRPr="00757919">
        <w:rPr>
          <w:rFonts w:ascii="Times New Roman" w:eastAsia="Arial" w:hAnsi="Times New Roman" w:cs="Times New Roman"/>
          <w:b/>
          <w:sz w:val="24"/>
          <w:szCs w:val="24"/>
        </w:rPr>
        <w:t>)</w:t>
      </w:r>
      <w:r w:rsidR="001964C1">
        <w:rPr>
          <w:rFonts w:ascii="Times New Roman" w:eastAsia="Arial" w:hAnsi="Times New Roman" w:cs="Times New Roman"/>
          <w:b/>
          <w:sz w:val="24"/>
          <w:szCs w:val="24"/>
        </w:rPr>
        <w:t xml:space="preserve"> in females</w:t>
      </w:r>
      <w:r w:rsidRPr="00757919">
        <w:rPr>
          <w:rFonts w:ascii="Times New Roman" w:eastAsia="Arial" w:hAnsi="Times New Roman" w:cs="Times New Roman"/>
          <w:b/>
          <w:sz w:val="24"/>
          <w:szCs w:val="24"/>
        </w:rPr>
        <w:t xml:space="preserve">. </w:t>
      </w:r>
      <w:r w:rsidRPr="00757919">
        <w:rPr>
          <w:rFonts w:ascii="Times New Roman" w:eastAsia="Arial" w:hAnsi="Times New Roman" w:cs="Times New Roman"/>
          <w:bCs/>
          <w:sz w:val="24"/>
          <w:szCs w:val="24"/>
        </w:rPr>
        <w:t xml:space="preserve">Meta-analysis between FHS, the Rotterdam Study, the BPROOF Study, </w:t>
      </w:r>
      <w:r w:rsidR="00900D84" w:rsidRPr="00757919">
        <w:rPr>
          <w:rFonts w:ascii="Times New Roman" w:eastAsia="Arial" w:hAnsi="Times New Roman" w:cs="Times New Roman"/>
          <w:bCs/>
          <w:sz w:val="24"/>
          <w:szCs w:val="24"/>
        </w:rPr>
        <w:t xml:space="preserve">the </w:t>
      </w:r>
      <w:r w:rsidRPr="00757919">
        <w:rPr>
          <w:rFonts w:ascii="Times New Roman" w:eastAsia="Arial" w:hAnsi="Times New Roman" w:cs="Times New Roman"/>
          <w:bCs/>
          <w:sz w:val="24"/>
          <w:szCs w:val="24"/>
        </w:rPr>
        <w:t>MOFS</w:t>
      </w:r>
      <w:r w:rsidR="00F45137" w:rsidRPr="00757919">
        <w:rPr>
          <w:rFonts w:ascii="Times New Roman" w:eastAsia="Arial" w:hAnsi="Times New Roman" w:cs="Times New Roman"/>
          <w:bCs/>
          <w:sz w:val="24"/>
          <w:szCs w:val="24"/>
        </w:rPr>
        <w:t xml:space="preserve">, and </w:t>
      </w:r>
      <w:r w:rsidR="00900D84" w:rsidRPr="00757919">
        <w:rPr>
          <w:rFonts w:ascii="Times New Roman" w:eastAsia="Arial" w:hAnsi="Times New Roman" w:cs="Times New Roman"/>
          <w:bCs/>
          <w:sz w:val="24"/>
          <w:szCs w:val="24"/>
        </w:rPr>
        <w:t xml:space="preserve">the </w:t>
      </w:r>
      <w:r w:rsidR="00F45137" w:rsidRPr="00757919">
        <w:rPr>
          <w:rFonts w:ascii="Times New Roman" w:eastAsia="Arial" w:hAnsi="Times New Roman" w:cs="Times New Roman"/>
          <w:bCs/>
          <w:sz w:val="24"/>
          <w:szCs w:val="24"/>
        </w:rPr>
        <w:t xml:space="preserve">Hertfordshire </w:t>
      </w:r>
      <w:r w:rsidR="004F7377">
        <w:rPr>
          <w:rFonts w:ascii="Times New Roman" w:eastAsia="Arial" w:hAnsi="Times New Roman" w:cs="Times New Roman"/>
          <w:bCs/>
          <w:sz w:val="24"/>
          <w:szCs w:val="24"/>
        </w:rPr>
        <w:t xml:space="preserve">Cohort </w:t>
      </w:r>
      <w:r w:rsidR="00F45137" w:rsidRPr="00757919">
        <w:rPr>
          <w:rFonts w:ascii="Times New Roman" w:eastAsia="Arial" w:hAnsi="Times New Roman" w:cs="Times New Roman"/>
          <w:bCs/>
          <w:sz w:val="24"/>
          <w:szCs w:val="24"/>
        </w:rPr>
        <w:t>Study</w:t>
      </w:r>
      <w:r w:rsidRPr="00757919">
        <w:rPr>
          <w:rFonts w:ascii="Times New Roman" w:eastAsia="Arial" w:hAnsi="Times New Roman" w:cs="Times New Roman"/>
          <w:bCs/>
          <w:sz w:val="24"/>
          <w:szCs w:val="24"/>
        </w:rPr>
        <w:t xml:space="preserve"> for rs11124190 </w:t>
      </w:r>
      <w:r w:rsidR="001964C1">
        <w:rPr>
          <w:rFonts w:ascii="Times New Roman" w:eastAsia="Arial" w:hAnsi="Times New Roman" w:cs="Times New Roman"/>
          <w:bCs/>
          <w:sz w:val="24"/>
          <w:szCs w:val="24"/>
        </w:rPr>
        <w:t>(</w:t>
      </w:r>
      <w:r w:rsidRPr="00757919">
        <w:rPr>
          <w:rFonts w:ascii="Times New Roman" w:eastAsia="Arial" w:hAnsi="Times New Roman" w:cs="Times New Roman"/>
          <w:bCs/>
          <w:i/>
          <w:iCs/>
          <w:sz w:val="24"/>
          <w:szCs w:val="24"/>
        </w:rPr>
        <w:t>HDAC4</w:t>
      </w:r>
      <w:r w:rsidR="001964C1" w:rsidRPr="00BC23F1">
        <w:rPr>
          <w:rFonts w:ascii="Times New Roman" w:eastAsia="Arial" w:hAnsi="Times New Roman" w:cs="Times New Roman"/>
          <w:bCs/>
          <w:sz w:val="24"/>
          <w:szCs w:val="24"/>
        </w:rPr>
        <w:t>)</w:t>
      </w:r>
      <w:r w:rsidR="001964C1">
        <w:rPr>
          <w:rFonts w:ascii="Times New Roman" w:eastAsia="Arial" w:hAnsi="Times New Roman" w:cs="Times New Roman"/>
          <w:bCs/>
          <w:i/>
          <w:iCs/>
          <w:sz w:val="24"/>
          <w:szCs w:val="24"/>
        </w:rPr>
        <w:t xml:space="preserve"> </w:t>
      </w:r>
      <w:r w:rsidR="001964C1">
        <w:rPr>
          <w:rFonts w:ascii="Times New Roman" w:eastAsia="Arial" w:hAnsi="Times New Roman" w:cs="Times New Roman"/>
          <w:bCs/>
          <w:sz w:val="24"/>
          <w:szCs w:val="24"/>
        </w:rPr>
        <w:t>in female only models</w:t>
      </w:r>
      <w:r w:rsidR="00792D45" w:rsidRPr="00757919">
        <w:rPr>
          <w:rFonts w:ascii="Times New Roman" w:eastAsia="Arial" w:hAnsi="Times New Roman" w:cs="Times New Roman"/>
          <w:bCs/>
          <w:sz w:val="24"/>
          <w:szCs w:val="24"/>
        </w:rPr>
        <w:t>.</w:t>
      </w:r>
      <w:r w:rsidR="00313EE5">
        <w:rPr>
          <w:rFonts w:ascii="Times New Roman" w:eastAsia="Arial" w:hAnsi="Times New Roman" w:cs="Times New Roman"/>
          <w:bCs/>
          <w:sz w:val="24"/>
          <w:szCs w:val="24"/>
        </w:rPr>
        <w:t xml:space="preserve"> TE is the treatment estimate and </w:t>
      </w:r>
      <w:r w:rsidR="00313EE5">
        <w:rPr>
          <w:rFonts w:ascii="Times New Roman" w:eastAsia="Arial" w:hAnsi="Times New Roman" w:cs="Times New Roman"/>
          <w:bCs/>
          <w:sz w:val="24"/>
          <w:szCs w:val="24"/>
        </w:rPr>
        <w:lastRenderedPageBreak/>
        <w:t xml:space="preserve">refers to the estimate of each model, while </w:t>
      </w:r>
      <w:proofErr w:type="spellStart"/>
      <w:r w:rsidR="00313EE5">
        <w:rPr>
          <w:rFonts w:ascii="Times New Roman" w:eastAsia="Arial" w:hAnsi="Times New Roman" w:cs="Times New Roman"/>
          <w:bCs/>
          <w:sz w:val="24"/>
          <w:szCs w:val="24"/>
        </w:rPr>
        <w:t>seTE</w:t>
      </w:r>
      <w:proofErr w:type="spellEnd"/>
      <w:r w:rsidR="00313EE5">
        <w:rPr>
          <w:rFonts w:ascii="Times New Roman" w:eastAsia="Arial" w:hAnsi="Times New Roman" w:cs="Times New Roman"/>
          <w:bCs/>
          <w:sz w:val="24"/>
          <w:szCs w:val="24"/>
        </w:rPr>
        <w:t xml:space="preserve"> refers to the standard error of the treatment estimate.</w:t>
      </w:r>
      <w:r w:rsidR="006570B0">
        <w:rPr>
          <w:rFonts w:ascii="Times New Roman" w:eastAsia="Arial" w:hAnsi="Times New Roman" w:cs="Times New Roman"/>
          <w:bCs/>
          <w:sz w:val="24"/>
          <w:szCs w:val="24"/>
        </w:rPr>
        <w:t xml:space="preserve"> The weight (fixed) and weight (random) columns refer to the weighting for the fixed effect model and the random effect model respectively.</w:t>
      </w:r>
    </w:p>
    <w:p w14:paraId="4007F8E0" w14:textId="30AD088E" w:rsidR="007B4885" w:rsidRPr="00757919" w:rsidRDefault="00C42903" w:rsidP="0022115C">
      <w:pPr>
        <w:spacing w:line="480" w:lineRule="auto"/>
        <w:rPr>
          <w:rFonts w:ascii="Times New Roman" w:eastAsia="Arial" w:hAnsi="Times New Roman" w:cs="Times New Roman"/>
          <w:b/>
          <w:sz w:val="24"/>
          <w:szCs w:val="24"/>
        </w:rPr>
      </w:pPr>
      <w:r w:rsidRPr="00757919">
        <w:rPr>
          <w:rFonts w:ascii="Times New Roman" w:eastAsia="Arial" w:hAnsi="Times New Roman" w:cs="Times New Roman"/>
          <w:b/>
          <w:sz w:val="24"/>
          <w:szCs w:val="24"/>
        </w:rPr>
        <w:t>Figure 3: Forest plot of meta-analysis for rs12414657</w:t>
      </w:r>
      <w:r w:rsidR="00632794" w:rsidRPr="00757919">
        <w:rPr>
          <w:rFonts w:ascii="Times New Roman" w:eastAsia="Arial" w:hAnsi="Times New Roman" w:cs="Times New Roman"/>
          <w:b/>
          <w:sz w:val="24"/>
          <w:szCs w:val="24"/>
        </w:rPr>
        <w:t xml:space="preserve"> (</w:t>
      </w:r>
      <w:r w:rsidR="00632794" w:rsidRPr="00757919">
        <w:rPr>
          <w:rFonts w:ascii="Times New Roman" w:eastAsia="Arial" w:hAnsi="Times New Roman" w:cs="Times New Roman"/>
          <w:b/>
          <w:i/>
          <w:iCs/>
          <w:sz w:val="24"/>
          <w:szCs w:val="24"/>
        </w:rPr>
        <w:t>ADRB1</w:t>
      </w:r>
      <w:r w:rsidR="00632794" w:rsidRPr="00757919">
        <w:rPr>
          <w:rFonts w:ascii="Times New Roman" w:eastAsia="Arial" w:hAnsi="Times New Roman" w:cs="Times New Roman"/>
          <w:b/>
          <w:sz w:val="24"/>
          <w:szCs w:val="24"/>
        </w:rPr>
        <w:t>)</w:t>
      </w:r>
      <w:r w:rsidR="001964C1">
        <w:rPr>
          <w:rFonts w:ascii="Times New Roman" w:eastAsia="Arial" w:hAnsi="Times New Roman" w:cs="Times New Roman"/>
          <w:b/>
          <w:sz w:val="24"/>
          <w:szCs w:val="24"/>
        </w:rPr>
        <w:t xml:space="preserve"> in females</w:t>
      </w:r>
      <w:r w:rsidRPr="00757919">
        <w:rPr>
          <w:rFonts w:ascii="Times New Roman" w:eastAsia="Arial" w:hAnsi="Times New Roman" w:cs="Times New Roman"/>
          <w:b/>
          <w:sz w:val="24"/>
          <w:szCs w:val="24"/>
        </w:rPr>
        <w:t xml:space="preserve">. </w:t>
      </w:r>
      <w:r w:rsidRPr="00757919">
        <w:rPr>
          <w:rFonts w:ascii="Times New Roman" w:eastAsia="Arial" w:hAnsi="Times New Roman" w:cs="Times New Roman"/>
          <w:bCs/>
          <w:sz w:val="24"/>
          <w:szCs w:val="24"/>
        </w:rPr>
        <w:t xml:space="preserve">Meta-analysis between FHS, the Rotterdam Study, the BPROOF Study, </w:t>
      </w:r>
      <w:r w:rsidR="00900D84" w:rsidRPr="00757919">
        <w:rPr>
          <w:rFonts w:ascii="Times New Roman" w:eastAsia="Arial" w:hAnsi="Times New Roman" w:cs="Times New Roman"/>
          <w:bCs/>
          <w:sz w:val="24"/>
          <w:szCs w:val="24"/>
        </w:rPr>
        <w:t xml:space="preserve">the </w:t>
      </w:r>
      <w:r w:rsidRPr="00757919">
        <w:rPr>
          <w:rFonts w:ascii="Times New Roman" w:eastAsia="Arial" w:hAnsi="Times New Roman" w:cs="Times New Roman"/>
          <w:bCs/>
          <w:sz w:val="24"/>
          <w:szCs w:val="24"/>
        </w:rPr>
        <w:t xml:space="preserve">MOFS, and </w:t>
      </w:r>
      <w:r w:rsidR="00900D84" w:rsidRPr="00757919">
        <w:rPr>
          <w:rFonts w:ascii="Times New Roman" w:eastAsia="Arial" w:hAnsi="Times New Roman" w:cs="Times New Roman"/>
          <w:bCs/>
          <w:sz w:val="24"/>
          <w:szCs w:val="24"/>
        </w:rPr>
        <w:t xml:space="preserve">the </w:t>
      </w:r>
      <w:r w:rsidRPr="00757919">
        <w:rPr>
          <w:rFonts w:ascii="Times New Roman" w:eastAsia="Arial" w:hAnsi="Times New Roman" w:cs="Times New Roman"/>
          <w:bCs/>
          <w:sz w:val="24"/>
          <w:szCs w:val="24"/>
        </w:rPr>
        <w:t>Hertfordshire</w:t>
      </w:r>
      <w:r w:rsidR="004F7377">
        <w:rPr>
          <w:rFonts w:ascii="Times New Roman" w:eastAsia="Arial" w:hAnsi="Times New Roman" w:cs="Times New Roman"/>
          <w:bCs/>
          <w:sz w:val="24"/>
          <w:szCs w:val="24"/>
        </w:rPr>
        <w:t xml:space="preserve"> Cohort</w:t>
      </w:r>
      <w:r w:rsidRPr="00757919">
        <w:rPr>
          <w:rFonts w:ascii="Times New Roman" w:eastAsia="Arial" w:hAnsi="Times New Roman" w:cs="Times New Roman"/>
          <w:bCs/>
          <w:sz w:val="24"/>
          <w:szCs w:val="24"/>
        </w:rPr>
        <w:t xml:space="preserve"> Study for rs12414657 </w:t>
      </w:r>
      <w:r w:rsidR="001964C1">
        <w:rPr>
          <w:rFonts w:ascii="Times New Roman" w:eastAsia="Arial" w:hAnsi="Times New Roman" w:cs="Times New Roman"/>
          <w:bCs/>
          <w:sz w:val="24"/>
          <w:szCs w:val="24"/>
        </w:rPr>
        <w:t>(</w:t>
      </w:r>
      <w:r w:rsidRPr="00757919">
        <w:rPr>
          <w:rFonts w:ascii="Times New Roman" w:eastAsia="Arial" w:hAnsi="Times New Roman" w:cs="Times New Roman"/>
          <w:bCs/>
          <w:i/>
          <w:iCs/>
          <w:sz w:val="24"/>
          <w:szCs w:val="24"/>
        </w:rPr>
        <w:t>ADRB1</w:t>
      </w:r>
      <w:r w:rsidR="001964C1">
        <w:rPr>
          <w:rFonts w:ascii="Times New Roman" w:eastAsia="Arial" w:hAnsi="Times New Roman" w:cs="Times New Roman"/>
          <w:bCs/>
          <w:sz w:val="24"/>
          <w:szCs w:val="24"/>
        </w:rPr>
        <w:t>) in female only models</w:t>
      </w:r>
      <w:r w:rsidR="008F1900" w:rsidRPr="00757919">
        <w:rPr>
          <w:rFonts w:ascii="Times New Roman" w:eastAsia="Arial" w:hAnsi="Times New Roman" w:cs="Times New Roman"/>
          <w:bCs/>
          <w:sz w:val="24"/>
          <w:szCs w:val="24"/>
        </w:rPr>
        <w:t>.</w:t>
      </w:r>
      <w:r w:rsidR="006570B0">
        <w:rPr>
          <w:rFonts w:ascii="Times New Roman" w:eastAsia="Arial" w:hAnsi="Times New Roman" w:cs="Times New Roman"/>
          <w:bCs/>
          <w:sz w:val="24"/>
          <w:szCs w:val="24"/>
        </w:rPr>
        <w:t xml:space="preserve"> TE is the treatment estimate and refers to the estimate of each model, while </w:t>
      </w:r>
      <w:proofErr w:type="spellStart"/>
      <w:r w:rsidR="006570B0">
        <w:rPr>
          <w:rFonts w:ascii="Times New Roman" w:eastAsia="Arial" w:hAnsi="Times New Roman" w:cs="Times New Roman"/>
          <w:bCs/>
          <w:sz w:val="24"/>
          <w:szCs w:val="24"/>
        </w:rPr>
        <w:t>seTE</w:t>
      </w:r>
      <w:proofErr w:type="spellEnd"/>
      <w:r w:rsidR="006570B0">
        <w:rPr>
          <w:rFonts w:ascii="Times New Roman" w:eastAsia="Arial" w:hAnsi="Times New Roman" w:cs="Times New Roman"/>
          <w:bCs/>
          <w:sz w:val="24"/>
          <w:szCs w:val="24"/>
        </w:rPr>
        <w:t xml:space="preserve"> refers to the standard error of the treatment estimate. The weight (fixed) and weight (random) columns refer to the weighting for the fixed effect model and the random effect model respectively.</w:t>
      </w:r>
    </w:p>
    <w:p w14:paraId="7845724A" w14:textId="4AAA49F2" w:rsidR="00C42903" w:rsidRPr="00757919" w:rsidRDefault="007B4885" w:rsidP="0022115C">
      <w:pPr>
        <w:spacing w:line="480" w:lineRule="auto"/>
        <w:rPr>
          <w:rFonts w:ascii="Times New Roman" w:eastAsia="Arial" w:hAnsi="Times New Roman" w:cs="Times New Roman"/>
          <w:b/>
          <w:sz w:val="24"/>
          <w:szCs w:val="24"/>
        </w:rPr>
      </w:pPr>
      <w:r w:rsidRPr="00757919">
        <w:rPr>
          <w:rFonts w:ascii="Times New Roman" w:eastAsia="Arial" w:hAnsi="Times New Roman" w:cs="Times New Roman"/>
          <w:b/>
          <w:sz w:val="24"/>
          <w:szCs w:val="24"/>
        </w:rPr>
        <w:t xml:space="preserve">Figure 4: Hypothesized miRNA-mediated mechanisms underlying the association between top SNPs and BMD in BB users. </w:t>
      </w:r>
      <w:r w:rsidRPr="00757919">
        <w:rPr>
          <w:rFonts w:ascii="Times New Roman" w:eastAsia="Arial" w:hAnsi="Times New Roman" w:cs="Times New Roman"/>
          <w:bCs/>
          <w:sz w:val="24"/>
          <w:szCs w:val="24"/>
        </w:rPr>
        <w:t>Female BB users with the alternative allele of rs12414657</w:t>
      </w:r>
      <w:r w:rsidR="00632794" w:rsidRPr="00757919">
        <w:rPr>
          <w:rFonts w:ascii="Times New Roman" w:eastAsia="Arial" w:hAnsi="Times New Roman" w:cs="Times New Roman"/>
          <w:bCs/>
          <w:sz w:val="24"/>
          <w:szCs w:val="24"/>
        </w:rPr>
        <w:t xml:space="preserve"> (</w:t>
      </w:r>
      <w:r w:rsidR="00632794" w:rsidRPr="00757919">
        <w:rPr>
          <w:rFonts w:ascii="Times New Roman" w:eastAsia="Arial" w:hAnsi="Times New Roman" w:cs="Times New Roman"/>
          <w:bCs/>
          <w:i/>
          <w:iCs/>
          <w:sz w:val="24"/>
          <w:szCs w:val="24"/>
        </w:rPr>
        <w:t>ADRB1</w:t>
      </w:r>
      <w:r w:rsidR="00632794" w:rsidRPr="00757919">
        <w:rPr>
          <w:rFonts w:ascii="Times New Roman" w:eastAsia="Arial" w:hAnsi="Times New Roman" w:cs="Times New Roman"/>
          <w:bCs/>
          <w:sz w:val="24"/>
          <w:szCs w:val="24"/>
        </w:rPr>
        <w:t>)</w:t>
      </w:r>
      <w:r w:rsidRPr="00757919">
        <w:rPr>
          <w:rFonts w:ascii="Times New Roman" w:eastAsia="Arial" w:hAnsi="Times New Roman" w:cs="Times New Roman"/>
          <w:bCs/>
          <w:sz w:val="24"/>
          <w:szCs w:val="24"/>
        </w:rPr>
        <w:t xml:space="preserve"> have higher expression of miR-19a-3p and higher BMD. miR-19a-3p inhibits gene targets involved in adrenergic signaling including </w:t>
      </w:r>
      <w:r w:rsidRPr="00757919">
        <w:rPr>
          <w:rFonts w:ascii="Times New Roman" w:eastAsia="Arial" w:hAnsi="Times New Roman" w:cs="Times New Roman"/>
          <w:bCs/>
          <w:i/>
          <w:iCs/>
          <w:sz w:val="24"/>
          <w:szCs w:val="24"/>
        </w:rPr>
        <w:t xml:space="preserve">ADRB1 </w:t>
      </w:r>
      <w:r w:rsidRPr="00757919">
        <w:rPr>
          <w:rFonts w:ascii="Times New Roman" w:eastAsia="Arial" w:hAnsi="Times New Roman" w:cs="Times New Roman"/>
          <w:bCs/>
          <w:sz w:val="24"/>
          <w:szCs w:val="24"/>
        </w:rPr>
        <w:t xml:space="preserve">and </w:t>
      </w:r>
      <w:r w:rsidRPr="00757919">
        <w:rPr>
          <w:rFonts w:ascii="Times New Roman" w:eastAsia="Arial" w:hAnsi="Times New Roman" w:cs="Times New Roman"/>
          <w:bCs/>
          <w:i/>
          <w:iCs/>
          <w:sz w:val="24"/>
          <w:szCs w:val="24"/>
        </w:rPr>
        <w:t>HDAC4</w:t>
      </w:r>
      <w:r w:rsidRPr="00757919">
        <w:rPr>
          <w:rFonts w:ascii="Times New Roman" w:eastAsia="Arial" w:hAnsi="Times New Roman" w:cs="Times New Roman"/>
          <w:bCs/>
          <w:sz w:val="24"/>
          <w:szCs w:val="24"/>
        </w:rPr>
        <w:t>. This inhibition of adrenergic signaling in bone would then lead to increased BMD. Female BB users with the alternative allele of rs11124190</w:t>
      </w:r>
      <w:r w:rsidR="00632794" w:rsidRPr="00757919">
        <w:rPr>
          <w:rFonts w:ascii="Times New Roman" w:eastAsia="Arial" w:hAnsi="Times New Roman" w:cs="Times New Roman"/>
          <w:bCs/>
          <w:sz w:val="24"/>
          <w:szCs w:val="24"/>
        </w:rPr>
        <w:t xml:space="preserve"> (</w:t>
      </w:r>
      <w:r w:rsidR="00632794" w:rsidRPr="00757919">
        <w:rPr>
          <w:rFonts w:ascii="Times New Roman" w:eastAsia="Arial" w:hAnsi="Times New Roman" w:cs="Times New Roman"/>
          <w:bCs/>
          <w:i/>
          <w:iCs/>
          <w:sz w:val="24"/>
          <w:szCs w:val="24"/>
        </w:rPr>
        <w:t>HDAC4</w:t>
      </w:r>
      <w:r w:rsidR="00632794" w:rsidRPr="00757919">
        <w:rPr>
          <w:rFonts w:ascii="Times New Roman" w:eastAsia="Arial" w:hAnsi="Times New Roman" w:cs="Times New Roman"/>
          <w:bCs/>
          <w:sz w:val="24"/>
          <w:szCs w:val="24"/>
        </w:rPr>
        <w:t>)</w:t>
      </w:r>
      <w:r w:rsidRPr="00757919">
        <w:rPr>
          <w:rFonts w:ascii="Times New Roman" w:eastAsia="Arial" w:hAnsi="Times New Roman" w:cs="Times New Roman"/>
          <w:bCs/>
          <w:sz w:val="24"/>
          <w:szCs w:val="24"/>
        </w:rPr>
        <w:t xml:space="preserve"> have lower expression of miR-17-5p and higher BMD. miR-17-5p inhibits osteogenic differentiation, therefore lower expression of miR-17-5p would lead to higher BMD. Male BB users with the alternative allele for rs34170507 </w:t>
      </w:r>
      <w:r w:rsidR="00632794" w:rsidRPr="00757919">
        <w:rPr>
          <w:rFonts w:ascii="Times New Roman" w:eastAsia="Arial" w:hAnsi="Times New Roman" w:cs="Times New Roman"/>
          <w:bCs/>
          <w:sz w:val="24"/>
          <w:szCs w:val="24"/>
        </w:rPr>
        <w:t>(</w:t>
      </w:r>
      <w:r w:rsidR="001964C1">
        <w:rPr>
          <w:rFonts w:ascii="Times New Roman" w:eastAsia="Arial" w:hAnsi="Times New Roman" w:cs="Times New Roman"/>
          <w:bCs/>
          <w:i/>
          <w:iCs/>
          <w:sz w:val="24"/>
          <w:szCs w:val="24"/>
        </w:rPr>
        <w:t>TNFRSF11A (RANK)</w:t>
      </w:r>
      <w:r w:rsidR="00632794" w:rsidRPr="00757919">
        <w:rPr>
          <w:rFonts w:ascii="Times New Roman" w:eastAsia="Arial" w:hAnsi="Times New Roman" w:cs="Times New Roman"/>
          <w:bCs/>
          <w:sz w:val="24"/>
          <w:szCs w:val="24"/>
        </w:rPr>
        <w:t xml:space="preserve">) </w:t>
      </w:r>
      <w:r w:rsidRPr="00757919">
        <w:rPr>
          <w:rFonts w:ascii="Times New Roman" w:eastAsia="Arial" w:hAnsi="Times New Roman" w:cs="Times New Roman"/>
          <w:bCs/>
          <w:sz w:val="24"/>
          <w:szCs w:val="24"/>
        </w:rPr>
        <w:t xml:space="preserve">have lower expression of miR-31-5p and higher BMD. miR-31-5p inhibits osteogenic differentiation, so lower expression of miR-31-5p should lead to higher BMD. Male BB users with the alternative allele for rs6567268 </w:t>
      </w:r>
      <w:r w:rsidR="00632794" w:rsidRPr="00757919">
        <w:rPr>
          <w:rFonts w:ascii="Times New Roman" w:eastAsia="Arial" w:hAnsi="Times New Roman" w:cs="Times New Roman"/>
          <w:bCs/>
          <w:sz w:val="24"/>
          <w:szCs w:val="24"/>
        </w:rPr>
        <w:t>(</w:t>
      </w:r>
      <w:r w:rsidR="001964C1">
        <w:rPr>
          <w:rFonts w:ascii="Times New Roman" w:eastAsia="Arial" w:hAnsi="Times New Roman" w:cs="Times New Roman"/>
          <w:bCs/>
          <w:i/>
          <w:iCs/>
          <w:sz w:val="24"/>
          <w:szCs w:val="24"/>
        </w:rPr>
        <w:t xml:space="preserve">TNFRSF11A </w:t>
      </w:r>
      <w:r w:rsidR="00573B02">
        <w:rPr>
          <w:rFonts w:ascii="Times New Roman" w:eastAsia="Arial" w:hAnsi="Times New Roman" w:cs="Times New Roman"/>
          <w:bCs/>
          <w:sz w:val="24"/>
          <w:szCs w:val="24"/>
        </w:rPr>
        <w:t xml:space="preserve">or </w:t>
      </w:r>
      <w:r w:rsidR="001964C1">
        <w:rPr>
          <w:rFonts w:ascii="Times New Roman" w:eastAsia="Arial" w:hAnsi="Times New Roman" w:cs="Times New Roman"/>
          <w:bCs/>
          <w:i/>
          <w:iCs/>
          <w:sz w:val="24"/>
          <w:szCs w:val="24"/>
        </w:rPr>
        <w:t>RANK</w:t>
      </w:r>
      <w:r w:rsidR="00632794" w:rsidRPr="00757919">
        <w:rPr>
          <w:rFonts w:ascii="Times New Roman" w:eastAsia="Arial" w:hAnsi="Times New Roman" w:cs="Times New Roman"/>
          <w:bCs/>
          <w:sz w:val="24"/>
          <w:szCs w:val="24"/>
        </w:rPr>
        <w:t xml:space="preserve">) </w:t>
      </w:r>
      <w:r w:rsidRPr="00757919">
        <w:rPr>
          <w:rFonts w:ascii="Times New Roman" w:eastAsia="Arial" w:hAnsi="Times New Roman" w:cs="Times New Roman"/>
          <w:bCs/>
          <w:sz w:val="24"/>
          <w:szCs w:val="24"/>
        </w:rPr>
        <w:t xml:space="preserve">have higher expression of let-7g-5p and miR-374a-5p and higher BMD. Let-7g-5p and miR-374a-5p both inhibit </w:t>
      </w:r>
      <w:r w:rsidR="001964C1">
        <w:rPr>
          <w:rFonts w:ascii="Times New Roman" w:eastAsia="Arial" w:hAnsi="Times New Roman" w:cs="Times New Roman"/>
          <w:bCs/>
          <w:i/>
          <w:iCs/>
          <w:sz w:val="24"/>
          <w:szCs w:val="24"/>
        </w:rPr>
        <w:t xml:space="preserve">TNFRSF11A </w:t>
      </w:r>
      <w:r w:rsidR="001964C1" w:rsidRPr="002C2316">
        <w:rPr>
          <w:rFonts w:ascii="Times New Roman" w:eastAsia="Arial" w:hAnsi="Times New Roman" w:cs="Times New Roman"/>
          <w:bCs/>
          <w:sz w:val="24"/>
          <w:szCs w:val="24"/>
        </w:rPr>
        <w:t>(</w:t>
      </w:r>
      <w:r w:rsidR="001964C1">
        <w:rPr>
          <w:rFonts w:ascii="Times New Roman" w:eastAsia="Arial" w:hAnsi="Times New Roman" w:cs="Times New Roman"/>
          <w:bCs/>
          <w:i/>
          <w:iCs/>
          <w:sz w:val="24"/>
          <w:szCs w:val="24"/>
        </w:rPr>
        <w:t>RANK</w:t>
      </w:r>
      <w:r w:rsidR="001964C1" w:rsidRPr="002C2316">
        <w:rPr>
          <w:rFonts w:ascii="Times New Roman" w:eastAsia="Arial" w:hAnsi="Times New Roman" w:cs="Times New Roman"/>
          <w:bCs/>
          <w:sz w:val="24"/>
          <w:szCs w:val="24"/>
        </w:rPr>
        <w:t>)</w:t>
      </w:r>
      <w:r w:rsidRPr="00573B02">
        <w:rPr>
          <w:rFonts w:ascii="Times New Roman" w:eastAsia="Arial" w:hAnsi="Times New Roman" w:cs="Times New Roman"/>
          <w:bCs/>
          <w:sz w:val="24"/>
          <w:szCs w:val="24"/>
        </w:rPr>
        <w:t xml:space="preserve"> </w:t>
      </w:r>
      <w:r w:rsidRPr="00757919">
        <w:rPr>
          <w:rFonts w:ascii="Times New Roman" w:eastAsia="Arial" w:hAnsi="Times New Roman" w:cs="Times New Roman"/>
          <w:bCs/>
          <w:sz w:val="24"/>
          <w:szCs w:val="24"/>
        </w:rPr>
        <w:t xml:space="preserve">expression. </w:t>
      </w:r>
      <w:r w:rsidR="00757919">
        <w:rPr>
          <w:rFonts w:ascii="Times New Roman" w:eastAsia="Arial" w:hAnsi="Times New Roman" w:cs="Times New Roman"/>
          <w:bCs/>
          <w:sz w:val="24"/>
          <w:szCs w:val="24"/>
        </w:rPr>
        <w:t>The l</w:t>
      </w:r>
      <w:r w:rsidRPr="00757919">
        <w:rPr>
          <w:rFonts w:ascii="Times New Roman" w:eastAsia="Arial" w:hAnsi="Times New Roman" w:cs="Times New Roman"/>
          <w:bCs/>
          <w:sz w:val="24"/>
          <w:szCs w:val="24"/>
        </w:rPr>
        <w:t xml:space="preserve">ower </w:t>
      </w:r>
      <w:r w:rsidR="001964C1">
        <w:rPr>
          <w:rFonts w:ascii="Times New Roman" w:eastAsia="Arial" w:hAnsi="Times New Roman" w:cs="Times New Roman"/>
          <w:bCs/>
          <w:i/>
          <w:iCs/>
          <w:sz w:val="24"/>
          <w:szCs w:val="24"/>
        </w:rPr>
        <w:t xml:space="preserve">TNFRSF11A </w:t>
      </w:r>
      <w:r w:rsidR="001964C1" w:rsidRPr="002C2316">
        <w:rPr>
          <w:rFonts w:ascii="Times New Roman" w:eastAsia="Arial" w:hAnsi="Times New Roman" w:cs="Times New Roman"/>
          <w:bCs/>
          <w:sz w:val="24"/>
          <w:szCs w:val="24"/>
        </w:rPr>
        <w:t>(</w:t>
      </w:r>
      <w:r w:rsidR="001964C1">
        <w:rPr>
          <w:rFonts w:ascii="Times New Roman" w:eastAsia="Arial" w:hAnsi="Times New Roman" w:cs="Times New Roman"/>
          <w:bCs/>
          <w:i/>
          <w:iCs/>
          <w:sz w:val="24"/>
          <w:szCs w:val="24"/>
        </w:rPr>
        <w:t>RANK</w:t>
      </w:r>
      <w:r w:rsidR="001964C1" w:rsidRPr="002C2316">
        <w:rPr>
          <w:rFonts w:ascii="Times New Roman" w:eastAsia="Arial" w:hAnsi="Times New Roman" w:cs="Times New Roman"/>
          <w:bCs/>
          <w:sz w:val="24"/>
          <w:szCs w:val="24"/>
        </w:rPr>
        <w:t>)</w:t>
      </w:r>
      <w:r w:rsidRPr="00573B02">
        <w:rPr>
          <w:rFonts w:ascii="Times New Roman" w:eastAsia="Arial" w:hAnsi="Times New Roman" w:cs="Times New Roman"/>
          <w:bCs/>
          <w:sz w:val="24"/>
          <w:szCs w:val="24"/>
        </w:rPr>
        <w:t xml:space="preserve"> </w:t>
      </w:r>
      <w:r w:rsidRPr="00757919">
        <w:rPr>
          <w:rFonts w:ascii="Times New Roman" w:eastAsia="Arial" w:hAnsi="Times New Roman" w:cs="Times New Roman"/>
          <w:bCs/>
          <w:sz w:val="24"/>
          <w:szCs w:val="24"/>
        </w:rPr>
        <w:t>expression would decrease bone resorption leading to higher BMD.</w:t>
      </w:r>
    </w:p>
    <w:p w14:paraId="417B7F17" w14:textId="7C43CC3C" w:rsidR="00C11E8B" w:rsidRPr="00757919" w:rsidRDefault="00C11E8B" w:rsidP="0022115C">
      <w:pPr>
        <w:spacing w:line="480" w:lineRule="auto"/>
        <w:rPr>
          <w:rFonts w:ascii="Times New Roman" w:eastAsia="Arial" w:hAnsi="Times New Roman" w:cs="Times New Roman"/>
          <w:sz w:val="24"/>
          <w:szCs w:val="24"/>
        </w:rPr>
      </w:pPr>
      <w:r w:rsidRPr="00757919">
        <w:rPr>
          <w:rFonts w:ascii="Times New Roman" w:eastAsia="Arial" w:hAnsi="Times New Roman" w:cs="Times New Roman"/>
          <w:b/>
          <w:sz w:val="24"/>
          <w:szCs w:val="24"/>
        </w:rPr>
        <w:lastRenderedPageBreak/>
        <w:t>Table 1: Significant SNPs using GCTA-COJO</w:t>
      </w:r>
      <w:r w:rsidRPr="00757919">
        <w:rPr>
          <w:rFonts w:ascii="Times New Roman" w:eastAsia="Arial" w:hAnsi="Times New Roman" w:cs="Times New Roman"/>
          <w:sz w:val="24"/>
          <w:szCs w:val="24"/>
        </w:rPr>
        <w:t xml:space="preserve">. SNPs that met a p-value &lt; 0.05 cutoff using GCTA-COJO analysis, including the gene the SNP is </w:t>
      </w:r>
      <w:r w:rsidR="007B6226" w:rsidRPr="00757919">
        <w:rPr>
          <w:rFonts w:ascii="Times New Roman" w:eastAsia="Arial" w:hAnsi="Times New Roman" w:cs="Times New Roman"/>
          <w:sz w:val="24"/>
          <w:szCs w:val="24"/>
        </w:rPr>
        <w:t>located in or near</w:t>
      </w:r>
      <w:r w:rsidR="00E869C2">
        <w:rPr>
          <w:rFonts w:ascii="Times New Roman" w:eastAsia="Arial" w:hAnsi="Times New Roman" w:cs="Times New Roman"/>
          <w:sz w:val="24"/>
          <w:szCs w:val="24"/>
        </w:rPr>
        <w:t xml:space="preserve"> and the reference and alternat</w:t>
      </w:r>
      <w:r w:rsidR="00BF721E">
        <w:rPr>
          <w:rFonts w:ascii="Times New Roman" w:eastAsia="Arial" w:hAnsi="Times New Roman" w:cs="Times New Roman"/>
          <w:sz w:val="24"/>
          <w:szCs w:val="24"/>
        </w:rPr>
        <w:t xml:space="preserve">ive </w:t>
      </w:r>
      <w:r w:rsidR="00E869C2">
        <w:rPr>
          <w:rFonts w:ascii="Times New Roman" w:eastAsia="Arial" w:hAnsi="Times New Roman" w:cs="Times New Roman"/>
          <w:sz w:val="24"/>
          <w:szCs w:val="24"/>
        </w:rPr>
        <w:t>alleles</w:t>
      </w:r>
      <w:r w:rsidRPr="00757919">
        <w:rPr>
          <w:rFonts w:ascii="Times New Roman" w:eastAsia="Arial" w:hAnsi="Times New Roman" w:cs="Times New Roman"/>
          <w:sz w:val="24"/>
          <w:szCs w:val="24"/>
        </w:rPr>
        <w:t xml:space="preserve">, the position of the SNP in the hg19 genome build, the </w:t>
      </w:r>
      <w:proofErr w:type="spellStart"/>
      <w:r w:rsidRPr="00757919">
        <w:rPr>
          <w:rFonts w:ascii="Times New Roman" w:eastAsia="Arial" w:hAnsi="Times New Roman" w:cs="Times New Roman"/>
          <w:sz w:val="24"/>
          <w:szCs w:val="24"/>
        </w:rPr>
        <w:t>rsID</w:t>
      </w:r>
      <w:proofErr w:type="spellEnd"/>
      <w:r w:rsidRPr="00757919">
        <w:rPr>
          <w:rFonts w:ascii="Times New Roman" w:eastAsia="Arial" w:hAnsi="Times New Roman" w:cs="Times New Roman"/>
          <w:sz w:val="24"/>
          <w:szCs w:val="24"/>
        </w:rPr>
        <w:t xml:space="preserve"> of the SNP, and the model in which the SNP was significant (female-only or male-only model). The effect size, SE, and p-value were determined using conditional joint analysis using the summary statistics from the linear mixed model analysis. The linear mixed model included the interaction effect between the alternative allele dosage of the SNP and BB use and its effect on FN BMD, adjusting for covariates and modeling interrelatedness between individuals using a kinship matrix. The summary statistics for all SNPs were then used to perform GCTA-COJO analysis.</w:t>
      </w:r>
      <w:r w:rsidR="00D22C05" w:rsidRPr="00757919">
        <w:rPr>
          <w:rFonts w:ascii="Times New Roman" w:eastAsia="Arial" w:hAnsi="Times New Roman" w:cs="Times New Roman"/>
          <w:sz w:val="24"/>
          <w:szCs w:val="24"/>
        </w:rPr>
        <w:t xml:space="preserve"> SNPs chosen for validation are included in bold.</w:t>
      </w:r>
    </w:p>
    <w:tbl>
      <w:tblPr>
        <w:tblStyle w:val="TableGrid"/>
        <w:tblW w:w="0" w:type="auto"/>
        <w:tblLayout w:type="fixed"/>
        <w:tblLook w:val="04A0" w:firstRow="1" w:lastRow="0" w:firstColumn="1" w:lastColumn="0" w:noHBand="0" w:noVBand="1"/>
      </w:tblPr>
      <w:tblGrid>
        <w:gridCol w:w="1615"/>
        <w:gridCol w:w="1350"/>
        <w:gridCol w:w="1530"/>
        <w:gridCol w:w="990"/>
        <w:gridCol w:w="1350"/>
        <w:gridCol w:w="1170"/>
        <w:gridCol w:w="1345"/>
      </w:tblGrid>
      <w:tr w:rsidR="00C11E8B" w:rsidRPr="00757919" w14:paraId="2AB20DF1" w14:textId="77777777" w:rsidTr="002C2316">
        <w:trPr>
          <w:trHeight w:val="769"/>
        </w:trPr>
        <w:tc>
          <w:tcPr>
            <w:tcW w:w="1615" w:type="dxa"/>
            <w:noWrap/>
            <w:hideMark/>
          </w:tcPr>
          <w:p w14:paraId="39C76B99" w14:textId="478E3DA5" w:rsidR="00C11E8B" w:rsidRPr="002C2316" w:rsidRDefault="00C11E8B">
            <w:pPr>
              <w:rPr>
                <w:rFonts w:ascii="Times New Roman" w:eastAsia="Arial" w:hAnsi="Times New Roman" w:cs="Times New Roman"/>
              </w:rPr>
            </w:pPr>
            <w:r w:rsidRPr="002C2316">
              <w:rPr>
                <w:rFonts w:ascii="Times New Roman" w:eastAsia="Arial" w:hAnsi="Times New Roman" w:cs="Times New Roman"/>
              </w:rPr>
              <w:t>Gene</w:t>
            </w:r>
            <w:r w:rsidR="00C67F9D" w:rsidRPr="002C2316">
              <w:rPr>
                <w:rFonts w:ascii="Times New Roman" w:eastAsia="Arial" w:hAnsi="Times New Roman" w:cs="Times New Roman"/>
              </w:rPr>
              <w:t xml:space="preserve"> (Ref/Alt)</w:t>
            </w:r>
          </w:p>
        </w:tc>
        <w:tc>
          <w:tcPr>
            <w:tcW w:w="1350" w:type="dxa"/>
            <w:noWrap/>
            <w:hideMark/>
          </w:tcPr>
          <w:p w14:paraId="3277A90B" w14:textId="01E3A11C" w:rsidR="00C11E8B" w:rsidRPr="002C2316" w:rsidRDefault="00C67F9D">
            <w:pPr>
              <w:rPr>
                <w:rFonts w:ascii="Times New Roman" w:eastAsia="Arial" w:hAnsi="Times New Roman" w:cs="Times New Roman"/>
              </w:rPr>
            </w:pPr>
            <w:r w:rsidRPr="002C2316">
              <w:rPr>
                <w:rFonts w:ascii="Times New Roman" w:eastAsia="Arial" w:hAnsi="Times New Roman" w:cs="Times New Roman"/>
              </w:rPr>
              <w:t>Position</w:t>
            </w:r>
            <w:r w:rsidR="00BD7FA6" w:rsidRPr="002C2316">
              <w:rPr>
                <w:rFonts w:ascii="Times New Roman" w:eastAsia="Arial" w:hAnsi="Times New Roman" w:cs="Times New Roman"/>
              </w:rPr>
              <w:t xml:space="preserve"> hg19</w:t>
            </w:r>
          </w:p>
        </w:tc>
        <w:tc>
          <w:tcPr>
            <w:tcW w:w="1530" w:type="dxa"/>
            <w:noWrap/>
            <w:hideMark/>
          </w:tcPr>
          <w:p w14:paraId="339CEA62" w14:textId="77777777" w:rsidR="00C11E8B" w:rsidRPr="002C2316" w:rsidRDefault="00C11E8B">
            <w:pPr>
              <w:rPr>
                <w:rFonts w:ascii="Times New Roman" w:eastAsia="Arial" w:hAnsi="Times New Roman" w:cs="Times New Roman"/>
              </w:rPr>
            </w:pPr>
            <w:proofErr w:type="spellStart"/>
            <w:r w:rsidRPr="002C2316">
              <w:rPr>
                <w:rFonts w:ascii="Times New Roman" w:eastAsia="Arial" w:hAnsi="Times New Roman" w:cs="Times New Roman"/>
              </w:rPr>
              <w:t>rsID</w:t>
            </w:r>
            <w:proofErr w:type="spellEnd"/>
          </w:p>
        </w:tc>
        <w:tc>
          <w:tcPr>
            <w:tcW w:w="990" w:type="dxa"/>
            <w:noWrap/>
            <w:hideMark/>
          </w:tcPr>
          <w:p w14:paraId="25D86DD9"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Model</w:t>
            </w:r>
          </w:p>
        </w:tc>
        <w:tc>
          <w:tcPr>
            <w:tcW w:w="1350" w:type="dxa"/>
            <w:hideMark/>
          </w:tcPr>
          <w:p w14:paraId="7AFAD2CE"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Effect size from conditional Analysis</w:t>
            </w:r>
          </w:p>
        </w:tc>
        <w:tc>
          <w:tcPr>
            <w:tcW w:w="1170" w:type="dxa"/>
            <w:hideMark/>
          </w:tcPr>
          <w:p w14:paraId="037612CA"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SE from conditional analysis</w:t>
            </w:r>
          </w:p>
        </w:tc>
        <w:tc>
          <w:tcPr>
            <w:tcW w:w="1345" w:type="dxa"/>
            <w:hideMark/>
          </w:tcPr>
          <w:p w14:paraId="63BB7CDD"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p-value from conditional analysis</w:t>
            </w:r>
          </w:p>
        </w:tc>
      </w:tr>
      <w:tr w:rsidR="00C11E8B" w:rsidRPr="00757919" w14:paraId="4223F411" w14:textId="77777777" w:rsidTr="002C2316">
        <w:trPr>
          <w:trHeight w:val="285"/>
        </w:trPr>
        <w:tc>
          <w:tcPr>
            <w:tcW w:w="1615" w:type="dxa"/>
            <w:noWrap/>
            <w:hideMark/>
          </w:tcPr>
          <w:p w14:paraId="0BCDA05C" w14:textId="7144866D" w:rsidR="00C11E8B" w:rsidRPr="002C2316" w:rsidRDefault="00C11E8B">
            <w:pPr>
              <w:rPr>
                <w:rFonts w:ascii="Times New Roman" w:eastAsia="Arial" w:hAnsi="Times New Roman" w:cs="Times New Roman"/>
                <w:b/>
                <w:bCs/>
                <w:i/>
                <w:iCs/>
              </w:rPr>
            </w:pPr>
            <w:r w:rsidRPr="002C2316">
              <w:rPr>
                <w:rFonts w:ascii="Times New Roman" w:eastAsia="Arial" w:hAnsi="Times New Roman" w:cs="Times New Roman"/>
                <w:b/>
                <w:bCs/>
                <w:i/>
                <w:iCs/>
              </w:rPr>
              <w:t>ADRB1</w:t>
            </w:r>
            <w:r w:rsidR="00FF24E9" w:rsidRPr="002C2316">
              <w:rPr>
                <w:rFonts w:ascii="Times New Roman" w:eastAsia="Arial" w:hAnsi="Times New Roman" w:cs="Times New Roman"/>
                <w:b/>
                <w:bCs/>
                <w:i/>
                <w:iCs/>
              </w:rPr>
              <w:t xml:space="preserve"> (T/C)</w:t>
            </w:r>
          </w:p>
        </w:tc>
        <w:tc>
          <w:tcPr>
            <w:tcW w:w="1350" w:type="dxa"/>
            <w:noWrap/>
            <w:hideMark/>
          </w:tcPr>
          <w:p w14:paraId="6A8D99AC"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115803375</w:t>
            </w:r>
          </w:p>
        </w:tc>
        <w:tc>
          <w:tcPr>
            <w:tcW w:w="1530" w:type="dxa"/>
            <w:noWrap/>
            <w:hideMark/>
          </w:tcPr>
          <w:p w14:paraId="554D5AC9"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rs12414657</w:t>
            </w:r>
          </w:p>
        </w:tc>
        <w:tc>
          <w:tcPr>
            <w:tcW w:w="990" w:type="dxa"/>
            <w:noWrap/>
            <w:hideMark/>
          </w:tcPr>
          <w:p w14:paraId="13A0C22A"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Female</w:t>
            </w:r>
          </w:p>
        </w:tc>
        <w:tc>
          <w:tcPr>
            <w:tcW w:w="1350" w:type="dxa"/>
            <w:noWrap/>
            <w:hideMark/>
          </w:tcPr>
          <w:p w14:paraId="19458360"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0.0431</w:t>
            </w:r>
          </w:p>
        </w:tc>
        <w:tc>
          <w:tcPr>
            <w:tcW w:w="1170" w:type="dxa"/>
            <w:noWrap/>
            <w:hideMark/>
          </w:tcPr>
          <w:p w14:paraId="1ACDC39B"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0.0216</w:t>
            </w:r>
          </w:p>
        </w:tc>
        <w:tc>
          <w:tcPr>
            <w:tcW w:w="1345" w:type="dxa"/>
            <w:noWrap/>
            <w:hideMark/>
          </w:tcPr>
          <w:p w14:paraId="62D5E0F5"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0.0461</w:t>
            </w:r>
          </w:p>
        </w:tc>
      </w:tr>
      <w:tr w:rsidR="00C11E8B" w:rsidRPr="00757919" w14:paraId="42D47F77" w14:textId="77777777" w:rsidTr="002C2316">
        <w:trPr>
          <w:trHeight w:val="285"/>
        </w:trPr>
        <w:tc>
          <w:tcPr>
            <w:tcW w:w="1615" w:type="dxa"/>
            <w:noWrap/>
            <w:hideMark/>
          </w:tcPr>
          <w:p w14:paraId="7856FA94" w14:textId="510A5B7C" w:rsidR="00C11E8B" w:rsidRPr="002C2316" w:rsidRDefault="00C11E8B">
            <w:pPr>
              <w:rPr>
                <w:rFonts w:ascii="Times New Roman" w:eastAsia="Arial" w:hAnsi="Times New Roman" w:cs="Times New Roman"/>
                <w:i/>
                <w:iCs/>
              </w:rPr>
            </w:pPr>
            <w:r w:rsidRPr="002C2316">
              <w:rPr>
                <w:rFonts w:ascii="Times New Roman" w:eastAsia="Arial" w:hAnsi="Times New Roman" w:cs="Times New Roman"/>
                <w:i/>
                <w:iCs/>
              </w:rPr>
              <w:t>HDAC4</w:t>
            </w:r>
            <w:r w:rsidR="00FF24E9" w:rsidRPr="002C2316">
              <w:rPr>
                <w:rFonts w:ascii="Times New Roman" w:eastAsia="Arial" w:hAnsi="Times New Roman" w:cs="Times New Roman"/>
                <w:i/>
                <w:iCs/>
              </w:rPr>
              <w:t xml:space="preserve"> (C/A)</w:t>
            </w:r>
          </w:p>
        </w:tc>
        <w:tc>
          <w:tcPr>
            <w:tcW w:w="1350" w:type="dxa"/>
            <w:noWrap/>
            <w:hideMark/>
          </w:tcPr>
          <w:p w14:paraId="3BD7E7C4"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239972561</w:t>
            </w:r>
          </w:p>
        </w:tc>
        <w:tc>
          <w:tcPr>
            <w:tcW w:w="1530" w:type="dxa"/>
            <w:noWrap/>
            <w:hideMark/>
          </w:tcPr>
          <w:p w14:paraId="64E32889"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rs13393217</w:t>
            </w:r>
          </w:p>
        </w:tc>
        <w:tc>
          <w:tcPr>
            <w:tcW w:w="990" w:type="dxa"/>
            <w:noWrap/>
            <w:hideMark/>
          </w:tcPr>
          <w:p w14:paraId="799703E8"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Female</w:t>
            </w:r>
          </w:p>
        </w:tc>
        <w:tc>
          <w:tcPr>
            <w:tcW w:w="1350" w:type="dxa"/>
            <w:noWrap/>
            <w:hideMark/>
          </w:tcPr>
          <w:p w14:paraId="317DC9F4"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0.0440</w:t>
            </w:r>
          </w:p>
        </w:tc>
        <w:tc>
          <w:tcPr>
            <w:tcW w:w="1170" w:type="dxa"/>
            <w:noWrap/>
            <w:hideMark/>
          </w:tcPr>
          <w:p w14:paraId="41B9540E"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0.0194</w:t>
            </w:r>
          </w:p>
        </w:tc>
        <w:tc>
          <w:tcPr>
            <w:tcW w:w="1345" w:type="dxa"/>
            <w:noWrap/>
            <w:hideMark/>
          </w:tcPr>
          <w:p w14:paraId="7DDA82AF"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0.0231</w:t>
            </w:r>
          </w:p>
        </w:tc>
      </w:tr>
      <w:tr w:rsidR="00C11E8B" w:rsidRPr="00757919" w14:paraId="44FEB7C6" w14:textId="77777777" w:rsidTr="002C2316">
        <w:trPr>
          <w:trHeight w:val="250"/>
        </w:trPr>
        <w:tc>
          <w:tcPr>
            <w:tcW w:w="1615" w:type="dxa"/>
            <w:noWrap/>
            <w:hideMark/>
          </w:tcPr>
          <w:p w14:paraId="6D2AD6DD" w14:textId="22F682F4" w:rsidR="00C11E8B" w:rsidRPr="002C2316" w:rsidRDefault="00C11E8B">
            <w:pPr>
              <w:rPr>
                <w:rFonts w:ascii="Times New Roman" w:eastAsia="Arial" w:hAnsi="Times New Roman" w:cs="Times New Roman"/>
                <w:b/>
                <w:i/>
                <w:iCs/>
              </w:rPr>
            </w:pPr>
            <w:r w:rsidRPr="002C2316">
              <w:rPr>
                <w:rFonts w:ascii="Times New Roman" w:eastAsia="Arial" w:hAnsi="Times New Roman" w:cs="Times New Roman"/>
                <w:b/>
                <w:i/>
                <w:iCs/>
              </w:rPr>
              <w:t>HDAC4</w:t>
            </w:r>
            <w:r w:rsidR="00FF24E9" w:rsidRPr="002C2316">
              <w:rPr>
                <w:rFonts w:ascii="Times New Roman" w:eastAsia="Arial" w:hAnsi="Times New Roman" w:cs="Times New Roman"/>
                <w:b/>
                <w:i/>
                <w:iCs/>
              </w:rPr>
              <w:t xml:space="preserve"> (C/G)</w:t>
            </w:r>
          </w:p>
        </w:tc>
        <w:tc>
          <w:tcPr>
            <w:tcW w:w="1350" w:type="dxa"/>
            <w:noWrap/>
            <w:hideMark/>
          </w:tcPr>
          <w:p w14:paraId="1F81C5F0" w14:textId="77777777" w:rsidR="00C11E8B" w:rsidRPr="002C2316" w:rsidRDefault="00C11E8B">
            <w:pPr>
              <w:rPr>
                <w:rFonts w:ascii="Times New Roman" w:eastAsia="Arial" w:hAnsi="Times New Roman" w:cs="Times New Roman"/>
                <w:b/>
              </w:rPr>
            </w:pPr>
            <w:r w:rsidRPr="002C2316">
              <w:rPr>
                <w:rFonts w:ascii="Times New Roman" w:eastAsia="Arial" w:hAnsi="Times New Roman" w:cs="Times New Roman"/>
                <w:b/>
              </w:rPr>
              <w:t>240223080</w:t>
            </w:r>
          </w:p>
        </w:tc>
        <w:tc>
          <w:tcPr>
            <w:tcW w:w="1530" w:type="dxa"/>
            <w:noWrap/>
            <w:hideMark/>
          </w:tcPr>
          <w:p w14:paraId="50934029" w14:textId="77777777" w:rsidR="00C11E8B" w:rsidRPr="002C2316" w:rsidRDefault="00C11E8B">
            <w:pPr>
              <w:rPr>
                <w:rFonts w:ascii="Times New Roman" w:eastAsia="Arial" w:hAnsi="Times New Roman" w:cs="Times New Roman"/>
                <w:b/>
              </w:rPr>
            </w:pPr>
            <w:r w:rsidRPr="002C2316">
              <w:rPr>
                <w:rFonts w:ascii="Times New Roman" w:eastAsia="Arial" w:hAnsi="Times New Roman" w:cs="Times New Roman"/>
                <w:b/>
              </w:rPr>
              <w:t>rs11124190</w:t>
            </w:r>
          </w:p>
        </w:tc>
        <w:tc>
          <w:tcPr>
            <w:tcW w:w="990" w:type="dxa"/>
            <w:noWrap/>
            <w:hideMark/>
          </w:tcPr>
          <w:p w14:paraId="3C1132AC" w14:textId="77777777" w:rsidR="00C11E8B" w:rsidRPr="002C2316" w:rsidRDefault="00C11E8B">
            <w:pPr>
              <w:rPr>
                <w:rFonts w:ascii="Times New Roman" w:eastAsia="Arial" w:hAnsi="Times New Roman" w:cs="Times New Roman"/>
                <w:b/>
              </w:rPr>
            </w:pPr>
            <w:r w:rsidRPr="002C2316">
              <w:rPr>
                <w:rFonts w:ascii="Times New Roman" w:eastAsia="Arial" w:hAnsi="Times New Roman" w:cs="Times New Roman"/>
                <w:b/>
              </w:rPr>
              <w:t>Female</w:t>
            </w:r>
          </w:p>
        </w:tc>
        <w:tc>
          <w:tcPr>
            <w:tcW w:w="1350" w:type="dxa"/>
            <w:noWrap/>
            <w:hideMark/>
          </w:tcPr>
          <w:p w14:paraId="7AD1B8C9" w14:textId="77777777" w:rsidR="00C11E8B" w:rsidRPr="002C2316" w:rsidRDefault="00C11E8B">
            <w:pPr>
              <w:rPr>
                <w:rFonts w:ascii="Times New Roman" w:eastAsia="Arial" w:hAnsi="Times New Roman" w:cs="Times New Roman"/>
                <w:b/>
              </w:rPr>
            </w:pPr>
            <w:r w:rsidRPr="002C2316">
              <w:rPr>
                <w:rFonts w:ascii="Times New Roman" w:eastAsia="Arial" w:hAnsi="Times New Roman" w:cs="Times New Roman"/>
                <w:b/>
              </w:rPr>
              <w:t>0.0489</w:t>
            </w:r>
          </w:p>
        </w:tc>
        <w:tc>
          <w:tcPr>
            <w:tcW w:w="1170" w:type="dxa"/>
            <w:noWrap/>
            <w:hideMark/>
          </w:tcPr>
          <w:p w14:paraId="5AAB0216" w14:textId="77777777" w:rsidR="00C11E8B" w:rsidRPr="002C2316" w:rsidRDefault="00C11E8B">
            <w:pPr>
              <w:rPr>
                <w:rFonts w:ascii="Times New Roman" w:eastAsia="Arial" w:hAnsi="Times New Roman" w:cs="Times New Roman"/>
                <w:b/>
              </w:rPr>
            </w:pPr>
            <w:r w:rsidRPr="002C2316">
              <w:rPr>
                <w:rFonts w:ascii="Times New Roman" w:eastAsia="Arial" w:hAnsi="Times New Roman" w:cs="Times New Roman"/>
                <w:b/>
              </w:rPr>
              <w:t>0.0188</w:t>
            </w:r>
          </w:p>
        </w:tc>
        <w:tc>
          <w:tcPr>
            <w:tcW w:w="1345" w:type="dxa"/>
            <w:noWrap/>
            <w:hideMark/>
          </w:tcPr>
          <w:p w14:paraId="6D7BE4A0" w14:textId="77777777" w:rsidR="00C11E8B" w:rsidRPr="002C2316" w:rsidRDefault="00C11E8B">
            <w:pPr>
              <w:rPr>
                <w:rFonts w:ascii="Times New Roman" w:eastAsia="Arial" w:hAnsi="Times New Roman" w:cs="Times New Roman"/>
                <w:b/>
              </w:rPr>
            </w:pPr>
            <w:r w:rsidRPr="002C2316">
              <w:rPr>
                <w:rFonts w:ascii="Times New Roman" w:eastAsia="Arial" w:hAnsi="Times New Roman" w:cs="Times New Roman"/>
                <w:b/>
              </w:rPr>
              <w:t>0.0093</w:t>
            </w:r>
          </w:p>
        </w:tc>
      </w:tr>
      <w:tr w:rsidR="00C11E8B" w:rsidRPr="00757919" w14:paraId="394715D7" w14:textId="77777777" w:rsidTr="002C2316">
        <w:trPr>
          <w:trHeight w:val="285"/>
        </w:trPr>
        <w:tc>
          <w:tcPr>
            <w:tcW w:w="1615" w:type="dxa"/>
            <w:noWrap/>
            <w:hideMark/>
          </w:tcPr>
          <w:p w14:paraId="7ADD0543" w14:textId="0482FED5" w:rsidR="00C11E8B" w:rsidRPr="002C2316" w:rsidRDefault="00C11E8B">
            <w:pPr>
              <w:rPr>
                <w:rFonts w:ascii="Times New Roman" w:eastAsia="Arial" w:hAnsi="Times New Roman" w:cs="Times New Roman"/>
                <w:i/>
                <w:iCs/>
              </w:rPr>
            </w:pPr>
            <w:r w:rsidRPr="002C2316">
              <w:rPr>
                <w:rFonts w:ascii="Times New Roman" w:eastAsia="Arial" w:hAnsi="Times New Roman" w:cs="Times New Roman"/>
                <w:i/>
                <w:iCs/>
              </w:rPr>
              <w:t>HDAC4</w:t>
            </w:r>
            <w:r w:rsidR="00FF24E9" w:rsidRPr="002C2316">
              <w:rPr>
                <w:rFonts w:ascii="Times New Roman" w:eastAsia="Arial" w:hAnsi="Times New Roman" w:cs="Times New Roman"/>
                <w:i/>
                <w:iCs/>
              </w:rPr>
              <w:t xml:space="preserve"> (G/A)</w:t>
            </w:r>
          </w:p>
        </w:tc>
        <w:tc>
          <w:tcPr>
            <w:tcW w:w="1350" w:type="dxa"/>
            <w:noWrap/>
            <w:hideMark/>
          </w:tcPr>
          <w:p w14:paraId="0C1FCF7B"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240050108</w:t>
            </w:r>
          </w:p>
        </w:tc>
        <w:tc>
          <w:tcPr>
            <w:tcW w:w="1530" w:type="dxa"/>
            <w:noWrap/>
            <w:hideMark/>
          </w:tcPr>
          <w:p w14:paraId="3B676A24"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rs145900122</w:t>
            </w:r>
          </w:p>
        </w:tc>
        <w:tc>
          <w:tcPr>
            <w:tcW w:w="990" w:type="dxa"/>
            <w:noWrap/>
            <w:hideMark/>
          </w:tcPr>
          <w:p w14:paraId="095FB35C"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Male</w:t>
            </w:r>
          </w:p>
        </w:tc>
        <w:tc>
          <w:tcPr>
            <w:tcW w:w="1350" w:type="dxa"/>
            <w:noWrap/>
            <w:hideMark/>
          </w:tcPr>
          <w:p w14:paraId="37708074"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0.0872</w:t>
            </w:r>
          </w:p>
        </w:tc>
        <w:tc>
          <w:tcPr>
            <w:tcW w:w="1170" w:type="dxa"/>
            <w:noWrap/>
            <w:hideMark/>
          </w:tcPr>
          <w:p w14:paraId="71FCA62C"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0.0343</w:t>
            </w:r>
          </w:p>
        </w:tc>
        <w:tc>
          <w:tcPr>
            <w:tcW w:w="1345" w:type="dxa"/>
            <w:noWrap/>
            <w:hideMark/>
          </w:tcPr>
          <w:p w14:paraId="047FE37E"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0.0111</w:t>
            </w:r>
          </w:p>
        </w:tc>
      </w:tr>
      <w:tr w:rsidR="00C11E8B" w:rsidRPr="00757919" w14:paraId="4D6F0B98" w14:textId="77777777" w:rsidTr="002C2316">
        <w:trPr>
          <w:trHeight w:val="285"/>
        </w:trPr>
        <w:tc>
          <w:tcPr>
            <w:tcW w:w="1615" w:type="dxa"/>
            <w:noWrap/>
            <w:hideMark/>
          </w:tcPr>
          <w:p w14:paraId="771DB45D" w14:textId="7FBC1D78" w:rsidR="00C11E8B" w:rsidRPr="002C2316" w:rsidRDefault="00C11E8B">
            <w:pPr>
              <w:rPr>
                <w:rFonts w:ascii="Times New Roman" w:eastAsia="Arial" w:hAnsi="Times New Roman" w:cs="Times New Roman"/>
                <w:i/>
                <w:iCs/>
              </w:rPr>
            </w:pPr>
            <w:r w:rsidRPr="002C2316">
              <w:rPr>
                <w:rFonts w:ascii="Times New Roman" w:eastAsia="Arial" w:hAnsi="Times New Roman" w:cs="Times New Roman"/>
                <w:i/>
                <w:iCs/>
              </w:rPr>
              <w:t>HDAC4</w:t>
            </w:r>
            <w:r w:rsidR="00FF24E9" w:rsidRPr="002C2316">
              <w:rPr>
                <w:rFonts w:ascii="Times New Roman" w:eastAsia="Arial" w:hAnsi="Times New Roman" w:cs="Times New Roman"/>
                <w:i/>
                <w:iCs/>
              </w:rPr>
              <w:t xml:space="preserve"> (G/A)</w:t>
            </w:r>
          </w:p>
        </w:tc>
        <w:tc>
          <w:tcPr>
            <w:tcW w:w="1350" w:type="dxa"/>
            <w:noWrap/>
            <w:hideMark/>
          </w:tcPr>
          <w:p w14:paraId="499D5D21"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240112014</w:t>
            </w:r>
          </w:p>
        </w:tc>
        <w:tc>
          <w:tcPr>
            <w:tcW w:w="1530" w:type="dxa"/>
            <w:noWrap/>
            <w:hideMark/>
          </w:tcPr>
          <w:p w14:paraId="350A92E1"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rs3791554</w:t>
            </w:r>
          </w:p>
        </w:tc>
        <w:tc>
          <w:tcPr>
            <w:tcW w:w="990" w:type="dxa"/>
            <w:noWrap/>
            <w:hideMark/>
          </w:tcPr>
          <w:p w14:paraId="71B19E0C"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Male</w:t>
            </w:r>
          </w:p>
        </w:tc>
        <w:tc>
          <w:tcPr>
            <w:tcW w:w="1350" w:type="dxa"/>
            <w:noWrap/>
            <w:hideMark/>
          </w:tcPr>
          <w:p w14:paraId="46092A2B"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-0.0576</w:t>
            </w:r>
          </w:p>
        </w:tc>
        <w:tc>
          <w:tcPr>
            <w:tcW w:w="1170" w:type="dxa"/>
            <w:noWrap/>
            <w:hideMark/>
          </w:tcPr>
          <w:p w14:paraId="68A39E8B"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0.0257</w:t>
            </w:r>
          </w:p>
        </w:tc>
        <w:tc>
          <w:tcPr>
            <w:tcW w:w="1345" w:type="dxa"/>
            <w:noWrap/>
            <w:hideMark/>
          </w:tcPr>
          <w:p w14:paraId="68061C0D"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0.0247</w:t>
            </w:r>
          </w:p>
        </w:tc>
      </w:tr>
      <w:tr w:rsidR="00C11E8B" w:rsidRPr="00757919" w14:paraId="3A5D51BB" w14:textId="77777777" w:rsidTr="002C2316">
        <w:trPr>
          <w:trHeight w:val="248"/>
        </w:trPr>
        <w:tc>
          <w:tcPr>
            <w:tcW w:w="1615" w:type="dxa"/>
            <w:noWrap/>
            <w:hideMark/>
          </w:tcPr>
          <w:p w14:paraId="381C9D23" w14:textId="12CAB6A3" w:rsidR="00C11E8B" w:rsidRPr="002C2316" w:rsidRDefault="00C11E8B">
            <w:pPr>
              <w:rPr>
                <w:rFonts w:ascii="Times New Roman" w:eastAsia="Arial" w:hAnsi="Times New Roman" w:cs="Times New Roman"/>
                <w:i/>
                <w:iCs/>
              </w:rPr>
            </w:pPr>
            <w:r w:rsidRPr="002C2316">
              <w:rPr>
                <w:rFonts w:ascii="Times New Roman" w:eastAsia="Arial" w:hAnsi="Times New Roman" w:cs="Times New Roman"/>
                <w:i/>
                <w:iCs/>
              </w:rPr>
              <w:t>PRKACB</w:t>
            </w:r>
            <w:r w:rsidR="00FF24E9" w:rsidRPr="002C2316">
              <w:rPr>
                <w:rFonts w:ascii="Times New Roman" w:eastAsia="Arial" w:hAnsi="Times New Roman" w:cs="Times New Roman"/>
                <w:i/>
                <w:iCs/>
              </w:rPr>
              <w:t xml:space="preserve"> (A/G)</w:t>
            </w:r>
          </w:p>
        </w:tc>
        <w:tc>
          <w:tcPr>
            <w:tcW w:w="1350" w:type="dxa"/>
            <w:noWrap/>
            <w:hideMark/>
          </w:tcPr>
          <w:p w14:paraId="3CC5162A"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84682179</w:t>
            </w:r>
          </w:p>
        </w:tc>
        <w:tc>
          <w:tcPr>
            <w:tcW w:w="1530" w:type="dxa"/>
            <w:noWrap/>
            <w:hideMark/>
          </w:tcPr>
          <w:p w14:paraId="6FF029EA"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rs970318</w:t>
            </w:r>
          </w:p>
        </w:tc>
        <w:tc>
          <w:tcPr>
            <w:tcW w:w="990" w:type="dxa"/>
            <w:noWrap/>
            <w:hideMark/>
          </w:tcPr>
          <w:p w14:paraId="6B84DBFC"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Male</w:t>
            </w:r>
          </w:p>
        </w:tc>
        <w:tc>
          <w:tcPr>
            <w:tcW w:w="1350" w:type="dxa"/>
            <w:noWrap/>
            <w:hideMark/>
          </w:tcPr>
          <w:p w14:paraId="62F834A0"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0.0373</w:t>
            </w:r>
          </w:p>
        </w:tc>
        <w:tc>
          <w:tcPr>
            <w:tcW w:w="1170" w:type="dxa"/>
            <w:noWrap/>
            <w:hideMark/>
          </w:tcPr>
          <w:p w14:paraId="6707D57C"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0.0162</w:t>
            </w:r>
          </w:p>
        </w:tc>
        <w:tc>
          <w:tcPr>
            <w:tcW w:w="1345" w:type="dxa"/>
            <w:noWrap/>
            <w:hideMark/>
          </w:tcPr>
          <w:p w14:paraId="3295DD73"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0.0217</w:t>
            </w:r>
          </w:p>
        </w:tc>
      </w:tr>
      <w:tr w:rsidR="00C11E8B" w:rsidRPr="00757919" w14:paraId="131C3091" w14:textId="77777777" w:rsidTr="002C2316">
        <w:trPr>
          <w:trHeight w:val="266"/>
        </w:trPr>
        <w:tc>
          <w:tcPr>
            <w:tcW w:w="1615" w:type="dxa"/>
            <w:noWrap/>
            <w:hideMark/>
          </w:tcPr>
          <w:p w14:paraId="29153B51" w14:textId="233E0FB5" w:rsidR="00C11E8B" w:rsidRPr="002C2316" w:rsidRDefault="00C11E8B">
            <w:pPr>
              <w:rPr>
                <w:rFonts w:ascii="Times New Roman" w:eastAsia="Arial" w:hAnsi="Times New Roman" w:cs="Times New Roman"/>
                <w:i/>
                <w:iCs/>
              </w:rPr>
            </w:pPr>
            <w:r w:rsidRPr="002C2316">
              <w:rPr>
                <w:rFonts w:ascii="Times New Roman" w:eastAsia="Arial" w:hAnsi="Times New Roman" w:cs="Times New Roman"/>
                <w:i/>
                <w:iCs/>
              </w:rPr>
              <w:t>PRKAR2B</w:t>
            </w:r>
            <w:r w:rsidR="00FF24E9" w:rsidRPr="002C2316">
              <w:rPr>
                <w:rFonts w:ascii="Times New Roman" w:eastAsia="Arial" w:hAnsi="Times New Roman" w:cs="Times New Roman"/>
                <w:i/>
                <w:iCs/>
              </w:rPr>
              <w:t xml:space="preserve"> (G/A)</w:t>
            </w:r>
          </w:p>
        </w:tc>
        <w:tc>
          <w:tcPr>
            <w:tcW w:w="1350" w:type="dxa"/>
            <w:noWrap/>
            <w:hideMark/>
          </w:tcPr>
          <w:p w14:paraId="2E9157BC"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106736732</w:t>
            </w:r>
          </w:p>
        </w:tc>
        <w:tc>
          <w:tcPr>
            <w:tcW w:w="1530" w:type="dxa"/>
            <w:noWrap/>
            <w:hideMark/>
          </w:tcPr>
          <w:p w14:paraId="18DFA1D0"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rs6952920</w:t>
            </w:r>
          </w:p>
        </w:tc>
        <w:tc>
          <w:tcPr>
            <w:tcW w:w="990" w:type="dxa"/>
            <w:noWrap/>
            <w:hideMark/>
          </w:tcPr>
          <w:p w14:paraId="564F6C39"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Female</w:t>
            </w:r>
          </w:p>
        </w:tc>
        <w:tc>
          <w:tcPr>
            <w:tcW w:w="1350" w:type="dxa"/>
            <w:noWrap/>
            <w:hideMark/>
          </w:tcPr>
          <w:p w14:paraId="3FF7A15F"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0.0401</w:t>
            </w:r>
          </w:p>
        </w:tc>
        <w:tc>
          <w:tcPr>
            <w:tcW w:w="1170" w:type="dxa"/>
            <w:noWrap/>
            <w:hideMark/>
          </w:tcPr>
          <w:p w14:paraId="19F68B1C"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0.0136</w:t>
            </w:r>
          </w:p>
        </w:tc>
        <w:tc>
          <w:tcPr>
            <w:tcW w:w="1345" w:type="dxa"/>
            <w:noWrap/>
            <w:hideMark/>
          </w:tcPr>
          <w:p w14:paraId="22438398"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0.0032</w:t>
            </w:r>
          </w:p>
        </w:tc>
      </w:tr>
      <w:tr w:rsidR="00C11E8B" w:rsidRPr="00757919" w14:paraId="6890BE01" w14:textId="77777777" w:rsidTr="002C2316">
        <w:trPr>
          <w:trHeight w:val="285"/>
        </w:trPr>
        <w:tc>
          <w:tcPr>
            <w:tcW w:w="1615" w:type="dxa"/>
            <w:noWrap/>
            <w:hideMark/>
          </w:tcPr>
          <w:p w14:paraId="3B7FF60E" w14:textId="65A84334" w:rsidR="00C11E8B" w:rsidRPr="002C2316" w:rsidRDefault="001964C1">
            <w:pPr>
              <w:rPr>
                <w:rFonts w:ascii="Times New Roman" w:eastAsia="Arial" w:hAnsi="Times New Roman" w:cs="Times New Roman"/>
                <w:i/>
                <w:iCs/>
              </w:rPr>
            </w:pPr>
            <w:r w:rsidRPr="002C2316">
              <w:rPr>
                <w:rFonts w:ascii="Times New Roman" w:eastAsia="Arial" w:hAnsi="Times New Roman" w:cs="Times New Roman"/>
                <w:i/>
                <w:iCs/>
              </w:rPr>
              <w:t>TNFRSF11A (RANK)</w:t>
            </w:r>
            <w:r w:rsidR="00FF24E9" w:rsidRPr="002C2316">
              <w:rPr>
                <w:rFonts w:ascii="Times New Roman" w:eastAsia="Arial" w:hAnsi="Times New Roman" w:cs="Times New Roman"/>
                <w:i/>
                <w:iCs/>
              </w:rPr>
              <w:t xml:space="preserve"> (T/C)</w:t>
            </w:r>
          </w:p>
        </w:tc>
        <w:tc>
          <w:tcPr>
            <w:tcW w:w="1350" w:type="dxa"/>
            <w:noWrap/>
            <w:hideMark/>
          </w:tcPr>
          <w:p w14:paraId="370F4696"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60025809</w:t>
            </w:r>
          </w:p>
        </w:tc>
        <w:tc>
          <w:tcPr>
            <w:tcW w:w="1530" w:type="dxa"/>
            <w:noWrap/>
            <w:hideMark/>
          </w:tcPr>
          <w:p w14:paraId="6013B79D"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rs72933609</w:t>
            </w:r>
          </w:p>
        </w:tc>
        <w:tc>
          <w:tcPr>
            <w:tcW w:w="990" w:type="dxa"/>
            <w:noWrap/>
            <w:hideMark/>
          </w:tcPr>
          <w:p w14:paraId="6F77FB0B"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Female</w:t>
            </w:r>
          </w:p>
        </w:tc>
        <w:tc>
          <w:tcPr>
            <w:tcW w:w="1350" w:type="dxa"/>
            <w:noWrap/>
            <w:hideMark/>
          </w:tcPr>
          <w:p w14:paraId="68E6BC3F"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0.0703</w:t>
            </w:r>
          </w:p>
        </w:tc>
        <w:tc>
          <w:tcPr>
            <w:tcW w:w="1170" w:type="dxa"/>
            <w:noWrap/>
            <w:hideMark/>
          </w:tcPr>
          <w:p w14:paraId="76D0A269"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0.0293</w:t>
            </w:r>
          </w:p>
        </w:tc>
        <w:tc>
          <w:tcPr>
            <w:tcW w:w="1345" w:type="dxa"/>
            <w:noWrap/>
            <w:hideMark/>
          </w:tcPr>
          <w:p w14:paraId="3CF39B11" w14:textId="77777777" w:rsidR="00C11E8B" w:rsidRPr="002C2316" w:rsidRDefault="00C11E8B">
            <w:pPr>
              <w:rPr>
                <w:rFonts w:ascii="Times New Roman" w:eastAsia="Arial" w:hAnsi="Times New Roman" w:cs="Times New Roman"/>
              </w:rPr>
            </w:pPr>
            <w:r w:rsidRPr="002C2316">
              <w:rPr>
                <w:rFonts w:ascii="Times New Roman" w:eastAsia="Arial" w:hAnsi="Times New Roman" w:cs="Times New Roman"/>
              </w:rPr>
              <w:t>0.0164</w:t>
            </w:r>
          </w:p>
        </w:tc>
      </w:tr>
      <w:tr w:rsidR="00C11E8B" w:rsidRPr="00757919" w14:paraId="1FBA938D" w14:textId="77777777" w:rsidTr="002C2316">
        <w:trPr>
          <w:trHeight w:val="285"/>
        </w:trPr>
        <w:tc>
          <w:tcPr>
            <w:tcW w:w="1615" w:type="dxa"/>
            <w:noWrap/>
            <w:hideMark/>
          </w:tcPr>
          <w:p w14:paraId="13D61C9C" w14:textId="09532895" w:rsidR="00C11E8B" w:rsidRPr="002C2316" w:rsidRDefault="001964C1">
            <w:pPr>
              <w:rPr>
                <w:rFonts w:ascii="Times New Roman" w:eastAsia="Arial" w:hAnsi="Times New Roman" w:cs="Times New Roman"/>
                <w:b/>
                <w:bCs/>
                <w:i/>
                <w:iCs/>
              </w:rPr>
            </w:pPr>
            <w:r w:rsidRPr="002C2316">
              <w:rPr>
                <w:rFonts w:ascii="Times New Roman" w:eastAsia="Arial" w:hAnsi="Times New Roman" w:cs="Times New Roman"/>
                <w:b/>
                <w:bCs/>
                <w:i/>
                <w:iCs/>
              </w:rPr>
              <w:t>TNFRSF11A (RANK)</w:t>
            </w:r>
            <w:r w:rsidR="00FF24E9" w:rsidRPr="002C2316">
              <w:rPr>
                <w:rFonts w:ascii="Times New Roman" w:eastAsia="Arial" w:hAnsi="Times New Roman" w:cs="Times New Roman"/>
                <w:b/>
                <w:bCs/>
                <w:i/>
                <w:iCs/>
              </w:rPr>
              <w:t xml:space="preserve"> (G/A)</w:t>
            </w:r>
          </w:p>
        </w:tc>
        <w:tc>
          <w:tcPr>
            <w:tcW w:w="1350" w:type="dxa"/>
            <w:noWrap/>
            <w:hideMark/>
          </w:tcPr>
          <w:p w14:paraId="181443E6"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60001153</w:t>
            </w:r>
          </w:p>
        </w:tc>
        <w:tc>
          <w:tcPr>
            <w:tcW w:w="1530" w:type="dxa"/>
            <w:noWrap/>
            <w:hideMark/>
          </w:tcPr>
          <w:p w14:paraId="5C7D7D02"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rs34170507</w:t>
            </w:r>
          </w:p>
        </w:tc>
        <w:tc>
          <w:tcPr>
            <w:tcW w:w="990" w:type="dxa"/>
            <w:noWrap/>
            <w:hideMark/>
          </w:tcPr>
          <w:p w14:paraId="5531A73E"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Male</w:t>
            </w:r>
          </w:p>
        </w:tc>
        <w:tc>
          <w:tcPr>
            <w:tcW w:w="1350" w:type="dxa"/>
            <w:noWrap/>
            <w:hideMark/>
          </w:tcPr>
          <w:p w14:paraId="6CE9D67A"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0.0695</w:t>
            </w:r>
          </w:p>
        </w:tc>
        <w:tc>
          <w:tcPr>
            <w:tcW w:w="1170" w:type="dxa"/>
            <w:noWrap/>
            <w:hideMark/>
          </w:tcPr>
          <w:p w14:paraId="61D6082B"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0.0170</w:t>
            </w:r>
          </w:p>
        </w:tc>
        <w:tc>
          <w:tcPr>
            <w:tcW w:w="1345" w:type="dxa"/>
            <w:noWrap/>
            <w:hideMark/>
          </w:tcPr>
          <w:p w14:paraId="6B045194" w14:textId="40A964C0" w:rsidR="00C11E8B" w:rsidRPr="002C2316" w:rsidRDefault="00C11E8B">
            <w:pPr>
              <w:rPr>
                <w:rFonts w:ascii="Times New Roman" w:eastAsia="Arial" w:hAnsi="Times New Roman" w:cs="Times New Roman"/>
                <w:b/>
                <w:bCs/>
                <w:vertAlign w:val="superscript"/>
              </w:rPr>
            </w:pPr>
            <w:r w:rsidRPr="002C2316">
              <w:rPr>
                <w:rFonts w:ascii="Times New Roman" w:eastAsia="Arial" w:hAnsi="Times New Roman" w:cs="Times New Roman"/>
                <w:b/>
                <w:bCs/>
              </w:rPr>
              <w:t>4.44x10</w:t>
            </w:r>
            <w:r w:rsidRPr="002C2316">
              <w:rPr>
                <w:rFonts w:ascii="Times New Roman" w:eastAsia="Arial" w:hAnsi="Times New Roman" w:cs="Times New Roman"/>
                <w:b/>
                <w:bCs/>
                <w:vertAlign w:val="superscript"/>
              </w:rPr>
              <w:t>-</w:t>
            </w:r>
            <w:r w:rsidR="000675AF" w:rsidRPr="002C2316">
              <w:rPr>
                <w:rFonts w:ascii="Times New Roman" w:eastAsia="Arial" w:hAnsi="Times New Roman" w:cs="Times New Roman"/>
                <w:b/>
                <w:bCs/>
                <w:vertAlign w:val="superscript"/>
              </w:rPr>
              <w:t>5</w:t>
            </w:r>
          </w:p>
        </w:tc>
      </w:tr>
      <w:tr w:rsidR="00C11E8B" w:rsidRPr="00757919" w14:paraId="51729C7B" w14:textId="77777777" w:rsidTr="002C2316">
        <w:trPr>
          <w:trHeight w:val="250"/>
        </w:trPr>
        <w:tc>
          <w:tcPr>
            <w:tcW w:w="1615" w:type="dxa"/>
            <w:noWrap/>
            <w:hideMark/>
          </w:tcPr>
          <w:p w14:paraId="53BB5A91" w14:textId="41CBC840" w:rsidR="00C11E8B" w:rsidRPr="002C2316" w:rsidRDefault="001964C1">
            <w:pPr>
              <w:rPr>
                <w:rFonts w:ascii="Times New Roman" w:eastAsia="Arial" w:hAnsi="Times New Roman" w:cs="Times New Roman"/>
                <w:b/>
                <w:bCs/>
                <w:i/>
                <w:iCs/>
              </w:rPr>
            </w:pPr>
            <w:r w:rsidRPr="002C2316">
              <w:rPr>
                <w:rFonts w:ascii="Times New Roman" w:eastAsia="Arial" w:hAnsi="Times New Roman" w:cs="Times New Roman"/>
                <w:b/>
                <w:bCs/>
                <w:i/>
                <w:iCs/>
              </w:rPr>
              <w:t>TNFRSF11A (RANK)</w:t>
            </w:r>
            <w:r w:rsidR="00FF24E9" w:rsidRPr="002C2316">
              <w:rPr>
                <w:rFonts w:ascii="Times New Roman" w:eastAsia="Arial" w:hAnsi="Times New Roman" w:cs="Times New Roman"/>
                <w:b/>
                <w:bCs/>
                <w:i/>
                <w:iCs/>
              </w:rPr>
              <w:t xml:space="preserve"> (C/T)</w:t>
            </w:r>
          </w:p>
        </w:tc>
        <w:tc>
          <w:tcPr>
            <w:tcW w:w="1350" w:type="dxa"/>
            <w:noWrap/>
            <w:hideMark/>
          </w:tcPr>
          <w:p w14:paraId="558E5E6A"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60026732</w:t>
            </w:r>
          </w:p>
        </w:tc>
        <w:tc>
          <w:tcPr>
            <w:tcW w:w="1530" w:type="dxa"/>
            <w:noWrap/>
            <w:hideMark/>
          </w:tcPr>
          <w:p w14:paraId="51C8FE5F"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rs6567268</w:t>
            </w:r>
          </w:p>
        </w:tc>
        <w:tc>
          <w:tcPr>
            <w:tcW w:w="990" w:type="dxa"/>
            <w:noWrap/>
            <w:hideMark/>
          </w:tcPr>
          <w:p w14:paraId="26D351A3"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Male</w:t>
            </w:r>
          </w:p>
        </w:tc>
        <w:tc>
          <w:tcPr>
            <w:tcW w:w="1350" w:type="dxa"/>
            <w:noWrap/>
            <w:hideMark/>
          </w:tcPr>
          <w:p w14:paraId="13EFACDD"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0.0484</w:t>
            </w:r>
          </w:p>
        </w:tc>
        <w:tc>
          <w:tcPr>
            <w:tcW w:w="1170" w:type="dxa"/>
            <w:noWrap/>
            <w:hideMark/>
          </w:tcPr>
          <w:p w14:paraId="6CC75B2C"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0.0173</w:t>
            </w:r>
          </w:p>
        </w:tc>
        <w:tc>
          <w:tcPr>
            <w:tcW w:w="1345" w:type="dxa"/>
            <w:noWrap/>
            <w:hideMark/>
          </w:tcPr>
          <w:p w14:paraId="37018C5D" w14:textId="77777777" w:rsidR="00C11E8B" w:rsidRPr="002C2316" w:rsidRDefault="00C11E8B">
            <w:pPr>
              <w:rPr>
                <w:rFonts w:ascii="Times New Roman" w:eastAsia="Arial" w:hAnsi="Times New Roman" w:cs="Times New Roman"/>
                <w:b/>
                <w:bCs/>
              </w:rPr>
            </w:pPr>
            <w:r w:rsidRPr="002C2316">
              <w:rPr>
                <w:rFonts w:ascii="Times New Roman" w:eastAsia="Arial" w:hAnsi="Times New Roman" w:cs="Times New Roman"/>
                <w:b/>
                <w:bCs/>
              </w:rPr>
              <w:t>0.0051</w:t>
            </w:r>
          </w:p>
        </w:tc>
      </w:tr>
      <w:tr w:rsidR="00C11E8B" w:rsidRPr="00757919" w14:paraId="3E8ABAEB" w14:textId="77777777" w:rsidTr="002C2316">
        <w:trPr>
          <w:trHeight w:val="285"/>
        </w:trPr>
        <w:tc>
          <w:tcPr>
            <w:tcW w:w="1615" w:type="dxa"/>
            <w:noWrap/>
            <w:hideMark/>
          </w:tcPr>
          <w:p w14:paraId="34EA0C93" w14:textId="2B743D85" w:rsidR="00C11E8B" w:rsidRPr="002C2316" w:rsidRDefault="001964C1">
            <w:pPr>
              <w:rPr>
                <w:rFonts w:ascii="Times New Roman" w:eastAsia="Arial" w:hAnsi="Times New Roman" w:cs="Times New Roman"/>
                <w:bCs/>
                <w:i/>
                <w:iCs/>
              </w:rPr>
            </w:pPr>
            <w:r w:rsidRPr="002C2316">
              <w:rPr>
                <w:rFonts w:ascii="Times New Roman" w:eastAsia="Arial" w:hAnsi="Times New Roman" w:cs="Times New Roman"/>
                <w:bCs/>
                <w:i/>
                <w:iCs/>
              </w:rPr>
              <w:t>TNFSF11 (RANKL)</w:t>
            </w:r>
            <w:r w:rsidR="00FF24E9" w:rsidRPr="002C2316">
              <w:rPr>
                <w:rFonts w:ascii="Times New Roman" w:eastAsia="Arial" w:hAnsi="Times New Roman" w:cs="Times New Roman"/>
                <w:bCs/>
                <w:i/>
                <w:iCs/>
              </w:rPr>
              <w:t xml:space="preserve"> (T/C)</w:t>
            </w:r>
          </w:p>
        </w:tc>
        <w:tc>
          <w:tcPr>
            <w:tcW w:w="1350" w:type="dxa"/>
            <w:noWrap/>
            <w:hideMark/>
          </w:tcPr>
          <w:p w14:paraId="11F140D7" w14:textId="77777777" w:rsidR="00C11E8B" w:rsidRPr="002C2316" w:rsidRDefault="00C11E8B">
            <w:pPr>
              <w:rPr>
                <w:rFonts w:ascii="Times New Roman" w:eastAsia="Arial" w:hAnsi="Times New Roman" w:cs="Times New Roman"/>
                <w:bCs/>
              </w:rPr>
            </w:pPr>
            <w:r w:rsidRPr="002C2316">
              <w:rPr>
                <w:rFonts w:ascii="Times New Roman" w:eastAsia="Arial" w:hAnsi="Times New Roman" w:cs="Times New Roman"/>
                <w:bCs/>
              </w:rPr>
              <w:t>43177169</w:t>
            </w:r>
          </w:p>
        </w:tc>
        <w:tc>
          <w:tcPr>
            <w:tcW w:w="1530" w:type="dxa"/>
            <w:noWrap/>
            <w:hideMark/>
          </w:tcPr>
          <w:p w14:paraId="6F513EFC" w14:textId="77777777" w:rsidR="00C11E8B" w:rsidRPr="002C2316" w:rsidRDefault="00C11E8B">
            <w:pPr>
              <w:rPr>
                <w:rFonts w:ascii="Times New Roman" w:eastAsia="Arial" w:hAnsi="Times New Roman" w:cs="Times New Roman"/>
                <w:bCs/>
              </w:rPr>
            </w:pPr>
            <w:r w:rsidRPr="002C2316">
              <w:rPr>
                <w:rFonts w:ascii="Times New Roman" w:eastAsia="Arial" w:hAnsi="Times New Roman" w:cs="Times New Roman"/>
                <w:bCs/>
              </w:rPr>
              <w:t>rs9533166</w:t>
            </w:r>
          </w:p>
        </w:tc>
        <w:tc>
          <w:tcPr>
            <w:tcW w:w="990" w:type="dxa"/>
            <w:noWrap/>
            <w:hideMark/>
          </w:tcPr>
          <w:p w14:paraId="1AEA434F" w14:textId="77777777" w:rsidR="00C11E8B" w:rsidRPr="002C2316" w:rsidRDefault="00C11E8B">
            <w:pPr>
              <w:rPr>
                <w:rFonts w:ascii="Times New Roman" w:eastAsia="Arial" w:hAnsi="Times New Roman" w:cs="Times New Roman"/>
                <w:bCs/>
              </w:rPr>
            </w:pPr>
            <w:r w:rsidRPr="002C2316">
              <w:rPr>
                <w:rFonts w:ascii="Times New Roman" w:eastAsia="Arial" w:hAnsi="Times New Roman" w:cs="Times New Roman"/>
                <w:bCs/>
              </w:rPr>
              <w:t>Male</w:t>
            </w:r>
          </w:p>
        </w:tc>
        <w:tc>
          <w:tcPr>
            <w:tcW w:w="1350" w:type="dxa"/>
            <w:noWrap/>
            <w:hideMark/>
          </w:tcPr>
          <w:p w14:paraId="2824E79F" w14:textId="77777777" w:rsidR="00C11E8B" w:rsidRPr="002C2316" w:rsidRDefault="00C11E8B">
            <w:pPr>
              <w:rPr>
                <w:rFonts w:ascii="Times New Roman" w:eastAsia="Arial" w:hAnsi="Times New Roman" w:cs="Times New Roman"/>
                <w:bCs/>
              </w:rPr>
            </w:pPr>
            <w:r w:rsidRPr="002C2316">
              <w:rPr>
                <w:rFonts w:ascii="Times New Roman" w:eastAsia="Arial" w:hAnsi="Times New Roman" w:cs="Times New Roman"/>
                <w:bCs/>
              </w:rPr>
              <w:t>-0.0310</w:t>
            </w:r>
          </w:p>
        </w:tc>
        <w:tc>
          <w:tcPr>
            <w:tcW w:w="1170" w:type="dxa"/>
            <w:noWrap/>
            <w:hideMark/>
          </w:tcPr>
          <w:p w14:paraId="2AD681E6" w14:textId="77777777" w:rsidR="00C11E8B" w:rsidRPr="002C2316" w:rsidRDefault="00C11E8B">
            <w:pPr>
              <w:rPr>
                <w:rFonts w:ascii="Times New Roman" w:eastAsia="Arial" w:hAnsi="Times New Roman" w:cs="Times New Roman"/>
                <w:bCs/>
              </w:rPr>
            </w:pPr>
            <w:r w:rsidRPr="002C2316">
              <w:rPr>
                <w:rFonts w:ascii="Times New Roman" w:eastAsia="Arial" w:hAnsi="Times New Roman" w:cs="Times New Roman"/>
                <w:bCs/>
              </w:rPr>
              <w:t>0.0158</w:t>
            </w:r>
          </w:p>
        </w:tc>
        <w:tc>
          <w:tcPr>
            <w:tcW w:w="1345" w:type="dxa"/>
            <w:noWrap/>
            <w:hideMark/>
          </w:tcPr>
          <w:p w14:paraId="024224CF" w14:textId="77777777" w:rsidR="00C11E8B" w:rsidRPr="002C2316" w:rsidRDefault="00C11E8B">
            <w:pPr>
              <w:rPr>
                <w:rFonts w:ascii="Times New Roman" w:eastAsia="Arial" w:hAnsi="Times New Roman" w:cs="Times New Roman"/>
                <w:bCs/>
              </w:rPr>
            </w:pPr>
            <w:r w:rsidRPr="002C2316">
              <w:rPr>
                <w:rFonts w:ascii="Times New Roman" w:eastAsia="Arial" w:hAnsi="Times New Roman" w:cs="Times New Roman"/>
                <w:bCs/>
              </w:rPr>
              <w:t>0.0497</w:t>
            </w:r>
          </w:p>
        </w:tc>
      </w:tr>
    </w:tbl>
    <w:p w14:paraId="6B31992B" w14:textId="1F4A63EA" w:rsidR="00C11E8B" w:rsidRPr="00757919" w:rsidRDefault="000277D1" w:rsidP="00A541E7">
      <w:pPr>
        <w:rPr>
          <w:rFonts w:ascii="Times New Roman" w:eastAsia="Arial" w:hAnsi="Times New Roman" w:cs="Times New Roman"/>
          <w:sz w:val="24"/>
          <w:szCs w:val="24"/>
        </w:rPr>
      </w:pPr>
      <w:r>
        <w:rPr>
          <w:rFonts w:ascii="Times New Roman" w:eastAsia="Arial" w:hAnsi="Times New Roman" w:cs="Times New Roman"/>
          <w:noProof/>
          <w:sz w:val="24"/>
          <w:szCs w:val="24"/>
        </w:rPr>
        <w:fldChar w:fldCharType="begin"/>
      </w:r>
      <w:r>
        <w:rPr>
          <w:rFonts w:ascii="Times New Roman" w:eastAsia="Arial" w:hAnsi="Times New Roman" w:cs="Times New Roman"/>
          <w:sz w:val="24"/>
          <w:szCs w:val="24"/>
        </w:rPr>
        <w:instrText xml:space="preserve"> ADDIN EN.REFLIST </w:instrText>
      </w:r>
      <w:r>
        <w:rPr>
          <w:rFonts w:ascii="Times New Roman" w:eastAsia="Arial" w:hAnsi="Times New Roman" w:cs="Times New Roman"/>
          <w:noProof/>
          <w:sz w:val="24"/>
          <w:szCs w:val="24"/>
        </w:rPr>
        <w:fldChar w:fldCharType="end"/>
      </w:r>
    </w:p>
    <w:sectPr w:rsidR="00C11E8B" w:rsidRPr="00757919" w:rsidSect="0022115C">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FD1D0" w14:textId="77777777" w:rsidR="00920112" w:rsidRDefault="00920112" w:rsidP="00525B92">
      <w:pPr>
        <w:spacing w:after="0" w:line="240" w:lineRule="auto"/>
      </w:pPr>
      <w:r>
        <w:separator/>
      </w:r>
    </w:p>
  </w:endnote>
  <w:endnote w:type="continuationSeparator" w:id="0">
    <w:p w14:paraId="61A2F627" w14:textId="77777777" w:rsidR="00920112" w:rsidRDefault="00920112" w:rsidP="0052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7942670"/>
      <w:docPartObj>
        <w:docPartGallery w:val="Page Numbers (Bottom of Page)"/>
        <w:docPartUnique/>
      </w:docPartObj>
    </w:sdtPr>
    <w:sdtEndPr>
      <w:rPr>
        <w:noProof/>
      </w:rPr>
    </w:sdtEndPr>
    <w:sdtContent>
      <w:p w14:paraId="71C6ED74" w14:textId="64D44719" w:rsidR="00FE1971" w:rsidRDefault="00FE1971">
        <w:pPr>
          <w:pStyle w:val="Footer"/>
          <w:jc w:val="right"/>
        </w:pPr>
        <w:r>
          <w:fldChar w:fldCharType="begin"/>
        </w:r>
        <w:r>
          <w:instrText xml:space="preserve"> PAGE   \* MERGEFORMAT </w:instrText>
        </w:r>
        <w:r>
          <w:fldChar w:fldCharType="separate"/>
        </w:r>
        <w:r w:rsidR="000B5D6C">
          <w:rPr>
            <w:noProof/>
          </w:rPr>
          <w:t>23</w:t>
        </w:r>
        <w:r>
          <w:rPr>
            <w:noProof/>
          </w:rPr>
          <w:fldChar w:fldCharType="end"/>
        </w:r>
      </w:p>
    </w:sdtContent>
  </w:sdt>
  <w:p w14:paraId="48CDAB87" w14:textId="77777777" w:rsidR="00FE1971" w:rsidRDefault="00FE1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4920F" w14:textId="77777777" w:rsidR="00920112" w:rsidRDefault="00920112" w:rsidP="00525B92">
      <w:pPr>
        <w:spacing w:after="0" w:line="240" w:lineRule="auto"/>
      </w:pPr>
      <w:r>
        <w:separator/>
      </w:r>
    </w:p>
  </w:footnote>
  <w:footnote w:type="continuationSeparator" w:id="0">
    <w:p w14:paraId="1588793A" w14:textId="77777777" w:rsidR="00920112" w:rsidRDefault="00920112" w:rsidP="00525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E5513"/>
    <w:multiLevelType w:val="multilevel"/>
    <w:tmpl w:val="EAB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xMDC2MDY0N7cwN7RU0lEKTi0uzszPAykwNK0FAHBQZpgtAAAA"/>
    <w:docVar w:name="EN.InstantFormat" w:val="&lt;ENInstantFormat&gt;&lt;Enabled&gt;0&lt;/Enabled&gt;&lt;ScanUnformatted&gt;1&lt;/ScanUnformatted&gt;&lt;ScanChanges&gt;1&lt;/ScanChanges&gt;&lt;Suspended&gt;0&lt;/Suspended&gt;&lt;/ENInstantFormat&gt;"/>
    <w:docVar w:name="EN.Layout" w:val="&lt;ENLayout&gt;&lt;Style&gt;J Bone Minera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vttzt9hxstr1eewsv5dwxctaefvseev90t&quot;&gt;BB BMD&lt;record-ids&gt;&lt;item&gt;68&lt;/item&gt;&lt;/record-ids&gt;&lt;/item&gt;&lt;/Libraries&gt;"/>
  </w:docVars>
  <w:rsids>
    <w:rsidRoot w:val="002C3016"/>
    <w:rsid w:val="0001265F"/>
    <w:rsid w:val="00013227"/>
    <w:rsid w:val="0001525A"/>
    <w:rsid w:val="00017006"/>
    <w:rsid w:val="00021D00"/>
    <w:rsid w:val="00025F2E"/>
    <w:rsid w:val="000277D1"/>
    <w:rsid w:val="00027AF7"/>
    <w:rsid w:val="00035A34"/>
    <w:rsid w:val="000420D7"/>
    <w:rsid w:val="00046998"/>
    <w:rsid w:val="000476B1"/>
    <w:rsid w:val="00047B48"/>
    <w:rsid w:val="00051812"/>
    <w:rsid w:val="00052EA2"/>
    <w:rsid w:val="000627AA"/>
    <w:rsid w:val="00062CA5"/>
    <w:rsid w:val="00065D61"/>
    <w:rsid w:val="000675AF"/>
    <w:rsid w:val="00071757"/>
    <w:rsid w:val="00072863"/>
    <w:rsid w:val="00080B10"/>
    <w:rsid w:val="00081530"/>
    <w:rsid w:val="00082ED2"/>
    <w:rsid w:val="00093D81"/>
    <w:rsid w:val="00095756"/>
    <w:rsid w:val="000A05EF"/>
    <w:rsid w:val="000A1276"/>
    <w:rsid w:val="000A2C86"/>
    <w:rsid w:val="000A2D1A"/>
    <w:rsid w:val="000A6F63"/>
    <w:rsid w:val="000B1F67"/>
    <w:rsid w:val="000B5D6C"/>
    <w:rsid w:val="000B68EF"/>
    <w:rsid w:val="000C3B53"/>
    <w:rsid w:val="000C7CF6"/>
    <w:rsid w:val="000D0973"/>
    <w:rsid w:val="000D102E"/>
    <w:rsid w:val="000D5E5C"/>
    <w:rsid w:val="000D67F8"/>
    <w:rsid w:val="000D7DF4"/>
    <w:rsid w:val="000E03AB"/>
    <w:rsid w:val="000E186C"/>
    <w:rsid w:val="000E187D"/>
    <w:rsid w:val="000E1D74"/>
    <w:rsid w:val="000E4962"/>
    <w:rsid w:val="000E575F"/>
    <w:rsid w:val="000E7936"/>
    <w:rsid w:val="000F11B0"/>
    <w:rsid w:val="000F2117"/>
    <w:rsid w:val="000F275F"/>
    <w:rsid w:val="000F28AB"/>
    <w:rsid w:val="000F3DD2"/>
    <w:rsid w:val="000F4021"/>
    <w:rsid w:val="000F69D2"/>
    <w:rsid w:val="000F7FFA"/>
    <w:rsid w:val="001049CA"/>
    <w:rsid w:val="00105E59"/>
    <w:rsid w:val="001062DC"/>
    <w:rsid w:val="001066DB"/>
    <w:rsid w:val="00107F5D"/>
    <w:rsid w:val="001105B5"/>
    <w:rsid w:val="00112351"/>
    <w:rsid w:val="00113559"/>
    <w:rsid w:val="001148E5"/>
    <w:rsid w:val="00121BB2"/>
    <w:rsid w:val="001266A5"/>
    <w:rsid w:val="00131CB6"/>
    <w:rsid w:val="00131F08"/>
    <w:rsid w:val="00134CF6"/>
    <w:rsid w:val="0014254C"/>
    <w:rsid w:val="00147558"/>
    <w:rsid w:val="00155318"/>
    <w:rsid w:val="001555D2"/>
    <w:rsid w:val="00160640"/>
    <w:rsid w:val="001670EB"/>
    <w:rsid w:val="0016721F"/>
    <w:rsid w:val="0017023E"/>
    <w:rsid w:val="00170808"/>
    <w:rsid w:val="001719B2"/>
    <w:rsid w:val="00173A82"/>
    <w:rsid w:val="00176CF4"/>
    <w:rsid w:val="00181547"/>
    <w:rsid w:val="00182FE0"/>
    <w:rsid w:val="001860F4"/>
    <w:rsid w:val="00191378"/>
    <w:rsid w:val="00194B1C"/>
    <w:rsid w:val="00194D82"/>
    <w:rsid w:val="001964C1"/>
    <w:rsid w:val="00197EF9"/>
    <w:rsid w:val="001A24DC"/>
    <w:rsid w:val="001A2910"/>
    <w:rsid w:val="001B04DA"/>
    <w:rsid w:val="001B1DC5"/>
    <w:rsid w:val="001C0538"/>
    <w:rsid w:val="001C067A"/>
    <w:rsid w:val="001C0A99"/>
    <w:rsid w:val="001C1062"/>
    <w:rsid w:val="001C29E5"/>
    <w:rsid w:val="001C311A"/>
    <w:rsid w:val="001C3722"/>
    <w:rsid w:val="001D1E0B"/>
    <w:rsid w:val="001D2E93"/>
    <w:rsid w:val="001D5E98"/>
    <w:rsid w:val="001E520D"/>
    <w:rsid w:val="001E5E95"/>
    <w:rsid w:val="001E6CB1"/>
    <w:rsid w:val="001F1E63"/>
    <w:rsid w:val="001F539E"/>
    <w:rsid w:val="002118AD"/>
    <w:rsid w:val="002206DF"/>
    <w:rsid w:val="00220934"/>
    <w:rsid w:val="0022115C"/>
    <w:rsid w:val="00221A70"/>
    <w:rsid w:val="00226728"/>
    <w:rsid w:val="00231E1A"/>
    <w:rsid w:val="00232E88"/>
    <w:rsid w:val="00240086"/>
    <w:rsid w:val="0024124F"/>
    <w:rsid w:val="0024145E"/>
    <w:rsid w:val="00246876"/>
    <w:rsid w:val="00246FB2"/>
    <w:rsid w:val="0025219C"/>
    <w:rsid w:val="00253A0E"/>
    <w:rsid w:val="002541C5"/>
    <w:rsid w:val="002542EC"/>
    <w:rsid w:val="00255447"/>
    <w:rsid w:val="00260B6D"/>
    <w:rsid w:val="002628B7"/>
    <w:rsid w:val="00272144"/>
    <w:rsid w:val="002722E0"/>
    <w:rsid w:val="002753AA"/>
    <w:rsid w:val="0027575C"/>
    <w:rsid w:val="00275819"/>
    <w:rsid w:val="00281ED2"/>
    <w:rsid w:val="00281F30"/>
    <w:rsid w:val="0028440C"/>
    <w:rsid w:val="00286ED7"/>
    <w:rsid w:val="002900F2"/>
    <w:rsid w:val="00292686"/>
    <w:rsid w:val="002A3C4C"/>
    <w:rsid w:val="002A41C4"/>
    <w:rsid w:val="002A696F"/>
    <w:rsid w:val="002A6FEB"/>
    <w:rsid w:val="002A7E3F"/>
    <w:rsid w:val="002B1C35"/>
    <w:rsid w:val="002B7103"/>
    <w:rsid w:val="002B715F"/>
    <w:rsid w:val="002C2316"/>
    <w:rsid w:val="002C3016"/>
    <w:rsid w:val="002C3702"/>
    <w:rsid w:val="002C40C3"/>
    <w:rsid w:val="002C48C5"/>
    <w:rsid w:val="002D31A1"/>
    <w:rsid w:val="002D5EA7"/>
    <w:rsid w:val="002D6C91"/>
    <w:rsid w:val="002E0597"/>
    <w:rsid w:val="002E1483"/>
    <w:rsid w:val="002E2B0B"/>
    <w:rsid w:val="002E36A1"/>
    <w:rsid w:val="002E3D31"/>
    <w:rsid w:val="002F3016"/>
    <w:rsid w:val="002F586B"/>
    <w:rsid w:val="002F756D"/>
    <w:rsid w:val="002F7B99"/>
    <w:rsid w:val="00304CF5"/>
    <w:rsid w:val="0031143C"/>
    <w:rsid w:val="003116A7"/>
    <w:rsid w:val="00312514"/>
    <w:rsid w:val="00313BC2"/>
    <w:rsid w:val="00313EE5"/>
    <w:rsid w:val="003150D0"/>
    <w:rsid w:val="00315EE1"/>
    <w:rsid w:val="0031740C"/>
    <w:rsid w:val="003179A1"/>
    <w:rsid w:val="003214CC"/>
    <w:rsid w:val="003237BF"/>
    <w:rsid w:val="00325A56"/>
    <w:rsid w:val="0032651B"/>
    <w:rsid w:val="00335458"/>
    <w:rsid w:val="00341142"/>
    <w:rsid w:val="003425D2"/>
    <w:rsid w:val="00342F63"/>
    <w:rsid w:val="00347939"/>
    <w:rsid w:val="0035008A"/>
    <w:rsid w:val="00351581"/>
    <w:rsid w:val="00354AA5"/>
    <w:rsid w:val="00355F57"/>
    <w:rsid w:val="00356F92"/>
    <w:rsid w:val="0035752A"/>
    <w:rsid w:val="0036615C"/>
    <w:rsid w:val="00374563"/>
    <w:rsid w:val="003751A4"/>
    <w:rsid w:val="00377EA3"/>
    <w:rsid w:val="00390806"/>
    <w:rsid w:val="00395D85"/>
    <w:rsid w:val="003A25A6"/>
    <w:rsid w:val="003A5865"/>
    <w:rsid w:val="003A6202"/>
    <w:rsid w:val="003A7215"/>
    <w:rsid w:val="003A7EEF"/>
    <w:rsid w:val="003B0469"/>
    <w:rsid w:val="003B2BBB"/>
    <w:rsid w:val="003B4880"/>
    <w:rsid w:val="003B66E8"/>
    <w:rsid w:val="003C0D31"/>
    <w:rsid w:val="003C3DA4"/>
    <w:rsid w:val="003C4EBE"/>
    <w:rsid w:val="003C62B1"/>
    <w:rsid w:val="003C7F7F"/>
    <w:rsid w:val="003D3506"/>
    <w:rsid w:val="003D3FE2"/>
    <w:rsid w:val="003D7A93"/>
    <w:rsid w:val="003E59FF"/>
    <w:rsid w:val="003F2218"/>
    <w:rsid w:val="003F2D47"/>
    <w:rsid w:val="003F65E6"/>
    <w:rsid w:val="003F6E7F"/>
    <w:rsid w:val="00402AA7"/>
    <w:rsid w:val="00407C47"/>
    <w:rsid w:val="00407EA8"/>
    <w:rsid w:val="00410E93"/>
    <w:rsid w:val="0041334E"/>
    <w:rsid w:val="00415653"/>
    <w:rsid w:val="0042720C"/>
    <w:rsid w:val="00433F6A"/>
    <w:rsid w:val="00435758"/>
    <w:rsid w:val="004518A8"/>
    <w:rsid w:val="00452DDA"/>
    <w:rsid w:val="00460A4B"/>
    <w:rsid w:val="00461C35"/>
    <w:rsid w:val="00462867"/>
    <w:rsid w:val="00463920"/>
    <w:rsid w:val="00464B11"/>
    <w:rsid w:val="004657D1"/>
    <w:rsid w:val="00472720"/>
    <w:rsid w:val="00474062"/>
    <w:rsid w:val="0048024E"/>
    <w:rsid w:val="004815AA"/>
    <w:rsid w:val="00483CF7"/>
    <w:rsid w:val="00491BEE"/>
    <w:rsid w:val="00491E2C"/>
    <w:rsid w:val="00492F97"/>
    <w:rsid w:val="004939DD"/>
    <w:rsid w:val="004954F9"/>
    <w:rsid w:val="00495624"/>
    <w:rsid w:val="0049781D"/>
    <w:rsid w:val="004A0274"/>
    <w:rsid w:val="004A1ACD"/>
    <w:rsid w:val="004A35CD"/>
    <w:rsid w:val="004B00AC"/>
    <w:rsid w:val="004B2628"/>
    <w:rsid w:val="004C09C1"/>
    <w:rsid w:val="004C0B36"/>
    <w:rsid w:val="004C5EC8"/>
    <w:rsid w:val="004D2969"/>
    <w:rsid w:val="004D544C"/>
    <w:rsid w:val="004E02E8"/>
    <w:rsid w:val="004E1B30"/>
    <w:rsid w:val="004E2CD6"/>
    <w:rsid w:val="004E4A6D"/>
    <w:rsid w:val="004E61F9"/>
    <w:rsid w:val="004F5088"/>
    <w:rsid w:val="004F7377"/>
    <w:rsid w:val="00500D31"/>
    <w:rsid w:val="0051098F"/>
    <w:rsid w:val="005118AE"/>
    <w:rsid w:val="00512451"/>
    <w:rsid w:val="00525B92"/>
    <w:rsid w:val="00525BC4"/>
    <w:rsid w:val="0053213B"/>
    <w:rsid w:val="0054033C"/>
    <w:rsid w:val="005416A0"/>
    <w:rsid w:val="005451F2"/>
    <w:rsid w:val="00545655"/>
    <w:rsid w:val="00551D3D"/>
    <w:rsid w:val="00567DFB"/>
    <w:rsid w:val="0057024B"/>
    <w:rsid w:val="00573B02"/>
    <w:rsid w:val="005826D5"/>
    <w:rsid w:val="00584C9A"/>
    <w:rsid w:val="00586577"/>
    <w:rsid w:val="00586C3F"/>
    <w:rsid w:val="005911D4"/>
    <w:rsid w:val="00592D10"/>
    <w:rsid w:val="005A14DD"/>
    <w:rsid w:val="005A1D6E"/>
    <w:rsid w:val="005A6C60"/>
    <w:rsid w:val="005B1894"/>
    <w:rsid w:val="005B6B70"/>
    <w:rsid w:val="005C0B97"/>
    <w:rsid w:val="005C7A73"/>
    <w:rsid w:val="005D1035"/>
    <w:rsid w:val="005D18DA"/>
    <w:rsid w:val="005E22AC"/>
    <w:rsid w:val="005E2ACA"/>
    <w:rsid w:val="005F0918"/>
    <w:rsid w:val="005F1879"/>
    <w:rsid w:val="005F635D"/>
    <w:rsid w:val="00600997"/>
    <w:rsid w:val="006023D4"/>
    <w:rsid w:val="00603823"/>
    <w:rsid w:val="006042D9"/>
    <w:rsid w:val="00606415"/>
    <w:rsid w:val="006073A0"/>
    <w:rsid w:val="00616FA3"/>
    <w:rsid w:val="00617340"/>
    <w:rsid w:val="00621598"/>
    <w:rsid w:val="00625E12"/>
    <w:rsid w:val="00630A57"/>
    <w:rsid w:val="00632794"/>
    <w:rsid w:val="00633FEB"/>
    <w:rsid w:val="00643A1E"/>
    <w:rsid w:val="00652BB9"/>
    <w:rsid w:val="006532E2"/>
    <w:rsid w:val="00656938"/>
    <w:rsid w:val="006570B0"/>
    <w:rsid w:val="00661058"/>
    <w:rsid w:val="006642E4"/>
    <w:rsid w:val="006672D7"/>
    <w:rsid w:val="006673DE"/>
    <w:rsid w:val="00667961"/>
    <w:rsid w:val="00676229"/>
    <w:rsid w:val="00676344"/>
    <w:rsid w:val="00677895"/>
    <w:rsid w:val="006938A8"/>
    <w:rsid w:val="006940CA"/>
    <w:rsid w:val="00697776"/>
    <w:rsid w:val="006A29A8"/>
    <w:rsid w:val="006A7E78"/>
    <w:rsid w:val="006B5483"/>
    <w:rsid w:val="006C5059"/>
    <w:rsid w:val="006C5082"/>
    <w:rsid w:val="006C50CB"/>
    <w:rsid w:val="006D15E3"/>
    <w:rsid w:val="006D4E28"/>
    <w:rsid w:val="006D78A2"/>
    <w:rsid w:val="006E15E8"/>
    <w:rsid w:val="006E2487"/>
    <w:rsid w:val="006F0BEB"/>
    <w:rsid w:val="006F40E7"/>
    <w:rsid w:val="006F6AC5"/>
    <w:rsid w:val="007042BB"/>
    <w:rsid w:val="00705433"/>
    <w:rsid w:val="007056E1"/>
    <w:rsid w:val="007121EF"/>
    <w:rsid w:val="00721334"/>
    <w:rsid w:val="00721472"/>
    <w:rsid w:val="007215DA"/>
    <w:rsid w:val="00721E68"/>
    <w:rsid w:val="00723523"/>
    <w:rsid w:val="00725270"/>
    <w:rsid w:val="007309CD"/>
    <w:rsid w:val="007346CF"/>
    <w:rsid w:val="00740CAC"/>
    <w:rsid w:val="0074392F"/>
    <w:rsid w:val="007448DA"/>
    <w:rsid w:val="00745871"/>
    <w:rsid w:val="00745EC7"/>
    <w:rsid w:val="00747D79"/>
    <w:rsid w:val="00752F4E"/>
    <w:rsid w:val="00756724"/>
    <w:rsid w:val="00757919"/>
    <w:rsid w:val="00757B71"/>
    <w:rsid w:val="00762FDE"/>
    <w:rsid w:val="00766788"/>
    <w:rsid w:val="00766A2C"/>
    <w:rsid w:val="00766BFF"/>
    <w:rsid w:val="007672C9"/>
    <w:rsid w:val="00774255"/>
    <w:rsid w:val="00776882"/>
    <w:rsid w:val="00780484"/>
    <w:rsid w:val="00783616"/>
    <w:rsid w:val="00785457"/>
    <w:rsid w:val="0078788C"/>
    <w:rsid w:val="00787AAF"/>
    <w:rsid w:val="0079029A"/>
    <w:rsid w:val="00791A20"/>
    <w:rsid w:val="00792D45"/>
    <w:rsid w:val="0079744D"/>
    <w:rsid w:val="007A1F39"/>
    <w:rsid w:val="007A32F7"/>
    <w:rsid w:val="007A4369"/>
    <w:rsid w:val="007A7A96"/>
    <w:rsid w:val="007B1A49"/>
    <w:rsid w:val="007B2AF4"/>
    <w:rsid w:val="007B4885"/>
    <w:rsid w:val="007B5A00"/>
    <w:rsid w:val="007B6226"/>
    <w:rsid w:val="007B64BE"/>
    <w:rsid w:val="007B727E"/>
    <w:rsid w:val="007C0031"/>
    <w:rsid w:val="007C17AE"/>
    <w:rsid w:val="007C433C"/>
    <w:rsid w:val="007D37C5"/>
    <w:rsid w:val="007D618A"/>
    <w:rsid w:val="007D6335"/>
    <w:rsid w:val="007E15C8"/>
    <w:rsid w:val="007E66F4"/>
    <w:rsid w:val="008007F4"/>
    <w:rsid w:val="00801079"/>
    <w:rsid w:val="00804593"/>
    <w:rsid w:val="00804D33"/>
    <w:rsid w:val="008064FB"/>
    <w:rsid w:val="00817C8A"/>
    <w:rsid w:val="00820596"/>
    <w:rsid w:val="00822699"/>
    <w:rsid w:val="008328FA"/>
    <w:rsid w:val="00840814"/>
    <w:rsid w:val="00842590"/>
    <w:rsid w:val="0085048C"/>
    <w:rsid w:val="00850BC4"/>
    <w:rsid w:val="00853AC3"/>
    <w:rsid w:val="00855903"/>
    <w:rsid w:val="00856C27"/>
    <w:rsid w:val="00860E3A"/>
    <w:rsid w:val="008638B7"/>
    <w:rsid w:val="00864F3F"/>
    <w:rsid w:val="00871C1C"/>
    <w:rsid w:val="00871D61"/>
    <w:rsid w:val="00882186"/>
    <w:rsid w:val="008864DA"/>
    <w:rsid w:val="0089145B"/>
    <w:rsid w:val="00891560"/>
    <w:rsid w:val="00891926"/>
    <w:rsid w:val="00891C62"/>
    <w:rsid w:val="0089314D"/>
    <w:rsid w:val="008A3CE9"/>
    <w:rsid w:val="008B0637"/>
    <w:rsid w:val="008B4FA8"/>
    <w:rsid w:val="008B61A7"/>
    <w:rsid w:val="008C3B27"/>
    <w:rsid w:val="008C419E"/>
    <w:rsid w:val="008C563F"/>
    <w:rsid w:val="008C7ED4"/>
    <w:rsid w:val="008D2E4A"/>
    <w:rsid w:val="008D310E"/>
    <w:rsid w:val="008D3C60"/>
    <w:rsid w:val="008D72C1"/>
    <w:rsid w:val="008E22E3"/>
    <w:rsid w:val="008E3754"/>
    <w:rsid w:val="008E37A1"/>
    <w:rsid w:val="008E3866"/>
    <w:rsid w:val="008E4371"/>
    <w:rsid w:val="008E56E1"/>
    <w:rsid w:val="008E7D2A"/>
    <w:rsid w:val="008F066B"/>
    <w:rsid w:val="008F0B07"/>
    <w:rsid w:val="008F1900"/>
    <w:rsid w:val="008F393A"/>
    <w:rsid w:val="008F6EAC"/>
    <w:rsid w:val="008F760C"/>
    <w:rsid w:val="00900D84"/>
    <w:rsid w:val="00902533"/>
    <w:rsid w:val="0090395A"/>
    <w:rsid w:val="00905B35"/>
    <w:rsid w:val="00907D10"/>
    <w:rsid w:val="009120DF"/>
    <w:rsid w:val="00920112"/>
    <w:rsid w:val="009205A1"/>
    <w:rsid w:val="00920BFE"/>
    <w:rsid w:val="00922237"/>
    <w:rsid w:val="00923A5F"/>
    <w:rsid w:val="00933B1D"/>
    <w:rsid w:val="009360BD"/>
    <w:rsid w:val="00942AAF"/>
    <w:rsid w:val="00944769"/>
    <w:rsid w:val="009455B7"/>
    <w:rsid w:val="009462AA"/>
    <w:rsid w:val="00946C88"/>
    <w:rsid w:val="00950EEB"/>
    <w:rsid w:val="00954837"/>
    <w:rsid w:val="0095630C"/>
    <w:rsid w:val="00963582"/>
    <w:rsid w:val="00965047"/>
    <w:rsid w:val="0096667F"/>
    <w:rsid w:val="0097557C"/>
    <w:rsid w:val="00975AF7"/>
    <w:rsid w:val="00976CA5"/>
    <w:rsid w:val="00977E93"/>
    <w:rsid w:val="00977F6F"/>
    <w:rsid w:val="009831E5"/>
    <w:rsid w:val="009841C5"/>
    <w:rsid w:val="009867AF"/>
    <w:rsid w:val="0099109D"/>
    <w:rsid w:val="00991EE4"/>
    <w:rsid w:val="0099214A"/>
    <w:rsid w:val="00997F33"/>
    <w:rsid w:val="009A63C6"/>
    <w:rsid w:val="009A647B"/>
    <w:rsid w:val="009B4FE2"/>
    <w:rsid w:val="009B6F97"/>
    <w:rsid w:val="009C500B"/>
    <w:rsid w:val="009C58D4"/>
    <w:rsid w:val="009C5EBA"/>
    <w:rsid w:val="009E008C"/>
    <w:rsid w:val="009F3F0B"/>
    <w:rsid w:val="009F66AC"/>
    <w:rsid w:val="00A00DFF"/>
    <w:rsid w:val="00A0154A"/>
    <w:rsid w:val="00A016FB"/>
    <w:rsid w:val="00A01939"/>
    <w:rsid w:val="00A03663"/>
    <w:rsid w:val="00A13B8E"/>
    <w:rsid w:val="00A20FB8"/>
    <w:rsid w:val="00A2578A"/>
    <w:rsid w:val="00A25ADA"/>
    <w:rsid w:val="00A264E5"/>
    <w:rsid w:val="00A2691A"/>
    <w:rsid w:val="00A375C9"/>
    <w:rsid w:val="00A453B8"/>
    <w:rsid w:val="00A541E7"/>
    <w:rsid w:val="00A568A5"/>
    <w:rsid w:val="00A6098D"/>
    <w:rsid w:val="00A610A6"/>
    <w:rsid w:val="00A62299"/>
    <w:rsid w:val="00A6286B"/>
    <w:rsid w:val="00A6394D"/>
    <w:rsid w:val="00A6488F"/>
    <w:rsid w:val="00A73461"/>
    <w:rsid w:val="00A75463"/>
    <w:rsid w:val="00A80946"/>
    <w:rsid w:val="00A84F33"/>
    <w:rsid w:val="00A8644F"/>
    <w:rsid w:val="00A9073B"/>
    <w:rsid w:val="00A907D1"/>
    <w:rsid w:val="00A90C91"/>
    <w:rsid w:val="00A917E9"/>
    <w:rsid w:val="00A932CF"/>
    <w:rsid w:val="00A93446"/>
    <w:rsid w:val="00AA1181"/>
    <w:rsid w:val="00AA395D"/>
    <w:rsid w:val="00AB01CF"/>
    <w:rsid w:val="00AB1215"/>
    <w:rsid w:val="00AB134C"/>
    <w:rsid w:val="00AB6267"/>
    <w:rsid w:val="00AB71A3"/>
    <w:rsid w:val="00AC5AFA"/>
    <w:rsid w:val="00AC723D"/>
    <w:rsid w:val="00AD03DC"/>
    <w:rsid w:val="00AD14A1"/>
    <w:rsid w:val="00AD18C9"/>
    <w:rsid w:val="00AD337A"/>
    <w:rsid w:val="00AD3B7F"/>
    <w:rsid w:val="00AD52EA"/>
    <w:rsid w:val="00AD6095"/>
    <w:rsid w:val="00AD6D58"/>
    <w:rsid w:val="00AE058C"/>
    <w:rsid w:val="00AE6797"/>
    <w:rsid w:val="00AF3820"/>
    <w:rsid w:val="00B04B27"/>
    <w:rsid w:val="00B20D57"/>
    <w:rsid w:val="00B263DE"/>
    <w:rsid w:val="00B30981"/>
    <w:rsid w:val="00B4126C"/>
    <w:rsid w:val="00B432D7"/>
    <w:rsid w:val="00B50721"/>
    <w:rsid w:val="00B62652"/>
    <w:rsid w:val="00B64AA7"/>
    <w:rsid w:val="00B6583F"/>
    <w:rsid w:val="00B6706A"/>
    <w:rsid w:val="00B73929"/>
    <w:rsid w:val="00B74FAB"/>
    <w:rsid w:val="00B75C02"/>
    <w:rsid w:val="00B7611D"/>
    <w:rsid w:val="00B779E5"/>
    <w:rsid w:val="00B80104"/>
    <w:rsid w:val="00B81255"/>
    <w:rsid w:val="00B8144D"/>
    <w:rsid w:val="00B817B6"/>
    <w:rsid w:val="00B8266B"/>
    <w:rsid w:val="00B85371"/>
    <w:rsid w:val="00B8545A"/>
    <w:rsid w:val="00B92EB0"/>
    <w:rsid w:val="00B9622D"/>
    <w:rsid w:val="00BA0CB7"/>
    <w:rsid w:val="00BA593A"/>
    <w:rsid w:val="00BA6FEC"/>
    <w:rsid w:val="00BA7143"/>
    <w:rsid w:val="00BC0015"/>
    <w:rsid w:val="00BC23F1"/>
    <w:rsid w:val="00BC435C"/>
    <w:rsid w:val="00BD096E"/>
    <w:rsid w:val="00BD2DBB"/>
    <w:rsid w:val="00BD3ABE"/>
    <w:rsid w:val="00BD409F"/>
    <w:rsid w:val="00BD7FA6"/>
    <w:rsid w:val="00BE1FD6"/>
    <w:rsid w:val="00BE6131"/>
    <w:rsid w:val="00BF0F59"/>
    <w:rsid w:val="00BF427E"/>
    <w:rsid w:val="00BF6877"/>
    <w:rsid w:val="00BF721E"/>
    <w:rsid w:val="00C0019F"/>
    <w:rsid w:val="00C10E64"/>
    <w:rsid w:val="00C11E8B"/>
    <w:rsid w:val="00C17DCB"/>
    <w:rsid w:val="00C227D1"/>
    <w:rsid w:val="00C237B8"/>
    <w:rsid w:val="00C2466E"/>
    <w:rsid w:val="00C25329"/>
    <w:rsid w:val="00C3137F"/>
    <w:rsid w:val="00C31E85"/>
    <w:rsid w:val="00C357E5"/>
    <w:rsid w:val="00C36055"/>
    <w:rsid w:val="00C36B8A"/>
    <w:rsid w:val="00C42903"/>
    <w:rsid w:val="00C47BA1"/>
    <w:rsid w:val="00C50AD9"/>
    <w:rsid w:val="00C55BCB"/>
    <w:rsid w:val="00C67F9D"/>
    <w:rsid w:val="00C721B9"/>
    <w:rsid w:val="00C74BA9"/>
    <w:rsid w:val="00C82A24"/>
    <w:rsid w:val="00C840A0"/>
    <w:rsid w:val="00C840F2"/>
    <w:rsid w:val="00C856B9"/>
    <w:rsid w:val="00C8644A"/>
    <w:rsid w:val="00C875B5"/>
    <w:rsid w:val="00C953F3"/>
    <w:rsid w:val="00C96C4D"/>
    <w:rsid w:val="00CA1DEB"/>
    <w:rsid w:val="00CA3E8B"/>
    <w:rsid w:val="00CA5373"/>
    <w:rsid w:val="00CA7BD3"/>
    <w:rsid w:val="00CB06D8"/>
    <w:rsid w:val="00CB2357"/>
    <w:rsid w:val="00CB2EC0"/>
    <w:rsid w:val="00CB7C7B"/>
    <w:rsid w:val="00CC1565"/>
    <w:rsid w:val="00CC6185"/>
    <w:rsid w:val="00CC6678"/>
    <w:rsid w:val="00CD5853"/>
    <w:rsid w:val="00CE0E46"/>
    <w:rsid w:val="00CE1F97"/>
    <w:rsid w:val="00CE3082"/>
    <w:rsid w:val="00CE401D"/>
    <w:rsid w:val="00CE7371"/>
    <w:rsid w:val="00CF3119"/>
    <w:rsid w:val="00D05407"/>
    <w:rsid w:val="00D07DD5"/>
    <w:rsid w:val="00D100CD"/>
    <w:rsid w:val="00D10809"/>
    <w:rsid w:val="00D12016"/>
    <w:rsid w:val="00D12563"/>
    <w:rsid w:val="00D1573C"/>
    <w:rsid w:val="00D16F1F"/>
    <w:rsid w:val="00D177EE"/>
    <w:rsid w:val="00D179BB"/>
    <w:rsid w:val="00D20913"/>
    <w:rsid w:val="00D20C6C"/>
    <w:rsid w:val="00D22C05"/>
    <w:rsid w:val="00D23B56"/>
    <w:rsid w:val="00D24373"/>
    <w:rsid w:val="00D2670C"/>
    <w:rsid w:val="00D27E22"/>
    <w:rsid w:val="00D315ED"/>
    <w:rsid w:val="00D317AC"/>
    <w:rsid w:val="00D40066"/>
    <w:rsid w:val="00D4458D"/>
    <w:rsid w:val="00D46515"/>
    <w:rsid w:val="00D476A3"/>
    <w:rsid w:val="00D56D4D"/>
    <w:rsid w:val="00D56D65"/>
    <w:rsid w:val="00D57204"/>
    <w:rsid w:val="00D57F0F"/>
    <w:rsid w:val="00D65CB7"/>
    <w:rsid w:val="00D752CC"/>
    <w:rsid w:val="00D81048"/>
    <w:rsid w:val="00D815F0"/>
    <w:rsid w:val="00D9086B"/>
    <w:rsid w:val="00D93C51"/>
    <w:rsid w:val="00D9492C"/>
    <w:rsid w:val="00D9746A"/>
    <w:rsid w:val="00DA08FA"/>
    <w:rsid w:val="00DA0D4E"/>
    <w:rsid w:val="00DA2DAE"/>
    <w:rsid w:val="00DB747E"/>
    <w:rsid w:val="00DC47C9"/>
    <w:rsid w:val="00DD057E"/>
    <w:rsid w:val="00DD3754"/>
    <w:rsid w:val="00DE223B"/>
    <w:rsid w:val="00DE4B6D"/>
    <w:rsid w:val="00DE5651"/>
    <w:rsid w:val="00DE56BA"/>
    <w:rsid w:val="00DF19D1"/>
    <w:rsid w:val="00DF5B62"/>
    <w:rsid w:val="00DF7074"/>
    <w:rsid w:val="00E00139"/>
    <w:rsid w:val="00E0309B"/>
    <w:rsid w:val="00E05F6C"/>
    <w:rsid w:val="00E0653B"/>
    <w:rsid w:val="00E066FB"/>
    <w:rsid w:val="00E11364"/>
    <w:rsid w:val="00E206A6"/>
    <w:rsid w:val="00E27066"/>
    <w:rsid w:val="00E33248"/>
    <w:rsid w:val="00E3764D"/>
    <w:rsid w:val="00E37BBC"/>
    <w:rsid w:val="00E414C2"/>
    <w:rsid w:val="00E44D46"/>
    <w:rsid w:val="00E44F47"/>
    <w:rsid w:val="00E4724F"/>
    <w:rsid w:val="00E4727F"/>
    <w:rsid w:val="00E50985"/>
    <w:rsid w:val="00E50EB0"/>
    <w:rsid w:val="00E5428E"/>
    <w:rsid w:val="00E5446C"/>
    <w:rsid w:val="00E6238C"/>
    <w:rsid w:val="00E649F9"/>
    <w:rsid w:val="00E65D5A"/>
    <w:rsid w:val="00E67DAD"/>
    <w:rsid w:val="00E67E45"/>
    <w:rsid w:val="00E72B04"/>
    <w:rsid w:val="00E73D65"/>
    <w:rsid w:val="00E76324"/>
    <w:rsid w:val="00E77B91"/>
    <w:rsid w:val="00E869C2"/>
    <w:rsid w:val="00E87A1B"/>
    <w:rsid w:val="00E87D4D"/>
    <w:rsid w:val="00E916F1"/>
    <w:rsid w:val="00E9351F"/>
    <w:rsid w:val="00E94897"/>
    <w:rsid w:val="00E9541A"/>
    <w:rsid w:val="00EA51DB"/>
    <w:rsid w:val="00EA64F2"/>
    <w:rsid w:val="00EA6EE4"/>
    <w:rsid w:val="00EB486B"/>
    <w:rsid w:val="00EB5087"/>
    <w:rsid w:val="00EB7373"/>
    <w:rsid w:val="00EC0932"/>
    <w:rsid w:val="00EC3C7C"/>
    <w:rsid w:val="00EC3DD4"/>
    <w:rsid w:val="00EC6601"/>
    <w:rsid w:val="00EC6EAB"/>
    <w:rsid w:val="00ED7777"/>
    <w:rsid w:val="00EE1485"/>
    <w:rsid w:val="00EE2641"/>
    <w:rsid w:val="00EF2DE5"/>
    <w:rsid w:val="00EF3F63"/>
    <w:rsid w:val="00EF48EB"/>
    <w:rsid w:val="00F024D3"/>
    <w:rsid w:val="00F03160"/>
    <w:rsid w:val="00F04F75"/>
    <w:rsid w:val="00F10265"/>
    <w:rsid w:val="00F16DFB"/>
    <w:rsid w:val="00F21F56"/>
    <w:rsid w:val="00F23C3F"/>
    <w:rsid w:val="00F30013"/>
    <w:rsid w:val="00F35EA8"/>
    <w:rsid w:val="00F36ABE"/>
    <w:rsid w:val="00F36B1A"/>
    <w:rsid w:val="00F37070"/>
    <w:rsid w:val="00F4400F"/>
    <w:rsid w:val="00F441DF"/>
    <w:rsid w:val="00F45113"/>
    <w:rsid w:val="00F45137"/>
    <w:rsid w:val="00F472B6"/>
    <w:rsid w:val="00F500CD"/>
    <w:rsid w:val="00F53485"/>
    <w:rsid w:val="00F5794A"/>
    <w:rsid w:val="00F608D9"/>
    <w:rsid w:val="00F62DF4"/>
    <w:rsid w:val="00F721DB"/>
    <w:rsid w:val="00F72E65"/>
    <w:rsid w:val="00F75F30"/>
    <w:rsid w:val="00F82EE2"/>
    <w:rsid w:val="00F83EC6"/>
    <w:rsid w:val="00F901FD"/>
    <w:rsid w:val="00F926DA"/>
    <w:rsid w:val="00F940B8"/>
    <w:rsid w:val="00FA0447"/>
    <w:rsid w:val="00FA268B"/>
    <w:rsid w:val="00FA6FEB"/>
    <w:rsid w:val="00FA7E76"/>
    <w:rsid w:val="00FB43B5"/>
    <w:rsid w:val="00FB6F06"/>
    <w:rsid w:val="00FB7767"/>
    <w:rsid w:val="00FC16B7"/>
    <w:rsid w:val="00FC3778"/>
    <w:rsid w:val="00FC4182"/>
    <w:rsid w:val="00FC5417"/>
    <w:rsid w:val="00FC73C0"/>
    <w:rsid w:val="00FD4ACC"/>
    <w:rsid w:val="00FE1971"/>
    <w:rsid w:val="00FE3306"/>
    <w:rsid w:val="00FE46E7"/>
    <w:rsid w:val="00FE7FC8"/>
    <w:rsid w:val="00FF1142"/>
    <w:rsid w:val="00FF1C50"/>
    <w:rsid w:val="00FF24E9"/>
    <w:rsid w:val="00FF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CA753"/>
  <w15:chartTrackingRefBased/>
  <w15:docId w15:val="{541D236A-52DD-4ED3-8B40-B73FA34D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57F0F"/>
    <w:pPr>
      <w:tabs>
        <w:tab w:val="left" w:pos="504"/>
      </w:tabs>
      <w:spacing w:after="240" w:line="240" w:lineRule="auto"/>
      <w:ind w:left="504" w:hanging="504"/>
    </w:pPr>
  </w:style>
  <w:style w:type="table" w:styleId="TableGrid">
    <w:name w:val="Table Grid"/>
    <w:basedOn w:val="TableNormal"/>
    <w:uiPriority w:val="39"/>
    <w:rsid w:val="0024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3523"/>
    <w:rPr>
      <w:sz w:val="16"/>
      <w:szCs w:val="16"/>
    </w:rPr>
  </w:style>
  <w:style w:type="paragraph" w:styleId="CommentText">
    <w:name w:val="annotation text"/>
    <w:basedOn w:val="Normal"/>
    <w:link w:val="CommentTextChar"/>
    <w:uiPriority w:val="99"/>
    <w:unhideWhenUsed/>
    <w:rsid w:val="00723523"/>
    <w:pPr>
      <w:spacing w:line="240" w:lineRule="auto"/>
    </w:pPr>
    <w:rPr>
      <w:sz w:val="20"/>
      <w:szCs w:val="20"/>
    </w:rPr>
  </w:style>
  <w:style w:type="character" w:customStyle="1" w:styleId="CommentTextChar">
    <w:name w:val="Comment Text Char"/>
    <w:basedOn w:val="DefaultParagraphFont"/>
    <w:link w:val="CommentText"/>
    <w:uiPriority w:val="99"/>
    <w:rsid w:val="00723523"/>
    <w:rPr>
      <w:sz w:val="20"/>
      <w:szCs w:val="20"/>
    </w:rPr>
  </w:style>
  <w:style w:type="paragraph" w:styleId="CommentSubject">
    <w:name w:val="annotation subject"/>
    <w:basedOn w:val="CommentText"/>
    <w:next w:val="CommentText"/>
    <w:link w:val="CommentSubjectChar"/>
    <w:uiPriority w:val="99"/>
    <w:semiHidden/>
    <w:unhideWhenUsed/>
    <w:rsid w:val="00723523"/>
    <w:rPr>
      <w:b/>
      <w:bCs/>
    </w:rPr>
  </w:style>
  <w:style w:type="character" w:customStyle="1" w:styleId="CommentSubjectChar">
    <w:name w:val="Comment Subject Char"/>
    <w:basedOn w:val="CommentTextChar"/>
    <w:link w:val="CommentSubject"/>
    <w:uiPriority w:val="99"/>
    <w:semiHidden/>
    <w:rsid w:val="00723523"/>
    <w:rPr>
      <w:b/>
      <w:bCs/>
      <w:sz w:val="20"/>
      <w:szCs w:val="20"/>
    </w:rPr>
  </w:style>
  <w:style w:type="paragraph" w:styleId="BalloonText">
    <w:name w:val="Balloon Text"/>
    <w:basedOn w:val="Normal"/>
    <w:link w:val="BalloonTextChar"/>
    <w:uiPriority w:val="99"/>
    <w:semiHidden/>
    <w:unhideWhenUsed/>
    <w:rsid w:val="00723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523"/>
    <w:rPr>
      <w:rFonts w:ascii="Segoe UI" w:hAnsi="Segoe UI" w:cs="Segoe UI"/>
      <w:sz w:val="18"/>
      <w:szCs w:val="18"/>
    </w:rPr>
  </w:style>
  <w:style w:type="character" w:styleId="Hyperlink">
    <w:name w:val="Hyperlink"/>
    <w:basedOn w:val="DefaultParagraphFont"/>
    <w:uiPriority w:val="99"/>
    <w:unhideWhenUsed/>
    <w:rsid w:val="002722E0"/>
    <w:rPr>
      <w:color w:val="0563C1" w:themeColor="hyperlink"/>
      <w:u w:val="single"/>
    </w:rPr>
  </w:style>
  <w:style w:type="paragraph" w:styleId="NormalWeb">
    <w:name w:val="Normal (Web)"/>
    <w:basedOn w:val="Normal"/>
    <w:uiPriority w:val="99"/>
    <w:unhideWhenUsed/>
    <w:rsid w:val="00A61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E0E46"/>
    <w:rPr>
      <w:color w:val="954F72" w:themeColor="followedHyperlink"/>
      <w:u w:val="single"/>
    </w:rPr>
  </w:style>
  <w:style w:type="paragraph" w:styleId="Revision">
    <w:name w:val="Revision"/>
    <w:hidden/>
    <w:uiPriority w:val="99"/>
    <w:semiHidden/>
    <w:rsid w:val="00756724"/>
    <w:pPr>
      <w:spacing w:after="0" w:line="240" w:lineRule="auto"/>
    </w:pPr>
  </w:style>
  <w:style w:type="character" w:styleId="PlaceholderText">
    <w:name w:val="Placeholder Text"/>
    <w:basedOn w:val="DefaultParagraphFont"/>
    <w:uiPriority w:val="99"/>
    <w:semiHidden/>
    <w:rsid w:val="00CE1F97"/>
    <w:rPr>
      <w:color w:val="808080"/>
    </w:rPr>
  </w:style>
  <w:style w:type="character" w:styleId="Emphasis">
    <w:name w:val="Emphasis"/>
    <w:basedOn w:val="DefaultParagraphFont"/>
    <w:uiPriority w:val="20"/>
    <w:qFormat/>
    <w:rsid w:val="000D7DF4"/>
    <w:rPr>
      <w:i/>
      <w:iCs/>
    </w:rPr>
  </w:style>
  <w:style w:type="character" w:styleId="LineNumber">
    <w:name w:val="line number"/>
    <w:basedOn w:val="DefaultParagraphFont"/>
    <w:uiPriority w:val="99"/>
    <w:semiHidden/>
    <w:unhideWhenUsed/>
    <w:rsid w:val="00525B92"/>
  </w:style>
  <w:style w:type="paragraph" w:styleId="Header">
    <w:name w:val="header"/>
    <w:basedOn w:val="Normal"/>
    <w:link w:val="HeaderChar"/>
    <w:uiPriority w:val="99"/>
    <w:unhideWhenUsed/>
    <w:rsid w:val="00525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B92"/>
  </w:style>
  <w:style w:type="paragraph" w:styleId="Footer">
    <w:name w:val="footer"/>
    <w:basedOn w:val="Normal"/>
    <w:link w:val="FooterChar"/>
    <w:uiPriority w:val="99"/>
    <w:unhideWhenUsed/>
    <w:rsid w:val="00525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B92"/>
  </w:style>
  <w:style w:type="paragraph" w:customStyle="1" w:styleId="ColorfulShading-Accent31">
    <w:name w:val="Colorful Shading - Accent 31"/>
    <w:basedOn w:val="Normal"/>
    <w:uiPriority w:val="34"/>
    <w:qFormat/>
    <w:rsid w:val="006E15E8"/>
    <w:pPr>
      <w:spacing w:after="200" w:line="276" w:lineRule="auto"/>
      <w:ind w:left="720"/>
      <w:contextualSpacing/>
    </w:pPr>
    <w:rPr>
      <w:rFonts w:ascii="Calibri" w:eastAsia="Calibri" w:hAnsi="Calibri" w:cs="Times New Roman"/>
    </w:rPr>
  </w:style>
  <w:style w:type="paragraph" w:customStyle="1" w:styleId="EndNoteBibliographyTitle">
    <w:name w:val="EndNote Bibliography Title"/>
    <w:basedOn w:val="Normal"/>
    <w:link w:val="EndNoteBibliographyTitleChar"/>
    <w:rsid w:val="000277D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277D1"/>
    <w:rPr>
      <w:rFonts w:ascii="Calibri" w:hAnsi="Calibri" w:cs="Calibri"/>
      <w:noProof/>
    </w:rPr>
  </w:style>
  <w:style w:type="paragraph" w:customStyle="1" w:styleId="EndNoteBibliography">
    <w:name w:val="EndNote Bibliography"/>
    <w:basedOn w:val="Normal"/>
    <w:link w:val="EndNoteBibliographyChar"/>
    <w:rsid w:val="000277D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277D1"/>
    <w:rPr>
      <w:rFonts w:ascii="Calibri" w:hAnsi="Calibri" w:cs="Calibri"/>
      <w:noProof/>
    </w:rPr>
  </w:style>
  <w:style w:type="character" w:customStyle="1" w:styleId="hgkelc">
    <w:name w:val="hgkelc"/>
    <w:basedOn w:val="DefaultParagraphFont"/>
    <w:rsid w:val="0076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5055">
      <w:bodyDiv w:val="1"/>
      <w:marLeft w:val="0"/>
      <w:marRight w:val="0"/>
      <w:marTop w:val="0"/>
      <w:marBottom w:val="0"/>
      <w:divBdr>
        <w:top w:val="none" w:sz="0" w:space="0" w:color="auto"/>
        <w:left w:val="none" w:sz="0" w:space="0" w:color="auto"/>
        <w:bottom w:val="none" w:sz="0" w:space="0" w:color="auto"/>
        <w:right w:val="none" w:sz="0" w:space="0" w:color="auto"/>
      </w:divBdr>
    </w:div>
    <w:div w:id="68427941">
      <w:bodyDiv w:val="1"/>
      <w:marLeft w:val="0"/>
      <w:marRight w:val="0"/>
      <w:marTop w:val="0"/>
      <w:marBottom w:val="0"/>
      <w:divBdr>
        <w:top w:val="none" w:sz="0" w:space="0" w:color="auto"/>
        <w:left w:val="none" w:sz="0" w:space="0" w:color="auto"/>
        <w:bottom w:val="none" w:sz="0" w:space="0" w:color="auto"/>
        <w:right w:val="none" w:sz="0" w:space="0" w:color="auto"/>
      </w:divBdr>
      <w:divsChild>
        <w:div w:id="1950505039">
          <w:marLeft w:val="0"/>
          <w:marRight w:val="0"/>
          <w:marTop w:val="0"/>
          <w:marBottom w:val="0"/>
          <w:divBdr>
            <w:top w:val="none" w:sz="0" w:space="0" w:color="auto"/>
            <w:left w:val="none" w:sz="0" w:space="0" w:color="auto"/>
            <w:bottom w:val="none" w:sz="0" w:space="0" w:color="auto"/>
            <w:right w:val="none" w:sz="0" w:space="0" w:color="auto"/>
          </w:divBdr>
          <w:divsChild>
            <w:div w:id="1997414799">
              <w:marLeft w:val="0"/>
              <w:marRight w:val="0"/>
              <w:marTop w:val="0"/>
              <w:marBottom w:val="0"/>
              <w:divBdr>
                <w:top w:val="none" w:sz="0" w:space="0" w:color="auto"/>
                <w:left w:val="none" w:sz="0" w:space="0" w:color="auto"/>
                <w:bottom w:val="none" w:sz="0" w:space="0" w:color="auto"/>
                <w:right w:val="none" w:sz="0" w:space="0" w:color="auto"/>
              </w:divBdr>
              <w:divsChild>
                <w:div w:id="1986812527">
                  <w:marLeft w:val="0"/>
                  <w:marRight w:val="0"/>
                  <w:marTop w:val="0"/>
                  <w:marBottom w:val="0"/>
                  <w:divBdr>
                    <w:top w:val="none" w:sz="0" w:space="0" w:color="auto"/>
                    <w:left w:val="none" w:sz="0" w:space="0" w:color="auto"/>
                    <w:bottom w:val="none" w:sz="0" w:space="0" w:color="auto"/>
                    <w:right w:val="none" w:sz="0" w:space="0" w:color="auto"/>
                  </w:divBdr>
                  <w:divsChild>
                    <w:div w:id="1167745991">
                      <w:marLeft w:val="0"/>
                      <w:marRight w:val="0"/>
                      <w:marTop w:val="0"/>
                      <w:marBottom w:val="0"/>
                      <w:divBdr>
                        <w:top w:val="none" w:sz="0" w:space="0" w:color="auto"/>
                        <w:left w:val="none" w:sz="0" w:space="0" w:color="auto"/>
                        <w:bottom w:val="none" w:sz="0" w:space="0" w:color="auto"/>
                        <w:right w:val="none" w:sz="0" w:space="0" w:color="auto"/>
                      </w:divBdr>
                      <w:divsChild>
                        <w:div w:id="115947539">
                          <w:marLeft w:val="0"/>
                          <w:marRight w:val="0"/>
                          <w:marTop w:val="0"/>
                          <w:marBottom w:val="0"/>
                          <w:divBdr>
                            <w:top w:val="none" w:sz="0" w:space="0" w:color="auto"/>
                            <w:left w:val="none" w:sz="0" w:space="0" w:color="auto"/>
                            <w:bottom w:val="none" w:sz="0" w:space="0" w:color="auto"/>
                            <w:right w:val="none" w:sz="0" w:space="0" w:color="auto"/>
                          </w:divBdr>
                          <w:divsChild>
                            <w:div w:id="1611400883">
                              <w:marLeft w:val="0"/>
                              <w:marRight w:val="0"/>
                              <w:marTop w:val="0"/>
                              <w:marBottom w:val="0"/>
                              <w:divBdr>
                                <w:top w:val="none" w:sz="0" w:space="0" w:color="auto"/>
                                <w:left w:val="none" w:sz="0" w:space="0" w:color="auto"/>
                                <w:bottom w:val="none" w:sz="0" w:space="0" w:color="auto"/>
                                <w:right w:val="none" w:sz="0" w:space="0" w:color="auto"/>
                              </w:divBdr>
                              <w:divsChild>
                                <w:div w:id="1579244469">
                                  <w:marLeft w:val="-225"/>
                                  <w:marRight w:val="-225"/>
                                  <w:marTop w:val="0"/>
                                  <w:marBottom w:val="0"/>
                                  <w:divBdr>
                                    <w:top w:val="none" w:sz="0" w:space="0" w:color="auto"/>
                                    <w:left w:val="none" w:sz="0" w:space="0" w:color="auto"/>
                                    <w:bottom w:val="none" w:sz="0" w:space="0" w:color="auto"/>
                                    <w:right w:val="none" w:sz="0" w:space="0" w:color="auto"/>
                                  </w:divBdr>
                                  <w:divsChild>
                                    <w:div w:id="34743211">
                                      <w:marLeft w:val="0"/>
                                      <w:marRight w:val="0"/>
                                      <w:marTop w:val="0"/>
                                      <w:marBottom w:val="0"/>
                                      <w:divBdr>
                                        <w:top w:val="none" w:sz="0" w:space="0" w:color="auto"/>
                                        <w:left w:val="none" w:sz="0" w:space="0" w:color="auto"/>
                                        <w:bottom w:val="none" w:sz="0" w:space="0" w:color="auto"/>
                                        <w:right w:val="none" w:sz="0" w:space="0" w:color="auto"/>
                                      </w:divBdr>
                                      <w:divsChild>
                                        <w:div w:id="548079013">
                                          <w:marLeft w:val="0"/>
                                          <w:marRight w:val="0"/>
                                          <w:marTop w:val="0"/>
                                          <w:marBottom w:val="0"/>
                                          <w:divBdr>
                                            <w:top w:val="none" w:sz="0" w:space="0" w:color="auto"/>
                                            <w:left w:val="none" w:sz="0" w:space="0" w:color="auto"/>
                                            <w:bottom w:val="none" w:sz="0" w:space="0" w:color="auto"/>
                                            <w:right w:val="none" w:sz="0" w:space="0" w:color="auto"/>
                                          </w:divBdr>
                                          <w:divsChild>
                                            <w:div w:id="755635729">
                                              <w:marLeft w:val="-225"/>
                                              <w:marRight w:val="-225"/>
                                              <w:marTop w:val="0"/>
                                              <w:marBottom w:val="0"/>
                                              <w:divBdr>
                                                <w:top w:val="none" w:sz="0" w:space="0" w:color="auto"/>
                                                <w:left w:val="none" w:sz="0" w:space="0" w:color="auto"/>
                                                <w:bottom w:val="none" w:sz="0" w:space="0" w:color="auto"/>
                                                <w:right w:val="none" w:sz="0" w:space="0" w:color="auto"/>
                                              </w:divBdr>
                                              <w:divsChild>
                                                <w:div w:id="1124737094">
                                                  <w:marLeft w:val="0"/>
                                                  <w:marRight w:val="0"/>
                                                  <w:marTop w:val="0"/>
                                                  <w:marBottom w:val="0"/>
                                                  <w:divBdr>
                                                    <w:top w:val="none" w:sz="0" w:space="0" w:color="auto"/>
                                                    <w:left w:val="none" w:sz="0" w:space="0" w:color="auto"/>
                                                    <w:bottom w:val="none" w:sz="0" w:space="0" w:color="auto"/>
                                                    <w:right w:val="none" w:sz="0" w:space="0" w:color="auto"/>
                                                  </w:divBdr>
                                                  <w:divsChild>
                                                    <w:div w:id="1216742205">
                                                      <w:marLeft w:val="0"/>
                                                      <w:marRight w:val="0"/>
                                                      <w:marTop w:val="0"/>
                                                      <w:marBottom w:val="270"/>
                                                      <w:divBdr>
                                                        <w:top w:val="none" w:sz="0" w:space="0" w:color="auto"/>
                                                        <w:left w:val="none" w:sz="0" w:space="0" w:color="auto"/>
                                                        <w:bottom w:val="none" w:sz="0" w:space="0" w:color="auto"/>
                                                        <w:right w:val="none" w:sz="0" w:space="0" w:color="auto"/>
                                                      </w:divBdr>
                                                      <w:divsChild>
                                                        <w:div w:id="215821560">
                                                          <w:marLeft w:val="0"/>
                                                          <w:marRight w:val="0"/>
                                                          <w:marTop w:val="0"/>
                                                          <w:marBottom w:val="0"/>
                                                          <w:divBdr>
                                                            <w:top w:val="none" w:sz="0" w:space="0" w:color="auto"/>
                                                            <w:left w:val="none" w:sz="0" w:space="0" w:color="auto"/>
                                                            <w:bottom w:val="none" w:sz="0" w:space="0" w:color="auto"/>
                                                            <w:right w:val="none" w:sz="0" w:space="0" w:color="auto"/>
                                                          </w:divBdr>
                                                          <w:divsChild>
                                                            <w:div w:id="1671449310">
                                                              <w:marLeft w:val="0"/>
                                                              <w:marRight w:val="0"/>
                                                              <w:marTop w:val="0"/>
                                                              <w:marBottom w:val="0"/>
                                                              <w:divBdr>
                                                                <w:top w:val="none" w:sz="0" w:space="0" w:color="auto"/>
                                                                <w:left w:val="none" w:sz="0" w:space="0" w:color="auto"/>
                                                                <w:bottom w:val="none" w:sz="0" w:space="0" w:color="auto"/>
                                                                <w:right w:val="none" w:sz="0" w:space="0" w:color="auto"/>
                                                              </w:divBdr>
                                                              <w:divsChild>
                                                                <w:div w:id="1215893344">
                                                                  <w:marLeft w:val="0"/>
                                                                  <w:marRight w:val="0"/>
                                                                  <w:marTop w:val="0"/>
                                                                  <w:marBottom w:val="0"/>
                                                                  <w:divBdr>
                                                                    <w:top w:val="none" w:sz="0" w:space="0" w:color="auto"/>
                                                                    <w:left w:val="none" w:sz="0" w:space="0" w:color="auto"/>
                                                                    <w:bottom w:val="none" w:sz="0" w:space="0" w:color="auto"/>
                                                                    <w:right w:val="none" w:sz="0" w:space="0" w:color="auto"/>
                                                                  </w:divBdr>
                                                                  <w:divsChild>
                                                                    <w:div w:id="27996038">
                                                                      <w:marLeft w:val="0"/>
                                                                      <w:marRight w:val="0"/>
                                                                      <w:marTop w:val="0"/>
                                                                      <w:marBottom w:val="0"/>
                                                                      <w:divBdr>
                                                                        <w:top w:val="none" w:sz="0" w:space="0" w:color="auto"/>
                                                                        <w:left w:val="none" w:sz="0" w:space="0" w:color="auto"/>
                                                                        <w:bottom w:val="none" w:sz="0" w:space="0" w:color="auto"/>
                                                                        <w:right w:val="none" w:sz="0" w:space="0" w:color="auto"/>
                                                                      </w:divBdr>
                                                                    </w:div>
                                                                  </w:divsChild>
                                                                </w:div>
                                                                <w:div w:id="781463025">
                                                                  <w:marLeft w:val="0"/>
                                                                  <w:marRight w:val="0"/>
                                                                  <w:marTop w:val="0"/>
                                                                  <w:marBottom w:val="0"/>
                                                                  <w:divBdr>
                                                                    <w:top w:val="none" w:sz="0" w:space="0" w:color="auto"/>
                                                                    <w:left w:val="none" w:sz="0" w:space="0" w:color="auto"/>
                                                                    <w:bottom w:val="none" w:sz="0" w:space="0" w:color="auto"/>
                                                                    <w:right w:val="none" w:sz="0" w:space="0" w:color="auto"/>
                                                                  </w:divBdr>
                                                                  <w:divsChild>
                                                                    <w:div w:id="1867793514">
                                                                      <w:marLeft w:val="0"/>
                                                                      <w:marRight w:val="0"/>
                                                                      <w:marTop w:val="0"/>
                                                                      <w:marBottom w:val="0"/>
                                                                      <w:divBdr>
                                                                        <w:top w:val="none" w:sz="0" w:space="0" w:color="auto"/>
                                                                        <w:left w:val="none" w:sz="0" w:space="0" w:color="auto"/>
                                                                        <w:bottom w:val="none" w:sz="0" w:space="0" w:color="auto"/>
                                                                        <w:right w:val="none" w:sz="0" w:space="0" w:color="auto"/>
                                                                      </w:divBdr>
                                                                    </w:div>
                                                                  </w:divsChild>
                                                                </w:div>
                                                                <w:div w:id="1754427140">
                                                                  <w:marLeft w:val="0"/>
                                                                  <w:marRight w:val="0"/>
                                                                  <w:marTop w:val="0"/>
                                                                  <w:marBottom w:val="0"/>
                                                                  <w:divBdr>
                                                                    <w:top w:val="none" w:sz="0" w:space="0" w:color="auto"/>
                                                                    <w:left w:val="none" w:sz="0" w:space="0" w:color="auto"/>
                                                                    <w:bottom w:val="none" w:sz="0" w:space="0" w:color="auto"/>
                                                                    <w:right w:val="none" w:sz="0" w:space="0" w:color="auto"/>
                                                                  </w:divBdr>
                                                                  <w:divsChild>
                                                                    <w:div w:id="2074043288">
                                                                      <w:marLeft w:val="0"/>
                                                                      <w:marRight w:val="0"/>
                                                                      <w:marTop w:val="0"/>
                                                                      <w:marBottom w:val="0"/>
                                                                      <w:divBdr>
                                                                        <w:top w:val="none" w:sz="0" w:space="0" w:color="auto"/>
                                                                        <w:left w:val="none" w:sz="0" w:space="0" w:color="auto"/>
                                                                        <w:bottom w:val="none" w:sz="0" w:space="0" w:color="auto"/>
                                                                        <w:right w:val="none" w:sz="0" w:space="0" w:color="auto"/>
                                                                      </w:divBdr>
                                                                    </w:div>
                                                                  </w:divsChild>
                                                                </w:div>
                                                                <w:div w:id="1373725581">
                                                                  <w:marLeft w:val="0"/>
                                                                  <w:marRight w:val="0"/>
                                                                  <w:marTop w:val="0"/>
                                                                  <w:marBottom w:val="0"/>
                                                                  <w:divBdr>
                                                                    <w:top w:val="none" w:sz="0" w:space="0" w:color="auto"/>
                                                                    <w:left w:val="none" w:sz="0" w:space="0" w:color="auto"/>
                                                                    <w:bottom w:val="none" w:sz="0" w:space="0" w:color="auto"/>
                                                                    <w:right w:val="none" w:sz="0" w:space="0" w:color="auto"/>
                                                                  </w:divBdr>
                                                                  <w:divsChild>
                                                                    <w:div w:id="420569604">
                                                                      <w:marLeft w:val="0"/>
                                                                      <w:marRight w:val="0"/>
                                                                      <w:marTop w:val="0"/>
                                                                      <w:marBottom w:val="0"/>
                                                                      <w:divBdr>
                                                                        <w:top w:val="none" w:sz="0" w:space="0" w:color="auto"/>
                                                                        <w:left w:val="none" w:sz="0" w:space="0" w:color="auto"/>
                                                                        <w:bottom w:val="none" w:sz="0" w:space="0" w:color="auto"/>
                                                                        <w:right w:val="none" w:sz="0" w:space="0" w:color="auto"/>
                                                                      </w:divBdr>
                                                                    </w:div>
                                                                  </w:divsChild>
                                                                </w:div>
                                                                <w:div w:id="1974478801">
                                                                  <w:marLeft w:val="0"/>
                                                                  <w:marRight w:val="0"/>
                                                                  <w:marTop w:val="0"/>
                                                                  <w:marBottom w:val="0"/>
                                                                  <w:divBdr>
                                                                    <w:top w:val="none" w:sz="0" w:space="0" w:color="auto"/>
                                                                    <w:left w:val="none" w:sz="0" w:space="0" w:color="auto"/>
                                                                    <w:bottom w:val="none" w:sz="0" w:space="0" w:color="auto"/>
                                                                    <w:right w:val="none" w:sz="0" w:space="0" w:color="auto"/>
                                                                  </w:divBdr>
                                                                  <w:divsChild>
                                                                    <w:div w:id="936720364">
                                                                      <w:marLeft w:val="0"/>
                                                                      <w:marRight w:val="0"/>
                                                                      <w:marTop w:val="0"/>
                                                                      <w:marBottom w:val="0"/>
                                                                      <w:divBdr>
                                                                        <w:top w:val="none" w:sz="0" w:space="0" w:color="auto"/>
                                                                        <w:left w:val="none" w:sz="0" w:space="0" w:color="auto"/>
                                                                        <w:bottom w:val="none" w:sz="0" w:space="0" w:color="auto"/>
                                                                        <w:right w:val="none" w:sz="0" w:space="0" w:color="auto"/>
                                                                      </w:divBdr>
                                                                    </w:div>
                                                                  </w:divsChild>
                                                                </w:div>
                                                                <w:div w:id="1370648570">
                                                                  <w:marLeft w:val="0"/>
                                                                  <w:marRight w:val="0"/>
                                                                  <w:marTop w:val="0"/>
                                                                  <w:marBottom w:val="0"/>
                                                                  <w:divBdr>
                                                                    <w:top w:val="none" w:sz="0" w:space="0" w:color="auto"/>
                                                                    <w:left w:val="none" w:sz="0" w:space="0" w:color="auto"/>
                                                                    <w:bottom w:val="none" w:sz="0" w:space="0" w:color="auto"/>
                                                                    <w:right w:val="none" w:sz="0" w:space="0" w:color="auto"/>
                                                                  </w:divBdr>
                                                                  <w:divsChild>
                                                                    <w:div w:id="374088662">
                                                                      <w:marLeft w:val="0"/>
                                                                      <w:marRight w:val="0"/>
                                                                      <w:marTop w:val="0"/>
                                                                      <w:marBottom w:val="0"/>
                                                                      <w:divBdr>
                                                                        <w:top w:val="none" w:sz="0" w:space="0" w:color="auto"/>
                                                                        <w:left w:val="none" w:sz="0" w:space="0" w:color="auto"/>
                                                                        <w:bottom w:val="none" w:sz="0" w:space="0" w:color="auto"/>
                                                                        <w:right w:val="none" w:sz="0" w:space="0" w:color="auto"/>
                                                                      </w:divBdr>
                                                                    </w:div>
                                                                  </w:divsChild>
                                                                </w:div>
                                                                <w:div w:id="553780857">
                                                                  <w:marLeft w:val="0"/>
                                                                  <w:marRight w:val="0"/>
                                                                  <w:marTop w:val="0"/>
                                                                  <w:marBottom w:val="0"/>
                                                                  <w:divBdr>
                                                                    <w:top w:val="none" w:sz="0" w:space="0" w:color="auto"/>
                                                                    <w:left w:val="none" w:sz="0" w:space="0" w:color="auto"/>
                                                                    <w:bottom w:val="none" w:sz="0" w:space="0" w:color="auto"/>
                                                                    <w:right w:val="none" w:sz="0" w:space="0" w:color="auto"/>
                                                                  </w:divBdr>
                                                                  <w:divsChild>
                                                                    <w:div w:id="165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910">
                                                              <w:marLeft w:val="0"/>
                                                              <w:marRight w:val="0"/>
                                                              <w:marTop w:val="0"/>
                                                              <w:marBottom w:val="0"/>
                                                              <w:divBdr>
                                                                <w:top w:val="none" w:sz="0" w:space="0" w:color="auto"/>
                                                                <w:left w:val="none" w:sz="0" w:space="0" w:color="auto"/>
                                                                <w:bottom w:val="none" w:sz="0" w:space="0" w:color="auto"/>
                                                                <w:right w:val="none" w:sz="0" w:space="0" w:color="auto"/>
                                                              </w:divBdr>
                                                              <w:divsChild>
                                                                <w:div w:id="336661285">
                                                                  <w:marLeft w:val="0"/>
                                                                  <w:marRight w:val="0"/>
                                                                  <w:marTop w:val="0"/>
                                                                  <w:marBottom w:val="0"/>
                                                                  <w:divBdr>
                                                                    <w:top w:val="none" w:sz="0" w:space="0" w:color="auto"/>
                                                                    <w:left w:val="none" w:sz="0" w:space="0" w:color="auto"/>
                                                                    <w:bottom w:val="none" w:sz="0" w:space="0" w:color="auto"/>
                                                                    <w:right w:val="none" w:sz="0" w:space="0" w:color="auto"/>
                                                                  </w:divBdr>
                                                                  <w:divsChild>
                                                                    <w:div w:id="76682552">
                                                                      <w:marLeft w:val="0"/>
                                                                      <w:marRight w:val="0"/>
                                                                      <w:marTop w:val="0"/>
                                                                      <w:marBottom w:val="0"/>
                                                                      <w:divBdr>
                                                                        <w:top w:val="none" w:sz="0" w:space="0" w:color="auto"/>
                                                                        <w:left w:val="none" w:sz="0" w:space="0" w:color="auto"/>
                                                                        <w:bottom w:val="none" w:sz="0" w:space="0" w:color="auto"/>
                                                                        <w:right w:val="none" w:sz="0" w:space="0" w:color="auto"/>
                                                                      </w:divBdr>
                                                                      <w:divsChild>
                                                                        <w:div w:id="435447378">
                                                                          <w:marLeft w:val="0"/>
                                                                          <w:marRight w:val="0"/>
                                                                          <w:marTop w:val="0"/>
                                                                          <w:marBottom w:val="0"/>
                                                                          <w:divBdr>
                                                                            <w:top w:val="none" w:sz="0" w:space="0" w:color="auto"/>
                                                                            <w:left w:val="none" w:sz="0" w:space="0" w:color="auto"/>
                                                                            <w:bottom w:val="none" w:sz="0" w:space="0" w:color="auto"/>
                                                                            <w:right w:val="none" w:sz="0" w:space="0" w:color="auto"/>
                                                                          </w:divBdr>
                                                                          <w:divsChild>
                                                                            <w:div w:id="1213880884">
                                                                              <w:marLeft w:val="0"/>
                                                                              <w:marRight w:val="0"/>
                                                                              <w:marTop w:val="0"/>
                                                                              <w:marBottom w:val="0"/>
                                                                              <w:divBdr>
                                                                                <w:top w:val="none" w:sz="0" w:space="0" w:color="auto"/>
                                                                                <w:left w:val="none" w:sz="0" w:space="0" w:color="auto"/>
                                                                                <w:bottom w:val="none" w:sz="0" w:space="0" w:color="auto"/>
                                                                                <w:right w:val="none" w:sz="0" w:space="0" w:color="auto"/>
                                                                              </w:divBdr>
                                                                            </w:div>
                                                                          </w:divsChild>
                                                                        </w:div>
                                                                        <w:div w:id="608581479">
                                                                          <w:marLeft w:val="0"/>
                                                                          <w:marRight w:val="0"/>
                                                                          <w:marTop w:val="0"/>
                                                                          <w:marBottom w:val="0"/>
                                                                          <w:divBdr>
                                                                            <w:top w:val="none" w:sz="0" w:space="0" w:color="auto"/>
                                                                            <w:left w:val="none" w:sz="0" w:space="0" w:color="auto"/>
                                                                            <w:bottom w:val="none" w:sz="0" w:space="0" w:color="auto"/>
                                                                            <w:right w:val="none" w:sz="0" w:space="0" w:color="auto"/>
                                                                          </w:divBdr>
                                                                          <w:divsChild>
                                                                            <w:div w:id="282621100">
                                                                              <w:marLeft w:val="0"/>
                                                                              <w:marRight w:val="0"/>
                                                                              <w:marTop w:val="0"/>
                                                                              <w:marBottom w:val="0"/>
                                                                              <w:divBdr>
                                                                                <w:top w:val="none" w:sz="0" w:space="0" w:color="auto"/>
                                                                                <w:left w:val="none" w:sz="0" w:space="0" w:color="auto"/>
                                                                                <w:bottom w:val="none" w:sz="0" w:space="0" w:color="auto"/>
                                                                                <w:right w:val="none" w:sz="0" w:space="0" w:color="auto"/>
                                                                              </w:divBdr>
                                                                            </w:div>
                                                                          </w:divsChild>
                                                                        </w:div>
                                                                        <w:div w:id="1360819523">
                                                                          <w:marLeft w:val="0"/>
                                                                          <w:marRight w:val="0"/>
                                                                          <w:marTop w:val="0"/>
                                                                          <w:marBottom w:val="0"/>
                                                                          <w:divBdr>
                                                                            <w:top w:val="none" w:sz="0" w:space="0" w:color="auto"/>
                                                                            <w:left w:val="none" w:sz="0" w:space="0" w:color="auto"/>
                                                                            <w:bottom w:val="none" w:sz="0" w:space="0" w:color="auto"/>
                                                                            <w:right w:val="none" w:sz="0" w:space="0" w:color="auto"/>
                                                                          </w:divBdr>
                                                                          <w:divsChild>
                                                                            <w:div w:id="1926839406">
                                                                              <w:marLeft w:val="0"/>
                                                                              <w:marRight w:val="0"/>
                                                                              <w:marTop w:val="0"/>
                                                                              <w:marBottom w:val="0"/>
                                                                              <w:divBdr>
                                                                                <w:top w:val="none" w:sz="0" w:space="0" w:color="auto"/>
                                                                                <w:left w:val="none" w:sz="0" w:space="0" w:color="auto"/>
                                                                                <w:bottom w:val="none" w:sz="0" w:space="0" w:color="auto"/>
                                                                                <w:right w:val="none" w:sz="0" w:space="0" w:color="auto"/>
                                                                              </w:divBdr>
                                                                            </w:div>
                                                                          </w:divsChild>
                                                                        </w:div>
                                                                        <w:div w:id="391005390">
                                                                          <w:marLeft w:val="0"/>
                                                                          <w:marRight w:val="0"/>
                                                                          <w:marTop w:val="0"/>
                                                                          <w:marBottom w:val="0"/>
                                                                          <w:divBdr>
                                                                            <w:top w:val="none" w:sz="0" w:space="0" w:color="auto"/>
                                                                            <w:left w:val="none" w:sz="0" w:space="0" w:color="auto"/>
                                                                            <w:bottom w:val="none" w:sz="0" w:space="0" w:color="auto"/>
                                                                            <w:right w:val="none" w:sz="0" w:space="0" w:color="auto"/>
                                                                          </w:divBdr>
                                                                          <w:divsChild>
                                                                            <w:div w:id="768357537">
                                                                              <w:marLeft w:val="0"/>
                                                                              <w:marRight w:val="0"/>
                                                                              <w:marTop w:val="0"/>
                                                                              <w:marBottom w:val="0"/>
                                                                              <w:divBdr>
                                                                                <w:top w:val="none" w:sz="0" w:space="0" w:color="auto"/>
                                                                                <w:left w:val="none" w:sz="0" w:space="0" w:color="auto"/>
                                                                                <w:bottom w:val="none" w:sz="0" w:space="0" w:color="auto"/>
                                                                                <w:right w:val="none" w:sz="0" w:space="0" w:color="auto"/>
                                                                              </w:divBdr>
                                                                            </w:div>
                                                                          </w:divsChild>
                                                                        </w:div>
                                                                        <w:div w:id="566038521">
                                                                          <w:marLeft w:val="0"/>
                                                                          <w:marRight w:val="0"/>
                                                                          <w:marTop w:val="0"/>
                                                                          <w:marBottom w:val="0"/>
                                                                          <w:divBdr>
                                                                            <w:top w:val="none" w:sz="0" w:space="0" w:color="auto"/>
                                                                            <w:left w:val="none" w:sz="0" w:space="0" w:color="auto"/>
                                                                            <w:bottom w:val="none" w:sz="0" w:space="0" w:color="auto"/>
                                                                            <w:right w:val="none" w:sz="0" w:space="0" w:color="auto"/>
                                                                          </w:divBdr>
                                                                          <w:divsChild>
                                                                            <w:div w:id="1102803833">
                                                                              <w:marLeft w:val="0"/>
                                                                              <w:marRight w:val="0"/>
                                                                              <w:marTop w:val="0"/>
                                                                              <w:marBottom w:val="0"/>
                                                                              <w:divBdr>
                                                                                <w:top w:val="none" w:sz="0" w:space="0" w:color="auto"/>
                                                                                <w:left w:val="none" w:sz="0" w:space="0" w:color="auto"/>
                                                                                <w:bottom w:val="none" w:sz="0" w:space="0" w:color="auto"/>
                                                                                <w:right w:val="none" w:sz="0" w:space="0" w:color="auto"/>
                                                                              </w:divBdr>
                                                                            </w:div>
                                                                          </w:divsChild>
                                                                        </w:div>
                                                                        <w:div w:id="1508134393">
                                                                          <w:marLeft w:val="0"/>
                                                                          <w:marRight w:val="0"/>
                                                                          <w:marTop w:val="0"/>
                                                                          <w:marBottom w:val="0"/>
                                                                          <w:divBdr>
                                                                            <w:top w:val="none" w:sz="0" w:space="0" w:color="auto"/>
                                                                            <w:left w:val="none" w:sz="0" w:space="0" w:color="auto"/>
                                                                            <w:bottom w:val="none" w:sz="0" w:space="0" w:color="auto"/>
                                                                            <w:right w:val="none" w:sz="0" w:space="0" w:color="auto"/>
                                                                          </w:divBdr>
                                                                          <w:divsChild>
                                                                            <w:div w:id="1431778774">
                                                                              <w:marLeft w:val="0"/>
                                                                              <w:marRight w:val="0"/>
                                                                              <w:marTop w:val="0"/>
                                                                              <w:marBottom w:val="0"/>
                                                                              <w:divBdr>
                                                                                <w:top w:val="none" w:sz="0" w:space="0" w:color="auto"/>
                                                                                <w:left w:val="none" w:sz="0" w:space="0" w:color="auto"/>
                                                                                <w:bottom w:val="none" w:sz="0" w:space="0" w:color="auto"/>
                                                                                <w:right w:val="none" w:sz="0" w:space="0" w:color="auto"/>
                                                                              </w:divBdr>
                                                                            </w:div>
                                                                          </w:divsChild>
                                                                        </w:div>
                                                                        <w:div w:id="557058732">
                                                                          <w:marLeft w:val="0"/>
                                                                          <w:marRight w:val="0"/>
                                                                          <w:marTop w:val="0"/>
                                                                          <w:marBottom w:val="0"/>
                                                                          <w:divBdr>
                                                                            <w:top w:val="none" w:sz="0" w:space="0" w:color="auto"/>
                                                                            <w:left w:val="none" w:sz="0" w:space="0" w:color="auto"/>
                                                                            <w:bottom w:val="none" w:sz="0" w:space="0" w:color="auto"/>
                                                                            <w:right w:val="none" w:sz="0" w:space="0" w:color="auto"/>
                                                                          </w:divBdr>
                                                                          <w:divsChild>
                                                                            <w:div w:id="17732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32877">
                                                              <w:marLeft w:val="0"/>
                                                              <w:marRight w:val="0"/>
                                                              <w:marTop w:val="225"/>
                                                              <w:marBottom w:val="225"/>
                                                              <w:divBdr>
                                                                <w:top w:val="none" w:sz="0" w:space="0" w:color="auto"/>
                                                                <w:left w:val="none" w:sz="0" w:space="0" w:color="auto"/>
                                                                <w:bottom w:val="none" w:sz="0" w:space="0" w:color="auto"/>
                                                                <w:right w:val="none" w:sz="0" w:space="0" w:color="auto"/>
                                                              </w:divBdr>
                                                              <w:divsChild>
                                                                <w:div w:id="2099791938">
                                                                  <w:marLeft w:val="0"/>
                                                                  <w:marRight w:val="0"/>
                                                                  <w:marTop w:val="0"/>
                                                                  <w:marBottom w:val="0"/>
                                                                  <w:divBdr>
                                                                    <w:top w:val="none" w:sz="0" w:space="0" w:color="auto"/>
                                                                    <w:left w:val="none" w:sz="0" w:space="0" w:color="auto"/>
                                                                    <w:bottom w:val="none" w:sz="0" w:space="0" w:color="auto"/>
                                                                    <w:right w:val="none" w:sz="0" w:space="0" w:color="auto"/>
                                                                  </w:divBdr>
                                                                </w:div>
                                                                <w:div w:id="4848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849234">
      <w:bodyDiv w:val="1"/>
      <w:marLeft w:val="0"/>
      <w:marRight w:val="0"/>
      <w:marTop w:val="0"/>
      <w:marBottom w:val="0"/>
      <w:divBdr>
        <w:top w:val="none" w:sz="0" w:space="0" w:color="auto"/>
        <w:left w:val="none" w:sz="0" w:space="0" w:color="auto"/>
        <w:bottom w:val="none" w:sz="0" w:space="0" w:color="auto"/>
        <w:right w:val="none" w:sz="0" w:space="0" w:color="auto"/>
      </w:divBdr>
    </w:div>
    <w:div w:id="146216423">
      <w:bodyDiv w:val="1"/>
      <w:marLeft w:val="0"/>
      <w:marRight w:val="0"/>
      <w:marTop w:val="0"/>
      <w:marBottom w:val="0"/>
      <w:divBdr>
        <w:top w:val="none" w:sz="0" w:space="0" w:color="auto"/>
        <w:left w:val="none" w:sz="0" w:space="0" w:color="auto"/>
        <w:bottom w:val="none" w:sz="0" w:space="0" w:color="auto"/>
        <w:right w:val="none" w:sz="0" w:space="0" w:color="auto"/>
      </w:divBdr>
    </w:div>
    <w:div w:id="174224271">
      <w:bodyDiv w:val="1"/>
      <w:marLeft w:val="0"/>
      <w:marRight w:val="0"/>
      <w:marTop w:val="0"/>
      <w:marBottom w:val="0"/>
      <w:divBdr>
        <w:top w:val="none" w:sz="0" w:space="0" w:color="auto"/>
        <w:left w:val="none" w:sz="0" w:space="0" w:color="auto"/>
        <w:bottom w:val="none" w:sz="0" w:space="0" w:color="auto"/>
        <w:right w:val="none" w:sz="0" w:space="0" w:color="auto"/>
      </w:divBdr>
    </w:div>
    <w:div w:id="258954929">
      <w:bodyDiv w:val="1"/>
      <w:marLeft w:val="0"/>
      <w:marRight w:val="0"/>
      <w:marTop w:val="0"/>
      <w:marBottom w:val="0"/>
      <w:divBdr>
        <w:top w:val="none" w:sz="0" w:space="0" w:color="auto"/>
        <w:left w:val="none" w:sz="0" w:space="0" w:color="auto"/>
        <w:bottom w:val="none" w:sz="0" w:space="0" w:color="auto"/>
        <w:right w:val="none" w:sz="0" w:space="0" w:color="auto"/>
      </w:divBdr>
    </w:div>
    <w:div w:id="268440894">
      <w:bodyDiv w:val="1"/>
      <w:marLeft w:val="0"/>
      <w:marRight w:val="0"/>
      <w:marTop w:val="0"/>
      <w:marBottom w:val="0"/>
      <w:divBdr>
        <w:top w:val="none" w:sz="0" w:space="0" w:color="auto"/>
        <w:left w:val="none" w:sz="0" w:space="0" w:color="auto"/>
        <w:bottom w:val="none" w:sz="0" w:space="0" w:color="auto"/>
        <w:right w:val="none" w:sz="0" w:space="0" w:color="auto"/>
      </w:divBdr>
    </w:div>
    <w:div w:id="319425157">
      <w:bodyDiv w:val="1"/>
      <w:marLeft w:val="0"/>
      <w:marRight w:val="0"/>
      <w:marTop w:val="0"/>
      <w:marBottom w:val="0"/>
      <w:divBdr>
        <w:top w:val="none" w:sz="0" w:space="0" w:color="auto"/>
        <w:left w:val="none" w:sz="0" w:space="0" w:color="auto"/>
        <w:bottom w:val="none" w:sz="0" w:space="0" w:color="auto"/>
        <w:right w:val="none" w:sz="0" w:space="0" w:color="auto"/>
      </w:divBdr>
    </w:div>
    <w:div w:id="389426549">
      <w:bodyDiv w:val="1"/>
      <w:marLeft w:val="0"/>
      <w:marRight w:val="0"/>
      <w:marTop w:val="0"/>
      <w:marBottom w:val="0"/>
      <w:divBdr>
        <w:top w:val="none" w:sz="0" w:space="0" w:color="auto"/>
        <w:left w:val="none" w:sz="0" w:space="0" w:color="auto"/>
        <w:bottom w:val="none" w:sz="0" w:space="0" w:color="auto"/>
        <w:right w:val="none" w:sz="0" w:space="0" w:color="auto"/>
      </w:divBdr>
    </w:div>
    <w:div w:id="433331690">
      <w:bodyDiv w:val="1"/>
      <w:marLeft w:val="0"/>
      <w:marRight w:val="0"/>
      <w:marTop w:val="0"/>
      <w:marBottom w:val="0"/>
      <w:divBdr>
        <w:top w:val="none" w:sz="0" w:space="0" w:color="auto"/>
        <w:left w:val="none" w:sz="0" w:space="0" w:color="auto"/>
        <w:bottom w:val="none" w:sz="0" w:space="0" w:color="auto"/>
        <w:right w:val="none" w:sz="0" w:space="0" w:color="auto"/>
      </w:divBdr>
    </w:div>
    <w:div w:id="467434324">
      <w:bodyDiv w:val="1"/>
      <w:marLeft w:val="0"/>
      <w:marRight w:val="0"/>
      <w:marTop w:val="0"/>
      <w:marBottom w:val="0"/>
      <w:divBdr>
        <w:top w:val="none" w:sz="0" w:space="0" w:color="auto"/>
        <w:left w:val="none" w:sz="0" w:space="0" w:color="auto"/>
        <w:bottom w:val="none" w:sz="0" w:space="0" w:color="auto"/>
        <w:right w:val="none" w:sz="0" w:space="0" w:color="auto"/>
      </w:divBdr>
    </w:div>
    <w:div w:id="483013430">
      <w:bodyDiv w:val="1"/>
      <w:marLeft w:val="0"/>
      <w:marRight w:val="0"/>
      <w:marTop w:val="0"/>
      <w:marBottom w:val="0"/>
      <w:divBdr>
        <w:top w:val="none" w:sz="0" w:space="0" w:color="auto"/>
        <w:left w:val="none" w:sz="0" w:space="0" w:color="auto"/>
        <w:bottom w:val="none" w:sz="0" w:space="0" w:color="auto"/>
        <w:right w:val="none" w:sz="0" w:space="0" w:color="auto"/>
      </w:divBdr>
    </w:div>
    <w:div w:id="488710157">
      <w:bodyDiv w:val="1"/>
      <w:marLeft w:val="0"/>
      <w:marRight w:val="0"/>
      <w:marTop w:val="0"/>
      <w:marBottom w:val="0"/>
      <w:divBdr>
        <w:top w:val="none" w:sz="0" w:space="0" w:color="auto"/>
        <w:left w:val="none" w:sz="0" w:space="0" w:color="auto"/>
        <w:bottom w:val="none" w:sz="0" w:space="0" w:color="auto"/>
        <w:right w:val="none" w:sz="0" w:space="0" w:color="auto"/>
      </w:divBdr>
      <w:divsChild>
        <w:div w:id="1929192578">
          <w:marLeft w:val="0"/>
          <w:marRight w:val="0"/>
          <w:marTop w:val="0"/>
          <w:marBottom w:val="0"/>
          <w:divBdr>
            <w:top w:val="none" w:sz="0" w:space="0" w:color="auto"/>
            <w:left w:val="none" w:sz="0" w:space="0" w:color="auto"/>
            <w:bottom w:val="none" w:sz="0" w:space="0" w:color="auto"/>
            <w:right w:val="none" w:sz="0" w:space="0" w:color="auto"/>
          </w:divBdr>
          <w:divsChild>
            <w:div w:id="1408454541">
              <w:marLeft w:val="0"/>
              <w:marRight w:val="0"/>
              <w:marTop w:val="0"/>
              <w:marBottom w:val="0"/>
              <w:divBdr>
                <w:top w:val="none" w:sz="0" w:space="0" w:color="auto"/>
                <w:left w:val="none" w:sz="0" w:space="0" w:color="auto"/>
                <w:bottom w:val="none" w:sz="0" w:space="0" w:color="auto"/>
                <w:right w:val="none" w:sz="0" w:space="0" w:color="auto"/>
              </w:divBdr>
              <w:divsChild>
                <w:div w:id="1051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7817">
      <w:bodyDiv w:val="1"/>
      <w:marLeft w:val="0"/>
      <w:marRight w:val="0"/>
      <w:marTop w:val="0"/>
      <w:marBottom w:val="0"/>
      <w:divBdr>
        <w:top w:val="none" w:sz="0" w:space="0" w:color="auto"/>
        <w:left w:val="none" w:sz="0" w:space="0" w:color="auto"/>
        <w:bottom w:val="none" w:sz="0" w:space="0" w:color="auto"/>
        <w:right w:val="none" w:sz="0" w:space="0" w:color="auto"/>
      </w:divBdr>
    </w:div>
    <w:div w:id="523056633">
      <w:bodyDiv w:val="1"/>
      <w:marLeft w:val="0"/>
      <w:marRight w:val="0"/>
      <w:marTop w:val="0"/>
      <w:marBottom w:val="0"/>
      <w:divBdr>
        <w:top w:val="none" w:sz="0" w:space="0" w:color="auto"/>
        <w:left w:val="none" w:sz="0" w:space="0" w:color="auto"/>
        <w:bottom w:val="none" w:sz="0" w:space="0" w:color="auto"/>
        <w:right w:val="none" w:sz="0" w:space="0" w:color="auto"/>
      </w:divBdr>
      <w:divsChild>
        <w:div w:id="1797095127">
          <w:marLeft w:val="0"/>
          <w:marRight w:val="0"/>
          <w:marTop w:val="0"/>
          <w:marBottom w:val="0"/>
          <w:divBdr>
            <w:top w:val="none" w:sz="0" w:space="0" w:color="auto"/>
            <w:left w:val="none" w:sz="0" w:space="0" w:color="auto"/>
            <w:bottom w:val="none" w:sz="0" w:space="0" w:color="auto"/>
            <w:right w:val="none" w:sz="0" w:space="0" w:color="auto"/>
          </w:divBdr>
          <w:divsChild>
            <w:div w:id="2036075614">
              <w:marLeft w:val="0"/>
              <w:marRight w:val="0"/>
              <w:marTop w:val="0"/>
              <w:marBottom w:val="0"/>
              <w:divBdr>
                <w:top w:val="none" w:sz="0" w:space="0" w:color="auto"/>
                <w:left w:val="none" w:sz="0" w:space="0" w:color="auto"/>
                <w:bottom w:val="none" w:sz="0" w:space="0" w:color="auto"/>
                <w:right w:val="none" w:sz="0" w:space="0" w:color="auto"/>
              </w:divBdr>
              <w:divsChild>
                <w:div w:id="5986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7377">
      <w:bodyDiv w:val="1"/>
      <w:marLeft w:val="0"/>
      <w:marRight w:val="0"/>
      <w:marTop w:val="0"/>
      <w:marBottom w:val="0"/>
      <w:divBdr>
        <w:top w:val="none" w:sz="0" w:space="0" w:color="auto"/>
        <w:left w:val="none" w:sz="0" w:space="0" w:color="auto"/>
        <w:bottom w:val="none" w:sz="0" w:space="0" w:color="auto"/>
        <w:right w:val="none" w:sz="0" w:space="0" w:color="auto"/>
      </w:divBdr>
    </w:div>
    <w:div w:id="982588280">
      <w:bodyDiv w:val="1"/>
      <w:marLeft w:val="0"/>
      <w:marRight w:val="0"/>
      <w:marTop w:val="0"/>
      <w:marBottom w:val="0"/>
      <w:divBdr>
        <w:top w:val="none" w:sz="0" w:space="0" w:color="auto"/>
        <w:left w:val="none" w:sz="0" w:space="0" w:color="auto"/>
        <w:bottom w:val="none" w:sz="0" w:space="0" w:color="auto"/>
        <w:right w:val="none" w:sz="0" w:space="0" w:color="auto"/>
      </w:divBdr>
    </w:div>
    <w:div w:id="1308895584">
      <w:bodyDiv w:val="1"/>
      <w:marLeft w:val="0"/>
      <w:marRight w:val="0"/>
      <w:marTop w:val="0"/>
      <w:marBottom w:val="0"/>
      <w:divBdr>
        <w:top w:val="none" w:sz="0" w:space="0" w:color="auto"/>
        <w:left w:val="none" w:sz="0" w:space="0" w:color="auto"/>
        <w:bottom w:val="none" w:sz="0" w:space="0" w:color="auto"/>
        <w:right w:val="none" w:sz="0" w:space="0" w:color="auto"/>
      </w:divBdr>
    </w:div>
    <w:div w:id="1375621091">
      <w:bodyDiv w:val="1"/>
      <w:marLeft w:val="0"/>
      <w:marRight w:val="0"/>
      <w:marTop w:val="0"/>
      <w:marBottom w:val="0"/>
      <w:divBdr>
        <w:top w:val="none" w:sz="0" w:space="0" w:color="auto"/>
        <w:left w:val="none" w:sz="0" w:space="0" w:color="auto"/>
        <w:bottom w:val="none" w:sz="0" w:space="0" w:color="auto"/>
        <w:right w:val="none" w:sz="0" w:space="0" w:color="auto"/>
      </w:divBdr>
    </w:div>
    <w:div w:id="1434983550">
      <w:bodyDiv w:val="1"/>
      <w:marLeft w:val="0"/>
      <w:marRight w:val="0"/>
      <w:marTop w:val="0"/>
      <w:marBottom w:val="0"/>
      <w:divBdr>
        <w:top w:val="none" w:sz="0" w:space="0" w:color="auto"/>
        <w:left w:val="none" w:sz="0" w:space="0" w:color="auto"/>
        <w:bottom w:val="none" w:sz="0" w:space="0" w:color="auto"/>
        <w:right w:val="none" w:sz="0" w:space="0" w:color="auto"/>
      </w:divBdr>
    </w:div>
    <w:div w:id="1470635157">
      <w:bodyDiv w:val="1"/>
      <w:marLeft w:val="0"/>
      <w:marRight w:val="0"/>
      <w:marTop w:val="0"/>
      <w:marBottom w:val="0"/>
      <w:divBdr>
        <w:top w:val="none" w:sz="0" w:space="0" w:color="auto"/>
        <w:left w:val="none" w:sz="0" w:space="0" w:color="auto"/>
        <w:bottom w:val="none" w:sz="0" w:space="0" w:color="auto"/>
        <w:right w:val="none" w:sz="0" w:space="0" w:color="auto"/>
      </w:divBdr>
    </w:div>
    <w:div w:id="1472598148">
      <w:bodyDiv w:val="1"/>
      <w:marLeft w:val="0"/>
      <w:marRight w:val="0"/>
      <w:marTop w:val="0"/>
      <w:marBottom w:val="0"/>
      <w:divBdr>
        <w:top w:val="none" w:sz="0" w:space="0" w:color="auto"/>
        <w:left w:val="none" w:sz="0" w:space="0" w:color="auto"/>
        <w:bottom w:val="none" w:sz="0" w:space="0" w:color="auto"/>
        <w:right w:val="none" w:sz="0" w:space="0" w:color="auto"/>
      </w:divBdr>
    </w:div>
    <w:div w:id="1515728360">
      <w:bodyDiv w:val="1"/>
      <w:marLeft w:val="0"/>
      <w:marRight w:val="0"/>
      <w:marTop w:val="0"/>
      <w:marBottom w:val="0"/>
      <w:divBdr>
        <w:top w:val="none" w:sz="0" w:space="0" w:color="auto"/>
        <w:left w:val="none" w:sz="0" w:space="0" w:color="auto"/>
        <w:bottom w:val="none" w:sz="0" w:space="0" w:color="auto"/>
        <w:right w:val="none" w:sz="0" w:space="0" w:color="auto"/>
      </w:divBdr>
    </w:div>
    <w:div w:id="1516454731">
      <w:bodyDiv w:val="1"/>
      <w:marLeft w:val="0"/>
      <w:marRight w:val="0"/>
      <w:marTop w:val="0"/>
      <w:marBottom w:val="0"/>
      <w:divBdr>
        <w:top w:val="none" w:sz="0" w:space="0" w:color="auto"/>
        <w:left w:val="none" w:sz="0" w:space="0" w:color="auto"/>
        <w:bottom w:val="none" w:sz="0" w:space="0" w:color="auto"/>
        <w:right w:val="none" w:sz="0" w:space="0" w:color="auto"/>
      </w:divBdr>
    </w:div>
    <w:div w:id="1967081605">
      <w:bodyDiv w:val="1"/>
      <w:marLeft w:val="0"/>
      <w:marRight w:val="0"/>
      <w:marTop w:val="0"/>
      <w:marBottom w:val="0"/>
      <w:divBdr>
        <w:top w:val="none" w:sz="0" w:space="0" w:color="auto"/>
        <w:left w:val="none" w:sz="0" w:space="0" w:color="auto"/>
        <w:bottom w:val="none" w:sz="0" w:space="0" w:color="auto"/>
        <w:right w:val="none" w:sz="0" w:space="0" w:color="auto"/>
      </w:divBdr>
    </w:div>
    <w:div w:id="20675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lary.mmcri.cloud/JES_Nevola_et_all_supplement.pdf" TargetMode="External"/><Relationship Id="rId4" Type="http://schemas.openxmlformats.org/officeDocument/2006/relationships/settings" Target="settings.xml"/><Relationship Id="rId9" Type="http://schemas.openxmlformats.org/officeDocument/2006/relationships/hyperlink" Target="https://github.com/knevola/MMC/tree/master/Aim2_Genetic_Influences_scri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4C50-50F8-4BA1-8C6E-8696DB67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76883</Words>
  <Characters>438237</Characters>
  <Application>Microsoft Office Word</Application>
  <DocSecurity>0</DocSecurity>
  <Lines>3651</Lines>
  <Paragraphs>1028</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514092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Nevola</dc:creator>
  <cp:keywords/>
  <dc:description/>
  <cp:lastModifiedBy>Karen Drake</cp:lastModifiedBy>
  <cp:revision>2</cp:revision>
  <cp:lastPrinted>2020-09-18T15:43:00Z</cp:lastPrinted>
  <dcterms:created xsi:type="dcterms:W3CDTF">2021-05-21T09:39:00Z</dcterms:created>
  <dcterms:modified xsi:type="dcterms:W3CDTF">2021-05-21T09:39:00Z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id="E3SWzxLy"/&gt;&lt;style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y fmtid="{D5CDD505-2E9C-101B-9397-08002B2CF9AE}" pid="4" name="Mendeley Recent Style Id 0_1">
    <vt:lpwstr>http://www.zotero.org/styles/american-sociological-association</vt:lpwstr>
  </property>
  <property fmtid="{D5CDD505-2E9C-101B-9397-08002B2CF9AE}" pid="5" name="Mendeley Recent Style Name 0_1">
    <vt:lpwstr>American Sociological Association</vt:lpwstr>
  </property>
  <property fmtid="{D5CDD505-2E9C-101B-9397-08002B2CF9AE}" pid="6" name="Mendeley Recent Style Id 1_1">
    <vt:lpwstr>http://www.zotero.org/styles/chicago-author-date</vt:lpwstr>
  </property>
  <property fmtid="{D5CDD505-2E9C-101B-9397-08002B2CF9AE}" pid="7" name="Mendeley Recent Style Name 1_1">
    <vt:lpwstr>Chicago Manual of Style 17th edition (author-date)</vt:lpwstr>
  </property>
  <property fmtid="{D5CDD505-2E9C-101B-9397-08002B2CF9AE}" pid="8" name="Mendeley Recent Style Id 2_1">
    <vt:lpwstr>http://www.zotero.org/styles/circulation</vt:lpwstr>
  </property>
  <property fmtid="{D5CDD505-2E9C-101B-9397-08002B2CF9AE}" pid="9" name="Mendeley Recent Style Name 2_1">
    <vt:lpwstr>Circulation</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http://www.zotero.org/styles/clinical-reviews-in-bone-and-mineral-metabolism</vt:lpwstr>
  </property>
  <property fmtid="{D5CDD505-2E9C-101B-9397-08002B2CF9AE}" pid="13" name="Mendeley Recent Style Name 4_1">
    <vt:lpwstr>Clinical Reviews in Bone and Mineral Metabolism</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http://www.zotero.org/styles/the-journal-of-clinical-investigation</vt:lpwstr>
  </property>
  <property fmtid="{D5CDD505-2E9C-101B-9397-08002B2CF9AE}" pid="23" name="Mendeley Recent Style Name 9_1">
    <vt:lpwstr>The Journal of Clinical Investigation</vt:lpwstr>
  </property>
</Properties>
</file>